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9AE207">
      <w:pPr>
        <w:jc w:val="both"/>
        <w:rPr>
          <w:rFonts w:hint="eastAsia" w:asciiTheme="minorEastAsia" w:hAnsiTheme="minorEastAsia" w:eastAsiaTheme="minorEastAsia" w:cstheme="minorEastAsia"/>
          <w:b/>
          <w:bCs/>
          <w:color w:val="auto"/>
          <w:sz w:val="40"/>
          <w:szCs w:val="40"/>
          <w:highlight w:val="none"/>
        </w:rPr>
      </w:pPr>
      <w:bookmarkStart w:id="0" w:name="_Toc227991412"/>
      <w:bookmarkStart w:id="1" w:name="_Toc292200550"/>
    </w:p>
    <w:p w14:paraId="16E7A462">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highlight w:val="none"/>
        </w:rPr>
      </w:pPr>
      <w:r>
        <w:rPr>
          <w:rFonts w:hint="eastAsia" w:ascii="宋体" w:hAnsi="宋体" w:eastAsia="宋体" w:cs="Times New Roman"/>
          <w:b/>
          <w:bCs/>
          <w:color w:val="000000"/>
          <w:kern w:val="2"/>
          <w:sz w:val="72"/>
          <w:szCs w:val="72"/>
          <w:lang w:eastAsia="zh-CN"/>
        </w:rPr>
        <w:t>龙陵县中医医院2026年保洁服务采购项目</w:t>
      </w:r>
    </w:p>
    <w:p w14:paraId="3C19D94B">
      <w:pPr>
        <w:pStyle w:val="14"/>
        <w:rPr>
          <w:rFonts w:hint="eastAsia" w:asciiTheme="minorEastAsia" w:hAnsiTheme="minorEastAsia" w:eastAsiaTheme="minorEastAsia" w:cstheme="minorEastAsia"/>
          <w:color w:val="auto"/>
          <w:highlight w:val="none"/>
        </w:rPr>
      </w:pPr>
    </w:p>
    <w:p w14:paraId="148F95D0">
      <w:pPr>
        <w:pStyle w:val="14"/>
        <w:rPr>
          <w:rFonts w:hint="eastAsia" w:asciiTheme="minorEastAsia" w:hAnsiTheme="minorEastAsia" w:eastAsiaTheme="minorEastAsia" w:cstheme="minorEastAsia"/>
          <w:color w:val="auto"/>
          <w:highlight w:val="none"/>
        </w:rPr>
      </w:pPr>
    </w:p>
    <w:p w14:paraId="107CFCB9">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
          <w:bCs/>
          <w:color w:val="auto"/>
          <w:sz w:val="72"/>
          <w:szCs w:val="96"/>
          <w:highlight w:val="none"/>
        </w:rPr>
      </w:pPr>
      <w:r>
        <w:rPr>
          <w:rFonts w:hint="eastAsia" w:asciiTheme="minorEastAsia" w:hAnsiTheme="minorEastAsia" w:eastAsiaTheme="minorEastAsia" w:cstheme="minorEastAsia"/>
          <w:b/>
          <w:bCs/>
          <w:color w:val="auto"/>
          <w:sz w:val="72"/>
          <w:szCs w:val="96"/>
          <w:highlight w:val="none"/>
        </w:rPr>
        <w:t>竞争性磋商文件</w:t>
      </w:r>
    </w:p>
    <w:p w14:paraId="75CFEA8D">
      <w:pPr>
        <w:jc w:val="center"/>
        <w:rPr>
          <w:rFonts w:hint="eastAsia" w:cs="Times New Roman" w:asciiTheme="majorEastAsia" w:hAnsiTheme="majorEastAsia" w:eastAsiaTheme="majorEastAsia"/>
          <w:b/>
          <w:bCs/>
          <w:color w:val="auto"/>
          <w:sz w:val="32"/>
          <w:szCs w:val="32"/>
          <w:highlight w:val="none"/>
          <w:lang w:val="en-US" w:eastAsia="zh-CN"/>
        </w:rPr>
      </w:pPr>
      <w:r>
        <w:rPr>
          <w:rFonts w:hint="eastAsia" w:cs="Times New Roman" w:asciiTheme="majorEastAsia" w:hAnsiTheme="majorEastAsia" w:eastAsiaTheme="majorEastAsia"/>
          <w:b/>
          <w:bCs/>
          <w:color w:val="auto"/>
          <w:sz w:val="32"/>
          <w:szCs w:val="32"/>
          <w:highlight w:val="none"/>
          <w:lang w:eastAsia="zh-CN"/>
        </w:rPr>
        <w:t>项目编号：LLCG2026（JC）×02</w:t>
      </w:r>
    </w:p>
    <w:p w14:paraId="3C83375F">
      <w:pPr>
        <w:jc w:val="center"/>
        <w:rPr>
          <w:rFonts w:hint="eastAsia" w:asciiTheme="minorEastAsia" w:hAnsiTheme="minorEastAsia" w:eastAsiaTheme="minorEastAsia" w:cstheme="minorEastAsia"/>
          <w:b/>
          <w:color w:val="auto"/>
          <w:sz w:val="36"/>
          <w:szCs w:val="32"/>
          <w:highlight w:val="none"/>
        </w:rPr>
      </w:pPr>
      <w:r>
        <w:rPr>
          <w:rFonts w:hint="eastAsia" w:cs="Times New Roman" w:asciiTheme="majorEastAsia" w:hAnsiTheme="majorEastAsia" w:eastAsiaTheme="majorEastAsia"/>
          <w:b/>
          <w:bCs/>
          <w:color w:val="auto"/>
          <w:sz w:val="32"/>
          <w:szCs w:val="32"/>
          <w:highlight w:val="none"/>
          <w:lang w:eastAsia="zh-CN"/>
        </w:rPr>
        <w:t>（政采云项目编号：</w:t>
      </w:r>
      <w:r>
        <w:rPr>
          <w:rFonts w:hint="eastAsia" w:asciiTheme="minorEastAsia" w:hAnsiTheme="minorEastAsia" w:eastAsiaTheme="minorEastAsia" w:cstheme="minorEastAsia"/>
          <w:b/>
          <w:color w:val="auto"/>
          <w:sz w:val="28"/>
          <w:szCs w:val="28"/>
          <w:highlight w:val="none"/>
          <w:lang w:eastAsia="zh-CN"/>
        </w:rPr>
        <w:t>BSZC2026-C3-00472-LLXZ-0008</w:t>
      </w:r>
      <w:r>
        <w:rPr>
          <w:rFonts w:hint="eastAsia" w:cs="Times New Roman" w:asciiTheme="majorEastAsia" w:hAnsiTheme="majorEastAsia" w:eastAsiaTheme="majorEastAsia"/>
          <w:b/>
          <w:bCs/>
          <w:color w:val="auto"/>
          <w:sz w:val="32"/>
          <w:szCs w:val="32"/>
          <w:highlight w:val="none"/>
          <w:lang w:eastAsia="zh-CN"/>
        </w:rPr>
        <w:t>）</w:t>
      </w:r>
    </w:p>
    <w:p w14:paraId="40D2FF24">
      <w:pPr>
        <w:pStyle w:val="80"/>
        <w:rPr>
          <w:rFonts w:hint="eastAsia" w:asciiTheme="minorEastAsia" w:hAnsiTheme="minorEastAsia" w:eastAsiaTheme="minorEastAsia" w:cstheme="minorEastAsia"/>
          <w:b/>
          <w:color w:val="auto"/>
          <w:sz w:val="36"/>
          <w:szCs w:val="32"/>
          <w:highlight w:val="none"/>
        </w:rPr>
      </w:pPr>
    </w:p>
    <w:p w14:paraId="75CD4D27">
      <w:pPr>
        <w:rPr>
          <w:rFonts w:hint="eastAsia" w:asciiTheme="minorEastAsia" w:hAnsiTheme="minorEastAsia" w:eastAsiaTheme="minorEastAsia" w:cstheme="minorEastAsia"/>
          <w:b/>
          <w:color w:val="auto"/>
          <w:sz w:val="36"/>
          <w:szCs w:val="32"/>
          <w:highlight w:val="none"/>
        </w:rPr>
      </w:pPr>
    </w:p>
    <w:p w14:paraId="65BC32B0">
      <w:pPr>
        <w:rPr>
          <w:rFonts w:hint="eastAsia" w:eastAsiaTheme="minorEastAsia"/>
          <w:lang w:val="en-US" w:eastAsia="zh-CN"/>
        </w:rPr>
      </w:pPr>
    </w:p>
    <w:p w14:paraId="75CD150D">
      <w:pPr>
        <w:tabs>
          <w:tab w:val="left" w:pos="8591"/>
        </w:tabs>
        <w:jc w:val="left"/>
        <w:rPr>
          <w:rFonts w:hint="eastAsia" w:asciiTheme="minorEastAsia" w:hAnsiTheme="minorEastAsia" w:eastAsiaTheme="minorEastAsia" w:cstheme="minorEastAsia"/>
          <w:b/>
          <w:color w:val="auto"/>
          <w:sz w:val="36"/>
          <w:szCs w:val="32"/>
          <w:highlight w:val="none"/>
        </w:rPr>
      </w:pPr>
    </w:p>
    <w:p w14:paraId="50B84AA9">
      <w:pPr>
        <w:pageBreakBefore w:val="0"/>
        <w:kinsoku/>
        <w:wordWrap/>
        <w:topLinePunct w:val="0"/>
        <w:bidi w:val="0"/>
        <w:spacing w:line="440" w:lineRule="exact"/>
        <w:jc w:val="left"/>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采</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购</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人:</w:t>
      </w:r>
      <w:r>
        <w:rPr>
          <w:rFonts w:hint="eastAsia" w:ascii="宋体" w:hAnsi="宋体" w:eastAsia="宋体" w:cs="宋体"/>
          <w:b/>
          <w:color w:val="000000"/>
          <w:sz w:val="32"/>
          <w:szCs w:val="32"/>
          <w:lang w:eastAsia="zh-CN"/>
        </w:rPr>
        <w:t>龙陵县中医医院</w:t>
      </w:r>
    </w:p>
    <w:p w14:paraId="0EEF9428">
      <w:pPr>
        <w:pageBreakBefore w:val="0"/>
        <w:kinsoku/>
        <w:wordWrap/>
        <w:topLinePunct w:val="0"/>
        <w:bidi w:val="0"/>
        <w:spacing w:line="440" w:lineRule="exact"/>
        <w:jc w:val="left"/>
        <w:rPr>
          <w:rFonts w:hint="eastAsia" w:ascii="宋体" w:hAnsi="宋体" w:eastAsia="宋体" w:cs="宋体"/>
          <w:b/>
          <w:color w:val="000000"/>
          <w:sz w:val="32"/>
          <w:szCs w:val="32"/>
        </w:rPr>
      </w:pPr>
      <w:r>
        <w:rPr>
          <w:rFonts w:hint="eastAsia" w:ascii="宋体" w:hAnsi="宋体" w:eastAsia="宋体" w:cs="宋体"/>
          <w:b/>
          <w:color w:val="000000"/>
          <w:sz w:val="32"/>
          <w:szCs w:val="32"/>
        </w:rPr>
        <w:t>联</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系</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人：</w:t>
      </w:r>
      <w:r>
        <w:rPr>
          <w:rFonts w:hint="eastAsia" w:ascii="宋体" w:hAnsi="宋体" w:eastAsia="宋体" w:cs="宋体"/>
          <w:b/>
          <w:color w:val="000000"/>
          <w:sz w:val="32"/>
          <w:szCs w:val="32"/>
          <w:lang w:eastAsia="zh-CN"/>
        </w:rPr>
        <w:t>汤女士</w:t>
      </w:r>
    </w:p>
    <w:p w14:paraId="42DA8638">
      <w:pPr>
        <w:pageBreakBefore w:val="0"/>
        <w:kinsoku/>
        <w:wordWrap/>
        <w:topLinePunct w:val="0"/>
        <w:bidi w:val="0"/>
        <w:spacing w:line="440" w:lineRule="exact"/>
        <w:jc w:val="left"/>
        <w:rPr>
          <w:rFonts w:hint="eastAsia" w:ascii="宋体" w:hAnsi="宋体" w:eastAsia="宋体" w:cs="宋体"/>
          <w:sz w:val="24"/>
        </w:rPr>
      </w:pPr>
      <w:r>
        <w:rPr>
          <w:rFonts w:hint="eastAsia" w:ascii="宋体" w:hAnsi="宋体" w:eastAsia="宋体" w:cs="宋体"/>
          <w:b/>
          <w:color w:val="000000"/>
          <w:sz w:val="32"/>
          <w:szCs w:val="32"/>
        </w:rPr>
        <w:t>联系电话：</w:t>
      </w:r>
      <w:r>
        <w:rPr>
          <w:rFonts w:hint="eastAsia" w:ascii="宋体" w:hAnsi="宋体" w:eastAsia="宋体" w:cs="宋体"/>
          <w:b/>
          <w:color w:val="000000"/>
          <w:sz w:val="32"/>
          <w:szCs w:val="32"/>
          <w:lang w:val="en-US" w:eastAsia="zh-CN"/>
        </w:rPr>
        <w:t>0875-6121331</w:t>
      </w:r>
    </w:p>
    <w:p w14:paraId="4E02958A">
      <w:pPr>
        <w:pageBreakBefore w:val="0"/>
        <w:kinsoku/>
        <w:wordWrap/>
        <w:topLinePunct w:val="0"/>
        <w:bidi w:val="0"/>
        <w:spacing w:line="440" w:lineRule="exact"/>
        <w:jc w:val="left"/>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代理机构：</w:t>
      </w:r>
      <w:r>
        <w:rPr>
          <w:rFonts w:hint="eastAsia" w:ascii="宋体" w:hAnsi="宋体" w:eastAsia="宋体" w:cs="宋体"/>
          <w:b/>
          <w:color w:val="000000"/>
          <w:sz w:val="32"/>
          <w:szCs w:val="32"/>
          <w:lang w:eastAsia="zh-CN"/>
        </w:rPr>
        <w:t>龙陵县政府采购和出让中心</w:t>
      </w:r>
    </w:p>
    <w:p w14:paraId="2700FEBD">
      <w:pPr>
        <w:pageBreakBefore w:val="0"/>
        <w:kinsoku/>
        <w:wordWrap/>
        <w:topLinePunct w:val="0"/>
        <w:bidi w:val="0"/>
        <w:spacing w:line="440" w:lineRule="exact"/>
        <w:jc w:val="left"/>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联</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系</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人：</w:t>
      </w:r>
      <w:r>
        <w:rPr>
          <w:rFonts w:hint="eastAsia" w:ascii="宋体" w:hAnsi="宋体" w:eastAsia="宋体" w:cs="宋体"/>
          <w:b/>
          <w:color w:val="000000"/>
          <w:sz w:val="32"/>
          <w:szCs w:val="32"/>
          <w:lang w:eastAsia="zh-CN"/>
        </w:rPr>
        <w:t>王先生</w:t>
      </w:r>
    </w:p>
    <w:p w14:paraId="46A2F769">
      <w:pPr>
        <w:pStyle w:val="79"/>
        <w:ind w:left="0" w:leftChars="0" w:firstLine="0" w:firstLineChars="0"/>
        <w:rPr>
          <w:rFonts w:hint="eastAsia" w:asciiTheme="minorEastAsia" w:hAnsiTheme="minorEastAsia" w:eastAsiaTheme="minorEastAsia" w:cstheme="minorEastAsia"/>
          <w:color w:val="auto"/>
          <w:highlight w:val="none"/>
        </w:rPr>
      </w:pPr>
      <w:r>
        <w:rPr>
          <w:rFonts w:hint="eastAsia" w:ascii="宋体" w:hAnsi="宋体" w:eastAsia="宋体" w:cs="宋体"/>
          <w:b/>
          <w:color w:val="000000"/>
          <w:sz w:val="32"/>
          <w:szCs w:val="32"/>
        </w:rPr>
        <w:t>联系电话：</w:t>
      </w:r>
      <w:r>
        <w:rPr>
          <w:rFonts w:hint="eastAsia" w:ascii="宋体" w:hAnsi="宋体" w:eastAsia="宋体" w:cs="宋体"/>
          <w:b/>
          <w:color w:val="000000"/>
          <w:sz w:val="32"/>
          <w:szCs w:val="32"/>
          <w:lang w:eastAsia="zh-CN"/>
        </w:rPr>
        <w:t>0875-3126877</w:t>
      </w:r>
    </w:p>
    <w:p w14:paraId="63E78205">
      <w:pPr>
        <w:pStyle w:val="79"/>
        <w:rPr>
          <w:rFonts w:hint="eastAsia" w:asciiTheme="minorEastAsia" w:hAnsiTheme="minorEastAsia" w:eastAsiaTheme="minorEastAsia" w:cstheme="minorEastAsia"/>
          <w:color w:val="auto"/>
          <w:highlight w:val="none"/>
        </w:rPr>
      </w:pPr>
    </w:p>
    <w:p w14:paraId="590D2821">
      <w:pPr>
        <w:pStyle w:val="79"/>
        <w:rPr>
          <w:rFonts w:hint="eastAsia" w:asciiTheme="minorEastAsia" w:hAnsiTheme="minorEastAsia" w:eastAsiaTheme="minorEastAsia" w:cstheme="minorEastAsia"/>
          <w:color w:val="auto"/>
          <w:highlight w:val="none"/>
        </w:rPr>
      </w:pPr>
    </w:p>
    <w:p w14:paraId="31216CF1">
      <w:pPr>
        <w:pStyle w:val="79"/>
        <w:rPr>
          <w:rFonts w:hint="eastAsia" w:asciiTheme="minorEastAsia" w:hAnsiTheme="minorEastAsia" w:eastAsiaTheme="minorEastAsia" w:cstheme="minorEastAsia"/>
          <w:color w:val="auto"/>
          <w:highlight w:val="none"/>
        </w:rPr>
      </w:pPr>
    </w:p>
    <w:p w14:paraId="3351A433">
      <w:pPr>
        <w:pStyle w:val="79"/>
        <w:ind w:left="0" w:leftChars="0" w:firstLine="0" w:firstLineChars="0"/>
        <w:rPr>
          <w:rFonts w:hint="eastAsia" w:asciiTheme="minorEastAsia" w:hAnsiTheme="minorEastAsia" w:eastAsiaTheme="minorEastAsia" w:cstheme="minorEastAsia"/>
          <w:color w:val="auto"/>
          <w:highlight w:val="none"/>
        </w:rPr>
      </w:pPr>
    </w:p>
    <w:p w14:paraId="4C0B28CB">
      <w:pPr>
        <w:spacing w:after="0"/>
        <w:jc w:val="center"/>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目  录</w:t>
      </w:r>
    </w:p>
    <w:p w14:paraId="4871B9CE">
      <w:pPr>
        <w:pStyle w:val="14"/>
        <w:rPr>
          <w:rFonts w:hint="eastAsia" w:asciiTheme="minorEastAsia" w:hAnsiTheme="minorEastAsia" w:eastAsiaTheme="minorEastAsia" w:cstheme="minorEastAsia"/>
          <w:color w:val="auto"/>
          <w:highlight w:val="none"/>
        </w:rPr>
      </w:pPr>
    </w:p>
    <w:p w14:paraId="7E5CC3D4">
      <w:pPr>
        <w:pStyle w:val="44"/>
        <w:keepNext w:val="0"/>
        <w:keepLines w:val="0"/>
        <w:pageBreakBefore w:val="0"/>
        <w:widowControl w:val="0"/>
        <w:tabs>
          <w:tab w:val="right" w:leader="dot" w:pos="10186"/>
          <w:tab w:val="clear" w:pos="95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Style w:val="71"/>
          <w:rFonts w:hint="eastAsia" w:asciiTheme="minorEastAsia" w:hAnsiTheme="minorEastAsia" w:eastAsiaTheme="minorEastAsia" w:cstheme="minorEastAsia"/>
          <w:color w:val="auto"/>
          <w:sz w:val="24"/>
          <w:szCs w:val="24"/>
          <w:highlight w:val="none"/>
        </w:rPr>
        <w:fldChar w:fldCharType="begin"/>
      </w:r>
      <w:r>
        <w:rPr>
          <w:rStyle w:val="71"/>
          <w:rFonts w:hint="eastAsia" w:asciiTheme="minorEastAsia" w:hAnsiTheme="minorEastAsia" w:eastAsiaTheme="minorEastAsia" w:cstheme="minorEastAsia"/>
          <w:color w:val="auto"/>
          <w:sz w:val="24"/>
          <w:szCs w:val="24"/>
          <w:highlight w:val="none"/>
        </w:rPr>
        <w:instrText xml:space="preserve"> TOC \o "1-3" \h \z \u </w:instrText>
      </w:r>
      <w:r>
        <w:rPr>
          <w:rStyle w:val="71"/>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HYPERLINK \l _Toc15430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color w:val="auto"/>
          <w:kern w:val="2"/>
          <w:szCs w:val="36"/>
          <w:highlight w:val="none"/>
        </w:rPr>
        <w:t>第一章 竞争性磋商公告</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_Toc15430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78E98410">
      <w:pPr>
        <w:pStyle w:val="44"/>
        <w:keepNext w:val="0"/>
        <w:keepLines w:val="0"/>
        <w:pageBreakBefore w:val="0"/>
        <w:widowControl w:val="0"/>
        <w:tabs>
          <w:tab w:val="right" w:leader="dot" w:pos="10186"/>
          <w:tab w:val="clear" w:pos="95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HYPERLINK \l _Toc19732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color w:val="auto"/>
          <w:szCs w:val="36"/>
          <w:highlight w:val="none"/>
        </w:rPr>
        <w:t>第二章 供应商须知</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_Toc19732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3EB4B3AE">
      <w:pPr>
        <w:pStyle w:val="44"/>
        <w:keepNext w:val="0"/>
        <w:keepLines w:val="0"/>
        <w:pageBreakBefore w:val="0"/>
        <w:widowControl w:val="0"/>
        <w:tabs>
          <w:tab w:val="right" w:leader="dot" w:pos="10186"/>
          <w:tab w:val="clear" w:pos="95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HYPERLINK \l _Toc19518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color w:val="auto"/>
          <w:highlight w:val="none"/>
        </w:rPr>
        <w:t>第三章 评审办法（综合评分法）</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_Toc19518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29</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278604B6">
      <w:pPr>
        <w:pStyle w:val="44"/>
        <w:keepNext w:val="0"/>
        <w:keepLines w:val="0"/>
        <w:pageBreakBefore w:val="0"/>
        <w:widowControl w:val="0"/>
        <w:tabs>
          <w:tab w:val="right" w:leader="dot" w:pos="10186"/>
          <w:tab w:val="clear" w:pos="95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HYPERLINK \l _Toc15281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color w:val="auto"/>
          <w:highlight w:val="none"/>
        </w:rPr>
        <w:t>第四章 合同条款及格式</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_Toc15281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39</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779F8831">
      <w:pPr>
        <w:pStyle w:val="44"/>
        <w:keepNext w:val="0"/>
        <w:keepLines w:val="0"/>
        <w:pageBreakBefore w:val="0"/>
        <w:widowControl w:val="0"/>
        <w:tabs>
          <w:tab w:val="right" w:leader="dot" w:pos="10186"/>
          <w:tab w:val="clear" w:pos="95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HYPERLINK \l _Toc24945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color w:val="auto"/>
          <w:highlight w:val="none"/>
        </w:rPr>
        <w:t>第五章 采购需求</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_Toc24945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44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4CDCB547">
      <w:pPr>
        <w:pStyle w:val="44"/>
        <w:keepNext w:val="0"/>
        <w:keepLines w:val="0"/>
        <w:pageBreakBefore w:val="0"/>
        <w:widowControl w:val="0"/>
        <w:tabs>
          <w:tab w:val="right" w:leader="dot" w:pos="10186"/>
          <w:tab w:val="clear" w:pos="95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HYPERLINK \l _Toc8979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color w:val="auto"/>
          <w:highlight w:val="none"/>
        </w:rPr>
        <w:t>第六章 竞争性磋商响应文件格式</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_Toc8979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44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761DB15E">
      <w:pPr>
        <w:pStyle w:val="44"/>
        <w:keepNext w:val="0"/>
        <w:keepLines w:val="0"/>
        <w:pageBreakBefore w:val="0"/>
        <w:widowControl w:val="0"/>
        <w:tabs>
          <w:tab w:val="right" w:leader="dot" w:pos="10186"/>
          <w:tab w:val="clear" w:pos="95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HYPERLINK \l _Toc27259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bCs w:val="0"/>
          <w:color w:val="auto"/>
          <w:szCs w:val="21"/>
          <w:highlight w:val="none"/>
        </w:rPr>
        <w:t>附件1</w:t>
      </w:r>
      <w:r>
        <w:rPr>
          <w:rFonts w:hint="eastAsia" w:asciiTheme="minorEastAsia" w:hAnsiTheme="minorEastAsia" w:eastAsiaTheme="minorEastAsia" w:cstheme="minorEastAsia"/>
          <w:bCs w:val="0"/>
          <w:color w:val="auto"/>
          <w:szCs w:val="21"/>
          <w:highlight w:val="none"/>
          <w:lang w:eastAsia="zh-CN"/>
        </w:rPr>
        <w:t>：中小企业划型标准规定</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_Toc27259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84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177E2340">
      <w:pPr>
        <w:pStyle w:val="44"/>
        <w:keepNext w:val="0"/>
        <w:keepLines w:val="0"/>
        <w:pageBreakBefore w:val="0"/>
        <w:widowControl w:val="0"/>
        <w:tabs>
          <w:tab w:val="right" w:leader="dot" w:pos="10186"/>
          <w:tab w:val="clear" w:pos="95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HYPERLINK \l _Toc8721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bCs w:val="0"/>
          <w:color w:val="auto"/>
          <w:szCs w:val="21"/>
          <w:highlight w:val="none"/>
        </w:rPr>
        <w:t>附件</w:t>
      </w:r>
      <w:r>
        <w:rPr>
          <w:rFonts w:hint="eastAsia" w:asciiTheme="minorEastAsia" w:hAnsiTheme="minorEastAsia" w:eastAsiaTheme="minorEastAsia" w:cstheme="minorEastAsia"/>
          <w:bCs w:val="0"/>
          <w:color w:val="auto"/>
          <w:szCs w:val="21"/>
          <w:highlight w:val="none"/>
          <w:lang w:val="en-US" w:eastAsia="zh-CN"/>
        </w:rPr>
        <w:t>2</w:t>
      </w:r>
      <w:r>
        <w:rPr>
          <w:rFonts w:hint="eastAsia" w:asciiTheme="minorEastAsia" w:hAnsiTheme="minorEastAsia" w:eastAsiaTheme="minorEastAsia" w:cstheme="minorEastAsia"/>
          <w:bCs w:val="0"/>
          <w:color w:val="auto"/>
          <w:szCs w:val="21"/>
          <w:highlight w:val="none"/>
          <w:lang w:eastAsia="zh-CN"/>
        </w:rPr>
        <w:t>：质疑函范本</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_Toc8721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90</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1A06E3C7">
      <w:pPr>
        <w:pStyle w:val="44"/>
        <w:keepNext w:val="0"/>
        <w:keepLines w:val="0"/>
        <w:pageBreakBefore w:val="0"/>
        <w:widowControl w:val="0"/>
        <w:tabs>
          <w:tab w:val="right" w:leader="dot" w:pos="10186"/>
          <w:tab w:val="clear" w:pos="95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HYPERLINK \l _Toc7837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bCs w:val="0"/>
          <w:color w:val="auto"/>
          <w:szCs w:val="21"/>
          <w:highlight w:val="none"/>
        </w:rPr>
        <w:t>附件</w:t>
      </w:r>
      <w:r>
        <w:rPr>
          <w:rFonts w:hint="eastAsia" w:asciiTheme="minorEastAsia" w:hAnsiTheme="minorEastAsia" w:eastAsiaTheme="minorEastAsia" w:cstheme="minorEastAsia"/>
          <w:bCs w:val="0"/>
          <w:color w:val="auto"/>
          <w:szCs w:val="21"/>
          <w:highlight w:val="none"/>
          <w:lang w:val="en-US" w:eastAsia="zh-CN"/>
        </w:rPr>
        <w:t>3</w:t>
      </w:r>
      <w:r>
        <w:rPr>
          <w:rFonts w:hint="eastAsia" w:asciiTheme="minorEastAsia" w:hAnsiTheme="minorEastAsia" w:eastAsiaTheme="minorEastAsia" w:cstheme="minorEastAsia"/>
          <w:bCs w:val="0"/>
          <w:color w:val="auto"/>
          <w:szCs w:val="21"/>
          <w:highlight w:val="none"/>
          <w:lang w:eastAsia="zh-CN"/>
        </w:rPr>
        <w:t>：投诉书范本</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_Toc7837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92</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28739F38">
      <w:pPr>
        <w:pStyle w:val="52"/>
        <w:tabs>
          <w:tab w:val="right" w:leader="dot" w:pos="10176"/>
        </w:tabs>
        <w:spacing w:line="264" w:lineRule="auto"/>
        <w:ind w:left="0"/>
        <w:rPr>
          <w:rStyle w:val="71"/>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fldChar w:fldCharType="end"/>
      </w:r>
    </w:p>
    <w:p w14:paraId="230C57AF">
      <w:pPr>
        <w:rPr>
          <w:rFonts w:hint="eastAsia" w:asciiTheme="minorEastAsia" w:hAnsiTheme="minorEastAsia" w:eastAsiaTheme="minorEastAsia" w:cstheme="minorEastAsia"/>
          <w:color w:val="auto"/>
          <w:highlight w:val="none"/>
        </w:rPr>
      </w:pPr>
    </w:p>
    <w:p w14:paraId="1E21EF4F">
      <w:pPr>
        <w:rPr>
          <w:rFonts w:hint="eastAsia" w:asciiTheme="minorEastAsia" w:hAnsiTheme="minorEastAsia" w:eastAsiaTheme="minorEastAsia" w:cstheme="minorEastAsia"/>
          <w:color w:val="auto"/>
          <w:highlight w:val="none"/>
        </w:rPr>
      </w:pPr>
    </w:p>
    <w:p w14:paraId="3C5025B4">
      <w:pPr>
        <w:tabs>
          <w:tab w:val="left" w:pos="4226"/>
        </w:tabs>
        <w:rPr>
          <w:rFonts w:hint="eastAsia" w:asciiTheme="minorEastAsia" w:hAnsiTheme="minorEastAsia" w:eastAsiaTheme="minorEastAsia" w:cstheme="minorEastAsia"/>
          <w:color w:val="auto"/>
          <w:highlight w:val="none"/>
        </w:rPr>
        <w:sectPr>
          <w:headerReference r:id="rId5" w:type="first"/>
          <w:headerReference r:id="rId4" w:type="default"/>
          <w:footerReference r:id="rId6" w:type="default"/>
          <w:pgSz w:w="11910" w:h="16840"/>
          <w:pgMar w:top="913" w:right="856" w:bottom="913" w:left="868" w:header="340" w:footer="227" w:gutter="0"/>
          <w:pgNumType w:chapStyle="3"/>
          <w:cols w:space="720" w:num="1"/>
          <w:titlePg/>
          <w:docGrid w:linePitch="299" w:charSpace="0"/>
        </w:sectPr>
      </w:pPr>
      <w:r>
        <w:rPr>
          <w:rFonts w:hint="eastAsia" w:asciiTheme="minorEastAsia" w:hAnsiTheme="minorEastAsia" w:eastAsiaTheme="minorEastAsia" w:cstheme="minorEastAsia"/>
          <w:color w:val="auto"/>
          <w:highlight w:val="none"/>
        </w:rPr>
        <w:tab/>
      </w:r>
    </w:p>
    <w:p w14:paraId="0217B859">
      <w:pPr>
        <w:pStyle w:val="2"/>
        <w:jc w:val="center"/>
        <w:rPr>
          <w:rFonts w:hint="eastAsia" w:asciiTheme="minorEastAsia" w:hAnsiTheme="minorEastAsia" w:eastAsiaTheme="minorEastAsia" w:cstheme="minorEastAsia"/>
          <w:b w:val="0"/>
          <w:bCs w:val="0"/>
          <w:color w:val="auto"/>
          <w:kern w:val="2"/>
          <w:sz w:val="36"/>
          <w:szCs w:val="36"/>
          <w:highlight w:val="none"/>
        </w:rPr>
      </w:pPr>
      <w:bookmarkStart w:id="2" w:name="_Toc15430"/>
      <w:r>
        <w:rPr>
          <w:rFonts w:hint="eastAsia" w:asciiTheme="minorEastAsia" w:hAnsiTheme="minorEastAsia" w:eastAsiaTheme="minorEastAsia" w:cstheme="minorEastAsia"/>
          <w:color w:val="auto"/>
          <w:kern w:val="2"/>
          <w:sz w:val="36"/>
          <w:szCs w:val="36"/>
          <w:highlight w:val="none"/>
        </w:rPr>
        <w:t>第一章 竞争性磋商</w:t>
      </w:r>
      <w:bookmarkEnd w:id="0"/>
      <w:bookmarkEnd w:id="1"/>
      <w:bookmarkStart w:id="3" w:name="_Toc487037683"/>
      <w:bookmarkStart w:id="4" w:name="_Toc519007706"/>
      <w:bookmarkStart w:id="5" w:name="_Toc292200559"/>
      <w:bookmarkStart w:id="6" w:name="_Toc227991413"/>
      <w:r>
        <w:rPr>
          <w:rFonts w:hint="eastAsia" w:asciiTheme="minorEastAsia" w:hAnsiTheme="minorEastAsia" w:eastAsiaTheme="minorEastAsia" w:cstheme="minorEastAsia"/>
          <w:color w:val="auto"/>
          <w:kern w:val="2"/>
          <w:sz w:val="36"/>
          <w:szCs w:val="36"/>
          <w:highlight w:val="none"/>
        </w:rPr>
        <w:t>公告</w:t>
      </w:r>
      <w:bookmarkEnd w:id="2"/>
    </w:p>
    <w:bookmarkEnd w:id="3"/>
    <w:bookmarkEnd w:id="4"/>
    <w:p w14:paraId="75E6D3E7">
      <w:pPr>
        <w:tabs>
          <w:tab w:val="left" w:pos="1980"/>
          <w:tab w:val="center" w:pos="5093"/>
          <w:tab w:val="left" w:pos="9315"/>
        </w:tabs>
        <w:spacing w:after="0" w:line="460" w:lineRule="exact"/>
        <w:ind w:firstLine="321" w:firstLineChars="100"/>
        <w:jc w:val="center"/>
        <w:rPr>
          <w:rFonts w:hint="eastAsia" w:asciiTheme="minorEastAsia" w:hAnsiTheme="minorEastAsia" w:eastAsiaTheme="minorEastAsia" w:cstheme="minorEastAsia"/>
          <w:b/>
          <w:bCs/>
          <w:color w:val="auto"/>
          <w:sz w:val="32"/>
          <w:szCs w:val="32"/>
          <w:highlight w:val="none"/>
          <w:lang w:eastAsia="zh-CN"/>
        </w:rPr>
      </w:pPr>
      <w:bookmarkStart w:id="7" w:name="_Toc525049630"/>
      <w:bookmarkStart w:id="8" w:name="_Toc525741688"/>
      <w:bookmarkStart w:id="9" w:name="_Toc525207115"/>
      <w:bookmarkStart w:id="10" w:name="_Toc487037688"/>
      <w:bookmarkStart w:id="11" w:name="_Toc519587933"/>
      <w:r>
        <w:rPr>
          <w:rFonts w:hint="eastAsia" w:asciiTheme="minorEastAsia" w:hAnsiTheme="minorEastAsia" w:eastAsiaTheme="minorEastAsia" w:cstheme="minorEastAsia"/>
          <w:b/>
          <w:bCs/>
          <w:color w:val="auto"/>
          <w:sz w:val="32"/>
          <w:szCs w:val="32"/>
          <w:highlight w:val="none"/>
          <w:lang w:eastAsia="zh-CN"/>
        </w:rPr>
        <w:t>龙陵县中医医院2026年保洁服务采购项目</w:t>
      </w:r>
    </w:p>
    <w:p w14:paraId="1A64EBE4">
      <w:pPr>
        <w:tabs>
          <w:tab w:val="left" w:pos="1980"/>
          <w:tab w:val="center" w:pos="5093"/>
          <w:tab w:val="left" w:pos="9315"/>
        </w:tabs>
        <w:spacing w:after="0" w:line="460" w:lineRule="exact"/>
        <w:ind w:firstLine="321" w:firstLineChars="100"/>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kern w:val="2"/>
          <w:sz w:val="32"/>
          <w:szCs w:val="32"/>
          <w:highlight w:val="none"/>
        </w:rPr>
        <w:t>竞争性磋商公告</w:t>
      </w:r>
    </w:p>
    <w:tbl>
      <w:tblPr>
        <w:tblStyle w:val="63"/>
        <w:tblW w:w="9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3"/>
      </w:tblGrid>
      <w:tr w14:paraId="1B11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4" w:hRule="atLeast"/>
          <w:jc w:val="center"/>
        </w:trPr>
        <w:tc>
          <w:tcPr>
            <w:tcW w:w="9573" w:type="dxa"/>
          </w:tcPr>
          <w:p w14:paraId="3D8B2530">
            <w:pPr>
              <w:spacing w:after="0" w:line="410" w:lineRule="exact"/>
              <w:rPr>
                <w:rFonts w:hint="eastAsia" w:asciiTheme="minorEastAsia" w:hAnsiTheme="minorEastAsia" w:eastAsiaTheme="minorEastAsia" w:cstheme="minorEastAsia"/>
                <w:color w:val="auto"/>
                <w:sz w:val="24"/>
                <w:szCs w:val="24"/>
                <w:highlight w:val="none"/>
              </w:rPr>
            </w:pPr>
            <w:bookmarkStart w:id="12" w:name="_Toc28359012"/>
            <w:bookmarkStart w:id="13" w:name="_Toc525741682"/>
            <w:bookmarkStart w:id="14" w:name="_Toc381002982"/>
            <w:bookmarkStart w:id="15" w:name="_Toc35393798"/>
            <w:bookmarkStart w:id="16" w:name="_Toc466305599"/>
            <w:bookmarkStart w:id="17" w:name="_Toc536534035"/>
            <w:bookmarkStart w:id="18" w:name="_Toc517963425"/>
            <w:bookmarkStart w:id="19" w:name="_Toc531610837"/>
            <w:bookmarkStart w:id="20" w:name="_Toc35393629"/>
            <w:bookmarkStart w:id="21" w:name="_Toc536534305"/>
            <w:bookmarkStart w:id="22" w:name="_Toc28359089"/>
            <w:bookmarkStart w:id="23" w:name="_Toc525207109"/>
            <w:r>
              <w:rPr>
                <w:rFonts w:hint="eastAsia" w:asciiTheme="minorEastAsia" w:hAnsiTheme="minorEastAsia" w:eastAsiaTheme="minorEastAsia" w:cstheme="minorEastAsia"/>
                <w:color w:val="auto"/>
                <w:sz w:val="24"/>
                <w:szCs w:val="24"/>
                <w:highlight w:val="none"/>
              </w:rPr>
              <w:t>项目概况</w:t>
            </w:r>
          </w:p>
          <w:p w14:paraId="5FF9AB69">
            <w:pPr>
              <w:spacing w:after="0" w:line="410" w:lineRule="exact"/>
              <w:ind w:firstLine="480" w:firstLineChars="200"/>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color w:val="auto"/>
                <w:sz w:val="24"/>
                <w:szCs w:val="24"/>
                <w:highlight w:val="none"/>
                <w:lang w:eastAsia="zh-CN"/>
              </w:rPr>
              <w:t>龙陵县中医医院2026年保洁服务采购项目</w:t>
            </w:r>
            <w:r>
              <w:rPr>
                <w:rFonts w:hint="eastAsia" w:asciiTheme="minorEastAsia" w:hAnsiTheme="minorEastAsia" w:eastAsiaTheme="minorEastAsia" w:cstheme="minorEastAsia"/>
                <w:color w:val="auto"/>
                <w:sz w:val="24"/>
                <w:szCs w:val="24"/>
                <w:highlight w:val="none"/>
              </w:rPr>
              <w:t>的潜在供应商应在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政府采购云平台”（https://www.zcygov.cn/)</w:t>
            </w:r>
            <w:r>
              <w:rPr>
                <w:rFonts w:hint="eastAsia" w:asciiTheme="minorEastAsia" w:hAnsiTheme="minorEastAsia" w:eastAsiaTheme="minorEastAsia" w:cstheme="minorEastAsia"/>
                <w:color w:val="auto"/>
                <w:sz w:val="24"/>
                <w:szCs w:val="24"/>
                <w:highlight w:val="none"/>
              </w:rPr>
              <w:t>获取采购文件，并于</w:t>
            </w:r>
            <w:r>
              <w:rPr>
                <w:rFonts w:hint="eastAsia" w:asciiTheme="minorEastAsia" w:hAnsiTheme="minorEastAsia" w:eastAsiaTheme="minorEastAsia" w:cstheme="minorEastAsia"/>
                <w:color w:val="auto"/>
                <w:sz w:val="24"/>
                <w:szCs w:val="24"/>
                <w:highlight w:val="none"/>
                <w:lang w:eastAsia="zh-CN"/>
              </w:rPr>
              <w:t>2026年6月5日09时00分</w:t>
            </w:r>
            <w:r>
              <w:rPr>
                <w:rFonts w:hint="eastAsia" w:asciiTheme="minorEastAsia" w:hAnsiTheme="minorEastAsia" w:eastAsiaTheme="minorEastAsia" w:cstheme="minorEastAsia"/>
                <w:color w:val="auto"/>
                <w:sz w:val="24"/>
                <w:szCs w:val="24"/>
                <w:highlight w:val="none"/>
              </w:rPr>
              <w:t>（北京时间）前递交响应文件。</w:t>
            </w:r>
          </w:p>
        </w:tc>
      </w:tr>
    </w:tbl>
    <w:p w14:paraId="16F863F5">
      <w:pPr>
        <w:widowControl w:val="0"/>
        <w:adjustRightInd/>
        <w:snapToGrid/>
        <w:spacing w:after="0" w:line="410" w:lineRule="exact"/>
        <w:ind w:left="-849" w:leftChars="-386" w:firstLine="723" w:firstLineChars="300"/>
        <w:jc w:val="both"/>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一、项目基本情况</w:t>
      </w:r>
      <w:bookmarkEnd w:id="12"/>
      <w:bookmarkEnd w:id="13"/>
      <w:bookmarkEnd w:id="14"/>
      <w:bookmarkEnd w:id="15"/>
      <w:bookmarkEnd w:id="16"/>
      <w:bookmarkEnd w:id="17"/>
      <w:bookmarkEnd w:id="18"/>
      <w:bookmarkEnd w:id="19"/>
      <w:bookmarkEnd w:id="20"/>
      <w:bookmarkEnd w:id="21"/>
      <w:bookmarkEnd w:id="22"/>
      <w:bookmarkEnd w:id="23"/>
    </w:p>
    <w:p w14:paraId="05B2294B">
      <w:pPr>
        <w:spacing w:after="0" w:line="41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1.项目编号：LLCG2026（JC）×02；</w:t>
      </w:r>
    </w:p>
    <w:p w14:paraId="555EC96B">
      <w:pPr>
        <w:spacing w:after="0" w:line="41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（政采云项目编号：BSZC2026-C3-00472-LLXZ-0008）</w:t>
      </w:r>
    </w:p>
    <w:p w14:paraId="1FDBC77B">
      <w:pPr>
        <w:spacing w:after="0" w:line="41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2.项目名称：</w:t>
      </w:r>
      <w:bookmarkStart w:id="24" w:name="OLE_LINK3"/>
      <w:r>
        <w:rPr>
          <w:rFonts w:hint="eastAsia" w:asciiTheme="minorEastAsia" w:hAnsiTheme="minorEastAsia" w:eastAsiaTheme="minorEastAsia" w:cstheme="minorEastAsia"/>
          <w:color w:val="auto"/>
          <w:sz w:val="24"/>
          <w:szCs w:val="24"/>
          <w:highlight w:val="none"/>
          <w:lang w:eastAsia="zh-CN"/>
        </w:rPr>
        <w:t>龙陵县中医医院2026年保洁服务采购项目</w:t>
      </w:r>
      <w:bookmarkEnd w:id="24"/>
      <w:r>
        <w:rPr>
          <w:rFonts w:hint="eastAsia" w:asciiTheme="minorEastAsia" w:hAnsiTheme="minorEastAsia" w:eastAsiaTheme="minorEastAsia" w:cstheme="minorEastAsia"/>
          <w:color w:val="auto"/>
          <w:sz w:val="24"/>
          <w:szCs w:val="24"/>
          <w:highlight w:val="none"/>
          <w:lang w:eastAsia="zh-CN"/>
        </w:rPr>
        <w:t>；</w:t>
      </w:r>
    </w:p>
    <w:p w14:paraId="141D68B3">
      <w:pPr>
        <w:spacing w:after="0" w:line="41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3.采购方式：□竞争性谈判 ■竞争性磋商 □询价</w:t>
      </w:r>
    </w:p>
    <w:p w14:paraId="29224CA1">
      <w:pPr>
        <w:spacing w:after="0" w:line="410" w:lineRule="exact"/>
        <w:ind w:firstLine="480" w:firstLineChars="20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4.预算金额：</w:t>
      </w:r>
      <w:r>
        <w:rPr>
          <w:rFonts w:hint="eastAsia" w:asciiTheme="minorEastAsia" w:hAnsiTheme="minorEastAsia" w:eastAsiaTheme="minorEastAsia" w:cstheme="minorEastAsia"/>
          <w:color w:val="auto"/>
          <w:sz w:val="24"/>
          <w:szCs w:val="24"/>
          <w:highlight w:val="none"/>
          <w:lang w:val="en-US" w:eastAsia="zh-CN"/>
        </w:rPr>
        <w:t>100.3392万元</w:t>
      </w:r>
    </w:p>
    <w:p w14:paraId="31A1DE01">
      <w:pPr>
        <w:spacing w:after="0" w:line="410" w:lineRule="exact"/>
        <w:ind w:firstLine="720" w:firstLineChars="3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最高限价：100.3392万元</w:t>
      </w:r>
    </w:p>
    <w:p w14:paraId="56FD2F37">
      <w:pPr>
        <w:pStyle w:val="5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exact"/>
        <w:ind w:right="-226"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5.采购需求：</w:t>
      </w:r>
    </w:p>
    <w:p w14:paraId="639BE661">
      <w:pPr>
        <w:pStyle w:val="5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exact"/>
        <w:ind w:right="-226"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5.1</w:t>
      </w:r>
      <w:r>
        <w:rPr>
          <w:rFonts w:hint="eastAsia" w:asciiTheme="minorEastAsia" w:hAnsiTheme="minorEastAsia" w:eastAsiaTheme="minorEastAsia" w:cstheme="minorEastAsia"/>
          <w:color w:val="auto"/>
          <w:sz w:val="24"/>
          <w:szCs w:val="24"/>
          <w:highlight w:val="none"/>
          <w:lang w:eastAsia="zh-CN"/>
        </w:rPr>
        <w:t>龙陵县中医医院2026年保洁服务采购项目</w:t>
      </w:r>
      <w:r>
        <w:rPr>
          <w:rFonts w:hint="eastAsia" w:ascii="宋体" w:hAnsi="宋体" w:eastAsia="宋体" w:cs="宋体"/>
          <w:kern w:val="2"/>
          <w:sz w:val="24"/>
          <w:szCs w:val="24"/>
          <w:lang w:val="en-US" w:eastAsia="zh-CN" w:bidi="ar-SA"/>
        </w:rPr>
        <w:t>，主要工作内容：保洁、洗浆等相关物业管理服务。（具体内容详见第五章采购需求）。</w:t>
      </w:r>
    </w:p>
    <w:p w14:paraId="74241B74">
      <w:pPr>
        <w:spacing w:after="0" w:line="410" w:lineRule="exact"/>
        <w:ind w:firstLine="480" w:firstLineChars="20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5.2人员配置要求：保洁20人，洗浆3人，管理1人，共计24人。</w:t>
      </w:r>
    </w:p>
    <w:p w14:paraId="162CF8D2">
      <w:pPr>
        <w:pStyle w:val="24"/>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5.3服务地点：</w:t>
      </w:r>
      <w:r>
        <w:rPr>
          <w:rFonts w:hint="eastAsia" w:asciiTheme="minorEastAsia" w:hAnsiTheme="minorEastAsia" w:eastAsiaTheme="minorEastAsia" w:cstheme="minorEastAsia"/>
          <w:color w:val="auto"/>
          <w:sz w:val="24"/>
          <w:szCs w:val="24"/>
          <w:highlight w:val="none"/>
          <w:lang w:eastAsia="zh-CN"/>
        </w:rPr>
        <w:t>龙陵县中医医院</w:t>
      </w:r>
      <w:r>
        <w:rPr>
          <w:rFonts w:hint="eastAsia" w:asciiTheme="minorEastAsia" w:hAnsiTheme="minorEastAsia" w:eastAsiaTheme="minorEastAsia" w:cstheme="minorEastAsia"/>
          <w:color w:val="auto"/>
          <w:sz w:val="24"/>
          <w:szCs w:val="24"/>
          <w:highlight w:val="none"/>
          <w:lang w:val="en-US" w:eastAsia="zh-CN" w:bidi="ar-SA"/>
        </w:rPr>
        <w:t>。</w:t>
      </w:r>
    </w:p>
    <w:p w14:paraId="4DD29898">
      <w:pPr>
        <w:spacing w:after="0" w:line="41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6.合同履行期限：</w:t>
      </w:r>
      <w:bookmarkStart w:id="271" w:name="_GoBack"/>
      <w:bookmarkEnd w:id="271"/>
      <w:r>
        <w:rPr>
          <w:rFonts w:hint="eastAsia" w:ascii="宋体" w:hAnsi="宋体" w:eastAsia="宋体" w:cs="宋体"/>
          <w:kern w:val="2"/>
          <w:sz w:val="24"/>
          <w:szCs w:val="24"/>
          <w:lang w:val="en-US" w:eastAsia="zh-CN" w:bidi="ar-SA"/>
        </w:rPr>
        <w:t>2026年6月22日--2027年6月21日</w:t>
      </w:r>
      <w:r>
        <w:rPr>
          <w:rFonts w:hint="eastAsia" w:asciiTheme="minorEastAsia" w:hAnsiTheme="minorEastAsia" w:eastAsiaTheme="minorEastAsia" w:cstheme="minorEastAsia"/>
          <w:color w:val="auto"/>
          <w:sz w:val="24"/>
          <w:szCs w:val="24"/>
          <w:highlight w:val="none"/>
          <w:lang w:eastAsia="zh-CN"/>
        </w:rPr>
        <w:t>。</w:t>
      </w:r>
    </w:p>
    <w:p w14:paraId="2554EFEE">
      <w:pPr>
        <w:spacing w:after="0" w:line="41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7.本项目（□是 ■否）接受联合体投标。</w:t>
      </w:r>
      <w:bookmarkStart w:id="25" w:name="_Toc35393630"/>
      <w:bookmarkStart w:id="26" w:name="_Toc35393799"/>
      <w:bookmarkStart w:id="27" w:name="_Toc28359090"/>
      <w:bookmarkStart w:id="28" w:name="_Toc28359013"/>
    </w:p>
    <w:p w14:paraId="13A01D6C">
      <w:pPr>
        <w:spacing w:after="0" w:line="410" w:lineRule="exact"/>
        <w:ind w:left="-849" w:leftChars="-386" w:firstLine="723" w:firstLineChars="300"/>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二、申请人的资格要求：</w:t>
      </w:r>
      <w:bookmarkEnd w:id="25"/>
      <w:bookmarkEnd w:id="26"/>
      <w:bookmarkEnd w:id="27"/>
      <w:bookmarkEnd w:id="28"/>
    </w:p>
    <w:p w14:paraId="12D12830">
      <w:pPr>
        <w:spacing w:after="0" w:line="41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1.满足《中华人民共和国政府采购法》第二十二条规定；</w:t>
      </w:r>
    </w:p>
    <w:p w14:paraId="0827469F">
      <w:pPr>
        <w:spacing w:after="0" w:line="410" w:lineRule="exact"/>
        <w:ind w:firstLine="480" w:firstLineChars="200"/>
        <w:rPr>
          <w:rFonts w:hint="eastAsia" w:ascii="宋体" w:hAnsi="宋体" w:eastAsia="Times New Roman" w:cs="Times New Roman"/>
          <w:b/>
          <w:bCs/>
          <w:color w:val="auto"/>
          <w:spacing w:val="0"/>
          <w:w w:val="100"/>
          <w:position w:val="0"/>
          <w:sz w:val="24"/>
          <w:szCs w:val="20"/>
          <w:u w:val="none"/>
          <w:shd w:val="clear" w:color="auto" w:fill="auto"/>
          <w:lang w:val="en-US" w:eastAsia="zh-CN" w:bidi="en-US"/>
        </w:rPr>
      </w:pPr>
      <w:r>
        <w:rPr>
          <w:rFonts w:hint="eastAsia" w:asciiTheme="minorEastAsia" w:hAnsiTheme="minorEastAsia" w:eastAsiaTheme="minorEastAsia" w:cstheme="minorEastAsia"/>
          <w:color w:val="auto"/>
          <w:sz w:val="24"/>
          <w:szCs w:val="24"/>
          <w:highlight w:val="none"/>
          <w:lang w:val="zh-CN" w:eastAsia="zh-CN"/>
        </w:rPr>
        <w:t>2.落实政府采购政策需满足的资格要求：</w:t>
      </w:r>
      <w:bookmarkStart w:id="29" w:name="_Toc35393800"/>
      <w:bookmarkStart w:id="30" w:name="_Toc35393631"/>
      <w:r>
        <w:rPr>
          <w:rFonts w:hint="eastAsia" w:ascii="宋体" w:hAnsi="宋体" w:eastAsia="宋体" w:cs="宋体"/>
          <w:b/>
          <w:bCs/>
          <w:color w:val="000000" w:themeColor="text1"/>
          <w:kern w:val="0"/>
          <w:szCs w:val="21"/>
          <w14:textFill>
            <w14:solidFill>
              <w14:schemeClr w14:val="tx1"/>
            </w14:solidFill>
          </w14:textFill>
        </w:rPr>
        <w:t>本项目属于专门面向中小企业（监狱企业、残疾人福利性单位视同小微企业）的政府采购项目，磋商申请人须按竞争性磋商文件规定格式提供中小企业声明函（监狱企业、残疾人福利性单位声明函）。</w:t>
      </w:r>
      <w:bookmarkStart w:id="31" w:name="OLE_LINK14"/>
      <w:r>
        <w:rPr>
          <w:rFonts w:hint="eastAsia" w:ascii="宋体" w:hAnsi="宋体" w:eastAsia="宋体" w:cs="宋体"/>
          <w:color w:val="000000" w:themeColor="text1"/>
          <w:szCs w:val="21"/>
          <w14:textFill>
            <w14:solidFill>
              <w14:schemeClr w14:val="tx1"/>
            </w14:solidFill>
          </w14:textFill>
        </w:rPr>
        <w:t>执行政策文件：《中华人民共和国中小企业促进法》《政府采购促进中小企业发展管理办法》（财库〔2020〕46号）、《财政部司法部关于政府采购支持监狱企业发展有关问题的通知》（财库〔2014〕68号）、《财政部民政部中国残疾人联合会关于促进残疾人就业政府采购政策的通知》（财库〔2017〕141号）。</w:t>
      </w:r>
    </w:p>
    <w:bookmarkEnd w:id="31"/>
    <w:p w14:paraId="799A7D9E">
      <w:pPr>
        <w:spacing w:after="0" w:line="41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473CA110">
      <w:pPr>
        <w:spacing w:after="0" w:line="41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磋商申请人在采购公告发出日期之前未被列入“信用中国”网站“失信惩戒对象”“失信被执行人”“重大税收违法案件当事人”“政府采购不良行为记录”，未被列入中国政府采购网“政府采购严重违法失信行为信息记录名单”，由采购人及采购代理机构将按照以上条款对参与各磋商申请人的信用信息进行查询，有不良记录的其磋商申请将被拒绝。</w:t>
      </w:r>
    </w:p>
    <w:p w14:paraId="3305DC59">
      <w:pPr>
        <w:spacing w:after="0" w:line="41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3.2单位负责人为同一人或者存在直接控股、管理关系的不同磋商申请人，不得参加同一合同项下的政府采购活动。</w:t>
      </w:r>
    </w:p>
    <w:p w14:paraId="7EBC8588">
      <w:pPr>
        <w:spacing w:after="0" w:line="410" w:lineRule="exact"/>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三、获取采购文件</w:t>
      </w:r>
      <w:bookmarkEnd w:id="29"/>
      <w:bookmarkEnd w:id="30"/>
    </w:p>
    <w:p w14:paraId="0949D7CD">
      <w:pPr>
        <w:spacing w:after="0" w:line="41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bookmarkStart w:id="32" w:name="_Toc28359092"/>
      <w:bookmarkStart w:id="33" w:name="_Toc28359015"/>
      <w:bookmarkStart w:id="34" w:name="_Toc35393801"/>
      <w:bookmarkStart w:id="35" w:name="_Toc35393632"/>
      <w:r>
        <w:rPr>
          <w:rFonts w:hint="eastAsia" w:asciiTheme="minorEastAsia" w:hAnsiTheme="minorEastAsia" w:eastAsiaTheme="minorEastAsia" w:cstheme="minorEastAsia"/>
          <w:color w:val="auto"/>
          <w:sz w:val="24"/>
          <w:szCs w:val="24"/>
          <w:highlight w:val="none"/>
          <w:lang w:val="en-US" w:eastAsia="zh-CN"/>
        </w:rPr>
        <w:t>1.时间：2026年5月21日至2026年5月27日</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磋商文件的发售期限自开始之日起不得少于5个工作日</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w:t>
      </w:r>
    </w:p>
    <w:p w14:paraId="4853E566">
      <w:pPr>
        <w:spacing w:after="0" w:line="41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2.地点：政府采购云平台（网址：https://www.zcygov.cn/)。</w:t>
      </w:r>
    </w:p>
    <w:p w14:paraId="52736ABB">
      <w:pPr>
        <w:keepNext w:val="0"/>
        <w:keepLines w:val="0"/>
        <w:pageBreakBefore w:val="0"/>
        <w:widowControl/>
        <w:shd w:val="clear" w:color="auto" w:fill="auto"/>
        <w:kinsoku/>
        <w:wordWrap/>
        <w:overflowPunct/>
        <w:topLinePunct w:val="0"/>
        <w:autoSpaceDE/>
        <w:autoSpaceDN/>
        <w:bidi w:val="0"/>
        <w:adjustRightInd/>
        <w:snapToGrid/>
        <w:spacing w:after="0" w:line="560" w:lineRule="exact"/>
        <w:ind w:firstLine="484" w:firstLineChars="202"/>
        <w:textAlignment w:val="auto"/>
        <w:rPr>
          <w:rFonts w:hint="eastAsia" w:ascii="宋体" w:hAnsi="宋体" w:eastAsia="宋体" w:cs="宋体"/>
          <w:color w:val="auto"/>
          <w:spacing w:val="0"/>
          <w:w w:val="100"/>
          <w:position w:val="0"/>
          <w:sz w:val="24"/>
          <w:szCs w:val="24"/>
          <w:u w:val="none"/>
          <w:shd w:val="clear" w:color="auto" w:fill="auto"/>
          <w:lang w:val="en-US" w:eastAsia="zh-CN" w:bidi="zh-TW"/>
        </w:rPr>
      </w:pPr>
      <w:r>
        <w:rPr>
          <w:rFonts w:hint="eastAsia" w:ascii="宋体" w:hAnsi="宋体" w:eastAsia="宋体" w:cs="宋体"/>
          <w:color w:val="auto"/>
          <w:spacing w:val="0"/>
          <w:w w:val="100"/>
          <w:position w:val="0"/>
          <w:sz w:val="24"/>
          <w:szCs w:val="24"/>
          <w:u w:val="none"/>
          <w:shd w:val="clear" w:color="auto" w:fill="auto"/>
          <w:lang w:val="en-US" w:eastAsia="zh-CN" w:bidi="zh-TW"/>
        </w:rPr>
        <w:t>3.方式：供应商请于本公告规定磋商文件获取时间内登录政府采购云平台（www.zcygov.cn），凭借单位数字证书（CA）在网上报名并获取电子竞争性磋商文件及其他相关资料（如有）。</w:t>
      </w:r>
    </w:p>
    <w:p w14:paraId="00C200D4">
      <w:pPr>
        <w:spacing w:after="0" w:line="410" w:lineRule="exact"/>
        <w:ind w:firstLine="480" w:firstLineChars="200"/>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eastAsia="宋体" w:cs="宋体"/>
          <w:color w:val="auto"/>
          <w:spacing w:val="0"/>
          <w:w w:val="100"/>
          <w:position w:val="0"/>
          <w:sz w:val="24"/>
          <w:szCs w:val="24"/>
          <w:u w:val="none"/>
          <w:shd w:val="clear" w:color="auto" w:fill="auto"/>
          <w:lang w:val="en-US" w:eastAsia="zh-CN" w:bidi="zh-TW"/>
        </w:rPr>
        <w:t>4.售价：免费。</w:t>
      </w:r>
    </w:p>
    <w:p w14:paraId="6E49411E">
      <w:pPr>
        <w:widowControl w:val="0"/>
        <w:adjustRightInd/>
        <w:snapToGrid/>
        <w:spacing w:after="0" w:line="410" w:lineRule="exact"/>
        <w:jc w:val="both"/>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四、响应文件提交</w:t>
      </w:r>
      <w:bookmarkEnd w:id="32"/>
      <w:bookmarkEnd w:id="33"/>
      <w:bookmarkEnd w:id="34"/>
      <w:bookmarkEnd w:id="35"/>
    </w:p>
    <w:p w14:paraId="609660D6">
      <w:pPr>
        <w:spacing w:after="0" w:line="41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1.截止时间：</w:t>
      </w:r>
      <w:r>
        <w:rPr>
          <w:rFonts w:hint="eastAsia" w:asciiTheme="minorEastAsia" w:hAnsiTheme="minorEastAsia" w:eastAsiaTheme="minorEastAsia" w:cstheme="minorEastAsia"/>
          <w:color w:val="auto"/>
          <w:sz w:val="24"/>
          <w:szCs w:val="24"/>
          <w:highlight w:val="none"/>
          <w:lang w:eastAsia="zh-CN"/>
        </w:rPr>
        <w:t>2026年6月5日09时00分</w:t>
      </w:r>
      <w:r>
        <w:rPr>
          <w:rFonts w:hint="eastAsia" w:asciiTheme="minorEastAsia" w:hAnsiTheme="minorEastAsia" w:eastAsiaTheme="minorEastAsia" w:cstheme="minorEastAsia"/>
          <w:color w:val="auto"/>
          <w:sz w:val="24"/>
          <w:szCs w:val="24"/>
          <w:highlight w:val="none"/>
        </w:rPr>
        <w:t>（北京时间）；</w:t>
      </w:r>
    </w:p>
    <w:p w14:paraId="0FBED597">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rPr>
      </w:pPr>
      <w:r>
        <w:rPr>
          <w:rFonts w:hint="eastAsia" w:asciiTheme="minorEastAsia" w:hAnsiTheme="minorEastAsia" w:eastAsiaTheme="minorEastAsia" w:cstheme="minorEastAsia"/>
          <w:color w:val="auto"/>
          <w:sz w:val="24"/>
          <w:szCs w:val="24"/>
          <w:highlight w:val="none"/>
          <w:rtl w:val="0"/>
          <w:lang w:val="en-US" w:eastAsia="zh-CN"/>
        </w:rPr>
        <w:t>2.</w:t>
      </w:r>
      <w:r>
        <w:rPr>
          <w:rFonts w:hint="eastAsia" w:asciiTheme="minorEastAsia" w:hAnsiTheme="minorEastAsia" w:eastAsiaTheme="minorEastAsia" w:cstheme="minorEastAsia"/>
          <w:color w:val="auto"/>
          <w:sz w:val="24"/>
          <w:szCs w:val="24"/>
          <w:highlight w:val="none"/>
          <w:rtl w:val="0"/>
        </w:rPr>
        <w:t>地点：</w:t>
      </w:r>
      <w:r>
        <w:rPr>
          <w:rFonts w:hint="eastAsia" w:asciiTheme="minorEastAsia" w:hAnsiTheme="minorEastAsia" w:eastAsiaTheme="minorEastAsia" w:cstheme="minorEastAsia"/>
          <w:color w:val="auto"/>
          <w:sz w:val="24"/>
          <w:szCs w:val="24"/>
          <w:highlight w:val="none"/>
          <w:lang w:val="en-US" w:eastAsia="zh-CN"/>
        </w:rPr>
        <w:t>政府采购云平台（网址：https://www.zcygov.cn/)。</w:t>
      </w:r>
    </w:p>
    <w:p w14:paraId="20F28A49">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rPr>
      </w:pPr>
      <w:r>
        <w:rPr>
          <w:rFonts w:hint="eastAsia" w:asciiTheme="minorEastAsia" w:hAnsiTheme="minorEastAsia" w:eastAsiaTheme="minorEastAsia" w:cstheme="minorEastAsia"/>
          <w:color w:val="auto"/>
          <w:sz w:val="24"/>
          <w:szCs w:val="24"/>
          <w:highlight w:val="none"/>
          <w:rtl w:val="0"/>
          <w:lang w:val="en-US" w:eastAsia="zh-CN"/>
        </w:rPr>
        <w:t>注：</w:t>
      </w:r>
      <w:r>
        <w:rPr>
          <w:rFonts w:hint="eastAsia" w:asciiTheme="minorEastAsia" w:hAnsiTheme="minorEastAsia" w:eastAsiaTheme="minorEastAsia" w:cstheme="minorEastAsia"/>
          <w:color w:val="auto"/>
          <w:sz w:val="24"/>
          <w:szCs w:val="24"/>
          <w:highlight w:val="none"/>
          <w:lang w:val="en-US" w:eastAsia="zh-CN"/>
        </w:rPr>
        <w:fldChar w:fldCharType="begin"/>
      </w:r>
      <w:r>
        <w:rPr>
          <w:rFonts w:hint="eastAsia" w:asciiTheme="minorEastAsia" w:hAnsiTheme="minorEastAsia" w:eastAsiaTheme="minorEastAsia" w:cstheme="minorEastAsia"/>
          <w:color w:val="auto"/>
          <w:sz w:val="24"/>
          <w:szCs w:val="24"/>
          <w:highlight w:val="none"/>
          <w:lang w:val="en-US" w:eastAsia="zh-CN"/>
        </w:rPr>
        <w:instrText xml:space="preserve"> = 1 \* GB3 \* MERGEFORMAT </w:instrText>
      </w:r>
      <w:r>
        <w:rPr>
          <w:rFonts w:hint="eastAsia" w:asciiTheme="minorEastAsia" w:hAnsiTheme="minorEastAsia" w:eastAsiaTheme="minorEastAsia" w:cstheme="minorEastAsia"/>
          <w:color w:val="auto"/>
          <w:sz w:val="24"/>
          <w:szCs w:val="24"/>
          <w:highlight w:val="none"/>
          <w:lang w:val="en-US" w:eastAsia="zh-CN"/>
        </w:rPr>
        <w:fldChar w:fldCharType="separate"/>
      </w:r>
      <w:r>
        <w:t>①</w:t>
      </w:r>
      <w:r>
        <w:rPr>
          <w:rFonts w:hint="eastAsia" w:asciiTheme="minorEastAsia" w:hAnsiTheme="minorEastAsia" w:eastAsiaTheme="minorEastAsia" w:cstheme="minorEastAsia"/>
          <w:color w:val="auto"/>
          <w:sz w:val="24"/>
          <w:szCs w:val="24"/>
          <w:highlight w:val="none"/>
          <w:lang w:val="en-US" w:eastAsia="zh-CN"/>
        </w:rPr>
        <w:fldChar w:fldCharType="end"/>
      </w:r>
      <w:r>
        <w:rPr>
          <w:rFonts w:hint="eastAsia" w:asciiTheme="minorEastAsia" w:hAnsiTheme="minorEastAsia" w:eastAsiaTheme="minorEastAsia" w:cstheme="minorEastAsia"/>
          <w:color w:val="auto"/>
          <w:sz w:val="24"/>
          <w:szCs w:val="24"/>
          <w:highlight w:val="none"/>
          <w:rtl w:val="0"/>
          <w:lang w:val="en-US" w:eastAsia="zh-CN"/>
        </w:rPr>
        <w:t>供应商</w:t>
      </w:r>
      <w:r>
        <w:rPr>
          <w:rFonts w:hint="eastAsia" w:asciiTheme="minorEastAsia" w:hAnsiTheme="minorEastAsia" w:eastAsiaTheme="minorEastAsia" w:cstheme="minorEastAsia"/>
          <w:color w:val="auto"/>
          <w:sz w:val="24"/>
          <w:szCs w:val="24"/>
          <w:highlight w:val="none"/>
          <w:rtl w:val="0"/>
        </w:rPr>
        <w:t>应按照本项目</w:t>
      </w:r>
      <w:r>
        <w:rPr>
          <w:rFonts w:hint="eastAsia" w:asciiTheme="minorEastAsia" w:hAnsiTheme="minorEastAsia" w:eastAsiaTheme="minorEastAsia" w:cstheme="minorEastAsia"/>
          <w:color w:val="auto"/>
          <w:sz w:val="24"/>
          <w:szCs w:val="24"/>
          <w:highlight w:val="none"/>
          <w:rtl w:val="0"/>
          <w:lang w:val="en-US" w:eastAsia="zh-CN"/>
        </w:rPr>
        <w:t>采购</w:t>
      </w:r>
      <w:r>
        <w:rPr>
          <w:rFonts w:hint="eastAsia" w:asciiTheme="minorEastAsia" w:hAnsiTheme="minorEastAsia" w:eastAsiaTheme="minorEastAsia" w:cstheme="minorEastAsia"/>
          <w:color w:val="auto"/>
          <w:sz w:val="24"/>
          <w:szCs w:val="24"/>
          <w:highlight w:val="none"/>
          <w:rtl w:val="0"/>
        </w:rPr>
        <w:t>文件和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政府采购云平台”</w:t>
      </w:r>
      <w:r>
        <w:rPr>
          <w:rFonts w:hint="eastAsia" w:asciiTheme="minorEastAsia" w:hAnsiTheme="minorEastAsia" w:eastAsiaTheme="minorEastAsia" w:cstheme="minorEastAsia"/>
          <w:color w:val="auto"/>
          <w:sz w:val="24"/>
          <w:szCs w:val="24"/>
          <w:highlight w:val="none"/>
          <w:rtl w:val="0"/>
        </w:rPr>
        <w:t>的要求编制、加密</w:t>
      </w:r>
      <w:r>
        <w:rPr>
          <w:rFonts w:hint="eastAsia" w:asciiTheme="minorEastAsia" w:hAnsiTheme="minorEastAsia" w:eastAsiaTheme="minorEastAsia" w:cstheme="minorEastAsia"/>
          <w:color w:val="auto"/>
          <w:sz w:val="24"/>
          <w:szCs w:val="24"/>
          <w:highlight w:val="none"/>
          <w:rtl w:val="0"/>
          <w:lang w:val="en-US" w:eastAsia="zh-CN"/>
        </w:rPr>
        <w:t>响应文件，并</w:t>
      </w:r>
      <w:r>
        <w:rPr>
          <w:rFonts w:hint="eastAsia" w:asciiTheme="minorEastAsia" w:hAnsiTheme="minorEastAsia" w:eastAsiaTheme="minorEastAsia" w:cstheme="minorEastAsia"/>
          <w:color w:val="auto"/>
          <w:sz w:val="24"/>
          <w:szCs w:val="24"/>
          <w:highlight w:val="none"/>
          <w:rtl w:val="0"/>
        </w:rPr>
        <w:t>在响应文件提交截止时间前上传至</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政府采购云平台”</w:t>
      </w:r>
      <w:r>
        <w:rPr>
          <w:rFonts w:hint="eastAsia" w:asciiTheme="minorEastAsia" w:hAnsiTheme="minorEastAsia" w:eastAsiaTheme="minorEastAsia" w:cstheme="minorEastAsia"/>
          <w:color w:val="auto"/>
          <w:sz w:val="24"/>
          <w:szCs w:val="24"/>
          <w:highlight w:val="none"/>
          <w:rtl w:val="0"/>
        </w:rPr>
        <w:t>，响应文件提交截止时间前未完成响应文件上传的，视为撤回响应文件。</w:t>
      </w:r>
    </w:p>
    <w:p w14:paraId="09E13234">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lang w:val="en-US" w:eastAsia="zh-CN"/>
        </w:rPr>
        <w:fldChar w:fldCharType="begin"/>
      </w:r>
      <w:r>
        <w:rPr>
          <w:rFonts w:hint="eastAsia" w:asciiTheme="minorEastAsia" w:hAnsiTheme="minorEastAsia" w:eastAsiaTheme="minorEastAsia" w:cstheme="minorEastAsia"/>
          <w:color w:val="auto"/>
          <w:sz w:val="24"/>
          <w:szCs w:val="24"/>
          <w:highlight w:val="none"/>
          <w:lang w:val="en-US" w:eastAsia="zh-CN"/>
        </w:rPr>
        <w:instrText xml:space="preserve"> = 2 \* GB3 \* MERGEFORMAT </w:instrText>
      </w:r>
      <w:r>
        <w:rPr>
          <w:rFonts w:hint="eastAsia" w:asciiTheme="minorEastAsia" w:hAnsiTheme="minorEastAsia" w:eastAsiaTheme="minorEastAsia" w:cstheme="minorEastAsia"/>
          <w:color w:val="auto"/>
          <w:sz w:val="24"/>
          <w:szCs w:val="24"/>
          <w:highlight w:val="none"/>
          <w:lang w:val="en-US" w:eastAsia="zh-CN"/>
        </w:rPr>
        <w:fldChar w:fldCharType="separate"/>
      </w:r>
      <w:r>
        <w:t>②</w:t>
      </w:r>
      <w:r>
        <w:rPr>
          <w:rFonts w:hint="eastAsia" w:asciiTheme="minorEastAsia" w:hAnsiTheme="minorEastAsia" w:eastAsiaTheme="minorEastAsia" w:cstheme="minorEastAsia"/>
          <w:color w:val="auto"/>
          <w:sz w:val="24"/>
          <w:szCs w:val="24"/>
          <w:highlight w:val="none"/>
          <w:lang w:val="en-US" w:eastAsia="zh-CN"/>
        </w:rPr>
        <w:fldChar w:fldCharType="end"/>
      </w:r>
      <w:r>
        <w:rPr>
          <w:rFonts w:hint="eastAsia" w:asciiTheme="minorEastAsia" w:hAnsiTheme="minorEastAsia" w:eastAsiaTheme="minorEastAsia" w:cstheme="minorEastAsia"/>
          <w:color w:val="auto"/>
          <w:sz w:val="24"/>
          <w:szCs w:val="24"/>
          <w:highlight w:val="none"/>
          <w:rtl w:val="0"/>
          <w:lang w:val="en-US" w:eastAsia="zh-CN"/>
        </w:rPr>
        <w:t>项目采用在政府采购云平台（www.zcygov.cn）上进行采购与递交响应文件，无需现场递交纸质文件，但供应商应在文件递交截止时间登录系统，并在系统上等待通知磋商和最后报价。</w:t>
      </w:r>
    </w:p>
    <w:p w14:paraId="08275B2A">
      <w:pPr>
        <w:widowControl w:val="0"/>
        <w:adjustRightInd/>
        <w:snapToGrid/>
        <w:spacing w:after="0" w:line="410" w:lineRule="exact"/>
        <w:jc w:val="both"/>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五、开启</w:t>
      </w:r>
    </w:p>
    <w:p w14:paraId="0FD3FA6A">
      <w:pPr>
        <w:spacing w:after="0" w:line="41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1.时间：</w:t>
      </w:r>
      <w:r>
        <w:rPr>
          <w:rFonts w:hint="eastAsia" w:asciiTheme="minorEastAsia" w:hAnsiTheme="minorEastAsia" w:eastAsiaTheme="minorEastAsia" w:cstheme="minorEastAsia"/>
          <w:color w:val="auto"/>
          <w:sz w:val="24"/>
          <w:szCs w:val="24"/>
          <w:highlight w:val="none"/>
          <w:lang w:eastAsia="zh-CN"/>
        </w:rPr>
        <w:t>2026年6月5日09时00分</w:t>
      </w:r>
      <w:r>
        <w:rPr>
          <w:rFonts w:hint="eastAsia" w:asciiTheme="minorEastAsia" w:hAnsiTheme="minorEastAsia" w:eastAsiaTheme="minorEastAsia" w:cstheme="minorEastAsia"/>
          <w:color w:val="auto"/>
          <w:sz w:val="24"/>
          <w:szCs w:val="24"/>
          <w:highlight w:val="none"/>
        </w:rPr>
        <w:t>（北京时间）；</w:t>
      </w:r>
    </w:p>
    <w:p w14:paraId="409A3728">
      <w:pPr>
        <w:spacing w:after="0" w:line="41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2.地点：</w:t>
      </w:r>
      <w:r>
        <w:rPr>
          <w:rFonts w:hint="eastAsia" w:asciiTheme="minorEastAsia" w:hAnsiTheme="minorEastAsia" w:eastAsiaTheme="minorEastAsia" w:cstheme="minorEastAsia"/>
          <w:color w:val="auto"/>
          <w:sz w:val="24"/>
          <w:szCs w:val="24"/>
          <w:highlight w:val="none"/>
          <w:lang w:eastAsia="zh-CN"/>
        </w:rPr>
        <w:t>龙陵县政府采购和出让中心开评标室（龙陵县龙山镇金溪路1号）</w:t>
      </w:r>
      <w:r>
        <w:rPr>
          <w:rFonts w:hint="eastAsia" w:asciiTheme="minorEastAsia" w:hAnsiTheme="minorEastAsia" w:eastAsiaTheme="minorEastAsia" w:cstheme="minorEastAsia"/>
          <w:color w:val="auto"/>
          <w:sz w:val="24"/>
          <w:szCs w:val="24"/>
          <w:highlight w:val="none"/>
        </w:rPr>
        <w:t>。</w:t>
      </w:r>
    </w:p>
    <w:p w14:paraId="0AA7B71B">
      <w:pPr>
        <w:spacing w:after="0" w:line="41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zh-CN" w:eastAsia="zh-CN"/>
        </w:rPr>
        <w:t>方式：远程解密。（本项目采用在政府采购云平台（www.zcygov.cn）上进行采购与提交响应文件，供应商无须抵达开标现场，磋商供应商在响应文件开启前登录政府采购云平台（www.zcygov.cn）根据开标系统的提示操作远程解密投标文件，解密时间为</w:t>
      </w:r>
      <w:r>
        <w:rPr>
          <w:rFonts w:hint="eastAsia" w:asciiTheme="minorEastAsia" w:hAnsiTheme="minorEastAsia" w:eastAsiaTheme="minorEastAsia" w:cstheme="minorEastAsia"/>
          <w:color w:val="auto"/>
          <w:sz w:val="24"/>
          <w:szCs w:val="24"/>
          <w:highlight w:val="none"/>
          <w:lang w:val="en-US" w:eastAsia="zh-CN"/>
        </w:rPr>
        <w:t>30分钟</w:t>
      </w:r>
      <w:r>
        <w:rPr>
          <w:rFonts w:hint="eastAsia" w:asciiTheme="minorEastAsia" w:hAnsiTheme="minorEastAsia" w:eastAsiaTheme="minorEastAsia" w:cstheme="minorEastAsia"/>
          <w:color w:val="auto"/>
          <w:sz w:val="24"/>
          <w:szCs w:val="24"/>
          <w:highlight w:val="none"/>
          <w:lang w:val="zh-CN" w:eastAsia="zh-CN"/>
        </w:rPr>
        <w:t>）。</w:t>
      </w:r>
    </w:p>
    <w:p w14:paraId="06380DF2">
      <w:pPr>
        <w:widowControl w:val="0"/>
        <w:adjustRightInd/>
        <w:snapToGrid/>
        <w:spacing w:after="0" w:line="410" w:lineRule="exact"/>
        <w:jc w:val="both"/>
        <w:rPr>
          <w:rFonts w:hint="eastAsia" w:asciiTheme="minorEastAsia" w:hAnsiTheme="minorEastAsia" w:eastAsiaTheme="minorEastAsia" w:cstheme="minorEastAsia"/>
          <w:b/>
          <w:bCs/>
          <w:color w:val="auto"/>
          <w:kern w:val="2"/>
          <w:sz w:val="24"/>
          <w:szCs w:val="24"/>
          <w:highlight w:val="none"/>
        </w:rPr>
      </w:pPr>
      <w:bookmarkStart w:id="36" w:name="_Toc28359017"/>
      <w:bookmarkStart w:id="37" w:name="_Toc28359094"/>
      <w:bookmarkStart w:id="38" w:name="_Toc35393634"/>
      <w:bookmarkStart w:id="39" w:name="_Toc35393803"/>
      <w:r>
        <w:rPr>
          <w:rFonts w:hint="eastAsia" w:asciiTheme="minorEastAsia" w:hAnsiTheme="minorEastAsia" w:eastAsiaTheme="minorEastAsia" w:cstheme="minorEastAsia"/>
          <w:b/>
          <w:bCs/>
          <w:color w:val="auto"/>
          <w:kern w:val="2"/>
          <w:sz w:val="24"/>
          <w:szCs w:val="24"/>
          <w:highlight w:val="none"/>
        </w:rPr>
        <w:t>六、公告期限</w:t>
      </w:r>
      <w:bookmarkEnd w:id="36"/>
      <w:bookmarkEnd w:id="37"/>
      <w:bookmarkEnd w:id="38"/>
      <w:bookmarkEnd w:id="39"/>
    </w:p>
    <w:p w14:paraId="645B61DC">
      <w:pPr>
        <w:spacing w:after="0" w:line="41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自本公告发布之日起5个工作日。</w:t>
      </w:r>
      <w:bookmarkStart w:id="40" w:name="_Toc35393804"/>
      <w:bookmarkStart w:id="41" w:name="_Toc35393635"/>
    </w:p>
    <w:p w14:paraId="682EC0FA">
      <w:pPr>
        <w:widowControl w:val="0"/>
        <w:adjustRightInd/>
        <w:snapToGrid/>
        <w:spacing w:after="0" w:line="410" w:lineRule="exact"/>
        <w:jc w:val="both"/>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七、其他补充事宜</w:t>
      </w:r>
      <w:bookmarkEnd w:id="40"/>
      <w:bookmarkEnd w:id="41"/>
    </w:p>
    <w:p w14:paraId="4BFAE51E">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bookmarkStart w:id="42" w:name="OLE_LINK1"/>
      <w:r>
        <w:rPr>
          <w:rFonts w:hint="eastAsia" w:asciiTheme="minorEastAsia" w:hAnsiTheme="minorEastAsia" w:eastAsiaTheme="minorEastAsia" w:cstheme="minorEastAsia"/>
          <w:color w:val="auto"/>
          <w:sz w:val="24"/>
          <w:szCs w:val="24"/>
          <w:highlight w:val="none"/>
          <w:rtl w:val="0"/>
          <w:lang w:val="en-US" w:eastAsia="zh-CN"/>
        </w:rPr>
        <w:t>1.公告发布媒体</w:t>
      </w:r>
    </w:p>
    <w:p w14:paraId="411DFB4E">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1.1本项目招标公告发布媒体：云南省政府采购网（网址：www.yngp.com）。</w:t>
      </w:r>
    </w:p>
    <w:p w14:paraId="2EE65F1D">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1.2供应商在参加投标之前务必认真阅读磋商公告全部内容；磋商公告或采购文件如有变更，将在以上网站或以书面形式发布。</w:t>
      </w:r>
    </w:p>
    <w:p w14:paraId="683DA9E4">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2.采购意向公开情况：根据《财政部关于开展政府采购意向公开工作的通知》（财库〔2020〕10号）等有关规定，2026年4月13日意向公开信息在云南省政府采购网发布，采购意向公开信息网址为“http://www.yngp.com/viewPurchaseInfo.html?sys_purchaseintention_id=53205a1e.19d84bd3883.-7cfd”。</w:t>
      </w:r>
    </w:p>
    <w:p w14:paraId="6B3A4BDE">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3.本次采购采用在政府采购云平台（www.zcygov.cn）上进行采购与递交响应文件，采购过程具体操作流程请各磋商申请人在政府采购云平台（https://www. zcygov.cn/）的网站操作指南中下载《供应商操作指南》查看操作或在该网站中采购学院中观看《政府采购电子交易供应商线上培训》相关视频。磋商申请人制作响应文件前，需先下载政采云电子投标客户端并进行安装，下载安装完成之后，可通过账号密码或CA登录客户端制作响应文件（客户端下载网址： https://customer.zcygov.cn/CA-driver-download ）。政府采购云平台客服热线：95763。</w:t>
      </w:r>
    </w:p>
    <w:p w14:paraId="38D1E06A">
      <w:pPr>
        <w:spacing w:after="0" w:line="410" w:lineRule="exact"/>
        <w:ind w:firstLine="480" w:firstLineChars="200"/>
        <w:rPr>
          <w:rFonts w:hint="default"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4.本次采购采用在政府采购云平台（www.zcygov.cn）开展电子化政府采购活动，磋商申请人参与本项目需要使用CA（数字证书），支持云南CA、云南壹证通CA、汇信CA、福建CA。申请相关说明如下：</w:t>
      </w:r>
    </w:p>
    <w:p w14:paraId="36E6BE7C">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 xml:space="preserve">（1）云南CA申领链接https://cap.yunnanca.net/，请投标人自行注册办理，云南CA客服热线400-6727-666。 </w:t>
      </w:r>
    </w:p>
    <w:p w14:paraId="43739BFD">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（2）云南壹证通CA申领链接：http://yzt.ynsmartcert.cn/cms/yztyzt0011.html（无需注册，输入验证码即可登录办理）。云南壹证通7*24小时客户服务热线400-004-0628（紧急办理可拨：19987563037）。</w:t>
      </w:r>
    </w:p>
    <w:p w14:paraId="44A68CA7">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（3）汇信CA服务热线：0571-88350735。</w:t>
      </w:r>
    </w:p>
    <w:p w14:paraId="392539CD">
      <w:pPr>
        <w:spacing w:after="0" w:line="410" w:lineRule="exact"/>
        <w:ind w:firstLine="480" w:firstLineChars="200"/>
        <w:rPr>
          <w:rFonts w:hint="default"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（4）福建CA服务热线：0591-87760022。</w:t>
      </w:r>
    </w:p>
    <w:p w14:paraId="6C2897CD">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如果磋商申请人已办理任一CA机构的数字证书（CA）且证书处于有效期内，均可直接在政府采购云平台绑定即可，无需重复办理。</w:t>
      </w:r>
    </w:p>
    <w:p w14:paraId="19D224A8">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5.本项目不收取招标服务代理费用。</w:t>
      </w:r>
    </w:p>
    <w:p w14:paraId="553ABBA7">
      <w:pPr>
        <w:spacing w:after="0" w:line="410" w:lineRule="exact"/>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rtl w:val="0"/>
          <w:lang w:val="en-US" w:eastAsia="zh-CN"/>
        </w:rPr>
        <w:t>6.监督电话：龙陵县财政局0875-3126792</w:t>
      </w:r>
    </w:p>
    <w:bookmarkEnd w:id="42"/>
    <w:p w14:paraId="6B3DECDC">
      <w:pPr>
        <w:widowControl w:val="0"/>
        <w:adjustRightInd/>
        <w:snapToGrid/>
        <w:spacing w:after="0" w:line="410" w:lineRule="exact"/>
        <w:jc w:val="both"/>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八、凡对本次采购提出询问，请按以下方式联系</w:t>
      </w:r>
    </w:p>
    <w:p w14:paraId="5AE784CC">
      <w:pPr>
        <w:spacing w:after="0" w:line="41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采购人信息</w:t>
      </w:r>
    </w:p>
    <w:p w14:paraId="45207430">
      <w:pPr>
        <w:spacing w:after="0" w:line="41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名    称：龙陵县中医医院</w:t>
      </w:r>
    </w:p>
    <w:p w14:paraId="49818C6B">
      <w:pPr>
        <w:spacing w:after="0" w:line="41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    址：</w:t>
      </w:r>
      <w:bookmarkStart w:id="43" w:name="OLE_LINK8"/>
      <w:bookmarkStart w:id="44" w:name="OLE_LINK11"/>
      <w:r>
        <w:rPr>
          <w:rFonts w:hint="eastAsia" w:eastAsia="宋体" w:cs="宋体"/>
          <w:kern w:val="2"/>
          <w:sz w:val="24"/>
          <w:szCs w:val="24"/>
          <w:lang w:val="en-US" w:eastAsia="zh-CN" w:bidi="ar-SA"/>
        </w:rPr>
        <w:t>龙陵县城龙玉大道中段</w:t>
      </w:r>
      <w:bookmarkEnd w:id="43"/>
    </w:p>
    <w:bookmarkEnd w:id="44"/>
    <w:p w14:paraId="6BB663D5">
      <w:pPr>
        <w:pStyle w:val="5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exact"/>
        <w:ind w:left="-226" w:right="-226" w:firstLine="696" w:firstLineChars="290"/>
        <w:jc w:val="both"/>
        <w:textAlignment w:val="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联系人：</w:t>
      </w:r>
      <w:bookmarkStart w:id="45" w:name="OLE_LINK2"/>
      <w:bookmarkStart w:id="46" w:name="OLE_LINK9"/>
      <w:r>
        <w:rPr>
          <w:rFonts w:hint="eastAsia" w:asciiTheme="minorEastAsia" w:hAnsiTheme="minorEastAsia" w:eastAsiaTheme="minorEastAsia" w:cstheme="minorEastAsia"/>
          <w:color w:val="auto"/>
          <w:sz w:val="24"/>
          <w:szCs w:val="24"/>
          <w:highlight w:val="none"/>
          <w:lang w:val="en-US" w:eastAsia="zh-CN" w:bidi="ar-SA"/>
        </w:rPr>
        <w:t>汤女士</w:t>
      </w:r>
      <w:bookmarkEnd w:id="45"/>
    </w:p>
    <w:bookmarkEnd w:id="46"/>
    <w:p w14:paraId="53492DD5">
      <w:pPr>
        <w:spacing w:after="0" w:line="410" w:lineRule="exact"/>
        <w:ind w:firstLine="480" w:firstLineChars="20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电话：0875-6121331</w:t>
      </w:r>
    </w:p>
    <w:p w14:paraId="072A0F35">
      <w:pPr>
        <w:spacing w:after="0" w:line="410" w:lineRule="exact"/>
        <w:ind w:firstLine="480" w:firstLineChars="20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采购代理机构信息</w:t>
      </w:r>
    </w:p>
    <w:p w14:paraId="5209DD61">
      <w:pPr>
        <w:pStyle w:val="5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exact"/>
        <w:ind w:left="-226" w:right="-226" w:firstLine="696" w:firstLineChars="290"/>
        <w:jc w:val="both"/>
        <w:textAlignment w:val="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招标代理机构：龙陵县政府采购和出让中心</w:t>
      </w:r>
    </w:p>
    <w:p w14:paraId="4C3EC61E">
      <w:pPr>
        <w:pStyle w:val="5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exact"/>
        <w:ind w:left="-226" w:right="-226" w:firstLine="696" w:firstLineChars="290"/>
        <w:jc w:val="both"/>
        <w:textAlignment w:val="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地址：龙陵县龙山镇金溪路1号</w:t>
      </w:r>
    </w:p>
    <w:p w14:paraId="6C4E9569">
      <w:pPr>
        <w:pStyle w:val="5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exact"/>
        <w:ind w:left="-226" w:right="-226" w:firstLine="696" w:firstLineChars="290"/>
        <w:jc w:val="both"/>
        <w:textAlignment w:val="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联系人：</w:t>
      </w:r>
      <w:bookmarkStart w:id="47" w:name="OLE_LINK10"/>
      <w:bookmarkStart w:id="48" w:name="OLE_LINK4"/>
      <w:r>
        <w:rPr>
          <w:rFonts w:hint="eastAsia" w:asciiTheme="minorEastAsia" w:hAnsiTheme="minorEastAsia" w:eastAsiaTheme="minorEastAsia" w:cstheme="minorEastAsia"/>
          <w:color w:val="auto"/>
          <w:sz w:val="24"/>
          <w:szCs w:val="24"/>
          <w:highlight w:val="none"/>
          <w:lang w:val="en-US" w:eastAsia="zh-CN" w:bidi="ar-SA"/>
        </w:rPr>
        <w:t>王先生</w:t>
      </w:r>
      <w:bookmarkEnd w:id="47"/>
    </w:p>
    <w:bookmarkEnd w:id="48"/>
    <w:p w14:paraId="2D4BFDEE">
      <w:pPr>
        <w:spacing w:after="0" w:line="410" w:lineRule="exact"/>
        <w:ind w:firstLine="480" w:firstLineChars="20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电话：</w:t>
      </w:r>
      <w:bookmarkStart w:id="49" w:name="OLE_LINK12"/>
      <w:bookmarkStart w:id="50" w:name="OLE_LINK7"/>
      <w:r>
        <w:rPr>
          <w:rFonts w:hint="eastAsia" w:asciiTheme="minorEastAsia" w:hAnsiTheme="minorEastAsia" w:eastAsiaTheme="minorEastAsia" w:cstheme="minorEastAsia"/>
          <w:color w:val="auto"/>
          <w:sz w:val="24"/>
          <w:szCs w:val="24"/>
          <w:highlight w:val="none"/>
          <w:lang w:val="en-US" w:eastAsia="zh-CN" w:bidi="ar-SA"/>
        </w:rPr>
        <w:t>0875-3126877</w:t>
      </w:r>
      <w:bookmarkEnd w:id="49"/>
    </w:p>
    <w:bookmarkEnd w:id="50"/>
    <w:p w14:paraId="11CEB890">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bookmarkEnd w:id="7"/>
    <w:bookmarkEnd w:id="8"/>
    <w:bookmarkEnd w:id="9"/>
    <w:p w14:paraId="7C950087">
      <w:pPr>
        <w:pStyle w:val="2"/>
        <w:jc w:val="center"/>
        <w:rPr>
          <w:rFonts w:hint="eastAsia" w:asciiTheme="minorEastAsia" w:hAnsiTheme="minorEastAsia" w:eastAsiaTheme="minorEastAsia" w:cstheme="minorEastAsia"/>
          <w:color w:val="auto"/>
          <w:sz w:val="36"/>
          <w:szCs w:val="36"/>
          <w:highlight w:val="none"/>
        </w:rPr>
      </w:pPr>
      <w:bookmarkStart w:id="51" w:name="_Toc19732"/>
      <w:bookmarkStart w:id="52" w:name="_Toc517963430"/>
      <w:r>
        <w:rPr>
          <w:rFonts w:hint="eastAsia" w:asciiTheme="minorEastAsia" w:hAnsiTheme="minorEastAsia" w:eastAsiaTheme="minorEastAsia" w:cstheme="minorEastAsia"/>
          <w:color w:val="auto"/>
          <w:sz w:val="36"/>
          <w:szCs w:val="36"/>
          <w:highlight w:val="none"/>
        </w:rPr>
        <w:t>第二章 供应商须知</w:t>
      </w:r>
      <w:bookmarkEnd w:id="51"/>
    </w:p>
    <w:p w14:paraId="2A2E7960">
      <w:pPr>
        <w:tabs>
          <w:tab w:val="left" w:pos="1980"/>
          <w:tab w:val="center" w:pos="5093"/>
          <w:tab w:val="left" w:pos="9315"/>
        </w:tabs>
        <w:spacing w:after="0" w:line="360" w:lineRule="auto"/>
        <w:ind w:firstLine="321" w:firstLineChars="100"/>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供应商须知前</w:t>
      </w:r>
      <w:bookmarkEnd w:id="52"/>
      <w:r>
        <w:rPr>
          <w:rFonts w:hint="eastAsia" w:asciiTheme="minorEastAsia" w:hAnsiTheme="minorEastAsia" w:eastAsiaTheme="minorEastAsia" w:cstheme="minorEastAsia"/>
          <w:b/>
          <w:bCs/>
          <w:color w:val="auto"/>
          <w:sz w:val="32"/>
          <w:szCs w:val="32"/>
          <w:highlight w:val="none"/>
        </w:rPr>
        <w:t>附表</w:t>
      </w:r>
    </w:p>
    <w:tbl>
      <w:tblPr>
        <w:tblStyle w:val="113"/>
        <w:tblW w:w="9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1592"/>
        <w:gridCol w:w="7349"/>
      </w:tblGrid>
      <w:tr w14:paraId="0BC22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blHeader/>
          <w:jc w:val="center"/>
        </w:trPr>
        <w:tc>
          <w:tcPr>
            <w:tcW w:w="756" w:type="dxa"/>
            <w:vAlign w:val="center"/>
          </w:tcPr>
          <w:p w14:paraId="1D2A2426">
            <w:pPr>
              <w:spacing w:after="0" w:line="380" w:lineRule="exact"/>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1592" w:type="dxa"/>
            <w:vAlign w:val="center"/>
          </w:tcPr>
          <w:p w14:paraId="6483F530">
            <w:pPr>
              <w:spacing w:after="0" w:line="380" w:lineRule="exact"/>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条 款 名 称</w:t>
            </w:r>
          </w:p>
        </w:tc>
        <w:tc>
          <w:tcPr>
            <w:tcW w:w="7349" w:type="dxa"/>
          </w:tcPr>
          <w:p w14:paraId="6875CE7C">
            <w:pPr>
              <w:spacing w:after="0" w:line="380" w:lineRule="exact"/>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编 列 内 容</w:t>
            </w:r>
          </w:p>
        </w:tc>
      </w:tr>
      <w:tr w14:paraId="6F24F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3" w:hRule="atLeast"/>
          <w:jc w:val="center"/>
        </w:trPr>
        <w:tc>
          <w:tcPr>
            <w:tcW w:w="756" w:type="dxa"/>
            <w:vAlign w:val="center"/>
          </w:tcPr>
          <w:p w14:paraId="18A4A7AC">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1.1.2</w:t>
            </w:r>
          </w:p>
        </w:tc>
        <w:tc>
          <w:tcPr>
            <w:tcW w:w="1592" w:type="dxa"/>
            <w:vAlign w:val="center"/>
          </w:tcPr>
          <w:p w14:paraId="27EA1921">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w:t>
            </w:r>
          </w:p>
        </w:tc>
        <w:tc>
          <w:tcPr>
            <w:tcW w:w="7349" w:type="dxa"/>
            <w:vAlign w:val="center"/>
          </w:tcPr>
          <w:p w14:paraId="49AC954D">
            <w:pPr>
              <w:spacing w:after="0" w:line="36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名  称：</w:t>
            </w:r>
            <w:r>
              <w:rPr>
                <w:rFonts w:hint="eastAsia" w:asciiTheme="minorEastAsia" w:hAnsiTheme="minorEastAsia" w:eastAsiaTheme="minorEastAsia" w:cstheme="minorEastAsia"/>
                <w:color w:val="auto"/>
                <w:sz w:val="21"/>
                <w:szCs w:val="21"/>
                <w:lang w:eastAsia="zh-CN"/>
              </w:rPr>
              <w:t>龙陵县中医医院</w:t>
            </w:r>
          </w:p>
          <w:p w14:paraId="11583EDA">
            <w:pPr>
              <w:spacing w:after="0" w:line="36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地  址：</w:t>
            </w:r>
            <w:r>
              <w:rPr>
                <w:rFonts w:hint="eastAsia" w:asciiTheme="minorEastAsia" w:hAnsiTheme="minorEastAsia" w:eastAsiaTheme="minorEastAsia" w:cstheme="minorEastAsia"/>
                <w:color w:val="auto"/>
                <w:sz w:val="21"/>
                <w:szCs w:val="21"/>
                <w:lang w:val="en-US" w:eastAsia="zh-CN"/>
              </w:rPr>
              <w:t>龙陵县城龙玉大道中段</w:t>
            </w:r>
          </w:p>
          <w:p w14:paraId="368B79DF">
            <w:pPr>
              <w:spacing w:after="0" w:line="36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联系人：</w:t>
            </w:r>
            <w:r>
              <w:rPr>
                <w:rFonts w:hint="eastAsia" w:asciiTheme="minorEastAsia" w:hAnsiTheme="minorEastAsia" w:eastAsiaTheme="minorEastAsia" w:cstheme="minorEastAsia"/>
                <w:color w:val="auto"/>
                <w:sz w:val="21"/>
                <w:szCs w:val="21"/>
                <w:lang w:val="en-US" w:eastAsia="zh-CN"/>
              </w:rPr>
              <w:t>汤女士</w:t>
            </w:r>
          </w:p>
          <w:p w14:paraId="31AAD051">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rPr>
              <w:t>电  话：</w:t>
            </w:r>
            <w:r>
              <w:rPr>
                <w:rFonts w:hint="eastAsia" w:asciiTheme="minorEastAsia" w:hAnsiTheme="minorEastAsia" w:eastAsiaTheme="minorEastAsia" w:cstheme="minorEastAsia"/>
                <w:color w:val="auto"/>
                <w:sz w:val="21"/>
                <w:szCs w:val="21"/>
                <w:lang w:val="en-US" w:eastAsia="zh-CN"/>
              </w:rPr>
              <w:t>0875-6121331</w:t>
            </w:r>
          </w:p>
        </w:tc>
      </w:tr>
      <w:tr w14:paraId="5AA7F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4" w:hRule="atLeast"/>
          <w:jc w:val="center"/>
        </w:trPr>
        <w:tc>
          <w:tcPr>
            <w:tcW w:w="756" w:type="dxa"/>
            <w:vAlign w:val="center"/>
          </w:tcPr>
          <w:p w14:paraId="56F4DF09">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1.1.3</w:t>
            </w:r>
          </w:p>
        </w:tc>
        <w:tc>
          <w:tcPr>
            <w:tcW w:w="1592" w:type="dxa"/>
            <w:vAlign w:val="center"/>
          </w:tcPr>
          <w:p w14:paraId="5EA8D3DD">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采购代理机构</w:t>
            </w:r>
          </w:p>
        </w:tc>
        <w:tc>
          <w:tcPr>
            <w:tcW w:w="7349" w:type="dxa"/>
          </w:tcPr>
          <w:p w14:paraId="1F5041E6">
            <w:pPr>
              <w:spacing w:after="0" w:line="36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highlight w:val="none"/>
              </w:rPr>
              <w:t>名  称 ：</w:t>
            </w:r>
            <w:r>
              <w:rPr>
                <w:rFonts w:hint="eastAsia" w:asciiTheme="minorEastAsia" w:hAnsiTheme="minorEastAsia" w:eastAsiaTheme="minorEastAsia" w:cstheme="minorEastAsia"/>
                <w:color w:val="auto"/>
                <w:sz w:val="21"/>
                <w:szCs w:val="21"/>
                <w:lang w:eastAsia="zh-CN"/>
              </w:rPr>
              <w:t>龙陵县政府采购和出让中心</w:t>
            </w:r>
          </w:p>
          <w:p w14:paraId="22AB129C">
            <w:pPr>
              <w:spacing w:after="0" w:line="36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地  址 ：</w:t>
            </w:r>
            <w:r>
              <w:rPr>
                <w:rFonts w:hint="eastAsia" w:asciiTheme="minorEastAsia" w:hAnsiTheme="minorEastAsia" w:eastAsiaTheme="minorEastAsia" w:cstheme="minorEastAsia"/>
                <w:color w:val="auto"/>
                <w:sz w:val="21"/>
                <w:szCs w:val="21"/>
                <w:lang w:eastAsia="zh-CN"/>
              </w:rPr>
              <w:t>龙陵县龙山镇金溪路1号</w:t>
            </w:r>
          </w:p>
          <w:p w14:paraId="2771DC87">
            <w:pPr>
              <w:spacing w:after="0" w:line="36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联系人 ：</w:t>
            </w:r>
            <w:r>
              <w:rPr>
                <w:rFonts w:hint="eastAsia" w:asciiTheme="minorEastAsia" w:hAnsiTheme="minorEastAsia" w:eastAsiaTheme="minorEastAsia" w:cstheme="minorEastAsia"/>
                <w:color w:val="auto"/>
                <w:sz w:val="21"/>
                <w:szCs w:val="21"/>
                <w:lang w:val="en-US" w:eastAsia="zh-CN"/>
              </w:rPr>
              <w:t>王先生</w:t>
            </w:r>
          </w:p>
          <w:p w14:paraId="37C4AB6D">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rPr>
              <w:t>电  话 ：</w:t>
            </w:r>
            <w:r>
              <w:rPr>
                <w:rFonts w:hint="eastAsia" w:asciiTheme="minorEastAsia" w:hAnsiTheme="minorEastAsia" w:eastAsiaTheme="minorEastAsia" w:cstheme="minorEastAsia"/>
                <w:color w:val="auto"/>
                <w:sz w:val="21"/>
                <w:szCs w:val="21"/>
                <w:lang w:val="en-US" w:eastAsia="zh-CN"/>
              </w:rPr>
              <w:t>0875-3126877</w:t>
            </w:r>
          </w:p>
        </w:tc>
      </w:tr>
      <w:tr w14:paraId="45385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756" w:type="dxa"/>
            <w:vAlign w:val="center"/>
          </w:tcPr>
          <w:p w14:paraId="3A0B65E3">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1.1.4</w:t>
            </w:r>
          </w:p>
        </w:tc>
        <w:tc>
          <w:tcPr>
            <w:tcW w:w="1592" w:type="dxa"/>
            <w:vAlign w:val="center"/>
          </w:tcPr>
          <w:p w14:paraId="7548662C">
            <w:pPr>
              <w:spacing w:after="0"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w:t>
            </w:r>
          </w:p>
        </w:tc>
        <w:tc>
          <w:tcPr>
            <w:tcW w:w="7349" w:type="dxa"/>
            <w:vAlign w:val="center"/>
          </w:tcPr>
          <w:p w14:paraId="0D2C23D1">
            <w:pPr>
              <w:spacing w:after="0" w:line="36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龙陵县中医医院2026年保洁服务采购项目</w:t>
            </w:r>
          </w:p>
        </w:tc>
      </w:tr>
      <w:tr w14:paraId="68ACF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756" w:type="dxa"/>
            <w:vAlign w:val="center"/>
          </w:tcPr>
          <w:p w14:paraId="35482DC6">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1.2.1</w:t>
            </w:r>
          </w:p>
        </w:tc>
        <w:tc>
          <w:tcPr>
            <w:tcW w:w="1592" w:type="dxa"/>
            <w:vAlign w:val="center"/>
          </w:tcPr>
          <w:p w14:paraId="099C71AB">
            <w:pPr>
              <w:spacing w:after="0"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资金来源</w:t>
            </w:r>
          </w:p>
        </w:tc>
        <w:tc>
          <w:tcPr>
            <w:tcW w:w="7349" w:type="dxa"/>
            <w:vAlign w:val="center"/>
          </w:tcPr>
          <w:p w14:paraId="7A0D6CD6">
            <w:pPr>
              <w:spacing w:after="0" w:line="360" w:lineRule="exact"/>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财政资金</w:t>
            </w:r>
          </w:p>
        </w:tc>
      </w:tr>
      <w:tr w14:paraId="675A3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jc w:val="center"/>
        </w:trPr>
        <w:tc>
          <w:tcPr>
            <w:tcW w:w="756" w:type="dxa"/>
            <w:vAlign w:val="center"/>
          </w:tcPr>
          <w:p w14:paraId="6CC7A77A">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1.2.2</w:t>
            </w:r>
          </w:p>
        </w:tc>
        <w:tc>
          <w:tcPr>
            <w:tcW w:w="1592" w:type="dxa"/>
            <w:vAlign w:val="center"/>
          </w:tcPr>
          <w:p w14:paraId="5F836882">
            <w:pPr>
              <w:spacing w:after="0"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资金落实情况</w:t>
            </w:r>
          </w:p>
        </w:tc>
        <w:tc>
          <w:tcPr>
            <w:tcW w:w="7349" w:type="dxa"/>
            <w:vAlign w:val="center"/>
          </w:tcPr>
          <w:p w14:paraId="4CD83E40">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已落实</w:t>
            </w:r>
          </w:p>
        </w:tc>
      </w:tr>
      <w:tr w14:paraId="1D536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jc w:val="center"/>
        </w:trPr>
        <w:tc>
          <w:tcPr>
            <w:tcW w:w="756" w:type="dxa"/>
            <w:vAlign w:val="center"/>
          </w:tcPr>
          <w:p w14:paraId="60765D63">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1.2.3</w:t>
            </w:r>
          </w:p>
        </w:tc>
        <w:tc>
          <w:tcPr>
            <w:tcW w:w="1592" w:type="dxa"/>
            <w:vAlign w:val="center"/>
          </w:tcPr>
          <w:p w14:paraId="2CA989C5">
            <w:pPr>
              <w:spacing w:after="0"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付款方式</w:t>
            </w:r>
          </w:p>
        </w:tc>
        <w:tc>
          <w:tcPr>
            <w:tcW w:w="7349" w:type="dxa"/>
            <w:vAlign w:val="center"/>
          </w:tcPr>
          <w:p w14:paraId="7B72E519">
            <w:pPr>
              <w:spacing w:after="0" w:line="360" w:lineRule="exact"/>
              <w:rPr>
                <w:rFonts w:hint="eastAsia" w:asciiTheme="minorEastAsia" w:hAnsiTheme="minorEastAsia" w:eastAsiaTheme="minorEastAsia" w:cstheme="minorEastAsia"/>
                <w:color w:val="auto"/>
                <w:sz w:val="21"/>
                <w:szCs w:val="21"/>
                <w:highlight w:val="none"/>
                <w:lang w:eastAsia="zh-CN"/>
              </w:rPr>
            </w:pPr>
            <w:r>
              <w:rPr>
                <w:rFonts w:hint="eastAsia" w:cs="Times New Roman" w:asciiTheme="minorEastAsia" w:hAnsiTheme="minorEastAsia" w:eastAsiaTheme="minorEastAsia"/>
                <w:color w:val="auto"/>
                <w:sz w:val="21"/>
                <w:szCs w:val="21"/>
              </w:rPr>
              <w:t>以采购人及成交人签订</w:t>
            </w:r>
            <w:r>
              <w:rPr>
                <w:rFonts w:hint="eastAsia" w:cs="Times New Roman" w:asciiTheme="minorEastAsia" w:hAnsiTheme="minorEastAsia" w:eastAsiaTheme="minorEastAsia"/>
                <w:color w:val="auto"/>
                <w:sz w:val="21"/>
                <w:szCs w:val="21"/>
                <w:lang w:eastAsia="zh-CN"/>
              </w:rPr>
              <w:t>服务</w:t>
            </w:r>
            <w:r>
              <w:rPr>
                <w:rFonts w:hint="eastAsia" w:cs="Times New Roman" w:asciiTheme="minorEastAsia" w:hAnsiTheme="minorEastAsia" w:eastAsiaTheme="minorEastAsia"/>
                <w:color w:val="auto"/>
                <w:sz w:val="21"/>
                <w:szCs w:val="21"/>
              </w:rPr>
              <w:t>合同为准</w:t>
            </w:r>
            <w:r>
              <w:rPr>
                <w:rFonts w:hint="eastAsia" w:asciiTheme="minorEastAsia" w:hAnsiTheme="minorEastAsia" w:eastAsiaTheme="minorEastAsia" w:cstheme="minorEastAsia"/>
                <w:color w:val="auto"/>
                <w:sz w:val="21"/>
                <w:szCs w:val="21"/>
                <w:highlight w:val="none"/>
                <w:lang w:eastAsia="zh-CN"/>
              </w:rPr>
              <w:t>。</w:t>
            </w:r>
          </w:p>
        </w:tc>
      </w:tr>
      <w:tr w14:paraId="0ECB0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jc w:val="center"/>
        </w:trPr>
        <w:tc>
          <w:tcPr>
            <w:tcW w:w="756" w:type="dxa"/>
            <w:vAlign w:val="center"/>
          </w:tcPr>
          <w:p w14:paraId="56FB070B">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1.3.1</w:t>
            </w:r>
          </w:p>
        </w:tc>
        <w:tc>
          <w:tcPr>
            <w:tcW w:w="1592" w:type="dxa"/>
            <w:vAlign w:val="center"/>
          </w:tcPr>
          <w:p w14:paraId="01C50489">
            <w:pPr>
              <w:spacing w:after="0"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合同履行期限       </w:t>
            </w:r>
          </w:p>
        </w:tc>
        <w:tc>
          <w:tcPr>
            <w:tcW w:w="7349" w:type="dxa"/>
            <w:vAlign w:val="center"/>
          </w:tcPr>
          <w:p w14:paraId="1AD6083E">
            <w:pPr>
              <w:spacing w:after="0" w:line="3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2026年6月22日--2027年6月21日。</w:t>
            </w:r>
          </w:p>
        </w:tc>
      </w:tr>
      <w:tr w14:paraId="224D9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6" w:type="dxa"/>
            <w:vAlign w:val="center"/>
          </w:tcPr>
          <w:p w14:paraId="54957538">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1.3.2</w:t>
            </w:r>
          </w:p>
        </w:tc>
        <w:tc>
          <w:tcPr>
            <w:tcW w:w="1592" w:type="dxa"/>
            <w:vAlign w:val="center"/>
          </w:tcPr>
          <w:p w14:paraId="45603AD7">
            <w:pPr>
              <w:numPr>
                <w:ilvl w:val="0"/>
                <w:numId w:val="0"/>
              </w:numPr>
              <w:spacing w:after="0" w:line="360" w:lineRule="exact"/>
              <w:ind w:firstLine="210" w:firstLineChars="1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磋商内容</w:t>
            </w:r>
          </w:p>
          <w:p w14:paraId="3E92D356">
            <w:pPr>
              <w:numPr>
                <w:ilvl w:val="0"/>
                <w:numId w:val="0"/>
              </w:numPr>
              <w:spacing w:after="0" w:line="3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（采购需求）</w:t>
            </w:r>
          </w:p>
        </w:tc>
        <w:tc>
          <w:tcPr>
            <w:tcW w:w="7349" w:type="dxa"/>
            <w:vAlign w:val="center"/>
          </w:tcPr>
          <w:p w14:paraId="7D52E02F">
            <w:pPr>
              <w:pStyle w:val="5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50" w:lineRule="exact"/>
              <w:ind w:right="-226" w:firstLine="420" w:firstLineChars="200"/>
              <w:jc w:val="both"/>
              <w:textAlignment w:val="auto"/>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 w:val="21"/>
                <w:szCs w:val="21"/>
                <w:lang w:val="en-US" w:eastAsia="zh-CN" w:bidi="ar-SA"/>
              </w:rPr>
              <w:t>1.龙陵县中医医院2026年保洁服务采购项目，主要工作内容：保洁、洗浆等相关物业管理服务。（具体内容详见第五章采购需求）。</w:t>
            </w:r>
          </w:p>
          <w:p w14:paraId="534649A2">
            <w:pPr>
              <w:numPr>
                <w:ilvl w:val="0"/>
                <w:numId w:val="0"/>
              </w:numPr>
              <w:spacing w:after="0" w:line="36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cs="Times New Roman" w:asciiTheme="minorEastAsia" w:hAnsiTheme="minorEastAsia" w:eastAsiaTheme="minorEastAsia"/>
                <w:color w:val="auto"/>
                <w:sz w:val="21"/>
                <w:szCs w:val="21"/>
                <w:lang w:val="en-US" w:eastAsia="zh-CN" w:bidi="ar-SA"/>
              </w:rPr>
              <w:t>2.人员配置要求：保洁20人，洗浆3人，管理1人，共计24人。</w:t>
            </w:r>
          </w:p>
        </w:tc>
      </w:tr>
      <w:tr w14:paraId="5A655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6" w:type="dxa"/>
            <w:vAlign w:val="center"/>
          </w:tcPr>
          <w:p w14:paraId="025B3BCB">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1.3.3</w:t>
            </w:r>
          </w:p>
        </w:tc>
        <w:tc>
          <w:tcPr>
            <w:tcW w:w="1592" w:type="dxa"/>
            <w:vAlign w:val="center"/>
          </w:tcPr>
          <w:p w14:paraId="7C140FD0">
            <w:pPr>
              <w:spacing w:after="0" w:line="360" w:lineRule="exact"/>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服务要求</w:t>
            </w:r>
          </w:p>
        </w:tc>
        <w:tc>
          <w:tcPr>
            <w:tcW w:w="7349" w:type="dxa"/>
            <w:vAlign w:val="center"/>
          </w:tcPr>
          <w:p w14:paraId="5993F3B9">
            <w:pPr>
              <w:numPr>
                <w:ilvl w:val="0"/>
                <w:numId w:val="0"/>
              </w:numPr>
              <w:spacing w:after="0" w:line="3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符合相关，法律、法规政策的规定，满足招标人要求。</w:t>
            </w:r>
          </w:p>
        </w:tc>
      </w:tr>
      <w:tr w14:paraId="0EF86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jc w:val="center"/>
        </w:trPr>
        <w:tc>
          <w:tcPr>
            <w:tcW w:w="756" w:type="dxa"/>
            <w:vAlign w:val="center"/>
          </w:tcPr>
          <w:p w14:paraId="61D0F280">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1.4.1</w:t>
            </w:r>
          </w:p>
        </w:tc>
        <w:tc>
          <w:tcPr>
            <w:tcW w:w="1592" w:type="dxa"/>
            <w:vAlign w:val="center"/>
          </w:tcPr>
          <w:p w14:paraId="623BEF69">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供应商的资格要求</w:t>
            </w:r>
          </w:p>
        </w:tc>
        <w:tc>
          <w:tcPr>
            <w:tcW w:w="7349" w:type="dxa"/>
          </w:tcPr>
          <w:p w14:paraId="23B158C1">
            <w:pPr>
              <w:spacing w:after="0" w:line="410" w:lineRule="exact"/>
              <w:ind w:firstLine="420" w:firstLineChars="200"/>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1.满足《中华人民共和国政府采购法》第二十二条规定；</w:t>
            </w:r>
          </w:p>
          <w:p w14:paraId="51AAD48C">
            <w:pPr>
              <w:spacing w:after="0" w:line="410" w:lineRule="exact"/>
              <w:ind w:firstLine="420" w:firstLineChars="200"/>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eastAsia="zh-CN" w:bidi="ar-SA"/>
              </w:rPr>
              <w:t>2.落实政府采购政策需满足的资格要求：</w:t>
            </w:r>
            <w:r>
              <w:rPr>
                <w:rFonts w:hint="eastAsia" w:asciiTheme="minorEastAsia" w:hAnsiTheme="minorEastAsia" w:eastAsiaTheme="minorEastAsia" w:cstheme="minorEastAsia"/>
                <w:color w:val="auto"/>
                <w:sz w:val="21"/>
                <w:szCs w:val="21"/>
                <w:highlight w:val="none"/>
                <w:lang w:val="en-US" w:eastAsia="zh-CN" w:bidi="ar-SA"/>
              </w:rPr>
              <w:t>本项目属于专门面向中小企业（监狱企业、残疾人福利性单位视同小微企业）的政府采购项目，磋商申请人须按竞争性磋商文件规定格式提供中小企业声明函（监狱企业、残疾人福利性单位声明函）。</w:t>
            </w:r>
            <w:r>
              <w:rPr>
                <w:rFonts w:hint="eastAsia" w:ascii="宋体" w:hAnsi="宋体" w:eastAsia="宋体" w:cs="宋体"/>
                <w:color w:val="000000" w:themeColor="text1"/>
                <w:szCs w:val="21"/>
                <w14:textFill>
                  <w14:solidFill>
                    <w14:schemeClr w14:val="tx1"/>
                  </w14:solidFill>
                </w14:textFill>
              </w:rPr>
              <w:t>执行政策文件：《中华人民共和国中小企业促进法》《政府采购促进中小企业发展管理办法》（财库〔2020〕46号）、《财政部司法部关于政府采购支持监狱企业发展有关问题的通知》（财库〔2014〕68号）、《财政部民政部中国残疾人联合会关于促进残疾人就业政府采购政策的通知》（财库〔2017〕141号）。</w:t>
            </w:r>
          </w:p>
          <w:p w14:paraId="0E45C3D7">
            <w:pPr>
              <w:spacing w:after="0" w:line="41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1A29A516">
            <w:pPr>
              <w:spacing w:after="0" w:line="41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磋商申请人在采购公告发出日期之前未被列入“信用中国”网站“失信惩戒对象”“失信被执行人”“重大税收违法案件当事人”“政府采购不良行为记录”，未被列入中国政府采购网“政府采购严重违法失信行为信息记录名单”，由采购人及采购代理机构将按照以上条款对参与各磋商申请人的信用信息进行查询，有不良记录的其磋商申请将被拒绝。</w:t>
            </w:r>
          </w:p>
          <w:p w14:paraId="3229A2FF">
            <w:pPr>
              <w:spacing w:after="0" w:line="410" w:lineRule="exact"/>
              <w:ind w:firstLine="48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4"/>
                <w:szCs w:val="24"/>
                <w:highlight w:val="none"/>
              </w:rPr>
              <w:t>3.2单位负责人为同一人或者存在直接控股、管理关系的不同磋商申请人，不得参加同一合同项下的政府采购活动。</w:t>
            </w:r>
          </w:p>
        </w:tc>
      </w:tr>
      <w:tr w14:paraId="2B169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756" w:type="dxa"/>
            <w:vAlign w:val="center"/>
          </w:tcPr>
          <w:p w14:paraId="63DE4ABE">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1.4.2</w:t>
            </w:r>
          </w:p>
        </w:tc>
        <w:tc>
          <w:tcPr>
            <w:tcW w:w="1592" w:type="dxa"/>
            <w:vAlign w:val="center"/>
          </w:tcPr>
          <w:p w14:paraId="328CCCCA">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是否接受</w:t>
            </w:r>
          </w:p>
          <w:p w14:paraId="7CF94540">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联合体磋商</w:t>
            </w:r>
          </w:p>
        </w:tc>
        <w:tc>
          <w:tcPr>
            <w:tcW w:w="7349" w:type="dxa"/>
            <w:vAlign w:val="center"/>
          </w:tcPr>
          <w:p w14:paraId="439AA302">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不接受</w:t>
            </w:r>
          </w:p>
          <w:p w14:paraId="056B8A9E">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接受   </w:t>
            </w:r>
          </w:p>
          <w:p w14:paraId="6EF434E0">
            <w:pPr>
              <w:pStyle w:val="58"/>
              <w:spacing w:before="0" w:beforeAutospacing="0" w:after="0" w:afterAutospacing="0" w:line="440" w:lineRule="exact"/>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以联合体形式进行政府采购的，参加联合体的供应商均应当具备《中华人民共和国政府采购法实施条例》第二十二条规定的条件，并应当向采购人提交联合协议，载明联合体各方承担的工作和义务。联合体各方应当共同与采购人签订采购合同，就采购合同约定的事项对采购人承担连带责任。以联合体形式参加政府采购活动的，联合体各方不得再单独参加或者与其他供应商另外组成联合体参加同一合同项下的政府采购活动。 </w:t>
            </w:r>
          </w:p>
        </w:tc>
      </w:tr>
      <w:tr w14:paraId="73DA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756" w:type="dxa"/>
            <w:tcBorders>
              <w:top w:val="single" w:color="auto" w:sz="4" w:space="0"/>
            </w:tcBorders>
            <w:vAlign w:val="center"/>
          </w:tcPr>
          <w:p w14:paraId="759F5661">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1.9.1</w:t>
            </w:r>
          </w:p>
        </w:tc>
        <w:tc>
          <w:tcPr>
            <w:tcW w:w="1592" w:type="dxa"/>
            <w:tcBorders>
              <w:top w:val="single" w:color="auto" w:sz="4" w:space="0"/>
            </w:tcBorders>
            <w:vAlign w:val="center"/>
          </w:tcPr>
          <w:p w14:paraId="6B169FCF">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踏勘现场</w:t>
            </w:r>
          </w:p>
        </w:tc>
        <w:tc>
          <w:tcPr>
            <w:tcW w:w="7349" w:type="dxa"/>
            <w:tcBorders>
              <w:top w:val="single" w:color="auto" w:sz="4" w:space="0"/>
            </w:tcBorders>
          </w:tcPr>
          <w:p w14:paraId="521728C6">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不统一组织，自行踏勘</w:t>
            </w:r>
          </w:p>
          <w:p w14:paraId="2807FB41">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组织，组织集体踏勘</w:t>
            </w:r>
          </w:p>
        </w:tc>
      </w:tr>
      <w:tr w14:paraId="2F29C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2A09B978">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1.10.1</w:t>
            </w:r>
          </w:p>
        </w:tc>
        <w:tc>
          <w:tcPr>
            <w:tcW w:w="1592" w:type="dxa"/>
            <w:vAlign w:val="center"/>
          </w:tcPr>
          <w:p w14:paraId="30082C6E">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磋商预备会</w:t>
            </w:r>
          </w:p>
        </w:tc>
        <w:tc>
          <w:tcPr>
            <w:tcW w:w="7349" w:type="dxa"/>
          </w:tcPr>
          <w:p w14:paraId="7405F434">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不召开</w:t>
            </w:r>
          </w:p>
          <w:p w14:paraId="65EE1D90">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召开</w:t>
            </w:r>
          </w:p>
          <w:p w14:paraId="7C360BD0">
            <w:pPr>
              <w:spacing w:after="0" w:line="360" w:lineRule="exact"/>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召开时间：</w:t>
            </w:r>
            <w:r>
              <w:rPr>
                <w:rFonts w:hint="eastAsia" w:asciiTheme="minorEastAsia" w:hAnsiTheme="minorEastAsia" w:eastAsiaTheme="minorEastAsia" w:cstheme="minorEastAsia"/>
                <w:color w:val="auto"/>
                <w:sz w:val="21"/>
                <w:szCs w:val="21"/>
                <w:highlight w:val="none"/>
                <w:u w:val="single"/>
                <w:lang w:val="en-US" w:eastAsia="zh-CN"/>
              </w:rPr>
              <w:t xml:space="preserve">                     </w:t>
            </w:r>
          </w:p>
          <w:p w14:paraId="7DB21666">
            <w:pPr>
              <w:spacing w:after="0" w:line="360" w:lineRule="exact"/>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召开地点：</w:t>
            </w:r>
            <w:r>
              <w:rPr>
                <w:rFonts w:hint="eastAsia" w:asciiTheme="minorEastAsia" w:hAnsiTheme="minorEastAsia" w:eastAsiaTheme="minorEastAsia" w:cstheme="minorEastAsia"/>
                <w:color w:val="auto"/>
                <w:sz w:val="21"/>
                <w:szCs w:val="21"/>
                <w:highlight w:val="none"/>
                <w:u w:val="single"/>
                <w:lang w:val="en-US" w:eastAsia="zh-CN"/>
              </w:rPr>
              <w:t xml:space="preserve">                     </w:t>
            </w:r>
          </w:p>
        </w:tc>
      </w:tr>
      <w:tr w14:paraId="5D9C9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6F14B98A">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1.11</w:t>
            </w:r>
          </w:p>
        </w:tc>
        <w:tc>
          <w:tcPr>
            <w:tcW w:w="1592" w:type="dxa"/>
            <w:vAlign w:val="center"/>
          </w:tcPr>
          <w:p w14:paraId="42C1A40F">
            <w:pPr>
              <w:spacing w:after="0" w:line="0" w:lineRule="atLeas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分包</w:t>
            </w:r>
          </w:p>
        </w:tc>
        <w:tc>
          <w:tcPr>
            <w:tcW w:w="7349" w:type="dxa"/>
            <w:vAlign w:val="center"/>
          </w:tcPr>
          <w:p w14:paraId="68500192">
            <w:pPr>
              <w:spacing w:after="0" w:line="36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1"/>
                <w:szCs w:val="21"/>
                <w:highlight w:val="none"/>
              </w:rPr>
              <w:t>不允许</w:t>
            </w:r>
          </w:p>
          <w:p w14:paraId="4CF57370">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1"/>
                <w:szCs w:val="21"/>
                <w:highlight w:val="none"/>
              </w:rPr>
              <w:t>允许</w:t>
            </w:r>
          </w:p>
        </w:tc>
      </w:tr>
      <w:tr w14:paraId="5C6CC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35D7A089">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1.12</w:t>
            </w:r>
          </w:p>
        </w:tc>
        <w:tc>
          <w:tcPr>
            <w:tcW w:w="1592" w:type="dxa"/>
            <w:vAlign w:val="center"/>
          </w:tcPr>
          <w:p w14:paraId="63EC4F13">
            <w:pPr>
              <w:spacing w:after="0" w:line="0" w:lineRule="atLeas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偏差</w:t>
            </w:r>
          </w:p>
        </w:tc>
        <w:tc>
          <w:tcPr>
            <w:tcW w:w="7349" w:type="dxa"/>
            <w:vAlign w:val="center"/>
          </w:tcPr>
          <w:p w14:paraId="7DD57782">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不允许</w:t>
            </w:r>
          </w:p>
          <w:p w14:paraId="080B0F13">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允许</w:t>
            </w:r>
          </w:p>
          <w:p w14:paraId="660FDBCD">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本项目允许的细微偏差指磋商报价算术性错误，具体情形如下：</w:t>
            </w:r>
          </w:p>
          <w:p w14:paraId="6E713054">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响应文件中磋商报价的大写金额与小写金额不一致的。</w:t>
            </w:r>
          </w:p>
          <w:p w14:paraId="479FF7A6">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量化标准：磋商报价有算术错误的，磋商小组按本文件 第三章《评审办法》第3.1.3款规定的修正原则对磋商报价进行修正，修正的价格经供应商书面确认后具有约束力。供应商不接受修正价格的，其响应文件作废标处理。</w:t>
            </w:r>
          </w:p>
        </w:tc>
      </w:tr>
      <w:tr w14:paraId="16F70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jc w:val="center"/>
        </w:trPr>
        <w:tc>
          <w:tcPr>
            <w:tcW w:w="756" w:type="dxa"/>
            <w:vAlign w:val="center"/>
          </w:tcPr>
          <w:p w14:paraId="12164C5A">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1.10.1</w:t>
            </w:r>
          </w:p>
        </w:tc>
        <w:tc>
          <w:tcPr>
            <w:tcW w:w="1592" w:type="dxa"/>
            <w:vAlign w:val="center"/>
          </w:tcPr>
          <w:p w14:paraId="5A1C0A57">
            <w:pPr>
              <w:spacing w:after="0" w:line="320" w:lineRule="exact"/>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供应商提出问题的截止时间和</w:t>
            </w:r>
            <w:r>
              <w:rPr>
                <w:rFonts w:hint="eastAsia" w:asciiTheme="minorEastAsia" w:hAnsiTheme="minorEastAsia" w:eastAsiaTheme="minorEastAsia" w:cstheme="minorEastAsia"/>
                <w:color w:val="auto"/>
                <w:sz w:val="21"/>
                <w:szCs w:val="21"/>
                <w:highlight w:val="none"/>
                <w:lang w:val="en-US" w:eastAsia="zh-CN"/>
              </w:rPr>
              <w:t>方式</w:t>
            </w:r>
          </w:p>
        </w:tc>
        <w:tc>
          <w:tcPr>
            <w:tcW w:w="7349" w:type="dxa"/>
            <w:vAlign w:val="center"/>
          </w:tcPr>
          <w:p w14:paraId="7A5A9A0B">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时间：</w:t>
            </w:r>
            <w:r>
              <w:rPr>
                <w:rFonts w:hint="eastAsia" w:asciiTheme="minorEastAsia" w:hAnsiTheme="minorEastAsia" w:eastAsiaTheme="minorEastAsia" w:cstheme="minorEastAsia"/>
                <w:color w:val="auto"/>
                <w:sz w:val="21"/>
                <w:szCs w:val="21"/>
                <w:highlight w:val="none"/>
              </w:rPr>
              <w:t>磋商截止时间至少5日前</w:t>
            </w:r>
          </w:p>
          <w:p w14:paraId="44621F5E">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方式</w:t>
            </w:r>
            <w:r>
              <w:rPr>
                <w:rFonts w:hint="eastAsia" w:asciiTheme="minorEastAsia" w:hAnsiTheme="minorEastAsia" w:eastAsiaTheme="minorEastAsia" w:cstheme="minorEastAsia"/>
                <w:color w:val="auto"/>
                <w:sz w:val="21"/>
                <w:szCs w:val="21"/>
                <w:highlight w:val="none"/>
              </w:rPr>
              <w:t>：使用CA数字证书登录</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政府采购云平台</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网址：</w:t>
            </w:r>
            <w:r>
              <w:rPr>
                <w:rFonts w:hint="eastAsia" w:asciiTheme="minorEastAsia" w:hAnsiTheme="minorEastAsia" w:eastAsiaTheme="minorEastAsia" w:cstheme="minorEastAsia"/>
                <w:color w:val="auto"/>
                <w:sz w:val="21"/>
                <w:szCs w:val="21"/>
                <w:highlight w:val="none"/>
              </w:rPr>
              <w:t>https://www.zcygov.cn/)，在“</w:t>
            </w:r>
            <w:r>
              <w:rPr>
                <w:rFonts w:hint="eastAsia" w:asciiTheme="minorEastAsia" w:hAnsiTheme="minorEastAsia" w:eastAsiaTheme="minorEastAsia" w:cstheme="minorEastAsia"/>
                <w:color w:val="auto"/>
                <w:sz w:val="21"/>
                <w:szCs w:val="21"/>
                <w:highlight w:val="none"/>
                <w:lang w:val="en-US" w:eastAsia="zh-CN"/>
              </w:rPr>
              <w:t>质疑</w:t>
            </w:r>
            <w:r>
              <w:rPr>
                <w:rFonts w:hint="eastAsia" w:asciiTheme="minorEastAsia" w:hAnsiTheme="minorEastAsia" w:eastAsiaTheme="minorEastAsia" w:cstheme="minorEastAsia"/>
                <w:color w:val="auto"/>
                <w:sz w:val="21"/>
                <w:szCs w:val="21"/>
                <w:highlight w:val="none"/>
              </w:rPr>
              <w:t>”菜单提出。</w:t>
            </w:r>
          </w:p>
        </w:tc>
      </w:tr>
      <w:tr w14:paraId="08D81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756" w:type="dxa"/>
            <w:vAlign w:val="center"/>
          </w:tcPr>
          <w:p w14:paraId="3621D741">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1.10.2</w:t>
            </w:r>
          </w:p>
        </w:tc>
        <w:tc>
          <w:tcPr>
            <w:tcW w:w="1592" w:type="dxa"/>
            <w:vAlign w:val="center"/>
          </w:tcPr>
          <w:p w14:paraId="3AED62DD">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采购人澄清的</w:t>
            </w:r>
          </w:p>
          <w:p w14:paraId="69C5BAB5">
            <w:pPr>
              <w:spacing w:after="0" w:line="320" w:lineRule="exact"/>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时间和</w:t>
            </w:r>
            <w:r>
              <w:rPr>
                <w:rFonts w:hint="eastAsia" w:asciiTheme="minorEastAsia" w:hAnsiTheme="minorEastAsia" w:eastAsiaTheme="minorEastAsia" w:cstheme="minorEastAsia"/>
                <w:color w:val="auto"/>
                <w:sz w:val="21"/>
                <w:szCs w:val="21"/>
                <w:highlight w:val="none"/>
                <w:lang w:val="en-US" w:eastAsia="zh-CN"/>
              </w:rPr>
              <w:t>方式</w:t>
            </w:r>
          </w:p>
        </w:tc>
        <w:tc>
          <w:tcPr>
            <w:tcW w:w="7349" w:type="dxa"/>
            <w:vAlign w:val="center"/>
          </w:tcPr>
          <w:p w14:paraId="1EF7EB2A">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时间：</w:t>
            </w:r>
            <w:r>
              <w:rPr>
                <w:rFonts w:hint="eastAsia" w:asciiTheme="minorEastAsia" w:hAnsiTheme="minorEastAsia" w:eastAsiaTheme="minorEastAsia" w:cstheme="minorEastAsia"/>
                <w:color w:val="auto"/>
                <w:sz w:val="21"/>
                <w:szCs w:val="21"/>
                <w:highlight w:val="none"/>
              </w:rPr>
              <w:t>磋商截止时间至少5日前</w:t>
            </w:r>
          </w:p>
          <w:p w14:paraId="28AC7302">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方式</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人通过“政府采购云平台”（网址：https://www.zcygov.cn/)发出</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文件澄清。所有获取了</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文件的潜在</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登录“政府采购云平台”（网址：https://www.zcygov.cn/)凭企业身份认证数字证书（CA）查看澄清内容。</w:t>
            </w:r>
          </w:p>
        </w:tc>
      </w:tr>
      <w:tr w14:paraId="1AB1C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756" w:type="dxa"/>
            <w:vAlign w:val="center"/>
          </w:tcPr>
          <w:p w14:paraId="7C8D3B59">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2.1</w:t>
            </w:r>
          </w:p>
        </w:tc>
        <w:tc>
          <w:tcPr>
            <w:tcW w:w="1592" w:type="dxa"/>
            <w:vAlign w:val="center"/>
          </w:tcPr>
          <w:p w14:paraId="41F0E1DD">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构成采购文件的</w:t>
            </w:r>
          </w:p>
          <w:p w14:paraId="3353EAD0">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其他材料</w:t>
            </w:r>
          </w:p>
        </w:tc>
        <w:tc>
          <w:tcPr>
            <w:tcW w:w="7349" w:type="dxa"/>
            <w:vAlign w:val="center"/>
          </w:tcPr>
          <w:p w14:paraId="539B7E12">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如补充通知、澄清文件、答疑文件等资料（若有）</w:t>
            </w:r>
          </w:p>
        </w:tc>
      </w:tr>
      <w:tr w14:paraId="3F72D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10919C95">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2.2</w:t>
            </w:r>
          </w:p>
        </w:tc>
        <w:tc>
          <w:tcPr>
            <w:tcW w:w="1592" w:type="dxa"/>
            <w:vAlign w:val="center"/>
          </w:tcPr>
          <w:p w14:paraId="1B5661E4">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供应商要求澄清</w:t>
            </w:r>
          </w:p>
          <w:p w14:paraId="26AB2E79">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采购文件的截止时间</w:t>
            </w:r>
          </w:p>
        </w:tc>
        <w:tc>
          <w:tcPr>
            <w:tcW w:w="7349" w:type="dxa"/>
            <w:vAlign w:val="center"/>
          </w:tcPr>
          <w:p w14:paraId="1A55598F">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磋商截止时间至少5日前</w:t>
            </w:r>
          </w:p>
        </w:tc>
      </w:tr>
      <w:tr w14:paraId="33B57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jc w:val="center"/>
        </w:trPr>
        <w:tc>
          <w:tcPr>
            <w:tcW w:w="756" w:type="dxa"/>
            <w:vAlign w:val="center"/>
          </w:tcPr>
          <w:p w14:paraId="50823D2C">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2.2.1</w:t>
            </w:r>
          </w:p>
        </w:tc>
        <w:tc>
          <w:tcPr>
            <w:tcW w:w="1592" w:type="dxa"/>
            <w:vAlign w:val="center"/>
          </w:tcPr>
          <w:p w14:paraId="264F0D60">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磋商截止时间</w:t>
            </w:r>
          </w:p>
        </w:tc>
        <w:tc>
          <w:tcPr>
            <w:tcW w:w="7349" w:type="dxa"/>
            <w:vAlign w:val="center"/>
          </w:tcPr>
          <w:p w14:paraId="668BFAF7">
            <w:pPr>
              <w:spacing w:after="0" w:line="36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2026年6月5日09时00分</w:t>
            </w:r>
          </w:p>
        </w:tc>
      </w:tr>
      <w:tr w14:paraId="5143A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57AB7BAC">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2.2.2</w:t>
            </w:r>
          </w:p>
        </w:tc>
        <w:tc>
          <w:tcPr>
            <w:tcW w:w="1592" w:type="dxa"/>
            <w:vAlign w:val="center"/>
          </w:tcPr>
          <w:p w14:paraId="569ADBDB">
            <w:pPr>
              <w:spacing w:after="0" w:line="320" w:lineRule="exact"/>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供应商确认收到采购文件澄清的时间</w:t>
            </w:r>
            <w:r>
              <w:rPr>
                <w:rFonts w:hint="eastAsia" w:asciiTheme="minorEastAsia" w:hAnsiTheme="minorEastAsia" w:eastAsiaTheme="minorEastAsia" w:cstheme="minorEastAsia"/>
                <w:color w:val="auto"/>
                <w:sz w:val="21"/>
                <w:szCs w:val="21"/>
                <w:highlight w:val="none"/>
                <w:lang w:val="en-US" w:eastAsia="zh-CN"/>
              </w:rPr>
              <w:t>和方式</w:t>
            </w:r>
          </w:p>
        </w:tc>
        <w:tc>
          <w:tcPr>
            <w:tcW w:w="7349" w:type="dxa"/>
            <w:vAlign w:val="center"/>
          </w:tcPr>
          <w:p w14:paraId="05A40BA1">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时间：</w:t>
            </w:r>
            <w:r>
              <w:rPr>
                <w:rFonts w:hint="eastAsia" w:asciiTheme="minorEastAsia" w:hAnsiTheme="minorEastAsia" w:eastAsiaTheme="minorEastAsia" w:cstheme="minorEastAsia"/>
                <w:color w:val="auto"/>
                <w:sz w:val="21"/>
                <w:szCs w:val="21"/>
                <w:highlight w:val="none"/>
              </w:rPr>
              <w:t>发出后 1 个工作日内</w:t>
            </w:r>
          </w:p>
          <w:p w14:paraId="4647B741">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自行登录“政府采购云平台”（网址：https://www.zcygov.cn/)获取澄清，无须回复确认已收到该澄清。</w:t>
            </w:r>
          </w:p>
        </w:tc>
      </w:tr>
      <w:tr w14:paraId="370CB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71729288">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2.2.3</w:t>
            </w:r>
          </w:p>
        </w:tc>
        <w:tc>
          <w:tcPr>
            <w:tcW w:w="1592" w:type="dxa"/>
            <w:vAlign w:val="center"/>
          </w:tcPr>
          <w:p w14:paraId="5840E1E0">
            <w:pPr>
              <w:spacing w:after="0" w:line="320" w:lineRule="exact"/>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供应商确认收到采购文件修改的时间</w:t>
            </w:r>
            <w:r>
              <w:rPr>
                <w:rFonts w:hint="eastAsia" w:asciiTheme="minorEastAsia" w:hAnsiTheme="minorEastAsia" w:eastAsiaTheme="minorEastAsia" w:cstheme="minorEastAsia"/>
                <w:color w:val="auto"/>
                <w:sz w:val="21"/>
                <w:szCs w:val="21"/>
                <w:highlight w:val="none"/>
                <w:lang w:val="en-US" w:eastAsia="zh-CN"/>
              </w:rPr>
              <w:t>和方式</w:t>
            </w:r>
          </w:p>
        </w:tc>
        <w:tc>
          <w:tcPr>
            <w:tcW w:w="7349" w:type="dxa"/>
            <w:vAlign w:val="center"/>
          </w:tcPr>
          <w:p w14:paraId="33E1A47E">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时间：</w:t>
            </w:r>
            <w:r>
              <w:rPr>
                <w:rFonts w:hint="eastAsia" w:asciiTheme="minorEastAsia" w:hAnsiTheme="minorEastAsia" w:eastAsiaTheme="minorEastAsia" w:cstheme="minorEastAsia"/>
                <w:color w:val="auto"/>
                <w:sz w:val="21"/>
                <w:szCs w:val="21"/>
                <w:highlight w:val="none"/>
              </w:rPr>
              <w:t>发出后 1 个工作日内</w:t>
            </w:r>
          </w:p>
          <w:p w14:paraId="543B3F77">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自行登录“政府采购云平台”（网址：https://www.zcygov.cn/)获取</w:t>
            </w:r>
            <w:r>
              <w:rPr>
                <w:rFonts w:hint="eastAsia" w:asciiTheme="minorEastAsia" w:hAnsiTheme="minorEastAsia" w:eastAsiaTheme="minorEastAsia" w:cstheme="minorEastAsia"/>
                <w:color w:val="auto"/>
                <w:sz w:val="21"/>
                <w:szCs w:val="21"/>
                <w:highlight w:val="none"/>
                <w:lang w:val="en-US" w:eastAsia="zh-CN"/>
              </w:rPr>
              <w:t>修改</w:t>
            </w:r>
            <w:r>
              <w:rPr>
                <w:rFonts w:hint="eastAsia" w:asciiTheme="minorEastAsia" w:hAnsiTheme="minorEastAsia" w:eastAsiaTheme="minorEastAsia" w:cstheme="minorEastAsia"/>
                <w:color w:val="auto"/>
                <w:sz w:val="21"/>
                <w:szCs w:val="21"/>
                <w:highlight w:val="none"/>
              </w:rPr>
              <w:t>，无须回复确认已收到该</w:t>
            </w:r>
            <w:r>
              <w:rPr>
                <w:rFonts w:hint="eastAsia" w:asciiTheme="minorEastAsia" w:hAnsiTheme="minorEastAsia" w:eastAsiaTheme="minorEastAsia" w:cstheme="minorEastAsia"/>
                <w:color w:val="auto"/>
                <w:sz w:val="21"/>
                <w:szCs w:val="21"/>
                <w:highlight w:val="none"/>
                <w:lang w:val="en-US" w:eastAsia="zh-CN"/>
              </w:rPr>
              <w:t>修改</w:t>
            </w:r>
            <w:r>
              <w:rPr>
                <w:rFonts w:hint="eastAsia" w:asciiTheme="minorEastAsia" w:hAnsiTheme="minorEastAsia" w:eastAsiaTheme="minorEastAsia" w:cstheme="minorEastAsia"/>
                <w:color w:val="auto"/>
                <w:sz w:val="21"/>
                <w:szCs w:val="21"/>
                <w:highlight w:val="none"/>
              </w:rPr>
              <w:t>。</w:t>
            </w:r>
          </w:p>
        </w:tc>
      </w:tr>
      <w:tr w14:paraId="6B1EC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jc w:val="center"/>
        </w:trPr>
        <w:tc>
          <w:tcPr>
            <w:tcW w:w="756" w:type="dxa"/>
            <w:vAlign w:val="center"/>
          </w:tcPr>
          <w:p w14:paraId="44E3A013">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2.3.2</w:t>
            </w:r>
          </w:p>
        </w:tc>
        <w:tc>
          <w:tcPr>
            <w:tcW w:w="1592" w:type="dxa"/>
            <w:vAlign w:val="center"/>
          </w:tcPr>
          <w:p w14:paraId="267333BE">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构成响应文件的</w:t>
            </w:r>
          </w:p>
          <w:p w14:paraId="3FBACA5E">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其他材料</w:t>
            </w:r>
          </w:p>
        </w:tc>
        <w:tc>
          <w:tcPr>
            <w:tcW w:w="7349" w:type="dxa"/>
            <w:vAlign w:val="center"/>
          </w:tcPr>
          <w:p w14:paraId="3D83E716">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按采购文件格式中的要求提供</w:t>
            </w:r>
          </w:p>
        </w:tc>
      </w:tr>
      <w:tr w14:paraId="40C3E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56" w:type="dxa"/>
            <w:vAlign w:val="center"/>
          </w:tcPr>
          <w:p w14:paraId="63552E43">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3.2.3</w:t>
            </w:r>
          </w:p>
        </w:tc>
        <w:tc>
          <w:tcPr>
            <w:tcW w:w="1592" w:type="dxa"/>
            <w:vAlign w:val="center"/>
          </w:tcPr>
          <w:p w14:paraId="5786DC42">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采购控制价</w:t>
            </w:r>
          </w:p>
        </w:tc>
        <w:tc>
          <w:tcPr>
            <w:tcW w:w="7349" w:type="dxa"/>
            <w:vAlign w:val="center"/>
          </w:tcPr>
          <w:p w14:paraId="29C47B17">
            <w:pPr>
              <w:spacing w:after="0" w:line="3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预算金额：</w:t>
            </w:r>
            <w:r>
              <w:rPr>
                <w:rFonts w:hint="eastAsia" w:asciiTheme="minorEastAsia" w:hAnsiTheme="minorEastAsia" w:eastAsiaTheme="minorEastAsia" w:cstheme="minorEastAsia"/>
                <w:color w:val="auto"/>
                <w:sz w:val="21"/>
                <w:szCs w:val="21"/>
                <w:highlight w:val="none"/>
                <w:lang w:val="en-US" w:eastAsia="zh-CN"/>
              </w:rPr>
              <w:t>100.3392万元</w:t>
            </w:r>
          </w:p>
          <w:p w14:paraId="11AEAB18">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最高限价：100.3392万元</w:t>
            </w:r>
          </w:p>
        </w:tc>
      </w:tr>
      <w:tr w14:paraId="1C70F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756" w:type="dxa"/>
            <w:vAlign w:val="center"/>
          </w:tcPr>
          <w:p w14:paraId="6E13D894">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3.3.1</w:t>
            </w:r>
          </w:p>
        </w:tc>
        <w:tc>
          <w:tcPr>
            <w:tcW w:w="1592" w:type="dxa"/>
            <w:vAlign w:val="center"/>
          </w:tcPr>
          <w:p w14:paraId="6378AAAB">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磋商有效期</w:t>
            </w:r>
          </w:p>
        </w:tc>
        <w:tc>
          <w:tcPr>
            <w:tcW w:w="7349" w:type="dxa"/>
            <w:vAlign w:val="center"/>
          </w:tcPr>
          <w:p w14:paraId="3651C2D6">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磋商截止之日起90日历天</w:t>
            </w:r>
          </w:p>
        </w:tc>
      </w:tr>
      <w:tr w14:paraId="13887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14197306">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3.4</w:t>
            </w:r>
          </w:p>
        </w:tc>
        <w:tc>
          <w:tcPr>
            <w:tcW w:w="1592" w:type="dxa"/>
            <w:vAlign w:val="center"/>
          </w:tcPr>
          <w:p w14:paraId="1F25EA05">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是否缴纳</w:t>
            </w:r>
            <w:r>
              <w:rPr>
                <w:rFonts w:hint="eastAsia" w:asciiTheme="minorEastAsia" w:hAnsiTheme="minorEastAsia" w:eastAsiaTheme="minorEastAsia" w:cstheme="minorEastAsia"/>
                <w:color w:val="auto"/>
                <w:sz w:val="21"/>
                <w:szCs w:val="21"/>
                <w:highlight w:val="none"/>
              </w:rPr>
              <w:t>磋商保证金</w:t>
            </w:r>
          </w:p>
        </w:tc>
        <w:tc>
          <w:tcPr>
            <w:tcW w:w="7349" w:type="dxa"/>
            <w:vAlign w:val="center"/>
          </w:tcPr>
          <w:p w14:paraId="41BBCAAE">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否</w:t>
            </w:r>
          </w:p>
          <w:p w14:paraId="7EC85170">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sym w:font="Wingdings" w:char="00A8"/>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是</w:t>
            </w:r>
          </w:p>
        </w:tc>
      </w:tr>
      <w:tr w14:paraId="00530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756" w:type="dxa"/>
            <w:tcBorders>
              <w:bottom w:val="single" w:color="auto" w:sz="4" w:space="0"/>
            </w:tcBorders>
            <w:vAlign w:val="center"/>
          </w:tcPr>
          <w:p w14:paraId="09DE2281">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3.5.1</w:t>
            </w:r>
          </w:p>
        </w:tc>
        <w:tc>
          <w:tcPr>
            <w:tcW w:w="1592" w:type="dxa"/>
            <w:tcBorders>
              <w:bottom w:val="single" w:color="auto" w:sz="4" w:space="0"/>
            </w:tcBorders>
            <w:vAlign w:val="center"/>
          </w:tcPr>
          <w:p w14:paraId="526ED07A">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近年财务状况的      年份要求</w:t>
            </w:r>
          </w:p>
        </w:tc>
        <w:tc>
          <w:tcPr>
            <w:tcW w:w="7349" w:type="dxa"/>
            <w:tcBorders>
              <w:bottom w:val="single" w:color="auto" w:sz="4" w:space="0"/>
            </w:tcBorders>
            <w:vAlign w:val="center"/>
          </w:tcPr>
          <w:p w14:paraId="51A16D32">
            <w:pPr>
              <w:spacing w:after="0"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eastAsia="zh-CN"/>
              </w:rPr>
              <w:t>2023至2025年</w:t>
            </w:r>
            <w:r>
              <w:rPr>
                <w:rFonts w:hint="eastAsia" w:asciiTheme="minorEastAsia" w:hAnsiTheme="minorEastAsia" w:eastAsiaTheme="minorEastAsia" w:cstheme="minorEastAsia"/>
                <w:color w:val="auto"/>
                <w:sz w:val="21"/>
                <w:szCs w:val="21"/>
                <w:highlight w:val="none"/>
              </w:rPr>
              <w:t>度任意一个年度经社会审计机构出具的审计报告及会计报表（含资产负债表、现金流量表、利润表）；未经审计的，可提供</w:t>
            </w:r>
            <w:r>
              <w:rPr>
                <w:rFonts w:hint="eastAsia" w:asciiTheme="minorEastAsia" w:hAnsiTheme="minorEastAsia" w:eastAsiaTheme="minorEastAsia" w:cstheme="minorEastAsia"/>
                <w:color w:val="auto"/>
                <w:sz w:val="21"/>
                <w:szCs w:val="21"/>
                <w:highlight w:val="none"/>
                <w:lang w:eastAsia="zh-CN"/>
              </w:rPr>
              <w:t>2023至2025年</w:t>
            </w:r>
            <w:r>
              <w:rPr>
                <w:rFonts w:hint="eastAsia" w:asciiTheme="minorEastAsia" w:hAnsiTheme="minorEastAsia" w:eastAsiaTheme="minorEastAsia" w:cstheme="minorEastAsia"/>
                <w:color w:val="auto"/>
                <w:sz w:val="21"/>
                <w:szCs w:val="21"/>
                <w:highlight w:val="none"/>
              </w:rPr>
              <w:t>度任意一个年度公司内部自行编制的财务报表或银行开具的资信证明文件（新注册不满一年的企业可提供成立至今的会计报表或银行开具的资信证明文件或书面说明，此项要求可不列入废标条款）；</w:t>
            </w:r>
          </w:p>
        </w:tc>
      </w:tr>
      <w:tr w14:paraId="50714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717E13A8">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3.6</w:t>
            </w:r>
          </w:p>
        </w:tc>
        <w:tc>
          <w:tcPr>
            <w:tcW w:w="1592" w:type="dxa"/>
            <w:vAlign w:val="center"/>
          </w:tcPr>
          <w:p w14:paraId="3C055AEB">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是否允许递交               备选磋商方案</w:t>
            </w:r>
          </w:p>
        </w:tc>
        <w:tc>
          <w:tcPr>
            <w:tcW w:w="7349" w:type="dxa"/>
            <w:vAlign w:val="center"/>
          </w:tcPr>
          <w:p w14:paraId="048C915E">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■不允许    □允许</w:t>
            </w:r>
          </w:p>
        </w:tc>
      </w:tr>
      <w:tr w14:paraId="16205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756" w:type="dxa"/>
            <w:vAlign w:val="center"/>
          </w:tcPr>
          <w:p w14:paraId="5A45B217">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3.7.3</w:t>
            </w:r>
          </w:p>
        </w:tc>
        <w:tc>
          <w:tcPr>
            <w:tcW w:w="1592" w:type="dxa"/>
            <w:vAlign w:val="center"/>
          </w:tcPr>
          <w:p w14:paraId="03A6D0D6">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签字或盖章要求</w:t>
            </w:r>
          </w:p>
        </w:tc>
        <w:tc>
          <w:tcPr>
            <w:tcW w:w="7349" w:type="dxa"/>
            <w:vAlign w:val="center"/>
          </w:tcPr>
          <w:p w14:paraId="0868DB07">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按第六章“竞争性磋商响应文件格式”要求</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采用单位数字证书电子签章，在需要电子签章的地方进行电子签章，无需逐页电子签章。</w:t>
            </w:r>
          </w:p>
        </w:tc>
      </w:tr>
      <w:tr w14:paraId="3453B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jc w:val="center"/>
        </w:trPr>
        <w:tc>
          <w:tcPr>
            <w:tcW w:w="756" w:type="dxa"/>
            <w:vAlign w:val="center"/>
          </w:tcPr>
          <w:p w14:paraId="29E789E0">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3.7.4</w:t>
            </w:r>
          </w:p>
        </w:tc>
        <w:tc>
          <w:tcPr>
            <w:tcW w:w="1592" w:type="dxa"/>
            <w:vAlign w:val="center"/>
          </w:tcPr>
          <w:p w14:paraId="3F4E955D">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竞争性磋商           响应文件</w:t>
            </w:r>
            <w:r>
              <w:rPr>
                <w:rFonts w:hint="eastAsia" w:asciiTheme="minorEastAsia" w:hAnsiTheme="minorEastAsia" w:eastAsiaTheme="minorEastAsia" w:cstheme="minorEastAsia"/>
                <w:color w:val="auto"/>
                <w:sz w:val="21"/>
                <w:szCs w:val="21"/>
                <w:highlight w:val="none"/>
                <w:lang w:val="en-US" w:eastAsia="zh-CN"/>
              </w:rPr>
              <w:t>递交及</w:t>
            </w:r>
            <w:r>
              <w:rPr>
                <w:rFonts w:hint="eastAsia" w:asciiTheme="minorEastAsia" w:hAnsiTheme="minorEastAsia" w:eastAsiaTheme="minorEastAsia" w:cstheme="minorEastAsia"/>
                <w:color w:val="auto"/>
                <w:sz w:val="21"/>
                <w:szCs w:val="21"/>
                <w:highlight w:val="none"/>
              </w:rPr>
              <w:t>份数</w:t>
            </w:r>
          </w:p>
        </w:tc>
        <w:tc>
          <w:tcPr>
            <w:tcW w:w="7349" w:type="dxa"/>
            <w:vAlign w:val="center"/>
          </w:tcPr>
          <w:p w14:paraId="229302E5">
            <w:pPr>
              <w:spacing w:after="0" w:line="380" w:lineRule="exact"/>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tl w:val="0"/>
                <w:lang w:val="en-US" w:eastAsia="zh-CN"/>
              </w:rPr>
              <w:t>供应商应当在响应文件提交截止时间前将加密的响应文件上传至“政府采购云平台”。</w:t>
            </w:r>
          </w:p>
          <w:p w14:paraId="574D17E8">
            <w:pPr>
              <w:spacing w:after="0" w:line="38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注：</w:t>
            </w:r>
            <w:r>
              <w:rPr>
                <w:rFonts w:hint="eastAsia" w:asciiTheme="minorEastAsia" w:hAnsiTheme="minorEastAsia" w:eastAsiaTheme="minorEastAsia" w:cstheme="minorEastAsia"/>
                <w:b/>
                <w:bCs/>
                <w:color w:val="auto"/>
                <w:sz w:val="21"/>
                <w:szCs w:val="21"/>
                <w:highlight w:val="none"/>
                <w:lang w:val="en-US" w:eastAsia="zh-CN"/>
              </w:rPr>
              <w:t>成交</w:t>
            </w:r>
            <w:r>
              <w:rPr>
                <w:rFonts w:hint="eastAsia" w:asciiTheme="minorEastAsia" w:hAnsiTheme="minorEastAsia" w:eastAsiaTheme="minorEastAsia" w:cstheme="minorEastAsia"/>
                <w:b/>
                <w:bCs/>
                <w:color w:val="auto"/>
                <w:sz w:val="21"/>
                <w:szCs w:val="21"/>
                <w:highlight w:val="none"/>
              </w:rPr>
              <w:t>人在</w:t>
            </w:r>
            <w:r>
              <w:rPr>
                <w:rFonts w:hint="eastAsia" w:asciiTheme="minorEastAsia" w:hAnsiTheme="minorEastAsia" w:eastAsiaTheme="minorEastAsia" w:cstheme="minorEastAsia"/>
                <w:b/>
                <w:bCs/>
                <w:color w:val="auto"/>
                <w:sz w:val="21"/>
                <w:szCs w:val="21"/>
                <w:highlight w:val="none"/>
                <w:lang w:eastAsia="zh-CN"/>
              </w:rPr>
              <w:t>签订合同</w:t>
            </w:r>
            <w:r>
              <w:rPr>
                <w:rFonts w:hint="eastAsia" w:asciiTheme="minorEastAsia" w:hAnsiTheme="minorEastAsia" w:eastAsiaTheme="minorEastAsia" w:cstheme="minorEastAsia"/>
                <w:b/>
                <w:bCs/>
                <w:color w:val="auto"/>
                <w:sz w:val="21"/>
                <w:szCs w:val="21"/>
                <w:highlight w:val="none"/>
              </w:rPr>
              <w:t>时补交纸质版全套</w:t>
            </w:r>
            <w:r>
              <w:rPr>
                <w:rFonts w:hint="eastAsia" w:asciiTheme="minorEastAsia" w:hAnsiTheme="minorEastAsia" w:eastAsiaTheme="minorEastAsia" w:cstheme="minorEastAsia"/>
                <w:b/>
                <w:bCs/>
                <w:color w:val="auto"/>
                <w:sz w:val="21"/>
                <w:szCs w:val="21"/>
                <w:highlight w:val="none"/>
                <w:lang w:val="en-US" w:eastAsia="zh-CN"/>
              </w:rPr>
              <w:t>响应</w:t>
            </w:r>
            <w:r>
              <w:rPr>
                <w:rFonts w:hint="eastAsia" w:asciiTheme="minorEastAsia" w:hAnsiTheme="minorEastAsia" w:eastAsiaTheme="minorEastAsia" w:cstheme="minorEastAsia"/>
                <w:b/>
                <w:bCs/>
                <w:color w:val="auto"/>
                <w:sz w:val="21"/>
                <w:szCs w:val="21"/>
                <w:highlight w:val="none"/>
              </w:rPr>
              <w:t>文件正本</w:t>
            </w: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rPr>
              <w:t>份，副本</w:t>
            </w: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rPr>
              <w:t>份</w:t>
            </w:r>
            <w:r>
              <w:rPr>
                <w:rFonts w:hint="eastAsia" w:asciiTheme="minorEastAsia" w:hAnsiTheme="minorEastAsia" w:eastAsiaTheme="minorEastAsia" w:cstheme="minorEastAsia"/>
                <w:b/>
                <w:bCs/>
                <w:color w:val="auto"/>
                <w:sz w:val="21"/>
                <w:szCs w:val="21"/>
                <w:highlight w:val="none"/>
                <w:lang w:val="en-US" w:eastAsia="zh-CN"/>
              </w:rPr>
              <w:t>。</w:t>
            </w:r>
          </w:p>
        </w:tc>
      </w:tr>
      <w:tr w14:paraId="2ED82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68700B20">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3.7.5</w:t>
            </w:r>
          </w:p>
        </w:tc>
        <w:tc>
          <w:tcPr>
            <w:tcW w:w="1592" w:type="dxa"/>
            <w:vAlign w:val="center"/>
          </w:tcPr>
          <w:p w14:paraId="44F8917E">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成交供应商补交响应文件</w:t>
            </w:r>
            <w:r>
              <w:rPr>
                <w:rFonts w:hint="eastAsia" w:asciiTheme="minorEastAsia" w:hAnsiTheme="minorEastAsia" w:eastAsiaTheme="minorEastAsia" w:cstheme="minorEastAsia"/>
                <w:color w:val="auto"/>
                <w:sz w:val="21"/>
                <w:szCs w:val="21"/>
                <w:highlight w:val="none"/>
              </w:rPr>
              <w:t>装订要求</w:t>
            </w:r>
          </w:p>
        </w:tc>
        <w:tc>
          <w:tcPr>
            <w:tcW w:w="7349" w:type="dxa"/>
            <w:vAlign w:val="center"/>
          </w:tcPr>
          <w:p w14:paraId="664785BF">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响应文件应装订成册，不得采用活页装订。</w:t>
            </w:r>
          </w:p>
        </w:tc>
      </w:tr>
      <w:tr w14:paraId="133B2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jc w:val="center"/>
        </w:trPr>
        <w:tc>
          <w:tcPr>
            <w:tcW w:w="756" w:type="dxa"/>
            <w:vAlign w:val="center"/>
          </w:tcPr>
          <w:p w14:paraId="43A6F090">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4.1.2</w:t>
            </w:r>
          </w:p>
        </w:tc>
        <w:tc>
          <w:tcPr>
            <w:tcW w:w="1592" w:type="dxa"/>
            <w:vAlign w:val="center"/>
          </w:tcPr>
          <w:p w14:paraId="26317BE8">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封套上写明</w:t>
            </w:r>
          </w:p>
        </w:tc>
        <w:tc>
          <w:tcPr>
            <w:tcW w:w="7349" w:type="dxa"/>
          </w:tcPr>
          <w:p w14:paraId="2FF918F2">
            <w:pPr>
              <w:spacing w:after="0" w:line="380" w:lineRule="exact"/>
              <w:ind w:firstLine="210" w:firstLineChars="100"/>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u w:val="none"/>
                <w:lang w:val="en-US" w:eastAsia="zh-CN"/>
              </w:rPr>
              <w:t>/</w:t>
            </w:r>
          </w:p>
        </w:tc>
      </w:tr>
      <w:tr w14:paraId="7B96B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7" w:hRule="atLeast"/>
          <w:jc w:val="center"/>
        </w:trPr>
        <w:tc>
          <w:tcPr>
            <w:tcW w:w="756" w:type="dxa"/>
            <w:vAlign w:val="center"/>
          </w:tcPr>
          <w:p w14:paraId="7A49EF58">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4.2.1</w:t>
            </w:r>
          </w:p>
        </w:tc>
        <w:tc>
          <w:tcPr>
            <w:tcW w:w="1592" w:type="dxa"/>
            <w:vAlign w:val="center"/>
          </w:tcPr>
          <w:p w14:paraId="419C219E">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递交竞争性磋商</w:t>
            </w:r>
          </w:p>
          <w:p w14:paraId="0327B1CC">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响应文件时间、地点</w:t>
            </w:r>
          </w:p>
        </w:tc>
        <w:tc>
          <w:tcPr>
            <w:tcW w:w="7349" w:type="dxa"/>
          </w:tcPr>
          <w:p w14:paraId="335D8FDF">
            <w:pPr>
              <w:spacing w:after="0" w:line="380" w:lineRule="exact"/>
              <w:rPr>
                <w:rFonts w:hint="eastAsia" w:asciiTheme="minorEastAsia" w:hAnsiTheme="minorEastAsia" w:eastAsiaTheme="minorEastAsia" w:cstheme="minorEastAsia"/>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时间</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single"/>
                <w:lang w:eastAsia="zh-CN"/>
              </w:rPr>
              <w:t>2026年6月5日09时00分</w:t>
            </w:r>
            <w:r>
              <w:rPr>
                <w:rFonts w:hint="eastAsia" w:asciiTheme="minorEastAsia" w:hAnsiTheme="minorEastAsia" w:eastAsiaTheme="minorEastAsia" w:cstheme="minorEastAsia"/>
                <w:bCs/>
                <w:color w:val="auto"/>
                <w:sz w:val="21"/>
                <w:szCs w:val="21"/>
                <w:highlight w:val="none"/>
              </w:rPr>
              <w:t>以前</w:t>
            </w:r>
          </w:p>
          <w:p w14:paraId="48FDF4ED">
            <w:pPr>
              <w:spacing w:after="0" w:line="410" w:lineRule="exact"/>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rPr>
              <w:t>地点：</w:t>
            </w:r>
            <w:r>
              <w:rPr>
                <w:rFonts w:hint="eastAsia" w:asciiTheme="minorEastAsia" w:hAnsiTheme="minorEastAsia" w:eastAsiaTheme="minorEastAsia" w:cstheme="minorEastAsia"/>
                <w:bCs/>
                <w:color w:val="auto"/>
                <w:sz w:val="21"/>
                <w:szCs w:val="21"/>
                <w:highlight w:val="none"/>
                <w:lang w:val="en-US" w:eastAsia="zh-CN"/>
              </w:rPr>
              <w:t>通过“政府采购云平台”（网址：</w:t>
            </w:r>
            <w:r>
              <w:rPr>
                <w:rFonts w:hint="eastAsia" w:asciiTheme="minorEastAsia" w:hAnsiTheme="minorEastAsia" w:eastAsiaTheme="minorEastAsia" w:cstheme="minorEastAsia"/>
                <w:bCs/>
                <w:color w:val="auto"/>
                <w:sz w:val="21"/>
                <w:szCs w:val="21"/>
                <w:highlight w:val="none"/>
                <w:u w:val="none"/>
                <w:lang w:val="en-US" w:eastAsia="zh-CN"/>
              </w:rPr>
              <w:t>https://www.zcygov.cn/)</w:t>
            </w:r>
            <w:r>
              <w:rPr>
                <w:rFonts w:hint="eastAsia" w:asciiTheme="minorEastAsia" w:hAnsiTheme="minorEastAsia" w:eastAsiaTheme="minorEastAsia" w:cstheme="minorEastAsia"/>
                <w:bCs/>
                <w:color w:val="auto"/>
                <w:sz w:val="21"/>
                <w:szCs w:val="21"/>
                <w:highlight w:val="none"/>
                <w:lang w:val="en-US" w:eastAsia="zh-CN"/>
              </w:rPr>
              <w:t xml:space="preserve"> 进行网上递交。          </w:t>
            </w:r>
          </w:p>
          <w:p w14:paraId="0028635C">
            <w:pPr>
              <w:spacing w:after="0" w:line="410" w:lineRule="exact"/>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注：</w:t>
            </w:r>
          </w:p>
          <w:p w14:paraId="66F99ADA">
            <w:pPr>
              <w:spacing w:after="0" w:line="410" w:lineRule="exact"/>
              <w:rPr>
                <w:rFonts w:hint="eastAsia" w:asciiTheme="minorEastAsia" w:hAnsiTheme="minorEastAsia" w:eastAsiaTheme="minorEastAsia" w:cstheme="minorEastAsia"/>
                <w:bCs/>
                <w:color w:val="auto"/>
                <w:sz w:val="21"/>
                <w:szCs w:val="21"/>
                <w:highlight w:val="none"/>
                <w:rtl w:val="0"/>
                <w:lang w:val="en-US" w:eastAsia="zh-CN"/>
              </w:rPr>
            </w:pPr>
            <w:r>
              <w:rPr>
                <w:rFonts w:hint="eastAsia" w:asciiTheme="minorEastAsia" w:hAnsiTheme="minorEastAsia" w:eastAsiaTheme="minorEastAsia" w:cstheme="minorEastAsia"/>
                <w:bCs/>
                <w:color w:val="auto"/>
                <w:sz w:val="21"/>
                <w:szCs w:val="21"/>
                <w:highlight w:val="none"/>
                <w:rtl w:val="0"/>
                <w:lang w:val="en-US" w:eastAsia="zh-CN"/>
              </w:rPr>
              <w:t>1.供应商应按照本项目采购文件和“政府采购云平台”的要求编制、加密响应文件，并在响应文件提交截止时间前上传至“政府采购云平台”，响应文件提交截止时间前未完成响应文件上传的，视为撤回响应文件。</w:t>
            </w:r>
          </w:p>
          <w:p w14:paraId="1E36E991">
            <w:pPr>
              <w:spacing w:after="0" w:line="410" w:lineRule="exact"/>
              <w:rPr>
                <w:rFonts w:hint="eastAsia" w:asciiTheme="minorEastAsia" w:hAnsiTheme="minorEastAsia" w:eastAsiaTheme="minorEastAsia" w:cstheme="minorEastAsia"/>
                <w:bCs/>
                <w:color w:val="auto"/>
                <w:sz w:val="21"/>
                <w:szCs w:val="21"/>
                <w:highlight w:val="none"/>
                <w:u w:val="single"/>
                <w:lang w:val="en-US"/>
              </w:rPr>
            </w:pPr>
            <w:r>
              <w:rPr>
                <w:rFonts w:hint="eastAsia" w:asciiTheme="minorEastAsia" w:hAnsiTheme="minorEastAsia" w:eastAsiaTheme="minorEastAsia" w:cstheme="minorEastAsia"/>
                <w:bCs/>
                <w:color w:val="auto"/>
                <w:sz w:val="21"/>
                <w:szCs w:val="21"/>
                <w:highlight w:val="none"/>
                <w:rtl w:val="0"/>
                <w:lang w:val="en-US" w:eastAsia="zh-CN"/>
              </w:rPr>
              <w:t>2.项目采用在政府采购云平台（www.zcygov.cn）上进行采购与递交响应文件，无需现场递交纸质文件，但供应商应在文件递交截止时间登录系统，并在系统上等待通知磋商和最后报价。</w:t>
            </w:r>
          </w:p>
        </w:tc>
      </w:tr>
      <w:tr w14:paraId="54373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6E869CB1">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4.2.2</w:t>
            </w:r>
          </w:p>
        </w:tc>
        <w:tc>
          <w:tcPr>
            <w:tcW w:w="1592" w:type="dxa"/>
            <w:vAlign w:val="center"/>
          </w:tcPr>
          <w:p w14:paraId="46D7EF8F">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是否退还竞争性</w:t>
            </w:r>
          </w:p>
          <w:p w14:paraId="550EB15D">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磋商响应文件</w:t>
            </w:r>
          </w:p>
        </w:tc>
        <w:tc>
          <w:tcPr>
            <w:tcW w:w="7349" w:type="dxa"/>
            <w:vAlign w:val="center"/>
          </w:tcPr>
          <w:p w14:paraId="7E1DB827">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■否</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□是</w:t>
            </w:r>
          </w:p>
        </w:tc>
      </w:tr>
      <w:tr w14:paraId="6DC78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756" w:type="dxa"/>
            <w:vAlign w:val="center"/>
          </w:tcPr>
          <w:p w14:paraId="49BA8C74">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4.2.3</w:t>
            </w:r>
          </w:p>
        </w:tc>
        <w:tc>
          <w:tcPr>
            <w:tcW w:w="1592" w:type="dxa"/>
            <w:vAlign w:val="center"/>
          </w:tcPr>
          <w:p w14:paraId="773290E7">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磋商时间和地点</w:t>
            </w:r>
          </w:p>
        </w:tc>
        <w:tc>
          <w:tcPr>
            <w:tcW w:w="7349" w:type="dxa"/>
            <w:vAlign w:val="center"/>
          </w:tcPr>
          <w:p w14:paraId="2A22BB45">
            <w:pPr>
              <w:spacing w:after="0" w:line="380" w:lineRule="exact"/>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时间：</w:t>
            </w:r>
            <w:r>
              <w:rPr>
                <w:rFonts w:hint="eastAsia" w:asciiTheme="minorEastAsia" w:hAnsiTheme="minorEastAsia" w:eastAsiaTheme="minorEastAsia" w:cstheme="minorEastAsia"/>
                <w:color w:val="auto"/>
                <w:sz w:val="21"/>
                <w:szCs w:val="21"/>
                <w:highlight w:val="none"/>
                <w:u w:val="none"/>
                <w:lang w:eastAsia="zh-CN"/>
              </w:rPr>
              <w:t>2026年6月5日09时00分（</w:t>
            </w:r>
            <w:r>
              <w:rPr>
                <w:rFonts w:hint="eastAsia" w:asciiTheme="minorEastAsia" w:hAnsiTheme="minorEastAsia" w:eastAsiaTheme="minorEastAsia" w:cstheme="minorEastAsia"/>
                <w:color w:val="auto"/>
                <w:sz w:val="21"/>
                <w:szCs w:val="21"/>
                <w:highlight w:val="none"/>
                <w:u w:val="none"/>
                <w:lang w:val="en-US" w:eastAsia="zh-CN"/>
              </w:rPr>
              <w:t>北京时间）</w:t>
            </w:r>
          </w:p>
          <w:p w14:paraId="16E79070">
            <w:pPr>
              <w:spacing w:after="0" w:line="380" w:lineRule="exac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地点：</w:t>
            </w:r>
            <w:r>
              <w:rPr>
                <w:rFonts w:hint="eastAsia" w:asciiTheme="minorEastAsia" w:hAnsiTheme="minorEastAsia" w:eastAsiaTheme="minorEastAsia" w:cstheme="minorEastAsia"/>
                <w:bCs/>
                <w:color w:val="auto"/>
                <w:sz w:val="21"/>
                <w:szCs w:val="21"/>
                <w:highlight w:val="none"/>
                <w:lang w:eastAsia="zh-CN"/>
              </w:rPr>
              <w:t>龙陵县政府采购和出让中心开评标室（龙陵县龙山镇金溪路1号）</w:t>
            </w:r>
          </w:p>
        </w:tc>
      </w:tr>
      <w:tr w14:paraId="106C1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7E2D1797">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5.2</w:t>
            </w:r>
          </w:p>
        </w:tc>
        <w:tc>
          <w:tcPr>
            <w:tcW w:w="1592" w:type="dxa"/>
            <w:vAlign w:val="center"/>
          </w:tcPr>
          <w:p w14:paraId="2FB0E65C">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磋商程序</w:t>
            </w:r>
          </w:p>
        </w:tc>
        <w:tc>
          <w:tcPr>
            <w:tcW w:w="7349" w:type="dxa"/>
            <w:vAlign w:val="center"/>
          </w:tcPr>
          <w:p w14:paraId="7727A936">
            <w:pPr>
              <w:spacing w:after="0" w:line="380" w:lineRule="exact"/>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按照平台自动提取所有供应商的顺序当众开标</w:t>
            </w:r>
          </w:p>
        </w:tc>
      </w:tr>
      <w:tr w14:paraId="5636E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4A374874">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6.1</w:t>
            </w:r>
          </w:p>
        </w:tc>
        <w:tc>
          <w:tcPr>
            <w:tcW w:w="1592" w:type="dxa"/>
            <w:vAlign w:val="center"/>
          </w:tcPr>
          <w:p w14:paraId="674B96D9">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磋商小组的组建</w:t>
            </w:r>
          </w:p>
        </w:tc>
        <w:tc>
          <w:tcPr>
            <w:tcW w:w="7349" w:type="dxa"/>
            <w:vAlign w:val="center"/>
          </w:tcPr>
          <w:p w14:paraId="46DAC020">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磋商小组人数：</w:t>
            </w:r>
            <w:r>
              <w:rPr>
                <w:rFonts w:hint="eastAsia" w:asciiTheme="minorEastAsia" w:hAnsiTheme="minorEastAsia" w:eastAsiaTheme="minorEastAsia" w:cstheme="minorEastAsia"/>
                <w:color w:val="auto"/>
                <w:sz w:val="21"/>
                <w:szCs w:val="21"/>
                <w:highlight w:val="none"/>
                <w:u w:val="single"/>
              </w:rPr>
              <w:t>3人</w:t>
            </w:r>
            <w:r>
              <w:rPr>
                <w:rFonts w:hint="eastAsia" w:asciiTheme="minorEastAsia" w:hAnsiTheme="minorEastAsia" w:eastAsiaTheme="minorEastAsia" w:cstheme="minorEastAsia"/>
                <w:color w:val="auto"/>
                <w:sz w:val="21"/>
                <w:szCs w:val="21"/>
                <w:highlight w:val="none"/>
              </w:rPr>
              <w:t>及以上单数</w:t>
            </w:r>
          </w:p>
          <w:p w14:paraId="19AAF740">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磋商小组构成：由采购人代表和评审专家共3人及以上单数组成，其中评审专家人数不得少于磋商小组成员总数的2/3。</w:t>
            </w:r>
          </w:p>
          <w:p w14:paraId="01B341EE">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注：采购人委派代表参加评审委员会的，须向采购代理机构出具授权函。采购人代表不得担任组长。</w:t>
            </w:r>
          </w:p>
          <w:p w14:paraId="382033A5">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评标专家确定方式：采购人推荐、云南省政府采购专家库随机抽取。</w:t>
            </w:r>
          </w:p>
          <w:p w14:paraId="78453EBB">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注：市场竞争不充分的科研项目，以及需要扶持的科技成果转化项目以及情况特殊、通过随机方式难以确定合适的评审专家的项目，经主管预算单位同意，可以自行选定评审专家。</w:t>
            </w:r>
          </w:p>
        </w:tc>
      </w:tr>
      <w:tr w14:paraId="239B1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56" w:type="dxa"/>
            <w:vAlign w:val="center"/>
          </w:tcPr>
          <w:p w14:paraId="38E4148F">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6.3</w:t>
            </w:r>
          </w:p>
        </w:tc>
        <w:tc>
          <w:tcPr>
            <w:tcW w:w="1592" w:type="dxa"/>
            <w:vAlign w:val="center"/>
          </w:tcPr>
          <w:p w14:paraId="0A91351B">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评标办法</w:t>
            </w:r>
          </w:p>
        </w:tc>
        <w:tc>
          <w:tcPr>
            <w:tcW w:w="7349" w:type="dxa"/>
            <w:vAlign w:val="center"/>
          </w:tcPr>
          <w:p w14:paraId="171A0301">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综合评分法</w:t>
            </w:r>
          </w:p>
        </w:tc>
      </w:tr>
      <w:tr w14:paraId="38585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0731CE6B">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7.1.2</w:t>
            </w:r>
          </w:p>
        </w:tc>
        <w:tc>
          <w:tcPr>
            <w:tcW w:w="1592" w:type="dxa"/>
            <w:vAlign w:val="center"/>
          </w:tcPr>
          <w:p w14:paraId="7854B280">
            <w:pPr>
              <w:spacing w:after="0"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是否授权磋商小组确定成交单位</w:t>
            </w:r>
          </w:p>
        </w:tc>
        <w:tc>
          <w:tcPr>
            <w:tcW w:w="7349" w:type="dxa"/>
            <w:vAlign w:val="center"/>
          </w:tcPr>
          <w:p w14:paraId="627FC9FA">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1"/>
                <w:szCs w:val="21"/>
                <w:highlight w:val="none"/>
              </w:rPr>
              <w:t>是</w:t>
            </w:r>
          </w:p>
          <w:p w14:paraId="499F63FE">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否，由磋商小组根据采购文件评审办法的相关规定推荐成交单位，采购人根据相关规定确定成交。</w:t>
            </w:r>
          </w:p>
        </w:tc>
      </w:tr>
      <w:tr w14:paraId="23DDD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 w:hRule="atLeast"/>
          <w:jc w:val="center"/>
        </w:trPr>
        <w:tc>
          <w:tcPr>
            <w:tcW w:w="756" w:type="dxa"/>
            <w:vAlign w:val="center"/>
          </w:tcPr>
          <w:p w14:paraId="7411E2D8">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7.3</w:t>
            </w:r>
          </w:p>
        </w:tc>
        <w:tc>
          <w:tcPr>
            <w:tcW w:w="1592" w:type="dxa"/>
            <w:vAlign w:val="center"/>
          </w:tcPr>
          <w:p w14:paraId="42CF8DB6">
            <w:pPr>
              <w:spacing w:after="0"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w:t>
            </w:r>
          </w:p>
        </w:tc>
        <w:tc>
          <w:tcPr>
            <w:tcW w:w="7349" w:type="dxa"/>
            <w:vAlign w:val="center"/>
          </w:tcPr>
          <w:p w14:paraId="17470E73">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 </w:t>
            </w:r>
          </w:p>
          <w:p w14:paraId="0EEB0BF9">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1"/>
                <w:szCs w:val="21"/>
                <w:highlight w:val="none"/>
              </w:rPr>
              <w:t>提交</w:t>
            </w:r>
          </w:p>
          <w:p w14:paraId="4DB3804C">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履约保证金的形式：支票、汇票、本票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保险/</w:t>
            </w:r>
            <w:r>
              <w:rPr>
                <w:rFonts w:hint="eastAsia" w:asciiTheme="minorEastAsia" w:hAnsiTheme="minorEastAsia" w:eastAsiaTheme="minorEastAsia" w:cstheme="minorEastAsia"/>
                <w:color w:val="auto"/>
                <w:sz w:val="21"/>
                <w:szCs w:val="21"/>
                <w:highlight w:val="none"/>
              </w:rPr>
              <w:t>保函等非现金形式</w:t>
            </w:r>
          </w:p>
          <w:p w14:paraId="4ECEDEA1">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履约保证金的金额：</w:t>
            </w:r>
            <w:r>
              <w:rPr>
                <w:rFonts w:hint="eastAsia" w:asciiTheme="minorEastAsia" w:hAnsiTheme="minorEastAsia" w:eastAsiaTheme="minorEastAsia" w:cstheme="minorEastAsia"/>
                <w:color w:val="auto"/>
                <w:sz w:val="21"/>
                <w:szCs w:val="21"/>
                <w:highlight w:val="none"/>
                <w:u w:val="single"/>
                <w:lang w:val="en-US" w:eastAsia="zh-CN"/>
              </w:rPr>
              <w:t>/</w:t>
            </w:r>
            <w:r>
              <w:rPr>
                <w:rFonts w:hint="eastAsia" w:asciiTheme="minorEastAsia" w:hAnsiTheme="minorEastAsia" w:eastAsiaTheme="minorEastAsia" w:cstheme="minorEastAsia"/>
                <w:color w:val="auto"/>
                <w:sz w:val="21"/>
                <w:szCs w:val="21"/>
                <w:highlight w:val="none"/>
              </w:rPr>
              <w:t>；</w:t>
            </w:r>
          </w:p>
          <w:p w14:paraId="7D4E26B5">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注：履约保证金的数额不得超过政府采购合同金额的10%。</w:t>
            </w:r>
          </w:p>
        </w:tc>
      </w:tr>
      <w:tr w14:paraId="754B4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756" w:type="dxa"/>
            <w:vAlign w:val="center"/>
          </w:tcPr>
          <w:p w14:paraId="7EFDF4B9">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10</w:t>
            </w:r>
          </w:p>
        </w:tc>
        <w:tc>
          <w:tcPr>
            <w:tcW w:w="8941" w:type="dxa"/>
            <w:gridSpan w:val="2"/>
            <w:vAlign w:val="center"/>
          </w:tcPr>
          <w:p w14:paraId="5917C526">
            <w:pPr>
              <w:spacing w:after="0" w:line="32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需要补充的其他内容</w:t>
            </w:r>
          </w:p>
        </w:tc>
      </w:tr>
      <w:tr w14:paraId="75DBA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31228A8A">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10.1</w:t>
            </w:r>
          </w:p>
        </w:tc>
        <w:tc>
          <w:tcPr>
            <w:tcW w:w="1592" w:type="dxa"/>
            <w:vAlign w:val="center"/>
          </w:tcPr>
          <w:p w14:paraId="281D045D">
            <w:pPr>
              <w:spacing w:after="0" w:line="0" w:lineRule="atLeas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报价说明</w:t>
            </w:r>
          </w:p>
        </w:tc>
        <w:tc>
          <w:tcPr>
            <w:tcW w:w="7349" w:type="dxa"/>
            <w:vAlign w:val="center"/>
          </w:tcPr>
          <w:p w14:paraId="7BBD2303">
            <w:pPr>
              <w:spacing w:after="0" w:line="300" w:lineRule="exact"/>
              <w:rPr>
                <w:rFonts w:hint="eastAsia" w:cs="Times New Roman" w:asciiTheme="minorEastAsia" w:hAnsiTheme="minorEastAsia" w:eastAsiaTheme="minorEastAsia"/>
                <w:color w:val="auto"/>
                <w:sz w:val="21"/>
                <w:szCs w:val="21"/>
                <w:lang w:eastAsia="zh-CN"/>
              </w:rPr>
            </w:pPr>
            <w:r>
              <w:rPr>
                <w:rFonts w:cs="Times New Roman" w:asciiTheme="minorEastAsia" w:hAnsiTheme="minorEastAsia" w:eastAsiaTheme="minorEastAsia"/>
                <w:color w:val="auto"/>
                <w:sz w:val="21"/>
                <w:szCs w:val="21"/>
              </w:rPr>
              <w:t>报价说明</w:t>
            </w:r>
          </w:p>
          <w:p w14:paraId="4F730C3C">
            <w:pPr>
              <w:spacing w:after="0" w:line="300" w:lineRule="exact"/>
              <w:rPr>
                <w:rFonts w:hint="eastAsia" w:cs="Times New Roman" w:asciiTheme="minorEastAsia" w:hAnsiTheme="minorEastAsia" w:eastAsiaTheme="minorEastAsia"/>
                <w:b/>
                <w:bCs/>
                <w:color w:val="auto"/>
                <w:sz w:val="21"/>
                <w:szCs w:val="21"/>
                <w:lang w:eastAsia="zh-CN"/>
              </w:rPr>
            </w:pPr>
            <w:r>
              <w:rPr>
                <w:rFonts w:cs="Times New Roman" w:asciiTheme="minorEastAsia" w:hAnsiTheme="minorEastAsia" w:eastAsiaTheme="minorEastAsia"/>
                <w:b/>
                <w:bCs/>
                <w:color w:val="auto"/>
                <w:sz w:val="21"/>
                <w:szCs w:val="21"/>
              </w:rPr>
              <w:t>本项目采用2轮报价。</w:t>
            </w:r>
          </w:p>
          <w:p w14:paraId="55099765">
            <w:pPr>
              <w:spacing w:after="0" w:line="300" w:lineRule="exact"/>
              <w:rPr>
                <w:rFonts w:hint="eastAsia" w:cs="Times New Roman" w:asciiTheme="minorEastAsia" w:hAnsiTheme="minorEastAsia" w:eastAsiaTheme="minorEastAsia"/>
                <w:color w:val="auto"/>
                <w:sz w:val="21"/>
                <w:szCs w:val="21"/>
                <w:lang w:eastAsia="zh-CN"/>
              </w:rPr>
            </w:pPr>
            <w:r>
              <w:rPr>
                <w:rFonts w:cs="Times New Roman" w:asciiTheme="minorEastAsia" w:hAnsiTheme="minorEastAsia" w:eastAsiaTheme="minorEastAsia"/>
                <w:color w:val="auto"/>
                <w:sz w:val="21"/>
                <w:szCs w:val="21"/>
              </w:rPr>
              <w:t>第 1 轮：磋商申请人制作响应文件的同时在文件中第一次报价</w:t>
            </w:r>
            <w:r>
              <w:rPr>
                <w:rFonts w:hint="eastAsia" w:cs="Times New Roman" w:asciiTheme="minorEastAsia" w:hAnsiTheme="minorEastAsia" w:eastAsiaTheme="minorEastAsia"/>
                <w:b/>
                <w:bCs/>
                <w:color w:val="auto"/>
                <w:sz w:val="21"/>
                <w:szCs w:val="21"/>
              </w:rPr>
              <w:t>（第一轮报价不公布）</w:t>
            </w:r>
            <w:r>
              <w:rPr>
                <w:rFonts w:cs="Times New Roman" w:asciiTheme="minorEastAsia" w:hAnsiTheme="minorEastAsia" w:eastAsiaTheme="minorEastAsia"/>
                <w:color w:val="auto"/>
                <w:sz w:val="21"/>
                <w:szCs w:val="21"/>
              </w:rPr>
              <w:t>。</w:t>
            </w:r>
          </w:p>
          <w:p w14:paraId="4BB1C682">
            <w:pPr>
              <w:spacing w:after="0" w:line="300" w:lineRule="exact"/>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第 2 轮（即最后报价）：在磋商结束后，磋商小组要求所有实质性响应的磋商申请人在规定时间内提交最后报价（最后报价为评审依据）。</w:t>
            </w:r>
          </w:p>
          <w:p w14:paraId="03F16F6A">
            <w:pPr>
              <w:spacing w:after="0" w:line="300" w:lineRule="exact"/>
              <w:rPr>
                <w:rFonts w:hint="eastAsia" w:asciiTheme="minorEastAsia" w:hAnsiTheme="minorEastAsia" w:eastAsiaTheme="minorEastAsia" w:cstheme="minorEastAsia"/>
                <w:color w:val="auto"/>
                <w:highlight w:val="none"/>
              </w:rPr>
            </w:pPr>
            <w:r>
              <w:rPr>
                <w:rFonts w:hint="eastAsia" w:cs="Times New Roman" w:asciiTheme="minorEastAsia" w:hAnsiTheme="minorEastAsia" w:eastAsiaTheme="minorEastAsia"/>
                <w:color w:val="auto"/>
                <w:sz w:val="21"/>
                <w:szCs w:val="21"/>
              </w:rPr>
              <w:t>注：磋商报价高于预算金额时，为废标。最终报价不得</w:t>
            </w:r>
            <w:r>
              <w:rPr>
                <w:rFonts w:hint="eastAsia" w:cs="Times New Roman" w:asciiTheme="minorEastAsia" w:hAnsiTheme="minorEastAsia" w:eastAsiaTheme="minorEastAsia"/>
                <w:color w:val="auto"/>
                <w:sz w:val="21"/>
                <w:szCs w:val="21"/>
                <w:lang w:eastAsia="zh-CN"/>
              </w:rPr>
              <w:t>高</w:t>
            </w:r>
            <w:r>
              <w:rPr>
                <w:rFonts w:hint="eastAsia" w:cs="Times New Roman" w:asciiTheme="minorEastAsia" w:hAnsiTheme="minorEastAsia" w:eastAsiaTheme="minorEastAsia"/>
                <w:color w:val="auto"/>
                <w:sz w:val="21"/>
                <w:szCs w:val="21"/>
              </w:rPr>
              <w:t xml:space="preserve">于第一次报价，否则视为无效报价；采购人不承诺最低价成交。 </w:t>
            </w:r>
          </w:p>
        </w:tc>
      </w:tr>
      <w:tr w14:paraId="34274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jc w:val="center"/>
        </w:trPr>
        <w:tc>
          <w:tcPr>
            <w:tcW w:w="756" w:type="dxa"/>
            <w:tcBorders>
              <w:bottom w:val="single" w:color="auto" w:sz="4" w:space="0"/>
              <w:right w:val="single" w:color="auto" w:sz="4" w:space="0"/>
            </w:tcBorders>
            <w:vAlign w:val="center"/>
          </w:tcPr>
          <w:p w14:paraId="3E91E163">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10.2</w:t>
            </w:r>
          </w:p>
        </w:tc>
        <w:tc>
          <w:tcPr>
            <w:tcW w:w="1592" w:type="dxa"/>
            <w:tcBorders>
              <w:left w:val="single" w:color="auto" w:sz="4" w:space="0"/>
              <w:bottom w:val="single" w:color="auto" w:sz="4" w:space="0"/>
              <w:right w:val="single" w:color="auto" w:sz="4" w:space="0"/>
            </w:tcBorders>
            <w:vAlign w:val="center"/>
          </w:tcPr>
          <w:p w14:paraId="7D94C7E4">
            <w:pPr>
              <w:spacing w:after="0" w:line="360" w:lineRule="exact"/>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同义词理解</w:t>
            </w:r>
          </w:p>
        </w:tc>
        <w:tc>
          <w:tcPr>
            <w:tcW w:w="7349" w:type="dxa"/>
            <w:tcBorders>
              <w:left w:val="single" w:color="auto" w:sz="4" w:space="0"/>
              <w:bottom w:val="single" w:color="auto" w:sz="4" w:space="0"/>
            </w:tcBorders>
            <w:vAlign w:val="center"/>
          </w:tcPr>
          <w:p w14:paraId="2DDCA260">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竞争性磋商文件中“采购人”同“发包人、招标人”；“招标代理机构”同“采购代理机构”；“成交供应商”同“中标人、中标单位”，“供应商”同“投标单位”、“磋商申请人”。</w:t>
            </w:r>
          </w:p>
        </w:tc>
      </w:tr>
      <w:tr w14:paraId="33B0D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756" w:type="dxa"/>
            <w:tcBorders>
              <w:top w:val="single" w:color="auto" w:sz="4" w:space="0"/>
              <w:bottom w:val="single" w:color="auto" w:sz="4" w:space="0"/>
              <w:right w:val="single" w:color="auto" w:sz="4" w:space="0"/>
            </w:tcBorders>
            <w:vAlign w:val="center"/>
          </w:tcPr>
          <w:p w14:paraId="1A07F1E2">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10.3</w:t>
            </w:r>
          </w:p>
        </w:tc>
        <w:tc>
          <w:tcPr>
            <w:tcW w:w="1592" w:type="dxa"/>
            <w:tcBorders>
              <w:top w:val="single" w:color="auto" w:sz="4" w:space="0"/>
              <w:left w:val="single" w:color="auto" w:sz="4" w:space="0"/>
              <w:bottom w:val="single" w:color="auto" w:sz="4" w:space="0"/>
              <w:right w:val="single" w:color="auto" w:sz="4" w:space="0"/>
            </w:tcBorders>
            <w:vAlign w:val="center"/>
          </w:tcPr>
          <w:p w14:paraId="4A3D81C1">
            <w:pPr>
              <w:spacing w:after="0" w:line="0" w:lineRule="atLeas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知识产权</w:t>
            </w:r>
          </w:p>
        </w:tc>
        <w:tc>
          <w:tcPr>
            <w:tcW w:w="7349" w:type="dxa"/>
            <w:tcBorders>
              <w:top w:val="single" w:color="auto" w:sz="4" w:space="0"/>
              <w:left w:val="single" w:color="auto" w:sz="4" w:space="0"/>
              <w:bottom w:val="single" w:color="auto" w:sz="4" w:space="0"/>
            </w:tcBorders>
            <w:vAlign w:val="center"/>
          </w:tcPr>
          <w:p w14:paraId="0E6C4B4E">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申请单位必须遵守《中华人民共和国保守国家秘密法》、《中华人民共和国保守国家秘密法实施条例》规定做好保密工作，构成本磋商文件各个组成部分的文件，未经采购人书面同意，供应商不得擅自复印和用于非本磋商项目所需的其他目的。采购人全部或者部分使用未成交人磋商响应文件中的技术成果或技术方案时，需征得其书面同意，并不得擅自复印或提供给第三人。</w:t>
            </w:r>
          </w:p>
          <w:p w14:paraId="306ADE83">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p w14:paraId="37E15CF7">
            <w:pPr>
              <w:spacing w:after="0" w:line="38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1.采购人享有本项目实施过程中产生的知识成果及知识产权。</w:t>
            </w:r>
          </w:p>
          <w:p w14:paraId="7966CAB1">
            <w:pPr>
              <w:spacing w:after="0" w:line="38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2.如采用供应商所不拥有的知识产权，在采购报价中必须包括合法获取该知识产权的相关费用。如因知识产权而引起法律和经济纠纷，由供应商自行承担全部责任及由此产生的费用。</w:t>
            </w:r>
          </w:p>
          <w:p w14:paraId="2D243267">
            <w:pPr>
              <w:spacing w:after="0" w:line="3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1"/>
                <w:szCs w:val="21"/>
                <w:highlight w:val="none"/>
              </w:rPr>
              <w:t>3.本项目响应采购（成交）产品如果存在资质、专利、授权、经营、经济等各类纠纷、仲裁或诉讼问题的，采购人、评标委员会和采购代理机构均不承担任何责任。评标委员会决定投标的响应性仅根据响应文件本身的内容，而不寻求外部的证据。</w:t>
            </w:r>
          </w:p>
        </w:tc>
      </w:tr>
      <w:tr w14:paraId="7425D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756" w:type="dxa"/>
            <w:tcBorders>
              <w:top w:val="single" w:color="auto" w:sz="4" w:space="0"/>
              <w:bottom w:val="single" w:color="auto" w:sz="4" w:space="0"/>
              <w:right w:val="single" w:color="auto" w:sz="4" w:space="0"/>
            </w:tcBorders>
            <w:vAlign w:val="center"/>
          </w:tcPr>
          <w:p w14:paraId="7FAAFEB6">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10.4</w:t>
            </w:r>
          </w:p>
        </w:tc>
        <w:tc>
          <w:tcPr>
            <w:tcW w:w="1592" w:type="dxa"/>
            <w:tcBorders>
              <w:top w:val="single" w:color="auto" w:sz="4" w:space="0"/>
              <w:left w:val="single" w:color="auto" w:sz="4" w:space="0"/>
              <w:bottom w:val="single" w:color="auto" w:sz="4" w:space="0"/>
              <w:right w:val="single" w:color="auto" w:sz="4" w:space="0"/>
            </w:tcBorders>
            <w:vAlign w:val="center"/>
          </w:tcPr>
          <w:p w14:paraId="4B506A36">
            <w:pPr>
              <w:spacing w:after="0" w:line="0" w:lineRule="atLeas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解释权</w:t>
            </w:r>
          </w:p>
        </w:tc>
        <w:tc>
          <w:tcPr>
            <w:tcW w:w="7349" w:type="dxa"/>
            <w:tcBorders>
              <w:top w:val="single" w:color="auto" w:sz="4" w:space="0"/>
              <w:left w:val="single" w:color="auto" w:sz="4" w:space="0"/>
              <w:bottom w:val="single" w:color="auto" w:sz="4" w:space="0"/>
            </w:tcBorders>
            <w:vAlign w:val="center"/>
          </w:tcPr>
          <w:p w14:paraId="50E1B22E">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磋商阶段的规定，按磋商公告（磋商邀请书）、供应商须知、评标办法、磋商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3E585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756" w:type="dxa"/>
            <w:tcBorders>
              <w:top w:val="single" w:color="auto" w:sz="4" w:space="0"/>
              <w:bottom w:val="single" w:color="auto" w:sz="4" w:space="0"/>
              <w:right w:val="single" w:color="auto" w:sz="4" w:space="0"/>
            </w:tcBorders>
            <w:vAlign w:val="center"/>
          </w:tcPr>
          <w:p w14:paraId="2BB9B94A">
            <w:pPr>
              <w:spacing w:after="0" w:line="38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10.5</w:t>
            </w:r>
          </w:p>
        </w:tc>
        <w:tc>
          <w:tcPr>
            <w:tcW w:w="1592" w:type="dxa"/>
            <w:tcBorders>
              <w:top w:val="single" w:color="auto" w:sz="4" w:space="0"/>
              <w:left w:val="single" w:color="auto" w:sz="4" w:space="0"/>
              <w:bottom w:val="single" w:color="auto" w:sz="4" w:space="0"/>
              <w:right w:val="single" w:color="auto" w:sz="4" w:space="0"/>
            </w:tcBorders>
            <w:vAlign w:val="center"/>
          </w:tcPr>
          <w:p w14:paraId="383730C0">
            <w:pPr>
              <w:spacing w:after="0" w:line="0" w:lineRule="atLeas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政府采购政策功能</w:t>
            </w:r>
          </w:p>
        </w:tc>
        <w:tc>
          <w:tcPr>
            <w:tcW w:w="7349" w:type="dxa"/>
            <w:tcBorders>
              <w:top w:val="single" w:color="auto" w:sz="4" w:space="0"/>
              <w:left w:val="single" w:color="auto" w:sz="4" w:space="0"/>
              <w:bottom w:val="single" w:color="auto" w:sz="4" w:space="0"/>
            </w:tcBorders>
            <w:vAlign w:val="center"/>
          </w:tcPr>
          <w:p w14:paraId="19E8356E">
            <w:pPr>
              <w:spacing w:after="0" w:line="380" w:lineRule="exact"/>
              <w:rPr>
                <w:rFonts w:hint="eastAsia" w:asciiTheme="minorEastAsia" w:hAnsiTheme="minorEastAsia" w:eastAsiaTheme="minorEastAsia" w:cstheme="minorEastAsia"/>
                <w:b/>
                <w:bCs/>
                <w:color w:val="auto"/>
                <w:sz w:val="21"/>
                <w:szCs w:val="21"/>
                <w:highlight w:val="none"/>
              </w:rPr>
            </w:pPr>
            <w:r>
              <w:rPr>
                <w:rFonts w:hint="eastAsia" w:ascii="宋体" w:hAnsi="宋体" w:eastAsia="宋体" w:cs="宋体"/>
                <w:b/>
                <w:bCs/>
                <w:color w:val="000000" w:themeColor="text1"/>
                <w:kern w:val="0"/>
                <w:szCs w:val="21"/>
                <w14:textFill>
                  <w14:solidFill>
                    <w14:schemeClr w14:val="tx1"/>
                  </w14:solidFill>
                </w14:textFill>
              </w:rPr>
              <w:t>本项目属于专门面向中小企业（监狱企业、残疾人福利性单位视同小微企业）的政府采购项目，磋商申请人须按竞争性磋商文件规定格式提供中小企业声明函（监狱企业、残疾人福利性单位声明函）。</w:t>
            </w:r>
          </w:p>
          <w:p w14:paraId="692B8AD0">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本项目对小微企业的评审：</w:t>
            </w:r>
            <w:r>
              <w:rPr>
                <w:rFonts w:hint="eastAsia" w:asciiTheme="minorEastAsia" w:hAnsiTheme="minorEastAsia" w:eastAsiaTheme="minorEastAsia" w:cstheme="minorEastAsia"/>
                <w:b/>
                <w:bCs/>
                <w:color w:val="auto"/>
                <w:sz w:val="21"/>
                <w:szCs w:val="21"/>
                <w:highlight w:val="none"/>
              </w:rPr>
              <w:fldChar w:fldCharType="begin"/>
            </w:r>
            <w:r>
              <w:rPr>
                <w:rFonts w:hint="eastAsia" w:asciiTheme="minorEastAsia" w:hAnsiTheme="minorEastAsia" w:eastAsiaTheme="minorEastAsia" w:cstheme="minorEastAsia"/>
                <w:b/>
                <w:bCs/>
                <w:color w:val="auto"/>
                <w:sz w:val="21"/>
                <w:szCs w:val="21"/>
                <w:highlight w:val="none"/>
              </w:rPr>
              <w:instrText xml:space="preserve"> eq \o\ac(□</w:instrText>
            </w:r>
            <w:r>
              <w:rPr>
                <w:rFonts w:hint="eastAsia" w:asciiTheme="minorEastAsia" w:hAnsiTheme="minorEastAsia" w:eastAsiaTheme="minorEastAsia" w:cstheme="minorEastAsia"/>
                <w:b/>
                <w:bCs/>
                <w:color w:val="auto"/>
                <w:sz w:val="21"/>
                <w:szCs w:val="21"/>
                <w:highlight w:val="none"/>
                <w:lang w:eastAsia="zh-CN"/>
              </w:rPr>
              <w:instrText xml:space="preserve">,</w:instrText>
            </w:r>
            <w:r>
              <w:rPr>
                <w:rFonts w:hint="eastAsia" w:asciiTheme="minorEastAsia" w:hAnsiTheme="minorEastAsia" w:eastAsiaTheme="minorEastAsia" w:cstheme="minorEastAsia"/>
                <w:b/>
                <w:bCs/>
                <w:color w:val="auto"/>
                <w:position w:val="2"/>
                <w:sz w:val="14"/>
                <w:szCs w:val="21"/>
                <w:highlight w:val="none"/>
                <w:lang w:eastAsia="zh-CN"/>
              </w:rPr>
              <w:instrText xml:space="preserve">√</w:instrText>
            </w:r>
            <w:r>
              <w:rPr>
                <w:rFonts w:hint="eastAsia" w:asciiTheme="minorEastAsia" w:hAnsiTheme="minorEastAsia" w:eastAsiaTheme="minorEastAsia" w:cstheme="minorEastAsia"/>
                <w:b/>
                <w:bCs/>
                <w:color w:val="auto"/>
                <w:sz w:val="21"/>
                <w:szCs w:val="21"/>
                <w:highlight w:val="none"/>
              </w:rPr>
              <w:instrText xml:space="preserve">)</w:instrText>
            </w:r>
            <w:r>
              <w:rPr>
                <w:rFonts w:hint="eastAsia" w:asciiTheme="minorEastAsia" w:hAnsiTheme="minorEastAsia" w:eastAsiaTheme="minorEastAsia" w:cstheme="minorEastAsia"/>
                <w:b/>
                <w:bCs/>
                <w:color w:val="auto"/>
                <w:sz w:val="21"/>
                <w:szCs w:val="21"/>
                <w:highlight w:val="none"/>
              </w:rPr>
              <w:fldChar w:fldCharType="end"/>
            </w:r>
            <w:r>
              <w:rPr>
                <w:rFonts w:hint="eastAsia" w:asciiTheme="minorEastAsia" w:hAnsiTheme="minorEastAsia" w:eastAsiaTheme="minorEastAsia" w:cstheme="minorEastAsia"/>
                <w:b/>
                <w:bCs/>
                <w:color w:val="auto"/>
                <w:sz w:val="21"/>
                <w:szCs w:val="21"/>
                <w:highlight w:val="none"/>
              </w:rPr>
              <w:t xml:space="preserve">适用  </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不适用。</w:t>
            </w:r>
          </w:p>
          <w:p w14:paraId="13A04519">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（一）</w:t>
            </w:r>
            <w:r>
              <w:rPr>
                <w:rFonts w:hint="eastAsia" w:asciiTheme="minorEastAsia" w:hAnsiTheme="minorEastAsia" w:eastAsiaTheme="minorEastAsia" w:cstheme="minorEastAsia"/>
                <w:color w:val="auto"/>
                <w:sz w:val="21"/>
                <w:szCs w:val="21"/>
                <w:highlight w:val="none"/>
              </w:rPr>
              <w:t>中小微型企业有关政策</w:t>
            </w:r>
          </w:p>
          <w:p w14:paraId="6F9E06D2">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1.根据《中华人民共和国中小企业促进法》及《政府采购促进中小企业发展管理办法》、《关于进一步加大政府采购支持中小企业力度的通知》（财库〔</w:t>
            </w:r>
            <w:r>
              <w:rPr>
                <w:rFonts w:hint="eastAsia" w:asciiTheme="minorEastAsia" w:hAnsiTheme="minorEastAsia" w:eastAsiaTheme="minorEastAsia" w:cstheme="minorEastAsia"/>
                <w:color w:val="auto"/>
                <w:sz w:val="21"/>
                <w:szCs w:val="21"/>
                <w:highlight w:val="none"/>
                <w:lang w:eastAsia="zh-CN"/>
              </w:rPr>
              <w:t>2023</w:t>
            </w:r>
            <w:r>
              <w:rPr>
                <w:rFonts w:hint="eastAsia" w:asciiTheme="minorEastAsia" w:hAnsiTheme="minorEastAsia" w:eastAsiaTheme="minorEastAsia" w:cstheme="minorEastAsia"/>
                <w:color w:val="auto"/>
                <w:sz w:val="21"/>
                <w:szCs w:val="21"/>
                <w:highlight w:val="none"/>
              </w:rPr>
              <w:t>〕19号）、《云南省进一步帮扶中小微企业纾困发展工作方案》（云政办发〔</w:t>
            </w:r>
            <w:r>
              <w:rPr>
                <w:rFonts w:hint="eastAsia" w:asciiTheme="minorEastAsia" w:hAnsiTheme="minorEastAsia" w:eastAsiaTheme="minorEastAsia" w:cstheme="minorEastAsia"/>
                <w:color w:val="auto"/>
                <w:sz w:val="21"/>
                <w:szCs w:val="21"/>
                <w:highlight w:val="none"/>
                <w:lang w:eastAsia="zh-CN"/>
              </w:rPr>
              <w:t>2023</w:t>
            </w:r>
            <w:r>
              <w:rPr>
                <w:rFonts w:hint="eastAsia" w:asciiTheme="minorEastAsia" w:hAnsiTheme="minorEastAsia" w:eastAsiaTheme="minorEastAsia" w:cstheme="minorEastAsia"/>
                <w:color w:val="auto"/>
                <w:sz w:val="21"/>
                <w:szCs w:val="21"/>
                <w:highlight w:val="none"/>
              </w:rPr>
              <w:t>〕42号） 规定执行；</w:t>
            </w:r>
          </w:p>
          <w:p w14:paraId="04090A46">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2.根据工信部等部委发布的《关于印发中小企业划型标准规定的通知》（工信部联企业〔2011〕300号）规定执行；本项目为</w:t>
            </w:r>
            <w:r>
              <w:rPr>
                <w:rFonts w:hint="eastAsia" w:asciiTheme="minorEastAsia" w:hAnsiTheme="minorEastAsia" w:eastAsiaTheme="minorEastAsia" w:cstheme="minorEastAsia"/>
                <w:b/>
                <w:bCs/>
                <w:color w:val="auto"/>
                <w:sz w:val="21"/>
                <w:szCs w:val="21"/>
                <w:highlight w:val="none"/>
                <w:lang w:eastAsia="zh-CN"/>
              </w:rPr>
              <w:t>服务</w:t>
            </w:r>
            <w:r>
              <w:rPr>
                <w:rFonts w:hint="eastAsia" w:asciiTheme="minorEastAsia" w:hAnsiTheme="minorEastAsia" w:eastAsiaTheme="minorEastAsia" w:cstheme="minorEastAsia"/>
                <w:b/>
                <w:bCs/>
                <w:color w:val="auto"/>
                <w:sz w:val="21"/>
                <w:szCs w:val="21"/>
                <w:highlight w:val="none"/>
              </w:rPr>
              <w:t>类</w:t>
            </w:r>
            <w:r>
              <w:rPr>
                <w:rFonts w:hint="eastAsia" w:asciiTheme="minorEastAsia" w:hAnsiTheme="minorEastAsia" w:eastAsiaTheme="minorEastAsia" w:cstheme="minorEastAsia"/>
                <w:color w:val="auto"/>
                <w:sz w:val="21"/>
                <w:szCs w:val="21"/>
                <w:highlight w:val="none"/>
              </w:rPr>
              <w:t>采购，所属行业为</w:t>
            </w:r>
            <w:r>
              <w:rPr>
                <w:rFonts w:hint="eastAsia" w:asciiTheme="minorEastAsia" w:hAnsiTheme="minorEastAsia" w:eastAsiaTheme="minorEastAsia" w:cstheme="minorEastAsia"/>
                <w:b/>
                <w:bCs/>
                <w:color w:val="auto"/>
                <w:sz w:val="21"/>
                <w:szCs w:val="21"/>
                <w:highlight w:val="none"/>
                <w:lang w:eastAsia="zh-CN"/>
              </w:rPr>
              <w:t>物业管理</w:t>
            </w:r>
            <w:r>
              <w:rPr>
                <w:rFonts w:hint="eastAsia" w:asciiTheme="minorEastAsia" w:hAnsiTheme="minorEastAsia" w:eastAsiaTheme="minorEastAsia" w:cstheme="minorEastAsia"/>
                <w:color w:val="auto"/>
                <w:sz w:val="21"/>
                <w:szCs w:val="21"/>
                <w:highlight w:val="none"/>
              </w:rPr>
              <w:t>。</w:t>
            </w:r>
          </w:p>
          <w:p w14:paraId="1653BE3F">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75AA1DD0">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2109742F">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价格扣除幅度：小型、微型企业产品（提供本企业制造的货物、承担的工程或者服务，或者提供其他小型、微型企业制造的货物）价格给予10%（工程类的3%）的扣除。在货物采购项目中，供应商提供的货物既有中小企业制造货物，也有大型企业制造货物的，不享受本办法规定的中小企业扶持政策。</w:t>
            </w:r>
          </w:p>
          <w:p w14:paraId="676C32C4">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如果联合协议中约定，小型、微型企业和监狱企业的协议合同金额占到联合体协议合同总金额30%以上的，可给予联合体4 %（工程类的2%）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p w14:paraId="13A8FAA9">
            <w:pPr>
              <w:spacing w:after="0" w:line="38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（二）</w:t>
            </w:r>
            <w:r>
              <w:rPr>
                <w:rFonts w:hint="eastAsia" w:asciiTheme="minorEastAsia" w:hAnsiTheme="minorEastAsia" w:eastAsiaTheme="minorEastAsia" w:cstheme="minorEastAsia"/>
                <w:b/>
                <w:bCs/>
                <w:color w:val="auto"/>
                <w:sz w:val="21"/>
                <w:szCs w:val="21"/>
                <w:highlight w:val="none"/>
              </w:rPr>
              <w:t>节能产品、环境标志产品政府采购执行机制</w:t>
            </w:r>
          </w:p>
          <w:p w14:paraId="741C6484">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进口产品</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u w:val="single"/>
              </w:rPr>
              <w:t>不适用</w:t>
            </w:r>
            <w:r>
              <w:rPr>
                <w:rFonts w:hint="eastAsia" w:asciiTheme="minorEastAsia" w:hAnsiTheme="minorEastAsia" w:eastAsiaTheme="minorEastAsia" w:cstheme="minorEastAsia"/>
                <w:color w:val="auto"/>
                <w:sz w:val="21"/>
                <w:szCs w:val="21"/>
                <w:highlight w:val="none"/>
              </w:rPr>
              <w:t>。</w:t>
            </w:r>
          </w:p>
          <w:p w14:paraId="391C4876">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节能产品</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u w:val="single"/>
                <w:lang w:val="en-US" w:eastAsia="zh-CN"/>
              </w:rPr>
              <w:t>不适用</w:t>
            </w:r>
            <w:r>
              <w:rPr>
                <w:rFonts w:hint="eastAsia" w:asciiTheme="minorEastAsia" w:hAnsiTheme="minorEastAsia" w:eastAsiaTheme="minorEastAsia" w:cstheme="minorEastAsia"/>
                <w:color w:val="auto"/>
                <w:sz w:val="21"/>
                <w:szCs w:val="21"/>
                <w:highlight w:val="none"/>
              </w:rPr>
              <w:t>。</w:t>
            </w:r>
          </w:p>
          <w:p w14:paraId="23685396">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环境标志产品</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u w:val="single"/>
                <w:lang w:val="en-US" w:eastAsia="zh-CN"/>
              </w:rPr>
              <w:t>不适用</w:t>
            </w:r>
            <w:r>
              <w:rPr>
                <w:rFonts w:hint="eastAsia" w:asciiTheme="minorEastAsia" w:hAnsiTheme="minorEastAsia" w:eastAsiaTheme="minorEastAsia" w:cstheme="minorEastAsia"/>
                <w:color w:val="auto"/>
                <w:sz w:val="21"/>
                <w:szCs w:val="21"/>
                <w:highlight w:val="none"/>
              </w:rPr>
              <w:t>。</w:t>
            </w:r>
          </w:p>
          <w:p w14:paraId="2940EF11">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根据《财政部 发展改革委 生态环境部 市场监管总局关于调整优化节能产品、环境标志产品政府采购执行机制的通知》财库〔2019〕9号文件要求：依据品目清单和认证证书实施政府优先采购和强制采购，依据国家确定的认证机构出具的处于有效期之内的节能产品、环境标志产品认证证书，对获得证书的产品实施政府优先采购或强制采购。</w:t>
            </w:r>
          </w:p>
          <w:p w14:paraId="67069E89">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 1 \* GB3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①</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节能产品指中华人民共和国财政部、国家发改委公布的《节能产品政府采购品目清单》中的货物。环境标志产品指中华人民共和国财政部、生态环境部公布的《环境标志产品政府采购品目清单》中的货物。</w:t>
            </w:r>
          </w:p>
          <w:p w14:paraId="2AD31404">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 2 \* GB3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②</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若采购货物中政府强制采购的节能产品，只接受强制节能产品投标，投标人须提供国家确定的认证机构出具的、处于有效期之内的节能产品认证证书。否则将被视为非实质性响应招标文件。投标人所投产品须提供国家确定的认证机构出具的、处于有效期之内的节能产品、环境标志产品认证证书，否则不予认可。</w:t>
            </w:r>
          </w:p>
        </w:tc>
      </w:tr>
      <w:tr w14:paraId="1AFDC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756" w:type="dxa"/>
            <w:tcBorders>
              <w:top w:val="single" w:color="auto" w:sz="4" w:space="0"/>
              <w:bottom w:val="single" w:color="auto" w:sz="4" w:space="0"/>
              <w:right w:val="single" w:color="auto" w:sz="4" w:space="0"/>
            </w:tcBorders>
            <w:vAlign w:val="center"/>
          </w:tcPr>
          <w:p w14:paraId="6B9BFF96">
            <w:pPr>
              <w:spacing w:after="0" w:line="38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10.6</w:t>
            </w:r>
          </w:p>
        </w:tc>
        <w:tc>
          <w:tcPr>
            <w:tcW w:w="1592" w:type="dxa"/>
            <w:tcBorders>
              <w:top w:val="single" w:color="auto" w:sz="4" w:space="0"/>
              <w:left w:val="single" w:color="auto" w:sz="4" w:space="0"/>
              <w:bottom w:val="single" w:color="auto" w:sz="4" w:space="0"/>
              <w:right w:val="single" w:color="auto" w:sz="4" w:space="0"/>
            </w:tcBorders>
            <w:vAlign w:val="center"/>
          </w:tcPr>
          <w:p w14:paraId="6DB55098">
            <w:pPr>
              <w:spacing w:after="0" w:line="360" w:lineRule="exact"/>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采购文件中术语解释</w:t>
            </w:r>
          </w:p>
        </w:tc>
        <w:tc>
          <w:tcPr>
            <w:tcW w:w="7349" w:type="dxa"/>
            <w:tcBorders>
              <w:top w:val="single" w:color="auto" w:sz="4" w:space="0"/>
              <w:left w:val="single" w:color="auto" w:sz="4" w:space="0"/>
              <w:bottom w:val="single" w:color="auto" w:sz="4" w:space="0"/>
            </w:tcBorders>
            <w:vAlign w:val="center"/>
          </w:tcPr>
          <w:p w14:paraId="5BC9786E">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1.“政府采购”系指各级国家机关、事业单位和团体组织，使用财政性资金采购依法制定的集中采购目录以内的或者采购限额标准以上的货物、工程和服务的行为。</w:t>
            </w:r>
          </w:p>
          <w:p w14:paraId="08BA7CD2">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2.“采购”系指以合同方式有偿取得货物、工程和服务的行为，包括购买、租赁、委托、雇用等。</w:t>
            </w:r>
          </w:p>
          <w:p w14:paraId="2BA2D9DD">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3.“货物”系指各种形态和种类的物品，包括原材料、燃料、设备、产品等。</w:t>
            </w:r>
          </w:p>
          <w:p w14:paraId="20431E0E">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4.“工程”系指建设工程，包括建筑物和构筑物的新建、改建、扩建、装修、拆除、修缮等。</w:t>
            </w:r>
          </w:p>
          <w:p w14:paraId="107BED5A">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5.“服务”系指除货物和工程以外的其他政府采购对象。</w:t>
            </w:r>
          </w:p>
          <w:p w14:paraId="508EE7D1">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6.“采购人”系指依法进行政府采购的国家机关、事业单位、团体组织。</w:t>
            </w:r>
          </w:p>
          <w:p w14:paraId="0F20CE05">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7.“政府采购代理机构（以下简称代理机构）”系指集中采购机构以外、受采购人委托从事政府采购代理业务的社会中介机构。</w:t>
            </w:r>
          </w:p>
          <w:p w14:paraId="7C6D3832">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8.“供应商”系指向采购人提供货物、工程或者服务的法人、其他组织或者自然人。</w:t>
            </w:r>
          </w:p>
          <w:p w14:paraId="3A93E30D">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9.“法人”系指具有民事权利能力和民事行为能力，依法独立享有民事权利和承担民事义务的组织。法人分为营利法人、非营利法人、特别法人。营利法人主要包括：有限责任公司、股份有限公司和其他企业法人等；非营利法人主要包括：事业单位、社会团体、基金会、社会服务机构等；特别法人主要包括：机关法人、农村集体经济组织法人、城镇农村的合作经济组织法人、基础群众性自治组织法人。</w:t>
            </w:r>
          </w:p>
          <w:p w14:paraId="4DF23BE3">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10、“自然人”系指生物</w:t>
            </w:r>
            <w:r>
              <w:rPr>
                <w:rFonts w:hint="eastAsia" w:asciiTheme="minorEastAsia" w:hAnsiTheme="minorEastAsia" w:eastAsiaTheme="minorEastAsia" w:cstheme="minorEastAsia"/>
                <w:bCs/>
                <w:color w:val="auto"/>
                <w:sz w:val="21"/>
                <w:szCs w:val="21"/>
                <w:highlight w:val="none"/>
                <w:lang w:eastAsia="zh-CN"/>
              </w:rPr>
              <w:t>学</w:t>
            </w:r>
            <w:r>
              <w:rPr>
                <w:rFonts w:hint="eastAsia" w:asciiTheme="minorEastAsia" w:hAnsiTheme="minorEastAsia" w:eastAsiaTheme="minorEastAsia" w:cstheme="minorEastAsia"/>
                <w:bCs/>
                <w:color w:val="auto"/>
                <w:sz w:val="21"/>
                <w:szCs w:val="21"/>
                <w:highlight w:val="none"/>
              </w:rPr>
              <w:t>意义上的人，是基于出生而取得民事主体资格的人。</w:t>
            </w:r>
          </w:p>
          <w:p w14:paraId="0EE9BC0E">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11.“其他组织（非法人组织）”系指不具有法人资格，但是能够依法以自己的名义从事民事活动的组织。主要包括个人独资企业、合伙企业、不具有法人资格的专业服务机构等。</w:t>
            </w:r>
          </w:p>
          <w:p w14:paraId="6329B230">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12.“单位公章”系指国家机关、团体、企事业单位用自己法定主体行为名称制作的签名印章，称之为“公章” 。</w:t>
            </w:r>
          </w:p>
          <w:p w14:paraId="4DA3E916">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13.“正本”系指具有法定效应的，格式规范并具备各种正式签署和印章的正式文本。</w:t>
            </w:r>
          </w:p>
          <w:p w14:paraId="1E7E9AD3">
            <w:pPr>
              <w:spacing w:after="0" w:line="36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14.“副本”对应正本，是正式文本的复制文本或抄本。</w:t>
            </w:r>
          </w:p>
        </w:tc>
      </w:tr>
      <w:tr w14:paraId="59511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756" w:type="dxa"/>
            <w:tcBorders>
              <w:top w:val="single" w:color="auto" w:sz="4" w:space="0"/>
              <w:bottom w:val="single" w:color="auto" w:sz="4" w:space="0"/>
              <w:right w:val="single" w:color="auto" w:sz="4" w:space="0"/>
            </w:tcBorders>
            <w:vAlign w:val="center"/>
          </w:tcPr>
          <w:p w14:paraId="69F18871">
            <w:pPr>
              <w:spacing w:after="0" w:line="38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10.7</w:t>
            </w:r>
          </w:p>
        </w:tc>
        <w:tc>
          <w:tcPr>
            <w:tcW w:w="1592" w:type="dxa"/>
            <w:tcBorders>
              <w:top w:val="single" w:color="auto" w:sz="4" w:space="0"/>
              <w:left w:val="single" w:color="auto" w:sz="4" w:space="0"/>
              <w:bottom w:val="single" w:color="auto" w:sz="4" w:space="0"/>
              <w:right w:val="single" w:color="auto" w:sz="4" w:space="0"/>
            </w:tcBorders>
            <w:vAlign w:val="center"/>
          </w:tcPr>
          <w:p w14:paraId="6B99D8B6">
            <w:pPr>
              <w:spacing w:after="0" w:line="3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其他未尽事宜</w:t>
            </w:r>
          </w:p>
        </w:tc>
        <w:tc>
          <w:tcPr>
            <w:tcW w:w="7349" w:type="dxa"/>
            <w:tcBorders>
              <w:top w:val="single" w:color="auto" w:sz="4" w:space="0"/>
              <w:left w:val="single" w:color="auto" w:sz="4" w:space="0"/>
              <w:bottom w:val="single" w:color="auto" w:sz="4" w:space="0"/>
            </w:tcBorders>
            <w:vAlign w:val="center"/>
          </w:tcPr>
          <w:p w14:paraId="0CE15F81">
            <w:pPr>
              <w:spacing w:after="0" w:line="380" w:lineRule="exact"/>
              <w:rPr>
                <w:rFonts w:hint="eastAsia" w:asciiTheme="minorEastAsia" w:hAnsiTheme="minorEastAsia" w:eastAsiaTheme="minorEastAsia" w:cstheme="minorEastAsia"/>
                <w:bCs/>
                <w:color w:val="auto"/>
                <w:sz w:val="21"/>
                <w:szCs w:val="21"/>
                <w:highlight w:val="none"/>
              </w:rPr>
            </w:pPr>
            <w:bookmarkStart w:id="53" w:name="_Toc524621588"/>
            <w:bookmarkStart w:id="54" w:name="_Toc526759805"/>
            <w:r>
              <w:rPr>
                <w:rFonts w:hint="eastAsia" w:asciiTheme="minorEastAsia" w:hAnsiTheme="minorEastAsia" w:eastAsiaTheme="minorEastAsia" w:cstheme="minorEastAsia"/>
                <w:bCs/>
                <w:color w:val="auto"/>
                <w:sz w:val="21"/>
                <w:szCs w:val="21"/>
                <w:highlight w:val="none"/>
              </w:rPr>
              <w:t>《中华人民共和国政府采购法》（中华人民共和国主席令第六十八号）第四十九条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20418D97">
            <w:pPr>
              <w:spacing w:after="0" w:line="3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注：</w:t>
            </w:r>
            <w:r>
              <w:rPr>
                <w:rFonts w:hint="eastAsia" w:asciiTheme="minorEastAsia" w:hAnsiTheme="minorEastAsia" w:eastAsiaTheme="minorEastAsia" w:cstheme="minorEastAsia"/>
                <w:bCs/>
                <w:color w:val="auto"/>
                <w:sz w:val="21"/>
                <w:szCs w:val="21"/>
                <w:highlight w:val="none"/>
                <w:lang w:val="en-US" w:eastAsia="zh-CN"/>
              </w:rPr>
              <w:t>供应商</w:t>
            </w:r>
            <w:r>
              <w:rPr>
                <w:rFonts w:hint="eastAsia" w:asciiTheme="minorEastAsia" w:hAnsiTheme="minorEastAsia" w:eastAsiaTheme="minorEastAsia" w:cstheme="minorEastAsia"/>
                <w:bCs/>
                <w:color w:val="auto"/>
                <w:sz w:val="21"/>
                <w:szCs w:val="21"/>
                <w:highlight w:val="none"/>
              </w:rPr>
              <w:t>应当按照</w:t>
            </w:r>
            <w:r>
              <w:rPr>
                <w:rFonts w:hint="eastAsia" w:asciiTheme="minorEastAsia" w:hAnsiTheme="minorEastAsia" w:eastAsiaTheme="minorEastAsia" w:cstheme="minorEastAsia"/>
                <w:bCs/>
                <w:color w:val="auto"/>
                <w:sz w:val="21"/>
                <w:szCs w:val="21"/>
                <w:highlight w:val="none"/>
                <w:lang w:val="en-US" w:eastAsia="zh-CN"/>
              </w:rPr>
              <w:t>采购</w:t>
            </w:r>
            <w:r>
              <w:rPr>
                <w:rFonts w:hint="eastAsia" w:asciiTheme="minorEastAsia" w:hAnsiTheme="minorEastAsia" w:eastAsiaTheme="minorEastAsia" w:cstheme="minorEastAsia"/>
                <w:bCs/>
                <w:color w:val="auto"/>
                <w:sz w:val="21"/>
                <w:szCs w:val="21"/>
                <w:highlight w:val="none"/>
              </w:rPr>
              <w:t>文件的要求编制响应文件，并对其提交的响应文件的真实性、合法性承担法律责任。本采购文件未尽事宜，按现行相关法律法规执行。</w:t>
            </w:r>
            <w:bookmarkEnd w:id="53"/>
            <w:bookmarkEnd w:id="54"/>
          </w:p>
        </w:tc>
      </w:tr>
    </w:tbl>
    <w:p w14:paraId="6F52F15B">
      <w:pPr>
        <w:spacing w:after="0" w:line="520" w:lineRule="exact"/>
        <w:jc w:val="center"/>
        <w:rPr>
          <w:rFonts w:hint="eastAsia" w:asciiTheme="minorEastAsia" w:hAnsiTheme="minorEastAsia" w:eastAsiaTheme="minorEastAsia" w:cstheme="minorEastAsia"/>
          <w:b/>
          <w:bCs/>
          <w:color w:val="auto"/>
          <w:sz w:val="32"/>
          <w:szCs w:val="32"/>
          <w:highlight w:val="none"/>
        </w:rPr>
      </w:pPr>
      <w:bookmarkStart w:id="55" w:name="_Toc517963432"/>
    </w:p>
    <w:p w14:paraId="4183AF1C">
      <w:pPr>
        <w:spacing w:after="0" w:line="520" w:lineRule="exact"/>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供应商须知正文</w:t>
      </w:r>
    </w:p>
    <w:p w14:paraId="268DAF01">
      <w:pPr>
        <w:spacing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1.总则</w:t>
      </w:r>
      <w:bookmarkEnd w:id="55"/>
    </w:p>
    <w:p w14:paraId="39212292">
      <w:pPr>
        <w:spacing w:after="0" w:line="520" w:lineRule="exact"/>
        <w:rPr>
          <w:rFonts w:hint="eastAsia" w:asciiTheme="minorEastAsia" w:hAnsiTheme="minorEastAsia" w:eastAsiaTheme="minorEastAsia" w:cstheme="minorEastAsia"/>
          <w:b/>
          <w:bCs/>
          <w:color w:val="auto"/>
          <w:sz w:val="24"/>
          <w:szCs w:val="24"/>
          <w:highlight w:val="none"/>
        </w:rPr>
      </w:pPr>
      <w:bookmarkStart w:id="56" w:name="_bookmark14"/>
      <w:bookmarkEnd w:id="56"/>
      <w:r>
        <w:rPr>
          <w:rFonts w:hint="eastAsia" w:asciiTheme="minorEastAsia" w:hAnsiTheme="minorEastAsia" w:eastAsiaTheme="minorEastAsia" w:cstheme="minorEastAsia"/>
          <w:b/>
          <w:bCs/>
          <w:color w:val="auto"/>
          <w:sz w:val="24"/>
          <w:szCs w:val="24"/>
          <w:highlight w:val="none"/>
        </w:rPr>
        <w:t>1.1项目概况</w:t>
      </w:r>
    </w:p>
    <w:p w14:paraId="5BEC0906">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政府采购法》、《政府采购竞争性磋商采购方式管理暂行办法》（财库〔2014〕214号）文等法律法规的规定，符合下列情形的项目，可以采用竞争性磋商方式开展采购。（一）政府购买服务项目；（二）技术复杂或者性质特殊，不能确定详细规格或者具体要求的；（三）因艺术品采购、专利、专有技术或者服务的时间、数量事先不能确定等原因不能事先计算出价格总额的；（四）市场竞争不充分的科研项目，以及需要扶持的科技成果转化项目；（五）按照招标投标法及其实施条例必须进行招标的工程建设项目以外的工程建设项目。本项目己具备磋商条件，现对本项目进行磋商采购。</w:t>
      </w:r>
    </w:p>
    <w:p w14:paraId="681A47A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1.1.2采购人：详见“供应商须知前附表”；</w:t>
      </w:r>
    </w:p>
    <w:p w14:paraId="65B267FF">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1.1.3采购代理机构：详见“供应商须知前附表”；</w:t>
      </w:r>
    </w:p>
    <w:p w14:paraId="18608E3F">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1.1.4项目名称：详见“供应商须知前附表”；</w:t>
      </w:r>
    </w:p>
    <w:p w14:paraId="2D1FC9D9">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1.1.5在政府采购活动中，采购人员及相关人员与供应商有下列利害关系之一的，应当回避：</w:t>
      </w:r>
    </w:p>
    <w:p w14:paraId="104D6BF6">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（一）参加采购活动前3年内与供应商存在劳动关系；</w:t>
      </w:r>
    </w:p>
    <w:p w14:paraId="3268A99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（二）参加采购活动前3年内担任供应商的董事、监事；</w:t>
      </w:r>
    </w:p>
    <w:p w14:paraId="3911249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（三）参加采购活动前3年内是供应商的控股股东或者实际控制人；</w:t>
      </w:r>
    </w:p>
    <w:p w14:paraId="5C008C89">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（四）与供应商的法定代表人或者负责人有夫妻、直系血亲、三代以内旁系血亲或者近姻亲关系；</w:t>
      </w:r>
    </w:p>
    <w:p w14:paraId="4950DB76">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（五）与供应商有其他可能影响政府采购活动公平、公正进行的关系。</w:t>
      </w:r>
    </w:p>
    <w:p w14:paraId="654B59C1">
      <w:pPr>
        <w:spacing w:after="0" w:line="520" w:lineRule="exact"/>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2E096BED">
      <w:pPr>
        <w:spacing w:after="0" w:line="520" w:lineRule="exact"/>
        <w:rPr>
          <w:rFonts w:hint="eastAsia" w:asciiTheme="minorEastAsia" w:hAnsiTheme="minorEastAsia" w:eastAsiaTheme="minorEastAsia" w:cstheme="minorEastAsia"/>
          <w:b/>
          <w:bCs/>
          <w:color w:val="auto"/>
          <w:sz w:val="24"/>
          <w:szCs w:val="24"/>
          <w:highlight w:val="none"/>
        </w:rPr>
      </w:pPr>
      <w:bookmarkStart w:id="57" w:name="_bookmark15"/>
      <w:bookmarkEnd w:id="57"/>
      <w:r>
        <w:rPr>
          <w:rFonts w:hint="eastAsia" w:asciiTheme="minorEastAsia" w:hAnsiTheme="minorEastAsia" w:eastAsiaTheme="minorEastAsia" w:cstheme="minorEastAsia"/>
          <w:b/>
          <w:bCs/>
          <w:color w:val="auto"/>
          <w:sz w:val="24"/>
          <w:szCs w:val="24"/>
          <w:highlight w:val="none"/>
        </w:rPr>
        <w:t>1.2资金来源和落实情况</w:t>
      </w:r>
    </w:p>
    <w:p w14:paraId="4DFCF63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1.2.1资金来源：详见“供应商须知前附表”；</w:t>
      </w:r>
    </w:p>
    <w:p w14:paraId="111D69D9">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1.2.2资金落实情况：详见“供应商须知前附表”；</w:t>
      </w:r>
    </w:p>
    <w:p w14:paraId="61F86C84">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1.2.3付款方式：详见“供应商须知前附表”。</w:t>
      </w:r>
    </w:p>
    <w:p w14:paraId="72E2B9CE">
      <w:pPr>
        <w:spacing w:after="0" w:line="520" w:lineRule="exact"/>
        <w:rPr>
          <w:rFonts w:hint="eastAsia" w:asciiTheme="minorEastAsia" w:hAnsiTheme="minorEastAsia" w:eastAsiaTheme="minorEastAsia" w:cstheme="minorEastAsia"/>
          <w:b/>
          <w:bCs/>
          <w:color w:val="auto"/>
          <w:sz w:val="24"/>
          <w:szCs w:val="24"/>
          <w:highlight w:val="none"/>
        </w:rPr>
      </w:pPr>
      <w:bookmarkStart w:id="58" w:name="_bookmark16"/>
      <w:bookmarkEnd w:id="58"/>
      <w:r>
        <w:rPr>
          <w:rFonts w:hint="eastAsia" w:asciiTheme="minorEastAsia" w:hAnsiTheme="minorEastAsia" w:eastAsiaTheme="minorEastAsia" w:cstheme="minorEastAsia"/>
          <w:b/>
          <w:bCs/>
          <w:color w:val="auto"/>
          <w:sz w:val="24"/>
          <w:szCs w:val="24"/>
          <w:highlight w:val="none"/>
        </w:rPr>
        <w:t>1.3合同履行期限、磋商内容</w:t>
      </w:r>
    </w:p>
    <w:p w14:paraId="70641DA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1.3.1合同履行期限：详见“供应商须知前附表”；</w:t>
      </w:r>
    </w:p>
    <w:p w14:paraId="587479D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1.3.2磋商内容：详见“供应商须知前附表”；</w:t>
      </w:r>
    </w:p>
    <w:p w14:paraId="1213A93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1.3.3</w:t>
      </w:r>
      <w:r>
        <w:rPr>
          <w:rFonts w:hint="eastAsia" w:asciiTheme="minorEastAsia" w:hAnsiTheme="minorEastAsia" w:eastAsiaTheme="minorEastAsia" w:cstheme="minorEastAsia"/>
          <w:color w:val="auto"/>
          <w:sz w:val="24"/>
          <w:szCs w:val="24"/>
          <w:highlight w:val="none"/>
          <w:lang w:val="en-US" w:eastAsia="zh-CN"/>
        </w:rPr>
        <w:t>服务要求</w:t>
      </w:r>
      <w:r>
        <w:rPr>
          <w:rFonts w:hint="eastAsia" w:asciiTheme="minorEastAsia" w:hAnsiTheme="minorEastAsia" w:eastAsiaTheme="minorEastAsia" w:cstheme="minorEastAsia"/>
          <w:color w:val="auto"/>
          <w:sz w:val="24"/>
          <w:szCs w:val="24"/>
          <w:highlight w:val="none"/>
        </w:rPr>
        <w:t>：详见“供应商须知前附表”；</w:t>
      </w:r>
    </w:p>
    <w:p w14:paraId="43D266E1">
      <w:pPr>
        <w:spacing w:after="0" w:line="520" w:lineRule="exact"/>
        <w:rPr>
          <w:rFonts w:hint="eastAsia" w:asciiTheme="minorEastAsia" w:hAnsiTheme="minorEastAsia" w:eastAsiaTheme="minorEastAsia" w:cstheme="minorEastAsia"/>
          <w:b/>
          <w:bCs/>
          <w:color w:val="auto"/>
          <w:sz w:val="24"/>
          <w:szCs w:val="24"/>
          <w:highlight w:val="none"/>
        </w:rPr>
      </w:pPr>
      <w:bookmarkStart w:id="59" w:name="_bookmark17"/>
      <w:bookmarkEnd w:id="59"/>
      <w:r>
        <w:rPr>
          <w:rFonts w:hint="eastAsia" w:asciiTheme="minorEastAsia" w:hAnsiTheme="minorEastAsia" w:eastAsiaTheme="minorEastAsia" w:cstheme="minorEastAsia"/>
          <w:b/>
          <w:bCs/>
          <w:color w:val="auto"/>
          <w:sz w:val="24"/>
          <w:szCs w:val="24"/>
          <w:highlight w:val="none"/>
        </w:rPr>
        <w:t>1.4供应商资格要求（适用于未进行资格预审的）</w:t>
      </w:r>
    </w:p>
    <w:p w14:paraId="66FADFE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1.4.1供应商资格要求；</w:t>
      </w:r>
    </w:p>
    <w:p w14:paraId="32DC76EF">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bookmarkStart w:id="60" w:name="_bookmark18"/>
      <w:bookmarkEnd w:id="60"/>
      <w:bookmarkStart w:id="61" w:name="_Toc529362396"/>
      <w:bookmarkStart w:id="62" w:name="_Toc529362113"/>
      <w:r>
        <w:rPr>
          <w:rFonts w:hint="eastAsia" w:asciiTheme="minorEastAsia" w:hAnsiTheme="minorEastAsia" w:eastAsiaTheme="minorEastAsia" w:cstheme="minorEastAsia"/>
          <w:color w:val="auto"/>
          <w:sz w:val="24"/>
          <w:szCs w:val="24"/>
          <w:highlight w:val="none"/>
        </w:rPr>
        <w:t>⑴满足《中华人民共和国政府采购法》第二十二条规定；</w:t>
      </w:r>
    </w:p>
    <w:p w14:paraId="03E7C6C5">
      <w:pPr>
        <w:spacing w:after="0" w:line="52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⑵落实政府采购政策需满足的资格要求：</w:t>
      </w:r>
      <w:r>
        <w:rPr>
          <w:rFonts w:hint="eastAsia" w:asciiTheme="minorEastAsia" w:hAnsiTheme="minorEastAsia" w:eastAsiaTheme="minorEastAsia" w:cstheme="minorEastAsia"/>
          <w:color w:val="auto"/>
          <w:sz w:val="24"/>
          <w:szCs w:val="24"/>
          <w:highlight w:val="none"/>
          <w:lang w:val="en-US" w:eastAsia="zh-CN"/>
        </w:rPr>
        <w:t>详见“供应商须知前附表”；</w:t>
      </w:r>
    </w:p>
    <w:p w14:paraId="6C98776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⑶本项目的特定资格要求：详见“供应商须知前附表”；</w:t>
      </w:r>
    </w:p>
    <w:p w14:paraId="7B99354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1.4.2本项目“供应商须知前附表”规定接受联合体磋商的，联合体供应商除应符合本章第1.4.1款和“供应商须知前附表”的要求外，还应遵守以下规定：</w:t>
      </w:r>
    </w:p>
    <w:p w14:paraId="5328026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⑴联合体各方资质应符合法律法规的规定，必须签订联合体协议书，明确约定各方拟承担的工作和责任，并将联合体协议书随磋商响应文件一并提交采购人；</w:t>
      </w:r>
    </w:p>
    <w:p w14:paraId="1279EDC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⑵供应商的磋商响应文件及成交后签署的合同协议书对联合体各方均具有法律约束力；</w:t>
      </w:r>
    </w:p>
    <w:p w14:paraId="0ECFD98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⑶联合体成交后，联合体各方应当共同与采购人签订合同，为履行合同向采购人承担连带责任；</w:t>
      </w:r>
    </w:p>
    <w:p w14:paraId="2F73AE5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⑷联合体中有同类资质的供应商按照联合体分工承担相同工作的，应当按照资质等级较低的供应商确定资质等级；</w:t>
      </w:r>
    </w:p>
    <w:p w14:paraId="0B488D68">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⑸联合体磋商的，应当以联合体中牵头人名义提交的磋商保证金，且对联合体各成员具有约束力；</w:t>
      </w:r>
    </w:p>
    <w:p w14:paraId="1F3AE9D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⑹以联合体形式参加政府采购活动的，联合体各方不得再单独参加或者与其他供应商另外组成联合体参加同一合同项下的政府采购活动；</w:t>
      </w:r>
    </w:p>
    <w:p w14:paraId="60A5C0D8">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⑺如果达不到本须知对联合体的要求，其提交的磋商响应文件将被拒绝。</w:t>
      </w:r>
    </w:p>
    <w:p w14:paraId="01AAF295">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⑻经资格审查出现以下情况之一的，磋商响应文件将不得进行下一步详细评审。</w:t>
      </w:r>
    </w:p>
    <w:p w14:paraId="4B7A26F5">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①联合体的资格条件未达到合格标准的；</w:t>
      </w:r>
    </w:p>
    <w:p w14:paraId="7078B2EC">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②联合体成员有未通过资格审查的。</w:t>
      </w:r>
    </w:p>
    <w:p w14:paraId="6A3593C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1.4.3供应商不得存在下列情形之一：</w:t>
      </w:r>
    </w:p>
    <w:p w14:paraId="44C3B40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⑴为本次采购项目提供整体设计、规范编制或者项目管理、监理、检测等服务的供应商；</w:t>
      </w:r>
    </w:p>
    <w:p w14:paraId="42E8411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⑵为采购人不具有独立法人资格的附属机构（单位）；</w:t>
      </w:r>
    </w:p>
    <w:p w14:paraId="5DB320B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⑶为本采购项目的代建人；</w:t>
      </w:r>
    </w:p>
    <w:p w14:paraId="367E275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⑷为本项目提供采购代理服务的；</w:t>
      </w:r>
    </w:p>
    <w:p w14:paraId="37D0BD95">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⑸与本项目的监理人或代建人或采购代理机构同为一个法定代表人的；</w:t>
      </w:r>
    </w:p>
    <w:p w14:paraId="4EBA9945">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⑹与本项目的监理人或代建人或采购代理机构相互控股或参股的；</w:t>
      </w:r>
    </w:p>
    <w:p w14:paraId="256FC37F">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⑺与本项目的监理人或代建人或采购代理机构相互任职或工作的；</w:t>
      </w:r>
    </w:p>
    <w:p w14:paraId="47FD6A8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⑻财产被接管或冻结的；</w:t>
      </w:r>
    </w:p>
    <w:p w14:paraId="03AD097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⑼在参加本项目政府采购活动前3年内因违法经营受到刑事处罚或者责令停产停业、吊销许可证或者执照、较大数额罚款等行政处罚的。</w:t>
      </w:r>
    </w:p>
    <w:p w14:paraId="14E5BCD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1.4.4单位负责人为同一人或者存在直接控股、管理关系的不同供应商，不得参加同一合同项下的政府采购活动。</w:t>
      </w:r>
    </w:p>
    <w:p w14:paraId="3E83090F">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1.5费用承担</w:t>
      </w:r>
      <w:bookmarkEnd w:id="61"/>
      <w:bookmarkEnd w:id="62"/>
    </w:p>
    <w:p w14:paraId="347B679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1.5.1供应商准备和参加磋商活动发生的费用自理；</w:t>
      </w:r>
    </w:p>
    <w:p w14:paraId="4B5B284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1.5.2本项目成交服务费经采购人和政府采购代理机构双方自愿协商确定，本项目</w:t>
      </w:r>
      <w:r>
        <w:rPr>
          <w:rFonts w:hint="eastAsia" w:asciiTheme="minorEastAsia" w:hAnsiTheme="minorEastAsia" w:eastAsiaTheme="minorEastAsia" w:cstheme="minorEastAsia"/>
          <w:color w:val="auto"/>
          <w:sz w:val="24"/>
          <w:szCs w:val="24"/>
          <w:highlight w:val="none"/>
          <w:lang w:eastAsia="zh-CN"/>
        </w:rPr>
        <w:t>不收取</w:t>
      </w:r>
      <w:r>
        <w:rPr>
          <w:rFonts w:hint="eastAsia" w:asciiTheme="minorEastAsia" w:hAnsiTheme="minorEastAsia" w:eastAsiaTheme="minorEastAsia" w:cstheme="minorEastAsia"/>
          <w:color w:val="auto"/>
          <w:sz w:val="24"/>
          <w:szCs w:val="24"/>
          <w:highlight w:val="none"/>
        </w:rPr>
        <w:t>政府采购代理服务费；</w:t>
      </w:r>
    </w:p>
    <w:p w14:paraId="30DA7218">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1.6保密</w:t>
      </w:r>
    </w:p>
    <w:p w14:paraId="5752310D">
      <w:pPr>
        <w:spacing w:after="0" w:line="39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参与采购活动的各方应对采购文件和</w:t>
      </w:r>
      <w:r>
        <w:rPr>
          <w:rFonts w:hint="eastAsia" w:asciiTheme="minorEastAsia" w:hAnsiTheme="minorEastAsia" w:eastAsiaTheme="minorEastAsia" w:cstheme="minorEastAsia"/>
          <w:color w:val="auto"/>
          <w:sz w:val="24"/>
          <w:highlight w:val="none"/>
        </w:rPr>
        <w:t>响应文件</w:t>
      </w:r>
      <w:r>
        <w:rPr>
          <w:rFonts w:hint="eastAsia" w:asciiTheme="minorEastAsia" w:hAnsiTheme="minorEastAsia" w:eastAsiaTheme="minorEastAsia" w:cstheme="minorEastAsia"/>
          <w:color w:val="auto"/>
          <w:sz w:val="24"/>
          <w:szCs w:val="24"/>
          <w:highlight w:val="none"/>
        </w:rPr>
        <w:t>中的商业和技术等秘密保密，违者应对由此造成的后果承担法律责任。</w:t>
      </w:r>
    </w:p>
    <w:p w14:paraId="1FF7D5CA">
      <w:pPr>
        <w:spacing w:after="0" w:line="520" w:lineRule="exact"/>
        <w:rPr>
          <w:rFonts w:hint="eastAsia" w:asciiTheme="minorEastAsia" w:hAnsiTheme="minorEastAsia" w:eastAsiaTheme="minorEastAsia" w:cstheme="minorEastAsia"/>
          <w:b/>
          <w:bCs/>
          <w:color w:val="auto"/>
          <w:sz w:val="24"/>
          <w:szCs w:val="24"/>
          <w:highlight w:val="none"/>
        </w:rPr>
      </w:pPr>
      <w:bookmarkStart w:id="63" w:name="_bookmark20"/>
      <w:bookmarkEnd w:id="63"/>
      <w:r>
        <w:rPr>
          <w:rFonts w:hint="eastAsia" w:asciiTheme="minorEastAsia" w:hAnsiTheme="minorEastAsia" w:eastAsiaTheme="minorEastAsia" w:cstheme="minorEastAsia"/>
          <w:b/>
          <w:bCs/>
          <w:color w:val="auto"/>
          <w:sz w:val="24"/>
          <w:szCs w:val="24"/>
          <w:highlight w:val="none"/>
        </w:rPr>
        <w:t>1.7语言文字</w:t>
      </w:r>
    </w:p>
    <w:p w14:paraId="4687FF0C">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bookmarkStart w:id="64" w:name="_bookmark21"/>
      <w:bookmarkEnd w:id="64"/>
      <w:r>
        <w:rPr>
          <w:rFonts w:hint="eastAsia" w:asciiTheme="minorEastAsia" w:hAnsiTheme="minorEastAsia" w:eastAsiaTheme="minorEastAsia" w:cstheme="minorEastAsia"/>
          <w:color w:val="auto"/>
          <w:sz w:val="24"/>
          <w:szCs w:val="24"/>
          <w:highlight w:val="none"/>
        </w:rPr>
        <w:t>磋商文件及磋商响应文件使用的语言文字为中文。专用术语使用外文的，应附有中文注释。</w:t>
      </w:r>
    </w:p>
    <w:p w14:paraId="054CC8AE">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1.8计量单位</w:t>
      </w:r>
    </w:p>
    <w:p w14:paraId="0ACCF70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14:paraId="5BC0959C">
      <w:pPr>
        <w:spacing w:after="0" w:line="520" w:lineRule="exact"/>
        <w:rPr>
          <w:rFonts w:hint="eastAsia" w:asciiTheme="minorEastAsia" w:hAnsiTheme="minorEastAsia" w:eastAsiaTheme="minorEastAsia" w:cstheme="minorEastAsia"/>
          <w:b/>
          <w:bCs/>
          <w:color w:val="auto"/>
          <w:sz w:val="24"/>
          <w:szCs w:val="24"/>
          <w:highlight w:val="none"/>
        </w:rPr>
      </w:pPr>
      <w:bookmarkStart w:id="65" w:name="_bookmark22"/>
      <w:bookmarkEnd w:id="65"/>
      <w:r>
        <w:rPr>
          <w:rFonts w:hint="eastAsia" w:asciiTheme="minorEastAsia" w:hAnsiTheme="minorEastAsia" w:eastAsiaTheme="minorEastAsia" w:cstheme="minorEastAsia"/>
          <w:b/>
          <w:bCs/>
          <w:color w:val="auto"/>
          <w:sz w:val="24"/>
          <w:szCs w:val="24"/>
          <w:highlight w:val="none"/>
        </w:rPr>
        <w:t>1.9踏勘现场</w:t>
      </w:r>
    </w:p>
    <w:p w14:paraId="075EF9F2">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1.9.1供应商须知规定组织现场踏勘的，采购人按供应商须知前附表规定的相关内容组织供应商踏勘项目现场。</w:t>
      </w:r>
    </w:p>
    <w:p w14:paraId="41BBEE89">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1.9.2供应商踏勘现场发生的费用自理。</w:t>
      </w:r>
    </w:p>
    <w:p w14:paraId="59BE928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1.9.3除采购人的原因外，供应商自行负责在踏勘现场中所发生的人员伤亡和财产损失。</w:t>
      </w:r>
    </w:p>
    <w:p w14:paraId="17DC58A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1.9.4采购人在踏勘现场中介绍的工程场地和相关的周边环境情况，供应商在编制磋商响应文件时参考，采购人不对供应商据此作出的判断和决策负责。</w:t>
      </w:r>
    </w:p>
    <w:p w14:paraId="54435F6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采购人按规定时间组织现场踏勘的，无论供应商是否踏勘过现场，均被认为在递交磋商响应文件之前已经踏勘现场，且对本合同项目风险和义务已经十分了解，并在其磋商响应文件中已充分考虑了现场和周围环境条件。</w:t>
      </w:r>
    </w:p>
    <w:p w14:paraId="10C839AC">
      <w:pPr>
        <w:spacing w:after="0" w:line="520" w:lineRule="exact"/>
        <w:rPr>
          <w:rFonts w:hint="eastAsia" w:asciiTheme="minorEastAsia" w:hAnsiTheme="minorEastAsia" w:eastAsiaTheme="minorEastAsia" w:cstheme="minorEastAsia"/>
          <w:b/>
          <w:bCs/>
          <w:color w:val="auto"/>
          <w:sz w:val="24"/>
          <w:szCs w:val="24"/>
          <w:highlight w:val="none"/>
        </w:rPr>
      </w:pPr>
      <w:bookmarkStart w:id="66" w:name="_bookmark23"/>
      <w:bookmarkEnd w:id="66"/>
      <w:r>
        <w:rPr>
          <w:rFonts w:hint="eastAsia" w:asciiTheme="minorEastAsia" w:hAnsiTheme="minorEastAsia" w:eastAsiaTheme="minorEastAsia" w:cstheme="minorEastAsia"/>
          <w:b/>
          <w:bCs/>
          <w:color w:val="auto"/>
          <w:sz w:val="24"/>
          <w:szCs w:val="24"/>
          <w:highlight w:val="none"/>
        </w:rPr>
        <w:t>1.10磋商预备会</w:t>
      </w:r>
    </w:p>
    <w:p w14:paraId="7486B54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1.10.1供应商须知前附表规定召开磋商预备会的，采购人按供应商须知前附表规定的相关内容召开磋商预备会，澄清供应商提出的问题。</w:t>
      </w:r>
    </w:p>
    <w:p w14:paraId="5907DB32">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1.10.2供应商须知前附表规定</w:t>
      </w:r>
      <w:r>
        <w:rPr>
          <w:rFonts w:hint="eastAsia" w:asciiTheme="minorEastAsia" w:hAnsiTheme="minorEastAsia" w:eastAsiaTheme="minorEastAsia" w:cstheme="minorEastAsia"/>
          <w:color w:val="auto"/>
          <w:sz w:val="24"/>
          <w:szCs w:val="24"/>
          <w:highlight w:val="none"/>
          <w:lang w:val="en-US" w:eastAsia="zh-CN"/>
        </w:rPr>
        <w:t>不</w:t>
      </w:r>
      <w:r>
        <w:rPr>
          <w:rFonts w:hint="eastAsia" w:asciiTheme="minorEastAsia" w:hAnsiTheme="minorEastAsia" w:eastAsiaTheme="minorEastAsia" w:cstheme="minorEastAsia"/>
          <w:color w:val="auto"/>
          <w:sz w:val="24"/>
          <w:szCs w:val="24"/>
          <w:highlight w:val="none"/>
        </w:rPr>
        <w:t>召开磋商预备会的，采购人在供应商须知前附表规定的时间内，通过“政府采购云平台”（网址：https://www.zcygov.cn/)发出采购文件澄清。所有获取了采购文件的潜在供应商登录“政府采购云平台”（网址：https://www.zcygov.cn/)凭企业身份认证数字证书（CA）查看澄清内容。澄清的内容作为磋商文件的组成部分。</w:t>
      </w:r>
    </w:p>
    <w:p w14:paraId="5DAAC3F5">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1.11分包</w:t>
      </w:r>
    </w:p>
    <w:p w14:paraId="3C69468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供应商拟在成交后将成交项目的部分非主体、非关键性工作进行分包的，应符合供应商须知前附表的相关规定。</w:t>
      </w:r>
    </w:p>
    <w:p w14:paraId="6AA48CB2">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1.12偏离</w:t>
      </w:r>
    </w:p>
    <w:p w14:paraId="5BCFA72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供应商须知前附表允许磋商响应文件偏离采购文件某些要求的，偏离应当符合采购文件规定的偏离范围和幅度。</w:t>
      </w:r>
    </w:p>
    <w:p w14:paraId="31D39A0A">
      <w:pPr>
        <w:spacing w:after="0" w:line="520" w:lineRule="exact"/>
        <w:rPr>
          <w:rFonts w:hint="eastAsia" w:asciiTheme="minorEastAsia" w:hAnsiTheme="minorEastAsia" w:eastAsiaTheme="minorEastAsia" w:cstheme="minorEastAsia"/>
          <w:b/>
          <w:bCs/>
          <w:color w:val="auto"/>
          <w:sz w:val="32"/>
          <w:szCs w:val="32"/>
          <w:highlight w:val="none"/>
        </w:rPr>
      </w:pPr>
      <w:bookmarkStart w:id="67" w:name="_bookmark24"/>
      <w:bookmarkEnd w:id="67"/>
      <w:r>
        <w:rPr>
          <w:rFonts w:hint="eastAsia" w:asciiTheme="minorEastAsia" w:hAnsiTheme="minorEastAsia" w:eastAsiaTheme="minorEastAsia" w:cstheme="minorEastAsia"/>
          <w:b/>
          <w:bCs/>
          <w:color w:val="auto"/>
          <w:sz w:val="32"/>
          <w:szCs w:val="32"/>
          <w:highlight w:val="none"/>
        </w:rPr>
        <w:t>2.竞争性磋商文件</w:t>
      </w:r>
    </w:p>
    <w:p w14:paraId="6E9A8EE9">
      <w:pPr>
        <w:spacing w:after="0" w:line="520" w:lineRule="exact"/>
        <w:rPr>
          <w:rFonts w:hint="eastAsia" w:asciiTheme="minorEastAsia" w:hAnsiTheme="minorEastAsia" w:eastAsiaTheme="minorEastAsia" w:cstheme="minorEastAsia"/>
          <w:b/>
          <w:bCs/>
          <w:color w:val="auto"/>
          <w:sz w:val="24"/>
          <w:szCs w:val="24"/>
          <w:highlight w:val="none"/>
        </w:rPr>
      </w:pPr>
      <w:bookmarkStart w:id="68" w:name="_bookmark25"/>
      <w:bookmarkEnd w:id="68"/>
      <w:r>
        <w:rPr>
          <w:rFonts w:hint="eastAsia" w:asciiTheme="minorEastAsia" w:hAnsiTheme="minorEastAsia" w:eastAsiaTheme="minorEastAsia" w:cstheme="minorEastAsia"/>
          <w:b/>
          <w:bCs/>
          <w:color w:val="auto"/>
          <w:sz w:val="24"/>
          <w:szCs w:val="24"/>
          <w:highlight w:val="none"/>
        </w:rPr>
        <w:t>2.1竞争性磋商文件的组成</w:t>
      </w:r>
    </w:p>
    <w:p w14:paraId="779B9558">
      <w:pPr>
        <w:spacing w:after="0" w:line="520" w:lineRule="exact"/>
        <w:ind w:firstLine="120" w:firstLineChars="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1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⑴</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磋商公告；</w:t>
      </w:r>
    </w:p>
    <w:p w14:paraId="49FA7188">
      <w:pPr>
        <w:spacing w:after="0" w:line="520" w:lineRule="exact"/>
        <w:ind w:firstLine="120" w:firstLineChars="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2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⑵</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供应商须知；</w:t>
      </w:r>
    </w:p>
    <w:p w14:paraId="660D1BB1">
      <w:pPr>
        <w:spacing w:after="0" w:line="520" w:lineRule="exact"/>
        <w:ind w:firstLine="120" w:firstLineChars="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3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⑶</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评审办法；</w:t>
      </w:r>
    </w:p>
    <w:p w14:paraId="2CDB7F29">
      <w:pPr>
        <w:spacing w:after="0" w:line="520" w:lineRule="exact"/>
        <w:ind w:firstLine="120" w:firstLineChars="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4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⑷</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合同条款及格式；</w:t>
      </w:r>
    </w:p>
    <w:p w14:paraId="37678F37">
      <w:pPr>
        <w:spacing w:after="0" w:line="520" w:lineRule="exact"/>
        <w:ind w:firstLine="120" w:firstLineChars="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5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⑸</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采购需求；</w:t>
      </w:r>
    </w:p>
    <w:p w14:paraId="7E29307B">
      <w:pPr>
        <w:spacing w:after="0" w:line="520" w:lineRule="exact"/>
        <w:ind w:firstLine="120" w:firstLineChars="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6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⑹</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竞争性磋商响应文件格式；</w:t>
      </w:r>
    </w:p>
    <w:p w14:paraId="0A799D6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根据本章“供应商须知前附表”第 1.10 款、“供应商须知前附表”第 2.2 款对竞争性磋商文件所作的澄清、修改，构成采购文件的组成部分。</w:t>
      </w:r>
    </w:p>
    <w:p w14:paraId="42C75C07">
      <w:pPr>
        <w:spacing w:after="0" w:line="520" w:lineRule="exact"/>
        <w:rPr>
          <w:rFonts w:hint="eastAsia" w:asciiTheme="minorEastAsia" w:hAnsiTheme="minorEastAsia" w:eastAsiaTheme="minorEastAsia" w:cstheme="minorEastAsia"/>
          <w:b/>
          <w:bCs/>
          <w:color w:val="auto"/>
          <w:sz w:val="24"/>
          <w:szCs w:val="24"/>
          <w:highlight w:val="none"/>
        </w:rPr>
      </w:pPr>
      <w:bookmarkStart w:id="69" w:name="_bookmark26"/>
      <w:bookmarkEnd w:id="69"/>
      <w:r>
        <w:rPr>
          <w:rFonts w:hint="eastAsia" w:asciiTheme="minorEastAsia" w:hAnsiTheme="minorEastAsia" w:eastAsiaTheme="minorEastAsia" w:cstheme="minorEastAsia"/>
          <w:b/>
          <w:bCs/>
          <w:color w:val="auto"/>
          <w:sz w:val="24"/>
          <w:szCs w:val="24"/>
          <w:highlight w:val="none"/>
        </w:rPr>
        <w:t>2.2竞争性磋商文件的澄清</w:t>
      </w:r>
    </w:p>
    <w:p w14:paraId="5069635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2.2.1磋商截止时间：详见“供应商须知前附表”。</w:t>
      </w:r>
    </w:p>
    <w:p w14:paraId="096C1D3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2.2.2供应商应仔细阅读和检查采购文件的全部内容。如发现缺页或附件不全，应及时向采购人提出，以便补齐。如有疑问，应在“供应商须知前附表”规定的时间前</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使用CA数字证书登录“政府采购云平台”（网址：https://www.zcygov.cn/)，在“</w:t>
      </w:r>
      <w:r>
        <w:rPr>
          <w:rFonts w:hint="eastAsia" w:asciiTheme="minorEastAsia" w:hAnsiTheme="minorEastAsia" w:eastAsiaTheme="minorEastAsia" w:cstheme="minorEastAsia"/>
          <w:color w:val="auto"/>
          <w:sz w:val="24"/>
          <w:szCs w:val="24"/>
          <w:highlight w:val="none"/>
          <w:lang w:val="en-US" w:eastAsia="zh-CN"/>
        </w:rPr>
        <w:t>询问</w:t>
      </w:r>
      <w:r>
        <w:rPr>
          <w:rFonts w:hint="eastAsia" w:asciiTheme="minorEastAsia" w:hAnsiTheme="minorEastAsia" w:eastAsiaTheme="minorEastAsia" w:cstheme="minorEastAsia"/>
          <w:color w:val="auto"/>
          <w:sz w:val="24"/>
          <w:szCs w:val="24"/>
          <w:highlight w:val="none"/>
        </w:rPr>
        <w:t>”菜单提出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要求采购人对采购文件予以澄清。</w:t>
      </w:r>
    </w:p>
    <w:p w14:paraId="2D0F04B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2.2.3供应商自行登录“政府采购云平台”（网址：https://www.zcygov.cn/)获取澄清，无须回复确认已收到该澄清。</w:t>
      </w:r>
    </w:p>
    <w:p w14:paraId="5A3CA9E8">
      <w:pPr>
        <w:spacing w:after="0" w:line="520" w:lineRule="exact"/>
        <w:rPr>
          <w:rFonts w:hint="eastAsia" w:asciiTheme="minorEastAsia" w:hAnsiTheme="minorEastAsia" w:eastAsiaTheme="minorEastAsia" w:cstheme="minorEastAsia"/>
          <w:b/>
          <w:bCs/>
          <w:color w:val="auto"/>
          <w:sz w:val="24"/>
          <w:szCs w:val="24"/>
          <w:highlight w:val="none"/>
        </w:rPr>
      </w:pPr>
      <w:bookmarkStart w:id="70" w:name="_bookmark27"/>
      <w:bookmarkEnd w:id="70"/>
      <w:r>
        <w:rPr>
          <w:rFonts w:hint="eastAsia" w:asciiTheme="minorEastAsia" w:hAnsiTheme="minorEastAsia" w:eastAsiaTheme="minorEastAsia" w:cstheme="minorEastAsia"/>
          <w:b/>
          <w:bCs/>
          <w:color w:val="auto"/>
          <w:sz w:val="24"/>
          <w:szCs w:val="24"/>
          <w:highlight w:val="none"/>
        </w:rPr>
        <w:t>2.3竞争性磋商文件的修改</w:t>
      </w:r>
    </w:p>
    <w:p w14:paraId="5E6D76A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提交首次响应文件截止之日前，采购人、采购代理机构可以对已发出的磋商文件进行必要的修改，修改的内容作为磋商文件的组成部分。采购人、采购代理机构通过“政府采购云平台”（网址：https://www.zcygov.cn/)发出采购文件</w:t>
      </w:r>
      <w:r>
        <w:rPr>
          <w:rFonts w:hint="eastAsia" w:asciiTheme="minorEastAsia" w:hAnsiTheme="minorEastAsia" w:eastAsiaTheme="minorEastAsia" w:cstheme="minorEastAsia"/>
          <w:color w:val="auto"/>
          <w:sz w:val="24"/>
          <w:szCs w:val="24"/>
          <w:highlight w:val="none"/>
          <w:lang w:val="en-US" w:eastAsia="zh-CN"/>
        </w:rPr>
        <w:t>修改</w:t>
      </w:r>
      <w:r>
        <w:rPr>
          <w:rFonts w:hint="eastAsia" w:asciiTheme="minorEastAsia" w:hAnsiTheme="minorEastAsia" w:eastAsiaTheme="minorEastAsia" w:cstheme="minorEastAsia"/>
          <w:color w:val="auto"/>
          <w:sz w:val="24"/>
          <w:szCs w:val="24"/>
          <w:highlight w:val="none"/>
        </w:rPr>
        <w:t>。所有获取了采购文件的潜在供应商登录“政府采购云平台”（网址：https://www.zcygov.cn/)凭企业身份认证数字证书（CA）查看</w:t>
      </w:r>
      <w:r>
        <w:rPr>
          <w:rFonts w:hint="eastAsia" w:asciiTheme="minorEastAsia" w:hAnsiTheme="minorEastAsia" w:eastAsiaTheme="minorEastAsia" w:cstheme="minorEastAsia"/>
          <w:color w:val="auto"/>
          <w:sz w:val="24"/>
          <w:szCs w:val="24"/>
          <w:highlight w:val="none"/>
          <w:lang w:val="en-US" w:eastAsia="zh-CN"/>
        </w:rPr>
        <w:t>修改</w:t>
      </w:r>
      <w:r>
        <w:rPr>
          <w:rFonts w:hint="eastAsia" w:asciiTheme="minorEastAsia" w:hAnsiTheme="minorEastAsia" w:eastAsiaTheme="minorEastAsia" w:cstheme="minorEastAsia"/>
          <w:color w:val="auto"/>
          <w:sz w:val="24"/>
          <w:szCs w:val="24"/>
          <w:highlight w:val="none"/>
        </w:rPr>
        <w:t>内容。</w:t>
      </w:r>
    </w:p>
    <w:p w14:paraId="6A1C13A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3DFEC5B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2.3.3采购代理机构发出的所有补充、修改和变更文件均作为磋商文件的组成部分，与磋商文件具有同等法律效力。当采购文件、采购文件澄清、采购文件修改文件内容前后相互矛盾时，以最后发出的为准。</w:t>
      </w:r>
    </w:p>
    <w:p w14:paraId="32169DA5">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2.4竞争性磋商文件的解释</w:t>
      </w:r>
    </w:p>
    <w:p w14:paraId="6034443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文件最终解释权归采购人，所有解释均依据本采购文件及有关的法律、法规；在评审时，若出现采购文件无明确说明和处理的情况时，由磋商小组讨论确定处理方案；磋商小组成员之间对处理方案有争议时，采取少数服从多数的投票方式确定。</w:t>
      </w:r>
    </w:p>
    <w:p w14:paraId="0AACBA67">
      <w:pPr>
        <w:spacing w:after="0" w:line="520" w:lineRule="exact"/>
        <w:rPr>
          <w:rFonts w:hint="eastAsia" w:asciiTheme="minorEastAsia" w:hAnsiTheme="minorEastAsia" w:eastAsiaTheme="minorEastAsia" w:cstheme="minorEastAsia"/>
          <w:b/>
          <w:bCs/>
          <w:color w:val="auto"/>
          <w:sz w:val="32"/>
          <w:szCs w:val="32"/>
          <w:highlight w:val="none"/>
        </w:rPr>
      </w:pPr>
      <w:bookmarkStart w:id="71" w:name="_bookmark29"/>
      <w:bookmarkEnd w:id="71"/>
      <w:r>
        <w:rPr>
          <w:rFonts w:hint="eastAsia" w:asciiTheme="minorEastAsia" w:hAnsiTheme="minorEastAsia" w:eastAsiaTheme="minorEastAsia" w:cstheme="minorEastAsia"/>
          <w:b/>
          <w:bCs/>
          <w:color w:val="auto"/>
          <w:sz w:val="32"/>
          <w:szCs w:val="32"/>
          <w:highlight w:val="none"/>
        </w:rPr>
        <w:t>3.竞争性磋商响应文件</w:t>
      </w:r>
    </w:p>
    <w:p w14:paraId="26A76BDE">
      <w:pPr>
        <w:spacing w:after="0" w:line="520" w:lineRule="exact"/>
        <w:rPr>
          <w:rFonts w:hint="eastAsia" w:asciiTheme="minorEastAsia" w:hAnsiTheme="minorEastAsia" w:eastAsiaTheme="minorEastAsia" w:cstheme="minorEastAsia"/>
          <w:b/>
          <w:bCs/>
          <w:color w:val="auto"/>
          <w:sz w:val="24"/>
          <w:szCs w:val="24"/>
          <w:highlight w:val="none"/>
        </w:rPr>
      </w:pPr>
      <w:bookmarkStart w:id="72" w:name="_bookmark30"/>
      <w:bookmarkEnd w:id="72"/>
      <w:r>
        <w:rPr>
          <w:rFonts w:hint="eastAsia" w:asciiTheme="minorEastAsia" w:hAnsiTheme="minorEastAsia" w:eastAsiaTheme="minorEastAsia" w:cstheme="minorEastAsia"/>
          <w:b/>
          <w:bCs/>
          <w:color w:val="auto"/>
          <w:sz w:val="24"/>
          <w:szCs w:val="24"/>
          <w:highlight w:val="none"/>
        </w:rPr>
        <w:t>3.1竞争性磋商响应文件的组成</w:t>
      </w:r>
    </w:p>
    <w:p w14:paraId="76569095">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3.1.1竞争性磋商响应文件应包括下列内容：</w:t>
      </w:r>
    </w:p>
    <w:p w14:paraId="3430095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bookmarkStart w:id="73" w:name="_bookmark31"/>
      <w:bookmarkEnd w:id="73"/>
      <w:bookmarkStart w:id="74" w:name="_Toc17251"/>
      <w:bookmarkStart w:id="75" w:name="_Toc3785"/>
      <w:r>
        <w:rPr>
          <w:rFonts w:hint="eastAsia" w:asciiTheme="minorEastAsia" w:hAnsiTheme="minorEastAsia" w:eastAsiaTheme="minorEastAsia" w:cstheme="minorEastAsia"/>
          <w:color w:val="auto"/>
          <w:sz w:val="24"/>
          <w:szCs w:val="24"/>
          <w:highlight w:val="none"/>
        </w:rPr>
        <w:t>1、竞争性磋商响应文件封面</w:t>
      </w:r>
      <w:bookmarkEnd w:id="74"/>
      <w:bookmarkEnd w:id="75"/>
    </w:p>
    <w:p w14:paraId="6937B7B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bookmarkStart w:id="76" w:name="_Toc16739"/>
      <w:bookmarkStart w:id="77" w:name="_Toc14027"/>
      <w:r>
        <w:rPr>
          <w:rFonts w:hint="eastAsia" w:asciiTheme="minorEastAsia" w:hAnsiTheme="minorEastAsia" w:eastAsiaTheme="minorEastAsia" w:cstheme="minorEastAsia"/>
          <w:color w:val="auto"/>
          <w:sz w:val="24"/>
          <w:szCs w:val="24"/>
          <w:highlight w:val="none"/>
        </w:rPr>
        <w:t>2、</w:t>
      </w:r>
      <w:bookmarkEnd w:id="76"/>
      <w:bookmarkEnd w:id="77"/>
      <w:r>
        <w:rPr>
          <w:rFonts w:hint="eastAsia" w:asciiTheme="minorEastAsia" w:hAnsiTheme="minorEastAsia" w:eastAsiaTheme="minorEastAsia" w:cstheme="minorEastAsia"/>
          <w:color w:val="auto"/>
          <w:sz w:val="24"/>
          <w:szCs w:val="24"/>
          <w:highlight w:val="none"/>
        </w:rPr>
        <w:t>竞争性磋商响应文件目录</w:t>
      </w:r>
    </w:p>
    <w:p w14:paraId="7230DFD2">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bookmarkStart w:id="78" w:name="_Toc16407"/>
      <w:bookmarkStart w:id="79" w:name="_Toc31000"/>
      <w:r>
        <w:rPr>
          <w:rFonts w:hint="eastAsia" w:asciiTheme="minorEastAsia" w:hAnsiTheme="minorEastAsia" w:eastAsiaTheme="minorEastAsia" w:cstheme="minorEastAsia"/>
          <w:color w:val="auto"/>
          <w:sz w:val="24"/>
          <w:szCs w:val="24"/>
          <w:highlight w:val="none"/>
        </w:rPr>
        <w:t xml:space="preserve">3、第一部分 </w:t>
      </w:r>
      <w:bookmarkEnd w:id="78"/>
      <w:bookmarkEnd w:id="79"/>
      <w:r>
        <w:rPr>
          <w:rFonts w:hint="eastAsia" w:asciiTheme="minorEastAsia" w:hAnsiTheme="minorEastAsia" w:eastAsiaTheme="minorEastAsia" w:cstheme="minorEastAsia"/>
          <w:color w:val="auto"/>
          <w:sz w:val="24"/>
          <w:szCs w:val="24"/>
          <w:highlight w:val="none"/>
        </w:rPr>
        <w:t>资格审查部分</w:t>
      </w:r>
    </w:p>
    <w:p w14:paraId="117EA5B4">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bookmarkStart w:id="80" w:name="_Toc405"/>
      <w:bookmarkStart w:id="81" w:name="_Toc28901"/>
      <w:r>
        <w:rPr>
          <w:rFonts w:hint="eastAsia" w:asciiTheme="minorEastAsia" w:hAnsiTheme="minorEastAsia" w:eastAsiaTheme="minorEastAsia" w:cstheme="minorEastAsia"/>
          <w:color w:val="auto"/>
          <w:sz w:val="24"/>
          <w:szCs w:val="24"/>
          <w:highlight w:val="none"/>
        </w:rPr>
        <w:t xml:space="preserve">4、第二部分 </w:t>
      </w:r>
      <w:bookmarkEnd w:id="80"/>
      <w:bookmarkEnd w:id="81"/>
      <w:r>
        <w:rPr>
          <w:rFonts w:hint="eastAsia" w:asciiTheme="minorEastAsia" w:hAnsiTheme="minorEastAsia" w:eastAsiaTheme="minorEastAsia" w:cstheme="minorEastAsia"/>
          <w:color w:val="auto"/>
          <w:sz w:val="24"/>
          <w:szCs w:val="24"/>
          <w:highlight w:val="none"/>
        </w:rPr>
        <w:t>技术标部分</w:t>
      </w:r>
    </w:p>
    <w:p w14:paraId="337AFAA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bookmarkStart w:id="82" w:name="_Toc18023"/>
      <w:bookmarkStart w:id="83" w:name="_Toc19238"/>
      <w:r>
        <w:rPr>
          <w:rFonts w:hint="eastAsia" w:asciiTheme="minorEastAsia" w:hAnsiTheme="minorEastAsia" w:eastAsiaTheme="minorEastAsia" w:cstheme="minorEastAsia"/>
          <w:color w:val="auto"/>
          <w:sz w:val="24"/>
          <w:szCs w:val="24"/>
          <w:highlight w:val="none"/>
        </w:rPr>
        <w:t xml:space="preserve">5、第三部分 </w:t>
      </w:r>
      <w:bookmarkEnd w:id="82"/>
      <w:bookmarkEnd w:id="83"/>
      <w:r>
        <w:rPr>
          <w:rFonts w:hint="eastAsia" w:asciiTheme="minorEastAsia" w:hAnsiTheme="minorEastAsia" w:eastAsiaTheme="minorEastAsia" w:cstheme="minorEastAsia"/>
          <w:color w:val="auto"/>
          <w:sz w:val="24"/>
          <w:szCs w:val="24"/>
          <w:highlight w:val="none"/>
        </w:rPr>
        <w:t>商务标部分</w:t>
      </w:r>
    </w:p>
    <w:p w14:paraId="3FB45A22">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3.2磋商报价</w:t>
      </w:r>
    </w:p>
    <w:p w14:paraId="4927B0EB">
      <w:pPr>
        <w:spacing w:after="0" w:line="520" w:lineRule="exac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3.2.1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已提交响应文件的供应商，在提交最后报价之前，可以根据磋商情况退出磋商。</w:t>
      </w:r>
    </w:p>
    <w:p w14:paraId="444F3E02">
      <w:pPr>
        <w:spacing w:after="0" w:line="520" w:lineRule="exac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本项目采用2轮报价。</w:t>
      </w:r>
    </w:p>
    <w:p w14:paraId="37F4425B">
      <w:pPr>
        <w:spacing w:after="0" w:line="520" w:lineRule="exact"/>
        <w:ind w:left="504" w:leftChars="229"/>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rPr>
        <w:t>第 1 轮：磋商申请人制作响应文件的同时在文件中第一次报价（不公布报价）。</w:t>
      </w:r>
    </w:p>
    <w:p w14:paraId="1E86DD38">
      <w:pPr>
        <w:spacing w:after="0" w:line="520" w:lineRule="exact"/>
        <w:ind w:left="504" w:leftChars="22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 2 轮（即最后报价）：最后报价为评审依据。</w:t>
      </w:r>
    </w:p>
    <w:p w14:paraId="6B8BD51A">
      <w:pPr>
        <w:spacing w:after="0" w:line="520" w:lineRule="exac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注：磋商报价高于预算金额时，为废标。最终报价不得高于第一次报价，否则视为无效报价；采购人不承诺最低价成交。</w:t>
      </w:r>
    </w:p>
    <w:p w14:paraId="125A0944">
      <w:pPr>
        <w:spacing w:after="0" w:line="520" w:lineRule="exac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3.2.</w:t>
      </w:r>
      <w:r>
        <w:rPr>
          <w:rFonts w:hint="eastAsia" w:asciiTheme="minorEastAsia" w:hAnsiTheme="minorEastAsia" w:eastAsiaTheme="minorEastAsia"/>
          <w:color w:val="auto"/>
          <w:sz w:val="24"/>
          <w:szCs w:val="24"/>
          <w:lang w:val="en-US" w:eastAsia="zh-CN"/>
        </w:rPr>
        <w:t>2</w:t>
      </w:r>
      <w:r>
        <w:rPr>
          <w:rFonts w:hint="eastAsia" w:asciiTheme="minorEastAsia" w:hAnsiTheme="minorEastAsia" w:eastAsiaTheme="minorEastAsia"/>
          <w:color w:val="auto"/>
          <w:sz w:val="24"/>
          <w:szCs w:val="24"/>
        </w:rPr>
        <w:t>采购人设有采购控制价的，磋商报价不得高于采购控制价中公布的任何一项。采购控制价或其计算方法详见磋商申请人须知前附表。</w:t>
      </w:r>
    </w:p>
    <w:p w14:paraId="3A91CD20">
      <w:pPr>
        <w:spacing w:after="0" w:line="52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3.3 磋商有效期</w:t>
      </w:r>
    </w:p>
    <w:p w14:paraId="796E4DE4">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3.3.1在“供应商须知前附表”规定的磋商有效期内，供应商不得要求撤销或修改其竞争性磋商响应文件。</w:t>
      </w:r>
    </w:p>
    <w:p w14:paraId="4479A1F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3.3.2出现特殊情况需要延长磋商有效期的，采购人以书面形式通知所有供应商延长磋商有效期。供应商同意延长的，应相应延长其磋商保证金的有效期，但不得要求或被允许修改或撤销其竞争性磋商响应文件；供应商拒绝延长的，其磋商失效，但供应商有权收回其磋商保证金。</w:t>
      </w:r>
    </w:p>
    <w:p w14:paraId="374CD7CE">
      <w:pPr>
        <w:spacing w:after="0" w:line="520" w:lineRule="exact"/>
        <w:rPr>
          <w:rFonts w:hint="eastAsia" w:asciiTheme="minorEastAsia" w:hAnsiTheme="minorEastAsia" w:eastAsiaTheme="minorEastAsia" w:cstheme="minorEastAsia"/>
          <w:b/>
          <w:bCs/>
          <w:color w:val="auto"/>
          <w:sz w:val="24"/>
          <w:szCs w:val="24"/>
          <w:highlight w:val="none"/>
        </w:rPr>
      </w:pPr>
      <w:bookmarkStart w:id="84" w:name="_bookmark33"/>
      <w:bookmarkEnd w:id="84"/>
      <w:r>
        <w:rPr>
          <w:rFonts w:hint="eastAsia" w:asciiTheme="minorEastAsia" w:hAnsiTheme="minorEastAsia" w:eastAsiaTheme="minorEastAsia" w:cstheme="minorEastAsia"/>
          <w:b/>
          <w:bCs/>
          <w:color w:val="auto"/>
          <w:sz w:val="24"/>
          <w:szCs w:val="24"/>
          <w:highlight w:val="none"/>
        </w:rPr>
        <w:t>3.4磋商保证金</w:t>
      </w:r>
    </w:p>
    <w:p w14:paraId="7B33EB56">
      <w:pPr>
        <w:spacing w:after="0" w:line="52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lang w:eastAsia="zh-CN"/>
        </w:rPr>
        <w:t>不收取保证金。</w:t>
      </w:r>
    </w:p>
    <w:p w14:paraId="1B322531">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3.5资格审查资料</w:t>
      </w:r>
    </w:p>
    <w:p w14:paraId="54ABB3EF">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供应商在编制响应文件时，应按采购文件要求提供有效的资格审查资料，以证明其各项资格条件能满足采购文件的要求，具备承担本项目的资格条件、能力和信誉。</w:t>
      </w:r>
    </w:p>
    <w:p w14:paraId="6DDB1558">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3.5.1供应商满足《中华人民共和国政府采购法》第二十二条规定，须提供的材料要求：详见“供应商须知前附表”1.4.1款；</w:t>
      </w:r>
    </w:p>
    <w:p w14:paraId="799CF6F2">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3.5.2本项目的特定资格要求：详见“供应商须知前附表”1.4.1款；</w:t>
      </w:r>
    </w:p>
    <w:p w14:paraId="3457490C">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3.5.3其他要求：详见“供应商须知前附表”1.4.1款；</w:t>
      </w:r>
    </w:p>
    <w:p w14:paraId="1C4F538B">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3.6备选磋商方案</w:t>
      </w:r>
    </w:p>
    <w:p w14:paraId="23746C2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供应商须知前附表”另有规定外，供应商不得递交备选磋商方案。允许供应商递交备选磋商方案的，只有成交单位所递交的备选磋商方案方可予以考虑。磋商小组认为成交单位的备选磋商方案优于其按照竞争性磋商文件要求编制的磋商方案的，采购人可以接受该备选磋商方案。</w:t>
      </w:r>
    </w:p>
    <w:p w14:paraId="6AFD9AFB">
      <w:pPr>
        <w:spacing w:after="0" w:line="520" w:lineRule="exact"/>
        <w:rPr>
          <w:rFonts w:hint="eastAsia" w:asciiTheme="minorEastAsia" w:hAnsiTheme="minorEastAsia" w:eastAsiaTheme="minorEastAsia" w:cstheme="minorEastAsia"/>
          <w:b/>
          <w:bCs/>
          <w:color w:val="auto"/>
          <w:sz w:val="24"/>
          <w:szCs w:val="24"/>
          <w:highlight w:val="none"/>
        </w:rPr>
      </w:pPr>
      <w:bookmarkStart w:id="85" w:name="_bookmark36"/>
      <w:bookmarkEnd w:id="85"/>
      <w:r>
        <w:rPr>
          <w:rFonts w:hint="eastAsia" w:asciiTheme="minorEastAsia" w:hAnsiTheme="minorEastAsia" w:eastAsiaTheme="minorEastAsia" w:cstheme="minorEastAsia"/>
          <w:b/>
          <w:bCs/>
          <w:color w:val="auto"/>
          <w:sz w:val="24"/>
          <w:szCs w:val="24"/>
          <w:highlight w:val="none"/>
        </w:rPr>
        <w:t>3.7竞争性磋商响应文件的编制</w:t>
      </w:r>
    </w:p>
    <w:p w14:paraId="5020059A">
      <w:pPr>
        <w:spacing w:after="0" w:line="520" w:lineRule="exact"/>
        <w:rPr>
          <w:rFonts w:hint="eastAsia" w:asciiTheme="minorEastAsia" w:hAnsiTheme="minorEastAsia" w:eastAsiaTheme="minorEastAsia" w:cstheme="minorEastAsia"/>
          <w:color w:val="auto"/>
          <w:sz w:val="24"/>
          <w:szCs w:val="24"/>
          <w:highlight w:val="none"/>
        </w:rPr>
      </w:pPr>
      <w:bookmarkStart w:id="86" w:name="_bookmark37"/>
      <w:bookmarkEnd w:id="86"/>
      <w:r>
        <w:rPr>
          <w:rFonts w:hint="eastAsia" w:asciiTheme="minorEastAsia" w:hAnsiTheme="minorEastAsia" w:eastAsiaTheme="minorEastAsia" w:cstheme="minorEastAsia"/>
          <w:color w:val="auto"/>
          <w:sz w:val="24"/>
          <w:szCs w:val="24"/>
          <w:highlight w:val="none"/>
          <w:lang w:val="en-US" w:eastAsia="zh-CN"/>
        </w:rPr>
        <w:t>3.7.1</w:t>
      </w:r>
      <w:r>
        <w:rPr>
          <w:rFonts w:hint="eastAsia" w:asciiTheme="minorEastAsia" w:hAnsiTheme="minorEastAsia" w:eastAsiaTheme="minorEastAsia" w:cstheme="minorEastAsia"/>
          <w:color w:val="auto"/>
          <w:sz w:val="24"/>
          <w:szCs w:val="24"/>
          <w:highlight w:val="none"/>
        </w:rPr>
        <w:t>响应文件全部采用电子文档，供应商应安装客户端软件—“政采云电子交易客户端”，并按照</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文件和政采云电子交易平台的要求编制，编制后应进行电子签章、签名及加密；</w:t>
      </w:r>
    </w:p>
    <w:p w14:paraId="00C74F4C">
      <w:pPr>
        <w:spacing w:after="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3.7.2</w:t>
      </w:r>
      <w:r>
        <w:rPr>
          <w:rFonts w:hint="eastAsia" w:asciiTheme="minorEastAsia" w:hAnsiTheme="minorEastAsia" w:eastAsiaTheme="minorEastAsia" w:cstheme="minorEastAsia"/>
          <w:color w:val="auto"/>
          <w:sz w:val="24"/>
          <w:szCs w:val="24"/>
          <w:highlight w:val="none"/>
        </w:rPr>
        <w:t>如响应文件提交的电子标书不满足</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 xml:space="preserve">文件要求或开标时无法读取导入或解密，其响应文件将不予受理； </w:t>
      </w:r>
    </w:p>
    <w:p w14:paraId="08E916E6">
      <w:pPr>
        <w:spacing w:after="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3.7.3</w:t>
      </w:r>
      <w:r>
        <w:rPr>
          <w:rFonts w:hint="eastAsia" w:asciiTheme="minorEastAsia" w:hAnsiTheme="minorEastAsia" w:eastAsiaTheme="minorEastAsia" w:cstheme="minorEastAsia"/>
          <w:color w:val="auto"/>
          <w:sz w:val="24"/>
          <w:szCs w:val="24"/>
          <w:highlight w:val="none"/>
        </w:rPr>
        <w:t>响应文件中提供的资料（扫描件），内容必须清晰可辨，若内容模糊，无法辨识，均视为未提供。</w:t>
      </w:r>
    </w:p>
    <w:p w14:paraId="791B4687">
      <w:pPr>
        <w:spacing w:after="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3.7.4供应商</w:t>
      </w:r>
      <w:r>
        <w:rPr>
          <w:rFonts w:hint="eastAsia" w:asciiTheme="minorEastAsia" w:hAnsiTheme="minorEastAsia" w:eastAsiaTheme="minorEastAsia" w:cstheme="minorEastAsia"/>
          <w:color w:val="auto"/>
          <w:sz w:val="24"/>
          <w:szCs w:val="24"/>
          <w:highlight w:val="none"/>
        </w:rPr>
        <w:t>进行电子交易应安装客户端软件—“政采云电子交易客户端”，并按照</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文件和电子交易平台的要求编制并加密响应文件。</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 xml:space="preserve">未按规定加密的响应文件，电子交易平台将拒收并提示； </w:t>
      </w:r>
    </w:p>
    <w:p w14:paraId="1379BCB9">
      <w:pPr>
        <w:spacing w:after="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3.7.5</w:t>
      </w:r>
      <w:r>
        <w:rPr>
          <w:rFonts w:hint="eastAsia" w:asciiTheme="minorEastAsia" w:hAnsiTheme="minorEastAsia" w:eastAsiaTheme="minorEastAsia" w:cstheme="minorEastAsia"/>
          <w:color w:val="auto"/>
          <w:sz w:val="24"/>
          <w:szCs w:val="24"/>
          <w:highlight w:val="none"/>
        </w:rPr>
        <w:t>使用“政采云电子交易客户端”需要提前申领CA数字证书，申领流程见“政府采购云平台”</w:t>
      </w:r>
      <w:r>
        <w:rPr>
          <w:rFonts w:hint="eastAsia" w:asciiTheme="minorEastAsia" w:hAnsiTheme="minorEastAsia" w:eastAsiaTheme="minorEastAsia" w:cstheme="minorEastAsia"/>
          <w:color w:val="auto"/>
          <w:sz w:val="24"/>
          <w:szCs w:val="24"/>
          <w:highlight w:val="none"/>
          <w:lang w:val="en-US" w:eastAsia="zh-CN"/>
        </w:rPr>
        <w:t>相应模块</w:t>
      </w:r>
      <w:r>
        <w:rPr>
          <w:rFonts w:hint="eastAsia" w:asciiTheme="minorEastAsia" w:hAnsiTheme="minorEastAsia" w:eastAsiaTheme="minorEastAsia" w:cstheme="minorEastAsia"/>
          <w:color w:val="auto"/>
          <w:sz w:val="24"/>
          <w:szCs w:val="24"/>
          <w:highlight w:val="none"/>
        </w:rPr>
        <w:t xml:space="preserve">； </w:t>
      </w:r>
    </w:p>
    <w:p w14:paraId="47377978">
      <w:pPr>
        <w:spacing w:after="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3.7.6</w:t>
      </w:r>
      <w:r>
        <w:rPr>
          <w:rFonts w:hint="eastAsia" w:asciiTheme="minorEastAsia" w:hAnsiTheme="minorEastAsia" w:eastAsiaTheme="minorEastAsia" w:cstheme="minorEastAsia"/>
          <w:color w:val="auto"/>
          <w:sz w:val="24"/>
          <w:szCs w:val="24"/>
          <w:highlight w:val="none"/>
        </w:rPr>
        <w:t>为确保网上操作合法、有效和安全，</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应当在响应文件提交截止时间前完成在“政府采购云平台”的身份认证，确保在电子交易过程中能够对相关数据电文进行加密和使用电子签名。</w:t>
      </w:r>
    </w:p>
    <w:p w14:paraId="5E0F19D2">
      <w:pPr>
        <w:spacing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4.磋商申请</w:t>
      </w:r>
    </w:p>
    <w:p w14:paraId="25A2BFED">
      <w:pPr>
        <w:spacing w:after="0" w:line="520" w:lineRule="exact"/>
        <w:rPr>
          <w:rFonts w:hint="eastAsia" w:asciiTheme="minorEastAsia" w:hAnsiTheme="minorEastAsia" w:eastAsiaTheme="minorEastAsia" w:cstheme="minorEastAsia"/>
          <w:b/>
          <w:bCs/>
          <w:color w:val="auto"/>
          <w:sz w:val="24"/>
          <w:szCs w:val="24"/>
          <w:highlight w:val="none"/>
        </w:rPr>
      </w:pPr>
      <w:bookmarkStart w:id="87" w:name="_bookmark38"/>
      <w:bookmarkEnd w:id="87"/>
      <w:r>
        <w:rPr>
          <w:rFonts w:hint="eastAsia" w:asciiTheme="minorEastAsia" w:hAnsiTheme="minorEastAsia" w:eastAsiaTheme="minorEastAsia" w:cstheme="minorEastAsia"/>
          <w:b/>
          <w:bCs/>
          <w:color w:val="auto"/>
          <w:sz w:val="24"/>
          <w:szCs w:val="24"/>
          <w:highlight w:val="none"/>
        </w:rPr>
        <w:t>4.</w:t>
      </w:r>
      <w:r>
        <w:rPr>
          <w:rFonts w:hint="eastAsia" w:asciiTheme="minorEastAsia" w:hAnsiTheme="minorEastAsia" w:eastAsiaTheme="minorEastAsia" w:cstheme="minorEastAsia"/>
          <w:b/>
          <w:bCs/>
          <w:color w:val="auto"/>
          <w:sz w:val="24"/>
          <w:szCs w:val="24"/>
          <w:highlight w:val="none"/>
          <w:lang w:val="en-US" w:eastAsia="zh-CN"/>
        </w:rPr>
        <w:t>1</w:t>
      </w:r>
      <w:r>
        <w:rPr>
          <w:rFonts w:hint="eastAsia" w:asciiTheme="minorEastAsia" w:hAnsiTheme="minorEastAsia" w:eastAsiaTheme="minorEastAsia" w:cstheme="minorEastAsia"/>
          <w:b/>
          <w:bCs/>
          <w:color w:val="auto"/>
          <w:sz w:val="24"/>
          <w:szCs w:val="24"/>
          <w:highlight w:val="none"/>
        </w:rPr>
        <w:t>响应文件的密封和标记</w:t>
      </w:r>
    </w:p>
    <w:p w14:paraId="4860274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4.1.1响应文件应密封包装。</w:t>
      </w:r>
    </w:p>
    <w:p w14:paraId="4A4E002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4.1.2响应文件封套上应写明的其他内容见“供应商须知前附表”。</w:t>
      </w:r>
    </w:p>
    <w:p w14:paraId="0A6DCEA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4.1.3未按本章第 4.1.1项或第 4.1.2项要求</w:t>
      </w:r>
      <w:r>
        <w:rPr>
          <w:rFonts w:hint="eastAsia" w:asciiTheme="minorEastAsia" w:hAnsiTheme="minorEastAsia" w:eastAsiaTheme="minorEastAsia" w:cstheme="minorEastAsia"/>
          <w:color w:val="auto"/>
          <w:sz w:val="24"/>
          <w:szCs w:val="24"/>
          <w:highlight w:val="none"/>
          <w:lang w:val="en-US" w:eastAsia="zh-CN"/>
        </w:rPr>
        <w:t>加</w:t>
      </w:r>
      <w:r>
        <w:rPr>
          <w:rFonts w:hint="eastAsia" w:asciiTheme="minorEastAsia" w:hAnsiTheme="minorEastAsia" w:eastAsiaTheme="minorEastAsia" w:cstheme="minorEastAsia"/>
          <w:color w:val="auto"/>
          <w:sz w:val="24"/>
          <w:szCs w:val="24"/>
          <w:highlight w:val="none"/>
        </w:rPr>
        <w:t>密响应文件</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，采购人不予受理。</w:t>
      </w:r>
    </w:p>
    <w:p w14:paraId="187D837A">
      <w:pPr>
        <w:spacing w:after="0" w:line="520" w:lineRule="exact"/>
        <w:rPr>
          <w:rFonts w:hint="eastAsia" w:asciiTheme="minorEastAsia" w:hAnsiTheme="minorEastAsia" w:eastAsiaTheme="minorEastAsia" w:cstheme="minorEastAsia"/>
          <w:b/>
          <w:bCs/>
          <w:color w:val="auto"/>
          <w:sz w:val="24"/>
          <w:szCs w:val="24"/>
          <w:highlight w:val="none"/>
        </w:rPr>
      </w:pPr>
      <w:bookmarkStart w:id="88" w:name="_bookmark39"/>
      <w:bookmarkEnd w:id="88"/>
      <w:r>
        <w:rPr>
          <w:rFonts w:hint="eastAsia" w:asciiTheme="minorEastAsia" w:hAnsiTheme="minorEastAsia" w:eastAsiaTheme="minorEastAsia" w:cstheme="minorEastAsia"/>
          <w:b/>
          <w:bCs/>
          <w:color w:val="auto"/>
          <w:sz w:val="24"/>
          <w:szCs w:val="24"/>
          <w:highlight w:val="none"/>
        </w:rPr>
        <w:t>4.2供应商应竞争性磋商响应文件的递交</w:t>
      </w:r>
    </w:p>
    <w:p w14:paraId="6D3CC925">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4.2.1在“供应商须知前附表” 2.2.1项规定的磋商截止时间前递交竞争性磋商响应文件。</w:t>
      </w:r>
    </w:p>
    <w:p w14:paraId="31E1891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4.2.2供应商递交竞争性磋商响应文件的地点：详见“供应商须知前附表”。</w:t>
      </w:r>
    </w:p>
    <w:p w14:paraId="2F42BA6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4.2.3除“供应商须知前附表”另有规定外，供应商所递交的竞争性磋商响应文件不予</w:t>
      </w:r>
    </w:p>
    <w:p w14:paraId="4FE76339">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退还。</w:t>
      </w:r>
    </w:p>
    <w:p w14:paraId="5943FE4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4.2.4供应商应当在磋商文件要求的截止时间前，按照本项目采购文件和“政府采购云平台”的要求编制、加密响应文件，并在响应文件提交截止时间前上传至“政府采购云平台”，响应文件提交截止时间前未完成响应文件上传的，视为撤回响应文件。</w:t>
      </w:r>
    </w:p>
    <w:p w14:paraId="58C0CE70">
      <w:pPr>
        <w:spacing w:after="0" w:line="520" w:lineRule="exact"/>
        <w:rPr>
          <w:rFonts w:hint="eastAsia" w:asciiTheme="minorEastAsia" w:hAnsiTheme="minorEastAsia" w:eastAsiaTheme="minorEastAsia" w:cstheme="minorEastAsia"/>
          <w:b/>
          <w:bCs/>
          <w:color w:val="auto"/>
          <w:sz w:val="24"/>
          <w:szCs w:val="24"/>
          <w:highlight w:val="none"/>
        </w:rPr>
      </w:pPr>
      <w:bookmarkStart w:id="89" w:name="_bookmark40"/>
      <w:bookmarkEnd w:id="89"/>
      <w:r>
        <w:rPr>
          <w:rFonts w:hint="eastAsia" w:asciiTheme="minorEastAsia" w:hAnsiTheme="minorEastAsia" w:eastAsiaTheme="minorEastAsia" w:cstheme="minorEastAsia"/>
          <w:b/>
          <w:bCs/>
          <w:color w:val="auto"/>
          <w:sz w:val="24"/>
          <w:szCs w:val="24"/>
          <w:highlight w:val="none"/>
        </w:rPr>
        <w:t>4.3竞争性磋商申请文件的修改与撤回</w:t>
      </w:r>
    </w:p>
    <w:p w14:paraId="03C0B051">
      <w:pPr>
        <w:spacing w:after="0" w:line="520" w:lineRule="exact"/>
        <w:ind w:firstLine="240" w:firstLineChars="100"/>
        <w:rPr>
          <w:rFonts w:hint="eastAsia" w:asciiTheme="minorEastAsia" w:hAnsiTheme="minorEastAsia" w:eastAsiaTheme="minorEastAsia" w:cstheme="minorEastAsia"/>
          <w:color w:val="auto"/>
          <w:sz w:val="24"/>
          <w:szCs w:val="24"/>
          <w:highlight w:val="none"/>
        </w:rPr>
      </w:pPr>
      <w:bookmarkStart w:id="90" w:name="_bookmark42"/>
      <w:bookmarkEnd w:id="90"/>
      <w:r>
        <w:rPr>
          <w:rFonts w:hint="eastAsia" w:asciiTheme="minorEastAsia" w:hAnsiTheme="minorEastAsia" w:eastAsiaTheme="minorEastAsia" w:cstheme="minorEastAsia"/>
          <w:color w:val="auto"/>
          <w:sz w:val="24"/>
          <w:szCs w:val="24"/>
          <w:highlight w:val="none"/>
        </w:rPr>
        <w:t>4.3.1本章第4.2.1款规定的</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截止时间前，</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可以修改或撤回已递交的</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文件，无须书面形式通知</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人。</w:t>
      </w:r>
    </w:p>
    <w:p w14:paraId="0B561A5C">
      <w:pPr>
        <w:spacing w:after="0" w:line="520" w:lineRule="exact"/>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4.3.2修改的</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文件应按照电子</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文件编制规定进行编制、密封、标记和递交。</w:t>
      </w:r>
    </w:p>
    <w:p w14:paraId="62DD35A7">
      <w:pPr>
        <w:spacing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5.磋商</w:t>
      </w:r>
    </w:p>
    <w:p w14:paraId="5AC25A7D">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5.1磋商时间和地点</w:t>
      </w:r>
    </w:p>
    <w:p w14:paraId="53581E6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采购人在“供应商须知前附表”2.2.1项规定的磋商截止时间（磋商时间）和“供应商须知前附表”规定的地点参加公开磋商。</w:t>
      </w:r>
    </w:p>
    <w:p w14:paraId="34CD672A">
      <w:pPr>
        <w:spacing w:after="0" w:line="520" w:lineRule="exact"/>
        <w:rPr>
          <w:rFonts w:hint="eastAsia" w:asciiTheme="minorEastAsia" w:hAnsiTheme="minorEastAsia" w:eastAsiaTheme="minorEastAsia" w:cstheme="minorEastAsia"/>
          <w:b/>
          <w:bCs/>
          <w:color w:val="auto"/>
          <w:sz w:val="24"/>
          <w:szCs w:val="24"/>
          <w:highlight w:val="none"/>
        </w:rPr>
      </w:pPr>
      <w:bookmarkStart w:id="91" w:name="_bookmark43"/>
      <w:bookmarkEnd w:id="91"/>
      <w:r>
        <w:rPr>
          <w:rFonts w:hint="eastAsia" w:asciiTheme="minorEastAsia" w:hAnsiTheme="minorEastAsia" w:eastAsiaTheme="minorEastAsia" w:cstheme="minorEastAsia"/>
          <w:b/>
          <w:bCs/>
          <w:color w:val="auto"/>
          <w:sz w:val="24"/>
          <w:szCs w:val="24"/>
          <w:highlight w:val="none"/>
        </w:rPr>
        <w:t>5.2磋商程序</w:t>
      </w:r>
    </w:p>
    <w:p w14:paraId="60BC576F">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在本章第4.2.1项规定的</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截止时间（开标时间）和</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须知前附表规定的地点公开开标，并邀请所有</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的法定代表人或其委托代理人准时参加网上开标。</w:t>
      </w:r>
    </w:p>
    <w:p w14:paraId="28486FE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程序</w:t>
      </w:r>
    </w:p>
    <w:p w14:paraId="6D03559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主持人按下列程序进行开标：</w:t>
      </w:r>
    </w:p>
    <w:p w14:paraId="4069204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⑴宣布</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纪律。</w:t>
      </w:r>
    </w:p>
    <w:p w14:paraId="127DD8E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⑵公布在投标截止时间前递交投标文件的情况。</w:t>
      </w:r>
    </w:p>
    <w:p w14:paraId="3C21C23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⑶宣布</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人、唱标人、记录人、监标人等有关人员姓名。</w:t>
      </w:r>
    </w:p>
    <w:p w14:paraId="7588312F">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⑷按照</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须知前附表的规定确定并宣布</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文件开标顺序。</w:t>
      </w:r>
    </w:p>
    <w:p w14:paraId="21704F6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⑸按照“政府采购云平台”自动提取所有</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的顺序当众开标，由</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对网上递交已加密的</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文件，进行网上（远程）解密，解密完成后，公布</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名称、标段名称、</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保证金的递交情况、</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报价、</w:t>
      </w:r>
      <w:r>
        <w:rPr>
          <w:rFonts w:hint="eastAsia" w:asciiTheme="minorEastAsia" w:hAnsiTheme="minorEastAsia" w:eastAsiaTheme="minorEastAsia" w:cstheme="minorEastAsia"/>
          <w:color w:val="auto"/>
          <w:sz w:val="24"/>
          <w:szCs w:val="24"/>
          <w:highlight w:val="none"/>
          <w:lang w:val="en-US" w:eastAsia="zh-CN"/>
        </w:rPr>
        <w:t>供货地点、供货方式、合同履行期限</w:t>
      </w:r>
      <w:r>
        <w:rPr>
          <w:rFonts w:hint="eastAsia" w:asciiTheme="minorEastAsia" w:hAnsiTheme="minorEastAsia" w:eastAsiaTheme="minorEastAsia" w:cstheme="minorEastAsia"/>
          <w:color w:val="auto"/>
          <w:sz w:val="24"/>
          <w:szCs w:val="24"/>
          <w:highlight w:val="none"/>
        </w:rPr>
        <w:t>及其他内容，并记录在案。因</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原因造成</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文件未解密的，视为撤销其</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w:t>
      </w:r>
    </w:p>
    <w:p w14:paraId="4618ADD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⑹</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代表（如需）、</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代表、监标人、记录人等有关人员在开标记录上签字确认。</w:t>
      </w:r>
    </w:p>
    <w:p w14:paraId="66419EE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⑺通过初步评审的供应商进入第二轮报价及承诺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磋商小组成员集中与单一供应商分别进行磋商；公布供应商名称、磋商第二轮报价、合同履行期限及其他内容，并记录在案；</w:t>
      </w:r>
    </w:p>
    <w:p w14:paraId="24AEBC8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⑻</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结束。</w:t>
      </w:r>
    </w:p>
    <w:p w14:paraId="6ADA548D">
      <w:pPr>
        <w:spacing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6.评审</w:t>
      </w:r>
    </w:p>
    <w:p w14:paraId="508C10C2">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bookmarkStart w:id="92" w:name="_bookmark45"/>
      <w:bookmarkEnd w:id="92"/>
      <w:r>
        <w:rPr>
          <w:rFonts w:hint="eastAsia" w:asciiTheme="minorEastAsia" w:hAnsiTheme="minorEastAsia" w:eastAsiaTheme="minorEastAsia" w:cstheme="minorEastAsia"/>
          <w:color w:val="auto"/>
          <w:sz w:val="24"/>
          <w:szCs w:val="24"/>
          <w:highlight w:val="none"/>
        </w:rPr>
        <w:t>6.1磋商小组</w:t>
      </w:r>
    </w:p>
    <w:p w14:paraId="34BA165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6.1.1评审由依法组建的磋商小组负责。磋商小组成员人数以及组成方式见“供应商须知前附表”。</w:t>
      </w:r>
    </w:p>
    <w:p w14:paraId="58BEECF4">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6.1.2磋商小组成员与参加采购活动的供应商存在下列利害关系之一的，应当回避：</w:t>
      </w:r>
    </w:p>
    <w:p w14:paraId="29208AF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1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⑴</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参加采购活动前三年内，与供应商存在劳动关系，或者担任过供应商的董事、监事，或者是供应商的控股股东或实际控制人；</w:t>
      </w:r>
    </w:p>
    <w:p w14:paraId="638E5D6C">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2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⑵</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与供应商的法定代表人或者负责人有夫妻、直系血亲、三代以内旁系血亲或者近姻亲关系；</w:t>
      </w:r>
    </w:p>
    <w:p w14:paraId="41D531E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3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⑶</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与供应商有其他可能影响政府采购活动公平、公正进行的关系。</w:t>
      </w:r>
    </w:p>
    <w:p w14:paraId="7167584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4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⑷</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项目主管部门或者行政监督部门的人员。</w:t>
      </w:r>
    </w:p>
    <w:p w14:paraId="484E2D68">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注：除技术复杂、专业性强的采购项目，通过随机方式难以确定合适评审专家的，经主</w:t>
      </w:r>
    </w:p>
    <w:p w14:paraId="592621A8">
      <w:pPr>
        <w:spacing w:after="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管预算单位同意，采购人可以自行选定相应专业领域的评审专家的情形外，评审专家对本单位的政府采购项目只能作为采购人代表参与评审活动。</w:t>
      </w:r>
    </w:p>
    <w:p w14:paraId="31ABC03E">
      <w:pPr>
        <w:spacing w:after="0" w:line="520" w:lineRule="exact"/>
        <w:rPr>
          <w:rFonts w:hint="eastAsia" w:asciiTheme="minorEastAsia" w:hAnsiTheme="minorEastAsia" w:eastAsiaTheme="minorEastAsia" w:cstheme="minorEastAsia"/>
          <w:b/>
          <w:bCs/>
          <w:color w:val="auto"/>
          <w:sz w:val="24"/>
          <w:szCs w:val="24"/>
          <w:highlight w:val="none"/>
        </w:rPr>
      </w:pPr>
      <w:bookmarkStart w:id="93" w:name="_bookmark46"/>
      <w:bookmarkEnd w:id="93"/>
      <w:r>
        <w:rPr>
          <w:rFonts w:hint="eastAsia" w:asciiTheme="minorEastAsia" w:hAnsiTheme="minorEastAsia" w:eastAsiaTheme="minorEastAsia" w:cstheme="minorEastAsia"/>
          <w:b/>
          <w:bCs/>
          <w:color w:val="auto"/>
          <w:sz w:val="24"/>
          <w:szCs w:val="24"/>
          <w:highlight w:val="none"/>
        </w:rPr>
        <w:t>6.2磋商原则</w:t>
      </w:r>
    </w:p>
    <w:p w14:paraId="32DE4C2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评审活动遵循客观、公正、审慎的原则。</w:t>
      </w:r>
      <w:bookmarkStart w:id="94" w:name="_bookmark47"/>
      <w:bookmarkEnd w:id="94"/>
    </w:p>
    <w:p w14:paraId="150572EC">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6.3评审办法</w:t>
      </w:r>
    </w:p>
    <w:p w14:paraId="1EC4259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磋商小组按照第三章“评审办法”规定的方法、评审因素、标准和程序对竞争性磋商响应文件进行评审。第三章“评审办法”没有规定的方法、评审因素和标准，不作为评审依据。</w:t>
      </w:r>
    </w:p>
    <w:p w14:paraId="2FDF00EA">
      <w:pPr>
        <w:spacing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7.合同授予</w:t>
      </w:r>
    </w:p>
    <w:p w14:paraId="077AD93D">
      <w:pPr>
        <w:spacing w:after="0" w:line="520" w:lineRule="exact"/>
        <w:ind w:firstLine="482" w:firstLineChars="200"/>
        <w:rPr>
          <w:rFonts w:hint="eastAsia" w:asciiTheme="minorEastAsia" w:hAnsiTheme="minorEastAsia" w:eastAsiaTheme="minorEastAsia" w:cstheme="minorEastAsia"/>
          <w:b/>
          <w:bCs/>
          <w:color w:val="auto"/>
          <w:sz w:val="24"/>
          <w:szCs w:val="24"/>
          <w:highlight w:val="none"/>
        </w:rPr>
      </w:pPr>
      <w:bookmarkStart w:id="95" w:name="_bookmark49"/>
      <w:bookmarkEnd w:id="95"/>
      <w:r>
        <w:rPr>
          <w:rFonts w:hint="eastAsia" w:asciiTheme="minorEastAsia" w:hAnsiTheme="minorEastAsia" w:eastAsiaTheme="minorEastAsia" w:cstheme="minorEastAsia"/>
          <w:b/>
          <w:bCs/>
          <w:color w:val="auto"/>
          <w:sz w:val="24"/>
          <w:szCs w:val="24"/>
          <w:highlight w:val="none"/>
        </w:rPr>
        <w:t>7.1定标方式</w:t>
      </w:r>
    </w:p>
    <w:p w14:paraId="7251281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7.1.1除“供应商须知前附表”规定磋商小组直接确定成交单位外，采购人根据磋商小组提出的书面评审报告和推荐的成交候选人自行确定成交单位，磋商小组推荐成交候选人的人数见“供应商须知前附表”。</w:t>
      </w:r>
    </w:p>
    <w:p w14:paraId="5B9E704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7.1.2成交候选人不能作为成交单位的情形：</w:t>
      </w:r>
    </w:p>
    <w:p w14:paraId="3ACC9398">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1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⑴</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成交候选人放弃成交的；</w:t>
      </w:r>
    </w:p>
    <w:p w14:paraId="5C3A855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2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⑵</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因不可抗力不能履行合同的；</w:t>
      </w:r>
    </w:p>
    <w:p w14:paraId="175027C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3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⑶</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成交候选人公示期满后，未在采购人规定的时限内签订合同的；</w:t>
      </w:r>
    </w:p>
    <w:p w14:paraId="00F8D688">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4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⑷</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被查实存在影响成交结果的违法行为等情形的；</w:t>
      </w:r>
    </w:p>
    <w:p w14:paraId="3EC89A5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5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⑸</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其他不符合成交条件情形的。</w:t>
      </w:r>
    </w:p>
    <w:p w14:paraId="4F07A10C">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采购人可以按照磋商小组提出的成交候选人名单，自行确定其他成交候选人为成交单位。</w:t>
      </w:r>
    </w:p>
    <w:p w14:paraId="29A89F8D">
      <w:pPr>
        <w:spacing w:after="0" w:line="520" w:lineRule="exact"/>
        <w:rPr>
          <w:rFonts w:hint="eastAsia" w:asciiTheme="minorEastAsia" w:hAnsiTheme="minorEastAsia" w:eastAsiaTheme="minorEastAsia" w:cstheme="minorEastAsia"/>
          <w:b/>
          <w:bCs/>
          <w:color w:val="auto"/>
          <w:sz w:val="24"/>
          <w:szCs w:val="24"/>
          <w:highlight w:val="none"/>
        </w:rPr>
      </w:pPr>
      <w:bookmarkStart w:id="96" w:name="_bookmark50"/>
      <w:bookmarkEnd w:id="96"/>
      <w:r>
        <w:rPr>
          <w:rFonts w:hint="eastAsia" w:asciiTheme="minorEastAsia" w:hAnsiTheme="minorEastAsia" w:eastAsiaTheme="minorEastAsia" w:cstheme="minorEastAsia"/>
          <w:b/>
          <w:bCs/>
          <w:color w:val="auto"/>
          <w:sz w:val="24"/>
          <w:szCs w:val="24"/>
          <w:highlight w:val="none"/>
        </w:rPr>
        <w:t>7.2成交通知</w:t>
      </w:r>
    </w:p>
    <w:p w14:paraId="76DCB4CF">
      <w:pPr>
        <w:spacing w:after="0" w:line="520" w:lineRule="exact"/>
        <w:ind w:firstLine="480" w:firstLineChars="200"/>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在本章第3.3.1款规定的磋商有效期内，采购人以书面形式向成交单位人发出成交通知书，同时将未成交结果通知未成交的供应商。</w:t>
      </w:r>
    </w:p>
    <w:p w14:paraId="57C43337">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7.3履约担保</w:t>
      </w:r>
    </w:p>
    <w:p w14:paraId="1A1F850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7.3.1在签订合同前，成交单位应按“供应商须知前附表”规定的金额、担保形式向采购人提交履约担保。</w:t>
      </w:r>
    </w:p>
    <w:p w14:paraId="7D88BCD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7.3.2采用“经评审的最低价投标法”招标的项目，成交单位必须向采购人提交低价担保。联合体中标的，其低价担保由牵头人递交，并应符合“供应商须知前附表”规定的金额、担保形式。</w:t>
      </w:r>
    </w:p>
    <w:p w14:paraId="25D5129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7.3.3成交单位不能按本章第7.3.1或7.3.2项要求提交担保的，视为放弃成交，其磋商保证金不予退还，给采购人造成的损失超过磋商保证金数额的，成交单位还应当对超过部分予以赔偿。</w:t>
      </w:r>
      <w:bookmarkStart w:id="97" w:name="_bookmark52"/>
      <w:bookmarkEnd w:id="97"/>
    </w:p>
    <w:p w14:paraId="67626612">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7.4签订合同</w:t>
      </w:r>
    </w:p>
    <w:p w14:paraId="56D3E07F">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7.4.1采购人与成交供应商应当在成交通知书发出之日起30日内，按照磋商文件确定的合同文本以及采购标的、规格型号、采购金额、采购数量、技术和服务要求等事项签订政府采购合同。</w:t>
      </w:r>
    </w:p>
    <w:p w14:paraId="3C8A9424">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43906C16">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7.4.3成交供应商拒绝签订政府采购合同的，采购人可以按照《政府采购竞争性磋商采购方式管理暂行办法》（财库〔2014〕214号）第二十八条第二款规定的原则，从评审报告提出的成交候选供应商中，按照排序由高到低的原则确定其他供应商作为成交供应商，也可以书面授权磋商小组直接确定其他供应商作为成交供应商。并签订政府采购合同，也可以重新开展采购活动。</w:t>
      </w:r>
    </w:p>
    <w:p w14:paraId="0693B61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7.4.5拒绝签订政府采购合同的成交供应商不得参加对该项目重新开展的采购活动。成交供应商无正当理由拒签合同的，采购人取消其成交资格，其磋商保证金不予退还；给采购人造成的损失超过磋商保证金数额的，成交单位还应当对超过部分予以赔偿。</w:t>
      </w:r>
    </w:p>
    <w:p w14:paraId="62AF444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7.4.6发出成交通知书后，采购人无正当理由拒签合同的，采购人向成交单位退还磋商保证金；给成交单位造成损失的，还应当赔偿损失。</w:t>
      </w:r>
    </w:p>
    <w:p w14:paraId="5063B1E4">
      <w:pPr>
        <w:spacing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8.重新磋商和不再磋商</w:t>
      </w:r>
    </w:p>
    <w:p w14:paraId="61848C11">
      <w:pPr>
        <w:spacing w:after="0" w:line="520" w:lineRule="exact"/>
        <w:rPr>
          <w:rFonts w:hint="eastAsia" w:asciiTheme="minorEastAsia" w:hAnsiTheme="minorEastAsia" w:eastAsiaTheme="minorEastAsia" w:cstheme="minorEastAsia"/>
          <w:b/>
          <w:bCs/>
          <w:color w:val="auto"/>
          <w:sz w:val="24"/>
          <w:szCs w:val="24"/>
          <w:highlight w:val="none"/>
        </w:rPr>
      </w:pPr>
      <w:bookmarkStart w:id="98" w:name="_bookmark54"/>
      <w:bookmarkEnd w:id="98"/>
      <w:r>
        <w:rPr>
          <w:rFonts w:hint="eastAsia" w:asciiTheme="minorEastAsia" w:hAnsiTheme="minorEastAsia" w:eastAsiaTheme="minorEastAsia" w:cstheme="minorEastAsia"/>
          <w:b/>
          <w:bCs/>
          <w:color w:val="auto"/>
          <w:sz w:val="24"/>
          <w:szCs w:val="24"/>
          <w:highlight w:val="none"/>
        </w:rPr>
        <w:t>8.1重新磋商</w:t>
      </w:r>
    </w:p>
    <w:p w14:paraId="5096B74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8.1.1出现下列情形之一的，采购人或者采购代理机构应当终止竞争性磋商采购活动，发布项目终止公告并说明原因，重新开展采购活动：</w:t>
      </w:r>
    </w:p>
    <w:p w14:paraId="32B2DEB2">
      <w:pPr>
        <w:numPr>
          <w:ilvl w:val="0"/>
          <w:numId w:val="0"/>
        </w:numPr>
        <w:spacing w:after="0" w:line="520" w:lineRule="exact"/>
        <w:ind w:left="426"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①因情况变化，不再符合规定的竞争性磋商采购方式适用情形的；</w:t>
      </w:r>
    </w:p>
    <w:p w14:paraId="61412A3F">
      <w:pPr>
        <w:numPr>
          <w:ilvl w:val="0"/>
          <w:numId w:val="0"/>
        </w:numPr>
        <w:spacing w:after="0" w:line="520" w:lineRule="exact"/>
        <w:ind w:left="426"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②出现影响采购公正的违法、违规行为的；</w:t>
      </w:r>
    </w:p>
    <w:p w14:paraId="31FD5628">
      <w:pPr>
        <w:numPr>
          <w:ilvl w:val="0"/>
          <w:numId w:val="0"/>
        </w:numPr>
        <w:spacing w:after="0" w:line="520" w:lineRule="exact"/>
        <w:ind w:left="426" w:leftChars="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③除《政府采购竞争性磋商采购方式管理暂行办法》（财库〔2014〕214号）第二十一条第三款规定的情形外，在采购过程中符合要求的供应商或者报价未超过采购预算的供应商不足3家的</w:t>
      </w:r>
      <w:r>
        <w:rPr>
          <w:rFonts w:hint="eastAsia" w:asciiTheme="minorEastAsia" w:hAnsiTheme="minorEastAsia" w:eastAsiaTheme="minorEastAsia" w:cstheme="minorEastAsia"/>
          <w:color w:val="auto"/>
          <w:sz w:val="24"/>
          <w:szCs w:val="24"/>
          <w:highlight w:val="none"/>
          <w:lang w:eastAsia="zh-CN"/>
        </w:rPr>
        <w:t>；</w:t>
      </w:r>
    </w:p>
    <w:p w14:paraId="4AD10952">
      <w:pPr>
        <w:numPr>
          <w:ilvl w:val="0"/>
          <w:numId w:val="0"/>
        </w:numPr>
        <w:spacing w:after="0" w:line="520" w:lineRule="exact"/>
        <w:ind w:left="426"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④磋商截止时间止，供应商少于3个的；</w:t>
      </w:r>
    </w:p>
    <w:p w14:paraId="23E9667C">
      <w:pPr>
        <w:numPr>
          <w:ilvl w:val="0"/>
          <w:numId w:val="0"/>
        </w:numPr>
        <w:spacing w:after="0" w:line="520" w:lineRule="exact"/>
        <w:ind w:left="400" w:left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⑤经磋商小组评审后否决所有磋商。</w:t>
      </w:r>
      <w:bookmarkStart w:id="99" w:name="_bookmark55"/>
      <w:bookmarkEnd w:id="99"/>
    </w:p>
    <w:p w14:paraId="4D3FEE0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8.1.2采购活动中因重大变故，采购任务取消的，采购人或者采购代理机构应当终止采购活动，通知所有参加采购活动的供应商，并将项目实施情况和采购任务取消原因报送本级财政部门。</w:t>
      </w:r>
    </w:p>
    <w:p w14:paraId="28C780F1">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8.2不再磋商</w:t>
      </w:r>
    </w:p>
    <w:p w14:paraId="7B2E437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重新磋商后供应商仍少于3个或者所有磋商被否决的，属于必须审批或核准的工程建设项目，经原审批或核准部门批准后不再进行磋商。</w:t>
      </w:r>
    </w:p>
    <w:p w14:paraId="018A7F34">
      <w:pPr>
        <w:spacing w:after="0" w:line="520" w:lineRule="exact"/>
        <w:rPr>
          <w:rFonts w:hint="eastAsia" w:asciiTheme="minorEastAsia" w:hAnsiTheme="minorEastAsia" w:eastAsiaTheme="minorEastAsia" w:cstheme="minorEastAsia"/>
          <w:b/>
          <w:bCs/>
          <w:color w:val="auto"/>
          <w:sz w:val="32"/>
          <w:szCs w:val="32"/>
          <w:highlight w:val="none"/>
        </w:rPr>
      </w:pPr>
      <w:bookmarkStart w:id="100" w:name="_bookmark56"/>
      <w:bookmarkEnd w:id="100"/>
      <w:r>
        <w:rPr>
          <w:rFonts w:hint="eastAsia" w:asciiTheme="minorEastAsia" w:hAnsiTheme="minorEastAsia" w:eastAsiaTheme="minorEastAsia" w:cstheme="minorEastAsia"/>
          <w:b/>
          <w:bCs/>
          <w:color w:val="auto"/>
          <w:sz w:val="32"/>
          <w:szCs w:val="32"/>
          <w:highlight w:val="none"/>
        </w:rPr>
        <w:t>9.纪律和监督</w:t>
      </w:r>
    </w:p>
    <w:p w14:paraId="3C4D5BA6">
      <w:pPr>
        <w:spacing w:after="0" w:line="520" w:lineRule="exact"/>
        <w:rPr>
          <w:rFonts w:hint="eastAsia" w:asciiTheme="minorEastAsia" w:hAnsiTheme="minorEastAsia" w:eastAsiaTheme="minorEastAsia" w:cstheme="minorEastAsia"/>
          <w:b/>
          <w:bCs/>
          <w:color w:val="auto"/>
          <w:sz w:val="24"/>
          <w:szCs w:val="24"/>
          <w:highlight w:val="none"/>
        </w:rPr>
      </w:pPr>
      <w:bookmarkStart w:id="101" w:name="_bookmark57"/>
      <w:bookmarkEnd w:id="101"/>
      <w:r>
        <w:rPr>
          <w:rFonts w:hint="eastAsia" w:asciiTheme="minorEastAsia" w:hAnsiTheme="minorEastAsia" w:eastAsiaTheme="minorEastAsia" w:cstheme="minorEastAsia"/>
          <w:b/>
          <w:bCs/>
          <w:color w:val="auto"/>
          <w:sz w:val="24"/>
          <w:szCs w:val="24"/>
          <w:highlight w:val="none"/>
        </w:rPr>
        <w:t>9.1对采购人的纪律要求</w:t>
      </w:r>
    </w:p>
    <w:p w14:paraId="11EFBEF2">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采购人不得泄漏招标投标活动中应当保密的情况和资料，不得与供应商串通损害国家利益、社会公共利益或者他人合法权益。</w:t>
      </w:r>
    </w:p>
    <w:p w14:paraId="79D088BD">
      <w:pPr>
        <w:spacing w:after="0" w:line="520" w:lineRule="exact"/>
        <w:rPr>
          <w:rFonts w:hint="eastAsia" w:asciiTheme="minorEastAsia" w:hAnsiTheme="minorEastAsia" w:eastAsiaTheme="minorEastAsia" w:cstheme="minorEastAsia"/>
          <w:b/>
          <w:bCs/>
          <w:color w:val="auto"/>
          <w:sz w:val="24"/>
          <w:szCs w:val="24"/>
          <w:highlight w:val="none"/>
        </w:rPr>
      </w:pPr>
      <w:bookmarkStart w:id="102" w:name="_bookmark58"/>
      <w:bookmarkEnd w:id="102"/>
      <w:r>
        <w:rPr>
          <w:rFonts w:hint="eastAsia" w:asciiTheme="minorEastAsia" w:hAnsiTheme="minorEastAsia" w:eastAsiaTheme="minorEastAsia" w:cstheme="minorEastAsia"/>
          <w:b/>
          <w:bCs/>
          <w:color w:val="auto"/>
          <w:sz w:val="24"/>
          <w:szCs w:val="24"/>
          <w:highlight w:val="none"/>
        </w:rPr>
        <w:t>9.2对供应商的纪律要求</w:t>
      </w:r>
    </w:p>
    <w:p w14:paraId="23F1C64E">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供应商不得相互串通磋商或者与采购人串通投标，不得向采购人或者磋商小组成员行贿谋取成交，不得以他人名义磋商或者以其他方式弄虚作假骗取成交；供应商不得以任何方式干扰、影响评审工作。</w:t>
      </w:r>
    </w:p>
    <w:p w14:paraId="08E18151">
      <w:pPr>
        <w:spacing w:after="0" w:line="520" w:lineRule="exact"/>
        <w:rPr>
          <w:rFonts w:hint="eastAsia" w:asciiTheme="minorEastAsia" w:hAnsiTheme="minorEastAsia" w:eastAsiaTheme="minorEastAsia" w:cstheme="minorEastAsia"/>
          <w:b/>
          <w:bCs/>
          <w:color w:val="auto"/>
          <w:sz w:val="24"/>
          <w:szCs w:val="24"/>
          <w:highlight w:val="none"/>
        </w:rPr>
      </w:pPr>
      <w:bookmarkStart w:id="103" w:name="_bookmark59"/>
      <w:bookmarkEnd w:id="103"/>
      <w:r>
        <w:rPr>
          <w:rFonts w:hint="eastAsia" w:asciiTheme="minorEastAsia" w:hAnsiTheme="minorEastAsia" w:eastAsiaTheme="minorEastAsia" w:cstheme="minorEastAsia"/>
          <w:b/>
          <w:bCs/>
          <w:color w:val="auto"/>
          <w:sz w:val="24"/>
          <w:szCs w:val="24"/>
          <w:highlight w:val="none"/>
        </w:rPr>
        <w:t>9.3对磋商小组成员的纪律要求</w:t>
      </w:r>
    </w:p>
    <w:p w14:paraId="526BC4EF">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9.3.1磋商小组应当遵守评审工作纪律，不得泄露评审情况和评审中获悉的商业秘密。</w:t>
      </w:r>
    </w:p>
    <w:p w14:paraId="0A6B7185">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9.3.2磋商小组在评审过程中发现供应商有行贿、提供虚假材料或者串通等违法行为的，应当及时向财政部门报告。</w:t>
      </w:r>
    </w:p>
    <w:p w14:paraId="687E7E0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9.3.3在评审活动中，磋商小组成员不得擅离职守，影响评审程序正常进行。</w:t>
      </w:r>
    </w:p>
    <w:p w14:paraId="0A70F33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9.3.4磋商文件中没有规定的评审标准不得作为评审依据。</w:t>
      </w:r>
    </w:p>
    <w:p w14:paraId="215B38B5">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9.3.5评审专家在评审过程中受到非法干涉的，应当及时向财政、监察等部门举报。</w:t>
      </w:r>
    </w:p>
    <w:p w14:paraId="1B1C5805">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9.3.6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188DD3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9.3.7磋商文件内容违反国家有关强制性规定的，磋商小组应当停止评审并向采购人或者采购代理机构说明情况。</w:t>
      </w:r>
    </w:p>
    <w:p w14:paraId="51D1AA7C">
      <w:pPr>
        <w:spacing w:after="0"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9.4参与评审活动的工作人员的纪律要求</w:t>
      </w:r>
    </w:p>
    <w:p w14:paraId="51CF74BA">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与评审活动有关的工作人员不得收受他人的财物或者其他好处，不得向他人透漏对竞争性磋商响应文件的评审和比较、成交单位的推荐情况以及评审有关的其他情况。在评审活动中，与评审活动有关的工作人员不得擅离职守，影响评审程序正常进行。</w:t>
      </w:r>
    </w:p>
    <w:p w14:paraId="50B85AFE">
      <w:pPr>
        <w:spacing w:after="0" w:line="520" w:lineRule="exact"/>
        <w:rPr>
          <w:rFonts w:hint="eastAsia" w:asciiTheme="minorEastAsia" w:hAnsiTheme="minorEastAsia" w:eastAsiaTheme="minorEastAsia" w:cstheme="minorEastAsia"/>
          <w:b/>
          <w:bCs/>
          <w:color w:val="auto"/>
          <w:sz w:val="24"/>
          <w:szCs w:val="24"/>
          <w:highlight w:val="none"/>
        </w:rPr>
      </w:pPr>
      <w:bookmarkStart w:id="104" w:name="_bookmark61"/>
      <w:bookmarkEnd w:id="104"/>
      <w:r>
        <w:rPr>
          <w:rFonts w:hint="eastAsia" w:asciiTheme="minorEastAsia" w:hAnsiTheme="minorEastAsia" w:eastAsiaTheme="minorEastAsia" w:cstheme="minorEastAsia"/>
          <w:b/>
          <w:bCs/>
          <w:color w:val="auto"/>
          <w:sz w:val="24"/>
          <w:szCs w:val="24"/>
          <w:highlight w:val="none"/>
        </w:rPr>
        <w:t>9.5质疑和投诉</w:t>
      </w:r>
    </w:p>
    <w:p w14:paraId="1756E44F">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bookmarkStart w:id="105" w:name="_bookmark62"/>
      <w:bookmarkEnd w:id="105"/>
      <w:r>
        <w:rPr>
          <w:rFonts w:hint="eastAsia" w:asciiTheme="minorEastAsia" w:hAnsiTheme="minorEastAsia" w:eastAsiaTheme="minorEastAsia" w:cstheme="minorEastAsia"/>
          <w:color w:val="auto"/>
          <w:sz w:val="24"/>
          <w:szCs w:val="24"/>
          <w:highlight w:val="none"/>
        </w:rPr>
        <w:t>9.5.1质疑提出与答复</w:t>
      </w:r>
    </w:p>
    <w:p w14:paraId="4DAFD571">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1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⑴</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供应商认为采购文件、采购过程、中标或者成交结果使自己的权益受到损害的，可以在知道或者应知其权益受到损害之日起7个工作日内，</w:t>
      </w:r>
      <w:r>
        <w:rPr>
          <w:rFonts w:hint="eastAsia" w:asciiTheme="minorEastAsia" w:hAnsiTheme="minorEastAsia" w:eastAsiaTheme="minorEastAsia" w:cstheme="minorEastAsia"/>
          <w:color w:val="auto"/>
          <w:sz w:val="24"/>
          <w:szCs w:val="24"/>
          <w:highlight w:val="none"/>
          <w:lang w:val="en-US" w:eastAsia="zh-CN"/>
        </w:rPr>
        <w:t>登录政府采购云平台（网址：https://www.zcygov.cn/)</w:t>
      </w:r>
      <w:r>
        <w:rPr>
          <w:rFonts w:hint="eastAsia" w:asciiTheme="minorEastAsia" w:hAnsiTheme="minorEastAsia" w:eastAsiaTheme="minorEastAsia" w:cstheme="minorEastAsia"/>
          <w:color w:val="auto"/>
          <w:sz w:val="24"/>
          <w:szCs w:val="24"/>
          <w:highlight w:val="none"/>
        </w:rPr>
        <w:t>向采购人、采购代理机构提出质疑。</w:t>
      </w:r>
    </w:p>
    <w:p w14:paraId="65224C32">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2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⑵</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提出质疑的供应商（以下简称质疑供应商）应当是参与所质疑项目采购活动的供应商。以联合体形式参加政府采购活动的，其投诉应当由组成联合体的所有供应商共同提出。</w:t>
      </w:r>
    </w:p>
    <w:p w14:paraId="2FC39B0A">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3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⑶</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55463E03">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4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⑷</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供应商提出质疑应当提交质疑函和必要的证明材料。质疑函应当包括下列内容：</w:t>
      </w:r>
    </w:p>
    <w:p w14:paraId="3ED90577">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①供应商的姓名或者名称、地址、邮编、联系人及联系电话；</w:t>
      </w:r>
    </w:p>
    <w:p w14:paraId="45CB46AE">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②质疑项目的名称、编号；</w:t>
      </w:r>
    </w:p>
    <w:p w14:paraId="5E0B0DB6">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③具体、明确的质疑事项和与质疑事项相关的请求；</w:t>
      </w:r>
    </w:p>
    <w:p w14:paraId="16BC8164">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④事实依据；</w:t>
      </w:r>
    </w:p>
    <w:p w14:paraId="1ADA49BC">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⑤必要的法律依据；</w:t>
      </w:r>
    </w:p>
    <w:p w14:paraId="675E14A7">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⑥提出质疑的日期。</w:t>
      </w:r>
    </w:p>
    <w:p w14:paraId="142B6300">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5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⑸</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供应商为自然人的，应当由本人签字；供应商为法人或者其他组织的，应当由法定代表人、主要负责人，或者其授权代表签字或者盖章，并加盖公章。</w:t>
      </w:r>
    </w:p>
    <w:p w14:paraId="2E209DA1">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6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highlight w:val="none"/>
        </w:rPr>
        <w:t>⑹</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采购人、采购代理机构不得拒收质疑供应商在法定质疑期内发出的质疑函，应当在收到质疑函后7个工作日内作出答复，并以书面形式通知质疑供应商和其他有关供应商。</w:t>
      </w:r>
    </w:p>
    <w:p w14:paraId="460AAA92">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9.5.2投诉提出与投诉处理</w:t>
      </w:r>
    </w:p>
    <w:p w14:paraId="6ED081B8">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1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⑴</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质疑供应商对采购人、采购代理机构的答复不满意，或者采购人、采购代理机构未在规定时间内作出答复的，可以在答复期满后15个工作日内向《政府采购质疑和投诉办法》（中华人民共和国财政部令第94号）规定的部门提起投诉。</w:t>
      </w:r>
    </w:p>
    <w:p w14:paraId="2E0197C6">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2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⑵</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192B3C3A">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①投诉人和被投诉人的姓名或者名称、通讯地址、邮编、联系人及联系电话；</w:t>
      </w:r>
    </w:p>
    <w:p w14:paraId="3AAC1A70">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②质疑和质疑答复情况说明及相关证明材料；</w:t>
      </w:r>
    </w:p>
    <w:p w14:paraId="25A73644">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③具体、明确的投诉事项和与投诉事项相关的投诉请求；</w:t>
      </w:r>
    </w:p>
    <w:p w14:paraId="56F6CF3F">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④事实依据；</w:t>
      </w:r>
    </w:p>
    <w:p w14:paraId="1CD0FB07">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⑤法律依据；</w:t>
      </w:r>
    </w:p>
    <w:p w14:paraId="71F32E49">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⑥提起投诉的日期。</w:t>
      </w:r>
    </w:p>
    <w:p w14:paraId="3E093BB8">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3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⑶</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投诉人为自然人的，应当由本人签字；投诉人为法人或者其他组织的，应当由法定代表人、主要负责人，或者其授权代表签字或者盖章，并加盖公章。</w:t>
      </w:r>
    </w:p>
    <w:p w14:paraId="24756A76">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4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⑷</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投诉人提起投诉应当符合下列条件：</w:t>
      </w:r>
    </w:p>
    <w:p w14:paraId="269DE56A">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①提起投诉前已依法进行质疑；</w:t>
      </w:r>
    </w:p>
    <w:p w14:paraId="3020CD45">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②投诉书内容符合本办法的规定；</w:t>
      </w:r>
    </w:p>
    <w:p w14:paraId="26397599">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③在投诉有效期限内提起投诉；</w:t>
      </w:r>
    </w:p>
    <w:p w14:paraId="7499E3E4">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④同一投诉事项未经财政部门投诉处理；</w:t>
      </w:r>
    </w:p>
    <w:p w14:paraId="7BC7A27E">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⑤财政部规定的其他条件。</w:t>
      </w:r>
    </w:p>
    <w:p w14:paraId="1A2EF65B">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5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⑸</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供应商投诉的事项不得超出已质疑事项的范围，但基于质疑答复内容提出的投诉事项除外。</w:t>
      </w:r>
    </w:p>
    <w:p w14:paraId="0D998541">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6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⑹</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投诉人有下列行为之一的，属于虚假、恶意投诉，由财政部门列入不良行为记录名单，禁止其1至3年内参加政府采购活动：</w:t>
      </w:r>
    </w:p>
    <w:p w14:paraId="6DCF49B0">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①捏造事实；</w:t>
      </w:r>
    </w:p>
    <w:p w14:paraId="1C44DCF5">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②提供虚假材料；</w:t>
      </w:r>
    </w:p>
    <w:p w14:paraId="26D2C231">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③以非法手段取得证明材料。证据来源的合法性存在明显疑问，投诉人无法证明其取得方式合法的，视为以非法手段取得证明材料。</w:t>
      </w:r>
    </w:p>
    <w:p w14:paraId="2DA4899A">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⑺财政部门收到投诉书后，按照《政府采购质疑和投诉办法》（中华人民共和国财政部令第94号）相关规定处理。</w:t>
      </w:r>
    </w:p>
    <w:p w14:paraId="00E4502B">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9.5.3质疑函和投诉书应当使用中文。质疑函和投诉书的范本详见附件2、附件3。</w:t>
      </w:r>
    </w:p>
    <w:p w14:paraId="482CE9C6">
      <w:pPr>
        <w:spacing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10.需要补充的其他内容</w:t>
      </w:r>
    </w:p>
    <w:p w14:paraId="3141A05E">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需要补充的其他内容：详见“供应商须知前附表”。</w:t>
      </w:r>
    </w:p>
    <w:p w14:paraId="0949B5A5">
      <w:pPr>
        <w:pStyle w:val="14"/>
        <w:rPr>
          <w:rFonts w:hint="eastAsia" w:asciiTheme="minorEastAsia" w:hAnsiTheme="minorEastAsia" w:eastAsiaTheme="minorEastAsia" w:cstheme="minorEastAsia"/>
          <w:b/>
          <w:bCs/>
          <w:color w:val="auto"/>
          <w:sz w:val="24"/>
          <w:szCs w:val="24"/>
          <w:highlight w:val="none"/>
        </w:rPr>
      </w:pPr>
    </w:p>
    <w:p w14:paraId="318B4185">
      <w:pPr>
        <w:rPr>
          <w:rFonts w:hint="eastAsia" w:asciiTheme="minorEastAsia" w:hAnsiTheme="minorEastAsia" w:eastAsiaTheme="minorEastAsia" w:cstheme="minorEastAsia"/>
          <w:color w:val="auto"/>
          <w:highlight w:val="none"/>
        </w:rPr>
      </w:pPr>
    </w:p>
    <w:p w14:paraId="2AAD22F4">
      <w:pPr>
        <w:rPr>
          <w:rFonts w:hint="eastAsia" w:asciiTheme="minorEastAsia" w:hAnsiTheme="minorEastAsia" w:eastAsiaTheme="minorEastAsia" w:cstheme="minorEastAsia"/>
          <w:b/>
          <w:bCs/>
          <w:color w:val="auto"/>
          <w:sz w:val="21"/>
          <w:szCs w:val="21"/>
          <w:highlight w:val="none"/>
        </w:rPr>
      </w:pPr>
    </w:p>
    <w:p w14:paraId="47E8EE2A">
      <w:pPr>
        <w:pStyle w:val="38"/>
        <w:ind w:left="0" w:leftChars="0" w:firstLine="0" w:firstLineChars="0"/>
        <w:rPr>
          <w:rFonts w:hint="eastAsia" w:asciiTheme="minorEastAsia" w:hAnsiTheme="minorEastAsia" w:eastAsiaTheme="minorEastAsia" w:cstheme="minorEastAsia"/>
          <w:b/>
          <w:bCs/>
          <w:color w:val="auto"/>
          <w:sz w:val="21"/>
          <w:szCs w:val="21"/>
          <w:highlight w:val="none"/>
        </w:rPr>
      </w:pPr>
    </w:p>
    <w:p w14:paraId="5CEFAFEE">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附表一：问题澄清通知</w:t>
      </w:r>
    </w:p>
    <w:p w14:paraId="5A1C5DF1">
      <w:pPr>
        <w:pStyle w:val="26"/>
        <w:rPr>
          <w:rFonts w:hint="eastAsia" w:asciiTheme="minorEastAsia" w:hAnsiTheme="minorEastAsia" w:eastAsiaTheme="minorEastAsia" w:cstheme="minorEastAsia"/>
          <w:color w:val="auto"/>
          <w:highlight w:val="none"/>
        </w:rPr>
      </w:pPr>
    </w:p>
    <w:p w14:paraId="783407EB">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问题澄清的通知</w:t>
      </w:r>
    </w:p>
    <w:p w14:paraId="6DEB8348">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编号：</w:t>
      </w:r>
    </w:p>
    <w:p w14:paraId="3C79EFDC">
      <w:pPr>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u w:val="single"/>
        </w:rPr>
        <w:t>（供应商名称）</w:t>
      </w:r>
    </w:p>
    <w:p w14:paraId="35709453">
      <w:pPr>
        <w:rPr>
          <w:rFonts w:hint="eastAsia" w:asciiTheme="minorEastAsia" w:hAnsiTheme="minorEastAsia" w:eastAsiaTheme="minorEastAsia" w:cstheme="minorEastAsia"/>
          <w:color w:val="auto"/>
          <w:sz w:val="24"/>
          <w:szCs w:val="24"/>
          <w:highlight w:val="none"/>
        </w:rPr>
      </w:pPr>
    </w:p>
    <w:p w14:paraId="0B172A1A">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rPr>
        <w:t>磋商的磋商小组，对你方的竞争性磋商响应文件进行了仔细的审查，现需你方对下列问题以书面形式予以澄清：</w:t>
      </w:r>
    </w:p>
    <w:p w14:paraId="139601F3">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14:paraId="51972B1B">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14:paraId="70E34765">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5A7516A0">
      <w:pPr>
        <w:spacing w:line="360" w:lineRule="auto"/>
        <w:rPr>
          <w:rFonts w:hint="eastAsia" w:asciiTheme="minorEastAsia" w:hAnsiTheme="minorEastAsia" w:eastAsiaTheme="minorEastAsia" w:cstheme="minorEastAsia"/>
          <w:color w:val="auto"/>
          <w:sz w:val="24"/>
          <w:szCs w:val="24"/>
          <w:highlight w:val="none"/>
        </w:rPr>
      </w:pPr>
    </w:p>
    <w:p w14:paraId="172DBFD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 xml:space="preserve">日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（详细地址） 或传真至（传真号码）。采用传真方式的，应在年月</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日时前将原件递交至</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（详细地址）。</w:t>
      </w:r>
    </w:p>
    <w:p w14:paraId="14271A75">
      <w:pPr>
        <w:spacing w:line="360" w:lineRule="auto"/>
        <w:rPr>
          <w:rFonts w:hint="eastAsia" w:asciiTheme="minorEastAsia" w:hAnsiTheme="minorEastAsia" w:eastAsiaTheme="minorEastAsia" w:cstheme="minorEastAsia"/>
          <w:color w:val="auto"/>
          <w:sz w:val="24"/>
          <w:szCs w:val="24"/>
          <w:highlight w:val="none"/>
        </w:rPr>
      </w:pPr>
    </w:p>
    <w:p w14:paraId="77EB3146">
      <w:pPr>
        <w:spacing w:line="360" w:lineRule="auto"/>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磋商小组主任：</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（签字）</w:t>
      </w:r>
    </w:p>
    <w:p w14:paraId="7A52F4A4">
      <w:pPr>
        <w:wordWrap w:val="0"/>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日</w:t>
      </w:r>
    </w:p>
    <w:p w14:paraId="59EFA4AC">
      <w:pPr>
        <w:rPr>
          <w:rFonts w:hint="eastAsia" w:asciiTheme="minorEastAsia" w:hAnsiTheme="minorEastAsia" w:eastAsiaTheme="minorEastAsia" w:cstheme="minorEastAsia"/>
          <w:b/>
          <w:bCs/>
          <w:color w:val="auto"/>
          <w:sz w:val="24"/>
          <w:szCs w:val="24"/>
          <w:highlight w:val="none"/>
        </w:rPr>
      </w:pPr>
    </w:p>
    <w:p w14:paraId="283E91A1">
      <w:pPr>
        <w:rPr>
          <w:rFonts w:hint="eastAsia" w:asciiTheme="minorEastAsia" w:hAnsiTheme="minorEastAsia" w:eastAsiaTheme="minorEastAsia" w:cstheme="minorEastAsia"/>
          <w:b/>
          <w:bCs/>
          <w:color w:val="auto"/>
          <w:sz w:val="24"/>
          <w:szCs w:val="24"/>
          <w:highlight w:val="none"/>
        </w:rPr>
      </w:pPr>
    </w:p>
    <w:p w14:paraId="159D7183">
      <w:pPr>
        <w:rPr>
          <w:rFonts w:hint="eastAsia" w:asciiTheme="minorEastAsia" w:hAnsiTheme="minorEastAsia" w:eastAsiaTheme="minorEastAsia" w:cstheme="minorEastAsia"/>
          <w:b/>
          <w:bCs/>
          <w:color w:val="auto"/>
          <w:sz w:val="24"/>
          <w:szCs w:val="24"/>
          <w:highlight w:val="none"/>
        </w:rPr>
      </w:pPr>
    </w:p>
    <w:p w14:paraId="093EF510">
      <w:pPr>
        <w:rPr>
          <w:rFonts w:hint="eastAsia" w:asciiTheme="minorEastAsia" w:hAnsiTheme="minorEastAsia" w:eastAsiaTheme="minorEastAsia" w:cstheme="minorEastAsia"/>
          <w:b/>
          <w:bCs/>
          <w:color w:val="auto"/>
          <w:sz w:val="24"/>
          <w:szCs w:val="24"/>
          <w:highlight w:val="none"/>
        </w:rPr>
      </w:pPr>
    </w:p>
    <w:p w14:paraId="338D8E03">
      <w:pPr>
        <w:pStyle w:val="26"/>
        <w:ind w:firstLine="482"/>
        <w:rPr>
          <w:rFonts w:hint="eastAsia" w:asciiTheme="minorEastAsia" w:hAnsiTheme="minorEastAsia" w:eastAsiaTheme="minorEastAsia" w:cstheme="minorEastAsia"/>
          <w:b/>
          <w:bCs/>
          <w:color w:val="auto"/>
          <w:sz w:val="24"/>
          <w:highlight w:val="none"/>
        </w:rPr>
      </w:pPr>
    </w:p>
    <w:p w14:paraId="2F9AD40A">
      <w:pPr>
        <w:pStyle w:val="28"/>
        <w:rPr>
          <w:rFonts w:hint="eastAsia" w:asciiTheme="minorEastAsia" w:hAnsiTheme="minorEastAsia" w:eastAsiaTheme="minorEastAsia" w:cstheme="minorEastAsia"/>
          <w:b/>
          <w:bCs/>
          <w:color w:val="auto"/>
          <w:sz w:val="24"/>
          <w:highlight w:val="none"/>
        </w:rPr>
      </w:pPr>
    </w:p>
    <w:p w14:paraId="41B4472E">
      <w:pPr>
        <w:rPr>
          <w:rFonts w:hint="eastAsia" w:asciiTheme="minorEastAsia" w:hAnsiTheme="minorEastAsia" w:eastAsiaTheme="minorEastAsia" w:cstheme="minorEastAsia"/>
          <w:color w:val="auto"/>
          <w:highlight w:val="none"/>
        </w:rPr>
      </w:pPr>
    </w:p>
    <w:p w14:paraId="5963836E">
      <w:pPr>
        <w:rPr>
          <w:rFonts w:hint="eastAsia" w:asciiTheme="minorEastAsia" w:hAnsiTheme="minorEastAsia" w:eastAsiaTheme="minorEastAsia" w:cstheme="minorEastAsia"/>
          <w:b/>
          <w:bCs/>
          <w:color w:val="auto"/>
          <w:sz w:val="21"/>
          <w:szCs w:val="21"/>
          <w:highlight w:val="none"/>
        </w:rPr>
      </w:pPr>
    </w:p>
    <w:p w14:paraId="31AEDF1B">
      <w:pPr>
        <w:rPr>
          <w:rFonts w:hint="eastAsia" w:asciiTheme="minorEastAsia" w:hAnsiTheme="minorEastAsia" w:eastAsiaTheme="minorEastAsia" w:cstheme="minorEastAsia"/>
          <w:b/>
          <w:bCs/>
          <w:color w:val="auto"/>
          <w:sz w:val="21"/>
          <w:szCs w:val="21"/>
          <w:highlight w:val="none"/>
        </w:rPr>
      </w:pPr>
    </w:p>
    <w:p w14:paraId="29B21ED8">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附表二：问题的澄清</w:t>
      </w:r>
    </w:p>
    <w:p w14:paraId="7AAD9C54">
      <w:pPr>
        <w:pStyle w:val="26"/>
        <w:rPr>
          <w:rFonts w:hint="eastAsia" w:asciiTheme="minorEastAsia" w:hAnsiTheme="minorEastAsia" w:eastAsiaTheme="minorEastAsia" w:cstheme="minorEastAsia"/>
          <w:color w:val="auto"/>
          <w:highlight w:val="none"/>
        </w:rPr>
      </w:pPr>
    </w:p>
    <w:p w14:paraId="68289161">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问题的澄清</w:t>
      </w:r>
    </w:p>
    <w:p w14:paraId="6B1B7801">
      <w:pPr>
        <w:jc w:val="center"/>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编号：</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20FEB239">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rPr>
        <w:t>磋商小组：</w:t>
      </w:r>
    </w:p>
    <w:p w14:paraId="6E40EBDD">
      <w:pPr>
        <w:rPr>
          <w:rFonts w:hint="eastAsia" w:asciiTheme="minorEastAsia" w:hAnsiTheme="minorEastAsia" w:eastAsiaTheme="minorEastAsia" w:cstheme="minorEastAsia"/>
          <w:color w:val="auto"/>
          <w:sz w:val="24"/>
          <w:szCs w:val="24"/>
          <w:highlight w:val="none"/>
        </w:rPr>
      </w:pPr>
    </w:p>
    <w:p w14:paraId="1ABCFCB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）已收悉，现澄清如下：</w:t>
      </w:r>
    </w:p>
    <w:p w14:paraId="54D40C36">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14:paraId="4B90A898">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14:paraId="0FF37EF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29236605">
      <w:pPr>
        <w:rPr>
          <w:rFonts w:hint="eastAsia" w:asciiTheme="minorEastAsia" w:hAnsiTheme="minorEastAsia" w:eastAsiaTheme="minorEastAsia" w:cstheme="minorEastAsia"/>
          <w:color w:val="auto"/>
          <w:sz w:val="24"/>
          <w:szCs w:val="24"/>
          <w:highlight w:val="none"/>
        </w:rPr>
      </w:pPr>
    </w:p>
    <w:p w14:paraId="6D3AE852">
      <w:pPr>
        <w:rPr>
          <w:rFonts w:hint="eastAsia" w:asciiTheme="minorEastAsia" w:hAnsiTheme="minorEastAsia" w:eastAsiaTheme="minorEastAsia" w:cstheme="minorEastAsia"/>
          <w:color w:val="auto"/>
          <w:sz w:val="24"/>
          <w:szCs w:val="24"/>
          <w:highlight w:val="none"/>
        </w:rPr>
      </w:pPr>
    </w:p>
    <w:p w14:paraId="0CC00ADB">
      <w:pPr>
        <w:rPr>
          <w:rFonts w:hint="eastAsia" w:asciiTheme="minorEastAsia" w:hAnsiTheme="minorEastAsia" w:eastAsiaTheme="minorEastAsia" w:cstheme="minorEastAsia"/>
          <w:color w:val="auto"/>
          <w:sz w:val="24"/>
          <w:szCs w:val="24"/>
          <w:highlight w:val="none"/>
        </w:rPr>
      </w:pPr>
    </w:p>
    <w:p w14:paraId="4AA6DA08">
      <w:pPr>
        <w:ind w:right="960"/>
        <w:jc w:val="center"/>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供应商：</w:t>
      </w:r>
      <w:r>
        <w:rPr>
          <w:rFonts w:hint="eastAsia" w:asciiTheme="minorEastAsia" w:hAnsiTheme="minorEastAsia" w:eastAsiaTheme="minorEastAsia" w:cstheme="minorEastAsia"/>
          <w:color w:val="auto"/>
          <w:sz w:val="24"/>
          <w:szCs w:val="24"/>
          <w:highlight w:val="none"/>
          <w:u w:val="single"/>
        </w:rPr>
        <w:t xml:space="preserve">                     （盖单位章）</w:t>
      </w:r>
    </w:p>
    <w:p w14:paraId="5F258235">
      <w:pPr>
        <w:jc w:val="right"/>
        <w:rPr>
          <w:rFonts w:hint="eastAsia" w:asciiTheme="minorEastAsia" w:hAnsiTheme="minorEastAsia" w:eastAsiaTheme="minorEastAsia" w:cstheme="minorEastAsia"/>
          <w:color w:val="auto"/>
          <w:sz w:val="24"/>
          <w:szCs w:val="24"/>
          <w:highlight w:val="none"/>
        </w:rPr>
      </w:pPr>
    </w:p>
    <w:p w14:paraId="3B1BF3C1">
      <w:pPr>
        <w:ind w:right="960"/>
        <w:jc w:val="center"/>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法定代表人或其委托代理人：</w:t>
      </w:r>
      <w:r>
        <w:rPr>
          <w:rFonts w:hint="eastAsia" w:asciiTheme="minorEastAsia" w:hAnsiTheme="minorEastAsia" w:eastAsiaTheme="minorEastAsia" w:cstheme="minorEastAsia"/>
          <w:color w:val="auto"/>
          <w:sz w:val="24"/>
          <w:szCs w:val="24"/>
          <w:highlight w:val="none"/>
          <w:u w:val="single"/>
        </w:rPr>
        <w:t xml:space="preserve">        （签字或盖章）</w:t>
      </w:r>
    </w:p>
    <w:p w14:paraId="393AF3D5">
      <w:pPr>
        <w:jc w:val="right"/>
        <w:rPr>
          <w:rFonts w:hint="eastAsia" w:asciiTheme="minorEastAsia" w:hAnsiTheme="minorEastAsia" w:eastAsiaTheme="minorEastAsia" w:cstheme="minorEastAsia"/>
          <w:color w:val="auto"/>
          <w:sz w:val="24"/>
          <w:szCs w:val="24"/>
          <w:highlight w:val="none"/>
        </w:rPr>
      </w:pPr>
    </w:p>
    <w:p w14:paraId="4056F441">
      <w:pPr>
        <w:wordWrap w:val="0"/>
        <w:jc w:val="right"/>
        <w:rPr>
          <w:rFonts w:hint="eastAsia" w:asciiTheme="minorEastAsia" w:hAnsiTheme="minorEastAsia" w:eastAsiaTheme="minorEastAsia" w:cstheme="minorEastAsia"/>
          <w:color w:val="auto"/>
          <w:sz w:val="24"/>
          <w:szCs w:val="24"/>
          <w:highlight w:val="none"/>
        </w:rPr>
        <w:sectPr>
          <w:headerReference r:id="rId7" w:type="first"/>
          <w:footerReference r:id="rId9" w:type="first"/>
          <w:footerReference r:id="rId8" w:type="default"/>
          <w:pgSz w:w="11906" w:h="16838"/>
          <w:pgMar w:top="1423" w:right="856" w:bottom="1140" w:left="1434" w:header="850" w:footer="567" w:gutter="0"/>
          <w:pgNumType w:start="1"/>
          <w:cols w:space="720" w:num="1"/>
          <w:titlePg/>
          <w:docGrid w:linePitch="299" w:charSpace="0"/>
        </w:sectPr>
      </w:pP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日</w:t>
      </w:r>
    </w:p>
    <w:p w14:paraId="188ABDED">
      <w:pPr>
        <w:pStyle w:val="2"/>
        <w:spacing w:line="440" w:lineRule="exact"/>
        <w:jc w:val="center"/>
        <w:rPr>
          <w:rFonts w:hint="eastAsia" w:asciiTheme="minorEastAsia" w:hAnsiTheme="minorEastAsia" w:eastAsiaTheme="minorEastAsia" w:cstheme="minorEastAsia"/>
          <w:color w:val="auto"/>
          <w:sz w:val="40"/>
          <w:highlight w:val="none"/>
        </w:rPr>
      </w:pPr>
      <w:bookmarkStart w:id="106" w:name="_Toc19518"/>
      <w:bookmarkStart w:id="107" w:name="_Toc530733561"/>
      <w:bookmarkStart w:id="108" w:name="_Toc468962371"/>
      <w:bookmarkStart w:id="109" w:name="_Toc472062102"/>
      <w:bookmarkStart w:id="110" w:name="_Toc468280346"/>
      <w:bookmarkStart w:id="111" w:name="_Toc466120028"/>
      <w:bookmarkStart w:id="112" w:name="_Toc468367787"/>
      <w:r>
        <w:rPr>
          <w:rFonts w:hint="eastAsia" w:asciiTheme="minorEastAsia" w:hAnsiTheme="minorEastAsia" w:eastAsiaTheme="minorEastAsia" w:cstheme="minorEastAsia"/>
          <w:color w:val="auto"/>
          <w:sz w:val="40"/>
          <w:highlight w:val="none"/>
        </w:rPr>
        <w:t>第三章 评审办法（综合评分法）</w:t>
      </w:r>
      <w:bookmarkEnd w:id="106"/>
      <w:bookmarkEnd w:id="107"/>
    </w:p>
    <w:p w14:paraId="3A2BCCE5">
      <w:pPr>
        <w:jc w:val="center"/>
        <w:rPr>
          <w:rFonts w:hint="eastAsia"/>
        </w:rPr>
      </w:pPr>
      <w:bookmarkStart w:id="113" w:name="_bookmark66"/>
      <w:bookmarkEnd w:id="113"/>
      <w:bookmarkStart w:id="114" w:name="_Toc530733562"/>
      <w:bookmarkStart w:id="115" w:name="_Toc517963434"/>
      <w:r>
        <w:rPr>
          <w:rFonts w:hint="eastAsia" w:asciiTheme="minorEastAsia" w:hAnsiTheme="minorEastAsia" w:eastAsiaTheme="minorEastAsia" w:cstheme="minorEastAsia"/>
          <w:b/>
          <w:bCs/>
          <w:color w:val="auto"/>
          <w:sz w:val="32"/>
          <w:szCs w:val="32"/>
          <w:highlight w:val="none"/>
        </w:rPr>
        <w:t>评审办法前附表</w:t>
      </w:r>
      <w:bookmarkEnd w:id="114"/>
      <w:bookmarkEnd w:id="115"/>
    </w:p>
    <w:tbl>
      <w:tblPr>
        <w:tblStyle w:val="62"/>
        <w:tblW w:w="10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119"/>
        <w:gridCol w:w="5528"/>
        <w:gridCol w:w="3571"/>
      </w:tblGrid>
      <w:tr w14:paraId="34AF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00" w:type="dxa"/>
            <w:vAlign w:val="center"/>
          </w:tcPr>
          <w:p w14:paraId="3DFB5D07">
            <w:pPr>
              <w:spacing w:after="0" w:line="300" w:lineRule="exact"/>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标准</w:t>
            </w:r>
          </w:p>
        </w:tc>
        <w:tc>
          <w:tcPr>
            <w:tcW w:w="1119" w:type="dxa"/>
            <w:vAlign w:val="center"/>
          </w:tcPr>
          <w:p w14:paraId="4AEA4F14">
            <w:pPr>
              <w:spacing w:after="0" w:line="300" w:lineRule="exact"/>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评审因素</w:t>
            </w:r>
          </w:p>
        </w:tc>
        <w:tc>
          <w:tcPr>
            <w:tcW w:w="5528" w:type="dxa"/>
            <w:vAlign w:val="center"/>
          </w:tcPr>
          <w:p w14:paraId="137E8DB8">
            <w:pPr>
              <w:spacing w:after="0" w:line="300" w:lineRule="exact"/>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评 审 标 准</w:t>
            </w:r>
          </w:p>
        </w:tc>
        <w:tc>
          <w:tcPr>
            <w:tcW w:w="3571" w:type="dxa"/>
            <w:vAlign w:val="center"/>
          </w:tcPr>
          <w:p w14:paraId="64DFC057">
            <w:pPr>
              <w:spacing w:after="0" w:line="300" w:lineRule="exact"/>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要求说明</w:t>
            </w:r>
          </w:p>
        </w:tc>
      </w:tr>
      <w:tr w14:paraId="22E74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exact"/>
          <w:jc w:val="center"/>
        </w:trPr>
        <w:tc>
          <w:tcPr>
            <w:tcW w:w="700" w:type="dxa"/>
            <w:vMerge w:val="restart"/>
            <w:vAlign w:val="center"/>
          </w:tcPr>
          <w:p w14:paraId="6627CCC4">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资格审查要求</w:t>
            </w:r>
          </w:p>
        </w:tc>
        <w:tc>
          <w:tcPr>
            <w:tcW w:w="1119" w:type="dxa"/>
            <w:vMerge w:val="restart"/>
            <w:vAlign w:val="center"/>
          </w:tcPr>
          <w:p w14:paraId="3BBE1451">
            <w:pPr>
              <w:spacing w:after="0" w:line="300" w:lineRule="exact"/>
              <w:rPr>
                <w:rFonts w:hint="eastAsia" w:asciiTheme="minorEastAsia" w:hAnsiTheme="minorEastAsia" w:eastAsiaTheme="minorEastAsia" w:cstheme="minorEastAsia"/>
                <w:color w:val="auto"/>
                <w:sz w:val="21"/>
                <w:szCs w:val="21"/>
                <w:highlight w:val="none"/>
                <w:lang w:val="en-US" w:eastAsia="zh-CN"/>
              </w:rPr>
            </w:pPr>
            <w:bookmarkStart w:id="116" w:name="OLE_LINK5"/>
            <w:r>
              <w:rPr>
                <w:rFonts w:hint="eastAsia" w:asciiTheme="minorEastAsia" w:hAnsiTheme="minorEastAsia" w:eastAsiaTheme="minorEastAsia" w:cstheme="minorEastAsia"/>
                <w:color w:val="auto"/>
                <w:sz w:val="21"/>
                <w:szCs w:val="21"/>
                <w:highlight w:val="none"/>
                <w:lang w:val="en-US" w:eastAsia="zh-CN"/>
              </w:rPr>
              <w:t>供应商应具有独立承担民事责任的能力</w:t>
            </w:r>
            <w:bookmarkEnd w:id="116"/>
          </w:p>
        </w:tc>
        <w:tc>
          <w:tcPr>
            <w:tcW w:w="5528" w:type="dxa"/>
            <w:vAlign w:val="center"/>
          </w:tcPr>
          <w:p w14:paraId="65D23853">
            <w:pPr>
              <w:spacing w:after="0" w:line="30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有效营业执照：磋商申请人具备合法有效的《营业执照》《中华人民共和国组织机构代码证》《税务登记证》（或统一社会信用代码证）或其他组织证件或自然人身份证件等能证明具有独立承担民事责任能力的证明材料。</w:t>
            </w:r>
          </w:p>
        </w:tc>
        <w:tc>
          <w:tcPr>
            <w:tcW w:w="3571" w:type="dxa"/>
            <w:vAlign w:val="center"/>
          </w:tcPr>
          <w:p w14:paraId="5665E495">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审查其提供材料的完整性及有效性；</w:t>
            </w:r>
          </w:p>
        </w:tc>
      </w:tr>
      <w:tr w14:paraId="3F927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exact"/>
          <w:jc w:val="center"/>
        </w:trPr>
        <w:tc>
          <w:tcPr>
            <w:tcW w:w="700" w:type="dxa"/>
            <w:vMerge w:val="continue"/>
            <w:vAlign w:val="center"/>
          </w:tcPr>
          <w:p w14:paraId="6A8C91A1">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1119" w:type="dxa"/>
            <w:vMerge w:val="continue"/>
            <w:vAlign w:val="center"/>
          </w:tcPr>
          <w:p w14:paraId="2C5C76CF">
            <w:pPr>
              <w:spacing w:after="0" w:line="300" w:lineRule="exact"/>
              <w:rPr>
                <w:rFonts w:hint="eastAsia" w:asciiTheme="minorEastAsia" w:hAnsiTheme="minorEastAsia" w:eastAsiaTheme="minorEastAsia" w:cstheme="minorEastAsia"/>
                <w:color w:val="auto"/>
                <w:sz w:val="21"/>
                <w:szCs w:val="21"/>
                <w:highlight w:val="none"/>
                <w:lang w:val="en-US" w:eastAsia="zh-CN"/>
              </w:rPr>
            </w:pPr>
          </w:p>
        </w:tc>
        <w:tc>
          <w:tcPr>
            <w:tcW w:w="5528" w:type="dxa"/>
            <w:vAlign w:val="center"/>
          </w:tcPr>
          <w:p w14:paraId="680ABDC2">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联合体：本项目不接受，供应商须提供申明文件。</w:t>
            </w:r>
          </w:p>
        </w:tc>
        <w:tc>
          <w:tcPr>
            <w:tcW w:w="3571" w:type="dxa"/>
            <w:vAlign w:val="center"/>
          </w:tcPr>
          <w:p w14:paraId="414D265A">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审查其是否按竞争性磋商文件提供材料。</w:t>
            </w:r>
          </w:p>
        </w:tc>
      </w:tr>
      <w:tr w14:paraId="54224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exact"/>
          <w:jc w:val="center"/>
        </w:trPr>
        <w:tc>
          <w:tcPr>
            <w:tcW w:w="700" w:type="dxa"/>
            <w:vMerge w:val="continue"/>
            <w:vAlign w:val="center"/>
          </w:tcPr>
          <w:p w14:paraId="08A6CB31">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1119" w:type="dxa"/>
            <w:vMerge w:val="restart"/>
            <w:vAlign w:val="center"/>
          </w:tcPr>
          <w:p w14:paraId="77447C3D">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具有良好的商业信誉和健全的财务会计制度</w:t>
            </w:r>
          </w:p>
        </w:tc>
        <w:tc>
          <w:tcPr>
            <w:tcW w:w="5528" w:type="dxa"/>
            <w:vAlign w:val="center"/>
          </w:tcPr>
          <w:p w14:paraId="46E428D3">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提供具有良好的商业信誉的声明函。</w:t>
            </w:r>
          </w:p>
        </w:tc>
        <w:tc>
          <w:tcPr>
            <w:tcW w:w="3571" w:type="dxa"/>
            <w:vAlign w:val="center"/>
          </w:tcPr>
          <w:p w14:paraId="51A84B5C">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审查其是否提供，若存在不良记录的视为不合格。</w:t>
            </w:r>
          </w:p>
        </w:tc>
      </w:tr>
      <w:tr w14:paraId="1FC0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8" w:hRule="exact"/>
          <w:jc w:val="center"/>
        </w:trPr>
        <w:tc>
          <w:tcPr>
            <w:tcW w:w="700" w:type="dxa"/>
            <w:vMerge w:val="continue"/>
            <w:vAlign w:val="center"/>
          </w:tcPr>
          <w:p w14:paraId="318AD158">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1119" w:type="dxa"/>
            <w:vMerge w:val="continue"/>
            <w:vAlign w:val="center"/>
          </w:tcPr>
          <w:p w14:paraId="643134A9">
            <w:pPr>
              <w:spacing w:after="0" w:line="300" w:lineRule="exact"/>
              <w:rPr>
                <w:rFonts w:hint="eastAsia" w:asciiTheme="minorEastAsia" w:hAnsiTheme="minorEastAsia" w:eastAsiaTheme="minorEastAsia" w:cstheme="minorEastAsia"/>
                <w:color w:val="auto"/>
                <w:sz w:val="21"/>
                <w:szCs w:val="21"/>
                <w:highlight w:val="none"/>
              </w:rPr>
            </w:pPr>
          </w:p>
        </w:tc>
        <w:tc>
          <w:tcPr>
            <w:tcW w:w="5528" w:type="dxa"/>
            <w:vAlign w:val="center"/>
          </w:tcPr>
          <w:p w14:paraId="614E25EF">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eastAsia="zh-CN"/>
              </w:rPr>
              <w:t>2023至2025年</w:t>
            </w:r>
            <w:r>
              <w:rPr>
                <w:rFonts w:hint="eastAsia" w:asciiTheme="minorEastAsia" w:hAnsiTheme="minorEastAsia" w:eastAsiaTheme="minorEastAsia" w:cstheme="minorEastAsia"/>
                <w:color w:val="auto"/>
                <w:sz w:val="21"/>
                <w:szCs w:val="21"/>
                <w:highlight w:val="none"/>
              </w:rPr>
              <w:t>度任意一个年度经社会审计机构出具的审计报告及会计报表（含资产负债表、现金流量表、利润表）；未经审计的，可提供</w:t>
            </w:r>
            <w:r>
              <w:rPr>
                <w:rFonts w:hint="eastAsia" w:asciiTheme="minorEastAsia" w:hAnsiTheme="minorEastAsia" w:eastAsiaTheme="minorEastAsia" w:cstheme="minorEastAsia"/>
                <w:color w:val="auto"/>
                <w:sz w:val="21"/>
                <w:szCs w:val="21"/>
                <w:highlight w:val="none"/>
                <w:lang w:eastAsia="zh-CN"/>
              </w:rPr>
              <w:t>2023至2025年</w:t>
            </w:r>
            <w:r>
              <w:rPr>
                <w:rFonts w:hint="eastAsia" w:asciiTheme="minorEastAsia" w:hAnsiTheme="minorEastAsia" w:eastAsiaTheme="minorEastAsia" w:cstheme="minorEastAsia"/>
                <w:color w:val="auto"/>
                <w:sz w:val="21"/>
                <w:szCs w:val="21"/>
                <w:highlight w:val="none"/>
              </w:rPr>
              <w:t>度任意一个年度公司内部自行编制的财务报表或银行开具的资信证明文件（新注册不满一年的企业可提供成立至今的会计报表或银行开具的资信证明文件或书面说明，此项要求可不列入废标条款）；</w:t>
            </w:r>
          </w:p>
        </w:tc>
        <w:tc>
          <w:tcPr>
            <w:tcW w:w="3571" w:type="dxa"/>
            <w:vAlign w:val="center"/>
          </w:tcPr>
          <w:p w14:paraId="36A5DF54">
            <w:pPr>
              <w:spacing w:after="0" w:line="300" w:lineRule="exact"/>
              <w:rPr>
                <w:rFonts w:hint="eastAsia" w:asciiTheme="minorEastAsia" w:hAnsiTheme="minorEastAsia" w:eastAsiaTheme="minorEastAsia" w:cstheme="minorEastAsia"/>
                <w:color w:val="auto"/>
                <w:sz w:val="21"/>
                <w:szCs w:val="21"/>
                <w:highlight w:val="none"/>
              </w:rPr>
            </w:pPr>
            <w:bookmarkStart w:id="117" w:name="OLE_LINK18"/>
            <w:r>
              <w:rPr>
                <w:rFonts w:hint="eastAsia" w:asciiTheme="minorEastAsia" w:hAnsiTheme="minorEastAsia" w:eastAsiaTheme="minorEastAsia" w:cstheme="minorEastAsia"/>
                <w:color w:val="auto"/>
                <w:sz w:val="21"/>
                <w:szCs w:val="21"/>
                <w:highlight w:val="none"/>
                <w:lang w:val="en-US" w:eastAsia="zh-CN"/>
              </w:rPr>
              <w:t>审查其是否按要求提供。</w:t>
            </w:r>
            <w:bookmarkEnd w:id="117"/>
          </w:p>
        </w:tc>
      </w:tr>
      <w:tr w14:paraId="3DF1C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exact"/>
          <w:jc w:val="center"/>
        </w:trPr>
        <w:tc>
          <w:tcPr>
            <w:tcW w:w="700" w:type="dxa"/>
            <w:vMerge w:val="continue"/>
            <w:vAlign w:val="center"/>
          </w:tcPr>
          <w:p w14:paraId="43FDF653">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1119" w:type="dxa"/>
            <w:vAlign w:val="center"/>
          </w:tcPr>
          <w:p w14:paraId="30A1BEF8">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具备履行合同所必需的设备和专业技术能力</w:t>
            </w:r>
          </w:p>
        </w:tc>
        <w:tc>
          <w:tcPr>
            <w:tcW w:w="5528" w:type="dxa"/>
            <w:vAlign w:val="center"/>
          </w:tcPr>
          <w:p w14:paraId="17F0ABDE">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提供供应商能证明其具备履行合同所必需的设备和专业技术能力的书面声明承诺函</w:t>
            </w:r>
          </w:p>
        </w:tc>
        <w:tc>
          <w:tcPr>
            <w:tcW w:w="3571" w:type="dxa"/>
            <w:vAlign w:val="center"/>
          </w:tcPr>
          <w:p w14:paraId="65512368">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审查其是否</w:t>
            </w:r>
            <w:r>
              <w:rPr>
                <w:rFonts w:hint="eastAsia" w:asciiTheme="minorEastAsia" w:hAnsiTheme="minorEastAsia" w:eastAsiaTheme="minorEastAsia" w:cstheme="minorEastAsia"/>
                <w:color w:val="auto"/>
                <w:sz w:val="21"/>
                <w:szCs w:val="21"/>
                <w:highlight w:val="none"/>
                <w:lang w:eastAsia="zh-CN"/>
              </w:rPr>
              <w:t>按要求</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eastAsia="zh-CN"/>
              </w:rPr>
              <w:t>。</w:t>
            </w:r>
          </w:p>
        </w:tc>
      </w:tr>
      <w:tr w14:paraId="44F5F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exact"/>
          <w:jc w:val="center"/>
        </w:trPr>
        <w:tc>
          <w:tcPr>
            <w:tcW w:w="700" w:type="dxa"/>
            <w:vMerge w:val="continue"/>
            <w:vAlign w:val="center"/>
          </w:tcPr>
          <w:p w14:paraId="6C535683">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1119" w:type="dxa"/>
            <w:vAlign w:val="center"/>
          </w:tcPr>
          <w:p w14:paraId="65C45BE2">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具</w:t>
            </w:r>
            <w:r>
              <w:rPr>
                <w:rFonts w:hint="eastAsia" w:asciiTheme="minorEastAsia" w:hAnsiTheme="minorEastAsia" w:eastAsiaTheme="minorEastAsia" w:cstheme="minorEastAsia"/>
                <w:color w:val="auto"/>
                <w:sz w:val="21"/>
                <w:szCs w:val="21"/>
                <w:highlight w:val="none"/>
              </w:rPr>
              <w:t>有依法缴纳税收和社会保障资金的良好记录</w:t>
            </w:r>
          </w:p>
        </w:tc>
        <w:tc>
          <w:tcPr>
            <w:tcW w:w="5528" w:type="dxa"/>
            <w:vAlign w:val="center"/>
          </w:tcPr>
          <w:p w14:paraId="0FEA3F1C">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eastAsia="zh-CN"/>
              </w:rPr>
              <w:t>2025</w:t>
            </w:r>
            <w:r>
              <w:rPr>
                <w:rFonts w:hint="eastAsia" w:asciiTheme="minorEastAsia" w:hAnsiTheme="minorEastAsia" w:eastAsiaTheme="minorEastAsia" w:cstheme="minorEastAsia"/>
                <w:color w:val="auto"/>
                <w:sz w:val="21"/>
                <w:szCs w:val="21"/>
                <w:highlight w:val="none"/>
              </w:rPr>
              <w:t>年01月至今任意</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个月的依法缴纳税收和社会保障资金的证明材料（依法免税和不需要缴纳社会保障资金的磋商申请人，应提供相应证明材料；成立不足3个月的，须提供书面说明</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此项要求可不列入废标条款）</w:t>
            </w:r>
            <w:r>
              <w:rPr>
                <w:rFonts w:hint="eastAsia" w:asciiTheme="minorEastAsia" w:hAnsiTheme="minorEastAsia" w:eastAsiaTheme="minorEastAsia" w:cstheme="minorEastAsia"/>
                <w:color w:val="auto"/>
                <w:sz w:val="21"/>
                <w:szCs w:val="21"/>
                <w:highlight w:val="none"/>
                <w:lang w:eastAsia="zh-CN"/>
              </w:rPr>
              <w:t>；</w:t>
            </w:r>
          </w:p>
        </w:tc>
        <w:tc>
          <w:tcPr>
            <w:tcW w:w="3571" w:type="dxa"/>
            <w:vAlign w:val="center"/>
          </w:tcPr>
          <w:p w14:paraId="7C0110FC">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审查其是否</w:t>
            </w:r>
            <w:r>
              <w:rPr>
                <w:rFonts w:hint="eastAsia" w:asciiTheme="minorEastAsia" w:hAnsiTheme="minorEastAsia" w:eastAsiaTheme="minorEastAsia" w:cstheme="minorEastAsia"/>
                <w:color w:val="auto"/>
                <w:sz w:val="21"/>
                <w:szCs w:val="21"/>
                <w:highlight w:val="none"/>
                <w:lang w:eastAsia="zh-CN"/>
              </w:rPr>
              <w:t>按要求</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eastAsia="zh-CN"/>
              </w:rPr>
              <w:t>。</w:t>
            </w:r>
          </w:p>
        </w:tc>
      </w:tr>
      <w:tr w14:paraId="2BB77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exact"/>
          <w:jc w:val="center"/>
        </w:trPr>
        <w:tc>
          <w:tcPr>
            <w:tcW w:w="700" w:type="dxa"/>
            <w:vMerge w:val="continue"/>
            <w:vAlign w:val="center"/>
          </w:tcPr>
          <w:p w14:paraId="5D576668">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1119" w:type="dxa"/>
            <w:vAlign w:val="center"/>
          </w:tcPr>
          <w:p w14:paraId="723D2884">
            <w:pPr>
              <w:spacing w:after="0" w:line="30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无重大违法记录声明</w:t>
            </w:r>
          </w:p>
        </w:tc>
        <w:tc>
          <w:tcPr>
            <w:tcW w:w="5528" w:type="dxa"/>
            <w:vAlign w:val="center"/>
          </w:tcPr>
          <w:p w14:paraId="6EA42FE6">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提供参加政府采购活动前3年内在经营活动中没有重大违法记录的书面声明；说明：“较大数额罚款”认定为200万元以上的罚款，法律、行政法规以及国务院有关部门明确规定相关领域“较大数额罚款”标准高于200万元的，从其规定。</w:t>
            </w:r>
          </w:p>
        </w:tc>
        <w:tc>
          <w:tcPr>
            <w:tcW w:w="3571" w:type="dxa"/>
            <w:vAlign w:val="center"/>
          </w:tcPr>
          <w:p w14:paraId="7A129263">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审查其是否提供，若存在不良记录的视为不合格。</w:t>
            </w:r>
          </w:p>
        </w:tc>
      </w:tr>
      <w:tr w14:paraId="34251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0" w:hRule="exact"/>
          <w:jc w:val="center"/>
        </w:trPr>
        <w:tc>
          <w:tcPr>
            <w:tcW w:w="700" w:type="dxa"/>
            <w:vMerge w:val="continue"/>
            <w:vAlign w:val="center"/>
          </w:tcPr>
          <w:p w14:paraId="07F82584">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1119" w:type="dxa"/>
            <w:vAlign w:val="center"/>
          </w:tcPr>
          <w:p w14:paraId="04E0C9BA">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信用中国</w:t>
            </w:r>
          </w:p>
        </w:tc>
        <w:tc>
          <w:tcPr>
            <w:tcW w:w="5528" w:type="dxa"/>
            <w:vAlign w:val="center"/>
          </w:tcPr>
          <w:p w14:paraId="0E4076C5">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供应商在采购公告发出日期之前未被列入“信用中国”网站“严重失信主体名单”“失信被执行人”“重大税收违法失信主体”“政府采购严重违法失信行为记录名单”，未被列入中国政府采购网“政府采购严重违法失信行为信息记录名单”，由采购人及采购代理机构将按照以上条款对参与磋商的各申请人的信用信息进行查询，有不良记录的磋商将被拒绝。</w:t>
            </w:r>
          </w:p>
        </w:tc>
        <w:tc>
          <w:tcPr>
            <w:tcW w:w="3571" w:type="dxa"/>
            <w:vAlign w:val="center"/>
          </w:tcPr>
          <w:p w14:paraId="3FEC8B49">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供应商无须提供，由采购人及采购代理机构将按照以上条款对参与本项目的各供应商的信用信息进行查询，有不良记录的将被拒绝。审查其提供材料的完整性及有效性。</w:t>
            </w:r>
          </w:p>
        </w:tc>
      </w:tr>
      <w:tr w14:paraId="01406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exact"/>
          <w:jc w:val="center"/>
        </w:trPr>
        <w:tc>
          <w:tcPr>
            <w:tcW w:w="700" w:type="dxa"/>
            <w:vMerge w:val="continue"/>
            <w:vAlign w:val="center"/>
          </w:tcPr>
          <w:p w14:paraId="29DBD7BD">
            <w:pPr>
              <w:pStyle w:val="14"/>
              <w:rPr>
                <w:rFonts w:hint="eastAsia"/>
                <w:lang w:val="en-US" w:eastAsia="zh-CN"/>
              </w:rPr>
            </w:pPr>
          </w:p>
        </w:tc>
        <w:tc>
          <w:tcPr>
            <w:tcW w:w="1119" w:type="dxa"/>
            <w:vAlign w:val="center"/>
          </w:tcPr>
          <w:p w14:paraId="71C485D5">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其他资格要求</w:t>
            </w:r>
          </w:p>
        </w:tc>
        <w:tc>
          <w:tcPr>
            <w:tcW w:w="5528" w:type="dxa"/>
            <w:vAlign w:val="center"/>
          </w:tcPr>
          <w:p w14:paraId="75544E41">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单位负责人为同一人或者存在直接控股、管理关系的不同供应商，不得参加同一合同项下的政府采购活动。（提供声明函）</w:t>
            </w:r>
          </w:p>
        </w:tc>
        <w:tc>
          <w:tcPr>
            <w:tcW w:w="3571" w:type="dxa"/>
            <w:vAlign w:val="center"/>
          </w:tcPr>
          <w:p w14:paraId="5762A6A8">
            <w:pPr>
              <w:spacing w:after="0" w:line="300" w:lineRule="exact"/>
              <w:rPr>
                <w:rFonts w:hint="eastAsia" w:asciiTheme="minorEastAsia" w:hAnsiTheme="minorEastAsia" w:eastAsiaTheme="minorEastAsia" w:cstheme="minorEastAsia"/>
                <w:color w:val="auto"/>
                <w:sz w:val="21"/>
                <w:szCs w:val="21"/>
                <w:highlight w:val="none"/>
                <w:lang w:val="en-US" w:eastAsia="zh-CN"/>
              </w:rPr>
            </w:pPr>
            <w:bookmarkStart w:id="118" w:name="OLE_LINK6"/>
            <w:r>
              <w:rPr>
                <w:rFonts w:hint="eastAsia" w:asciiTheme="minorEastAsia" w:hAnsiTheme="minorEastAsia" w:eastAsiaTheme="minorEastAsia" w:cstheme="minorEastAsia"/>
                <w:color w:val="auto"/>
                <w:sz w:val="21"/>
                <w:szCs w:val="21"/>
                <w:highlight w:val="none"/>
                <w:lang w:val="en-US" w:eastAsia="zh-CN"/>
              </w:rPr>
              <w:t>审查其是否按要求提供。</w:t>
            </w:r>
            <w:bookmarkEnd w:id="118"/>
          </w:p>
        </w:tc>
      </w:tr>
      <w:tr w14:paraId="67BB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6" w:hRule="exact"/>
          <w:jc w:val="center"/>
        </w:trPr>
        <w:tc>
          <w:tcPr>
            <w:tcW w:w="700" w:type="dxa"/>
            <w:vMerge w:val="continue"/>
            <w:vAlign w:val="center"/>
          </w:tcPr>
          <w:p w14:paraId="364CC6F0">
            <w:pPr>
              <w:spacing w:after="0" w:line="300" w:lineRule="exact"/>
              <w:jc w:val="center"/>
              <w:rPr>
                <w:rFonts w:hint="eastAsia" w:asciiTheme="minorEastAsia" w:hAnsiTheme="minorEastAsia" w:eastAsiaTheme="minorEastAsia" w:cstheme="minorEastAsia"/>
                <w:color w:val="auto"/>
                <w:sz w:val="21"/>
                <w:szCs w:val="21"/>
                <w:highlight w:val="none"/>
              </w:rPr>
            </w:pPr>
            <w:bookmarkStart w:id="119" w:name="_Toc530733563"/>
          </w:p>
        </w:tc>
        <w:tc>
          <w:tcPr>
            <w:tcW w:w="1119" w:type="dxa"/>
            <w:vAlign w:val="center"/>
          </w:tcPr>
          <w:p w14:paraId="13BF3C33">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落实政府采购政策需满足的资格条件</w:t>
            </w:r>
          </w:p>
        </w:tc>
        <w:tc>
          <w:tcPr>
            <w:tcW w:w="5528" w:type="dxa"/>
            <w:vAlign w:val="center"/>
          </w:tcPr>
          <w:p w14:paraId="33E03227">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本项目属于专门面向中小企业的政府采购项目。磋商申请人按要求提供《中小企业声明函》或《残疾人福利性单位声明函》或《监狱企业声明函》，且显示磋商申请人为中小微企业或残疾人福利性单位或监狱企业，若磋商申请人不属于此三类企业的，将拒绝其参与本项目的采购活动。</w:t>
            </w:r>
          </w:p>
        </w:tc>
        <w:tc>
          <w:tcPr>
            <w:tcW w:w="3571" w:type="dxa"/>
            <w:vAlign w:val="center"/>
          </w:tcPr>
          <w:p w14:paraId="67BD2F2D">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审查其是否提供材料，或认定其是否属于此三类企业。</w:t>
            </w:r>
          </w:p>
        </w:tc>
      </w:tr>
      <w:tr w14:paraId="2C51C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9" w:hRule="exact"/>
          <w:jc w:val="center"/>
        </w:trPr>
        <w:tc>
          <w:tcPr>
            <w:tcW w:w="10918" w:type="dxa"/>
            <w:gridSpan w:val="4"/>
            <w:vAlign w:val="center"/>
          </w:tcPr>
          <w:p w14:paraId="117C1202">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特别提示：1.本表中所列内容均提供加盖供应商行政章或电子公章；</w:t>
            </w:r>
          </w:p>
          <w:p w14:paraId="35B850DE">
            <w:pPr>
              <w:spacing w:after="0" w:line="300" w:lineRule="exact"/>
              <w:ind w:firstLine="1050" w:firstLineChars="5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2.供应商须按本表要求及磋商响应文件格式要求提供能充分证明其有资格参与磋商的证明材料；</w:t>
            </w:r>
          </w:p>
          <w:p w14:paraId="52330475">
            <w:pPr>
              <w:spacing w:after="0" w:line="300" w:lineRule="exact"/>
              <w:ind w:firstLine="1050" w:firstLineChars="5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3.供应商须对所提供的全部证明材料的真实性及合法性负全部责任；</w:t>
            </w:r>
          </w:p>
          <w:p w14:paraId="6C0469A6">
            <w:pPr>
              <w:spacing w:after="0" w:line="300" w:lineRule="exact"/>
              <w:ind w:firstLine="1050" w:firstLineChars="5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4.本表所列内容任何一项缺失或不通过，其磋商资格将被取消，只有通过资格审查的供应商提交的磋商响应文件才能进入下一阶段的评审。</w:t>
            </w:r>
          </w:p>
        </w:tc>
      </w:tr>
    </w:tbl>
    <w:tbl>
      <w:tblPr>
        <w:tblStyle w:val="62"/>
        <w:tblpPr w:leftFromText="180" w:rightFromText="180" w:vertAnchor="text" w:horzAnchor="page" w:tblpX="705" w:tblpY="389"/>
        <w:tblOverlap w:val="never"/>
        <w:tblW w:w="10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176"/>
        <w:gridCol w:w="2602"/>
        <w:gridCol w:w="6279"/>
      </w:tblGrid>
      <w:tr w14:paraId="4D79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90" w:type="dxa"/>
            <w:vAlign w:val="center"/>
          </w:tcPr>
          <w:p w14:paraId="21782888">
            <w:pPr>
              <w:spacing w:after="0" w:line="300" w:lineRule="exact"/>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标准</w:t>
            </w:r>
          </w:p>
        </w:tc>
        <w:tc>
          <w:tcPr>
            <w:tcW w:w="1176" w:type="dxa"/>
            <w:vAlign w:val="center"/>
          </w:tcPr>
          <w:p w14:paraId="1A97D5F9">
            <w:pPr>
              <w:spacing w:after="0" w:line="300" w:lineRule="exact"/>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评审因素</w:t>
            </w:r>
          </w:p>
        </w:tc>
        <w:tc>
          <w:tcPr>
            <w:tcW w:w="2602" w:type="dxa"/>
            <w:vAlign w:val="center"/>
          </w:tcPr>
          <w:p w14:paraId="736166F6">
            <w:pPr>
              <w:spacing w:after="0" w:line="300" w:lineRule="exact"/>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评 审 标 准</w:t>
            </w:r>
          </w:p>
        </w:tc>
        <w:tc>
          <w:tcPr>
            <w:tcW w:w="6279" w:type="dxa"/>
            <w:vAlign w:val="center"/>
          </w:tcPr>
          <w:p w14:paraId="383A26B6">
            <w:pPr>
              <w:spacing w:after="0" w:line="300" w:lineRule="exact"/>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要求说明</w:t>
            </w:r>
          </w:p>
        </w:tc>
      </w:tr>
      <w:tr w14:paraId="67C43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6" w:hRule="exact"/>
        </w:trPr>
        <w:tc>
          <w:tcPr>
            <w:tcW w:w="690" w:type="dxa"/>
            <w:vMerge w:val="restart"/>
            <w:vAlign w:val="center"/>
          </w:tcPr>
          <w:p w14:paraId="6D40CB56">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符合性审查要求</w:t>
            </w:r>
          </w:p>
        </w:tc>
        <w:tc>
          <w:tcPr>
            <w:tcW w:w="1176" w:type="dxa"/>
            <w:vMerge w:val="restart"/>
            <w:vAlign w:val="center"/>
          </w:tcPr>
          <w:p w14:paraId="6C4A8940">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报价</w:t>
            </w:r>
          </w:p>
        </w:tc>
        <w:tc>
          <w:tcPr>
            <w:tcW w:w="2602" w:type="dxa"/>
            <w:vAlign w:val="center"/>
          </w:tcPr>
          <w:p w14:paraId="584068A1">
            <w:pPr>
              <w:numPr>
                <w:ilvl w:val="0"/>
                <w:numId w:val="0"/>
              </w:num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highlight w:val="none"/>
              </w:rPr>
              <w:t>报价合理</w:t>
            </w:r>
          </w:p>
        </w:tc>
        <w:tc>
          <w:tcPr>
            <w:tcW w:w="6279" w:type="dxa"/>
            <w:vAlign w:val="center"/>
          </w:tcPr>
          <w:p w14:paraId="090D4320">
            <w:pPr>
              <w:spacing w:after="0" w:line="300" w:lineRule="exact"/>
              <w:rPr>
                <w:rFonts w:hint="eastAsia" w:asciiTheme="minorEastAsia" w:hAnsiTheme="minorEastAsia" w:eastAsiaTheme="minorEastAsia" w:cstheme="minorEastAsia"/>
                <w:color w:val="auto"/>
                <w:sz w:val="21"/>
                <w:szCs w:val="21"/>
                <w:highlight w:val="none"/>
                <w:lang w:val="en-US" w:eastAsia="zh-CN"/>
              </w:rPr>
            </w:pPr>
            <w:bookmarkStart w:id="120" w:name="OLE_LINK45"/>
            <w:r>
              <w:rPr>
                <w:rFonts w:hint="eastAsia" w:ascii="宋体" w:hAnsi="宋体" w:eastAsia="宋体" w:cs="宋体"/>
                <w:bCs/>
                <w:color w:val="auto"/>
                <w:kern w:val="0"/>
                <w:sz w:val="18"/>
                <w:szCs w:val="18"/>
                <w:highlight w:val="none"/>
                <w:lang w:val="en-US" w:eastAsia="zh-CN"/>
              </w:rPr>
              <w:t>1.政府采购异常低价审查执行标准：(1)投标（响应）报价低于全部通过符合性审查供应商投标（响应）报价平均值60%的，即投标（响应）报价〈全部通过符合性审查供应商投标（响应）报价平均值×60%；(2)投标（响应）报价低于通过符合性审查的次低报价供应商投标（响应）报价60%的，即投标（响应）报价〈通过符合性审查的次低报价供应商投标（响应）报价×60%；(3)投标（响应）报价低于采购项目最高限价60%的，即投标（响应）报价〈采购项目最高限价×60%；(4)评标委员会基于专业判断，认为供应商报价过低，有可能影响产品质量或者不能诚信履约的其他情形。2.政府采购异常低价审查程序(1)</w:t>
            </w:r>
            <w:r>
              <w:rPr>
                <w:rFonts w:hint="eastAsia" w:ascii="宋体" w:hAnsi="宋体" w:eastAsia="宋体" w:cs="宋体"/>
                <w:bCs/>
                <w:color w:val="auto"/>
                <w:kern w:val="0"/>
                <w:sz w:val="18"/>
                <w:szCs w:val="18"/>
                <w:highlight w:val="none"/>
                <w:lang w:eastAsia="zh-CN"/>
              </w:rPr>
              <w:t>评标委员会</w:t>
            </w:r>
            <w:r>
              <w:rPr>
                <w:rFonts w:hint="eastAsia" w:ascii="宋体" w:hAnsi="宋体" w:eastAsia="宋体" w:cs="宋体"/>
                <w:bCs/>
                <w:color w:val="auto"/>
                <w:kern w:val="0"/>
                <w:sz w:val="18"/>
                <w:szCs w:val="18"/>
                <w:highlight w:val="none"/>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auto"/>
                <w:kern w:val="0"/>
                <w:sz w:val="18"/>
                <w:szCs w:val="18"/>
                <w:highlight w:val="none"/>
                <w:lang w:val="en-US" w:eastAsia="zh-CN"/>
              </w:rPr>
              <w:t>(2)</w:t>
            </w:r>
            <w:r>
              <w:rPr>
                <w:rFonts w:hint="eastAsia" w:ascii="宋体" w:hAnsi="宋体" w:eastAsia="宋体" w:cs="宋体"/>
                <w:bCs/>
                <w:color w:val="auto"/>
                <w:kern w:val="0"/>
                <w:sz w:val="18"/>
                <w:szCs w:val="18"/>
                <w:highlight w:val="none"/>
                <w:lang w:eastAsia="zh-CN"/>
              </w:rPr>
              <w:t>评标委员会</w:t>
            </w:r>
            <w:r>
              <w:rPr>
                <w:rFonts w:hint="eastAsia" w:ascii="宋体" w:hAnsi="宋体" w:eastAsia="宋体" w:cs="宋体"/>
                <w:bCs/>
                <w:color w:val="auto"/>
                <w:kern w:val="0"/>
                <w:sz w:val="18"/>
                <w:szCs w:val="18"/>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color w:val="auto"/>
                <w:kern w:val="0"/>
                <w:sz w:val="18"/>
                <w:szCs w:val="18"/>
                <w:highlight w:val="none"/>
                <w:lang w:eastAsia="zh-CN"/>
              </w:rPr>
              <w:t>评标委员会</w:t>
            </w:r>
            <w:r>
              <w:rPr>
                <w:rFonts w:hint="eastAsia" w:ascii="宋体" w:hAnsi="宋体" w:eastAsia="宋体" w:cs="宋体"/>
                <w:bCs/>
                <w:color w:val="auto"/>
                <w:kern w:val="0"/>
                <w:sz w:val="18"/>
                <w:szCs w:val="18"/>
                <w:highlight w:val="none"/>
              </w:rPr>
              <w:t>应当将其作为无效投标（响应）处理。</w:t>
            </w:r>
            <w:bookmarkEnd w:id="120"/>
          </w:p>
        </w:tc>
      </w:tr>
      <w:tr w14:paraId="4B5BA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exact"/>
        </w:trPr>
        <w:tc>
          <w:tcPr>
            <w:tcW w:w="690" w:type="dxa"/>
            <w:vMerge w:val="continue"/>
            <w:vAlign w:val="center"/>
          </w:tcPr>
          <w:p w14:paraId="6D327F3F">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1176" w:type="dxa"/>
            <w:vMerge w:val="continue"/>
            <w:vAlign w:val="center"/>
          </w:tcPr>
          <w:p w14:paraId="45338434">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111EAE47">
            <w:pPr>
              <w:numPr>
                <w:ilvl w:val="0"/>
                <w:numId w:val="0"/>
              </w:num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最高限价</w:t>
            </w:r>
          </w:p>
        </w:tc>
        <w:tc>
          <w:tcPr>
            <w:tcW w:w="6279" w:type="dxa"/>
            <w:vAlign w:val="center"/>
          </w:tcPr>
          <w:p w14:paraId="1522E3F7">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供应商报价不得高于最高限价。</w:t>
            </w:r>
          </w:p>
        </w:tc>
      </w:tr>
      <w:tr w14:paraId="16B2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exact"/>
        </w:trPr>
        <w:tc>
          <w:tcPr>
            <w:tcW w:w="690" w:type="dxa"/>
            <w:vMerge w:val="continue"/>
            <w:vAlign w:val="center"/>
          </w:tcPr>
          <w:p w14:paraId="612DC02B">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1176" w:type="dxa"/>
            <w:vMerge w:val="restart"/>
            <w:vAlign w:val="center"/>
          </w:tcPr>
          <w:p w14:paraId="43F93E38">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商务</w:t>
            </w:r>
          </w:p>
        </w:tc>
        <w:tc>
          <w:tcPr>
            <w:tcW w:w="2602" w:type="dxa"/>
            <w:vAlign w:val="center"/>
          </w:tcPr>
          <w:p w14:paraId="0B99F87F">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磋商响应文件的递交</w:t>
            </w:r>
          </w:p>
        </w:tc>
        <w:tc>
          <w:tcPr>
            <w:tcW w:w="6279" w:type="dxa"/>
            <w:vAlign w:val="center"/>
          </w:tcPr>
          <w:p w14:paraId="23AB86E7">
            <w:pPr>
              <w:spacing w:after="0" w:line="30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符合第二章“供应商须知前附表”第4.2.1项规定</w:t>
            </w:r>
            <w:r>
              <w:rPr>
                <w:rFonts w:hint="eastAsia" w:asciiTheme="minorEastAsia" w:hAnsiTheme="minorEastAsia" w:eastAsiaTheme="minorEastAsia" w:cstheme="minorEastAsia"/>
                <w:color w:val="auto"/>
                <w:sz w:val="21"/>
                <w:szCs w:val="21"/>
                <w:highlight w:val="none"/>
                <w:lang w:eastAsia="zh-CN"/>
              </w:rPr>
              <w:t>。</w:t>
            </w:r>
          </w:p>
        </w:tc>
      </w:tr>
      <w:tr w14:paraId="242CD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exact"/>
        </w:trPr>
        <w:tc>
          <w:tcPr>
            <w:tcW w:w="690" w:type="dxa"/>
            <w:vMerge w:val="continue"/>
            <w:vAlign w:val="center"/>
          </w:tcPr>
          <w:p w14:paraId="2BC1032F">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34CD53CD">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62DBADC9">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磋商会议</w:t>
            </w:r>
          </w:p>
        </w:tc>
        <w:tc>
          <w:tcPr>
            <w:tcW w:w="6279" w:type="dxa"/>
            <w:vAlign w:val="center"/>
          </w:tcPr>
          <w:p w14:paraId="18134FF1">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供应商法定代表人或其授权委托代理人按时参加磋商会议</w:t>
            </w:r>
            <w:r>
              <w:rPr>
                <w:rFonts w:hint="eastAsia" w:asciiTheme="minorEastAsia" w:hAnsiTheme="minorEastAsia" w:eastAsiaTheme="minorEastAsia" w:cstheme="minorEastAsia"/>
                <w:color w:val="auto"/>
                <w:sz w:val="21"/>
                <w:szCs w:val="21"/>
                <w:highlight w:val="none"/>
                <w:lang w:eastAsia="zh-CN"/>
              </w:rPr>
              <w:t>。</w:t>
            </w:r>
          </w:p>
        </w:tc>
      </w:tr>
      <w:tr w14:paraId="3E865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exact"/>
        </w:trPr>
        <w:tc>
          <w:tcPr>
            <w:tcW w:w="690" w:type="dxa"/>
            <w:vMerge w:val="continue"/>
            <w:vAlign w:val="center"/>
          </w:tcPr>
          <w:p w14:paraId="409E97E1">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71843553">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5DF3D84D">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Cs w:val="21"/>
                <w:highlight w:val="none"/>
              </w:rPr>
              <w:t>响应文件编制</w:t>
            </w:r>
          </w:p>
        </w:tc>
        <w:tc>
          <w:tcPr>
            <w:tcW w:w="6279" w:type="dxa"/>
            <w:vAlign w:val="center"/>
          </w:tcPr>
          <w:p w14:paraId="29722289">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符合磋商文件格式及资料提供的要求</w:t>
            </w:r>
          </w:p>
        </w:tc>
      </w:tr>
      <w:tr w14:paraId="65CBE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exact"/>
        </w:trPr>
        <w:tc>
          <w:tcPr>
            <w:tcW w:w="690" w:type="dxa"/>
            <w:vMerge w:val="continue"/>
            <w:vAlign w:val="center"/>
          </w:tcPr>
          <w:p w14:paraId="64801104">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76381C81">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5DD2FD3C">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签字或盖章</w:t>
            </w:r>
          </w:p>
        </w:tc>
        <w:tc>
          <w:tcPr>
            <w:tcW w:w="6279" w:type="dxa"/>
            <w:vAlign w:val="center"/>
          </w:tcPr>
          <w:p w14:paraId="222B23B0">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按第六章“竞争性磋商响应文件格式”要求</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采用单位数字证书电子签章，在需要电子签章的地方进行电子签章，无需逐页电子签章。</w:t>
            </w:r>
          </w:p>
        </w:tc>
      </w:tr>
      <w:tr w14:paraId="02058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exact"/>
        </w:trPr>
        <w:tc>
          <w:tcPr>
            <w:tcW w:w="690" w:type="dxa"/>
            <w:vMerge w:val="continue"/>
            <w:vAlign w:val="center"/>
          </w:tcPr>
          <w:p w14:paraId="223F817C">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497BB0ED">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1ABACDCD">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服务要求</w:t>
            </w:r>
          </w:p>
        </w:tc>
        <w:tc>
          <w:tcPr>
            <w:tcW w:w="6279" w:type="dxa"/>
            <w:vAlign w:val="center"/>
          </w:tcPr>
          <w:p w14:paraId="3556F16D">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符合相关，法律、法规政策的规定，满足招标人要求。</w:t>
            </w:r>
          </w:p>
        </w:tc>
      </w:tr>
      <w:tr w14:paraId="300D0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exact"/>
        </w:trPr>
        <w:tc>
          <w:tcPr>
            <w:tcW w:w="690" w:type="dxa"/>
            <w:vMerge w:val="continue"/>
            <w:vAlign w:val="center"/>
          </w:tcPr>
          <w:p w14:paraId="59E61406">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7219F31D">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18610D8A">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法定代表人（负责人）身份证明书</w:t>
            </w:r>
          </w:p>
        </w:tc>
        <w:tc>
          <w:tcPr>
            <w:tcW w:w="6279" w:type="dxa"/>
            <w:vAlign w:val="center"/>
          </w:tcPr>
          <w:p w14:paraId="330D12C7">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符合磋商文件规定格式及内容，并盖单位章</w:t>
            </w:r>
          </w:p>
        </w:tc>
      </w:tr>
      <w:tr w14:paraId="562D2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trPr>
        <w:tc>
          <w:tcPr>
            <w:tcW w:w="690" w:type="dxa"/>
            <w:vMerge w:val="continue"/>
            <w:vAlign w:val="center"/>
          </w:tcPr>
          <w:p w14:paraId="74769C31">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20ACBBE1">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33C367D6">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法定代表人（负责人）授权委托书</w:t>
            </w:r>
          </w:p>
        </w:tc>
        <w:tc>
          <w:tcPr>
            <w:tcW w:w="6279" w:type="dxa"/>
            <w:vAlign w:val="center"/>
          </w:tcPr>
          <w:p w14:paraId="185DB4F2">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有法定代表人（负责人）签字或盖章，并盖单位章，符合磋商文件规定格式及内容</w:t>
            </w:r>
          </w:p>
        </w:tc>
      </w:tr>
      <w:tr w14:paraId="2AEDC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exact"/>
        </w:trPr>
        <w:tc>
          <w:tcPr>
            <w:tcW w:w="690" w:type="dxa"/>
            <w:vMerge w:val="continue"/>
            <w:vAlign w:val="center"/>
          </w:tcPr>
          <w:p w14:paraId="6DDCB55A">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605C660D">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61CC988D">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评标澄清、说明或补正</w:t>
            </w:r>
          </w:p>
        </w:tc>
        <w:tc>
          <w:tcPr>
            <w:tcW w:w="6279" w:type="dxa"/>
            <w:vAlign w:val="center"/>
          </w:tcPr>
          <w:p w14:paraId="506416F1">
            <w:pPr>
              <w:spacing w:after="0" w:line="30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不按评标委员会要求进行澄清、说明或补正的作否决投标处理</w:t>
            </w:r>
            <w:r>
              <w:rPr>
                <w:rFonts w:hint="eastAsia" w:asciiTheme="minorEastAsia" w:hAnsiTheme="minorEastAsia" w:eastAsiaTheme="minorEastAsia" w:cstheme="minorEastAsia"/>
                <w:color w:val="auto"/>
                <w:sz w:val="21"/>
                <w:szCs w:val="21"/>
                <w:highlight w:val="none"/>
                <w:lang w:eastAsia="zh-CN"/>
              </w:rPr>
              <w:t>。</w:t>
            </w:r>
          </w:p>
        </w:tc>
      </w:tr>
      <w:tr w14:paraId="42199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690" w:type="dxa"/>
            <w:vMerge w:val="continue"/>
            <w:vAlign w:val="center"/>
          </w:tcPr>
          <w:p w14:paraId="3404E980">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5D138180">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764C20BB">
            <w:pPr>
              <w:spacing w:after="0" w:line="300" w:lineRule="exact"/>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其他明确的否决投标条款</w:t>
            </w:r>
          </w:p>
        </w:tc>
        <w:tc>
          <w:tcPr>
            <w:tcW w:w="6279" w:type="dxa"/>
            <w:vAlign w:val="center"/>
          </w:tcPr>
          <w:p w14:paraId="2750A90F">
            <w:pPr>
              <w:spacing w:after="0" w:line="30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highlight w:val="none"/>
              </w:rPr>
              <w:t>未能响应磋商文件否决磋商条款中提出的实质性要求和条件的作否决投标处理</w:t>
            </w:r>
            <w:r>
              <w:rPr>
                <w:rFonts w:hint="eastAsia" w:asciiTheme="minorEastAsia" w:hAnsiTheme="minorEastAsia" w:eastAsiaTheme="minorEastAsia" w:cstheme="minorEastAsia"/>
                <w:color w:val="auto"/>
                <w:sz w:val="21"/>
                <w:highlight w:val="none"/>
                <w:lang w:eastAsia="zh-CN"/>
              </w:rPr>
              <w:t>。</w:t>
            </w:r>
          </w:p>
        </w:tc>
      </w:tr>
      <w:tr w14:paraId="5833F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8" w:hRule="exact"/>
        </w:trPr>
        <w:tc>
          <w:tcPr>
            <w:tcW w:w="690" w:type="dxa"/>
            <w:vMerge w:val="continue"/>
            <w:vAlign w:val="center"/>
          </w:tcPr>
          <w:p w14:paraId="7252D4F3">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7A3A7E2C">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201646D7">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实质性响应</w:t>
            </w:r>
          </w:p>
        </w:tc>
        <w:tc>
          <w:tcPr>
            <w:tcW w:w="6279" w:type="dxa"/>
            <w:vAlign w:val="center"/>
          </w:tcPr>
          <w:p w14:paraId="0C593940">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磋商响应文件必须满足本项目实质性要求，实质性要求如下：</w:t>
            </w:r>
          </w:p>
          <w:p w14:paraId="62E1486C">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1.供应商响应的“商务条款”（商务条款包含合同履行期限、项目服务地点、投入本项目的各类物业服务人员配置和数量情况等非技术要求的指标）不符合项目需求的，则视为实质性不响应。</w:t>
            </w:r>
          </w:p>
          <w:p w14:paraId="04C8B1C5">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2.磋商响应文件中如有瞒报或虚报或提供虚假材料的，则视为实质性不响应。</w:t>
            </w:r>
          </w:p>
          <w:p w14:paraId="6263AA45">
            <w:pPr>
              <w:spacing w:after="0" w:line="300" w:lineRule="exact"/>
              <w:rPr>
                <w:rFonts w:hint="eastAsia"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3.磋商响应文件中有采购人不能接受的条款，则视为实质性不响应。</w:t>
            </w:r>
          </w:p>
        </w:tc>
      </w:tr>
      <w:tr w14:paraId="7FEB2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exact"/>
        </w:trPr>
        <w:tc>
          <w:tcPr>
            <w:tcW w:w="690" w:type="dxa"/>
            <w:vMerge w:val="continue"/>
            <w:vAlign w:val="center"/>
          </w:tcPr>
          <w:p w14:paraId="026DA83B">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1176" w:type="dxa"/>
            <w:vMerge w:val="restart"/>
            <w:vAlign w:val="center"/>
          </w:tcPr>
          <w:p w14:paraId="31F18670">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技术</w:t>
            </w:r>
          </w:p>
        </w:tc>
        <w:tc>
          <w:tcPr>
            <w:tcW w:w="2602" w:type="dxa"/>
            <w:vAlign w:val="center"/>
          </w:tcPr>
          <w:p w14:paraId="3CE919D9">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磋商内容（采购需求）</w:t>
            </w:r>
          </w:p>
        </w:tc>
        <w:tc>
          <w:tcPr>
            <w:tcW w:w="6279" w:type="dxa"/>
            <w:vAlign w:val="center"/>
          </w:tcPr>
          <w:p w14:paraId="5F17FBB9">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符合第二章“供应商须知前附表”第1.3.2项规定及符合第五章“采购需求”技术标准和要求的规定</w:t>
            </w:r>
            <w:r>
              <w:rPr>
                <w:rFonts w:hint="eastAsia" w:asciiTheme="minorEastAsia" w:hAnsiTheme="minorEastAsia" w:eastAsiaTheme="minorEastAsia" w:cstheme="minorEastAsia"/>
                <w:color w:val="auto"/>
                <w:sz w:val="21"/>
                <w:highlight w:val="none"/>
                <w:lang w:val="en-US" w:eastAsia="zh-CN"/>
              </w:rPr>
              <w:t>。</w:t>
            </w:r>
          </w:p>
        </w:tc>
      </w:tr>
      <w:tr w14:paraId="16DCB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trPr>
        <w:tc>
          <w:tcPr>
            <w:tcW w:w="690" w:type="dxa"/>
            <w:vMerge w:val="continue"/>
            <w:vAlign w:val="center"/>
          </w:tcPr>
          <w:p w14:paraId="60E27E37">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1AB90DD3">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445827E0">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权利和义务</w:t>
            </w:r>
          </w:p>
        </w:tc>
        <w:tc>
          <w:tcPr>
            <w:tcW w:w="6279" w:type="dxa"/>
            <w:vAlign w:val="center"/>
          </w:tcPr>
          <w:p w14:paraId="5E104A8E">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符合第四章“合同条款及格式”规定</w:t>
            </w:r>
          </w:p>
        </w:tc>
      </w:tr>
      <w:tr w14:paraId="49992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trPr>
        <w:tc>
          <w:tcPr>
            <w:tcW w:w="690" w:type="dxa"/>
            <w:vMerge w:val="continue"/>
            <w:vAlign w:val="center"/>
          </w:tcPr>
          <w:p w14:paraId="221AACB2">
            <w:pPr>
              <w:spacing w:after="0" w:line="300" w:lineRule="exact"/>
              <w:jc w:val="center"/>
              <w:rPr>
                <w:rFonts w:hint="eastAsia" w:asciiTheme="minorEastAsia" w:hAnsiTheme="minorEastAsia" w:eastAsiaTheme="minorEastAsia" w:cstheme="minorEastAsia"/>
                <w:color w:val="auto"/>
                <w:sz w:val="21"/>
                <w:szCs w:val="21"/>
                <w:highlight w:val="none"/>
              </w:rPr>
            </w:pPr>
          </w:p>
        </w:tc>
        <w:tc>
          <w:tcPr>
            <w:tcW w:w="1176" w:type="dxa"/>
            <w:vMerge w:val="continue"/>
            <w:vAlign w:val="center"/>
          </w:tcPr>
          <w:p w14:paraId="54A5EB92">
            <w:pPr>
              <w:spacing w:after="0" w:line="300" w:lineRule="exact"/>
              <w:jc w:val="center"/>
              <w:rPr>
                <w:rFonts w:hint="eastAsia" w:asciiTheme="minorEastAsia" w:hAnsiTheme="minorEastAsia" w:eastAsiaTheme="minorEastAsia" w:cstheme="minorEastAsia"/>
                <w:color w:val="auto"/>
                <w:sz w:val="21"/>
                <w:szCs w:val="21"/>
                <w:highlight w:val="none"/>
                <w:lang w:val="en-US" w:eastAsia="zh-CN"/>
              </w:rPr>
            </w:pPr>
          </w:p>
        </w:tc>
        <w:tc>
          <w:tcPr>
            <w:tcW w:w="2602" w:type="dxa"/>
            <w:vAlign w:val="center"/>
          </w:tcPr>
          <w:p w14:paraId="0B319CF3">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其他要求</w:t>
            </w:r>
          </w:p>
        </w:tc>
        <w:tc>
          <w:tcPr>
            <w:tcW w:w="6279" w:type="dxa"/>
            <w:vAlign w:val="center"/>
          </w:tcPr>
          <w:p w14:paraId="788273A6">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1.竞争性磋商响应文件没有采购人不能接受的条件；</w:t>
            </w:r>
          </w:p>
          <w:p w14:paraId="359A3FAE">
            <w:pPr>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2.不符合法律、法规和竞争性磋商文件中规定的其他要求的。</w:t>
            </w:r>
          </w:p>
        </w:tc>
      </w:tr>
    </w:tbl>
    <w:p w14:paraId="3289DB0F">
      <w:pPr>
        <w:pStyle w:val="14"/>
        <w:jc w:val="left"/>
        <w:rPr>
          <w:rFonts w:hint="eastAsia"/>
        </w:rPr>
      </w:pPr>
    </w:p>
    <w:p w14:paraId="12FA608D">
      <w:pPr>
        <w:pStyle w:val="14"/>
        <w:rPr>
          <w:rFonts w:hint="eastAsia"/>
        </w:rPr>
      </w:pPr>
    </w:p>
    <w:p w14:paraId="56E87D70">
      <w:pPr>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磋商评审办法</w:t>
      </w:r>
      <w:bookmarkEnd w:id="119"/>
    </w:p>
    <w:tbl>
      <w:tblPr>
        <w:tblStyle w:val="62"/>
        <w:tblpPr w:leftFromText="180" w:rightFromText="180" w:vertAnchor="text" w:horzAnchor="page" w:tblpXSpec="center" w:tblpY="658"/>
        <w:tblOverlap w:val="never"/>
        <w:tblW w:w="10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39"/>
        <w:gridCol w:w="661"/>
        <w:gridCol w:w="2236"/>
        <w:gridCol w:w="7054"/>
      </w:tblGrid>
      <w:tr w14:paraId="352F7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7" w:hRule="atLeast"/>
          <w:jc w:val="center"/>
        </w:trPr>
        <w:tc>
          <w:tcPr>
            <w:tcW w:w="10390" w:type="dxa"/>
            <w:gridSpan w:val="4"/>
            <w:shd w:val="clear" w:color="auto" w:fill="auto"/>
            <w:vAlign w:val="center"/>
          </w:tcPr>
          <w:p w14:paraId="3908C957">
            <w:pPr>
              <w:spacing w:after="0" w:line="300" w:lineRule="exact"/>
              <w:jc w:val="center"/>
              <w:rPr>
                <w:rFonts w:ascii="宋体" w:hAnsi="宋体" w:eastAsia="宋体" w:cs="Times New Roman"/>
                <w:color w:val="auto"/>
                <w:sz w:val="21"/>
                <w:szCs w:val="21"/>
                <w:shd w:val="clear" w:color="auto" w:fill="auto"/>
              </w:rPr>
            </w:pPr>
            <w:bookmarkStart w:id="121" w:name="_Toc530733564"/>
            <w:bookmarkStart w:id="122" w:name="_Toc525207134"/>
            <w:r>
              <w:rPr>
                <w:rFonts w:hint="eastAsia" w:ascii="宋体" w:hAnsi="宋体" w:eastAsia="宋体" w:cs="Times New Roman"/>
                <w:b/>
                <w:bCs/>
                <w:color w:val="auto"/>
                <w:sz w:val="21"/>
                <w:szCs w:val="21"/>
                <w:shd w:val="clear" w:color="auto" w:fill="auto"/>
              </w:rPr>
              <w:t>分值构成：总分（100分）=</w:t>
            </w:r>
            <w:r>
              <w:rPr>
                <w:rFonts w:hint="eastAsia" w:ascii="宋体" w:hAnsi="宋体" w:eastAsia="宋体" w:cs="Times New Roman"/>
                <w:b/>
                <w:bCs/>
                <w:color w:val="auto"/>
                <w:sz w:val="21"/>
                <w:szCs w:val="21"/>
                <w:shd w:val="clear" w:color="auto" w:fill="auto"/>
                <w:lang w:val="en-US" w:eastAsia="zh-CN"/>
              </w:rPr>
              <w:t>报价部分+</w:t>
            </w:r>
            <w:r>
              <w:rPr>
                <w:rFonts w:hint="eastAsia" w:ascii="宋体" w:hAnsi="宋体" w:eastAsia="宋体" w:cs="Times New Roman"/>
                <w:b/>
                <w:bCs/>
                <w:color w:val="auto"/>
                <w:sz w:val="21"/>
                <w:szCs w:val="21"/>
                <w:shd w:val="clear" w:color="auto" w:fill="auto"/>
              </w:rPr>
              <w:t>商务部分+技术部分</w:t>
            </w:r>
          </w:p>
        </w:tc>
      </w:tr>
      <w:tr w14:paraId="3076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3336" w:type="dxa"/>
            <w:gridSpan w:val="3"/>
            <w:shd w:val="clear" w:color="auto" w:fill="auto"/>
            <w:vAlign w:val="center"/>
          </w:tcPr>
          <w:p w14:paraId="773407C8">
            <w:pPr>
              <w:spacing w:after="0" w:line="300" w:lineRule="exact"/>
              <w:jc w:val="center"/>
              <w:rPr>
                <w:rFonts w:ascii="宋体" w:hAnsi="宋体" w:eastAsia="宋体" w:cs="Times New Roman"/>
                <w:color w:val="auto"/>
                <w:sz w:val="21"/>
                <w:szCs w:val="21"/>
                <w:shd w:val="clear" w:color="auto" w:fill="auto"/>
              </w:rPr>
            </w:pPr>
            <w:r>
              <w:rPr>
                <w:rFonts w:hint="eastAsia" w:ascii="宋体" w:hAnsi="宋体" w:eastAsia="宋体" w:cs="Times New Roman"/>
                <w:color w:val="auto"/>
                <w:sz w:val="21"/>
                <w:szCs w:val="21"/>
                <w:shd w:val="clear" w:color="auto" w:fill="auto"/>
                <w:lang w:val="en-US" w:eastAsia="zh-CN"/>
              </w:rPr>
              <w:t>报价</w:t>
            </w:r>
            <w:r>
              <w:rPr>
                <w:rFonts w:hint="eastAsia" w:ascii="宋体" w:hAnsi="宋体" w:eastAsia="宋体" w:cs="Times New Roman"/>
                <w:color w:val="auto"/>
                <w:sz w:val="21"/>
                <w:szCs w:val="21"/>
                <w:shd w:val="clear" w:color="auto" w:fill="auto"/>
              </w:rPr>
              <w:t>部分（</w:t>
            </w:r>
            <w:r>
              <w:rPr>
                <w:rFonts w:hint="eastAsia" w:ascii="宋体" w:hAnsi="宋体" w:eastAsia="宋体" w:cs="Times New Roman"/>
                <w:color w:val="auto"/>
                <w:sz w:val="21"/>
                <w:szCs w:val="21"/>
                <w:shd w:val="clear" w:color="auto" w:fill="auto"/>
                <w:lang w:val="en-US" w:eastAsia="zh-CN"/>
              </w:rPr>
              <w:t>10</w:t>
            </w:r>
            <w:r>
              <w:rPr>
                <w:rFonts w:hint="eastAsia" w:ascii="宋体" w:hAnsi="宋体" w:eastAsia="宋体" w:cs="Times New Roman"/>
                <w:color w:val="auto"/>
                <w:sz w:val="21"/>
                <w:szCs w:val="21"/>
                <w:shd w:val="clear" w:color="auto" w:fill="auto"/>
              </w:rPr>
              <w:t>分）</w:t>
            </w:r>
          </w:p>
        </w:tc>
        <w:tc>
          <w:tcPr>
            <w:tcW w:w="7054" w:type="dxa"/>
            <w:shd w:val="clear" w:color="auto" w:fill="auto"/>
            <w:vAlign w:val="center"/>
          </w:tcPr>
          <w:p w14:paraId="22DC4135">
            <w:pPr>
              <w:spacing w:after="0" w:line="300" w:lineRule="exact"/>
              <w:rPr>
                <w:rFonts w:ascii="宋体" w:hAnsi="宋体" w:eastAsia="宋体" w:cs="Times New Roman"/>
                <w:color w:val="auto"/>
                <w:sz w:val="21"/>
                <w:szCs w:val="21"/>
                <w:shd w:val="clear" w:color="auto" w:fill="auto"/>
              </w:rPr>
            </w:pPr>
            <w:r>
              <w:rPr>
                <w:rFonts w:hint="eastAsia" w:ascii="宋体" w:hAnsi="宋体" w:eastAsia="宋体" w:cs="Times New Roman"/>
                <w:color w:val="auto"/>
                <w:sz w:val="21"/>
                <w:szCs w:val="21"/>
                <w:shd w:val="clear" w:color="auto" w:fill="auto"/>
              </w:rPr>
              <w:t>磋商报价分值占总分值的比重(即权值)：</w:t>
            </w:r>
            <w:r>
              <w:rPr>
                <w:rFonts w:hint="eastAsia" w:ascii="宋体" w:hAnsi="宋体" w:eastAsia="宋体" w:cs="Times New Roman"/>
                <w:color w:val="auto"/>
                <w:sz w:val="21"/>
                <w:szCs w:val="21"/>
                <w:shd w:val="clear" w:color="auto" w:fill="auto"/>
                <w:lang w:val="en-US" w:eastAsia="zh-CN"/>
              </w:rPr>
              <w:t>10</w:t>
            </w:r>
            <w:r>
              <w:rPr>
                <w:rFonts w:hint="eastAsia" w:ascii="宋体" w:hAnsi="宋体" w:eastAsia="宋体" w:cs="Times New Roman"/>
                <w:color w:val="auto"/>
                <w:sz w:val="21"/>
                <w:szCs w:val="21"/>
                <w:shd w:val="clear" w:color="auto" w:fill="auto"/>
              </w:rPr>
              <w:t>%</w:t>
            </w:r>
          </w:p>
        </w:tc>
      </w:tr>
      <w:tr w14:paraId="7210C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3336" w:type="dxa"/>
            <w:gridSpan w:val="3"/>
            <w:shd w:val="clear" w:color="auto" w:fill="auto"/>
            <w:vAlign w:val="center"/>
          </w:tcPr>
          <w:p w14:paraId="1EF55160">
            <w:pPr>
              <w:spacing w:after="0" w:line="300" w:lineRule="exact"/>
              <w:jc w:val="center"/>
              <w:rPr>
                <w:rFonts w:hint="default" w:ascii="宋体" w:hAnsi="宋体" w:eastAsia="宋体" w:cs="Times New Roman"/>
                <w:color w:val="auto"/>
                <w:sz w:val="21"/>
                <w:szCs w:val="21"/>
                <w:shd w:val="clear" w:color="auto" w:fill="auto"/>
                <w:lang w:val="en-US" w:eastAsia="zh-CN"/>
              </w:rPr>
            </w:pPr>
            <w:r>
              <w:rPr>
                <w:rFonts w:hint="eastAsia" w:ascii="宋体" w:hAnsi="宋体" w:eastAsia="宋体" w:cs="Times New Roman"/>
                <w:color w:val="auto"/>
                <w:sz w:val="21"/>
                <w:szCs w:val="21"/>
                <w:shd w:val="clear" w:color="auto" w:fill="auto"/>
                <w:lang w:val="en-US" w:eastAsia="zh-CN"/>
              </w:rPr>
              <w:t>商务部分（5分）</w:t>
            </w:r>
          </w:p>
        </w:tc>
        <w:tc>
          <w:tcPr>
            <w:tcW w:w="7054" w:type="dxa"/>
            <w:shd w:val="clear" w:color="auto" w:fill="auto"/>
            <w:vAlign w:val="center"/>
          </w:tcPr>
          <w:p w14:paraId="5E9364CA">
            <w:pPr>
              <w:spacing w:after="0" w:line="300" w:lineRule="exact"/>
              <w:rPr>
                <w:rFonts w:hint="eastAsia" w:ascii="宋体" w:hAnsi="宋体" w:eastAsia="宋体" w:cs="Times New Roman"/>
                <w:color w:val="auto"/>
                <w:sz w:val="21"/>
                <w:szCs w:val="21"/>
                <w:shd w:val="clear" w:color="auto" w:fill="auto"/>
              </w:rPr>
            </w:pPr>
            <w:r>
              <w:rPr>
                <w:rFonts w:hint="eastAsia" w:ascii="宋体" w:hAnsi="宋体" w:eastAsia="宋体" w:cs="Times New Roman"/>
                <w:color w:val="auto"/>
                <w:sz w:val="21"/>
                <w:szCs w:val="21"/>
                <w:shd w:val="clear" w:color="auto" w:fill="auto"/>
                <w:lang w:eastAsia="zh-CN"/>
              </w:rPr>
              <w:t>商务部分</w:t>
            </w:r>
            <w:r>
              <w:rPr>
                <w:rFonts w:hint="eastAsia" w:ascii="宋体" w:hAnsi="宋体" w:eastAsia="宋体" w:cs="Times New Roman"/>
                <w:color w:val="auto"/>
                <w:sz w:val="21"/>
                <w:szCs w:val="21"/>
                <w:shd w:val="clear" w:color="auto" w:fill="auto"/>
              </w:rPr>
              <w:t>分值占总分值的比重(即权值)：</w:t>
            </w:r>
            <w:r>
              <w:rPr>
                <w:rFonts w:hint="eastAsia" w:ascii="宋体" w:hAnsi="宋体" w:eastAsia="宋体" w:cs="Times New Roman"/>
                <w:color w:val="auto"/>
                <w:sz w:val="21"/>
                <w:szCs w:val="21"/>
                <w:shd w:val="clear" w:color="auto" w:fill="auto"/>
                <w:lang w:val="en-US" w:eastAsia="zh-CN"/>
              </w:rPr>
              <w:t>5</w:t>
            </w:r>
            <w:r>
              <w:rPr>
                <w:rFonts w:hint="eastAsia" w:ascii="宋体" w:hAnsi="宋体" w:eastAsia="宋体" w:cs="Times New Roman"/>
                <w:color w:val="auto"/>
                <w:sz w:val="21"/>
                <w:szCs w:val="21"/>
                <w:shd w:val="clear" w:color="auto" w:fill="auto"/>
              </w:rPr>
              <w:t>%</w:t>
            </w:r>
          </w:p>
        </w:tc>
      </w:tr>
      <w:tr w14:paraId="3586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3336" w:type="dxa"/>
            <w:gridSpan w:val="3"/>
            <w:shd w:val="clear" w:color="auto" w:fill="auto"/>
            <w:vAlign w:val="center"/>
          </w:tcPr>
          <w:p w14:paraId="3621A6C6">
            <w:pPr>
              <w:spacing w:after="0" w:line="300" w:lineRule="exact"/>
              <w:jc w:val="center"/>
              <w:rPr>
                <w:rFonts w:ascii="宋体" w:hAnsi="宋体" w:eastAsia="宋体" w:cs="Times New Roman"/>
                <w:color w:val="auto"/>
                <w:sz w:val="21"/>
                <w:szCs w:val="21"/>
                <w:shd w:val="clear" w:color="auto" w:fill="auto"/>
              </w:rPr>
            </w:pPr>
            <w:r>
              <w:rPr>
                <w:rFonts w:hint="eastAsia" w:ascii="宋体" w:hAnsi="宋体" w:eastAsia="宋体" w:cs="Times New Roman"/>
                <w:color w:val="auto"/>
                <w:sz w:val="21"/>
                <w:szCs w:val="21"/>
                <w:shd w:val="clear" w:color="auto" w:fill="auto"/>
              </w:rPr>
              <w:t>技术部分（</w:t>
            </w:r>
            <w:r>
              <w:rPr>
                <w:rFonts w:hint="eastAsia" w:ascii="宋体" w:hAnsi="宋体" w:eastAsia="宋体" w:cs="Times New Roman"/>
                <w:color w:val="auto"/>
                <w:sz w:val="21"/>
                <w:szCs w:val="21"/>
                <w:shd w:val="clear" w:color="auto" w:fill="auto"/>
                <w:lang w:val="en-US" w:eastAsia="zh-CN"/>
              </w:rPr>
              <w:t>85</w:t>
            </w:r>
            <w:r>
              <w:rPr>
                <w:rFonts w:hint="eastAsia" w:ascii="宋体" w:hAnsi="宋体" w:eastAsia="宋体" w:cs="Times New Roman"/>
                <w:color w:val="auto"/>
                <w:sz w:val="21"/>
                <w:szCs w:val="21"/>
                <w:shd w:val="clear" w:color="auto" w:fill="auto"/>
              </w:rPr>
              <w:t>分）</w:t>
            </w:r>
          </w:p>
        </w:tc>
        <w:tc>
          <w:tcPr>
            <w:tcW w:w="7054" w:type="dxa"/>
            <w:shd w:val="clear" w:color="auto" w:fill="auto"/>
            <w:vAlign w:val="center"/>
          </w:tcPr>
          <w:p w14:paraId="483BF98C">
            <w:pPr>
              <w:spacing w:after="0" w:line="320" w:lineRule="exact"/>
              <w:rPr>
                <w:rFonts w:ascii="宋体" w:hAnsi="宋体" w:eastAsia="宋体" w:cs="Times New Roman"/>
                <w:color w:val="auto"/>
                <w:sz w:val="21"/>
                <w:szCs w:val="21"/>
                <w:shd w:val="clear" w:color="auto" w:fill="auto"/>
              </w:rPr>
            </w:pPr>
            <w:r>
              <w:rPr>
                <w:rFonts w:hint="eastAsia" w:ascii="宋体" w:hAnsi="宋体" w:eastAsia="宋体" w:cs="Times New Roman"/>
                <w:color w:val="auto"/>
                <w:sz w:val="21"/>
                <w:szCs w:val="21"/>
                <w:shd w:val="clear" w:color="auto" w:fill="auto"/>
              </w:rPr>
              <w:t>技术部分分值占总分值的比重(即权值)：</w:t>
            </w:r>
            <w:r>
              <w:rPr>
                <w:rFonts w:hint="eastAsia" w:ascii="宋体" w:hAnsi="宋体" w:eastAsia="宋体" w:cs="Times New Roman"/>
                <w:color w:val="auto"/>
                <w:sz w:val="21"/>
                <w:szCs w:val="21"/>
                <w:shd w:val="clear" w:color="auto" w:fill="auto"/>
                <w:lang w:val="en-US" w:eastAsia="zh-CN"/>
              </w:rPr>
              <w:t>85</w:t>
            </w:r>
            <w:r>
              <w:rPr>
                <w:rFonts w:hint="eastAsia" w:ascii="宋体" w:hAnsi="宋体" w:eastAsia="宋体" w:cs="Times New Roman"/>
                <w:color w:val="auto"/>
                <w:sz w:val="21"/>
                <w:szCs w:val="21"/>
                <w:shd w:val="clear" w:color="auto" w:fill="auto"/>
              </w:rPr>
              <w:t>%</w:t>
            </w:r>
          </w:p>
        </w:tc>
      </w:tr>
      <w:tr w14:paraId="233D2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5" w:hRule="atLeast"/>
          <w:jc w:val="center"/>
        </w:trPr>
        <w:tc>
          <w:tcPr>
            <w:tcW w:w="10390" w:type="dxa"/>
            <w:gridSpan w:val="4"/>
            <w:shd w:val="clear" w:color="auto" w:fill="auto"/>
            <w:vAlign w:val="center"/>
          </w:tcPr>
          <w:p w14:paraId="0FB46564">
            <w:pPr>
              <w:spacing w:after="0" w:line="320" w:lineRule="exact"/>
              <w:jc w:val="center"/>
              <w:rPr>
                <w:rFonts w:ascii="宋体" w:hAnsi="宋体" w:eastAsia="宋体" w:cs="Times New Roman"/>
                <w:color w:val="auto"/>
                <w:sz w:val="21"/>
                <w:szCs w:val="21"/>
                <w:shd w:val="clear" w:color="auto" w:fill="auto"/>
              </w:rPr>
            </w:pPr>
            <w:r>
              <w:rPr>
                <w:rFonts w:hint="eastAsia" w:ascii="宋体" w:hAnsi="宋体" w:eastAsia="宋体" w:cs="Times New Roman"/>
                <w:b/>
                <w:bCs/>
                <w:color w:val="auto"/>
                <w:sz w:val="21"/>
                <w:szCs w:val="21"/>
                <w:shd w:val="clear" w:color="auto" w:fill="auto"/>
              </w:rPr>
              <w:t>详细评审办法</w:t>
            </w:r>
          </w:p>
        </w:tc>
      </w:tr>
      <w:tr w14:paraId="0E509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3" w:hRule="atLeast"/>
          <w:jc w:val="center"/>
        </w:trPr>
        <w:tc>
          <w:tcPr>
            <w:tcW w:w="439" w:type="dxa"/>
            <w:shd w:val="clear" w:color="auto" w:fill="auto"/>
            <w:vAlign w:val="center"/>
          </w:tcPr>
          <w:p w14:paraId="11697FAA">
            <w:pPr>
              <w:spacing w:after="0" w:line="300" w:lineRule="exact"/>
              <w:jc w:val="center"/>
              <w:rPr>
                <w:rFonts w:ascii="宋体" w:hAnsi="宋体" w:eastAsia="宋体" w:cs="Times New Roman"/>
                <w:color w:val="auto"/>
                <w:sz w:val="21"/>
                <w:szCs w:val="21"/>
                <w:shd w:val="clear" w:color="auto" w:fill="auto"/>
              </w:rPr>
            </w:pPr>
          </w:p>
        </w:tc>
        <w:tc>
          <w:tcPr>
            <w:tcW w:w="661" w:type="dxa"/>
            <w:shd w:val="clear" w:color="auto" w:fill="auto"/>
            <w:vAlign w:val="center"/>
          </w:tcPr>
          <w:p w14:paraId="0E048F61">
            <w:pPr>
              <w:spacing w:after="0" w:line="300" w:lineRule="exact"/>
              <w:jc w:val="center"/>
              <w:rPr>
                <w:rFonts w:ascii="宋体" w:hAnsi="宋体" w:eastAsia="宋体" w:cs="Times New Roman"/>
                <w:color w:val="auto"/>
                <w:sz w:val="21"/>
                <w:szCs w:val="21"/>
                <w:shd w:val="clear" w:color="auto" w:fill="auto"/>
              </w:rPr>
            </w:pPr>
            <w:r>
              <w:rPr>
                <w:rFonts w:hint="eastAsia" w:ascii="宋体" w:hAnsi="宋体" w:eastAsia="宋体" w:cs="Times New Roman"/>
                <w:color w:val="auto"/>
                <w:sz w:val="21"/>
                <w:szCs w:val="21"/>
                <w:shd w:val="clear" w:color="auto" w:fill="auto"/>
              </w:rPr>
              <w:t>序号</w:t>
            </w:r>
          </w:p>
        </w:tc>
        <w:tc>
          <w:tcPr>
            <w:tcW w:w="2236" w:type="dxa"/>
            <w:shd w:val="clear" w:color="auto" w:fill="auto"/>
            <w:vAlign w:val="center"/>
          </w:tcPr>
          <w:p w14:paraId="794771D4">
            <w:pPr>
              <w:spacing w:after="0" w:line="300" w:lineRule="exact"/>
              <w:jc w:val="center"/>
              <w:rPr>
                <w:rFonts w:ascii="宋体" w:hAnsi="宋体" w:eastAsia="宋体" w:cs="Times New Roman"/>
                <w:color w:val="auto"/>
                <w:sz w:val="21"/>
                <w:szCs w:val="21"/>
                <w:shd w:val="clear" w:color="auto" w:fill="auto"/>
              </w:rPr>
            </w:pPr>
            <w:r>
              <w:rPr>
                <w:rFonts w:hint="eastAsia" w:ascii="宋体" w:hAnsi="宋体" w:eastAsia="宋体" w:cs="Times New Roman"/>
                <w:color w:val="auto"/>
                <w:sz w:val="21"/>
                <w:szCs w:val="21"/>
                <w:shd w:val="clear" w:color="auto" w:fill="auto"/>
              </w:rPr>
              <w:t>评审因素</w:t>
            </w:r>
          </w:p>
        </w:tc>
        <w:tc>
          <w:tcPr>
            <w:tcW w:w="7054" w:type="dxa"/>
            <w:shd w:val="clear" w:color="auto" w:fill="auto"/>
            <w:vAlign w:val="center"/>
          </w:tcPr>
          <w:p w14:paraId="159A49D1">
            <w:pPr>
              <w:spacing w:after="0" w:line="300" w:lineRule="exact"/>
              <w:jc w:val="center"/>
              <w:rPr>
                <w:rFonts w:ascii="宋体" w:hAnsi="宋体" w:eastAsia="宋体" w:cs="Times New Roman"/>
                <w:color w:val="auto"/>
                <w:sz w:val="21"/>
                <w:szCs w:val="21"/>
                <w:shd w:val="clear" w:color="auto" w:fill="auto"/>
              </w:rPr>
            </w:pPr>
            <w:r>
              <w:rPr>
                <w:rFonts w:hint="eastAsia" w:ascii="宋体" w:hAnsi="宋体" w:eastAsia="宋体" w:cs="Times New Roman"/>
                <w:color w:val="auto"/>
                <w:sz w:val="21"/>
                <w:szCs w:val="21"/>
                <w:shd w:val="clear" w:color="auto" w:fill="auto"/>
              </w:rPr>
              <w:t>评分细则</w:t>
            </w:r>
          </w:p>
        </w:tc>
      </w:tr>
      <w:tr w14:paraId="35BAB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25" w:hRule="atLeast"/>
          <w:jc w:val="center"/>
        </w:trPr>
        <w:tc>
          <w:tcPr>
            <w:tcW w:w="439" w:type="dxa"/>
            <w:shd w:val="clear" w:color="auto" w:fill="auto"/>
            <w:vAlign w:val="center"/>
          </w:tcPr>
          <w:p w14:paraId="2BEC65EA">
            <w:pPr>
              <w:spacing w:after="0" w:line="300" w:lineRule="exact"/>
              <w:jc w:val="center"/>
              <w:rPr>
                <w:rFonts w:ascii="宋体" w:hAnsi="宋体" w:eastAsia="宋体" w:cs="Times New Roman"/>
                <w:color w:val="auto"/>
                <w:sz w:val="21"/>
                <w:szCs w:val="21"/>
                <w:highlight w:val="none"/>
                <w:shd w:val="clear" w:color="auto" w:fill="auto"/>
              </w:rPr>
            </w:pPr>
            <w:r>
              <w:rPr>
                <w:rFonts w:hint="eastAsia" w:ascii="宋体" w:hAnsi="宋体" w:eastAsia="宋体" w:cs="Times New Roman"/>
                <w:color w:val="auto"/>
                <w:sz w:val="21"/>
                <w:szCs w:val="21"/>
                <w:highlight w:val="none"/>
                <w:shd w:val="clear" w:color="auto" w:fill="auto"/>
                <w:lang w:val="en-US" w:eastAsia="zh-CN"/>
              </w:rPr>
              <w:t>技术</w:t>
            </w:r>
            <w:r>
              <w:rPr>
                <w:rFonts w:hint="eastAsia" w:ascii="宋体" w:hAnsi="宋体" w:eastAsia="宋体" w:cs="Times New Roman"/>
                <w:color w:val="auto"/>
                <w:sz w:val="21"/>
                <w:szCs w:val="21"/>
                <w:highlight w:val="none"/>
                <w:shd w:val="clear" w:color="auto" w:fill="auto"/>
              </w:rPr>
              <w:t>部分</w:t>
            </w:r>
          </w:p>
        </w:tc>
        <w:tc>
          <w:tcPr>
            <w:tcW w:w="661" w:type="dxa"/>
            <w:shd w:val="clear" w:color="auto" w:fill="auto"/>
            <w:vAlign w:val="center"/>
          </w:tcPr>
          <w:p w14:paraId="5B802BBC">
            <w:pPr>
              <w:spacing w:after="0" w:line="300" w:lineRule="exact"/>
              <w:jc w:val="center"/>
              <w:rPr>
                <w:rFonts w:ascii="宋体" w:hAnsi="宋体" w:eastAsia="宋体" w:cs="Times New Roman"/>
                <w:color w:val="auto"/>
                <w:sz w:val="21"/>
                <w:szCs w:val="21"/>
                <w:highlight w:val="none"/>
                <w:shd w:val="clear" w:color="auto" w:fill="auto"/>
              </w:rPr>
            </w:pPr>
            <w:r>
              <w:rPr>
                <w:rFonts w:hint="eastAsia" w:ascii="宋体" w:hAnsi="宋体" w:eastAsia="宋体" w:cs="Times New Roman"/>
                <w:color w:val="auto"/>
                <w:sz w:val="21"/>
                <w:szCs w:val="21"/>
                <w:highlight w:val="none"/>
                <w:shd w:val="clear" w:color="auto" w:fill="auto"/>
              </w:rPr>
              <w:t>1</w:t>
            </w:r>
          </w:p>
        </w:tc>
        <w:tc>
          <w:tcPr>
            <w:tcW w:w="2236" w:type="dxa"/>
            <w:shd w:val="clear" w:color="auto" w:fill="auto"/>
            <w:vAlign w:val="center"/>
          </w:tcPr>
          <w:p w14:paraId="17BFAEF3">
            <w:pPr>
              <w:spacing w:after="0" w:line="300" w:lineRule="exact"/>
              <w:jc w:val="center"/>
              <w:rPr>
                <w:rFonts w:hint="eastAsia" w:ascii="宋体" w:hAnsi="宋体" w:eastAsia="宋体" w:cs="宋体"/>
                <w:b/>
                <w:bCs/>
                <w:color w:val="auto"/>
                <w:sz w:val="21"/>
                <w:szCs w:val="21"/>
                <w:highlight w:val="none"/>
                <w:shd w:val="clear" w:color="auto" w:fill="auto"/>
                <w:lang w:val="zh-CN" w:eastAsia="zh-CN"/>
              </w:rPr>
            </w:pPr>
            <w:r>
              <w:rPr>
                <w:rFonts w:hint="eastAsia" w:ascii="宋体" w:hAnsi="宋体" w:eastAsia="宋体" w:cs="宋体"/>
                <w:b/>
                <w:bCs/>
                <w:color w:val="auto"/>
                <w:sz w:val="21"/>
                <w:szCs w:val="21"/>
                <w:highlight w:val="none"/>
                <w:shd w:val="clear" w:color="auto" w:fill="auto"/>
                <w:lang w:val="zh-CN" w:eastAsia="zh-CN"/>
              </w:rPr>
              <w:t>磋商报价</w:t>
            </w:r>
          </w:p>
          <w:p w14:paraId="4DE8DF39">
            <w:pPr>
              <w:spacing w:after="0" w:line="300" w:lineRule="exact"/>
              <w:jc w:val="center"/>
              <w:rPr>
                <w:rFonts w:ascii="宋体" w:hAnsi="宋体" w:eastAsia="宋体" w:cs="Times New Roman"/>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val="zh-CN" w:eastAsia="zh-CN"/>
              </w:rPr>
              <w:t>（</w:t>
            </w:r>
            <w:r>
              <w:rPr>
                <w:rFonts w:hint="eastAsia" w:ascii="宋体" w:hAnsi="宋体" w:eastAsia="宋体" w:cs="宋体"/>
                <w:b/>
                <w:bCs/>
                <w:color w:val="auto"/>
                <w:sz w:val="21"/>
                <w:szCs w:val="21"/>
                <w:highlight w:val="none"/>
                <w:shd w:val="clear" w:color="auto" w:fill="auto"/>
                <w:lang w:val="en-US" w:eastAsia="zh-CN"/>
              </w:rPr>
              <w:t>10</w:t>
            </w:r>
            <w:r>
              <w:rPr>
                <w:rFonts w:hint="eastAsia" w:ascii="宋体" w:hAnsi="宋体" w:eastAsia="宋体" w:cs="宋体"/>
                <w:b/>
                <w:bCs/>
                <w:color w:val="auto"/>
                <w:sz w:val="21"/>
                <w:szCs w:val="21"/>
                <w:highlight w:val="none"/>
                <w:shd w:val="clear" w:color="auto" w:fill="auto"/>
                <w:lang w:val="zh-CN" w:eastAsia="zh-CN"/>
              </w:rPr>
              <w:t>分）</w:t>
            </w:r>
          </w:p>
        </w:tc>
        <w:tc>
          <w:tcPr>
            <w:tcW w:w="7054" w:type="dxa"/>
            <w:shd w:val="clear" w:color="auto" w:fill="auto"/>
            <w:vAlign w:val="center"/>
          </w:tcPr>
          <w:p w14:paraId="620BBCFD">
            <w:pPr>
              <w:spacing w:after="0" w:line="3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通过初步评审的所有磋商申请人最终报价中最低报价为基准价，其价格分为满分。</w:t>
            </w:r>
          </w:p>
          <w:p w14:paraId="116E1BC5">
            <w:pPr>
              <w:spacing w:after="0" w:line="3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最终报价得分=(评标基准价／最后报价)×</w:t>
            </w:r>
            <w:r>
              <w:rPr>
                <w:rFonts w:hint="eastAsia" w:ascii="宋体" w:hAnsi="宋体" w:eastAsia="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rPr>
              <w:t>×100</w:t>
            </w:r>
          </w:p>
          <w:p w14:paraId="1BB75B8D">
            <w:pPr>
              <w:spacing w:after="0" w:line="3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w:t>
            </w:r>
          </w:p>
          <w:p w14:paraId="1A6616B4">
            <w:pPr>
              <w:spacing w:after="0" w:line="3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fldChar w:fldCharType="begin"/>
            </w:r>
            <w:r>
              <w:rPr>
                <w:rFonts w:hint="eastAsia" w:ascii="宋体" w:hAnsi="宋体" w:eastAsia="宋体" w:cs="宋体"/>
                <w:color w:val="auto"/>
                <w:sz w:val="21"/>
                <w:szCs w:val="21"/>
                <w:highlight w:val="none"/>
                <w:shd w:val="clear" w:color="auto" w:fill="auto"/>
              </w:rPr>
              <w:instrText xml:space="preserve">= 1 \* GB3</w:instrText>
            </w:r>
            <w:r>
              <w:rPr>
                <w:rFonts w:hint="eastAsia" w:ascii="宋体" w:hAnsi="宋体" w:eastAsia="宋体" w:cs="宋体"/>
                <w:color w:val="auto"/>
                <w:sz w:val="21"/>
                <w:szCs w:val="21"/>
                <w:highlight w:val="none"/>
                <w:shd w:val="clear" w:color="auto" w:fill="auto"/>
              </w:rPr>
              <w:fldChar w:fldCharType="separate"/>
            </w:r>
            <w:r>
              <w:rPr>
                <w:rFonts w:hint="eastAsia" w:ascii="宋体" w:hAnsi="宋体" w:eastAsia="宋体" w:cs="宋体"/>
                <w:color w:val="auto"/>
                <w:sz w:val="21"/>
                <w:szCs w:val="21"/>
                <w:highlight w:val="none"/>
                <w:shd w:val="clear" w:color="auto" w:fill="auto"/>
              </w:rPr>
              <w:t>①</w:t>
            </w:r>
            <w:r>
              <w:rPr>
                <w:rFonts w:hint="eastAsia" w:ascii="宋体" w:hAnsi="宋体" w:eastAsia="宋体" w:cs="宋体"/>
                <w:color w:val="auto"/>
                <w:sz w:val="21"/>
                <w:szCs w:val="21"/>
                <w:highlight w:val="none"/>
                <w:shd w:val="clear" w:color="auto" w:fill="auto"/>
              </w:rPr>
              <w:fldChar w:fldCharType="end"/>
            </w:r>
            <w:r>
              <w:rPr>
                <w:rFonts w:hint="eastAsia" w:ascii="宋体" w:hAnsi="宋体" w:eastAsia="宋体" w:cs="宋体"/>
                <w:color w:val="auto"/>
                <w:sz w:val="21"/>
                <w:szCs w:val="21"/>
                <w:highlight w:val="none"/>
                <w:shd w:val="clear" w:color="auto" w:fill="auto"/>
              </w:rPr>
              <w:t>评审过程中，不得去掉报价中的最高报价和最低报价，计算到小数点后两位；</w:t>
            </w:r>
          </w:p>
          <w:p w14:paraId="1076B441">
            <w:pPr>
              <w:spacing w:after="0" w:line="300" w:lineRule="exact"/>
              <w:rPr>
                <w:rFonts w:ascii="宋体" w:hAnsi="宋体" w:eastAsia="宋体" w:cs="Times New Roman"/>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②因落实政府采购政策进行价格调整的，以调整后的价格计算磋商基准价和磋商报价。</w:t>
            </w:r>
          </w:p>
        </w:tc>
      </w:tr>
      <w:tr w14:paraId="7250F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2" w:hRule="atLeast"/>
          <w:jc w:val="center"/>
        </w:trPr>
        <w:tc>
          <w:tcPr>
            <w:tcW w:w="439" w:type="dxa"/>
            <w:shd w:val="clear" w:color="auto" w:fill="auto"/>
            <w:vAlign w:val="center"/>
          </w:tcPr>
          <w:p w14:paraId="646FA069">
            <w:pPr>
              <w:spacing w:after="0" w:line="300" w:lineRule="exact"/>
              <w:jc w:val="center"/>
              <w:rPr>
                <w:rFonts w:hint="default"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商务部分</w:t>
            </w:r>
          </w:p>
        </w:tc>
        <w:tc>
          <w:tcPr>
            <w:tcW w:w="661" w:type="dxa"/>
            <w:shd w:val="clear" w:color="auto" w:fill="auto"/>
            <w:vAlign w:val="center"/>
          </w:tcPr>
          <w:p w14:paraId="3198BD68">
            <w:pPr>
              <w:spacing w:after="0" w:line="300" w:lineRule="exact"/>
              <w:jc w:val="center"/>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1</w:t>
            </w:r>
          </w:p>
        </w:tc>
        <w:tc>
          <w:tcPr>
            <w:tcW w:w="2236" w:type="dxa"/>
            <w:shd w:val="clear" w:color="auto" w:fill="auto"/>
            <w:vAlign w:val="center"/>
          </w:tcPr>
          <w:p w14:paraId="06846F0F">
            <w:pPr>
              <w:spacing w:after="0" w:line="300" w:lineRule="exact"/>
              <w:jc w:val="center"/>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b/>
                <w:bCs/>
                <w:color w:val="auto"/>
                <w:sz w:val="21"/>
                <w:szCs w:val="21"/>
                <w:highlight w:val="none"/>
                <w:shd w:val="clear" w:color="auto" w:fill="auto"/>
                <w:lang w:val="zh-CN" w:eastAsia="zh-CN"/>
              </w:rPr>
              <w:t>类似项目业绩</w:t>
            </w:r>
            <w:r>
              <w:rPr>
                <w:rFonts w:hint="eastAsia" w:ascii="宋体" w:hAnsi="宋体" w:eastAsia="宋体" w:cs="宋体"/>
                <w:b/>
                <w:bCs/>
                <w:color w:val="auto"/>
                <w:sz w:val="21"/>
                <w:szCs w:val="21"/>
                <w:highlight w:val="none"/>
                <w:shd w:val="clear" w:color="auto" w:fill="auto"/>
                <w:lang w:val="en-US" w:eastAsia="zh-CN"/>
              </w:rPr>
              <w:t xml:space="preserve">     </w:t>
            </w:r>
            <w:r>
              <w:rPr>
                <w:rFonts w:hint="eastAsia" w:ascii="宋体" w:hAnsi="宋体" w:eastAsia="宋体" w:cs="宋体"/>
                <w:b/>
                <w:bCs/>
                <w:color w:val="auto"/>
                <w:sz w:val="21"/>
                <w:szCs w:val="21"/>
                <w:highlight w:val="none"/>
                <w:shd w:val="clear" w:color="auto" w:fill="auto"/>
                <w:lang w:val="zh-CN" w:eastAsia="zh-CN"/>
              </w:rPr>
              <w:t>（</w:t>
            </w:r>
            <w:r>
              <w:rPr>
                <w:rFonts w:hint="eastAsia" w:ascii="宋体" w:hAnsi="宋体" w:eastAsia="宋体" w:cs="宋体"/>
                <w:b/>
                <w:bCs/>
                <w:color w:val="auto"/>
                <w:sz w:val="21"/>
                <w:szCs w:val="21"/>
                <w:highlight w:val="none"/>
                <w:shd w:val="clear" w:color="auto" w:fill="auto"/>
                <w:lang w:val="en-US" w:eastAsia="zh-CN"/>
              </w:rPr>
              <w:t>5</w:t>
            </w:r>
            <w:r>
              <w:rPr>
                <w:rFonts w:hint="eastAsia" w:ascii="宋体" w:hAnsi="宋体" w:eastAsia="宋体" w:cs="宋体"/>
                <w:b/>
                <w:bCs/>
                <w:color w:val="auto"/>
                <w:sz w:val="21"/>
                <w:szCs w:val="21"/>
                <w:highlight w:val="none"/>
                <w:shd w:val="clear" w:color="auto" w:fill="auto"/>
                <w:lang w:val="zh-CN" w:eastAsia="zh-CN"/>
              </w:rPr>
              <w:t>分）</w:t>
            </w:r>
          </w:p>
        </w:tc>
        <w:tc>
          <w:tcPr>
            <w:tcW w:w="7054" w:type="dxa"/>
            <w:shd w:val="clear" w:color="auto" w:fill="auto"/>
            <w:vAlign w:val="top"/>
          </w:tcPr>
          <w:p w14:paraId="36EDC8D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2023年至今承担过类似项目业绩1项的可得基本分1分，每增加一项业绩加2分，本项累计最高得分5分。</w:t>
            </w:r>
          </w:p>
          <w:p w14:paraId="24BCF04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en-US" w:eastAsia="zh-CN"/>
              </w:rPr>
              <w:t>注：</w:t>
            </w:r>
            <w:r>
              <w:rPr>
                <w:rFonts w:hint="eastAsia" w:ascii="宋体" w:hAnsi="宋体" w:eastAsia="宋体" w:cs="宋体"/>
                <w:color w:val="auto"/>
                <w:sz w:val="21"/>
                <w:szCs w:val="21"/>
                <w:highlight w:val="none"/>
                <w:shd w:val="clear" w:color="auto" w:fill="auto"/>
                <w:lang w:val="zh-CN" w:eastAsia="zh-CN"/>
              </w:rPr>
              <w:t>类似项目业绩</w:t>
            </w:r>
            <w:r>
              <w:rPr>
                <w:rFonts w:hint="eastAsia" w:ascii="宋体" w:hAnsi="宋体" w:eastAsia="宋体" w:cs="宋体"/>
                <w:color w:val="auto"/>
                <w:sz w:val="21"/>
                <w:szCs w:val="21"/>
                <w:highlight w:val="none"/>
                <w:shd w:val="clear" w:color="auto" w:fill="auto"/>
                <w:lang w:val="en-US" w:eastAsia="zh-CN"/>
              </w:rPr>
              <w:t>是指近三年内服务商承担过后勤服务或物业管理服务的项目实施经验。</w:t>
            </w:r>
          </w:p>
        </w:tc>
      </w:tr>
      <w:tr w14:paraId="6457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3" w:hRule="atLeast"/>
          <w:jc w:val="center"/>
        </w:trPr>
        <w:tc>
          <w:tcPr>
            <w:tcW w:w="439" w:type="dxa"/>
            <w:vMerge w:val="restart"/>
            <w:shd w:val="clear" w:color="auto" w:fill="auto"/>
            <w:vAlign w:val="center"/>
          </w:tcPr>
          <w:p w14:paraId="2FFAFDC4">
            <w:pPr>
              <w:spacing w:after="0" w:line="300" w:lineRule="exact"/>
              <w:jc w:val="center"/>
              <w:rPr>
                <w:rFonts w:hint="eastAsia" w:ascii="宋体" w:hAnsi="宋体" w:eastAsia="宋体" w:cs="Times New Roman"/>
                <w:color w:val="auto"/>
                <w:sz w:val="21"/>
                <w:szCs w:val="21"/>
                <w:highlight w:val="none"/>
                <w:shd w:val="clear" w:color="auto" w:fill="auto"/>
              </w:rPr>
            </w:pPr>
          </w:p>
          <w:p w14:paraId="11004285">
            <w:pPr>
              <w:spacing w:after="0" w:line="300" w:lineRule="exact"/>
              <w:jc w:val="center"/>
              <w:rPr>
                <w:rFonts w:hint="eastAsia" w:ascii="宋体" w:hAnsi="宋体" w:eastAsia="宋体" w:cs="Times New Roman"/>
                <w:color w:val="auto"/>
                <w:sz w:val="21"/>
                <w:szCs w:val="21"/>
                <w:highlight w:val="none"/>
                <w:shd w:val="clear" w:color="auto" w:fill="auto"/>
              </w:rPr>
            </w:pPr>
          </w:p>
          <w:p w14:paraId="1ABD6A40">
            <w:pPr>
              <w:spacing w:after="0" w:line="300" w:lineRule="exact"/>
              <w:jc w:val="center"/>
              <w:rPr>
                <w:rFonts w:hint="eastAsia" w:ascii="宋体" w:hAnsi="宋体" w:eastAsia="宋体" w:cs="Times New Roman"/>
                <w:color w:val="auto"/>
                <w:sz w:val="21"/>
                <w:szCs w:val="21"/>
                <w:highlight w:val="none"/>
                <w:shd w:val="clear" w:color="auto" w:fill="auto"/>
              </w:rPr>
            </w:pPr>
          </w:p>
          <w:p w14:paraId="3E3749B6">
            <w:pPr>
              <w:spacing w:after="0" w:line="300" w:lineRule="exact"/>
              <w:jc w:val="center"/>
              <w:rPr>
                <w:rFonts w:hint="eastAsia" w:ascii="宋体" w:hAnsi="宋体" w:eastAsia="宋体" w:cs="Times New Roman"/>
                <w:color w:val="auto"/>
                <w:sz w:val="21"/>
                <w:szCs w:val="21"/>
                <w:highlight w:val="none"/>
                <w:shd w:val="clear" w:color="auto" w:fill="auto"/>
              </w:rPr>
            </w:pPr>
          </w:p>
          <w:p w14:paraId="3F7B9D15">
            <w:pPr>
              <w:spacing w:after="0" w:line="300" w:lineRule="exact"/>
              <w:jc w:val="center"/>
              <w:rPr>
                <w:rFonts w:hint="eastAsia" w:ascii="宋体" w:hAnsi="宋体" w:eastAsia="宋体" w:cs="Times New Roman"/>
                <w:color w:val="auto"/>
                <w:sz w:val="21"/>
                <w:szCs w:val="21"/>
                <w:highlight w:val="none"/>
                <w:shd w:val="clear" w:color="auto" w:fill="auto"/>
              </w:rPr>
            </w:pPr>
          </w:p>
          <w:p w14:paraId="1172B9A8">
            <w:pPr>
              <w:spacing w:after="0" w:line="300" w:lineRule="exact"/>
              <w:jc w:val="center"/>
              <w:rPr>
                <w:rFonts w:hint="eastAsia" w:ascii="宋体" w:hAnsi="宋体" w:eastAsia="宋体" w:cs="Times New Roman"/>
                <w:color w:val="auto"/>
                <w:sz w:val="21"/>
                <w:szCs w:val="21"/>
                <w:highlight w:val="none"/>
                <w:shd w:val="clear" w:color="auto" w:fill="auto"/>
              </w:rPr>
            </w:pPr>
          </w:p>
          <w:p w14:paraId="443D36B3">
            <w:pPr>
              <w:spacing w:after="0" w:line="300" w:lineRule="exact"/>
              <w:jc w:val="center"/>
              <w:rPr>
                <w:rFonts w:ascii="宋体" w:hAnsi="宋体" w:eastAsia="宋体" w:cs="Times New Roman"/>
                <w:color w:val="auto"/>
                <w:sz w:val="21"/>
                <w:szCs w:val="21"/>
                <w:highlight w:val="none"/>
                <w:shd w:val="clear" w:color="auto" w:fill="auto"/>
              </w:rPr>
            </w:pPr>
            <w:r>
              <w:rPr>
                <w:rFonts w:hint="eastAsia" w:ascii="宋体" w:hAnsi="宋体" w:eastAsia="宋体" w:cs="Times New Roman"/>
                <w:color w:val="auto"/>
                <w:sz w:val="21"/>
                <w:szCs w:val="21"/>
                <w:highlight w:val="none"/>
                <w:shd w:val="clear" w:color="auto" w:fill="auto"/>
              </w:rPr>
              <w:t>技术部分</w:t>
            </w:r>
          </w:p>
        </w:tc>
        <w:tc>
          <w:tcPr>
            <w:tcW w:w="661" w:type="dxa"/>
            <w:shd w:val="clear" w:color="auto" w:fill="auto"/>
            <w:vAlign w:val="center"/>
          </w:tcPr>
          <w:p w14:paraId="533C1F7E">
            <w:pPr>
              <w:spacing w:after="0" w:line="300" w:lineRule="exact"/>
              <w:jc w:val="center"/>
              <w:rPr>
                <w:rFonts w:ascii="宋体" w:hAnsi="宋体" w:eastAsia="宋体" w:cs="Times New Roman"/>
                <w:color w:val="auto"/>
                <w:sz w:val="21"/>
                <w:szCs w:val="21"/>
                <w:highlight w:val="none"/>
                <w:shd w:val="clear" w:color="auto" w:fill="auto"/>
              </w:rPr>
            </w:pPr>
            <w:r>
              <w:rPr>
                <w:rFonts w:hint="eastAsia" w:ascii="宋体" w:hAnsi="宋体" w:eastAsia="宋体" w:cs="Times New Roman"/>
                <w:color w:val="auto"/>
                <w:sz w:val="21"/>
                <w:szCs w:val="21"/>
                <w:highlight w:val="none"/>
                <w:shd w:val="clear" w:color="auto" w:fill="auto"/>
              </w:rPr>
              <w:t>1</w:t>
            </w:r>
          </w:p>
        </w:tc>
        <w:tc>
          <w:tcPr>
            <w:tcW w:w="2236" w:type="dxa"/>
            <w:shd w:val="clear" w:color="auto" w:fill="auto"/>
            <w:vAlign w:val="center"/>
          </w:tcPr>
          <w:p w14:paraId="63C0FA14">
            <w:pPr>
              <w:spacing w:after="0" w:line="300" w:lineRule="exact"/>
              <w:jc w:val="center"/>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zh-CN" w:eastAsia="zh-CN"/>
              </w:rPr>
              <w:t>项目总体服务方案</w:t>
            </w:r>
          </w:p>
          <w:p w14:paraId="518880FB">
            <w:pPr>
              <w:spacing w:after="0" w:line="300" w:lineRule="exact"/>
              <w:jc w:val="center"/>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b/>
                <w:bCs/>
                <w:color w:val="auto"/>
                <w:sz w:val="21"/>
                <w:szCs w:val="21"/>
                <w:highlight w:val="none"/>
                <w:shd w:val="clear" w:color="auto" w:fill="auto"/>
                <w:lang w:val="zh-CN" w:eastAsia="zh-CN"/>
              </w:rPr>
              <w:t>（</w:t>
            </w:r>
            <w:r>
              <w:rPr>
                <w:rFonts w:hint="eastAsia" w:ascii="宋体" w:hAnsi="宋体" w:eastAsia="宋体" w:cs="宋体"/>
                <w:b/>
                <w:bCs/>
                <w:color w:val="auto"/>
                <w:sz w:val="21"/>
                <w:szCs w:val="21"/>
                <w:highlight w:val="none"/>
                <w:shd w:val="clear" w:color="auto" w:fill="auto"/>
                <w:lang w:val="en-US" w:eastAsia="zh-CN"/>
              </w:rPr>
              <w:t>40</w:t>
            </w:r>
            <w:r>
              <w:rPr>
                <w:rFonts w:hint="eastAsia" w:ascii="宋体" w:hAnsi="宋体" w:eastAsia="宋体" w:cs="宋体"/>
                <w:b/>
                <w:bCs/>
                <w:color w:val="auto"/>
                <w:sz w:val="21"/>
                <w:szCs w:val="21"/>
                <w:highlight w:val="none"/>
                <w:shd w:val="clear" w:color="auto" w:fill="auto"/>
                <w:lang w:val="zh-CN" w:eastAsia="zh-CN"/>
              </w:rPr>
              <w:t>分）</w:t>
            </w:r>
          </w:p>
        </w:tc>
        <w:tc>
          <w:tcPr>
            <w:tcW w:w="7054" w:type="dxa"/>
            <w:shd w:val="clear" w:color="auto" w:fill="auto"/>
            <w:vAlign w:val="center"/>
          </w:tcPr>
          <w:p w14:paraId="478F888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zh-CN" w:eastAsia="zh-CN"/>
              </w:rPr>
              <w:t>依据提供的本项目整体服务方案情况，包括但不限于保洁服务方案、被服供应洗浆房服务方案、预防交叉感染相关方案、安全管理措施等，进行综合评审：</w:t>
            </w:r>
          </w:p>
          <w:p w14:paraId="09E4057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bookmarkStart w:id="123" w:name="OLE_LINK13"/>
            <w:r>
              <w:rPr>
                <w:rFonts w:hint="eastAsia" w:ascii="宋体" w:hAnsi="宋体" w:eastAsia="宋体" w:cs="宋体"/>
                <w:color w:val="auto"/>
                <w:sz w:val="21"/>
                <w:szCs w:val="21"/>
                <w:highlight w:val="none"/>
                <w:shd w:val="clear" w:color="auto" w:fill="auto"/>
                <w:lang w:val="zh-CN" w:eastAsia="zh-CN"/>
              </w:rPr>
              <w:t>1、项目总体服务方案内容完整、可行性高、针对性强，且优于磋商文件要求的得</w:t>
            </w:r>
            <w:r>
              <w:rPr>
                <w:rFonts w:hint="eastAsia" w:ascii="宋体" w:hAnsi="宋体" w:eastAsia="宋体" w:cs="宋体"/>
                <w:color w:val="auto"/>
                <w:sz w:val="21"/>
                <w:szCs w:val="21"/>
                <w:highlight w:val="none"/>
                <w:shd w:val="clear" w:color="auto" w:fill="auto"/>
                <w:lang w:val="en-US" w:eastAsia="zh-CN"/>
              </w:rPr>
              <w:t>40</w:t>
            </w:r>
            <w:r>
              <w:rPr>
                <w:rFonts w:hint="eastAsia" w:ascii="宋体" w:hAnsi="宋体" w:eastAsia="宋体" w:cs="宋体"/>
                <w:color w:val="auto"/>
                <w:sz w:val="21"/>
                <w:szCs w:val="21"/>
                <w:highlight w:val="none"/>
                <w:shd w:val="clear" w:color="auto" w:fill="auto"/>
                <w:lang w:val="zh-CN" w:eastAsia="zh-CN"/>
              </w:rPr>
              <w:t>分；</w:t>
            </w:r>
          </w:p>
          <w:p w14:paraId="2263732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zh-CN" w:eastAsia="zh-CN"/>
              </w:rPr>
              <w:t>2、项目总体服务方案内容完整、有可行性、有针对性，满足磋商文件要求的得</w:t>
            </w:r>
            <w:r>
              <w:rPr>
                <w:rFonts w:hint="eastAsia" w:ascii="宋体" w:hAnsi="宋体" w:eastAsia="宋体" w:cs="宋体"/>
                <w:color w:val="auto"/>
                <w:sz w:val="21"/>
                <w:szCs w:val="21"/>
                <w:highlight w:val="none"/>
                <w:shd w:val="clear" w:color="auto" w:fill="auto"/>
                <w:lang w:val="en-US" w:eastAsia="zh-CN"/>
              </w:rPr>
              <w:t>30</w:t>
            </w:r>
            <w:r>
              <w:rPr>
                <w:rFonts w:hint="eastAsia" w:ascii="宋体" w:hAnsi="宋体" w:eastAsia="宋体" w:cs="宋体"/>
                <w:color w:val="auto"/>
                <w:sz w:val="21"/>
                <w:szCs w:val="21"/>
                <w:highlight w:val="none"/>
                <w:shd w:val="clear" w:color="auto" w:fill="auto"/>
                <w:lang w:val="zh-CN" w:eastAsia="zh-CN"/>
              </w:rPr>
              <w:t>分；</w:t>
            </w:r>
          </w:p>
          <w:p w14:paraId="1199FDF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zh-CN" w:eastAsia="zh-CN"/>
              </w:rPr>
              <w:t>3、项目总体服务方案内容基本完整、有针对性，基本满足磋商文件要求的得</w:t>
            </w:r>
            <w:r>
              <w:rPr>
                <w:rFonts w:hint="eastAsia" w:ascii="宋体" w:hAnsi="宋体" w:eastAsia="宋体" w:cs="宋体"/>
                <w:color w:val="auto"/>
                <w:sz w:val="21"/>
                <w:szCs w:val="21"/>
                <w:highlight w:val="none"/>
                <w:shd w:val="clear" w:color="auto" w:fill="auto"/>
                <w:lang w:val="en-US" w:eastAsia="zh-CN"/>
              </w:rPr>
              <w:t>20</w:t>
            </w:r>
            <w:r>
              <w:rPr>
                <w:rFonts w:hint="eastAsia" w:ascii="宋体" w:hAnsi="宋体" w:eastAsia="宋体" w:cs="宋体"/>
                <w:color w:val="auto"/>
                <w:sz w:val="21"/>
                <w:szCs w:val="21"/>
                <w:highlight w:val="none"/>
                <w:shd w:val="clear" w:color="auto" w:fill="auto"/>
                <w:lang w:val="zh-CN" w:eastAsia="zh-CN"/>
              </w:rPr>
              <w:t>分；</w:t>
            </w:r>
          </w:p>
          <w:p w14:paraId="5497556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zh-CN" w:eastAsia="zh-CN"/>
              </w:rPr>
              <w:t>4、项目总体服务方案内容不完整、没有针对性得</w:t>
            </w:r>
            <w:r>
              <w:rPr>
                <w:rFonts w:hint="eastAsia" w:ascii="宋体" w:hAnsi="宋体" w:eastAsia="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lang w:val="zh-CN" w:eastAsia="zh-CN"/>
              </w:rPr>
              <w:t>分。</w:t>
            </w:r>
          </w:p>
          <w:p w14:paraId="445EA77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lang w:val="zh-CN" w:eastAsia="zh-CN"/>
              </w:rPr>
              <w:t>没有项目总体服务方案的不得分。</w:t>
            </w:r>
            <w:bookmarkEnd w:id="123"/>
          </w:p>
        </w:tc>
      </w:tr>
      <w:tr w14:paraId="13245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1" w:hRule="atLeast"/>
          <w:jc w:val="center"/>
        </w:trPr>
        <w:tc>
          <w:tcPr>
            <w:tcW w:w="439" w:type="dxa"/>
            <w:vMerge w:val="continue"/>
            <w:shd w:val="clear" w:color="auto" w:fill="auto"/>
            <w:vAlign w:val="center"/>
          </w:tcPr>
          <w:p w14:paraId="064E5192">
            <w:pPr>
              <w:spacing w:after="0" w:line="300" w:lineRule="exact"/>
              <w:jc w:val="center"/>
              <w:rPr>
                <w:rFonts w:ascii="宋体" w:hAnsi="宋体" w:eastAsia="宋体" w:cs="Times New Roman"/>
                <w:color w:val="auto"/>
                <w:sz w:val="21"/>
                <w:szCs w:val="21"/>
                <w:highlight w:val="none"/>
                <w:shd w:val="clear" w:color="auto" w:fill="auto"/>
              </w:rPr>
            </w:pPr>
          </w:p>
        </w:tc>
        <w:tc>
          <w:tcPr>
            <w:tcW w:w="661" w:type="dxa"/>
            <w:shd w:val="clear" w:color="auto" w:fill="auto"/>
            <w:vAlign w:val="center"/>
          </w:tcPr>
          <w:p w14:paraId="4ABF38F9">
            <w:pPr>
              <w:spacing w:after="0" w:line="300" w:lineRule="exact"/>
              <w:jc w:val="center"/>
              <w:rPr>
                <w:rFonts w:ascii="宋体" w:hAnsi="宋体" w:eastAsia="宋体" w:cs="Times New Roman"/>
                <w:color w:val="auto"/>
                <w:sz w:val="21"/>
                <w:szCs w:val="21"/>
                <w:highlight w:val="none"/>
                <w:shd w:val="clear" w:color="auto" w:fill="auto"/>
              </w:rPr>
            </w:pPr>
            <w:r>
              <w:rPr>
                <w:rFonts w:hint="eastAsia" w:ascii="宋体" w:hAnsi="宋体" w:eastAsia="宋体" w:cs="Times New Roman"/>
                <w:color w:val="auto"/>
                <w:sz w:val="21"/>
                <w:szCs w:val="21"/>
                <w:highlight w:val="none"/>
                <w:shd w:val="clear" w:color="auto" w:fill="auto"/>
              </w:rPr>
              <w:t>2</w:t>
            </w:r>
          </w:p>
        </w:tc>
        <w:tc>
          <w:tcPr>
            <w:tcW w:w="2236" w:type="dxa"/>
            <w:shd w:val="clear" w:color="auto" w:fill="auto"/>
            <w:vAlign w:val="center"/>
          </w:tcPr>
          <w:p w14:paraId="4344EEFF">
            <w:pPr>
              <w:spacing w:after="0" w:line="300" w:lineRule="exact"/>
              <w:jc w:val="center"/>
              <w:rPr>
                <w:rFonts w:hint="eastAsia" w:ascii="宋体" w:hAnsi="宋体" w:eastAsia="宋体" w:cs="宋体"/>
                <w:b/>
                <w:bCs/>
                <w:color w:val="auto"/>
                <w:sz w:val="21"/>
                <w:szCs w:val="21"/>
                <w:highlight w:val="none"/>
                <w:shd w:val="clear" w:color="auto" w:fill="auto"/>
                <w:lang w:val="zh-CN" w:eastAsia="zh-CN"/>
              </w:rPr>
            </w:pPr>
            <w:r>
              <w:rPr>
                <w:rFonts w:hint="eastAsia" w:ascii="宋体" w:hAnsi="宋体" w:eastAsia="宋体" w:cs="宋体"/>
                <w:b/>
                <w:bCs/>
                <w:color w:val="auto"/>
                <w:sz w:val="21"/>
                <w:szCs w:val="21"/>
                <w:highlight w:val="none"/>
                <w:shd w:val="clear" w:color="auto" w:fill="auto"/>
                <w:lang w:val="zh-CN" w:eastAsia="zh-CN"/>
              </w:rPr>
              <w:t>针对本次采购服务的服务承诺及违约责任</w:t>
            </w:r>
          </w:p>
          <w:p w14:paraId="03AAECB5">
            <w:pPr>
              <w:spacing w:after="0" w:line="300" w:lineRule="exact"/>
              <w:jc w:val="center"/>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b/>
                <w:bCs/>
                <w:color w:val="auto"/>
                <w:sz w:val="21"/>
                <w:szCs w:val="21"/>
                <w:highlight w:val="none"/>
                <w:shd w:val="clear" w:color="auto" w:fill="auto"/>
                <w:lang w:val="zh-CN" w:eastAsia="zh-CN"/>
              </w:rPr>
              <w:t>（</w:t>
            </w:r>
            <w:r>
              <w:rPr>
                <w:rFonts w:hint="eastAsia" w:ascii="宋体" w:hAnsi="宋体" w:eastAsia="宋体" w:cs="宋体"/>
                <w:b/>
                <w:bCs/>
                <w:color w:val="auto"/>
                <w:sz w:val="21"/>
                <w:szCs w:val="21"/>
                <w:highlight w:val="none"/>
                <w:shd w:val="clear" w:color="auto" w:fill="auto"/>
                <w:lang w:val="en-US" w:eastAsia="zh-CN"/>
              </w:rPr>
              <w:t>15</w:t>
            </w:r>
            <w:r>
              <w:rPr>
                <w:rFonts w:hint="eastAsia" w:ascii="宋体" w:hAnsi="宋体" w:eastAsia="宋体" w:cs="宋体"/>
                <w:b/>
                <w:bCs/>
                <w:color w:val="auto"/>
                <w:sz w:val="21"/>
                <w:szCs w:val="21"/>
                <w:highlight w:val="none"/>
                <w:shd w:val="clear" w:color="auto" w:fill="auto"/>
                <w:lang w:val="zh-CN" w:eastAsia="zh-CN"/>
              </w:rPr>
              <w:t>分）</w:t>
            </w:r>
          </w:p>
        </w:tc>
        <w:tc>
          <w:tcPr>
            <w:tcW w:w="7054" w:type="dxa"/>
            <w:shd w:val="clear" w:color="auto" w:fill="auto"/>
            <w:vAlign w:val="center"/>
          </w:tcPr>
          <w:p w14:paraId="2D65ED4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bookmarkStart w:id="124" w:name="OLE_LINK15"/>
            <w:r>
              <w:rPr>
                <w:rFonts w:hint="eastAsia" w:ascii="宋体" w:hAnsi="宋体" w:eastAsia="宋体" w:cs="宋体"/>
                <w:color w:val="auto"/>
                <w:sz w:val="21"/>
                <w:szCs w:val="21"/>
                <w:highlight w:val="none"/>
                <w:shd w:val="clear" w:color="auto" w:fill="auto"/>
                <w:lang w:val="zh-CN" w:eastAsia="zh-CN"/>
              </w:rPr>
              <w:t>1、服务承诺内容完整、全面、合理、针对性强，经验丰富，满足磋商文件要求，有具体违约责任的得</w:t>
            </w:r>
            <w:r>
              <w:rPr>
                <w:rFonts w:hint="eastAsia" w:ascii="宋体" w:hAnsi="宋体" w:eastAsia="宋体" w:cs="宋体"/>
                <w:color w:val="auto"/>
                <w:sz w:val="21"/>
                <w:szCs w:val="21"/>
                <w:highlight w:val="none"/>
                <w:shd w:val="clear" w:color="auto" w:fill="auto"/>
                <w:lang w:val="en-US" w:eastAsia="zh-CN"/>
              </w:rPr>
              <w:t>15</w:t>
            </w:r>
            <w:r>
              <w:rPr>
                <w:rFonts w:hint="eastAsia" w:ascii="宋体" w:hAnsi="宋体" w:eastAsia="宋体" w:cs="宋体"/>
                <w:color w:val="auto"/>
                <w:sz w:val="21"/>
                <w:szCs w:val="21"/>
                <w:highlight w:val="none"/>
                <w:shd w:val="clear" w:color="auto" w:fill="auto"/>
                <w:lang w:val="zh-CN" w:eastAsia="zh-CN"/>
              </w:rPr>
              <w:t>分；</w:t>
            </w:r>
          </w:p>
          <w:p w14:paraId="402BA37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zh-CN" w:eastAsia="zh-CN"/>
              </w:rPr>
              <w:t>2、服务承诺基本全面、合理、有一定针对性，基本满足磋商文件要求，有具体违约责任的得</w:t>
            </w:r>
            <w:r>
              <w:rPr>
                <w:rFonts w:hint="eastAsia" w:ascii="宋体" w:hAnsi="宋体" w:eastAsia="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lang w:val="zh-CN" w:eastAsia="zh-CN"/>
              </w:rPr>
              <w:t>分；</w:t>
            </w:r>
          </w:p>
          <w:p w14:paraId="79AD601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zh-CN" w:eastAsia="zh-CN"/>
              </w:rPr>
              <w:t>3、服务承诺书内容相对一般或针对性较差，没有违约责任的得</w:t>
            </w:r>
            <w:r>
              <w:rPr>
                <w:rFonts w:hint="eastAsia" w:ascii="宋体" w:hAnsi="宋体" w:eastAsia="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lang w:val="zh-CN" w:eastAsia="zh-CN"/>
              </w:rPr>
              <w:t>分；</w:t>
            </w:r>
          </w:p>
          <w:p w14:paraId="114A4C92">
            <w:pPr>
              <w:pStyle w:val="14"/>
              <w:rPr>
                <w:rFonts w:hint="default"/>
                <w:color w:val="auto"/>
                <w:highlight w:val="none"/>
                <w:shd w:val="clear" w:color="auto" w:fill="auto"/>
                <w:lang w:val="en-US" w:eastAsia="zh-CN"/>
              </w:rPr>
            </w:pPr>
            <w:r>
              <w:rPr>
                <w:rFonts w:hint="eastAsia"/>
                <w:color w:val="auto"/>
                <w:highlight w:val="none"/>
                <w:shd w:val="clear" w:color="auto" w:fill="auto"/>
                <w:lang w:val="en-US" w:eastAsia="zh-CN"/>
              </w:rPr>
              <w:t>4、</w:t>
            </w:r>
            <w:r>
              <w:rPr>
                <w:rFonts w:hint="eastAsia" w:ascii="宋体" w:hAnsi="宋体" w:eastAsia="宋体" w:cs="宋体"/>
                <w:color w:val="auto"/>
                <w:sz w:val="21"/>
                <w:szCs w:val="21"/>
                <w:highlight w:val="none"/>
                <w:shd w:val="clear" w:color="auto" w:fill="auto"/>
                <w:lang w:val="zh-CN" w:eastAsia="zh-CN"/>
              </w:rPr>
              <w:t>服务承诺书内容一般或无针对性，没有违约责任的得</w:t>
            </w:r>
            <w:r>
              <w:rPr>
                <w:rFonts w:hint="eastAsia" w:ascii="宋体" w:hAnsi="宋体" w:eastAsia="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lang w:val="zh-CN" w:eastAsia="zh-CN"/>
              </w:rPr>
              <w:t>分</w:t>
            </w:r>
          </w:p>
          <w:p w14:paraId="0CE64AE5">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lang w:val="zh-CN" w:eastAsia="zh-CN"/>
              </w:rPr>
              <w:t>、没有服务承诺的不得分。</w:t>
            </w:r>
            <w:bookmarkEnd w:id="124"/>
          </w:p>
        </w:tc>
      </w:tr>
      <w:tr w14:paraId="6F33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1" w:hRule="atLeast"/>
          <w:jc w:val="center"/>
        </w:trPr>
        <w:tc>
          <w:tcPr>
            <w:tcW w:w="439" w:type="dxa"/>
            <w:vMerge w:val="continue"/>
            <w:shd w:val="clear" w:color="auto" w:fill="auto"/>
            <w:vAlign w:val="center"/>
          </w:tcPr>
          <w:p w14:paraId="6499984C">
            <w:pPr>
              <w:spacing w:after="0" w:line="300" w:lineRule="exact"/>
              <w:jc w:val="center"/>
              <w:rPr>
                <w:rFonts w:ascii="宋体" w:hAnsi="宋体" w:eastAsia="宋体" w:cs="Times New Roman"/>
                <w:color w:val="auto"/>
                <w:sz w:val="21"/>
                <w:szCs w:val="21"/>
                <w:highlight w:val="none"/>
                <w:shd w:val="clear" w:color="auto" w:fill="auto"/>
              </w:rPr>
            </w:pPr>
          </w:p>
        </w:tc>
        <w:tc>
          <w:tcPr>
            <w:tcW w:w="661" w:type="dxa"/>
            <w:shd w:val="clear" w:color="auto" w:fill="auto"/>
            <w:vAlign w:val="center"/>
          </w:tcPr>
          <w:p w14:paraId="69EB34E7">
            <w:pPr>
              <w:spacing w:after="0" w:line="300" w:lineRule="exact"/>
              <w:jc w:val="center"/>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3</w:t>
            </w:r>
          </w:p>
        </w:tc>
        <w:tc>
          <w:tcPr>
            <w:tcW w:w="2236" w:type="dxa"/>
            <w:shd w:val="clear" w:color="auto" w:fill="auto"/>
            <w:vAlign w:val="center"/>
          </w:tcPr>
          <w:p w14:paraId="43D5FC66">
            <w:pPr>
              <w:spacing w:after="0" w:line="300" w:lineRule="exact"/>
              <w:jc w:val="center"/>
              <w:rPr>
                <w:rFonts w:hint="eastAsia" w:ascii="宋体" w:hAnsi="宋体" w:eastAsia="宋体" w:cs="Times New Roman"/>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val="en-US" w:eastAsia="zh-CN"/>
              </w:rPr>
              <w:t>拟派服务</w:t>
            </w:r>
            <w:r>
              <w:rPr>
                <w:rFonts w:hint="eastAsia" w:ascii="宋体" w:hAnsi="宋体" w:eastAsia="宋体" w:cs="宋体"/>
                <w:b/>
                <w:bCs/>
                <w:color w:val="auto"/>
                <w:sz w:val="21"/>
                <w:szCs w:val="21"/>
                <w:highlight w:val="none"/>
                <w:shd w:val="clear" w:color="auto" w:fill="auto"/>
                <w:lang w:eastAsia="zh-CN"/>
              </w:rPr>
              <w:t>人员管理方案(满分1</w:t>
            </w:r>
            <w:r>
              <w:rPr>
                <w:rFonts w:hint="eastAsia" w:ascii="宋体" w:hAnsi="宋体" w:eastAsia="宋体" w:cs="宋体"/>
                <w:b/>
                <w:bCs/>
                <w:color w:val="auto"/>
                <w:sz w:val="21"/>
                <w:szCs w:val="21"/>
                <w:highlight w:val="none"/>
                <w:shd w:val="clear" w:color="auto" w:fill="auto"/>
                <w:lang w:val="en-US" w:eastAsia="zh-CN"/>
              </w:rPr>
              <w:t>2</w:t>
            </w:r>
            <w:r>
              <w:rPr>
                <w:rFonts w:hint="eastAsia" w:ascii="宋体" w:hAnsi="宋体" w:eastAsia="宋体" w:cs="宋体"/>
                <w:b/>
                <w:bCs/>
                <w:color w:val="auto"/>
                <w:sz w:val="21"/>
                <w:szCs w:val="21"/>
                <w:highlight w:val="none"/>
                <w:shd w:val="clear" w:color="auto" w:fill="auto"/>
                <w:lang w:eastAsia="zh-CN"/>
              </w:rPr>
              <w:t>分)</w:t>
            </w:r>
          </w:p>
        </w:tc>
        <w:tc>
          <w:tcPr>
            <w:tcW w:w="7054" w:type="dxa"/>
            <w:shd w:val="clear" w:color="auto" w:fill="auto"/>
            <w:vAlign w:val="center"/>
          </w:tcPr>
          <w:p w14:paraId="2EC2D7B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bookmarkStart w:id="125" w:name="OLE_LINK16"/>
            <w:r>
              <w:rPr>
                <w:rFonts w:hint="eastAsia" w:ascii="宋体" w:hAnsi="宋体" w:eastAsia="宋体" w:cs="宋体"/>
                <w:color w:val="auto"/>
                <w:sz w:val="21"/>
                <w:szCs w:val="21"/>
                <w:highlight w:val="none"/>
                <w:shd w:val="clear" w:color="auto" w:fill="auto"/>
                <w:lang w:val="en-US" w:eastAsia="zh-CN"/>
              </w:rPr>
              <w:t>1、拟派服务</w:t>
            </w:r>
            <w:r>
              <w:rPr>
                <w:rFonts w:hint="eastAsia" w:ascii="宋体" w:hAnsi="宋体" w:eastAsia="宋体" w:cs="宋体"/>
                <w:color w:val="auto"/>
                <w:sz w:val="21"/>
                <w:szCs w:val="21"/>
                <w:highlight w:val="none"/>
                <w:shd w:val="clear" w:color="auto" w:fill="auto"/>
                <w:lang w:val="zh-CN" w:eastAsia="zh-CN"/>
              </w:rPr>
              <w:t>人员管理方案合理，人员专业程度高，项目实施经验丰富，人员安排、作息时间计划切合本项目实际，</w:t>
            </w:r>
            <w:r>
              <w:rPr>
                <w:rFonts w:hint="eastAsia" w:ascii="宋体" w:hAnsi="宋体" w:eastAsia="宋体" w:cs="宋体"/>
                <w:color w:val="auto"/>
                <w:sz w:val="21"/>
                <w:szCs w:val="21"/>
                <w:highlight w:val="none"/>
                <w:shd w:val="clear" w:color="auto" w:fill="auto"/>
                <w:lang w:val="en-US" w:eastAsia="zh-CN"/>
              </w:rPr>
              <w:t>人员责任承诺具体分明</w:t>
            </w:r>
            <w:r>
              <w:rPr>
                <w:rFonts w:hint="eastAsia" w:ascii="宋体" w:hAnsi="宋体" w:eastAsia="宋体" w:cs="宋体"/>
                <w:color w:val="auto"/>
                <w:sz w:val="21"/>
                <w:szCs w:val="21"/>
                <w:highlight w:val="none"/>
                <w:shd w:val="clear" w:color="auto" w:fill="auto"/>
                <w:lang w:val="zh-CN" w:eastAsia="zh-CN"/>
              </w:rPr>
              <w:t>得</w:t>
            </w:r>
            <w:r>
              <w:rPr>
                <w:rFonts w:hint="eastAsia" w:ascii="宋体" w:hAnsi="宋体" w:eastAsia="宋体" w:cs="宋体"/>
                <w:color w:val="auto"/>
                <w:sz w:val="21"/>
                <w:szCs w:val="21"/>
                <w:highlight w:val="none"/>
                <w:shd w:val="clear" w:color="auto" w:fill="auto"/>
                <w:lang w:val="en-US" w:eastAsia="zh-CN"/>
              </w:rPr>
              <w:t>12</w:t>
            </w:r>
            <w:r>
              <w:rPr>
                <w:rFonts w:hint="eastAsia" w:ascii="宋体" w:hAnsi="宋体" w:eastAsia="宋体" w:cs="宋体"/>
                <w:color w:val="auto"/>
                <w:sz w:val="21"/>
                <w:szCs w:val="21"/>
                <w:highlight w:val="none"/>
                <w:shd w:val="clear" w:color="auto" w:fill="auto"/>
                <w:lang w:val="zh-CN" w:eastAsia="zh-CN"/>
              </w:rPr>
              <w:t>分；</w:t>
            </w:r>
          </w:p>
          <w:p w14:paraId="359C72F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en-US" w:eastAsia="zh-CN"/>
              </w:rPr>
              <w:t>2、拟派服务</w:t>
            </w:r>
            <w:r>
              <w:rPr>
                <w:rFonts w:hint="eastAsia" w:ascii="宋体" w:hAnsi="宋体" w:eastAsia="宋体" w:cs="宋体"/>
                <w:color w:val="auto"/>
                <w:sz w:val="21"/>
                <w:szCs w:val="21"/>
                <w:highlight w:val="none"/>
                <w:shd w:val="clear" w:color="auto" w:fill="auto"/>
                <w:lang w:val="zh-CN" w:eastAsia="zh-CN"/>
              </w:rPr>
              <w:t>人员管理方案基本合理，人员专业程度及实施经验情况一般，人员安排、作息时间计划切合本项目实际，有人员责任承诺但不具体得</w:t>
            </w:r>
            <w:r>
              <w:rPr>
                <w:rFonts w:hint="eastAsia" w:ascii="宋体" w:hAnsi="宋体" w:eastAsia="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lang w:val="zh-CN" w:eastAsia="zh-CN"/>
              </w:rPr>
              <w:t>分；</w:t>
            </w:r>
          </w:p>
          <w:p w14:paraId="2165308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en-US" w:eastAsia="zh-CN"/>
              </w:rPr>
              <w:t>3、拟派服务</w:t>
            </w:r>
            <w:r>
              <w:rPr>
                <w:rFonts w:hint="eastAsia" w:ascii="宋体" w:hAnsi="宋体" w:eastAsia="宋体" w:cs="宋体"/>
                <w:color w:val="auto"/>
                <w:sz w:val="21"/>
                <w:szCs w:val="21"/>
                <w:highlight w:val="none"/>
                <w:shd w:val="clear" w:color="auto" w:fill="auto"/>
                <w:lang w:val="zh-CN" w:eastAsia="zh-CN"/>
              </w:rPr>
              <w:t>人员管理方案相对合理，但人员专业程度及实施经验较差，人员安排、作息时间计划基本符合本项目要求，无人员责任承诺得</w:t>
            </w:r>
            <w:r>
              <w:rPr>
                <w:rFonts w:hint="eastAsia" w:ascii="宋体" w:hAnsi="宋体" w:eastAsia="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lang w:val="zh-CN" w:eastAsia="zh-CN"/>
              </w:rPr>
              <w:t>分；</w:t>
            </w:r>
          </w:p>
          <w:p w14:paraId="49758D4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en-US" w:eastAsia="zh-CN"/>
              </w:rPr>
              <w:t>4、拟派服务</w:t>
            </w:r>
            <w:r>
              <w:rPr>
                <w:rFonts w:hint="eastAsia" w:ascii="宋体" w:hAnsi="宋体" w:eastAsia="宋体" w:cs="宋体"/>
                <w:color w:val="auto"/>
                <w:sz w:val="21"/>
                <w:szCs w:val="21"/>
                <w:highlight w:val="none"/>
                <w:shd w:val="clear" w:color="auto" w:fill="auto"/>
                <w:lang w:val="zh-CN" w:eastAsia="zh-CN"/>
              </w:rPr>
              <w:t>人员管理方案不合理，人员安排、作息时间计划不符合本项目要求得</w:t>
            </w:r>
            <w:r>
              <w:rPr>
                <w:rFonts w:hint="eastAsia" w:ascii="宋体" w:hAnsi="宋体" w:eastAsia="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lang w:val="zh-CN" w:eastAsia="zh-CN"/>
              </w:rPr>
              <w:t>分。</w:t>
            </w:r>
          </w:p>
          <w:p w14:paraId="306B13D6">
            <w:pPr>
              <w:spacing w:line="240" w:lineRule="auto"/>
              <w:rPr>
                <w:rFonts w:hint="eastAsia" w:ascii="宋体" w:hAnsi="宋体" w:eastAsia="宋体" w:cs="宋体"/>
                <w:color w:val="auto"/>
                <w:sz w:val="21"/>
                <w:szCs w:val="21"/>
                <w:highlight w:val="none"/>
                <w:shd w:val="clear" w:color="auto" w:fill="auto"/>
                <w:lang w:val="zh-CN" w:eastAsia="zh-CN"/>
              </w:rPr>
            </w:pPr>
            <w:r>
              <w:rPr>
                <w:rFonts w:hint="eastAsia" w:ascii="宋体" w:hAnsi="宋体" w:eastAsia="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lang w:val="zh-CN" w:eastAsia="zh-CN"/>
              </w:rPr>
              <w:t>未提供</w:t>
            </w:r>
            <w:r>
              <w:rPr>
                <w:rFonts w:hint="eastAsia" w:ascii="宋体" w:hAnsi="宋体" w:eastAsia="宋体" w:cs="宋体"/>
                <w:color w:val="auto"/>
                <w:sz w:val="21"/>
                <w:szCs w:val="21"/>
                <w:highlight w:val="none"/>
                <w:shd w:val="clear" w:color="auto" w:fill="auto"/>
                <w:lang w:val="en-US" w:eastAsia="zh-CN"/>
              </w:rPr>
              <w:t>拟派服务</w:t>
            </w:r>
            <w:r>
              <w:rPr>
                <w:rFonts w:hint="eastAsia" w:ascii="宋体" w:hAnsi="宋体" w:eastAsia="宋体" w:cs="宋体"/>
                <w:color w:val="auto"/>
                <w:sz w:val="21"/>
                <w:szCs w:val="21"/>
                <w:highlight w:val="none"/>
                <w:shd w:val="clear" w:color="auto" w:fill="auto"/>
                <w:lang w:val="zh-CN" w:eastAsia="zh-CN"/>
              </w:rPr>
              <w:t>人员管理方案的不得分。</w:t>
            </w:r>
          </w:p>
          <w:p w14:paraId="26E098D5">
            <w:pPr>
              <w:spacing w:after="0" w:line="240" w:lineRule="auto"/>
              <w:jc w:val="left"/>
              <w:rPr>
                <w:rFonts w:hint="eastAsia" w:ascii="宋体" w:hAnsi="宋体" w:eastAsia="宋体" w:cs="Times New Roman"/>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注：投标人拟派人员</w:t>
            </w:r>
            <w:r>
              <w:rPr>
                <w:rFonts w:hint="eastAsia" w:ascii="宋体" w:hAnsi="宋体" w:eastAsia="宋体" w:cs="宋体"/>
                <w:color w:val="auto"/>
                <w:sz w:val="21"/>
                <w:szCs w:val="21"/>
                <w:highlight w:val="none"/>
                <w:shd w:val="clear" w:color="auto" w:fill="auto"/>
                <w:lang w:val="zh-CN" w:eastAsia="zh-CN"/>
              </w:rPr>
              <w:t>的节假日休息、公休假、年假、事假由</w:t>
            </w:r>
            <w:r>
              <w:rPr>
                <w:rFonts w:hint="eastAsia" w:ascii="宋体" w:hAnsi="宋体" w:eastAsia="宋体" w:cs="宋体"/>
                <w:color w:val="auto"/>
                <w:sz w:val="21"/>
                <w:szCs w:val="21"/>
                <w:highlight w:val="none"/>
                <w:shd w:val="clear" w:color="auto" w:fill="auto"/>
                <w:lang w:val="en-US" w:eastAsia="zh-CN"/>
              </w:rPr>
              <w:t>投标人</w:t>
            </w:r>
            <w:r>
              <w:rPr>
                <w:rFonts w:hint="eastAsia" w:ascii="宋体" w:hAnsi="宋体" w:eastAsia="宋体" w:cs="宋体"/>
                <w:color w:val="auto"/>
                <w:sz w:val="21"/>
                <w:szCs w:val="21"/>
                <w:highlight w:val="none"/>
                <w:shd w:val="clear" w:color="auto" w:fill="auto"/>
                <w:lang w:val="zh-CN" w:eastAsia="zh-CN"/>
              </w:rPr>
              <w:t>负责安排，不得影响医院的正常运行，须保证</w:t>
            </w:r>
            <w:r>
              <w:rPr>
                <w:rFonts w:hint="eastAsia" w:ascii="宋体" w:hAnsi="宋体" w:eastAsia="宋体" w:cs="宋体"/>
                <w:color w:val="auto"/>
                <w:sz w:val="21"/>
                <w:szCs w:val="21"/>
                <w:highlight w:val="none"/>
                <w:shd w:val="clear" w:color="auto" w:fill="auto"/>
                <w:lang w:val="en-US" w:eastAsia="zh-CN"/>
              </w:rPr>
              <w:t>投入</w:t>
            </w:r>
            <w:r>
              <w:rPr>
                <w:rFonts w:hint="eastAsia" w:ascii="宋体" w:hAnsi="宋体" w:eastAsia="宋体" w:cs="宋体"/>
                <w:color w:val="auto"/>
                <w:sz w:val="21"/>
                <w:szCs w:val="21"/>
                <w:highlight w:val="none"/>
                <w:shd w:val="clear" w:color="auto" w:fill="auto"/>
                <w:lang w:val="zh-CN" w:eastAsia="zh-CN"/>
              </w:rPr>
              <w:t>人员数量和质量。</w:t>
            </w:r>
            <w:bookmarkEnd w:id="125"/>
          </w:p>
        </w:tc>
      </w:tr>
      <w:tr w14:paraId="51E81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92" w:hRule="atLeast"/>
          <w:jc w:val="center"/>
        </w:trPr>
        <w:tc>
          <w:tcPr>
            <w:tcW w:w="439" w:type="dxa"/>
            <w:vMerge w:val="continue"/>
            <w:shd w:val="clear" w:color="auto" w:fill="auto"/>
            <w:vAlign w:val="center"/>
          </w:tcPr>
          <w:p w14:paraId="225FE93E">
            <w:pPr>
              <w:spacing w:after="0" w:line="300" w:lineRule="exact"/>
              <w:jc w:val="center"/>
              <w:rPr>
                <w:rFonts w:ascii="宋体" w:hAnsi="宋体" w:eastAsia="宋体" w:cs="Times New Roman"/>
                <w:color w:val="auto"/>
                <w:sz w:val="21"/>
                <w:szCs w:val="21"/>
                <w:highlight w:val="none"/>
                <w:shd w:val="clear" w:color="auto" w:fill="auto"/>
              </w:rPr>
            </w:pPr>
          </w:p>
        </w:tc>
        <w:tc>
          <w:tcPr>
            <w:tcW w:w="661" w:type="dxa"/>
            <w:shd w:val="clear" w:color="auto" w:fill="auto"/>
            <w:vAlign w:val="center"/>
          </w:tcPr>
          <w:p w14:paraId="122F9670">
            <w:pPr>
              <w:spacing w:after="0" w:line="300" w:lineRule="exact"/>
              <w:jc w:val="center"/>
              <w:rPr>
                <w:rFonts w:hint="default"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4</w:t>
            </w:r>
          </w:p>
        </w:tc>
        <w:tc>
          <w:tcPr>
            <w:tcW w:w="2236" w:type="dxa"/>
            <w:shd w:val="clear" w:color="auto" w:fill="auto"/>
            <w:vAlign w:val="center"/>
          </w:tcPr>
          <w:p w14:paraId="306D8D90">
            <w:pPr>
              <w:spacing w:after="0" w:line="300" w:lineRule="exact"/>
              <w:jc w:val="center"/>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应急管理服务方案与风险防范处理措施（18分）</w:t>
            </w:r>
          </w:p>
        </w:tc>
        <w:tc>
          <w:tcPr>
            <w:tcW w:w="7054" w:type="dxa"/>
            <w:shd w:val="clear" w:color="auto" w:fill="auto"/>
            <w:vAlign w:val="center"/>
          </w:tcPr>
          <w:p w14:paraId="22C1D95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auto" w:fill="auto"/>
                <w:lang w:val="en-US" w:eastAsia="zh-CN"/>
              </w:rPr>
            </w:pPr>
            <w:bookmarkStart w:id="126" w:name="OLE_LINK17"/>
            <w:r>
              <w:rPr>
                <w:rFonts w:hint="eastAsia" w:ascii="宋体" w:hAnsi="宋体" w:eastAsia="宋体" w:cs="宋体"/>
                <w:color w:val="auto"/>
                <w:sz w:val="21"/>
                <w:szCs w:val="21"/>
                <w:highlight w:val="none"/>
                <w:shd w:val="clear" w:color="auto" w:fill="auto"/>
                <w:lang w:val="en-US" w:eastAsia="zh-CN"/>
              </w:rPr>
              <w:t>根据供应商提供的应急管理服务方案评审，包括但不限于：①突发自然灾害处置；②消防应急处置；③医闹应急处置；④断电断水保障；⑤群体、安全事件（事故）处置；⑥安全隐患发现排除措施等内容进行综合评审。</w:t>
            </w:r>
          </w:p>
          <w:p w14:paraId="4139764A">
            <w:pPr>
              <w:keepNext w:val="0"/>
              <w:keepLines w:val="0"/>
              <w:pageBreakBefore w:val="0"/>
              <w:kinsoku/>
              <w:wordWrap/>
              <w:overflowPunct/>
              <w:topLinePunct w:val="0"/>
              <w:autoSpaceDE/>
              <w:autoSpaceDN/>
              <w:bidi w:val="0"/>
              <w:adjustRightInd/>
              <w:spacing w:line="240" w:lineRule="auto"/>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1、供应商针对本项目提出的应急管理服务方案内容完整详细，</w:t>
            </w:r>
            <w:r>
              <w:rPr>
                <w:rFonts w:hint="eastAsia" w:ascii="宋体" w:hAnsi="宋体" w:eastAsia="宋体" w:cs="宋体"/>
                <w:b w:val="0"/>
                <w:bCs w:val="0"/>
                <w:color w:val="auto"/>
                <w:sz w:val="21"/>
                <w:szCs w:val="21"/>
                <w:highlight w:val="none"/>
                <w:shd w:val="clear" w:color="auto" w:fill="auto"/>
                <w:lang w:val="en-US" w:eastAsia="zh-CN"/>
              </w:rPr>
              <w:t>风险防范处理措施</w:t>
            </w:r>
            <w:r>
              <w:rPr>
                <w:rFonts w:hint="eastAsia" w:ascii="宋体" w:hAnsi="宋体" w:eastAsia="宋体" w:cs="宋体"/>
                <w:color w:val="auto"/>
                <w:sz w:val="21"/>
                <w:szCs w:val="21"/>
                <w:highlight w:val="none"/>
                <w:shd w:val="clear" w:color="auto" w:fill="auto"/>
                <w:lang w:val="en-US" w:eastAsia="zh-CN"/>
              </w:rPr>
              <w:t>内容完整，安排合理，考虑周全，针对性、可行性强，完全满足采购人实际需求</w:t>
            </w:r>
            <w:r>
              <w:rPr>
                <w:rFonts w:hint="eastAsia" w:ascii="宋体" w:hAnsi="宋体" w:eastAsia="宋体" w:cs="宋体"/>
                <w:color w:val="auto"/>
                <w:sz w:val="21"/>
                <w:szCs w:val="21"/>
                <w:highlight w:val="none"/>
                <w:shd w:val="clear" w:color="auto" w:fill="auto"/>
                <w:lang w:val="zh-CN" w:eastAsia="zh-CN"/>
              </w:rPr>
              <w:t>得</w:t>
            </w:r>
            <w:r>
              <w:rPr>
                <w:rFonts w:hint="eastAsia" w:ascii="宋体" w:hAnsi="宋体" w:eastAsia="宋体" w:cs="宋体"/>
                <w:color w:val="auto"/>
                <w:sz w:val="21"/>
                <w:szCs w:val="21"/>
                <w:highlight w:val="none"/>
                <w:shd w:val="clear" w:color="auto" w:fill="auto"/>
                <w:lang w:val="en-US" w:eastAsia="zh-CN"/>
              </w:rPr>
              <w:t>18</w:t>
            </w:r>
            <w:r>
              <w:rPr>
                <w:rFonts w:hint="eastAsia" w:ascii="宋体" w:hAnsi="宋体" w:eastAsia="宋体" w:cs="宋体"/>
                <w:color w:val="auto"/>
                <w:sz w:val="21"/>
                <w:szCs w:val="21"/>
                <w:highlight w:val="none"/>
                <w:shd w:val="clear" w:color="auto" w:fill="auto"/>
                <w:lang w:val="zh-CN" w:eastAsia="zh-CN"/>
              </w:rPr>
              <w:t>分</w:t>
            </w:r>
            <w:r>
              <w:rPr>
                <w:rFonts w:hint="eastAsia" w:ascii="宋体" w:hAnsi="宋体" w:eastAsia="宋体" w:cs="宋体"/>
                <w:color w:val="auto"/>
                <w:sz w:val="21"/>
                <w:szCs w:val="21"/>
                <w:highlight w:val="none"/>
                <w:shd w:val="clear" w:color="auto" w:fill="auto"/>
                <w:lang w:val="en-US" w:eastAsia="zh-CN"/>
              </w:rPr>
              <w:t>；</w:t>
            </w:r>
          </w:p>
          <w:p w14:paraId="797796AB">
            <w:pPr>
              <w:keepNext w:val="0"/>
              <w:keepLines w:val="0"/>
              <w:pageBreakBefore w:val="0"/>
              <w:kinsoku/>
              <w:wordWrap/>
              <w:overflowPunct/>
              <w:topLinePunct w:val="0"/>
              <w:autoSpaceDE/>
              <w:autoSpaceDN/>
              <w:bidi w:val="0"/>
              <w:adjustRightInd/>
              <w:spacing w:line="240" w:lineRule="auto"/>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2、供应商针对本项目提出的应急管理服务方案内容完整，</w:t>
            </w:r>
            <w:r>
              <w:rPr>
                <w:rFonts w:hint="eastAsia" w:ascii="宋体" w:hAnsi="宋体" w:eastAsia="宋体" w:cs="宋体"/>
                <w:b w:val="0"/>
                <w:bCs w:val="0"/>
                <w:color w:val="auto"/>
                <w:sz w:val="21"/>
                <w:szCs w:val="21"/>
                <w:highlight w:val="none"/>
                <w:shd w:val="clear" w:color="auto" w:fill="auto"/>
                <w:lang w:val="en-US" w:eastAsia="zh-CN"/>
              </w:rPr>
              <w:t>风险防范处理措施</w:t>
            </w:r>
            <w:r>
              <w:rPr>
                <w:rFonts w:hint="eastAsia" w:ascii="宋体" w:hAnsi="宋体" w:eastAsia="宋体" w:cs="宋体"/>
                <w:color w:val="auto"/>
                <w:sz w:val="21"/>
                <w:szCs w:val="21"/>
                <w:highlight w:val="none"/>
                <w:shd w:val="clear" w:color="auto" w:fill="auto"/>
                <w:lang w:val="en-US" w:eastAsia="zh-CN"/>
              </w:rPr>
              <w:t>内容缺失1-2项，安排较合理，考虑较周全，针对性、可行性较强，满足采购人实际需求</w:t>
            </w:r>
            <w:r>
              <w:rPr>
                <w:rFonts w:hint="eastAsia" w:ascii="宋体" w:hAnsi="宋体" w:eastAsia="宋体" w:cs="宋体"/>
                <w:color w:val="auto"/>
                <w:sz w:val="21"/>
                <w:szCs w:val="21"/>
                <w:highlight w:val="none"/>
                <w:shd w:val="clear" w:color="auto" w:fill="auto"/>
                <w:lang w:val="zh-CN" w:eastAsia="zh-CN"/>
              </w:rPr>
              <w:t>得</w:t>
            </w:r>
            <w:r>
              <w:rPr>
                <w:rFonts w:hint="eastAsia" w:ascii="宋体" w:hAnsi="宋体" w:eastAsia="宋体" w:cs="宋体"/>
                <w:color w:val="auto"/>
                <w:sz w:val="21"/>
                <w:szCs w:val="21"/>
                <w:highlight w:val="none"/>
                <w:shd w:val="clear" w:color="auto" w:fill="auto"/>
                <w:lang w:val="en-US" w:eastAsia="zh-CN"/>
              </w:rPr>
              <w:t>13</w:t>
            </w:r>
            <w:r>
              <w:rPr>
                <w:rFonts w:hint="eastAsia" w:ascii="宋体" w:hAnsi="宋体" w:eastAsia="宋体" w:cs="宋体"/>
                <w:color w:val="auto"/>
                <w:sz w:val="21"/>
                <w:szCs w:val="21"/>
                <w:highlight w:val="none"/>
                <w:shd w:val="clear" w:color="auto" w:fill="auto"/>
                <w:lang w:val="zh-CN" w:eastAsia="zh-CN"/>
              </w:rPr>
              <w:t>分</w:t>
            </w:r>
            <w:r>
              <w:rPr>
                <w:rFonts w:hint="eastAsia" w:ascii="宋体" w:hAnsi="宋体" w:eastAsia="宋体" w:cs="宋体"/>
                <w:color w:val="auto"/>
                <w:sz w:val="21"/>
                <w:szCs w:val="21"/>
                <w:highlight w:val="none"/>
                <w:shd w:val="clear" w:color="auto" w:fill="auto"/>
                <w:lang w:val="en-US" w:eastAsia="zh-CN"/>
              </w:rPr>
              <w:t>；</w:t>
            </w:r>
          </w:p>
          <w:p w14:paraId="688F414C">
            <w:pPr>
              <w:keepNext w:val="0"/>
              <w:keepLines w:val="0"/>
              <w:pageBreakBefore w:val="0"/>
              <w:kinsoku/>
              <w:wordWrap/>
              <w:overflowPunct/>
              <w:topLinePunct w:val="0"/>
              <w:autoSpaceDE/>
              <w:autoSpaceDN/>
              <w:bidi w:val="0"/>
              <w:adjustRightInd/>
              <w:spacing w:line="240" w:lineRule="auto"/>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3、供应商针对本项目提出的应急管理服务方案内容缺漏，，</w:t>
            </w:r>
            <w:r>
              <w:rPr>
                <w:rFonts w:hint="eastAsia" w:ascii="宋体" w:hAnsi="宋体" w:eastAsia="宋体" w:cs="宋体"/>
                <w:b w:val="0"/>
                <w:bCs w:val="0"/>
                <w:color w:val="auto"/>
                <w:sz w:val="21"/>
                <w:szCs w:val="21"/>
                <w:highlight w:val="none"/>
                <w:shd w:val="clear" w:color="auto" w:fill="auto"/>
                <w:lang w:val="en-US" w:eastAsia="zh-CN"/>
              </w:rPr>
              <w:t>风险防范处理措施内容</w:t>
            </w:r>
            <w:r>
              <w:rPr>
                <w:rFonts w:hint="eastAsia" w:ascii="宋体" w:hAnsi="宋体" w:eastAsia="宋体" w:cs="宋体"/>
                <w:color w:val="auto"/>
                <w:sz w:val="21"/>
                <w:szCs w:val="21"/>
                <w:highlight w:val="none"/>
                <w:shd w:val="clear" w:color="auto" w:fill="auto"/>
                <w:lang w:val="en-US" w:eastAsia="zh-CN"/>
              </w:rPr>
              <w:t>缺失3项及以上，安排基本合理，考虑基本全面，针对性、可行性一般，基本满足采购人实际需求</w:t>
            </w:r>
            <w:r>
              <w:rPr>
                <w:rFonts w:hint="eastAsia" w:ascii="宋体" w:hAnsi="宋体" w:eastAsia="宋体" w:cs="宋体"/>
                <w:color w:val="auto"/>
                <w:sz w:val="21"/>
                <w:szCs w:val="21"/>
                <w:highlight w:val="none"/>
                <w:shd w:val="clear" w:color="auto" w:fill="auto"/>
                <w:lang w:val="zh-CN" w:eastAsia="zh-CN"/>
              </w:rPr>
              <w:t>得</w:t>
            </w:r>
            <w:r>
              <w:rPr>
                <w:rFonts w:hint="eastAsia" w:ascii="宋体" w:hAnsi="宋体" w:eastAsia="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lang w:val="zh-CN" w:eastAsia="zh-CN"/>
              </w:rPr>
              <w:t>分</w:t>
            </w:r>
            <w:r>
              <w:rPr>
                <w:rFonts w:hint="eastAsia" w:ascii="宋体" w:hAnsi="宋体" w:eastAsia="宋体" w:cs="宋体"/>
                <w:color w:val="auto"/>
                <w:sz w:val="21"/>
                <w:szCs w:val="21"/>
                <w:highlight w:val="none"/>
                <w:shd w:val="clear" w:color="auto" w:fill="auto"/>
                <w:lang w:val="en-US" w:eastAsia="zh-CN"/>
              </w:rPr>
              <w:t>；</w:t>
            </w:r>
          </w:p>
          <w:p w14:paraId="7A06F10A">
            <w:pPr>
              <w:keepNext w:val="0"/>
              <w:keepLines w:val="0"/>
              <w:pageBreakBefore w:val="0"/>
              <w:kinsoku/>
              <w:wordWrap/>
              <w:overflowPunct/>
              <w:topLinePunct w:val="0"/>
              <w:autoSpaceDE/>
              <w:autoSpaceDN/>
              <w:bidi w:val="0"/>
              <w:adjustRightInd/>
              <w:spacing w:line="240" w:lineRule="auto"/>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4、供应商针对本项目提出的应急管理服务方案内容缺漏较多，</w:t>
            </w:r>
            <w:r>
              <w:rPr>
                <w:rFonts w:hint="eastAsia" w:ascii="宋体" w:hAnsi="宋体" w:eastAsia="宋体" w:cs="宋体"/>
                <w:b w:val="0"/>
                <w:bCs w:val="0"/>
                <w:color w:val="auto"/>
                <w:sz w:val="21"/>
                <w:szCs w:val="21"/>
                <w:highlight w:val="none"/>
                <w:shd w:val="clear" w:color="auto" w:fill="auto"/>
                <w:lang w:val="en-US" w:eastAsia="zh-CN"/>
              </w:rPr>
              <w:t>风险防范处理措施内容</w:t>
            </w:r>
            <w:r>
              <w:rPr>
                <w:rFonts w:hint="eastAsia" w:ascii="宋体" w:hAnsi="宋体" w:eastAsia="宋体" w:cs="宋体"/>
                <w:color w:val="auto"/>
                <w:sz w:val="21"/>
                <w:szCs w:val="21"/>
                <w:highlight w:val="none"/>
                <w:shd w:val="clear" w:color="auto" w:fill="auto"/>
                <w:lang w:val="en-US" w:eastAsia="zh-CN"/>
              </w:rPr>
              <w:t>缺失4项及以上，安排不合理，考虑不全面，针对性、可行性较差，难以满足采购人实际需求</w:t>
            </w:r>
            <w:r>
              <w:rPr>
                <w:rFonts w:hint="eastAsia" w:ascii="宋体" w:hAnsi="宋体" w:eastAsia="宋体" w:cs="宋体"/>
                <w:color w:val="auto"/>
                <w:sz w:val="21"/>
                <w:szCs w:val="21"/>
                <w:highlight w:val="none"/>
                <w:shd w:val="clear" w:color="auto" w:fill="auto"/>
                <w:lang w:val="zh-CN" w:eastAsia="zh-CN"/>
              </w:rPr>
              <w:t>得</w:t>
            </w:r>
            <w:r>
              <w:rPr>
                <w:rFonts w:hint="eastAsia" w:ascii="宋体" w:hAnsi="宋体" w:eastAsia="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lang w:val="zh-CN" w:eastAsia="zh-CN"/>
              </w:rPr>
              <w:t>分</w:t>
            </w:r>
            <w:r>
              <w:rPr>
                <w:rFonts w:hint="eastAsia" w:ascii="宋体" w:hAnsi="宋体" w:eastAsia="宋体" w:cs="宋体"/>
                <w:color w:val="auto"/>
                <w:sz w:val="21"/>
                <w:szCs w:val="21"/>
                <w:highlight w:val="none"/>
                <w:shd w:val="clear" w:color="auto" w:fill="auto"/>
                <w:lang w:val="en-US" w:eastAsia="zh-CN"/>
              </w:rPr>
              <w:t>；</w:t>
            </w:r>
          </w:p>
          <w:p w14:paraId="12A4B127">
            <w:pPr>
              <w:keepNext w:val="0"/>
              <w:keepLines w:val="0"/>
              <w:pageBreakBefore w:val="0"/>
              <w:kinsoku/>
              <w:wordWrap/>
              <w:overflowPunct/>
              <w:topLinePunct w:val="0"/>
              <w:autoSpaceDE/>
              <w:autoSpaceDN/>
              <w:bidi w:val="0"/>
              <w:adjustRightInd/>
              <w:spacing w:line="240" w:lineRule="auto"/>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5、供应商提出的应急管理服务方案内容不可行，</w:t>
            </w:r>
            <w:r>
              <w:rPr>
                <w:rFonts w:hint="eastAsia" w:ascii="宋体" w:hAnsi="宋体" w:eastAsia="宋体" w:cs="宋体"/>
                <w:b w:val="0"/>
                <w:bCs w:val="0"/>
                <w:color w:val="auto"/>
                <w:sz w:val="21"/>
                <w:szCs w:val="21"/>
                <w:highlight w:val="none"/>
                <w:shd w:val="clear" w:color="auto" w:fill="auto"/>
                <w:lang w:val="en-US" w:eastAsia="zh-CN"/>
              </w:rPr>
              <w:t>风险防范处理措施</w:t>
            </w:r>
            <w:r>
              <w:rPr>
                <w:rFonts w:hint="eastAsia" w:ascii="宋体" w:hAnsi="宋体" w:eastAsia="宋体" w:cs="宋体"/>
                <w:color w:val="auto"/>
                <w:sz w:val="21"/>
                <w:szCs w:val="21"/>
                <w:highlight w:val="none"/>
                <w:shd w:val="clear" w:color="auto" w:fill="auto"/>
                <w:lang w:val="en-US" w:eastAsia="zh-CN"/>
              </w:rPr>
              <w:t>有重大偏差，无针对性，不能满足采购人实际需求</w:t>
            </w:r>
            <w:r>
              <w:rPr>
                <w:rFonts w:hint="eastAsia" w:ascii="宋体" w:hAnsi="宋体" w:eastAsia="宋体" w:cs="宋体"/>
                <w:color w:val="auto"/>
                <w:sz w:val="21"/>
                <w:szCs w:val="21"/>
                <w:highlight w:val="none"/>
                <w:shd w:val="clear" w:color="auto" w:fill="auto"/>
                <w:lang w:val="zh-CN" w:eastAsia="zh-CN"/>
              </w:rPr>
              <w:t>得</w:t>
            </w:r>
            <w:r>
              <w:rPr>
                <w:rFonts w:hint="eastAsia" w:ascii="宋体" w:hAnsi="宋体" w:eastAsia="宋体" w:cs="宋体"/>
                <w:color w:val="auto"/>
                <w:sz w:val="21"/>
                <w:szCs w:val="21"/>
                <w:highlight w:val="none"/>
                <w:shd w:val="clear" w:color="auto" w:fill="auto"/>
                <w:lang w:val="en-US" w:eastAsia="zh-CN"/>
              </w:rPr>
              <w:t>0</w:t>
            </w:r>
            <w:r>
              <w:rPr>
                <w:rFonts w:hint="eastAsia" w:ascii="宋体" w:hAnsi="宋体" w:eastAsia="宋体" w:cs="宋体"/>
                <w:color w:val="auto"/>
                <w:sz w:val="21"/>
                <w:szCs w:val="21"/>
                <w:highlight w:val="none"/>
                <w:shd w:val="clear" w:color="auto" w:fill="auto"/>
                <w:lang w:val="zh-CN" w:eastAsia="zh-CN"/>
              </w:rPr>
              <w:t>分</w:t>
            </w:r>
            <w:r>
              <w:rPr>
                <w:rFonts w:hint="eastAsia" w:ascii="宋体" w:hAnsi="宋体" w:eastAsia="宋体" w:cs="宋体"/>
                <w:color w:val="auto"/>
                <w:sz w:val="21"/>
                <w:szCs w:val="21"/>
                <w:highlight w:val="none"/>
                <w:shd w:val="clear" w:color="auto" w:fill="auto"/>
                <w:lang w:val="en-US" w:eastAsia="zh-CN"/>
              </w:rPr>
              <w:t>。</w:t>
            </w:r>
            <w:bookmarkEnd w:id="126"/>
          </w:p>
        </w:tc>
      </w:tr>
    </w:tbl>
    <w:p w14:paraId="6181664D">
      <w:pPr>
        <w:spacing w:after="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说明：</w:t>
      </w:r>
    </w:p>
    <w:p w14:paraId="683F53E8">
      <w:pPr>
        <w:spacing w:after="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1.本评审办法按百分制打分，按照评分的权重计入评审总分。</w:t>
      </w:r>
    </w:p>
    <w:p w14:paraId="2BDF590E">
      <w:pPr>
        <w:spacing w:after="0"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2.磋商响应文件缺失某项评审因素的，该项计零分。                                                                                         3.技术部分评分中，各评审委员会成员应自主评分并签字确认。各评审委员会成员的评分应在评审委员会进行公示，某个评审委员会成员对某磋商响应文件评分分值低于（高于）所有评审委员会成员对该磋商响应文件评分分值去掉最高和最低分值的平均分值10分以上（含10分）的，该审标委员会成员须向评审委员会作出明确解释，理由不充分的该评审委员会成员应对其评分作修正，若拒不修正的，该评审委员会成员对此磋商响应文件的评分不得参与计算此磋商响应文件的技术部分得分。</w:t>
      </w:r>
    </w:p>
    <w:p w14:paraId="3D9FDFB8">
      <w:pPr>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评审办法正文</w:t>
      </w:r>
    </w:p>
    <w:p w14:paraId="0F7A9FE8">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1、评审方法</w:t>
      </w:r>
      <w:bookmarkEnd w:id="121"/>
      <w:bookmarkEnd w:id="122"/>
    </w:p>
    <w:p w14:paraId="5451AEF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一、本次采购所采用的评审方法为“综合评分法”。</w:t>
      </w:r>
    </w:p>
    <w:p w14:paraId="68C977A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评分法”指响应文件满足磋商文件全部实质性要求且按评审因素的量化指标评审得分最高的供应商为成交候选供应商的评审方法。磋商小组应当根据综合评分情况，按照评审得分由高到低顺序推荐3名以上成交候选供应商，并编写评审报告。</w:t>
      </w:r>
    </w:p>
    <w:p w14:paraId="57D21114">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符合《政府采购竞争性磋商采购方式管理暂行办法》第三条第四项（</w:t>
      </w:r>
      <w:r>
        <w:rPr>
          <w:rFonts w:hint="eastAsia" w:asciiTheme="minorEastAsia" w:hAnsiTheme="minorEastAsia" w:eastAsiaTheme="minorEastAsia" w:cstheme="minorEastAsia"/>
          <w:b/>
          <w:color w:val="auto"/>
          <w:sz w:val="24"/>
          <w:szCs w:val="24"/>
          <w:highlight w:val="none"/>
        </w:rPr>
        <w:t>市场竞争不充分的科研项目，以及需要扶持的科技成果转化项目）</w:t>
      </w:r>
      <w:r>
        <w:rPr>
          <w:rFonts w:hint="eastAsia" w:asciiTheme="minorEastAsia" w:hAnsiTheme="minorEastAsia" w:eastAsiaTheme="minorEastAsia" w:cstheme="minorEastAsia"/>
          <w:color w:val="auto"/>
          <w:sz w:val="24"/>
          <w:szCs w:val="24"/>
          <w:highlight w:val="none"/>
        </w:rPr>
        <w:t>情形的，提交最后报价的供应商可以为2家。评审得分相同的，按照最后报价由低到高的顺序推荐。评审得分且最后报价相同的，按照技术指标优劣顺序推荐。</w:t>
      </w:r>
    </w:p>
    <w:p w14:paraId="7D59C4DF">
      <w:pPr>
        <w:shd w:val="clear" w:color="auto" w:fill="FFFFFF"/>
        <w:spacing w:before="75" w:after="330" w:line="48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二、本办法是磋商小组确定成交候选人的依据，在评审过程中应充分体现公开透明原则、公平竞争原则、公正原则和诚实信用原则。</w:t>
      </w:r>
    </w:p>
    <w:p w14:paraId="4A92CF3C">
      <w:pPr>
        <w:rPr>
          <w:rFonts w:hint="eastAsia" w:asciiTheme="minorEastAsia" w:hAnsiTheme="minorEastAsia" w:eastAsiaTheme="minorEastAsia" w:cstheme="minorEastAsia"/>
          <w:b/>
          <w:color w:val="auto"/>
          <w:sz w:val="28"/>
          <w:szCs w:val="28"/>
          <w:highlight w:val="none"/>
        </w:rPr>
      </w:pPr>
      <w:bookmarkStart w:id="127" w:name="_bookmark68"/>
      <w:bookmarkEnd w:id="127"/>
      <w:bookmarkStart w:id="128" w:name="_Toc525207135"/>
      <w:bookmarkStart w:id="129" w:name="_Toc530733565"/>
      <w:r>
        <w:rPr>
          <w:rFonts w:hint="eastAsia" w:asciiTheme="minorEastAsia" w:hAnsiTheme="minorEastAsia" w:eastAsiaTheme="minorEastAsia" w:cstheme="minorEastAsia"/>
          <w:b/>
          <w:color w:val="auto"/>
          <w:sz w:val="28"/>
          <w:szCs w:val="28"/>
          <w:highlight w:val="none"/>
        </w:rPr>
        <w:t>2、评审标准</w:t>
      </w:r>
      <w:bookmarkEnd w:id="128"/>
      <w:bookmarkEnd w:id="129"/>
    </w:p>
    <w:p w14:paraId="7BF4057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2.1初步评审标准</w:t>
      </w:r>
    </w:p>
    <w:p w14:paraId="639432B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2.1.1形式评审标准：见评审办法前附表。</w:t>
      </w:r>
    </w:p>
    <w:p w14:paraId="6D095974">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2.1.2资格评审标准：见评审办法前附表（适用于未进行资格预审的）。</w:t>
      </w:r>
    </w:p>
    <w:p w14:paraId="62F0A2C2">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2.1.3响应性评审标准：见评审办法前附表。</w:t>
      </w:r>
    </w:p>
    <w:p w14:paraId="4C09373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2.2详细评审标准：见评审办法前附表。</w:t>
      </w:r>
    </w:p>
    <w:p w14:paraId="76CC6D8C">
      <w:pPr>
        <w:rPr>
          <w:rFonts w:hint="eastAsia" w:asciiTheme="minorEastAsia" w:hAnsiTheme="minorEastAsia" w:eastAsiaTheme="minorEastAsia" w:cstheme="minorEastAsia"/>
          <w:b/>
          <w:color w:val="auto"/>
          <w:sz w:val="28"/>
          <w:szCs w:val="28"/>
          <w:highlight w:val="none"/>
        </w:rPr>
      </w:pPr>
      <w:bookmarkStart w:id="130" w:name="_bookmark69"/>
      <w:bookmarkEnd w:id="130"/>
      <w:bookmarkStart w:id="131" w:name="_Toc525207136"/>
      <w:bookmarkStart w:id="132" w:name="_Toc530733566"/>
      <w:r>
        <w:rPr>
          <w:rFonts w:hint="eastAsia" w:asciiTheme="minorEastAsia" w:hAnsiTheme="minorEastAsia" w:eastAsiaTheme="minorEastAsia" w:cstheme="minorEastAsia"/>
          <w:b/>
          <w:color w:val="auto"/>
          <w:sz w:val="28"/>
          <w:szCs w:val="28"/>
          <w:highlight w:val="none"/>
        </w:rPr>
        <w:t>3、评审程序</w:t>
      </w:r>
      <w:bookmarkEnd w:id="131"/>
      <w:bookmarkEnd w:id="132"/>
    </w:p>
    <w:p w14:paraId="38B65F6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3.1初步评审</w:t>
      </w:r>
    </w:p>
    <w:p w14:paraId="028791E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3.1.1磋商小组依据本章第2.1.1项、第2.1.2项、第2.1.3项顺序及规定的评审标准对磋商响应文件进行初步评审。有一项不符合评审标准的，作否决投标处理。供应商只有通过初步评审才能进入第二轮报价及承诺。</w:t>
      </w:r>
    </w:p>
    <w:p w14:paraId="1F46361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3.1.2初步评审步骤：</w:t>
      </w:r>
    </w:p>
    <w:p w14:paraId="38F9EB5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1、评审会议主持；</w:t>
      </w:r>
    </w:p>
    <w:p w14:paraId="105F0F6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2、第一次报价不公布，进入资格评审程序；</w:t>
      </w:r>
    </w:p>
    <w:p w14:paraId="0A83EA4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3、磋商小组依据磋商文件的规定对供应商提供的响应文件进行资格符合性审查；</w:t>
      </w:r>
    </w:p>
    <w:p w14:paraId="66DA9F7E">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4、磋商小组依据磋商文件的规定对供应商提供的响应文件进行初步评审；</w:t>
      </w:r>
    </w:p>
    <w:p w14:paraId="55AA7958">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5、磋商小组成员与通过初步评审、资格性审查的供应商按照随机次序分别进行磋商；</w:t>
      </w:r>
    </w:p>
    <w:p w14:paraId="50891784">
      <w:pPr>
        <w:spacing w:after="0" w:line="52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6、第二轮报价及承诺（</w:t>
      </w:r>
      <w:r>
        <w:rPr>
          <w:rFonts w:hint="eastAsia" w:ascii="宋体" w:hAnsi="宋体" w:eastAsia="宋体" w:cs="宋体"/>
          <w:color w:val="auto"/>
          <w:kern w:val="0"/>
          <w:szCs w:val="21"/>
          <w:highlight w:val="none"/>
          <w:lang w:val="en-US" w:eastAsia="zh-CN"/>
        </w:rPr>
        <w:t>各供应商须根据政府采购云平台的系统提示在规定时间内（30分钟）进行填报</w:t>
      </w:r>
      <w:r>
        <w:rPr>
          <w:rFonts w:hint="eastAsia" w:ascii="宋体" w:hAnsi="宋体" w:eastAsia="宋体" w:cs="宋体"/>
          <w:color w:val="auto"/>
          <w:kern w:val="0"/>
          <w:szCs w:val="21"/>
          <w:highlight w:val="none"/>
        </w:rPr>
        <w:t>二次报价及承诺</w:t>
      </w:r>
      <w:r>
        <w:rPr>
          <w:rFonts w:hint="eastAsia" w:asciiTheme="minorEastAsia" w:hAnsiTheme="minorEastAsia" w:eastAsiaTheme="minorEastAsia" w:cstheme="minorEastAsia"/>
          <w:color w:val="auto"/>
          <w:sz w:val="24"/>
          <w:szCs w:val="24"/>
          <w:highlight w:val="none"/>
        </w:rPr>
        <w:t>。第二轮磋商报价为供应商的最终报价。若供应商最终报价超过最高限价，按无效响应文件处理）。</w:t>
      </w:r>
    </w:p>
    <w:p w14:paraId="140B434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3.1.3磋商报价有算术错误的，磋商小组按以下原则对磋商报价进行修正，修正的价格经供应商书面确认后具有约束力。供应商不接受修正价格的，其磋商响应文件作否决投标处理。</w:t>
      </w:r>
    </w:p>
    <w:p w14:paraId="7AAEE79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（1）磋商响应文件中的大写金额与小写金额不一致的，以大写金额为准；</w:t>
      </w:r>
    </w:p>
    <w:p w14:paraId="4143C7F6">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（2）总价金额与依据单价计算出的结果不一致的，以单价金额为准修正总价，但单价金额小数点有明显错误的除外。 </w:t>
      </w:r>
    </w:p>
    <w:p w14:paraId="615303D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3.1.4供应商有以下情形之一的，其磋商作否决投标处理：</w:t>
      </w:r>
    </w:p>
    <w:p w14:paraId="393B947B">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1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⑴</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不符合第二章“供应商须知”第1.4.1项规定的任何一种情形的：</w:t>
      </w:r>
    </w:p>
    <w:p w14:paraId="657C6269">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2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⑵</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串通磋商或弄虚作假或有其他违法行为的；</w:t>
      </w:r>
    </w:p>
    <w:p w14:paraId="15AF5AB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3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⑶</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不响应采购文件要求的，或者拒不按照评审委员会要求对其进行澄清、说明或者补正的；</w:t>
      </w:r>
    </w:p>
    <w:p w14:paraId="774D037D">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4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⑷</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未按规定的格式编制内容的，或内容不全或关键字迹模糊、无法辨认的；</w:t>
      </w:r>
    </w:p>
    <w:p w14:paraId="35BB02A9">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5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⑸</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供应商递交两份或多份内容不同的竞争性磋商响应文件，或在一份竞争性磋商响应文件中对同一采购项目报有两个或多个报价，且未声明哪一个有效；</w:t>
      </w:r>
    </w:p>
    <w:p w14:paraId="58FDF8C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6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⑹</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供应商名称或组织结构与资格审查不一致的；</w:t>
      </w:r>
    </w:p>
    <w:p w14:paraId="5679A2D4">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7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⑺</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在形式评审、资格评审、响应性评审中，评审委员会认定供应商不符合评标办法前附表中规定的任何一项评审标准的；</w:t>
      </w:r>
    </w:p>
    <w:p w14:paraId="67F0E951">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8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⑻</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供应商在响应文件中签章或签名的名称或人员与其他供应商在响应文件中的签章或签名的名称或人员为同一人的；</w:t>
      </w:r>
    </w:p>
    <w:p w14:paraId="165A41A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9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⑼</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竞争性磋商响应文件附有采购人不能接受的条件、内容的；</w:t>
      </w:r>
    </w:p>
    <w:p w14:paraId="2E7521AC">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10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⑽</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供应商工程量清单报价（或磋商报价明细表）存在有重大漏项、缺项，且在响应文件中没有明确的阐述和承诺的；</w:t>
      </w:r>
    </w:p>
    <w:p w14:paraId="577B4D15">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11 \* GB2</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⑾</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违反国家、省、市相关法律法规的；</w:t>
      </w:r>
    </w:p>
    <w:p w14:paraId="0C2806AF">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 详细评审</w:t>
      </w:r>
    </w:p>
    <w:p w14:paraId="7CD3275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 磋商小组按本章第2.2款规定的量化因素和分值进行打分，并计算出最终得分。</w:t>
      </w:r>
    </w:p>
    <w:p w14:paraId="4E553286">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磋商小组发现供应商的报价明显低于其他磋商报价，或者在设有标底时明显低于标底，使得其磋商报价可能低于其个别成本的，应当要求该供应商作出书面说明并提供相应的证明材料。供应商不能合理说明或者不能提供相应证明材料的，由磋商小组认定该供应商以低于成本报价竞标，其磋商响应文件作否决投标处理。</w:t>
      </w:r>
    </w:p>
    <w:p w14:paraId="2E572F8A">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 磋商响应文件的澄清和补正 </w:t>
      </w:r>
    </w:p>
    <w:p w14:paraId="58218FA6">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3.3.1在评审过程中，磋商小组可以书面形式要求供应商对所提交的磋商响应文件中不明确的内容进行书面澄清或说明，或者对细微偏差进行补正。磋商小组不接受投标人主动提出的澄清、说明或补正。 </w:t>
      </w:r>
    </w:p>
    <w:p w14:paraId="3402746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 澄清、说明和补正不得改变磋商响应文件的实质性内容（算术性错误修正的除外）。供应商的书面澄清、说明和补正属于磋商响应文件的组成部分。 </w:t>
      </w:r>
    </w:p>
    <w:p w14:paraId="2AEB99D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3.3.3 磋商小组对供应商提交的澄清、说明或补正有疑问的，可以要求供应商进一步澄清、说明或补正，直至满足磋商小组的要求。</w:t>
      </w:r>
    </w:p>
    <w:p w14:paraId="153181B7">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3.4评审结果</w:t>
      </w:r>
    </w:p>
    <w:p w14:paraId="7B800C95">
      <w:pPr>
        <w:pStyle w:val="58"/>
        <w:spacing w:before="0" w:beforeAutospacing="0" w:after="0" w:afterAutospacing="0" w:line="50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3.4.1磋商小组根据综合评分情况，按照评审得分由高到低顺序推荐3名以上成交候选供应商，并编写评审报告。符合本办法3.4.2情形的，可以推荐2家成交候选供应商。评审得分相同的，按照最后报价由低到高的顺序推荐。评审得分且最后报价相同的，按照技术指标优劣顺序推荐。</w:t>
      </w:r>
    </w:p>
    <w:p w14:paraId="4E93A5EA">
      <w:pPr>
        <w:pStyle w:val="58"/>
        <w:spacing w:before="0" w:beforeAutospacing="0" w:after="0" w:afterAutospacing="0" w:line="50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3.4.2根据财政部文件财库〔2015〕124号财政部《关于政府采购竞争性磋商采购方式管理暂行办法有关问题的补充通知》号文，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2827F33A">
      <w:pPr>
        <w:pStyle w:val="58"/>
        <w:spacing w:before="0" w:beforeAutospacing="0" w:after="0" w:afterAutospacing="0" w:line="50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3.4.3磋商小组完成评审后，应当向采购人提交书面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48D8073">
      <w:pPr>
        <w:pStyle w:val="58"/>
        <w:spacing w:before="0" w:beforeAutospacing="0" w:after="0" w:afterAutospacing="0" w:line="500" w:lineRule="exact"/>
        <w:ind w:firstLine="480" w:firstLineChars="200"/>
        <w:rPr>
          <w:rFonts w:hint="eastAsia" w:asciiTheme="minorEastAsia" w:hAnsiTheme="minorEastAsia" w:eastAsiaTheme="minorEastAsia" w:cstheme="minorEastAsia"/>
          <w:color w:val="auto"/>
          <w:highlight w:val="none"/>
        </w:rPr>
      </w:pPr>
    </w:p>
    <w:p w14:paraId="2D8341E0">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p>
    <w:p w14:paraId="36613333">
      <w:pPr>
        <w:spacing w:after="0" w:line="520" w:lineRule="exact"/>
        <w:ind w:firstLine="480" w:firstLineChars="200"/>
        <w:rPr>
          <w:rFonts w:hint="eastAsia" w:asciiTheme="minorEastAsia" w:hAnsiTheme="minorEastAsia" w:eastAsiaTheme="minorEastAsia" w:cstheme="minorEastAsia"/>
          <w:color w:val="auto"/>
          <w:sz w:val="24"/>
          <w:szCs w:val="24"/>
          <w:highlight w:val="none"/>
        </w:rPr>
      </w:pPr>
    </w:p>
    <w:p w14:paraId="7C59288B">
      <w:pPr>
        <w:adjustRightInd/>
        <w:snapToGrid/>
        <w:spacing w:after="0"/>
        <w:rPr>
          <w:rFonts w:hint="eastAsia" w:asciiTheme="minorEastAsia" w:hAnsiTheme="minorEastAsia" w:eastAsiaTheme="minorEastAsia" w:cstheme="minorEastAsia"/>
          <w:b/>
          <w:bCs/>
          <w:color w:val="auto"/>
          <w:kern w:val="44"/>
          <w:sz w:val="40"/>
          <w:szCs w:val="44"/>
          <w:highlight w:val="none"/>
        </w:rPr>
      </w:pPr>
      <w:bookmarkStart w:id="133" w:name="_Toc517963435"/>
      <w:r>
        <w:rPr>
          <w:rFonts w:hint="eastAsia" w:asciiTheme="minorEastAsia" w:hAnsiTheme="minorEastAsia" w:eastAsiaTheme="minorEastAsia" w:cstheme="minorEastAsia"/>
          <w:color w:val="auto"/>
          <w:sz w:val="40"/>
          <w:highlight w:val="none"/>
        </w:rPr>
        <w:br w:type="page"/>
      </w:r>
      <w:bookmarkStart w:id="134" w:name="_Toc530733567"/>
    </w:p>
    <w:p w14:paraId="4D10E4B6">
      <w:pPr>
        <w:pStyle w:val="2"/>
        <w:spacing w:line="276" w:lineRule="auto"/>
        <w:jc w:val="center"/>
        <w:rPr>
          <w:rFonts w:hint="default" w:asciiTheme="minorEastAsia" w:hAnsiTheme="minorEastAsia" w:eastAsiaTheme="minorEastAsia" w:cstheme="minorEastAsia"/>
          <w:color w:val="auto"/>
          <w:sz w:val="40"/>
          <w:highlight w:val="none"/>
          <w:lang w:val="en-US" w:eastAsia="zh-CN"/>
        </w:rPr>
      </w:pPr>
      <w:bookmarkStart w:id="135" w:name="_Toc15281"/>
      <w:r>
        <w:rPr>
          <w:rFonts w:hint="eastAsia" w:asciiTheme="minorEastAsia" w:hAnsiTheme="minorEastAsia" w:eastAsiaTheme="minorEastAsia" w:cstheme="minorEastAsia"/>
          <w:color w:val="auto"/>
          <w:sz w:val="40"/>
          <w:highlight w:val="none"/>
        </w:rPr>
        <w:t>第四章 合同条款及格式</w:t>
      </w:r>
      <w:bookmarkEnd w:id="133"/>
      <w:bookmarkEnd w:id="134"/>
      <w:bookmarkEnd w:id="135"/>
      <w:bookmarkStart w:id="136" w:name="_Toc517963436"/>
      <w:bookmarkStart w:id="137" w:name="_Toc530733568"/>
      <w:r>
        <w:rPr>
          <w:rFonts w:hint="eastAsia" w:asciiTheme="minorEastAsia" w:hAnsiTheme="minorEastAsia" w:eastAsiaTheme="minorEastAsia" w:cstheme="minorEastAsia"/>
          <w:color w:val="auto"/>
          <w:sz w:val="40"/>
          <w:highlight w:val="none"/>
          <w:lang w:val="en-US" w:eastAsia="zh-CN"/>
        </w:rPr>
        <w:t>(参考格式)</w:t>
      </w:r>
    </w:p>
    <w:p w14:paraId="06B0F8D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bCs/>
          <w:color w:val="000000"/>
          <w:sz w:val="84"/>
          <w:szCs w:val="84"/>
        </w:rPr>
      </w:pPr>
      <w:r>
        <w:rPr>
          <w:rFonts w:hint="eastAsia" w:asciiTheme="minorEastAsia" w:hAnsiTheme="minorEastAsia" w:eastAsiaTheme="minorEastAsia"/>
          <w:color w:val="auto"/>
          <w:szCs w:val="32"/>
        </w:rPr>
        <w:t>（甲乙双方协商签订）</w:t>
      </w:r>
    </w:p>
    <w:p w14:paraId="4783449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bCs/>
          <w:color w:val="000000"/>
          <w:sz w:val="84"/>
          <w:szCs w:val="84"/>
        </w:rPr>
      </w:pPr>
      <w:r>
        <w:rPr>
          <w:rFonts w:hint="eastAsia" w:ascii="宋体" w:hAnsi="宋体" w:eastAsia="宋体" w:cs="宋体"/>
          <w:b/>
          <w:bCs/>
          <w:color w:val="000000"/>
          <w:sz w:val="84"/>
          <w:szCs w:val="84"/>
        </w:rPr>
        <w:t>采</w:t>
      </w:r>
    </w:p>
    <w:p w14:paraId="3EA4917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bCs/>
          <w:color w:val="000000"/>
          <w:sz w:val="84"/>
          <w:szCs w:val="84"/>
        </w:rPr>
      </w:pPr>
    </w:p>
    <w:p w14:paraId="1ED8A77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bCs/>
          <w:color w:val="000000"/>
          <w:sz w:val="84"/>
          <w:szCs w:val="84"/>
        </w:rPr>
      </w:pPr>
      <w:r>
        <w:rPr>
          <w:rFonts w:hint="eastAsia" w:ascii="宋体" w:hAnsi="宋体" w:eastAsia="宋体" w:cs="宋体"/>
          <w:b/>
          <w:bCs/>
          <w:color w:val="000000"/>
          <w:sz w:val="84"/>
          <w:szCs w:val="84"/>
        </w:rPr>
        <w:t>购</w:t>
      </w:r>
    </w:p>
    <w:p w14:paraId="3C4C651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bCs/>
          <w:color w:val="000000"/>
          <w:sz w:val="84"/>
          <w:szCs w:val="84"/>
        </w:rPr>
      </w:pPr>
    </w:p>
    <w:p w14:paraId="5A1283C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bCs/>
          <w:color w:val="000000"/>
          <w:sz w:val="84"/>
          <w:szCs w:val="84"/>
        </w:rPr>
      </w:pPr>
      <w:r>
        <w:rPr>
          <w:rFonts w:hint="eastAsia" w:ascii="宋体" w:hAnsi="宋体" w:eastAsia="宋体" w:cs="宋体"/>
          <w:b/>
          <w:bCs/>
          <w:color w:val="000000"/>
          <w:sz w:val="84"/>
          <w:szCs w:val="84"/>
        </w:rPr>
        <w:t>合</w:t>
      </w:r>
    </w:p>
    <w:p w14:paraId="0E749F4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bCs/>
          <w:color w:val="000000"/>
          <w:sz w:val="84"/>
          <w:szCs w:val="84"/>
        </w:rPr>
      </w:pPr>
    </w:p>
    <w:p w14:paraId="668C9E5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color w:val="000000"/>
          <w:sz w:val="32"/>
          <w:szCs w:val="32"/>
        </w:rPr>
      </w:pPr>
      <w:r>
        <w:rPr>
          <w:rFonts w:hint="eastAsia" w:ascii="宋体" w:hAnsi="宋体" w:eastAsia="宋体" w:cs="宋体"/>
          <w:b/>
          <w:bCs/>
          <w:color w:val="000000"/>
          <w:sz w:val="84"/>
          <w:szCs w:val="84"/>
        </w:rPr>
        <w:t>同</w:t>
      </w:r>
    </w:p>
    <w:p w14:paraId="45669756">
      <w:pPr>
        <w:pageBreakBefore w:val="0"/>
        <w:kinsoku/>
        <w:wordWrap/>
        <w:topLinePunct w:val="0"/>
        <w:bidi w:val="0"/>
        <w:spacing w:line="440" w:lineRule="exact"/>
        <w:ind w:firstLine="1430" w:firstLineChars="445"/>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签订地点：   </w:t>
      </w:r>
    </w:p>
    <w:p w14:paraId="2AE3A427">
      <w:pPr>
        <w:pageBreakBefore w:val="0"/>
        <w:kinsoku/>
        <w:wordWrap/>
        <w:topLinePunct w:val="0"/>
        <w:bidi w:val="0"/>
        <w:spacing w:line="440" w:lineRule="exact"/>
        <w:ind w:firstLine="1430" w:firstLineChars="445"/>
        <w:rPr>
          <w:rFonts w:hint="eastAsia" w:ascii="宋体" w:hAnsi="宋体" w:eastAsia="宋体" w:cs="宋体"/>
          <w:color w:val="000000"/>
        </w:rPr>
      </w:pPr>
      <w:r>
        <w:rPr>
          <w:rFonts w:hint="eastAsia" w:ascii="宋体" w:hAnsi="宋体" w:eastAsia="宋体" w:cs="宋体"/>
          <w:b/>
          <w:color w:val="000000"/>
          <w:sz w:val="32"/>
          <w:szCs w:val="32"/>
        </w:rPr>
        <w:t>签订时间：      年   月    日</w:t>
      </w:r>
      <w:bookmarkStart w:id="138" w:name="_Toc243564648"/>
    </w:p>
    <w:bookmarkEnd w:id="138"/>
    <w:p w14:paraId="01351075">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合同编号： </w:t>
      </w:r>
    </w:p>
    <w:p w14:paraId="0AD19ED2">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签订地点： </w:t>
      </w:r>
    </w:p>
    <w:p w14:paraId="7D3E1E0F">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签订时间：</w:t>
      </w:r>
      <w:r>
        <w:rPr>
          <w:rFonts w:hint="eastAsia" w:ascii="宋体" w:hAnsi="宋体" w:eastAsia="宋体" w:cs="宋体"/>
          <w:color w:val="000000"/>
          <w:szCs w:val="21"/>
        </w:rPr>
        <w:t>XXXX</w:t>
      </w:r>
      <w:r>
        <w:rPr>
          <w:rFonts w:hint="eastAsia" w:ascii="宋体" w:hAnsi="宋体" w:eastAsia="宋体" w:cs="宋体"/>
          <w:color w:val="000000"/>
          <w:sz w:val="24"/>
        </w:rPr>
        <w:t>年</w:t>
      </w:r>
      <w:r>
        <w:rPr>
          <w:rFonts w:hint="eastAsia" w:ascii="宋体" w:hAnsi="宋体" w:eastAsia="宋体" w:cs="宋体"/>
          <w:color w:val="000000"/>
          <w:szCs w:val="21"/>
        </w:rPr>
        <w:t>XX</w:t>
      </w:r>
      <w:r>
        <w:rPr>
          <w:rFonts w:hint="eastAsia" w:ascii="宋体" w:hAnsi="宋体" w:eastAsia="宋体" w:cs="宋体"/>
          <w:color w:val="000000"/>
          <w:sz w:val="24"/>
        </w:rPr>
        <w:t>月</w:t>
      </w:r>
      <w:r>
        <w:rPr>
          <w:rFonts w:hint="eastAsia" w:ascii="宋体" w:hAnsi="宋体" w:eastAsia="宋体" w:cs="宋体"/>
          <w:color w:val="000000"/>
          <w:szCs w:val="21"/>
        </w:rPr>
        <w:t>XX</w:t>
      </w:r>
      <w:r>
        <w:rPr>
          <w:rFonts w:hint="eastAsia" w:ascii="宋体" w:hAnsi="宋体" w:eastAsia="宋体" w:cs="宋体"/>
          <w:color w:val="000000"/>
          <w:sz w:val="24"/>
        </w:rPr>
        <w:t>日。</w:t>
      </w:r>
    </w:p>
    <w:p w14:paraId="06259514">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采购人（甲方）：</w:t>
      </w:r>
      <w:r>
        <w:rPr>
          <w:rFonts w:hint="eastAsia" w:ascii="宋体" w:hAnsi="宋体" w:eastAsia="宋体" w:cs="宋体"/>
          <w:color w:val="000000"/>
          <w:sz w:val="24"/>
          <w:u w:val="single"/>
        </w:rPr>
        <w:t xml:space="preserve">                              </w:t>
      </w:r>
    </w:p>
    <w:p w14:paraId="32BDE755">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供应商（乙方）：</w:t>
      </w:r>
      <w:r>
        <w:rPr>
          <w:rFonts w:hint="eastAsia" w:ascii="宋体" w:hAnsi="宋体" w:eastAsia="宋体" w:cs="宋体"/>
          <w:color w:val="000000"/>
          <w:sz w:val="24"/>
          <w:u w:val="single"/>
        </w:rPr>
        <w:t xml:space="preserve">                              </w:t>
      </w:r>
    </w:p>
    <w:p w14:paraId="1D33BEC0">
      <w:pPr>
        <w:pageBreakBefore w:val="0"/>
        <w:kinsoku/>
        <w:wordWrap/>
        <w:topLinePunct w:val="0"/>
        <w:bidi w:val="0"/>
        <w:spacing w:line="440" w:lineRule="exact"/>
        <w:rPr>
          <w:rFonts w:hint="eastAsia" w:ascii="宋体" w:hAnsi="宋体" w:eastAsia="宋体" w:cs="宋体"/>
          <w:color w:val="000000"/>
          <w:sz w:val="24"/>
        </w:rPr>
      </w:pPr>
    </w:p>
    <w:p w14:paraId="5B75B7A4">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依据《中华人民共和国合同法》、《中华人民共和国政府采购法》与项目行业有关的法律法规，以及</w:t>
      </w:r>
      <w:r>
        <w:rPr>
          <w:rFonts w:hint="eastAsia" w:ascii="宋体" w:hAnsi="宋体" w:eastAsia="宋体" w:cs="宋体"/>
          <w:color w:val="000000"/>
          <w:szCs w:val="21"/>
        </w:rPr>
        <w:t>XXXX</w:t>
      </w:r>
      <w:r>
        <w:rPr>
          <w:rFonts w:hint="eastAsia" w:ascii="宋体" w:hAnsi="宋体" w:eastAsia="宋体" w:cs="宋体"/>
          <w:color w:val="000000"/>
          <w:sz w:val="24"/>
        </w:rPr>
        <w:t>项目（项目编号：</w:t>
      </w:r>
      <w:r>
        <w:rPr>
          <w:rFonts w:hint="eastAsia" w:ascii="宋体" w:hAnsi="宋体" w:eastAsia="宋体" w:cs="宋体"/>
          <w:color w:val="000000"/>
          <w:szCs w:val="21"/>
        </w:rPr>
        <w:t>XXXX</w:t>
      </w:r>
      <w:r>
        <w:rPr>
          <w:rFonts w:hint="eastAsia" w:ascii="宋体" w:hAnsi="宋体" w:eastAsia="宋体" w:cs="宋体"/>
          <w:color w:val="000000"/>
          <w:sz w:val="24"/>
        </w:rPr>
        <w:t>）的《采购文件》，乙方的《</w:t>
      </w:r>
      <w:r>
        <w:rPr>
          <w:rFonts w:hint="eastAsia" w:ascii="宋体" w:hAnsi="宋体" w:eastAsia="宋体" w:cs="宋体"/>
          <w:color w:val="000000"/>
          <w:sz w:val="24"/>
          <w:lang w:eastAsia="zh-CN"/>
        </w:rPr>
        <w:t>响应文件</w:t>
      </w:r>
      <w:r>
        <w:rPr>
          <w:rFonts w:hint="eastAsia" w:ascii="宋体" w:hAnsi="宋体" w:eastAsia="宋体" w:cs="宋体"/>
          <w:color w:val="000000"/>
          <w:sz w:val="24"/>
        </w:rPr>
        <w:t>》及《中标通知书》，甲、乙双方同意签订本合同。详细技术说明及其他有关合同项目的特定信息由合同附件予以说明，合同附件及本项目的《采购文件》、《</w:t>
      </w:r>
      <w:r>
        <w:rPr>
          <w:rFonts w:hint="eastAsia" w:ascii="宋体" w:hAnsi="宋体" w:eastAsia="宋体" w:cs="宋体"/>
          <w:color w:val="000000"/>
          <w:sz w:val="24"/>
          <w:lang w:eastAsia="zh-CN"/>
        </w:rPr>
        <w:t>响应文件</w:t>
      </w:r>
      <w:r>
        <w:rPr>
          <w:rFonts w:hint="eastAsia" w:ascii="宋体" w:hAnsi="宋体" w:eastAsia="宋体" w:cs="宋体"/>
          <w:color w:val="000000"/>
          <w:sz w:val="24"/>
        </w:rPr>
        <w:t xml:space="preserve">》、《中标通知书》等均为本合同的组成部分。 </w:t>
      </w:r>
    </w:p>
    <w:p w14:paraId="43CDAB00">
      <w:pPr>
        <w:pageBreakBefore w:val="0"/>
        <w:numPr>
          <w:ilvl w:val="0"/>
          <w:numId w:val="1"/>
        </w:numPr>
        <w:kinsoku/>
        <w:wordWrap/>
        <w:topLinePunct w:val="0"/>
        <w:bidi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项目基本情况</w:t>
      </w:r>
    </w:p>
    <w:p w14:paraId="5F53FA2C">
      <w:pPr>
        <w:pageBreakBefore w:val="0"/>
        <w:kinsoku/>
        <w:wordWrap/>
        <w:topLinePunct w:val="0"/>
        <w:bidi w:val="0"/>
        <w:spacing w:line="440" w:lineRule="exact"/>
        <w:ind w:firstLine="630"/>
        <w:rPr>
          <w:rFonts w:hint="eastAsia" w:ascii="宋体" w:hAnsi="宋体" w:eastAsia="宋体" w:cs="宋体"/>
          <w:b/>
          <w:color w:val="000000"/>
          <w:sz w:val="24"/>
        </w:rPr>
      </w:pPr>
      <w:r>
        <w:rPr>
          <w:rFonts w:hint="eastAsia" w:ascii="宋体" w:hAnsi="宋体" w:eastAsia="宋体" w:cs="宋体"/>
          <w:b/>
          <w:color w:val="000000"/>
          <w:sz w:val="24"/>
        </w:rPr>
        <w:t>……</w:t>
      </w:r>
    </w:p>
    <w:p w14:paraId="6773936D">
      <w:pPr>
        <w:pageBreakBefore w:val="0"/>
        <w:numPr>
          <w:ilvl w:val="0"/>
          <w:numId w:val="1"/>
        </w:numPr>
        <w:kinsoku/>
        <w:wordWrap/>
        <w:topLinePunct w:val="0"/>
        <w:bidi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合同期限</w:t>
      </w:r>
    </w:p>
    <w:p w14:paraId="69A91E2F">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w:t>
      </w:r>
    </w:p>
    <w:p w14:paraId="1363B51A">
      <w:pPr>
        <w:pageBreakBefore w:val="0"/>
        <w:numPr>
          <w:ilvl w:val="0"/>
          <w:numId w:val="1"/>
        </w:numPr>
        <w:kinsoku/>
        <w:wordWrap/>
        <w:topLinePunct w:val="0"/>
        <w:bidi w:val="0"/>
        <w:spacing w:line="440" w:lineRule="exact"/>
        <w:rPr>
          <w:rFonts w:hint="eastAsia" w:ascii="宋体" w:hAnsi="宋体" w:eastAsia="宋体" w:cs="宋体"/>
          <w:b/>
          <w:color w:val="000000"/>
          <w:sz w:val="24"/>
        </w:rPr>
      </w:pPr>
      <w:bookmarkStart w:id="139" w:name="_Toc251768862"/>
      <w:bookmarkStart w:id="140" w:name="_Toc283019214"/>
      <w:bookmarkStart w:id="141" w:name="_Toc237145406"/>
      <w:bookmarkStart w:id="142" w:name="_Toc225670751"/>
      <w:bookmarkStart w:id="143" w:name="_Toc211911348"/>
      <w:bookmarkStart w:id="144" w:name="_Toc212019594"/>
      <w:bookmarkStart w:id="145" w:name="_Toc247334841"/>
      <w:bookmarkStart w:id="146" w:name="_Toc225654644"/>
      <w:bookmarkStart w:id="147" w:name="_Toc185395249"/>
      <w:bookmarkStart w:id="148" w:name="_Toc286993786"/>
      <w:bookmarkStart w:id="149" w:name="_Toc282696226"/>
      <w:bookmarkStart w:id="150" w:name="_Toc241833903"/>
      <w:bookmarkStart w:id="151" w:name="_Toc239568418"/>
      <w:bookmarkStart w:id="152" w:name="_Toc211854449"/>
      <w:bookmarkStart w:id="153" w:name="_Toc232492928"/>
      <w:bookmarkStart w:id="154" w:name="_Toc238984975"/>
      <w:bookmarkStart w:id="155" w:name="_Toc239233914"/>
      <w:bookmarkStart w:id="156" w:name="_Toc225244852"/>
      <w:r>
        <w:rPr>
          <w:rFonts w:hint="eastAsia" w:ascii="宋体" w:hAnsi="宋体" w:eastAsia="宋体" w:cs="宋体"/>
          <w:b/>
          <w:color w:val="000000"/>
          <w:sz w:val="24"/>
        </w:rPr>
        <w:t>服务内容与质量标准</w:t>
      </w:r>
    </w:p>
    <w:p w14:paraId="725CC496">
      <w:pPr>
        <w:pageBreakBefore w:val="0"/>
        <w:kinsoku/>
        <w:wordWrap/>
        <w:topLinePunct w:val="0"/>
        <w:bidi w:val="0"/>
        <w:spacing w:line="440" w:lineRule="exact"/>
        <w:ind w:firstLine="630"/>
        <w:rPr>
          <w:rFonts w:hint="eastAsia" w:ascii="宋体" w:hAnsi="宋体" w:eastAsia="宋体" w:cs="宋体"/>
          <w:color w:val="000000"/>
          <w:sz w:val="24"/>
        </w:rPr>
      </w:pPr>
      <w:r>
        <w:rPr>
          <w:rFonts w:hint="eastAsia" w:ascii="宋体" w:hAnsi="宋体" w:eastAsia="宋体" w:cs="宋体"/>
          <w:color w:val="000000"/>
          <w:sz w:val="24"/>
        </w:rPr>
        <w:t>……</w:t>
      </w:r>
    </w:p>
    <w:p w14:paraId="69AC5C11">
      <w:pPr>
        <w:pageBreakBefore w:val="0"/>
        <w:numPr>
          <w:ilvl w:val="0"/>
          <w:numId w:val="1"/>
        </w:numPr>
        <w:kinsoku/>
        <w:wordWrap/>
        <w:topLinePunct w:val="0"/>
        <w:bidi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服务费用及支付方式</w:t>
      </w:r>
    </w:p>
    <w:p w14:paraId="7732E757">
      <w:pPr>
        <w:pageBreakBefore w:val="0"/>
        <w:numPr>
          <w:ilvl w:val="0"/>
          <w:numId w:val="2"/>
        </w:numPr>
        <w:kinsoku/>
        <w:wordWrap/>
        <w:topLinePunct w:val="0"/>
        <w:bidi w:val="0"/>
        <w:spacing w:line="440" w:lineRule="exact"/>
        <w:ind w:left="0" w:firstLine="567"/>
        <w:rPr>
          <w:rFonts w:hint="eastAsia" w:ascii="宋体" w:hAnsi="宋体" w:eastAsia="宋体" w:cs="宋体"/>
          <w:b/>
          <w:color w:val="000000"/>
          <w:sz w:val="24"/>
        </w:rPr>
      </w:pPr>
      <w:r>
        <w:rPr>
          <w:rFonts w:hint="eastAsia" w:ascii="宋体" w:hAnsi="宋体" w:eastAsia="宋体" w:cs="宋体"/>
          <w:b/>
          <w:color w:val="000000"/>
          <w:sz w:val="24"/>
        </w:rPr>
        <w:t>本项目服务费用由以下组成：</w:t>
      </w:r>
    </w:p>
    <w:p w14:paraId="7A4927A2">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w:t>
      </w:r>
    </w:p>
    <w:p w14:paraId="745BF4B7">
      <w:pPr>
        <w:pageBreakBefore w:val="0"/>
        <w:numPr>
          <w:ilvl w:val="0"/>
          <w:numId w:val="2"/>
        </w:numPr>
        <w:tabs>
          <w:tab w:val="left" w:pos="780"/>
        </w:tabs>
        <w:kinsoku/>
        <w:wordWrap/>
        <w:topLinePunct w:val="0"/>
        <w:bidi w:val="0"/>
        <w:spacing w:line="440" w:lineRule="exact"/>
        <w:ind w:left="0" w:firstLine="567"/>
        <w:rPr>
          <w:rFonts w:hint="eastAsia" w:ascii="宋体" w:hAnsi="宋体" w:eastAsia="宋体" w:cs="宋体"/>
          <w:b/>
          <w:color w:val="000000"/>
          <w:sz w:val="24"/>
        </w:rPr>
      </w:pPr>
      <w:r>
        <w:rPr>
          <w:rFonts w:hint="eastAsia" w:ascii="宋体" w:hAnsi="宋体" w:eastAsia="宋体" w:cs="宋体"/>
          <w:b/>
          <w:color w:val="000000"/>
          <w:sz w:val="24"/>
        </w:rPr>
        <w:t xml:space="preserve">服务费支付方式： </w:t>
      </w:r>
    </w:p>
    <w:p w14:paraId="5C8186AA">
      <w:pPr>
        <w:pageBreakBefore w:val="0"/>
        <w:kinsoku/>
        <w:wordWrap/>
        <w:topLinePunct w:val="0"/>
        <w:bidi w:val="0"/>
        <w:spacing w:line="440" w:lineRule="exact"/>
        <w:ind w:left="567"/>
        <w:rPr>
          <w:rFonts w:hint="eastAsia" w:ascii="宋体" w:hAnsi="宋体" w:eastAsia="宋体" w:cs="宋体"/>
          <w:b/>
          <w:color w:val="000000"/>
          <w:sz w:val="24"/>
        </w:rPr>
      </w:pPr>
      <w:r>
        <w:rPr>
          <w:rFonts w:hint="eastAsia" w:ascii="宋体" w:hAnsi="宋体" w:eastAsia="宋体" w:cs="宋体"/>
          <w:b/>
          <w:color w:val="000000"/>
          <w:sz w:val="24"/>
        </w:rPr>
        <w:t>……</w:t>
      </w:r>
    </w:p>
    <w:p w14:paraId="100E249D">
      <w:pPr>
        <w:pageBreakBefore w:val="0"/>
        <w:numPr>
          <w:ilvl w:val="0"/>
          <w:numId w:val="1"/>
        </w:numPr>
        <w:kinsoku/>
        <w:wordWrap/>
        <w:topLinePunct w:val="0"/>
        <w:bidi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知识产权</w:t>
      </w:r>
    </w:p>
    <w:p w14:paraId="4AFAC091">
      <w:pPr>
        <w:pageBreakBefore w:val="0"/>
        <w:tabs>
          <w:tab w:val="left" w:pos="1440"/>
        </w:tabs>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乙方应保证所提供的服务或其任何一部分均不会侵犯任何第三方的专利权、商标权或著作权。</w:t>
      </w:r>
    </w:p>
    <w:p w14:paraId="0DC1D097">
      <w:pPr>
        <w:pageBreakBefore w:val="0"/>
        <w:numPr>
          <w:ilvl w:val="0"/>
          <w:numId w:val="1"/>
        </w:numPr>
        <w:kinsoku/>
        <w:wordWrap/>
        <w:topLinePunct w:val="0"/>
        <w:bidi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无产权瑕疵条款</w:t>
      </w:r>
    </w:p>
    <w:p w14:paraId="2A9DDA60">
      <w:pPr>
        <w:pageBreakBefore w:val="0"/>
        <w:tabs>
          <w:tab w:val="left" w:pos="1440"/>
        </w:tabs>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乙方保证所提供的服务的所有权完全属于乙方且无任何抵押、查封等产权瑕疵。如有产权瑕疵的，视为乙方违约。乙方应负担由此而产生的一切损失。</w:t>
      </w:r>
    </w:p>
    <w:p w14:paraId="72F121E9">
      <w:pPr>
        <w:pageBreakBefore w:val="0"/>
        <w:numPr>
          <w:ilvl w:val="0"/>
          <w:numId w:val="1"/>
        </w:numPr>
        <w:kinsoku/>
        <w:wordWrap/>
        <w:topLinePunct w:val="0"/>
        <w:bidi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甲方的权利和义务</w:t>
      </w:r>
    </w:p>
    <w:p w14:paraId="154CC491">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bCs/>
          <w:color w:val="000000"/>
          <w:sz w:val="24"/>
        </w:rPr>
        <w:t>1、甲方有权对合同规定范围内乙方的服务行为进行监督和检查，拥有监管权。有权定期核对乙方提供服务所配备的人员数量。对甲方认为不合理的部分有权下达整改通知书，并要求乙方限期整改。</w:t>
      </w:r>
    </w:p>
    <w:p w14:paraId="14019562">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bCs/>
          <w:color w:val="000000"/>
          <w:sz w:val="24"/>
        </w:rPr>
        <w:t>2、甲方有权依据双方签订的考评办法对乙方提供的服务进行定期考评。当考评结果未达到标准时，有权依据考评办法约定的数额扣除履约保证金。</w:t>
      </w:r>
    </w:p>
    <w:p w14:paraId="4ADF4DA0">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bCs/>
          <w:color w:val="000000"/>
          <w:sz w:val="24"/>
        </w:rPr>
        <w:t>3、负责检查监督乙方管理工作的实施及制度的执行情况。</w:t>
      </w:r>
    </w:p>
    <w:p w14:paraId="0229D584">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bCs/>
          <w:color w:val="000000"/>
          <w:sz w:val="24"/>
        </w:rPr>
        <w:t>4、根据本合同规定，按时向乙方支付应付服务费用。</w:t>
      </w:r>
    </w:p>
    <w:p w14:paraId="65FA9A4A">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bCs/>
          <w:color w:val="000000"/>
          <w:sz w:val="24"/>
        </w:rPr>
        <w:t>5、国家法律、法规所规定由甲方承担的其它责任。</w:t>
      </w:r>
    </w:p>
    <w:p w14:paraId="17E00F02">
      <w:pPr>
        <w:pageBreakBefore w:val="0"/>
        <w:numPr>
          <w:ilvl w:val="0"/>
          <w:numId w:val="1"/>
        </w:numPr>
        <w:kinsoku/>
        <w:wordWrap/>
        <w:topLinePunct w:val="0"/>
        <w:bidi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乙方的权利和义务</w:t>
      </w:r>
    </w:p>
    <w:p w14:paraId="1EEBC39D">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bCs/>
          <w:color w:val="000000"/>
          <w:sz w:val="24"/>
        </w:rPr>
        <w:t>1、对本合同规定的委托服务范围内的项目享有管理权及服务义务。</w:t>
      </w:r>
    </w:p>
    <w:p w14:paraId="6B518500">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bCs/>
          <w:color w:val="000000"/>
          <w:sz w:val="24"/>
        </w:rPr>
        <w:t>2、根据本合同的规定向甲方收取相关服务费用，并有权在本项目管理范围内管理及合理使用。</w:t>
      </w:r>
    </w:p>
    <w:p w14:paraId="475CE705">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color w:val="000000"/>
          <w:sz w:val="24"/>
        </w:rPr>
      </w:pPr>
      <w:r>
        <w:rPr>
          <w:rFonts w:hint="eastAsia" w:ascii="宋体" w:hAnsi="宋体" w:eastAsia="宋体" w:cs="宋体"/>
          <w:color w:val="000000"/>
          <w:sz w:val="24"/>
        </w:rPr>
        <w:t>3、及时向甲方通告本项目服务范围内有关服务的重大事项，及时配合处理投诉。</w:t>
      </w:r>
    </w:p>
    <w:p w14:paraId="17A6E6A5">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color w:val="000000"/>
          <w:sz w:val="24"/>
        </w:rPr>
        <w:t>4、</w:t>
      </w:r>
      <w:r>
        <w:rPr>
          <w:rFonts w:hint="eastAsia" w:ascii="宋体" w:hAnsi="宋体" w:eastAsia="宋体" w:cs="宋体"/>
          <w:bCs/>
          <w:color w:val="000000"/>
          <w:sz w:val="24"/>
        </w:rPr>
        <w:t>接受项目行业管理部门及政府有关部门的指导，接受甲方的监督。</w:t>
      </w:r>
    </w:p>
    <w:p w14:paraId="2515681E">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bCs/>
          <w:color w:val="000000"/>
          <w:sz w:val="24"/>
        </w:rPr>
        <w:t>5、国家法律、法规所规定由乙方承担的其它责任。</w:t>
      </w:r>
    </w:p>
    <w:p w14:paraId="7AA6E3EC">
      <w:pPr>
        <w:pageBreakBefore w:val="0"/>
        <w:numPr>
          <w:ilvl w:val="0"/>
          <w:numId w:val="1"/>
        </w:numPr>
        <w:kinsoku/>
        <w:wordWrap/>
        <w:topLinePunct w:val="0"/>
        <w:bidi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违约责任</w:t>
      </w:r>
    </w:p>
    <w:p w14:paraId="1DF4A6A2">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bCs/>
          <w:color w:val="000000"/>
          <w:sz w:val="24"/>
        </w:rPr>
        <w:t>1、甲乙双方必须遵守本合同并执行合同中的各项规定，保证本合同的正常履行。</w:t>
      </w:r>
    </w:p>
    <w:p w14:paraId="76A6B896">
      <w:pPr>
        <w:pageBreakBefore w:val="0"/>
        <w:kinsoku/>
        <w:wordWrap/>
        <w:topLinePunct w:val="0"/>
        <w:bidi w:val="0"/>
        <w:adjustRightInd w:val="0"/>
        <w:spacing w:line="440" w:lineRule="exact"/>
        <w:ind w:firstLine="480" w:firstLineChars="200"/>
        <w:jc w:val="left"/>
        <w:textAlignment w:val="baseline"/>
        <w:rPr>
          <w:rFonts w:hint="eastAsia" w:ascii="宋体" w:hAnsi="宋体" w:eastAsia="宋体" w:cs="宋体"/>
          <w:bCs/>
          <w:color w:val="000000"/>
          <w:sz w:val="24"/>
        </w:rPr>
      </w:pPr>
      <w:r>
        <w:rPr>
          <w:rFonts w:hint="eastAsia" w:ascii="宋体" w:hAnsi="宋体" w:eastAsia="宋体" w:cs="宋体"/>
          <w:bCs/>
          <w:color w:val="000000"/>
          <w:sz w:val="24"/>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63C9C6F2">
      <w:pPr>
        <w:pageBreakBefore w:val="0"/>
        <w:numPr>
          <w:ilvl w:val="0"/>
          <w:numId w:val="1"/>
        </w:numPr>
        <w:kinsoku/>
        <w:wordWrap/>
        <w:topLinePunct w:val="0"/>
        <w:bidi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不可抗力事件处理</w:t>
      </w:r>
    </w:p>
    <w:p w14:paraId="48CCEB98">
      <w:pPr>
        <w:pageBreakBefore w:val="0"/>
        <w:tabs>
          <w:tab w:val="left" w:pos="0"/>
        </w:tabs>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1、在合同有效期内，任何一方因不可抗力事件导致不能履行合同，则合同履行期可延长，其延长期与不可抗力影响期相同。</w:t>
      </w:r>
    </w:p>
    <w:p w14:paraId="26D29A85">
      <w:pPr>
        <w:pageBreakBefore w:val="0"/>
        <w:tabs>
          <w:tab w:val="left" w:pos="0"/>
        </w:tabs>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2、不可抗力事件发生后，应立即通知对方，并寄送有关权威机构出具的证明。</w:t>
      </w:r>
    </w:p>
    <w:p w14:paraId="6E403E1C">
      <w:pPr>
        <w:pageBreakBefore w:val="0"/>
        <w:tabs>
          <w:tab w:val="left" w:pos="0"/>
        </w:tabs>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3、不可抗力事件延续</w:t>
      </w:r>
      <w:r>
        <w:rPr>
          <w:rFonts w:hint="eastAsia" w:ascii="宋体" w:hAnsi="宋体" w:eastAsia="宋体" w:cs="宋体"/>
          <w:color w:val="000000"/>
          <w:szCs w:val="21"/>
        </w:rPr>
        <w:t>XX</w:t>
      </w:r>
      <w:r>
        <w:rPr>
          <w:rFonts w:hint="eastAsia" w:ascii="宋体" w:hAnsi="宋体" w:eastAsia="宋体" w:cs="宋体"/>
          <w:color w:val="000000"/>
          <w:sz w:val="24"/>
        </w:rPr>
        <w:t>天以上，双方应通过友好协商，确定是否继续履行合同。</w:t>
      </w:r>
    </w:p>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14:paraId="46F2B4D9">
      <w:pPr>
        <w:pageBreakBefore w:val="0"/>
        <w:numPr>
          <w:ilvl w:val="0"/>
          <w:numId w:val="1"/>
        </w:numPr>
        <w:kinsoku/>
        <w:wordWrap/>
        <w:topLinePunct w:val="0"/>
        <w:bidi w:val="0"/>
        <w:spacing w:line="440" w:lineRule="exact"/>
        <w:rPr>
          <w:rFonts w:hint="eastAsia" w:ascii="宋体" w:hAnsi="宋体" w:eastAsia="宋体" w:cs="宋体"/>
          <w:b/>
          <w:color w:val="000000"/>
          <w:sz w:val="24"/>
        </w:rPr>
      </w:pPr>
      <w:bookmarkStart w:id="157" w:name="_Toc212019599"/>
      <w:bookmarkStart w:id="158" w:name="_Toc241833908"/>
      <w:bookmarkStart w:id="159" w:name="_Toc238984980"/>
      <w:bookmarkStart w:id="160" w:name="_Toc247334846"/>
      <w:bookmarkStart w:id="161" w:name="_Toc185395254"/>
      <w:bookmarkStart w:id="162" w:name="_Toc225670756"/>
      <w:bookmarkStart w:id="163" w:name="_Toc286993792"/>
      <w:bookmarkStart w:id="164" w:name="_Toc239233919"/>
      <w:bookmarkStart w:id="165" w:name="_Toc237145411"/>
      <w:bookmarkStart w:id="166" w:name="_Toc232492933"/>
      <w:bookmarkStart w:id="167" w:name="_Toc251768867"/>
      <w:bookmarkStart w:id="168" w:name="_Toc211911353"/>
      <w:bookmarkStart w:id="169" w:name="_Toc225654649"/>
      <w:bookmarkStart w:id="170" w:name="_Toc211854454"/>
      <w:bookmarkStart w:id="171" w:name="_Toc239568423"/>
      <w:bookmarkStart w:id="172" w:name="_Toc225244857"/>
      <w:r>
        <w:rPr>
          <w:rFonts w:hint="eastAsia" w:ascii="宋体" w:hAnsi="宋体" w:eastAsia="宋体" w:cs="宋体"/>
          <w:b/>
          <w:color w:val="000000"/>
          <w:sz w:val="24"/>
        </w:rPr>
        <w:t>解决合同纠纷的方式</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39852DCC">
      <w:pPr>
        <w:pageBreakBefore w:val="0"/>
        <w:tabs>
          <w:tab w:val="left" w:pos="0"/>
        </w:tabs>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1、在执行本合同中发生的或与本合同有关的争端，双方应通过友好协商解决，经协商不能达成协议时，则向</w:t>
      </w:r>
      <w:r>
        <w:rPr>
          <w:rFonts w:hint="eastAsia" w:ascii="宋体" w:hAnsi="宋体" w:eastAsia="宋体" w:cs="宋体"/>
          <w:color w:val="000000"/>
          <w:sz w:val="24"/>
          <w:lang w:eastAsia="zh-CN"/>
        </w:rPr>
        <w:t>龙陵县中医医院</w:t>
      </w:r>
      <w:r>
        <w:rPr>
          <w:rFonts w:hint="eastAsia" w:ascii="宋体" w:hAnsi="宋体" w:eastAsia="宋体" w:cs="宋体"/>
          <w:color w:val="000000"/>
          <w:sz w:val="24"/>
        </w:rPr>
        <w:t>提起诉讼。</w:t>
      </w:r>
    </w:p>
    <w:p w14:paraId="0F5A1984">
      <w:pPr>
        <w:pageBreakBefore w:val="0"/>
        <w:tabs>
          <w:tab w:val="left" w:pos="0"/>
        </w:tabs>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p>
    <w:p w14:paraId="57BFD26B">
      <w:pPr>
        <w:pageBreakBefore w:val="0"/>
        <w:numPr>
          <w:ilvl w:val="0"/>
          <w:numId w:val="1"/>
        </w:numPr>
        <w:kinsoku/>
        <w:wordWrap/>
        <w:topLinePunct w:val="0"/>
        <w:bidi w:val="0"/>
        <w:spacing w:line="440" w:lineRule="exact"/>
        <w:rPr>
          <w:rFonts w:hint="eastAsia" w:ascii="宋体" w:hAnsi="宋体" w:eastAsia="宋体" w:cs="宋体"/>
          <w:b/>
          <w:color w:val="000000"/>
          <w:sz w:val="24"/>
        </w:rPr>
      </w:pPr>
      <w:bookmarkStart w:id="173" w:name="_Toc185395255"/>
      <w:bookmarkStart w:id="174" w:name="_Toc239233920"/>
      <w:bookmarkStart w:id="175" w:name="_Toc238984981"/>
      <w:bookmarkStart w:id="176" w:name="_Toc225670757"/>
      <w:bookmarkStart w:id="177" w:name="_Toc239568424"/>
      <w:bookmarkStart w:id="178" w:name="_Toc211911354"/>
      <w:bookmarkStart w:id="179" w:name="_Toc237145412"/>
      <w:bookmarkStart w:id="180" w:name="_Toc286993793"/>
      <w:bookmarkStart w:id="181" w:name="_Toc232492934"/>
      <w:bookmarkStart w:id="182" w:name="_Toc212019600"/>
      <w:bookmarkStart w:id="183" w:name="_Toc283019219"/>
      <w:bookmarkStart w:id="184" w:name="_Toc251768868"/>
      <w:bookmarkStart w:id="185" w:name="_Toc225654650"/>
      <w:bookmarkStart w:id="186" w:name="_Toc282696231"/>
      <w:bookmarkStart w:id="187" w:name="_Toc225244858"/>
      <w:bookmarkStart w:id="188" w:name="_Toc241833909"/>
      <w:bookmarkStart w:id="189" w:name="_Toc211854455"/>
      <w:bookmarkStart w:id="190" w:name="_Toc247334847"/>
      <w:r>
        <w:rPr>
          <w:rFonts w:hint="eastAsia" w:ascii="宋体" w:hAnsi="宋体" w:eastAsia="宋体" w:cs="宋体"/>
          <w:b/>
          <w:color w:val="000000"/>
          <w:sz w:val="24"/>
        </w:rPr>
        <w:t>合同</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Pr>
          <w:rFonts w:hint="eastAsia" w:ascii="宋体" w:hAnsi="宋体" w:eastAsia="宋体" w:cs="宋体"/>
          <w:b/>
          <w:color w:val="000000"/>
          <w:sz w:val="24"/>
        </w:rPr>
        <w:t>生效及其他</w:t>
      </w:r>
    </w:p>
    <w:p w14:paraId="6DB18DA2">
      <w:pPr>
        <w:pStyle w:val="431"/>
        <w:pageBreakBefore w:val="0"/>
        <w:kinsoku/>
        <w:wordWrap/>
        <w:topLinePunct w:val="0"/>
        <w:bidi w:val="0"/>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1、合同经双方法定代表人或授权委托代理人签字并加盖单位公章后生效。</w:t>
      </w:r>
    </w:p>
    <w:p w14:paraId="25B17949">
      <w:pPr>
        <w:pStyle w:val="431"/>
        <w:pageBreakBefore w:val="0"/>
        <w:kinsoku/>
        <w:wordWrap/>
        <w:topLinePunct w:val="0"/>
        <w:bidi w:val="0"/>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2、合同执行中涉及采购资金和采购内容修改或补充的，须经招标单位监管部门审批，并签书面补充协议后，方可作为主合同不可分割的一部分。</w:t>
      </w:r>
    </w:p>
    <w:p w14:paraId="42B189D1">
      <w:pPr>
        <w:pStyle w:val="431"/>
        <w:pageBreakBefore w:val="0"/>
        <w:kinsoku/>
        <w:wordWrap/>
        <w:topLinePunct w:val="0"/>
        <w:bidi w:val="0"/>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3、本合同一式</w:t>
      </w:r>
      <w:r>
        <w:rPr>
          <w:rFonts w:hint="eastAsia" w:ascii="宋体" w:hAnsi="宋体" w:eastAsia="宋体" w:cs="宋体"/>
          <w:color w:val="000000"/>
          <w:szCs w:val="21"/>
        </w:rPr>
        <w:t>XX</w:t>
      </w:r>
      <w:r>
        <w:rPr>
          <w:rFonts w:hint="eastAsia" w:ascii="宋体" w:hAnsi="宋体" w:eastAsia="宋体" w:cs="宋体"/>
          <w:color w:val="000000"/>
          <w:sz w:val="24"/>
        </w:rPr>
        <w:t>份，自双方签章之日起起效。甲方</w:t>
      </w:r>
      <w:r>
        <w:rPr>
          <w:rFonts w:hint="eastAsia" w:ascii="宋体" w:hAnsi="宋体" w:eastAsia="宋体" w:cs="宋体"/>
          <w:color w:val="000000"/>
          <w:szCs w:val="21"/>
        </w:rPr>
        <w:t>XX</w:t>
      </w:r>
      <w:r>
        <w:rPr>
          <w:rFonts w:hint="eastAsia" w:ascii="宋体" w:hAnsi="宋体" w:eastAsia="宋体" w:cs="宋体"/>
          <w:color w:val="000000"/>
          <w:sz w:val="24"/>
        </w:rPr>
        <w:t>份，乙方</w:t>
      </w:r>
      <w:r>
        <w:rPr>
          <w:rFonts w:hint="eastAsia" w:ascii="宋体" w:hAnsi="宋体" w:eastAsia="宋体" w:cs="宋体"/>
          <w:color w:val="000000"/>
          <w:szCs w:val="21"/>
        </w:rPr>
        <w:t>XX</w:t>
      </w:r>
      <w:r>
        <w:rPr>
          <w:rFonts w:hint="eastAsia" w:ascii="宋体" w:hAnsi="宋体" w:eastAsia="宋体" w:cs="宋体"/>
          <w:color w:val="000000"/>
          <w:sz w:val="24"/>
        </w:rPr>
        <w:t>份。</w:t>
      </w:r>
    </w:p>
    <w:p w14:paraId="103F96DA">
      <w:pPr>
        <w:pageBreakBefore w:val="0"/>
        <w:numPr>
          <w:ilvl w:val="0"/>
          <w:numId w:val="1"/>
        </w:numPr>
        <w:kinsoku/>
        <w:wordWrap/>
        <w:topLinePunct w:val="0"/>
        <w:bidi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附件</w:t>
      </w:r>
    </w:p>
    <w:p w14:paraId="64BC7F8D">
      <w:pPr>
        <w:pStyle w:val="431"/>
        <w:pageBreakBefore w:val="0"/>
        <w:kinsoku/>
        <w:wordWrap/>
        <w:topLinePunct w:val="0"/>
        <w:bidi w:val="0"/>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1、项目采购文件</w:t>
      </w:r>
    </w:p>
    <w:p w14:paraId="297899BB">
      <w:pPr>
        <w:pStyle w:val="431"/>
        <w:pageBreakBefore w:val="0"/>
        <w:kinsoku/>
        <w:wordWrap/>
        <w:topLinePunct w:val="0"/>
        <w:bidi w:val="0"/>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2、项目修改澄清文件</w:t>
      </w:r>
    </w:p>
    <w:p w14:paraId="4AE11CC7">
      <w:pPr>
        <w:pStyle w:val="431"/>
        <w:pageBreakBefore w:val="0"/>
        <w:kinsoku/>
        <w:wordWrap/>
        <w:topLinePunct w:val="0"/>
        <w:bidi w:val="0"/>
        <w:spacing w:line="440" w:lineRule="exact"/>
        <w:ind w:firstLine="480"/>
        <w:rPr>
          <w:rFonts w:hint="eastAsia" w:ascii="宋体" w:hAnsi="宋体" w:eastAsia="宋体" w:cs="宋体"/>
          <w:color w:val="000000"/>
          <w:sz w:val="24"/>
          <w:lang w:eastAsia="zh-CN"/>
        </w:rPr>
      </w:pPr>
      <w:r>
        <w:rPr>
          <w:rFonts w:hint="eastAsia" w:ascii="宋体" w:hAnsi="宋体" w:eastAsia="宋体" w:cs="宋体"/>
          <w:color w:val="000000"/>
          <w:sz w:val="24"/>
        </w:rPr>
        <w:t>3、项目</w:t>
      </w:r>
      <w:r>
        <w:rPr>
          <w:rFonts w:hint="eastAsia" w:ascii="宋体" w:hAnsi="宋体" w:eastAsia="宋体" w:cs="宋体"/>
          <w:color w:val="000000"/>
          <w:sz w:val="24"/>
          <w:lang w:eastAsia="zh-CN"/>
        </w:rPr>
        <w:t>响应文件</w:t>
      </w:r>
    </w:p>
    <w:p w14:paraId="19684ACC">
      <w:pPr>
        <w:pStyle w:val="431"/>
        <w:pageBreakBefore w:val="0"/>
        <w:kinsoku/>
        <w:wordWrap/>
        <w:topLinePunct w:val="0"/>
        <w:bidi w:val="0"/>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4、中标通知书</w:t>
      </w:r>
    </w:p>
    <w:p w14:paraId="4F88F55F">
      <w:pPr>
        <w:pStyle w:val="431"/>
        <w:pageBreakBefore w:val="0"/>
        <w:kinsoku/>
        <w:wordWrap/>
        <w:topLinePunct w:val="0"/>
        <w:bidi w:val="0"/>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rPr>
        <w:t>5、其他</w:t>
      </w:r>
    </w:p>
    <w:p w14:paraId="5A87F856">
      <w:pPr>
        <w:pageBreakBefore w:val="0"/>
        <w:kinsoku/>
        <w:wordWrap/>
        <w:topLinePunct w:val="0"/>
        <w:bidi w:val="0"/>
        <w:spacing w:line="440" w:lineRule="exact"/>
        <w:rPr>
          <w:rFonts w:hint="eastAsia" w:ascii="宋体" w:hAnsi="宋体" w:eastAsia="宋体" w:cs="宋体"/>
          <w:color w:val="000000"/>
          <w:sz w:val="24"/>
        </w:rPr>
      </w:pPr>
    </w:p>
    <w:p w14:paraId="1EA94861">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甲方：   （盖章）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乙方：   （盖章）</w:t>
      </w:r>
    </w:p>
    <w:p w14:paraId="7C7FA9D8">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法定代表人（授权代表）：            法定代表人（授权代表）：</w:t>
      </w:r>
    </w:p>
    <w:p w14:paraId="5DE3EEAD">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地    址：                         地    址：</w:t>
      </w:r>
    </w:p>
    <w:p w14:paraId="770EC623">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开户银行：                         开户银行：</w:t>
      </w:r>
    </w:p>
    <w:p w14:paraId="1E503EBD">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账号：                             账号：</w:t>
      </w:r>
    </w:p>
    <w:p w14:paraId="0994A08D">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电    话：                         电    话：</w:t>
      </w:r>
    </w:p>
    <w:p w14:paraId="5D487D48">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传    真：                         传    真：</w:t>
      </w:r>
    </w:p>
    <w:p w14:paraId="139AA997">
      <w:pPr>
        <w:pageBreakBefore w:val="0"/>
        <w:kinsoku/>
        <w:wordWrap/>
        <w:topLinePunct w:val="0"/>
        <w:bidi w:val="0"/>
        <w:spacing w:line="44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签约日期：</w:t>
      </w:r>
      <w:r>
        <w:rPr>
          <w:rFonts w:hint="eastAsia" w:ascii="宋体" w:hAnsi="宋体" w:eastAsia="宋体" w:cs="宋体"/>
          <w:color w:val="000000"/>
          <w:szCs w:val="21"/>
        </w:rPr>
        <w:t>XX</w:t>
      </w:r>
      <w:r>
        <w:rPr>
          <w:rFonts w:hint="eastAsia" w:ascii="宋体" w:hAnsi="宋体" w:eastAsia="宋体" w:cs="宋体"/>
          <w:color w:val="000000"/>
          <w:sz w:val="24"/>
        </w:rPr>
        <w:t>年</w:t>
      </w:r>
      <w:r>
        <w:rPr>
          <w:rFonts w:hint="eastAsia" w:ascii="宋体" w:hAnsi="宋体" w:eastAsia="宋体" w:cs="宋体"/>
          <w:color w:val="000000"/>
          <w:szCs w:val="21"/>
        </w:rPr>
        <w:t>XX</w:t>
      </w:r>
      <w:r>
        <w:rPr>
          <w:rFonts w:hint="eastAsia" w:ascii="宋体" w:hAnsi="宋体" w:eastAsia="宋体" w:cs="宋体"/>
          <w:color w:val="000000"/>
          <w:sz w:val="24"/>
        </w:rPr>
        <w:t>月</w:t>
      </w:r>
      <w:r>
        <w:rPr>
          <w:rFonts w:hint="eastAsia" w:ascii="宋体" w:hAnsi="宋体" w:eastAsia="宋体" w:cs="宋体"/>
          <w:color w:val="000000"/>
          <w:szCs w:val="21"/>
        </w:rPr>
        <w:t>XX</w:t>
      </w:r>
      <w:r>
        <w:rPr>
          <w:rFonts w:hint="eastAsia" w:ascii="宋体" w:hAnsi="宋体" w:eastAsia="宋体" w:cs="宋体"/>
          <w:color w:val="000000"/>
          <w:sz w:val="24"/>
        </w:rPr>
        <w:t xml:space="preserve">日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签约日期：</w:t>
      </w:r>
      <w:r>
        <w:rPr>
          <w:rFonts w:hint="eastAsia" w:ascii="宋体" w:hAnsi="宋体" w:eastAsia="宋体" w:cs="宋体"/>
          <w:color w:val="000000"/>
          <w:szCs w:val="21"/>
        </w:rPr>
        <w:t>XX</w:t>
      </w:r>
      <w:r>
        <w:rPr>
          <w:rFonts w:hint="eastAsia" w:ascii="宋体" w:hAnsi="宋体" w:eastAsia="宋体" w:cs="宋体"/>
          <w:color w:val="000000"/>
          <w:sz w:val="24"/>
        </w:rPr>
        <w:t>年</w:t>
      </w:r>
      <w:r>
        <w:rPr>
          <w:rFonts w:hint="eastAsia" w:ascii="宋体" w:hAnsi="宋体" w:eastAsia="宋体" w:cs="宋体"/>
          <w:color w:val="000000"/>
          <w:szCs w:val="21"/>
        </w:rPr>
        <w:t>XX</w:t>
      </w:r>
      <w:r>
        <w:rPr>
          <w:rFonts w:hint="eastAsia" w:ascii="宋体" w:hAnsi="宋体" w:eastAsia="宋体" w:cs="宋体"/>
          <w:color w:val="000000"/>
          <w:sz w:val="24"/>
        </w:rPr>
        <w:t>月</w:t>
      </w:r>
      <w:r>
        <w:rPr>
          <w:rFonts w:hint="eastAsia" w:ascii="宋体" w:hAnsi="宋体" w:eastAsia="宋体" w:cs="宋体"/>
          <w:color w:val="000000"/>
          <w:szCs w:val="21"/>
        </w:rPr>
        <w:t>XX日</w:t>
      </w:r>
    </w:p>
    <w:p w14:paraId="4C9175F8">
      <w:pPr>
        <w:pStyle w:val="38"/>
        <w:rPr>
          <w:rFonts w:hint="eastAsia" w:asciiTheme="minorEastAsia" w:hAnsiTheme="minorEastAsia" w:eastAsiaTheme="minorEastAsia" w:cstheme="minorEastAsia"/>
          <w:color w:val="auto"/>
          <w:sz w:val="24"/>
          <w:szCs w:val="24"/>
          <w:highlight w:val="none"/>
        </w:rPr>
      </w:pPr>
    </w:p>
    <w:p w14:paraId="2A6B6A72">
      <w:pPr>
        <w:pStyle w:val="38"/>
        <w:rPr>
          <w:rFonts w:hint="eastAsia" w:asciiTheme="minorEastAsia" w:hAnsiTheme="minorEastAsia" w:eastAsiaTheme="minorEastAsia" w:cstheme="minorEastAsia"/>
          <w:color w:val="auto"/>
          <w:sz w:val="24"/>
          <w:szCs w:val="24"/>
          <w:highlight w:val="none"/>
        </w:rPr>
      </w:pPr>
    </w:p>
    <w:p w14:paraId="45996B23">
      <w:pPr>
        <w:pStyle w:val="38"/>
        <w:rPr>
          <w:rFonts w:hint="eastAsia" w:asciiTheme="minorEastAsia" w:hAnsiTheme="minorEastAsia" w:eastAsiaTheme="minorEastAsia" w:cstheme="minorEastAsia"/>
          <w:color w:val="auto"/>
          <w:sz w:val="24"/>
          <w:szCs w:val="24"/>
          <w:highlight w:val="none"/>
        </w:rPr>
      </w:pPr>
    </w:p>
    <w:p w14:paraId="6C4511C1">
      <w:pPr>
        <w:pStyle w:val="38"/>
        <w:rPr>
          <w:rFonts w:hint="eastAsia" w:asciiTheme="minorEastAsia" w:hAnsiTheme="minorEastAsia" w:eastAsiaTheme="minorEastAsia" w:cstheme="minorEastAsia"/>
          <w:color w:val="auto"/>
          <w:sz w:val="24"/>
          <w:szCs w:val="24"/>
          <w:highlight w:val="none"/>
        </w:rPr>
      </w:pPr>
    </w:p>
    <w:p w14:paraId="5EF7C434">
      <w:pPr>
        <w:pStyle w:val="38"/>
        <w:rPr>
          <w:rFonts w:hint="eastAsia" w:asciiTheme="minorEastAsia" w:hAnsiTheme="minorEastAsia" w:eastAsiaTheme="minorEastAsia" w:cstheme="minorEastAsia"/>
          <w:color w:val="auto"/>
          <w:sz w:val="24"/>
          <w:szCs w:val="24"/>
          <w:highlight w:val="none"/>
        </w:rPr>
      </w:pPr>
    </w:p>
    <w:p w14:paraId="62F23D5B">
      <w:pPr>
        <w:pStyle w:val="38"/>
        <w:rPr>
          <w:rFonts w:hint="eastAsia" w:asciiTheme="minorEastAsia" w:hAnsiTheme="minorEastAsia" w:eastAsiaTheme="minorEastAsia" w:cstheme="minorEastAsia"/>
          <w:color w:val="auto"/>
          <w:sz w:val="24"/>
          <w:szCs w:val="24"/>
          <w:highlight w:val="none"/>
        </w:rPr>
      </w:pPr>
    </w:p>
    <w:p w14:paraId="11AA5114">
      <w:pPr>
        <w:pStyle w:val="38"/>
        <w:rPr>
          <w:rFonts w:hint="eastAsia" w:asciiTheme="minorEastAsia" w:hAnsiTheme="minorEastAsia" w:eastAsiaTheme="minorEastAsia" w:cstheme="minorEastAsia"/>
          <w:color w:val="auto"/>
          <w:sz w:val="24"/>
          <w:szCs w:val="24"/>
          <w:highlight w:val="none"/>
        </w:rPr>
      </w:pPr>
    </w:p>
    <w:p w14:paraId="12E8AAFD">
      <w:pPr>
        <w:pStyle w:val="79"/>
        <w:ind w:firstLine="480"/>
        <w:rPr>
          <w:rFonts w:hint="eastAsia" w:asciiTheme="minorEastAsia" w:hAnsiTheme="minorEastAsia" w:eastAsiaTheme="minorEastAsia" w:cstheme="minorEastAsia"/>
          <w:color w:val="auto"/>
          <w:highlight w:val="none"/>
        </w:rPr>
      </w:pPr>
    </w:p>
    <w:p w14:paraId="0E31961A">
      <w:pPr>
        <w:pStyle w:val="79"/>
        <w:ind w:firstLine="480"/>
        <w:rPr>
          <w:rFonts w:hint="eastAsia" w:asciiTheme="minorEastAsia" w:hAnsiTheme="minorEastAsia" w:eastAsiaTheme="minorEastAsia" w:cstheme="minorEastAsia"/>
          <w:color w:val="auto"/>
          <w:highlight w:val="none"/>
        </w:rPr>
      </w:pPr>
    </w:p>
    <w:p w14:paraId="6A2EB8B9">
      <w:pPr>
        <w:pStyle w:val="79"/>
        <w:ind w:firstLine="480"/>
        <w:rPr>
          <w:rFonts w:hint="eastAsia" w:asciiTheme="minorEastAsia" w:hAnsiTheme="minorEastAsia" w:eastAsiaTheme="minorEastAsia" w:cstheme="minorEastAsia"/>
          <w:color w:val="auto"/>
          <w:highlight w:val="none"/>
        </w:rPr>
      </w:pPr>
    </w:p>
    <w:p w14:paraId="03648115">
      <w:pPr>
        <w:pStyle w:val="79"/>
        <w:ind w:firstLine="480"/>
        <w:rPr>
          <w:rFonts w:hint="eastAsia" w:asciiTheme="minorEastAsia" w:hAnsiTheme="minorEastAsia" w:eastAsiaTheme="minorEastAsia" w:cstheme="minorEastAsia"/>
          <w:color w:val="auto"/>
          <w:highlight w:val="none"/>
        </w:rPr>
      </w:pPr>
    </w:p>
    <w:p w14:paraId="24D59046">
      <w:pPr>
        <w:pStyle w:val="79"/>
        <w:ind w:firstLine="480"/>
        <w:rPr>
          <w:rFonts w:hint="eastAsia" w:asciiTheme="minorEastAsia" w:hAnsiTheme="minorEastAsia" w:eastAsiaTheme="minorEastAsia" w:cstheme="minorEastAsia"/>
          <w:color w:val="auto"/>
          <w:highlight w:val="none"/>
        </w:rPr>
      </w:pPr>
    </w:p>
    <w:p w14:paraId="25A923B3">
      <w:pPr>
        <w:pStyle w:val="79"/>
        <w:ind w:firstLine="480"/>
        <w:rPr>
          <w:rFonts w:hint="eastAsia" w:asciiTheme="minorEastAsia" w:hAnsiTheme="minorEastAsia" w:eastAsiaTheme="minorEastAsia" w:cstheme="minorEastAsia"/>
          <w:color w:val="auto"/>
          <w:highlight w:val="none"/>
        </w:rPr>
      </w:pPr>
    </w:p>
    <w:p w14:paraId="16D38A00">
      <w:pPr>
        <w:pStyle w:val="79"/>
        <w:ind w:firstLine="480"/>
        <w:rPr>
          <w:rFonts w:hint="eastAsia" w:asciiTheme="minorEastAsia" w:hAnsiTheme="minorEastAsia" w:eastAsiaTheme="minorEastAsia" w:cstheme="minorEastAsia"/>
          <w:color w:val="auto"/>
          <w:highlight w:val="none"/>
        </w:rPr>
      </w:pPr>
    </w:p>
    <w:p w14:paraId="7400C10E">
      <w:pPr>
        <w:pStyle w:val="79"/>
        <w:ind w:firstLine="480"/>
        <w:rPr>
          <w:rFonts w:hint="eastAsia" w:asciiTheme="minorEastAsia" w:hAnsiTheme="minorEastAsia" w:eastAsiaTheme="minorEastAsia" w:cstheme="minorEastAsia"/>
          <w:color w:val="auto"/>
          <w:highlight w:val="none"/>
        </w:rPr>
      </w:pPr>
    </w:p>
    <w:p w14:paraId="52653DFF">
      <w:pPr>
        <w:pStyle w:val="79"/>
        <w:ind w:firstLine="480"/>
        <w:rPr>
          <w:rFonts w:hint="eastAsia" w:asciiTheme="minorEastAsia" w:hAnsiTheme="minorEastAsia" w:eastAsiaTheme="minorEastAsia" w:cstheme="minorEastAsia"/>
          <w:color w:val="auto"/>
          <w:highlight w:val="none"/>
        </w:rPr>
      </w:pPr>
    </w:p>
    <w:p w14:paraId="01ACE09C">
      <w:pPr>
        <w:rPr>
          <w:rFonts w:hint="eastAsia" w:asciiTheme="minorEastAsia" w:hAnsiTheme="minorEastAsia" w:eastAsiaTheme="minorEastAsia" w:cstheme="minorEastAsia"/>
          <w:color w:val="auto"/>
          <w:sz w:val="40"/>
          <w:highlight w:val="none"/>
        </w:rPr>
      </w:pPr>
      <w:r>
        <w:rPr>
          <w:rFonts w:hint="eastAsia" w:asciiTheme="minorEastAsia" w:hAnsiTheme="minorEastAsia" w:eastAsiaTheme="minorEastAsia" w:cstheme="minorEastAsia"/>
          <w:color w:val="auto"/>
          <w:highlight w:val="none"/>
        </w:rPr>
        <w:br w:type="page"/>
      </w:r>
    </w:p>
    <w:bookmarkEnd w:id="136"/>
    <w:bookmarkEnd w:id="137"/>
    <w:p w14:paraId="4E5945E7">
      <w:pPr>
        <w:pStyle w:val="2"/>
        <w:numPr>
          <w:ilvl w:val="0"/>
          <w:numId w:val="3"/>
        </w:numPr>
        <w:spacing w:line="240" w:lineRule="auto"/>
        <w:jc w:val="center"/>
        <w:rPr>
          <w:rFonts w:hint="eastAsia" w:asciiTheme="minorEastAsia" w:hAnsiTheme="minorEastAsia" w:eastAsiaTheme="minorEastAsia" w:cstheme="minorEastAsia"/>
          <w:color w:val="auto"/>
          <w:sz w:val="40"/>
          <w:highlight w:val="none"/>
        </w:rPr>
      </w:pPr>
      <w:bookmarkStart w:id="191" w:name="_Toc24945"/>
      <w:r>
        <w:rPr>
          <w:rFonts w:hint="eastAsia" w:asciiTheme="minorEastAsia" w:hAnsiTheme="minorEastAsia" w:eastAsiaTheme="minorEastAsia" w:cstheme="minorEastAsia"/>
          <w:color w:val="auto"/>
          <w:sz w:val="40"/>
          <w:highlight w:val="none"/>
        </w:rPr>
        <w:t>采购需求</w:t>
      </w:r>
      <w:bookmarkEnd w:id="108"/>
      <w:bookmarkEnd w:id="109"/>
      <w:bookmarkEnd w:id="110"/>
      <w:bookmarkEnd w:id="111"/>
      <w:bookmarkEnd w:id="112"/>
      <w:bookmarkEnd w:id="191"/>
      <w:bookmarkStart w:id="192" w:name="_Toc8480445"/>
    </w:p>
    <w:bookmarkEnd w:id="5"/>
    <w:bookmarkEnd w:id="6"/>
    <w:bookmarkEnd w:id="10"/>
    <w:bookmarkEnd w:id="11"/>
    <w:bookmarkEnd w:id="192"/>
    <w:p w14:paraId="2D5B9659">
      <w:pPr>
        <w:pStyle w:val="434"/>
        <w:keepNext w:val="0"/>
        <w:keepLines w:val="0"/>
        <w:pageBreakBefore w:val="0"/>
        <w:widowControl w:val="0"/>
        <w:numPr>
          <w:ilvl w:val="0"/>
          <w:numId w:val="4"/>
        </w:numPr>
        <w:shd w:val="clear" w:color="auto" w:fill="auto"/>
        <w:tabs>
          <w:tab w:val="left" w:pos="962"/>
        </w:tabs>
        <w:kinsoku/>
        <w:wordWrap/>
        <w:overflowPunct/>
        <w:topLinePunct w:val="0"/>
        <w:autoSpaceDE/>
        <w:autoSpaceDN/>
        <w:bidi w:val="0"/>
        <w:adjustRightInd/>
        <w:snapToGrid/>
        <w:spacing w:before="0" w:after="0" w:line="579" w:lineRule="exact"/>
        <w:ind w:left="0" w:leftChars="0" w:right="0" w:firstLine="640" w:firstLineChars="200"/>
        <w:jc w:val="both"/>
        <w:textAlignment w:val="auto"/>
        <w:outlineLvl w:val="9"/>
        <w:rPr>
          <w:rFonts w:hint="eastAsia" w:ascii="宋体" w:hAnsi="宋体" w:eastAsia="方正黑体_GBK" w:cs="方正黑体_GBK"/>
          <w:b w:val="0"/>
          <w:bCs w:val="0"/>
          <w:color w:val="000000"/>
          <w:spacing w:val="0"/>
          <w:w w:val="100"/>
          <w:position w:val="0"/>
          <w:sz w:val="32"/>
          <w:szCs w:val="32"/>
        </w:rPr>
      </w:pPr>
      <w:bookmarkStart w:id="193" w:name="bookmark3"/>
      <w:bookmarkStart w:id="194" w:name="_Toc519587971"/>
      <w:bookmarkStart w:id="195" w:name="_Toc487037732"/>
      <w:bookmarkStart w:id="196" w:name="_Toc8979"/>
      <w:r>
        <w:rPr>
          <w:rFonts w:hint="eastAsia" w:eastAsia="方正黑体_GBK" w:cs="方正黑体_GBK"/>
          <w:b w:val="0"/>
          <w:bCs w:val="0"/>
          <w:color w:val="000000"/>
          <w:spacing w:val="0"/>
          <w:w w:val="100"/>
          <w:position w:val="0"/>
          <w:sz w:val="32"/>
          <w:szCs w:val="32"/>
          <w:lang w:val="en-US" w:eastAsia="zh-CN"/>
        </w:rPr>
        <w:t>项目</w:t>
      </w:r>
      <w:r>
        <w:rPr>
          <w:rFonts w:hint="eastAsia" w:ascii="宋体" w:hAnsi="宋体" w:eastAsia="方正黑体_GBK" w:cs="方正黑体_GBK"/>
          <w:b w:val="0"/>
          <w:bCs w:val="0"/>
          <w:color w:val="000000"/>
          <w:spacing w:val="0"/>
          <w:w w:val="100"/>
          <w:position w:val="0"/>
          <w:sz w:val="32"/>
          <w:szCs w:val="32"/>
        </w:rPr>
        <w:t>基本情况</w:t>
      </w:r>
    </w:p>
    <w:p w14:paraId="1FA13749">
      <w:pPr>
        <w:pStyle w:val="434"/>
        <w:keepNext w:val="0"/>
        <w:keepLines w:val="0"/>
        <w:pageBreakBefore w:val="0"/>
        <w:widowControl w:val="0"/>
        <w:numPr>
          <w:ilvl w:val="0"/>
          <w:numId w:val="5"/>
        </w:numPr>
        <w:shd w:val="clear" w:color="auto" w:fill="auto"/>
        <w:tabs>
          <w:tab w:val="left" w:pos="962"/>
        </w:tabs>
        <w:kinsoku/>
        <w:wordWrap/>
        <w:overflowPunct/>
        <w:topLinePunct w:val="0"/>
        <w:autoSpaceDE/>
        <w:autoSpaceDN/>
        <w:bidi w:val="0"/>
        <w:adjustRightInd/>
        <w:snapToGrid/>
        <w:spacing w:before="0" w:after="0" w:line="579" w:lineRule="exact"/>
        <w:ind w:leftChars="200" w:right="0" w:rightChars="0" w:firstLine="600" w:firstLineChars="200"/>
        <w:jc w:val="both"/>
        <w:textAlignment w:val="auto"/>
        <w:outlineLvl w:val="9"/>
        <w:rPr>
          <w:rFonts w:hint="eastAsia" w:ascii="方正仿宋_GBK" w:hAnsi="方正仿宋_GBK" w:eastAsia="方正仿宋_GBK" w:cs="方正仿宋_GBK"/>
          <w:b w:val="0"/>
          <w:bCs w:val="0"/>
          <w:color w:val="000000"/>
          <w:spacing w:val="0"/>
          <w:w w:val="100"/>
          <w:position w:val="0"/>
          <w:sz w:val="30"/>
          <w:szCs w:val="30"/>
          <w:lang w:val="en-US" w:eastAsia="zh-CN"/>
        </w:rPr>
      </w:pPr>
      <w:r>
        <w:rPr>
          <w:rFonts w:hint="eastAsia" w:ascii="方正仿宋_GBK" w:hAnsi="方正仿宋_GBK" w:eastAsia="方正仿宋_GBK" w:cs="方正仿宋_GBK"/>
          <w:b w:val="0"/>
          <w:bCs w:val="0"/>
          <w:color w:val="000000"/>
          <w:spacing w:val="0"/>
          <w:w w:val="100"/>
          <w:position w:val="0"/>
          <w:sz w:val="30"/>
          <w:szCs w:val="30"/>
          <w:lang w:val="en-US" w:eastAsia="zh-CN"/>
        </w:rPr>
        <w:t>项目名称：龙陵县中医医院保洁服务采购</w:t>
      </w:r>
    </w:p>
    <w:p w14:paraId="4446AC9F">
      <w:pPr>
        <w:pStyle w:val="434"/>
        <w:keepNext w:val="0"/>
        <w:keepLines w:val="0"/>
        <w:pageBreakBefore w:val="0"/>
        <w:widowControl w:val="0"/>
        <w:numPr>
          <w:ilvl w:val="0"/>
          <w:numId w:val="5"/>
        </w:numPr>
        <w:shd w:val="clear" w:color="auto" w:fill="auto"/>
        <w:tabs>
          <w:tab w:val="left" w:pos="962"/>
        </w:tabs>
        <w:kinsoku/>
        <w:wordWrap/>
        <w:overflowPunct/>
        <w:topLinePunct w:val="0"/>
        <w:autoSpaceDE/>
        <w:autoSpaceDN/>
        <w:bidi w:val="0"/>
        <w:adjustRightInd/>
        <w:snapToGrid/>
        <w:spacing w:before="0" w:after="0" w:line="579" w:lineRule="exact"/>
        <w:ind w:leftChars="200" w:right="0" w:rightChars="0" w:firstLine="600" w:firstLineChars="200"/>
        <w:jc w:val="both"/>
        <w:textAlignment w:val="auto"/>
        <w:outlineLvl w:val="9"/>
        <w:rPr>
          <w:rFonts w:hint="eastAsia" w:ascii="方正仿宋_GBK" w:hAnsi="方正仿宋_GBK" w:eastAsia="方正仿宋_GBK" w:cs="方正仿宋_GBK"/>
          <w:b w:val="0"/>
          <w:bCs w:val="0"/>
          <w:color w:val="000000"/>
          <w:spacing w:val="0"/>
          <w:w w:val="100"/>
          <w:position w:val="0"/>
          <w:sz w:val="30"/>
          <w:szCs w:val="30"/>
          <w:lang w:val="en-US" w:eastAsia="zh-CN"/>
        </w:rPr>
      </w:pPr>
      <w:r>
        <w:rPr>
          <w:rFonts w:hint="eastAsia" w:ascii="方正仿宋_GBK" w:hAnsi="方正仿宋_GBK" w:eastAsia="方正仿宋_GBK" w:cs="方正仿宋_GBK"/>
          <w:b w:val="0"/>
          <w:bCs w:val="0"/>
          <w:color w:val="000000"/>
          <w:spacing w:val="0"/>
          <w:w w:val="100"/>
          <w:position w:val="0"/>
          <w:sz w:val="30"/>
          <w:szCs w:val="30"/>
          <w:lang w:val="en-US" w:eastAsia="zh-CN"/>
        </w:rPr>
        <w:t>服务时间：2026年6月22日--2027年6月21日</w:t>
      </w:r>
    </w:p>
    <w:p w14:paraId="1CD7D375">
      <w:pPr>
        <w:pStyle w:val="434"/>
        <w:keepNext w:val="0"/>
        <w:keepLines w:val="0"/>
        <w:pageBreakBefore w:val="0"/>
        <w:widowControl w:val="0"/>
        <w:numPr>
          <w:ilvl w:val="0"/>
          <w:numId w:val="5"/>
        </w:numPr>
        <w:shd w:val="clear" w:color="auto" w:fill="auto"/>
        <w:tabs>
          <w:tab w:val="left" w:pos="962"/>
        </w:tabs>
        <w:kinsoku/>
        <w:wordWrap/>
        <w:overflowPunct/>
        <w:topLinePunct w:val="0"/>
        <w:autoSpaceDE/>
        <w:autoSpaceDN/>
        <w:bidi w:val="0"/>
        <w:adjustRightInd/>
        <w:snapToGrid/>
        <w:spacing w:before="0" w:after="0" w:line="579" w:lineRule="exact"/>
        <w:ind w:leftChars="200" w:right="0" w:rightChars="0" w:firstLine="600" w:firstLineChars="200"/>
        <w:jc w:val="both"/>
        <w:textAlignment w:val="auto"/>
        <w:outlineLvl w:val="9"/>
        <w:rPr>
          <w:rFonts w:hint="eastAsia" w:ascii="方正仿宋_GBK" w:hAnsi="方正仿宋_GBK" w:eastAsia="方正仿宋_GBK" w:cs="方正仿宋_GBK"/>
          <w:b w:val="0"/>
          <w:bCs w:val="0"/>
          <w:color w:val="000000"/>
          <w:spacing w:val="0"/>
          <w:w w:val="100"/>
          <w:position w:val="0"/>
          <w:sz w:val="30"/>
          <w:szCs w:val="30"/>
          <w:lang w:val="en-US" w:eastAsia="zh-CN"/>
        </w:rPr>
      </w:pPr>
      <w:r>
        <w:rPr>
          <w:rFonts w:hint="eastAsia" w:ascii="方正仿宋_GBK" w:hAnsi="方正仿宋_GBK" w:eastAsia="方正仿宋_GBK" w:cs="方正仿宋_GBK"/>
          <w:b w:val="0"/>
          <w:bCs w:val="0"/>
          <w:color w:val="000000"/>
          <w:spacing w:val="0"/>
          <w:w w:val="100"/>
          <w:position w:val="0"/>
          <w:sz w:val="30"/>
          <w:szCs w:val="30"/>
          <w:lang w:val="en-US" w:eastAsia="zh-CN"/>
        </w:rPr>
        <w:t>采购方式：竞争性磋商</w:t>
      </w:r>
    </w:p>
    <w:p w14:paraId="4F817449">
      <w:pPr>
        <w:pStyle w:val="434"/>
        <w:keepNext w:val="0"/>
        <w:keepLines w:val="0"/>
        <w:pageBreakBefore w:val="0"/>
        <w:widowControl w:val="0"/>
        <w:numPr>
          <w:ilvl w:val="0"/>
          <w:numId w:val="5"/>
        </w:numPr>
        <w:shd w:val="clear" w:color="auto" w:fill="auto"/>
        <w:tabs>
          <w:tab w:val="left" w:pos="962"/>
        </w:tabs>
        <w:kinsoku/>
        <w:wordWrap/>
        <w:overflowPunct/>
        <w:topLinePunct w:val="0"/>
        <w:autoSpaceDE/>
        <w:autoSpaceDN/>
        <w:bidi w:val="0"/>
        <w:adjustRightInd/>
        <w:snapToGrid/>
        <w:spacing w:before="0" w:after="0" w:line="579" w:lineRule="exact"/>
        <w:ind w:leftChars="200" w:right="0" w:rightChars="0" w:firstLine="600" w:firstLineChars="200"/>
        <w:jc w:val="both"/>
        <w:textAlignment w:val="auto"/>
        <w:outlineLvl w:val="9"/>
        <w:rPr>
          <w:rFonts w:hint="eastAsia" w:ascii="方正仿宋_GBK" w:hAnsi="方正仿宋_GBK" w:eastAsia="方正仿宋_GBK" w:cs="方正仿宋_GBK"/>
          <w:b w:val="0"/>
          <w:bCs w:val="0"/>
          <w:color w:val="000000"/>
          <w:spacing w:val="0"/>
          <w:w w:val="100"/>
          <w:position w:val="0"/>
          <w:sz w:val="30"/>
          <w:szCs w:val="30"/>
          <w:lang w:val="en-US" w:eastAsia="zh-CN"/>
        </w:rPr>
      </w:pPr>
      <w:r>
        <w:rPr>
          <w:rFonts w:hint="eastAsia" w:ascii="方正仿宋_GBK" w:hAnsi="方正仿宋_GBK" w:eastAsia="方正仿宋_GBK" w:cs="方正仿宋_GBK"/>
          <w:b w:val="0"/>
          <w:bCs w:val="0"/>
          <w:color w:val="000000"/>
          <w:spacing w:val="0"/>
          <w:w w:val="100"/>
          <w:position w:val="0"/>
          <w:sz w:val="30"/>
          <w:szCs w:val="30"/>
          <w:lang w:val="en-US" w:eastAsia="zh-CN"/>
        </w:rPr>
        <w:t>预算金额：</w:t>
      </w:r>
      <w:r>
        <w:rPr>
          <w:rFonts w:hint="eastAsia" w:ascii="方正仿宋_GBK" w:hAnsi="方正仿宋_GBK" w:eastAsia="方正仿宋_GBK" w:cs="方正仿宋_GBK"/>
          <w:sz w:val="30"/>
          <w:szCs w:val="30"/>
          <w:lang w:val="en-US" w:eastAsia="zh-CN"/>
        </w:rPr>
        <w:t>100.3392万</w:t>
      </w:r>
    </w:p>
    <w:p w14:paraId="20F41673">
      <w:pPr>
        <w:pStyle w:val="434"/>
        <w:keepNext w:val="0"/>
        <w:keepLines w:val="0"/>
        <w:pageBreakBefore w:val="0"/>
        <w:widowControl w:val="0"/>
        <w:numPr>
          <w:ilvl w:val="0"/>
          <w:numId w:val="5"/>
        </w:numPr>
        <w:shd w:val="clear" w:color="auto" w:fill="auto"/>
        <w:tabs>
          <w:tab w:val="left" w:pos="962"/>
        </w:tabs>
        <w:kinsoku/>
        <w:wordWrap/>
        <w:overflowPunct/>
        <w:topLinePunct w:val="0"/>
        <w:autoSpaceDE/>
        <w:autoSpaceDN/>
        <w:bidi w:val="0"/>
        <w:adjustRightInd/>
        <w:snapToGrid/>
        <w:spacing w:before="0" w:after="0" w:line="579" w:lineRule="exact"/>
        <w:ind w:leftChars="200" w:right="0" w:rightChars="0" w:firstLine="600" w:firstLineChars="200"/>
        <w:jc w:val="both"/>
        <w:textAlignment w:val="auto"/>
        <w:outlineLvl w:val="9"/>
        <w:rPr>
          <w:rFonts w:hint="eastAsia" w:ascii="方正仿宋_GBK" w:hAnsi="方正仿宋_GBK" w:eastAsia="方正仿宋_GBK" w:cs="方正仿宋_GBK"/>
          <w:b w:val="0"/>
          <w:bCs w:val="0"/>
          <w:color w:val="000000"/>
          <w:spacing w:val="0"/>
          <w:w w:val="100"/>
          <w:position w:val="0"/>
          <w:sz w:val="30"/>
          <w:szCs w:val="30"/>
          <w:lang w:val="en-US" w:eastAsia="zh-CN"/>
        </w:rPr>
      </w:pPr>
      <w:r>
        <w:rPr>
          <w:rFonts w:hint="eastAsia" w:ascii="方正仿宋_GBK" w:hAnsi="方正仿宋_GBK" w:eastAsia="方正仿宋_GBK" w:cs="方正仿宋_GBK"/>
          <w:b w:val="0"/>
          <w:bCs w:val="0"/>
          <w:color w:val="000000"/>
          <w:spacing w:val="0"/>
          <w:w w:val="100"/>
          <w:position w:val="0"/>
          <w:sz w:val="30"/>
          <w:szCs w:val="30"/>
          <w:lang w:val="en-US" w:eastAsia="zh-CN"/>
        </w:rPr>
        <w:t>采购人数：24人</w:t>
      </w:r>
    </w:p>
    <w:p w14:paraId="16DA4F19">
      <w:pPr>
        <w:pStyle w:val="434"/>
        <w:keepNext w:val="0"/>
        <w:keepLines w:val="0"/>
        <w:pageBreakBefore w:val="0"/>
        <w:widowControl w:val="0"/>
        <w:numPr>
          <w:ilvl w:val="0"/>
          <w:numId w:val="5"/>
        </w:numPr>
        <w:shd w:val="clear" w:color="auto" w:fill="auto"/>
        <w:tabs>
          <w:tab w:val="left" w:pos="962"/>
        </w:tabs>
        <w:kinsoku/>
        <w:wordWrap/>
        <w:overflowPunct/>
        <w:topLinePunct w:val="0"/>
        <w:autoSpaceDE/>
        <w:autoSpaceDN/>
        <w:bidi w:val="0"/>
        <w:adjustRightInd/>
        <w:snapToGrid/>
        <w:spacing w:before="0" w:after="0" w:line="579" w:lineRule="exact"/>
        <w:ind w:leftChars="200" w:right="0" w:rightChars="0" w:firstLine="600" w:firstLineChars="200"/>
        <w:jc w:val="both"/>
        <w:textAlignment w:val="auto"/>
        <w:outlineLvl w:val="9"/>
        <w:rPr>
          <w:rFonts w:hint="eastAsia" w:ascii="方正仿宋_GBK" w:hAnsi="方正仿宋_GBK" w:eastAsia="方正仿宋_GBK" w:cs="方正仿宋_GBK"/>
          <w:b w:val="0"/>
          <w:bCs w:val="0"/>
          <w:color w:val="000000"/>
          <w:spacing w:val="0"/>
          <w:w w:val="100"/>
          <w:position w:val="0"/>
          <w:sz w:val="30"/>
          <w:szCs w:val="30"/>
          <w:lang w:val="en-US" w:eastAsia="zh-CN"/>
        </w:rPr>
      </w:pPr>
      <w:r>
        <w:rPr>
          <w:rFonts w:hint="eastAsia" w:ascii="方正仿宋_GBK" w:hAnsi="方正仿宋_GBK" w:eastAsia="方正仿宋_GBK" w:cs="方正仿宋_GBK"/>
          <w:b w:val="0"/>
          <w:bCs w:val="0"/>
          <w:color w:val="000000"/>
          <w:spacing w:val="0"/>
          <w:w w:val="100"/>
          <w:position w:val="0"/>
          <w:sz w:val="30"/>
          <w:szCs w:val="30"/>
          <w:lang w:val="en-US" w:eastAsia="zh-CN"/>
        </w:rPr>
        <w:t>服务地点：龙陵县中医医院</w:t>
      </w:r>
    </w:p>
    <w:bookmarkEnd w:id="193"/>
    <w:p w14:paraId="06DE7C46">
      <w:pPr>
        <w:keepNext w:val="0"/>
        <w:keepLines w:val="0"/>
        <w:pageBreakBefore w:val="0"/>
        <w:kinsoku/>
        <w:wordWrap/>
        <w:overflowPunct/>
        <w:topLinePunct w:val="0"/>
        <w:autoSpaceDE/>
        <w:autoSpaceDN/>
        <w:bidi w:val="0"/>
        <w:adjustRightInd/>
        <w:snapToGrid/>
        <w:spacing w:beforeAutospacing="0" w:afterAutospacing="0" w:line="579" w:lineRule="exact"/>
        <w:ind w:left="0" w:leftChars="0" w:firstLine="640" w:firstLineChars="200"/>
        <w:jc w:val="both"/>
        <w:outlineLvl w:val="9"/>
        <w:rPr>
          <w:rFonts w:hint="eastAsia" w:ascii="方正黑体_GBK" w:hAnsi="方正黑体_GBK" w:eastAsia="方正黑体_GBK" w:cs="方正黑体_GBK"/>
          <w:b w:val="0"/>
          <w:bCs w:val="0"/>
          <w:sz w:val="32"/>
          <w:szCs w:val="32"/>
        </w:rPr>
      </w:pPr>
      <w:bookmarkStart w:id="197" w:name="bookmark4"/>
      <w:r>
        <w:rPr>
          <w:rFonts w:hint="eastAsia" w:ascii="方正黑体_GBK" w:hAnsi="方正黑体_GBK" w:eastAsia="方正黑体_GBK" w:cs="方正黑体_GBK"/>
          <w:b w:val="0"/>
          <w:bCs w:val="0"/>
          <w:color w:val="000000"/>
          <w:spacing w:val="0"/>
          <w:w w:val="100"/>
          <w:position w:val="0"/>
          <w:sz w:val="32"/>
          <w:szCs w:val="32"/>
        </w:rPr>
        <w:t>二</w:t>
      </w:r>
      <w:bookmarkEnd w:id="197"/>
      <w:r>
        <w:rPr>
          <w:rFonts w:hint="eastAsia" w:ascii="方正黑体_GBK" w:hAnsi="方正黑体_GBK" w:eastAsia="方正黑体_GBK" w:cs="方正黑体_GBK"/>
          <w:b w:val="0"/>
          <w:bCs w:val="0"/>
          <w:color w:val="000000"/>
          <w:spacing w:val="0"/>
          <w:w w:val="100"/>
          <w:position w:val="0"/>
          <w:sz w:val="32"/>
          <w:szCs w:val="32"/>
        </w:rPr>
        <w:t>、</w:t>
      </w:r>
      <w:r>
        <w:rPr>
          <w:rFonts w:hint="eastAsia" w:ascii="方正黑体_GBK" w:hAnsi="方正黑体_GBK" w:eastAsia="方正黑体_GBK" w:cs="方正黑体_GBK"/>
          <w:b w:val="0"/>
          <w:bCs w:val="0"/>
          <w:sz w:val="32"/>
          <w:szCs w:val="32"/>
        </w:rPr>
        <w:t>物业基本情况</w:t>
      </w:r>
    </w:p>
    <w:p w14:paraId="0135FA93">
      <w:pPr>
        <w:pStyle w:val="91"/>
        <w:keepNext w:val="0"/>
        <w:keepLines w:val="0"/>
        <w:pageBreakBefore w:val="0"/>
        <w:kinsoku/>
        <w:wordWrap/>
        <w:overflowPunct/>
        <w:topLinePunct w:val="0"/>
        <w:autoSpaceDE/>
        <w:autoSpaceDN/>
        <w:bidi w:val="0"/>
        <w:adjustRightInd/>
        <w:snapToGrid/>
        <w:spacing w:line="579" w:lineRule="exact"/>
        <w:ind w:firstLine="640" w:firstLineChars="200"/>
        <w:jc w:val="both"/>
        <w:outlineLvl w:val="9"/>
        <w:rPr>
          <w:rFonts w:hint="eastAsia" w:eastAsia="方正仿宋_GBK" w:cs="方正仿宋_GBK" w:asciiTheme="minorAscii" w:hAnsiTheme="minorAscii"/>
          <w:color w:val="000000"/>
          <w:spacing w:val="0"/>
          <w:w w:val="100"/>
          <w:position w:val="0"/>
          <w:sz w:val="32"/>
          <w:szCs w:val="32"/>
        </w:rPr>
      </w:pPr>
      <w:r>
        <w:rPr>
          <w:rFonts w:hint="eastAsia" w:ascii="宋体" w:hAnsi="宋体" w:eastAsia="方正仿宋_GBK" w:cs="方正仿宋_GBK"/>
          <w:i w:val="0"/>
          <w:caps w:val="0"/>
          <w:color w:val="000000"/>
          <w:spacing w:val="0"/>
          <w:sz w:val="32"/>
          <w:szCs w:val="32"/>
          <w:shd w:val="clear" w:color="auto" w:fill="auto"/>
        </w:rPr>
        <w:t>龙陵县中医医院属国家“二级甲等”非营利性医疗机构。现发展成为一所集医疗、预防保健为一体，以中医、按摩、推拿、针灸、康复、骨伤为比较优势的</w:t>
      </w:r>
      <w:r>
        <w:rPr>
          <w:rFonts w:hint="eastAsia" w:ascii="宋体" w:hAnsi="宋体" w:eastAsia="方正仿宋_GBK" w:cs="方正仿宋_GBK"/>
          <w:i w:val="0"/>
          <w:caps w:val="0"/>
          <w:color w:val="000000"/>
          <w:spacing w:val="0"/>
          <w:sz w:val="32"/>
          <w:szCs w:val="32"/>
          <w:shd w:val="clear" w:color="auto" w:fill="auto"/>
          <w:lang w:eastAsia="zh-CN"/>
        </w:rPr>
        <w:t>县级</w:t>
      </w:r>
      <w:r>
        <w:rPr>
          <w:rFonts w:hint="eastAsia" w:ascii="宋体" w:hAnsi="宋体" w:eastAsia="方正仿宋_GBK" w:cs="方正仿宋_GBK"/>
          <w:i w:val="0"/>
          <w:caps w:val="0"/>
          <w:color w:val="000000"/>
          <w:spacing w:val="0"/>
          <w:sz w:val="32"/>
          <w:szCs w:val="32"/>
          <w:shd w:val="clear" w:color="auto" w:fill="auto"/>
        </w:rPr>
        <w:t>中医医院</w:t>
      </w:r>
      <w:r>
        <w:rPr>
          <w:rFonts w:hint="eastAsia" w:ascii="宋体" w:hAnsi="宋体" w:eastAsia="方正仿宋_GBK" w:cs="方正仿宋_GBK"/>
          <w:i w:val="0"/>
          <w:caps w:val="0"/>
          <w:color w:val="000000"/>
          <w:spacing w:val="0"/>
          <w:sz w:val="32"/>
          <w:szCs w:val="32"/>
          <w:shd w:val="clear" w:color="auto" w:fill="auto"/>
          <w:lang w:eastAsia="zh-CN"/>
        </w:rPr>
        <w:t>，</w:t>
      </w:r>
      <w:r>
        <w:rPr>
          <w:rFonts w:hint="eastAsia" w:ascii="宋体" w:hAnsi="宋体" w:eastAsia="方正仿宋_GBK"/>
          <w:sz w:val="32"/>
          <w:lang w:val="en-US" w:eastAsia="zh-CN"/>
        </w:rPr>
        <w:t>全院共设40个科室，其中：党务、行政职能科室20个；医技科室4个；临床科室16个。</w:t>
      </w:r>
      <w:r>
        <w:rPr>
          <w:rFonts w:hint="eastAsia" w:ascii="宋体" w:hAnsi="宋体" w:eastAsia="方正仿宋_GBK" w:cs="方正仿宋_GBK"/>
          <w:kern w:val="2"/>
          <w:sz w:val="32"/>
          <w:szCs w:val="32"/>
          <w:lang w:val="en-US" w:eastAsia="zh-CN" w:bidi="ar-SA"/>
        </w:rPr>
        <w:t>医院配置设备有美国进口四维彩超、E9彩超、日本进口阿洛卡彩超、</w:t>
      </w:r>
      <w:r>
        <w:rPr>
          <w:rFonts w:hint="eastAsia" w:ascii="宋体" w:hAnsi="宋体" w:eastAsia="方正仿宋_GBK" w:cs="方正仿宋_GBK"/>
          <w:sz w:val="32"/>
          <w:szCs w:val="32"/>
          <w:lang w:val="en-US" w:eastAsia="zh-CN"/>
        </w:rPr>
        <w:t>16排CT、</w:t>
      </w:r>
      <w:r>
        <w:rPr>
          <w:rFonts w:hint="eastAsia" w:ascii="宋体" w:hAnsi="宋体" w:eastAsia="方正仿宋_GBK" w:cs="方正仿宋_GBK"/>
          <w:kern w:val="2"/>
          <w:sz w:val="32"/>
          <w:szCs w:val="32"/>
          <w:lang w:val="en-US" w:eastAsia="zh-CN" w:bidi="ar-SA"/>
        </w:rPr>
        <w:t>DR、美国进口BrivoCT、超声刀、</w:t>
      </w:r>
      <w:r>
        <w:rPr>
          <w:rFonts w:hint="eastAsia" w:ascii="宋体" w:hAnsi="宋体" w:eastAsia="方正仿宋_GBK" w:cs="方正仿宋_GBK"/>
          <w:sz w:val="32"/>
          <w:szCs w:val="32"/>
          <w:lang w:val="en-US" w:eastAsia="zh-CN"/>
        </w:rPr>
        <w:t>胃镜、肠镜、</w:t>
      </w:r>
      <w:r>
        <w:rPr>
          <w:rFonts w:hint="eastAsia" w:ascii="宋体" w:hAnsi="宋体" w:eastAsia="方正仿宋_GBK" w:cs="方正仿宋_GBK"/>
          <w:kern w:val="2"/>
          <w:sz w:val="32"/>
          <w:szCs w:val="32"/>
          <w:lang w:val="en-US" w:eastAsia="zh-CN" w:bidi="ar-SA"/>
        </w:rPr>
        <w:t>输尿管软镜、宫腔镜、腹腔镜、钬激光机、气压弹道碎石机、麻醉机、双极等离子电切机、全自动化学发光分析仪、法国进口全自动血球分析仪、尿沉渣分析仪、心电监护仪、心电图机等多种现代先进的诊疗设备。</w:t>
      </w:r>
      <w:r>
        <w:rPr>
          <w:rFonts w:hint="eastAsia" w:eastAsia="方正仿宋_GBK" w:cs="方正仿宋_GBK" w:asciiTheme="minorAscii" w:hAnsiTheme="minorAscii"/>
          <w:color w:val="000000"/>
          <w:spacing w:val="0"/>
          <w:w w:val="100"/>
          <w:position w:val="0"/>
          <w:sz w:val="32"/>
          <w:szCs w:val="32"/>
        </w:rPr>
        <w:t>龙陵县中医院作为行业卫生标准达标单位，也是物业管理卫生服务重点单位，给全体医护人员及病人创造</w:t>
      </w:r>
      <w:r>
        <w:rPr>
          <w:rFonts w:hint="eastAsia" w:eastAsia="方正仿宋_GBK" w:cs="方正仿宋_GBK" w:asciiTheme="minorAscii" w:hAnsiTheme="minorAscii"/>
          <w:color w:val="000000"/>
          <w:spacing w:val="0"/>
          <w:w w:val="100"/>
          <w:position w:val="0"/>
          <w:sz w:val="32"/>
          <w:szCs w:val="32"/>
          <w:lang w:eastAsia="zh-CN"/>
        </w:rPr>
        <w:t>一</w:t>
      </w:r>
      <w:r>
        <w:rPr>
          <w:rFonts w:hint="eastAsia" w:eastAsia="方正仿宋_GBK" w:cs="方正仿宋_GBK" w:asciiTheme="minorAscii" w:hAnsiTheme="minorAscii"/>
          <w:color w:val="000000"/>
          <w:spacing w:val="0"/>
          <w:w w:val="100"/>
          <w:position w:val="0"/>
          <w:sz w:val="32"/>
          <w:szCs w:val="32"/>
        </w:rPr>
        <w:t>个清洁、卫生、舒适、安全的工作环境和医疗环境，是我们的职责和目标，为使</w:t>
      </w:r>
      <w:r>
        <w:rPr>
          <w:rFonts w:hint="eastAsia" w:eastAsia="方正仿宋_GBK" w:cs="方正仿宋_GBK" w:asciiTheme="minorAscii" w:hAnsiTheme="minorAscii"/>
          <w:color w:val="000000"/>
          <w:spacing w:val="0"/>
          <w:w w:val="100"/>
          <w:position w:val="0"/>
          <w:sz w:val="32"/>
          <w:szCs w:val="32"/>
          <w:lang w:eastAsia="zh-CN"/>
        </w:rPr>
        <w:t>医</w:t>
      </w:r>
      <w:r>
        <w:rPr>
          <w:rFonts w:hint="eastAsia" w:eastAsia="方正仿宋_GBK" w:cs="方正仿宋_GBK" w:asciiTheme="minorAscii" w:hAnsiTheme="minorAscii"/>
          <w:color w:val="000000"/>
          <w:spacing w:val="0"/>
          <w:w w:val="100"/>
          <w:position w:val="0"/>
          <w:sz w:val="32"/>
          <w:szCs w:val="32"/>
        </w:rPr>
        <w:t>院物业保洁工作操作规范化、管理科学化。结合医院实际，制定切实可行、高标准的卫生保洁实施</w:t>
      </w:r>
      <w:r>
        <w:rPr>
          <w:rFonts w:hint="eastAsia" w:eastAsia="方正仿宋_GBK" w:cs="方正仿宋_GBK" w:asciiTheme="minorAscii" w:hAnsiTheme="minorAscii"/>
          <w:color w:val="000000"/>
          <w:spacing w:val="0"/>
          <w:w w:val="100"/>
          <w:position w:val="0"/>
          <w:sz w:val="32"/>
          <w:szCs w:val="32"/>
          <w:lang w:eastAsia="zh-CN"/>
        </w:rPr>
        <w:t>方</w:t>
      </w:r>
      <w:r>
        <w:rPr>
          <w:rFonts w:hint="eastAsia" w:eastAsia="方正仿宋_GBK" w:cs="方正仿宋_GBK" w:asciiTheme="minorAscii" w:hAnsiTheme="minorAscii"/>
          <w:color w:val="000000"/>
          <w:spacing w:val="0"/>
          <w:w w:val="100"/>
          <w:position w:val="0"/>
          <w:sz w:val="32"/>
          <w:szCs w:val="32"/>
        </w:rPr>
        <w:t>案，十分重要。</w:t>
      </w:r>
    </w:p>
    <w:p w14:paraId="71A4059A">
      <w:pPr>
        <w:keepNext w:val="0"/>
        <w:keepLines w:val="0"/>
        <w:pageBreakBefore w:val="0"/>
        <w:kinsoku/>
        <w:wordWrap/>
        <w:overflowPunct/>
        <w:topLinePunct w:val="0"/>
        <w:autoSpaceDE/>
        <w:autoSpaceDN/>
        <w:bidi w:val="0"/>
        <w:adjustRightInd/>
        <w:snapToGrid/>
        <w:spacing w:line="579" w:lineRule="exact"/>
        <w:ind w:firstLine="640" w:firstLineChars="200"/>
        <w:jc w:val="both"/>
        <w:outlineLvl w:val="9"/>
        <w:rPr>
          <w:rFonts w:hint="eastAsia" w:eastAsia="方正仿宋_GBK" w:cs="方正仿宋_GBK" w:asciiTheme="minorAscii" w:hAnsiTheme="minorAscii"/>
          <w:color w:val="000000"/>
          <w:spacing w:val="0"/>
          <w:w w:val="100"/>
          <w:position w:val="0"/>
          <w:sz w:val="32"/>
          <w:szCs w:val="32"/>
          <w:lang w:val="en-US" w:eastAsia="zh-CN"/>
        </w:rPr>
      </w:pPr>
      <w:r>
        <w:rPr>
          <w:rFonts w:hint="eastAsia" w:eastAsia="方正仿宋_GBK" w:cs="方正仿宋_GBK" w:asciiTheme="minorAscii" w:hAnsiTheme="minorAscii"/>
          <w:color w:val="000000"/>
          <w:spacing w:val="0"/>
          <w:w w:val="100"/>
          <w:position w:val="0"/>
          <w:sz w:val="32"/>
          <w:szCs w:val="32"/>
          <w:lang w:eastAsia="zh-CN"/>
        </w:rPr>
        <w:t>（</w:t>
      </w:r>
      <w:r>
        <w:rPr>
          <w:rFonts w:hint="eastAsia" w:eastAsia="方正仿宋_GBK" w:cs="方正仿宋_GBK" w:asciiTheme="minorAscii" w:hAnsiTheme="minorAscii"/>
          <w:color w:val="000000"/>
          <w:spacing w:val="0"/>
          <w:w w:val="100"/>
          <w:position w:val="0"/>
          <w:sz w:val="32"/>
          <w:szCs w:val="32"/>
          <w:lang w:val="en-US" w:eastAsia="zh-CN"/>
        </w:rPr>
        <w:t>一</w:t>
      </w:r>
      <w:r>
        <w:rPr>
          <w:rFonts w:hint="eastAsia" w:eastAsia="方正仿宋_GBK" w:cs="方正仿宋_GBK" w:asciiTheme="minorAscii" w:hAnsiTheme="minorAscii"/>
          <w:color w:val="000000"/>
          <w:spacing w:val="0"/>
          <w:w w:val="100"/>
          <w:position w:val="0"/>
          <w:sz w:val="32"/>
          <w:szCs w:val="32"/>
          <w:lang w:eastAsia="zh-CN"/>
        </w:rPr>
        <w:t>）</w:t>
      </w:r>
      <w:r>
        <w:rPr>
          <w:rFonts w:hint="eastAsia" w:eastAsia="方正仿宋_GBK" w:cs="方正仿宋_GBK" w:asciiTheme="minorAscii" w:hAnsiTheme="minorAscii"/>
          <w:color w:val="000000"/>
          <w:spacing w:val="0"/>
          <w:w w:val="100"/>
          <w:position w:val="0"/>
          <w:sz w:val="32"/>
          <w:szCs w:val="32"/>
          <w:lang w:val="en-US" w:eastAsia="zh-CN"/>
        </w:rPr>
        <w:t>人员配置要求</w:t>
      </w:r>
    </w:p>
    <w:p w14:paraId="522842F3">
      <w:pPr>
        <w:pStyle w:val="14"/>
        <w:keepNext w:val="0"/>
        <w:keepLines w:val="0"/>
        <w:pageBreakBefore w:val="0"/>
        <w:widowControl/>
        <w:kinsoku/>
        <w:wordWrap/>
        <w:overflowPunct/>
        <w:topLinePunct w:val="0"/>
        <w:autoSpaceDE/>
        <w:autoSpaceDN/>
        <w:bidi w:val="0"/>
        <w:adjustRightInd/>
        <w:snapToGrid/>
        <w:spacing w:beforeAutospacing="0" w:afterAutospacing="0" w:line="579" w:lineRule="exact"/>
        <w:ind w:left="0" w:leftChars="0" w:firstLine="600" w:firstLineChars="200"/>
        <w:jc w:val="both"/>
        <w:textAlignment w:val="auto"/>
        <w:outlineLvl w:val="9"/>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color w:val="auto"/>
          <w:sz w:val="30"/>
          <w:szCs w:val="30"/>
          <w:lang w:val="en-US" w:eastAsia="zh-CN"/>
        </w:rPr>
        <w:t>1.</w:t>
      </w:r>
      <w:r>
        <w:rPr>
          <w:rFonts w:hint="eastAsia" w:ascii="方正仿宋_GBK" w:hAnsi="方正仿宋_GBK" w:eastAsia="方正仿宋_GBK" w:cs="方正仿宋_GBK"/>
          <w:color w:val="auto"/>
          <w:sz w:val="30"/>
          <w:szCs w:val="30"/>
        </w:rPr>
        <w:t>保洁</w:t>
      </w:r>
      <w:r>
        <w:rPr>
          <w:rFonts w:hint="eastAsia" w:ascii="方正仿宋_GBK" w:hAnsi="方正仿宋_GBK" w:eastAsia="方正仿宋_GBK" w:cs="方正仿宋_GBK"/>
          <w:color w:val="auto"/>
          <w:sz w:val="30"/>
          <w:szCs w:val="30"/>
          <w:lang w:eastAsia="zh-CN"/>
        </w:rPr>
        <w:t>人员</w:t>
      </w:r>
      <w:r>
        <w:rPr>
          <w:rFonts w:hint="eastAsia" w:ascii="方正仿宋_GBK" w:hAnsi="方正仿宋_GBK" w:eastAsia="方正仿宋_GBK" w:cs="方正仿宋_GBK"/>
          <w:color w:val="auto"/>
          <w:sz w:val="30"/>
          <w:szCs w:val="30"/>
          <w:lang w:val="en-US" w:eastAsia="zh-CN"/>
        </w:rPr>
        <w:t>24人</w:t>
      </w:r>
      <w:r>
        <w:rPr>
          <w:rFonts w:hint="eastAsia" w:ascii="方正仿宋_GBK" w:hAnsi="方正仿宋_GBK" w:eastAsia="方正仿宋_GBK" w:cs="方正仿宋_GBK"/>
          <w:color w:val="auto"/>
          <w:sz w:val="30"/>
          <w:szCs w:val="30"/>
          <w:lang w:eastAsia="zh-CN"/>
        </w:rPr>
        <w:t>（其中</w:t>
      </w:r>
      <w:r>
        <w:rPr>
          <w:rFonts w:hint="eastAsia" w:ascii="方正仿宋_GBK" w:hAnsi="方正仿宋_GBK" w:eastAsia="方正仿宋_GBK" w:cs="方正仿宋_GBK"/>
          <w:color w:val="auto"/>
          <w:sz w:val="30"/>
          <w:szCs w:val="30"/>
          <w:lang w:val="en-US" w:eastAsia="zh-CN"/>
        </w:rPr>
        <w:t>含</w:t>
      </w:r>
      <w:r>
        <w:rPr>
          <w:rFonts w:hint="eastAsia" w:ascii="方正仿宋_GBK" w:hAnsi="方正仿宋_GBK" w:eastAsia="方正仿宋_GBK" w:cs="方正仿宋_GBK"/>
          <w:i w:val="0"/>
          <w:iCs w:val="0"/>
          <w:color w:val="auto"/>
          <w:kern w:val="0"/>
          <w:sz w:val="30"/>
          <w:szCs w:val="30"/>
          <w:u w:val="none"/>
          <w:lang w:val="en-US" w:eastAsia="zh-CN" w:bidi="ar"/>
        </w:rPr>
        <w:t>管理人</w:t>
      </w:r>
      <w:r>
        <w:rPr>
          <w:rFonts w:hint="eastAsia" w:ascii="方正仿宋_GBK" w:hAnsi="方正仿宋_GBK" w:eastAsia="方正仿宋_GBK" w:cs="方正仿宋_GBK"/>
          <w:i w:val="0"/>
          <w:iCs w:val="0"/>
          <w:color w:val="000000"/>
          <w:kern w:val="0"/>
          <w:sz w:val="30"/>
          <w:szCs w:val="30"/>
          <w:u w:val="none"/>
          <w:lang w:val="en-US" w:eastAsia="zh-CN" w:bidi="ar"/>
        </w:rPr>
        <w:t>员1名</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本次招标投标人必须按要求满足人员配置24人的需求，具体岗位详见岗位人员配置名单。</w:t>
      </w:r>
    </w:p>
    <w:p w14:paraId="6C81B374">
      <w:pPr>
        <w:pStyle w:val="14"/>
        <w:keepNext w:val="0"/>
        <w:keepLines w:val="0"/>
        <w:pageBreakBefore w:val="0"/>
        <w:widowControl/>
        <w:kinsoku/>
        <w:wordWrap/>
        <w:overflowPunct/>
        <w:topLinePunct w:val="0"/>
        <w:autoSpaceDE/>
        <w:autoSpaceDN/>
        <w:bidi w:val="0"/>
        <w:adjustRightInd/>
        <w:snapToGrid/>
        <w:spacing w:beforeAutospacing="0" w:afterAutospacing="0" w:line="579" w:lineRule="exact"/>
        <w:ind w:left="0" w:leftChars="0" w:firstLine="600" w:firstLineChars="200"/>
        <w:jc w:val="both"/>
        <w:textAlignment w:val="auto"/>
        <w:outlineLvl w:val="9"/>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2.人员配置名单</w:t>
      </w:r>
    </w:p>
    <w:tbl>
      <w:tblPr>
        <w:tblStyle w:val="62"/>
        <w:tblW w:w="90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18"/>
        <w:gridCol w:w="2200"/>
        <w:gridCol w:w="2307"/>
        <w:gridCol w:w="1319"/>
        <w:gridCol w:w="1181"/>
      </w:tblGrid>
      <w:tr w14:paraId="649CB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D454A">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z w:val="30"/>
                <w:szCs w:val="30"/>
                <w:u w:val="none"/>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保洁区域</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D458">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eastAsia" w:ascii="方正仿宋_GBK" w:hAnsi="方正仿宋_GBK" w:eastAsia="方正仿宋_GBK" w:cs="方正仿宋_GBK"/>
                <w:i w:val="0"/>
                <w:iCs w:val="0"/>
                <w:color w:val="000000"/>
                <w:sz w:val="30"/>
                <w:szCs w:val="30"/>
                <w:u w:val="none"/>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人员配置（名）</w:t>
            </w: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16BF">
            <w:pPr>
              <w:keepNext w:val="0"/>
              <w:keepLines w:val="0"/>
              <w:pageBreakBefore w:val="0"/>
              <w:widowControl/>
              <w:suppressLineNumbers w:val="0"/>
              <w:kinsoku/>
              <w:wordWrap/>
              <w:overflowPunct/>
              <w:topLinePunct w:val="0"/>
              <w:autoSpaceDE/>
              <w:autoSpaceDN/>
              <w:bidi w:val="0"/>
              <w:adjustRightInd/>
              <w:snapToGrid/>
              <w:spacing w:line="579" w:lineRule="exact"/>
              <w:ind w:firstLine="300" w:firstLineChars="100"/>
              <w:jc w:val="both"/>
              <w:textAlignment w:val="center"/>
              <w:outlineLvl w:val="9"/>
              <w:rPr>
                <w:rFonts w:hint="eastAsia" w:ascii="方正仿宋_GBK" w:hAnsi="方正仿宋_GBK" w:eastAsia="方正仿宋_GBK" w:cs="方正仿宋_GBK"/>
                <w:i w:val="0"/>
                <w:iCs w:val="0"/>
                <w:color w:val="000000"/>
                <w:sz w:val="30"/>
                <w:szCs w:val="30"/>
                <w:u w:val="none"/>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人员分配</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A97C5">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z w:val="30"/>
                <w:szCs w:val="30"/>
                <w:u w:val="none"/>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合计人数</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D1333">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z w:val="30"/>
                <w:szCs w:val="30"/>
                <w:u w:val="none"/>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备注</w:t>
            </w:r>
          </w:p>
        </w:tc>
      </w:tr>
      <w:tr w14:paraId="5BB94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restart"/>
            <w:tcBorders>
              <w:top w:val="single" w:color="000000" w:sz="4" w:space="0"/>
              <w:left w:val="single" w:color="000000" w:sz="4" w:space="0"/>
              <w:right w:val="single" w:color="000000" w:sz="4" w:space="0"/>
            </w:tcBorders>
            <w:shd w:val="clear" w:color="auto" w:fill="auto"/>
            <w:vAlign w:val="center"/>
          </w:tcPr>
          <w:p w14:paraId="72EAFA09">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1号住院楼</w:t>
            </w:r>
          </w:p>
        </w:tc>
        <w:tc>
          <w:tcPr>
            <w:tcW w:w="2200" w:type="dxa"/>
            <w:vMerge w:val="restart"/>
            <w:tcBorders>
              <w:top w:val="single" w:color="000000" w:sz="4" w:space="0"/>
              <w:left w:val="single" w:color="000000" w:sz="4" w:space="0"/>
              <w:right w:val="single" w:color="000000" w:sz="4" w:space="0"/>
            </w:tcBorders>
            <w:shd w:val="clear" w:color="auto" w:fill="auto"/>
            <w:vAlign w:val="center"/>
          </w:tcPr>
          <w:p w14:paraId="76D664D4">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保洁人员7</w:t>
            </w: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CC7A">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CA71">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restart"/>
            <w:tcBorders>
              <w:top w:val="single" w:color="000000" w:sz="4" w:space="0"/>
              <w:left w:val="single" w:color="000000" w:sz="4" w:space="0"/>
              <w:right w:val="single" w:color="000000" w:sz="4" w:space="0"/>
            </w:tcBorders>
            <w:shd w:val="clear" w:color="auto" w:fill="auto"/>
            <w:vAlign w:val="center"/>
          </w:tcPr>
          <w:p w14:paraId="7F7F7D86">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含全院病房被服更换</w:t>
            </w:r>
          </w:p>
        </w:tc>
      </w:tr>
      <w:tr w14:paraId="55DDF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199A78D9">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3DFCAE82">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CB80B">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2层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FCDAB">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continue"/>
            <w:tcBorders>
              <w:left w:val="single" w:color="000000" w:sz="4" w:space="0"/>
              <w:right w:val="single" w:color="000000" w:sz="4" w:space="0"/>
            </w:tcBorders>
            <w:shd w:val="clear" w:color="auto" w:fill="auto"/>
            <w:vAlign w:val="center"/>
          </w:tcPr>
          <w:p w14:paraId="75AD9F36">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2C159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47A9DC4A">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4062C6F7">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8E02">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3层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710CE">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continue"/>
            <w:tcBorders>
              <w:left w:val="single" w:color="000000" w:sz="4" w:space="0"/>
              <w:right w:val="single" w:color="000000" w:sz="4" w:space="0"/>
            </w:tcBorders>
            <w:shd w:val="clear" w:color="auto" w:fill="auto"/>
            <w:vAlign w:val="center"/>
          </w:tcPr>
          <w:p w14:paraId="78B581F5">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10617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6C0B94B9">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1D866405">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F4CF">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4层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E153C">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continue"/>
            <w:tcBorders>
              <w:left w:val="single" w:color="000000" w:sz="4" w:space="0"/>
              <w:right w:val="single" w:color="000000" w:sz="4" w:space="0"/>
            </w:tcBorders>
            <w:shd w:val="clear" w:color="auto" w:fill="auto"/>
            <w:vAlign w:val="center"/>
          </w:tcPr>
          <w:p w14:paraId="4CE891FA">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206A5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07D77BB9">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4646A5FA">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3898D">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5层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14E37">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continue"/>
            <w:tcBorders>
              <w:left w:val="single" w:color="000000" w:sz="4" w:space="0"/>
              <w:right w:val="single" w:color="000000" w:sz="4" w:space="0"/>
            </w:tcBorders>
            <w:shd w:val="clear" w:color="auto" w:fill="auto"/>
            <w:vAlign w:val="center"/>
          </w:tcPr>
          <w:p w14:paraId="4337B451">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6AC16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145A6946">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51967551">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D373">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6层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39D3F">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continue"/>
            <w:tcBorders>
              <w:left w:val="single" w:color="000000" w:sz="4" w:space="0"/>
              <w:right w:val="single" w:color="000000" w:sz="4" w:space="0"/>
            </w:tcBorders>
            <w:shd w:val="clear" w:color="auto" w:fill="auto"/>
            <w:vAlign w:val="center"/>
          </w:tcPr>
          <w:p w14:paraId="1740D7AA">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2A896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bottom w:val="single" w:color="000000" w:sz="4" w:space="0"/>
              <w:right w:val="single" w:color="000000" w:sz="4" w:space="0"/>
            </w:tcBorders>
            <w:shd w:val="clear" w:color="auto" w:fill="auto"/>
            <w:vAlign w:val="center"/>
          </w:tcPr>
          <w:p w14:paraId="4FB50180">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bottom w:val="single" w:color="000000" w:sz="4" w:space="0"/>
              <w:right w:val="single" w:color="000000" w:sz="4" w:space="0"/>
            </w:tcBorders>
            <w:shd w:val="clear" w:color="auto" w:fill="auto"/>
            <w:vAlign w:val="center"/>
          </w:tcPr>
          <w:p w14:paraId="722F8C63">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6CC46">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7层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9577D">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continue"/>
            <w:tcBorders>
              <w:left w:val="single" w:color="000000" w:sz="4" w:space="0"/>
              <w:bottom w:val="single" w:color="000000" w:sz="4" w:space="0"/>
              <w:right w:val="single" w:color="000000" w:sz="4" w:space="0"/>
            </w:tcBorders>
            <w:shd w:val="clear" w:color="auto" w:fill="auto"/>
            <w:vAlign w:val="center"/>
          </w:tcPr>
          <w:p w14:paraId="5AB8FD9B">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1768F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restart"/>
            <w:tcBorders>
              <w:top w:val="single" w:color="000000" w:sz="4" w:space="0"/>
              <w:left w:val="single" w:color="000000" w:sz="4" w:space="0"/>
              <w:right w:val="single" w:color="000000" w:sz="4" w:space="0"/>
            </w:tcBorders>
            <w:shd w:val="clear" w:color="auto" w:fill="auto"/>
            <w:vAlign w:val="center"/>
          </w:tcPr>
          <w:p w14:paraId="54AD5016">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2号住院楼</w:t>
            </w:r>
          </w:p>
        </w:tc>
        <w:tc>
          <w:tcPr>
            <w:tcW w:w="2200" w:type="dxa"/>
            <w:vMerge w:val="restart"/>
            <w:tcBorders>
              <w:top w:val="single" w:color="000000" w:sz="4" w:space="0"/>
              <w:left w:val="single" w:color="000000" w:sz="4" w:space="0"/>
              <w:right w:val="single" w:color="000000" w:sz="4" w:space="0"/>
            </w:tcBorders>
            <w:shd w:val="clear" w:color="auto" w:fill="auto"/>
            <w:vAlign w:val="center"/>
          </w:tcPr>
          <w:p w14:paraId="23E78C4B">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保洁人员4</w:t>
            </w: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0AEFE">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2层针灸推拿科</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B7EB4">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restart"/>
            <w:tcBorders>
              <w:top w:val="single" w:color="000000" w:sz="4" w:space="0"/>
              <w:left w:val="single" w:color="000000" w:sz="4" w:space="0"/>
              <w:right w:val="single" w:color="000000" w:sz="4" w:space="0"/>
            </w:tcBorders>
            <w:shd w:val="clear" w:color="auto" w:fill="auto"/>
            <w:vAlign w:val="center"/>
          </w:tcPr>
          <w:p w14:paraId="6B9AA07A">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含全院病房被服更换</w:t>
            </w:r>
          </w:p>
        </w:tc>
      </w:tr>
      <w:tr w14:paraId="165B5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6D5E3081">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2F4BB3A2">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D6630">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3层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980E1">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181" w:type="dxa"/>
            <w:vMerge w:val="continue"/>
            <w:tcBorders>
              <w:left w:val="single" w:color="000000" w:sz="4" w:space="0"/>
              <w:right w:val="single" w:color="000000" w:sz="4" w:space="0"/>
            </w:tcBorders>
            <w:shd w:val="clear" w:color="auto" w:fill="auto"/>
            <w:vAlign w:val="center"/>
          </w:tcPr>
          <w:p w14:paraId="5BF51E86">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0C5AB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618EBAC8">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31F95081">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BB7E6">
            <w:pPr>
              <w:keepNext w:val="0"/>
              <w:keepLines w:val="0"/>
              <w:pageBreakBefore w:val="0"/>
              <w:widowControl/>
              <w:suppressLineNumbers w:val="0"/>
              <w:kinsoku/>
              <w:wordWrap/>
              <w:overflowPunct/>
              <w:topLinePunct w:val="0"/>
              <w:autoSpaceDE/>
              <w:autoSpaceDN/>
              <w:bidi w:val="0"/>
              <w:adjustRightInd/>
              <w:snapToGrid/>
              <w:spacing w:line="579" w:lineRule="exact"/>
              <w:ind w:right="0" w:rightChars="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4层肺病科</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BC143">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continue"/>
            <w:tcBorders>
              <w:left w:val="single" w:color="000000" w:sz="4" w:space="0"/>
              <w:right w:val="single" w:color="000000" w:sz="4" w:space="0"/>
            </w:tcBorders>
            <w:shd w:val="clear" w:color="auto" w:fill="auto"/>
            <w:vAlign w:val="center"/>
          </w:tcPr>
          <w:p w14:paraId="22A845B6">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1C7EF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bottom w:val="single" w:color="000000" w:sz="4" w:space="0"/>
              <w:right w:val="single" w:color="000000" w:sz="4" w:space="0"/>
            </w:tcBorders>
            <w:shd w:val="clear" w:color="auto" w:fill="auto"/>
            <w:vAlign w:val="center"/>
          </w:tcPr>
          <w:p w14:paraId="5765EED6">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bottom w:val="single" w:color="000000" w:sz="4" w:space="0"/>
              <w:right w:val="single" w:color="000000" w:sz="4" w:space="0"/>
            </w:tcBorders>
            <w:shd w:val="clear" w:color="auto" w:fill="auto"/>
            <w:vAlign w:val="center"/>
          </w:tcPr>
          <w:p w14:paraId="55C477AB">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22B66">
            <w:pPr>
              <w:keepNext w:val="0"/>
              <w:keepLines w:val="0"/>
              <w:pageBreakBefore w:val="0"/>
              <w:widowControl/>
              <w:suppressLineNumbers w:val="0"/>
              <w:kinsoku/>
              <w:wordWrap/>
              <w:overflowPunct/>
              <w:topLinePunct w:val="0"/>
              <w:autoSpaceDE/>
              <w:autoSpaceDN/>
              <w:bidi w:val="0"/>
              <w:adjustRightInd/>
              <w:snapToGrid/>
              <w:spacing w:line="579" w:lineRule="exact"/>
              <w:ind w:right="0" w:rightChars="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5层老年病科</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9521B">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181" w:type="dxa"/>
            <w:vMerge w:val="continue"/>
            <w:tcBorders>
              <w:left w:val="single" w:color="000000" w:sz="4" w:space="0"/>
              <w:bottom w:val="single" w:color="000000" w:sz="4" w:space="0"/>
              <w:right w:val="single" w:color="000000" w:sz="4" w:space="0"/>
            </w:tcBorders>
            <w:shd w:val="clear" w:color="auto" w:fill="auto"/>
            <w:vAlign w:val="center"/>
          </w:tcPr>
          <w:p w14:paraId="51CA8CC6">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17682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restart"/>
            <w:tcBorders>
              <w:top w:val="single" w:color="000000" w:sz="4" w:space="0"/>
              <w:left w:val="single" w:color="000000" w:sz="4" w:space="0"/>
              <w:right w:val="single" w:color="000000" w:sz="4" w:space="0"/>
            </w:tcBorders>
            <w:shd w:val="clear" w:color="auto" w:fill="auto"/>
            <w:vAlign w:val="center"/>
          </w:tcPr>
          <w:p w14:paraId="441481C2">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2号住院楼</w:t>
            </w:r>
          </w:p>
        </w:tc>
        <w:tc>
          <w:tcPr>
            <w:tcW w:w="2200" w:type="dxa"/>
            <w:vMerge w:val="restart"/>
            <w:tcBorders>
              <w:top w:val="single" w:color="000000" w:sz="4" w:space="0"/>
              <w:left w:val="single" w:color="000000" w:sz="4" w:space="0"/>
              <w:right w:val="single" w:color="000000" w:sz="4" w:space="0"/>
            </w:tcBorders>
            <w:shd w:val="clear" w:color="auto" w:fill="auto"/>
            <w:vAlign w:val="center"/>
          </w:tcPr>
          <w:p w14:paraId="5CCD7ABE">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保洁人员</w:t>
            </w: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B26E">
            <w:pPr>
              <w:keepNext w:val="0"/>
              <w:keepLines w:val="0"/>
              <w:pageBreakBefore w:val="0"/>
              <w:widowControl/>
              <w:suppressLineNumbers w:val="0"/>
              <w:kinsoku/>
              <w:wordWrap/>
              <w:overflowPunct/>
              <w:topLinePunct w:val="0"/>
              <w:autoSpaceDE/>
              <w:autoSpaceDN/>
              <w:bidi w:val="0"/>
              <w:adjustRightInd/>
              <w:snapToGrid/>
              <w:spacing w:line="579" w:lineRule="exact"/>
              <w:ind w:right="0" w:rightChars="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6层脾胃病科</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3BDD">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restart"/>
            <w:tcBorders>
              <w:top w:val="single" w:color="000000" w:sz="4" w:space="0"/>
              <w:left w:val="single" w:color="000000" w:sz="4" w:space="0"/>
              <w:right w:val="single" w:color="000000" w:sz="4" w:space="0"/>
            </w:tcBorders>
            <w:shd w:val="clear" w:color="auto" w:fill="auto"/>
            <w:vAlign w:val="center"/>
          </w:tcPr>
          <w:p w14:paraId="42F7F3A1">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含全院病房被服更换</w:t>
            </w:r>
          </w:p>
        </w:tc>
      </w:tr>
      <w:tr w14:paraId="53A6C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3631121D">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53057E90">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11A02">
            <w:pPr>
              <w:keepNext w:val="0"/>
              <w:keepLines w:val="0"/>
              <w:pageBreakBefore w:val="0"/>
              <w:widowControl/>
              <w:suppressLineNumbers w:val="0"/>
              <w:kinsoku/>
              <w:wordWrap/>
              <w:overflowPunct/>
              <w:topLinePunct w:val="0"/>
              <w:autoSpaceDE/>
              <w:autoSpaceDN/>
              <w:bidi w:val="0"/>
              <w:adjustRightInd/>
              <w:snapToGrid/>
              <w:spacing w:line="579" w:lineRule="exact"/>
              <w:ind w:right="0" w:rightChars="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7层内科</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5C56F">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181" w:type="dxa"/>
            <w:vMerge w:val="continue"/>
            <w:tcBorders>
              <w:left w:val="single" w:color="000000" w:sz="4" w:space="0"/>
              <w:right w:val="single" w:color="000000" w:sz="4" w:space="0"/>
            </w:tcBorders>
            <w:shd w:val="clear" w:color="auto" w:fill="auto"/>
            <w:vAlign w:val="center"/>
          </w:tcPr>
          <w:p w14:paraId="7A09F559">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49A68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76AD402B">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14B27430">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24895">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8层儿科</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CB4BC">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vMerge w:val="continue"/>
            <w:tcBorders>
              <w:left w:val="single" w:color="000000" w:sz="4" w:space="0"/>
              <w:right w:val="single" w:color="000000" w:sz="4" w:space="0"/>
            </w:tcBorders>
            <w:shd w:val="clear" w:color="auto" w:fill="auto"/>
            <w:vAlign w:val="center"/>
          </w:tcPr>
          <w:p w14:paraId="01B8CC07">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531B4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2BEBA2B4">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7E7D739C">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6A31">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9层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82CA">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181" w:type="dxa"/>
            <w:vMerge w:val="continue"/>
            <w:tcBorders>
              <w:left w:val="single" w:color="000000" w:sz="4" w:space="0"/>
              <w:right w:val="single" w:color="000000" w:sz="4" w:space="0"/>
            </w:tcBorders>
            <w:shd w:val="clear" w:color="auto" w:fill="auto"/>
            <w:vAlign w:val="center"/>
          </w:tcPr>
          <w:p w14:paraId="3DD3C305">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59917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56D5BDBB">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3740962E">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839F3">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10层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33AB0">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181" w:type="dxa"/>
            <w:vMerge w:val="continue"/>
            <w:tcBorders>
              <w:left w:val="single" w:color="000000" w:sz="4" w:space="0"/>
              <w:right w:val="single" w:color="000000" w:sz="4" w:space="0"/>
            </w:tcBorders>
            <w:shd w:val="clear" w:color="auto" w:fill="auto"/>
            <w:vAlign w:val="center"/>
          </w:tcPr>
          <w:p w14:paraId="4306A348">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19D6C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bottom w:val="single" w:color="000000" w:sz="4" w:space="0"/>
              <w:right w:val="single" w:color="000000" w:sz="4" w:space="0"/>
            </w:tcBorders>
            <w:shd w:val="clear" w:color="auto" w:fill="auto"/>
            <w:vAlign w:val="center"/>
          </w:tcPr>
          <w:p w14:paraId="5D75AE2B">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bottom w:val="single" w:color="000000" w:sz="4" w:space="0"/>
              <w:right w:val="single" w:color="000000" w:sz="4" w:space="0"/>
            </w:tcBorders>
            <w:shd w:val="clear" w:color="auto" w:fill="auto"/>
            <w:vAlign w:val="center"/>
          </w:tcPr>
          <w:p w14:paraId="00412212">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9D439">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11层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29A74">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181" w:type="dxa"/>
            <w:vMerge w:val="continue"/>
            <w:tcBorders>
              <w:left w:val="single" w:color="000000" w:sz="4" w:space="0"/>
              <w:bottom w:val="single" w:color="000000" w:sz="4" w:space="0"/>
              <w:right w:val="single" w:color="000000" w:sz="4" w:space="0"/>
            </w:tcBorders>
            <w:shd w:val="clear" w:color="auto" w:fill="auto"/>
            <w:vAlign w:val="center"/>
          </w:tcPr>
          <w:p w14:paraId="4BE3456D">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05589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2018" w:type="dxa"/>
            <w:vMerge w:val="restart"/>
            <w:tcBorders>
              <w:top w:val="single" w:color="000000" w:sz="4" w:space="0"/>
              <w:left w:val="single" w:color="000000" w:sz="4" w:space="0"/>
              <w:right w:val="single" w:color="000000" w:sz="4" w:space="0"/>
            </w:tcBorders>
            <w:shd w:val="clear" w:color="auto" w:fill="auto"/>
            <w:vAlign w:val="center"/>
          </w:tcPr>
          <w:p w14:paraId="04CFB624">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门诊大楼</w:t>
            </w:r>
          </w:p>
        </w:tc>
        <w:tc>
          <w:tcPr>
            <w:tcW w:w="2200" w:type="dxa"/>
            <w:vMerge w:val="restart"/>
            <w:tcBorders>
              <w:top w:val="single" w:color="000000" w:sz="4" w:space="0"/>
              <w:left w:val="single" w:color="000000" w:sz="4" w:space="0"/>
              <w:right w:val="single" w:color="000000" w:sz="4" w:space="0"/>
            </w:tcBorders>
            <w:shd w:val="clear" w:color="auto" w:fill="auto"/>
            <w:vAlign w:val="center"/>
          </w:tcPr>
          <w:p w14:paraId="5371169D">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保洁人员4</w:t>
            </w:r>
          </w:p>
        </w:tc>
        <w:tc>
          <w:tcPr>
            <w:tcW w:w="2307" w:type="dxa"/>
            <w:vMerge w:val="restart"/>
            <w:tcBorders>
              <w:top w:val="single" w:color="000000" w:sz="4" w:space="0"/>
              <w:left w:val="single" w:color="000000" w:sz="4" w:space="0"/>
              <w:right w:val="single" w:color="000000" w:sz="4" w:space="0"/>
            </w:tcBorders>
            <w:shd w:val="clear" w:color="auto" w:fill="auto"/>
            <w:vAlign w:val="center"/>
          </w:tcPr>
          <w:p w14:paraId="61D093E2">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E935">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3CC95">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23039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4" w:hRule="atLeast"/>
        </w:trPr>
        <w:tc>
          <w:tcPr>
            <w:tcW w:w="2018" w:type="dxa"/>
            <w:vMerge w:val="continue"/>
            <w:tcBorders>
              <w:left w:val="single" w:color="000000" w:sz="4" w:space="0"/>
              <w:right w:val="single" w:color="000000" w:sz="4" w:space="0"/>
            </w:tcBorders>
            <w:shd w:val="clear" w:color="auto" w:fill="auto"/>
            <w:vAlign w:val="center"/>
          </w:tcPr>
          <w:p w14:paraId="4913E4DD">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7880E3BB">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vMerge w:val="continue"/>
            <w:tcBorders>
              <w:left w:val="single" w:color="000000" w:sz="4" w:space="0"/>
              <w:bottom w:val="single" w:color="000000" w:sz="4" w:space="0"/>
              <w:right w:val="single" w:color="000000" w:sz="4" w:space="0"/>
            </w:tcBorders>
            <w:shd w:val="clear" w:color="auto" w:fill="auto"/>
            <w:vAlign w:val="center"/>
          </w:tcPr>
          <w:p w14:paraId="60E3F504">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BB18F">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B093">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打扫疫苗接种室，4楼妇产科康复室</w:t>
            </w:r>
          </w:p>
        </w:tc>
      </w:tr>
      <w:tr w14:paraId="05F4E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right w:val="single" w:color="000000" w:sz="4" w:space="0"/>
            </w:tcBorders>
            <w:shd w:val="clear" w:color="auto" w:fill="auto"/>
            <w:vAlign w:val="center"/>
          </w:tcPr>
          <w:p w14:paraId="57C5D52D">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right w:val="single" w:color="000000" w:sz="4" w:space="0"/>
            </w:tcBorders>
            <w:shd w:val="clear" w:color="auto" w:fill="auto"/>
            <w:vAlign w:val="center"/>
          </w:tcPr>
          <w:p w14:paraId="2978BC98">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AD5C">
            <w:pPr>
              <w:keepNext w:val="0"/>
              <w:keepLines w:val="0"/>
              <w:pageBreakBefore w:val="0"/>
              <w:widowControl/>
              <w:suppressLineNumbers w:val="0"/>
              <w:kinsoku/>
              <w:wordWrap/>
              <w:overflowPunct/>
              <w:topLinePunct w:val="0"/>
              <w:autoSpaceDE/>
              <w:autoSpaceDN/>
              <w:bidi w:val="0"/>
              <w:adjustRightInd/>
              <w:snapToGrid/>
              <w:spacing w:line="579" w:lineRule="exact"/>
              <w:ind w:right="0" w:rightChars="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2层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4416E">
            <w:pPr>
              <w:keepNext w:val="0"/>
              <w:keepLines w:val="0"/>
              <w:pageBreakBefore w:val="0"/>
              <w:widowControl/>
              <w:suppressLineNumbers w:val="0"/>
              <w:kinsoku/>
              <w:wordWrap/>
              <w:overflowPunct/>
              <w:topLinePunct w:val="0"/>
              <w:autoSpaceDE/>
              <w:autoSpaceDN/>
              <w:bidi w:val="0"/>
              <w:adjustRightInd/>
              <w:snapToGrid/>
              <w:spacing w:line="579" w:lineRule="exact"/>
              <w:ind w:left="0" w:leftChars="0" w:right="0" w:rightChars="0"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687E">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0438F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vMerge w:val="continue"/>
            <w:tcBorders>
              <w:left w:val="single" w:color="000000" w:sz="4" w:space="0"/>
              <w:bottom w:val="single" w:color="000000" w:sz="4" w:space="0"/>
              <w:right w:val="single" w:color="000000" w:sz="4" w:space="0"/>
            </w:tcBorders>
            <w:shd w:val="clear" w:color="auto" w:fill="auto"/>
            <w:vAlign w:val="center"/>
          </w:tcPr>
          <w:p w14:paraId="54A9147A">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200" w:type="dxa"/>
            <w:vMerge w:val="continue"/>
            <w:tcBorders>
              <w:left w:val="single" w:color="000000" w:sz="4" w:space="0"/>
              <w:bottom w:val="single" w:color="000000" w:sz="4" w:space="0"/>
              <w:right w:val="single" w:color="000000" w:sz="4" w:space="0"/>
            </w:tcBorders>
            <w:shd w:val="clear" w:color="auto" w:fill="auto"/>
            <w:vAlign w:val="center"/>
          </w:tcPr>
          <w:p w14:paraId="599515BE">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A270">
            <w:pPr>
              <w:keepNext w:val="0"/>
              <w:keepLines w:val="0"/>
              <w:pageBreakBefore w:val="0"/>
              <w:widowControl/>
              <w:suppressLineNumbers w:val="0"/>
              <w:kinsoku/>
              <w:wordWrap/>
              <w:overflowPunct/>
              <w:topLinePunct w:val="0"/>
              <w:autoSpaceDE/>
              <w:autoSpaceDN/>
              <w:bidi w:val="0"/>
              <w:adjustRightInd/>
              <w:snapToGrid/>
              <w:spacing w:line="579" w:lineRule="exact"/>
              <w:ind w:right="0" w:rightChars="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3层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07E51">
            <w:pPr>
              <w:keepNext w:val="0"/>
              <w:keepLines w:val="0"/>
              <w:pageBreakBefore w:val="0"/>
              <w:widowControl/>
              <w:suppressLineNumbers w:val="0"/>
              <w:kinsoku/>
              <w:wordWrap/>
              <w:overflowPunct/>
              <w:topLinePunct w:val="0"/>
              <w:autoSpaceDE/>
              <w:autoSpaceDN/>
              <w:bidi w:val="0"/>
              <w:adjustRightInd/>
              <w:snapToGrid/>
              <w:spacing w:line="579" w:lineRule="exact"/>
              <w:ind w:left="0" w:leftChars="0" w:right="0" w:rightChars="0"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B4E2">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136D6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FB77">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医疗废物间</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8CD02">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保洁人员1</w:t>
            </w: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11FE">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F1BD">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9DDAF">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5731E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162D">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后勤楼</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765E7">
            <w:pPr>
              <w:keepNext w:val="0"/>
              <w:keepLines w:val="0"/>
              <w:pageBreakBefore w:val="0"/>
              <w:widowControl/>
              <w:suppressLineNumbers w:val="0"/>
              <w:kinsoku/>
              <w:wordWrap/>
              <w:overflowPunct/>
              <w:topLinePunct w:val="0"/>
              <w:autoSpaceDE/>
              <w:autoSpaceDN/>
              <w:bidi w:val="0"/>
              <w:adjustRightInd/>
              <w:snapToGrid/>
              <w:spacing w:line="579" w:lineRule="exact"/>
              <w:ind w:right="0" w:rightChars="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保洁人员1</w:t>
            </w: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40308">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4A2F">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E945">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58313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tcBorders>
              <w:top w:val="single" w:color="000000" w:sz="4" w:space="0"/>
              <w:left w:val="single" w:color="000000" w:sz="4" w:space="0"/>
              <w:bottom w:val="single" w:color="000000" w:sz="4" w:space="0"/>
              <w:right w:val="single" w:color="000000" w:sz="4" w:space="0"/>
            </w:tcBorders>
            <w:shd w:val="clear" w:color="auto" w:fill="auto"/>
            <w:vAlign w:val="top"/>
          </w:tcPr>
          <w:p w14:paraId="046A310E">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外围区（含2号住院楼区域和地下车库）</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4FC94">
            <w:pPr>
              <w:keepNext w:val="0"/>
              <w:keepLines w:val="0"/>
              <w:pageBreakBefore w:val="0"/>
              <w:widowControl/>
              <w:suppressLineNumbers w:val="0"/>
              <w:kinsoku/>
              <w:wordWrap/>
              <w:overflowPunct/>
              <w:topLinePunct w:val="0"/>
              <w:autoSpaceDE/>
              <w:autoSpaceDN/>
              <w:bidi w:val="0"/>
              <w:adjustRightInd/>
              <w:snapToGrid/>
              <w:spacing w:line="579" w:lineRule="exact"/>
              <w:ind w:right="0" w:rightChars="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保洁人员3</w:t>
            </w: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CBCBA">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7F75">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3</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EA5D">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5DCA4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A77C">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洗浆房</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20E6">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洗涤人员</w:t>
            </w: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0463F">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A57E0">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3</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A8E03">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0BC2F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8134">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管理人员</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439B4">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管理人员</w:t>
            </w: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A0E0D">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CEFC">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1</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D458">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r w14:paraId="58B2D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239EB">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合计</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2A7C">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7BFDF">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EF9A0">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default"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r>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t>24</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72D8">
            <w:pPr>
              <w:keepNext w:val="0"/>
              <w:keepLines w:val="0"/>
              <w:pageBreakBefore w:val="0"/>
              <w:widowControl/>
              <w:suppressLineNumbers w:val="0"/>
              <w:kinsoku/>
              <w:wordWrap/>
              <w:overflowPunct/>
              <w:topLinePunct w:val="0"/>
              <w:autoSpaceDE/>
              <w:autoSpaceDN/>
              <w:bidi w:val="0"/>
              <w:adjustRightInd/>
              <w:snapToGrid/>
              <w:spacing w:line="579" w:lineRule="exact"/>
              <w:ind w:firstLine="600" w:firstLineChars="200"/>
              <w:jc w:val="both"/>
              <w:textAlignment w:val="center"/>
              <w:outlineLvl w:val="9"/>
              <w:rPr>
                <w:rFonts w:hint="eastAsia" w:ascii="方正仿宋_GBK" w:hAnsi="方正仿宋_GBK" w:eastAsia="方正仿宋_GBK" w:cs="方正仿宋_GBK"/>
                <w:i w:val="0"/>
                <w:iCs w:val="0"/>
                <w:color w:val="000000"/>
                <w:spacing w:val="0"/>
                <w:w w:val="100"/>
                <w:kern w:val="0"/>
                <w:position w:val="0"/>
                <w:sz w:val="30"/>
                <w:szCs w:val="30"/>
                <w:u w:val="none"/>
                <w:shd w:val="clear" w:color="auto" w:fill="auto"/>
                <w:lang w:val="en-US" w:eastAsia="zh-CN" w:bidi="ar"/>
              </w:rPr>
            </w:pPr>
          </w:p>
        </w:tc>
      </w:tr>
    </w:tbl>
    <w:p w14:paraId="7E88D42F">
      <w:pPr>
        <w:pStyle w:val="436"/>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640" w:firstLineChars="200"/>
        <w:jc w:val="both"/>
        <w:textAlignment w:val="auto"/>
        <w:outlineLvl w:val="9"/>
        <w:rPr>
          <w:rFonts w:hint="eastAsia" w:ascii="宋体" w:hAnsi="宋体" w:eastAsia="方正楷体_GBK" w:cs="方正楷体_GBK"/>
          <w:b w:val="0"/>
          <w:bCs w:val="0"/>
          <w:color w:val="000000"/>
          <w:spacing w:val="0"/>
          <w:w w:val="100"/>
          <w:position w:val="0"/>
          <w:sz w:val="32"/>
          <w:szCs w:val="32"/>
          <w:u w:val="none"/>
          <w:shd w:val="clear" w:color="auto" w:fill="auto"/>
          <w:lang w:val="zh-TW" w:eastAsia="zh-CN" w:bidi="zh-TW"/>
        </w:rPr>
      </w:pPr>
      <w:r>
        <w:rPr>
          <w:rFonts w:hint="eastAsia" w:eastAsia="方正楷体_GBK" w:cs="方正楷体_GBK"/>
          <w:b w:val="0"/>
          <w:bCs w:val="0"/>
          <w:color w:val="000000"/>
          <w:spacing w:val="0"/>
          <w:w w:val="100"/>
          <w:position w:val="0"/>
          <w:sz w:val="32"/>
          <w:szCs w:val="32"/>
          <w:u w:val="none"/>
          <w:shd w:val="clear" w:color="auto" w:fill="auto"/>
          <w:lang w:val="en-US" w:eastAsia="zh-CN" w:bidi="zh-TW"/>
        </w:rPr>
        <w:t>（二）以上人员</w:t>
      </w:r>
      <w:r>
        <w:rPr>
          <w:rFonts w:hint="eastAsia" w:ascii="宋体" w:hAnsi="宋体" w:eastAsia="方正楷体_GBK" w:cs="方正楷体_GBK"/>
          <w:b w:val="0"/>
          <w:bCs w:val="0"/>
          <w:color w:val="000000"/>
          <w:spacing w:val="0"/>
          <w:w w:val="100"/>
          <w:position w:val="0"/>
          <w:sz w:val="32"/>
          <w:szCs w:val="32"/>
          <w:u w:val="none"/>
          <w:shd w:val="clear" w:color="auto" w:fill="auto"/>
          <w:lang w:val="zh-TW" w:eastAsia="zh-CN" w:bidi="zh-TW"/>
        </w:rPr>
        <w:t>含全院病房更换被服（</w:t>
      </w:r>
      <w:r>
        <w:rPr>
          <w:rFonts w:hint="eastAsia" w:ascii="宋体" w:hAnsi="宋体" w:eastAsia="方正楷体_GBK" w:cs="方正楷体_GBK"/>
          <w:b w:val="0"/>
          <w:bCs w:val="0"/>
          <w:color w:val="000000"/>
          <w:spacing w:val="0"/>
          <w:w w:val="100"/>
          <w:position w:val="0"/>
          <w:sz w:val="32"/>
          <w:szCs w:val="32"/>
          <w:u w:val="none"/>
          <w:shd w:val="clear" w:color="auto" w:fill="auto"/>
          <w:lang w:val="en-US" w:eastAsia="zh-CN" w:bidi="zh-TW"/>
        </w:rPr>
        <w:t>为方便医院工作需要可做适当人员调配</w:t>
      </w:r>
      <w:r>
        <w:rPr>
          <w:rFonts w:hint="eastAsia" w:ascii="宋体" w:hAnsi="宋体" w:eastAsia="方正楷体_GBK" w:cs="方正楷体_GBK"/>
          <w:b w:val="0"/>
          <w:bCs w:val="0"/>
          <w:color w:val="000000"/>
          <w:spacing w:val="0"/>
          <w:w w:val="100"/>
          <w:position w:val="0"/>
          <w:sz w:val="32"/>
          <w:szCs w:val="32"/>
          <w:u w:val="none"/>
          <w:shd w:val="clear" w:color="auto" w:fill="auto"/>
          <w:lang w:val="zh-TW" w:eastAsia="zh-CN" w:bidi="zh-TW"/>
        </w:rPr>
        <w:t>）</w:t>
      </w:r>
    </w:p>
    <w:p w14:paraId="5CC7C1E4">
      <w:pPr>
        <w:keepNext w:val="0"/>
        <w:keepLines w:val="0"/>
        <w:pageBreakBefore w:val="0"/>
        <w:kinsoku/>
        <w:wordWrap/>
        <w:overflowPunct/>
        <w:topLinePunct w:val="0"/>
        <w:autoSpaceDE/>
        <w:autoSpaceDN/>
        <w:bidi w:val="0"/>
        <w:adjustRightInd/>
        <w:snapToGrid/>
        <w:spacing w:beforeAutospacing="0" w:afterAutospacing="0" w:line="579" w:lineRule="exact"/>
        <w:ind w:firstLine="640" w:firstLineChars="200"/>
        <w:jc w:val="both"/>
        <w:outlineLvl w:val="9"/>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color w:val="000000"/>
          <w:spacing w:val="0"/>
          <w:w w:val="100"/>
          <w:position w:val="0"/>
          <w:sz w:val="32"/>
          <w:szCs w:val="32"/>
          <w:lang w:val="en-US" w:eastAsia="zh-CN"/>
        </w:rPr>
        <w:t>三</w:t>
      </w:r>
      <w:r>
        <w:rPr>
          <w:rFonts w:hint="eastAsia" w:ascii="方正黑体_GBK" w:hAnsi="方正黑体_GBK" w:eastAsia="方正黑体_GBK" w:cs="方正黑体_GBK"/>
          <w:b w:val="0"/>
          <w:bCs w:val="0"/>
          <w:color w:val="000000"/>
          <w:spacing w:val="0"/>
          <w:w w:val="100"/>
          <w:position w:val="0"/>
          <w:sz w:val="32"/>
          <w:szCs w:val="32"/>
        </w:rPr>
        <w:t>、</w:t>
      </w:r>
      <w:r>
        <w:rPr>
          <w:rFonts w:hint="eastAsia" w:ascii="方正黑体_GBK" w:hAnsi="方正黑体_GBK" w:eastAsia="方正黑体_GBK" w:cs="方正黑体_GBK"/>
          <w:b/>
          <w:color w:val="auto"/>
          <w:sz w:val="32"/>
          <w:szCs w:val="32"/>
        </w:rPr>
        <w:t>提供物业服务质量</w:t>
      </w:r>
      <w:r>
        <w:rPr>
          <w:rFonts w:hint="eastAsia" w:ascii="方正黑体_GBK" w:hAnsi="方正黑体_GBK" w:eastAsia="方正黑体_GBK" w:cs="方正黑体_GBK"/>
          <w:b/>
          <w:sz w:val="32"/>
          <w:szCs w:val="32"/>
        </w:rPr>
        <w:t>标准</w:t>
      </w:r>
    </w:p>
    <w:p w14:paraId="444D3743">
      <w:pPr>
        <w:pStyle w:val="14"/>
        <w:keepNext w:val="0"/>
        <w:keepLines w:val="0"/>
        <w:pageBreakBefore w:val="0"/>
        <w:widowControl/>
        <w:kinsoku/>
        <w:wordWrap/>
        <w:overflowPunct/>
        <w:topLinePunct w:val="0"/>
        <w:autoSpaceDE/>
        <w:autoSpaceDN/>
        <w:bidi w:val="0"/>
        <w:adjustRightInd/>
        <w:snapToGrid/>
        <w:spacing w:beforeAutospacing="0" w:afterAutospacing="0" w:line="579" w:lineRule="exact"/>
        <w:ind w:firstLine="600" w:firstLineChars="200"/>
        <w:jc w:val="both"/>
        <w:textAlignment w:val="auto"/>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1.医院范围内全方位立体的清洁卫生和环境美化，包括室内墙壁、门窗、玻璃、楼间地面、地下室和楼（层）顶平台、厕所、桌、椅、灯具、风口、门牌等全方位的清洁保洁；</w:t>
      </w:r>
    </w:p>
    <w:p w14:paraId="3A79543F">
      <w:pPr>
        <w:pStyle w:val="14"/>
        <w:keepNext w:val="0"/>
        <w:keepLines w:val="0"/>
        <w:pageBreakBefore w:val="0"/>
        <w:widowControl/>
        <w:kinsoku/>
        <w:wordWrap/>
        <w:overflowPunct/>
        <w:topLinePunct w:val="0"/>
        <w:autoSpaceDE/>
        <w:autoSpaceDN/>
        <w:bidi w:val="0"/>
        <w:adjustRightInd/>
        <w:snapToGrid/>
        <w:spacing w:beforeAutospacing="0" w:afterAutospacing="0" w:line="579" w:lineRule="exact"/>
        <w:ind w:left="0" w:leftChars="0" w:firstLine="600" w:firstLineChars="200"/>
        <w:jc w:val="both"/>
        <w:textAlignment w:val="auto"/>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2.生活及医疗垃圾的收集、清运及废品收集；</w:t>
      </w:r>
    </w:p>
    <w:p w14:paraId="04618B51">
      <w:pPr>
        <w:pStyle w:val="14"/>
        <w:keepNext w:val="0"/>
        <w:keepLines w:val="0"/>
        <w:pageBreakBefore w:val="0"/>
        <w:widowControl/>
        <w:kinsoku/>
        <w:wordWrap/>
        <w:overflowPunct/>
        <w:topLinePunct w:val="0"/>
        <w:autoSpaceDE/>
        <w:autoSpaceDN/>
        <w:bidi w:val="0"/>
        <w:adjustRightInd/>
        <w:snapToGrid/>
        <w:spacing w:beforeAutospacing="0" w:afterAutospacing="0" w:line="579" w:lineRule="exact"/>
        <w:ind w:left="0" w:leftChars="0" w:firstLine="600" w:firstLineChars="200"/>
        <w:jc w:val="both"/>
        <w:textAlignment w:val="auto"/>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3.重要会议、大型活动及节日美化布置；</w:t>
      </w:r>
    </w:p>
    <w:p w14:paraId="00BDA2CE">
      <w:pPr>
        <w:pStyle w:val="14"/>
        <w:keepNext w:val="0"/>
        <w:keepLines w:val="0"/>
        <w:pageBreakBefore w:val="0"/>
        <w:widowControl/>
        <w:kinsoku/>
        <w:wordWrap/>
        <w:overflowPunct/>
        <w:topLinePunct w:val="0"/>
        <w:autoSpaceDE/>
        <w:autoSpaceDN/>
        <w:bidi w:val="0"/>
        <w:adjustRightInd/>
        <w:snapToGrid/>
        <w:spacing w:beforeAutospacing="0" w:afterAutospacing="0" w:line="579" w:lineRule="exact"/>
        <w:ind w:left="0" w:leftChars="0" w:firstLine="600" w:firstLineChars="200"/>
        <w:jc w:val="both"/>
        <w:textAlignment w:val="auto"/>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4.各类地面、地板的专业清洁；</w:t>
      </w:r>
    </w:p>
    <w:p w14:paraId="48F088FF">
      <w:pPr>
        <w:pStyle w:val="14"/>
        <w:keepNext w:val="0"/>
        <w:keepLines w:val="0"/>
        <w:pageBreakBefore w:val="0"/>
        <w:widowControl/>
        <w:kinsoku/>
        <w:wordWrap/>
        <w:overflowPunct/>
        <w:topLinePunct w:val="0"/>
        <w:autoSpaceDE/>
        <w:autoSpaceDN/>
        <w:bidi w:val="0"/>
        <w:adjustRightInd/>
        <w:snapToGrid/>
        <w:spacing w:beforeAutospacing="0" w:afterAutospacing="0" w:line="579" w:lineRule="exact"/>
        <w:ind w:left="0" w:leftChars="0" w:firstLine="600" w:firstLineChars="200"/>
        <w:jc w:val="both"/>
        <w:textAlignment w:val="auto"/>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5.医疗场所、病房、卫生间的专业清洁与消毒。</w:t>
      </w:r>
    </w:p>
    <w:p w14:paraId="4210E176">
      <w:pPr>
        <w:pStyle w:val="14"/>
        <w:keepNext w:val="0"/>
        <w:keepLines w:val="0"/>
        <w:pageBreakBefore w:val="0"/>
        <w:widowControl/>
        <w:kinsoku/>
        <w:wordWrap/>
        <w:overflowPunct/>
        <w:topLinePunct w:val="0"/>
        <w:autoSpaceDE/>
        <w:autoSpaceDN/>
        <w:bidi w:val="0"/>
        <w:adjustRightInd/>
        <w:snapToGrid/>
        <w:spacing w:beforeAutospacing="0" w:afterAutospacing="0" w:line="579" w:lineRule="exact"/>
        <w:ind w:left="0" w:leftChars="0" w:firstLine="600" w:firstLineChars="200"/>
        <w:jc w:val="both"/>
        <w:textAlignment w:val="auto"/>
        <w:outlineLvl w:val="9"/>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6.医院交办的其他工作。</w:t>
      </w:r>
    </w:p>
    <w:p w14:paraId="6EDC7EF6">
      <w:pPr>
        <w:keepNext w:val="0"/>
        <w:keepLines w:val="0"/>
        <w:pageBreakBefore w:val="0"/>
        <w:widowControl/>
        <w:numPr>
          <w:ilvl w:val="0"/>
          <w:numId w:val="0"/>
        </w:numPr>
        <w:suppressLineNumbers w:val="0"/>
        <w:kinsoku/>
        <w:wordWrap/>
        <w:overflowPunct/>
        <w:topLinePunct w:val="0"/>
        <w:autoSpaceDE/>
        <w:autoSpaceDN/>
        <w:bidi w:val="0"/>
        <w:adjustRightInd/>
        <w:snapToGrid/>
        <w:spacing w:beforeLines="0" w:beforeAutospacing="0" w:afterLines="0" w:afterAutospacing="0" w:line="579" w:lineRule="exact"/>
        <w:ind w:firstLine="643" w:firstLineChars="200"/>
        <w:jc w:val="both"/>
        <w:textAlignment w:val="baseline"/>
        <w:outlineLvl w:val="9"/>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kern w:val="2"/>
          <w:sz w:val="32"/>
          <w:szCs w:val="32"/>
          <w:vertAlign w:val="baseline"/>
          <w:lang w:eastAsia="zh-CN"/>
        </w:rPr>
        <w:t>四、</w:t>
      </w:r>
      <w:r>
        <w:rPr>
          <w:rFonts w:hint="eastAsia" w:ascii="方正黑体_GBK" w:hAnsi="方正黑体_GBK" w:eastAsia="方正黑体_GBK" w:cs="方正黑体_GBK"/>
          <w:b/>
          <w:kern w:val="2"/>
          <w:sz w:val="32"/>
          <w:szCs w:val="32"/>
          <w:vertAlign w:val="baseline"/>
        </w:rPr>
        <w:t>环境清洁管理服务要求及标准</w:t>
      </w:r>
    </w:p>
    <w:p w14:paraId="0A467ACE">
      <w:pPr>
        <w:keepNext w:val="0"/>
        <w:keepLines w:val="0"/>
        <w:pageBreakBefore w:val="0"/>
        <w:widowControl/>
        <w:suppressLineNumbers w:val="0"/>
        <w:kinsoku/>
        <w:wordWrap/>
        <w:overflowPunct/>
        <w:topLinePunct w:val="0"/>
        <w:autoSpaceDE/>
        <w:autoSpaceDN/>
        <w:bidi w:val="0"/>
        <w:adjustRightInd/>
        <w:snapToGrid/>
        <w:spacing w:beforeAutospacing="0" w:afterAutospacing="0" w:line="579" w:lineRule="exact"/>
        <w:ind w:left="0" w:leftChars="0" w:right="0" w:firstLine="602"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b/>
          <w:kern w:val="2"/>
          <w:sz w:val="30"/>
          <w:szCs w:val="30"/>
          <w:lang w:val="en-US" w:eastAsia="zh-CN" w:bidi="ar"/>
        </w:rPr>
        <w:t>1、环境清洁管理服务的要求</w:t>
      </w:r>
    </w:p>
    <w:p w14:paraId="610B9178">
      <w:pPr>
        <w:keepNext w:val="0"/>
        <w:keepLines w:val="0"/>
        <w:pageBreakBefore w:val="0"/>
        <w:widowControl/>
        <w:suppressLineNumbers w:val="0"/>
        <w:kinsoku/>
        <w:wordWrap/>
        <w:overflowPunct/>
        <w:topLinePunct w:val="0"/>
        <w:autoSpaceDE/>
        <w:autoSpaceDN/>
        <w:bidi w:val="0"/>
        <w:adjustRightInd/>
        <w:snapToGrid/>
        <w:spacing w:beforeAutospacing="0" w:afterAutospacing="0" w:line="579" w:lineRule="exact"/>
        <w:ind w:left="0" w:leftChars="0" w:right="0" w:firstLine="602" w:firstLineChars="200"/>
        <w:jc w:val="both"/>
        <w:outlineLvl w:val="9"/>
        <w:rPr>
          <w:rFonts w:hint="eastAsia" w:ascii="方正仿宋_GBK" w:hAnsi="方正仿宋_GBK" w:eastAsia="方正仿宋_GBK" w:cs="方正仿宋_GBK"/>
          <w:b/>
          <w:bCs/>
          <w:sz w:val="30"/>
          <w:szCs w:val="30"/>
        </w:rPr>
      </w:pPr>
      <w:r>
        <w:rPr>
          <w:rFonts w:hint="eastAsia" w:ascii="方正仿宋_GBK" w:hAnsi="方正仿宋_GBK" w:eastAsia="方正仿宋_GBK" w:cs="方正仿宋_GBK"/>
          <w:b/>
          <w:bCs/>
          <w:kern w:val="2"/>
          <w:sz w:val="30"/>
          <w:szCs w:val="30"/>
          <w:lang w:val="en-US" w:eastAsia="zh-CN" w:bidi="ar"/>
        </w:rPr>
        <w:t>（1）保洁服务工作标准</w:t>
      </w:r>
    </w:p>
    <w:p w14:paraId="3924AEB8">
      <w:pPr>
        <w:keepNext w:val="0"/>
        <w:keepLines w:val="0"/>
        <w:pageBreakBefore w:val="0"/>
        <w:widowControl/>
        <w:suppressLineNumbers w:val="0"/>
        <w:kinsoku/>
        <w:wordWrap/>
        <w:overflowPunct/>
        <w:topLinePunct w:val="0"/>
        <w:autoSpaceDE/>
        <w:autoSpaceDN/>
        <w:bidi w:val="0"/>
        <w:adjustRightInd/>
        <w:snapToGrid/>
        <w:spacing w:beforeAutospacing="0" w:afterAutospacing="0" w:line="579" w:lineRule="exact"/>
        <w:ind w:left="0" w:leftChars="0" w:right="0" w:firstLine="602" w:firstLineChars="200"/>
        <w:jc w:val="both"/>
        <w:outlineLvl w:val="9"/>
        <w:rPr>
          <w:rFonts w:hint="eastAsia" w:ascii="方正仿宋_GBK" w:hAnsi="方正仿宋_GBK" w:eastAsia="方正仿宋_GBK" w:cs="方正仿宋_GBK"/>
          <w:color w:val="000000"/>
          <w:kern w:val="2"/>
          <w:sz w:val="30"/>
          <w:szCs w:val="30"/>
          <w:lang w:val="en-US" w:eastAsia="zh-CN" w:bidi="ar"/>
        </w:rPr>
      </w:pPr>
      <w:r>
        <w:rPr>
          <w:rFonts w:hint="eastAsia" w:ascii="方正仿宋_GBK" w:hAnsi="方正仿宋_GBK" w:eastAsia="方正仿宋_GBK" w:cs="方正仿宋_GBK"/>
          <w:b/>
          <w:bCs/>
          <w:color w:val="000000"/>
          <w:kern w:val="2"/>
          <w:sz w:val="30"/>
          <w:szCs w:val="30"/>
          <w:lang w:val="en-US" w:eastAsia="zh-CN" w:bidi="ar"/>
        </w:rPr>
        <w:t>总要求:</w:t>
      </w:r>
      <w:r>
        <w:rPr>
          <w:rFonts w:hint="eastAsia" w:ascii="方正仿宋_GBK" w:hAnsi="方正仿宋_GBK" w:eastAsia="方正仿宋_GBK" w:cs="方正仿宋_GBK"/>
          <w:color w:val="000000"/>
          <w:kern w:val="2"/>
          <w:sz w:val="30"/>
          <w:szCs w:val="30"/>
          <w:lang w:val="en-US" w:eastAsia="zh-CN" w:bidi="ar"/>
        </w:rPr>
        <w:t>经过清洁后，地面应无可见的任何垃圾杂物、积水及水滴，在正常光照条件下，应无明显的拖布擦拭痕迹。石材及PVC地面每半年全面打蜡一次，地面经打蜡抛光后，正常目视条件下抛光面应光亮平滑，无明显的凹凸不平与毛钝感。桌、柜、椅、门框、窗沿、墙面、灯具、地毯等物品表面应无可视污渍、尘土、痕迹及异味，在物体转折处用手擦拭应无明显的尘埃。</w:t>
      </w:r>
    </w:p>
    <w:p w14:paraId="7E8CE56A">
      <w:pPr>
        <w:keepNext w:val="0"/>
        <w:keepLines w:val="0"/>
        <w:pageBreakBefore w:val="0"/>
        <w:widowControl/>
        <w:suppressLineNumbers w:val="0"/>
        <w:kinsoku/>
        <w:wordWrap/>
        <w:overflowPunct/>
        <w:topLinePunct w:val="0"/>
        <w:autoSpaceDE/>
        <w:autoSpaceDN/>
        <w:bidi w:val="0"/>
        <w:adjustRightInd/>
        <w:snapToGrid/>
        <w:spacing w:beforeAutospacing="0" w:afterAutospacing="0" w:line="579" w:lineRule="exact"/>
        <w:ind w:right="0" w:firstLine="602" w:firstLineChars="200"/>
        <w:jc w:val="both"/>
        <w:outlineLvl w:val="9"/>
        <w:rPr>
          <w:rFonts w:hint="eastAsia" w:ascii="方正仿宋_GBK" w:hAnsi="方正仿宋_GBK" w:eastAsia="方正仿宋_GBK" w:cs="方正仿宋_GBK"/>
          <w:b/>
          <w:bCs/>
          <w:kern w:val="2"/>
          <w:sz w:val="30"/>
          <w:szCs w:val="30"/>
          <w:lang w:val="en-US" w:eastAsia="zh-CN" w:bidi="ar"/>
        </w:rPr>
      </w:pPr>
      <w:r>
        <w:rPr>
          <w:rFonts w:hint="eastAsia" w:ascii="方正仿宋_GBK" w:hAnsi="方正仿宋_GBK" w:eastAsia="方正仿宋_GBK" w:cs="方正仿宋_GBK"/>
          <w:b/>
          <w:bCs/>
          <w:color w:val="000000"/>
          <w:kern w:val="2"/>
          <w:sz w:val="30"/>
          <w:szCs w:val="30"/>
          <w:lang w:val="en-US" w:eastAsia="zh-CN" w:bidi="ar"/>
        </w:rPr>
        <w:t>（2）.</w:t>
      </w:r>
      <w:r>
        <w:rPr>
          <w:rFonts w:hint="eastAsia" w:ascii="方正仿宋_GBK" w:hAnsi="方正仿宋_GBK" w:eastAsia="方正仿宋_GBK" w:cs="方正仿宋_GBK"/>
          <w:b/>
          <w:bCs/>
          <w:kern w:val="2"/>
          <w:sz w:val="30"/>
          <w:szCs w:val="30"/>
          <w:lang w:val="en-US" w:eastAsia="zh-CN" w:bidi="ar"/>
        </w:rPr>
        <w:t>区域保洁要求</w:t>
      </w:r>
    </w:p>
    <w:p w14:paraId="4966F47F">
      <w:pPr>
        <w:keepNext w:val="0"/>
        <w:keepLines w:val="0"/>
        <w:pageBreakBefore w:val="0"/>
        <w:widowControl/>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2.1含病房、通道、楼梯、治疗室、护士站、医护人员办公室等；</w:t>
      </w:r>
    </w:p>
    <w:p w14:paraId="2577106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2.2 地面：无尘土、碎纸、垃圾、烟头、积水、污渍等；</w:t>
      </w:r>
    </w:p>
    <w:p w14:paraId="3460F5F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2.3 墙壁：无灰尘、污迹，无乱张贴（如有破损应及时上报）；</w:t>
      </w:r>
    </w:p>
    <w:p w14:paraId="70E5327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2.4 门：无灰尘、污迹，拉手洁净；</w:t>
      </w:r>
    </w:p>
    <w:p w14:paraId="6AA8FFA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2.5 窗：无灰尘、污迹，拉手洁净，每月擦拭一次（仅限人力可达处）；</w:t>
      </w:r>
    </w:p>
    <w:p w14:paraId="0C69317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2.6 灯具：无灰尘、污迹，每2-3月擦拭一次；</w:t>
      </w:r>
    </w:p>
    <w:p w14:paraId="0FF4A05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2.7 候诊椅、家具：无灰尘、无污迹；</w:t>
      </w:r>
    </w:p>
    <w:p w14:paraId="348365A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2.8 柜、装饰物：洁净</w:t>
      </w:r>
    </w:p>
    <w:p w14:paraId="6085666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2.9 家用电器、电线、开关：洁净、无污迹、洁净；</w:t>
      </w:r>
    </w:p>
    <w:p w14:paraId="74C9910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2.10 洗手池：池壁无污垢、痰迹、头发等不洁物；</w:t>
      </w:r>
    </w:p>
    <w:p w14:paraId="59B18E5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2.11 水龙头：光亮洁净，无任何污垢；</w:t>
      </w:r>
    </w:p>
    <w:p w14:paraId="1BB7689E">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2.12 小便器：无尿碱、水锈印迹（黄渍）、无污垢，喷水嘴应洁净；</w:t>
      </w:r>
    </w:p>
    <w:p w14:paraId="4F414D9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2.13 大便器：内外洁净，无大便痕迹，无污垢黄渍；</w:t>
      </w:r>
    </w:p>
    <w:p w14:paraId="2FC700B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2.14 手纸架：光亮洁净，无手印；</w:t>
      </w:r>
    </w:p>
    <w:p w14:paraId="259CACA9">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2.15 纸篓：外表干净，每日清倒，污物量不能超过桶体2/3；</w:t>
      </w:r>
    </w:p>
    <w:p w14:paraId="59F80F9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2.16 顶板：无尘土、污迹、，定期清抹，每2月一次；</w:t>
      </w:r>
    </w:p>
    <w:p w14:paraId="0E2BA03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2.17 隔板：无尘土、污迹、手印清抹；</w:t>
      </w:r>
    </w:p>
    <w:p w14:paraId="52B1B1B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2.18 其他。</w:t>
      </w:r>
    </w:p>
    <w:p w14:paraId="736C0950">
      <w:pPr>
        <w:keepNext w:val="0"/>
        <w:keepLines w:val="0"/>
        <w:pageBreakBefore w:val="0"/>
        <w:widowControl/>
        <w:suppressLineNumbers w:val="0"/>
        <w:kinsoku/>
        <w:wordWrap/>
        <w:overflowPunct/>
        <w:topLinePunct w:val="0"/>
        <w:autoSpaceDE/>
        <w:autoSpaceDN/>
        <w:bidi w:val="0"/>
        <w:adjustRightInd/>
        <w:snapToGrid/>
        <w:spacing w:beforeAutospacing="0" w:afterAutospacing="0" w:line="579" w:lineRule="exact"/>
        <w:ind w:right="0" w:firstLine="602" w:firstLineChars="200"/>
        <w:jc w:val="both"/>
        <w:outlineLvl w:val="9"/>
        <w:rPr>
          <w:rFonts w:hint="eastAsia" w:ascii="方正仿宋_GBK" w:hAnsi="方正仿宋_GBK" w:eastAsia="方正仿宋_GBK" w:cs="方正仿宋_GBK"/>
          <w:b/>
          <w:bCs w:val="0"/>
          <w:sz w:val="30"/>
          <w:szCs w:val="30"/>
        </w:rPr>
      </w:pPr>
      <w:r>
        <w:rPr>
          <w:rFonts w:hint="eastAsia" w:ascii="方正仿宋_GBK" w:hAnsi="方正仿宋_GBK" w:eastAsia="方正仿宋_GBK" w:cs="方正仿宋_GBK"/>
          <w:b/>
          <w:bCs w:val="0"/>
          <w:kern w:val="2"/>
          <w:sz w:val="30"/>
          <w:szCs w:val="30"/>
          <w:lang w:val="en-US" w:eastAsia="zh-CN" w:bidi="ar"/>
        </w:rPr>
        <w:t>（3.）电梯厅、走廊清洁标准：</w:t>
      </w:r>
    </w:p>
    <w:p w14:paraId="59BBAB3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3.1 墙壁：无灰尘、污迹，无乱张贴（如有破损应及时上报）；</w:t>
      </w:r>
    </w:p>
    <w:p w14:paraId="0DFF474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3.2 电梯：光亮洁净、无尘土，无任何印迹；</w:t>
      </w:r>
    </w:p>
    <w:p w14:paraId="58D4FC1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3.3 按键板面：无灰尘、污迹</w:t>
      </w:r>
    </w:p>
    <w:p w14:paraId="4F14851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3.4 照明灯具：定期擦拭，每2-3月一次；</w:t>
      </w:r>
    </w:p>
    <w:p w14:paraId="31FFD72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3.5 各房间及通道门：无灰尘、污迹</w:t>
      </w:r>
    </w:p>
    <w:p w14:paraId="44C2706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3.6 客梯厅顶部：定期清扫，每3-4月一次；</w:t>
      </w:r>
    </w:p>
    <w:p w14:paraId="7E8080C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3.7 不锈钢面：随时发现有脏、污立即清抹；</w:t>
      </w:r>
    </w:p>
    <w:p w14:paraId="31EDC6E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kern w:val="2"/>
          <w:sz w:val="30"/>
          <w:szCs w:val="30"/>
          <w:lang w:val="en-US" w:eastAsia="zh-CN" w:bidi="ar"/>
        </w:rPr>
      </w:pPr>
      <w:r>
        <w:rPr>
          <w:rFonts w:hint="eastAsia" w:ascii="方正仿宋_GBK" w:hAnsi="方正仿宋_GBK" w:eastAsia="方正仿宋_GBK" w:cs="方正仿宋_GBK"/>
          <w:kern w:val="2"/>
          <w:sz w:val="30"/>
          <w:szCs w:val="30"/>
          <w:lang w:val="en-US" w:eastAsia="zh-CN" w:bidi="ar"/>
        </w:rPr>
        <w:t>3.8 其他。</w:t>
      </w:r>
    </w:p>
    <w:p w14:paraId="34D386EE">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2"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b/>
          <w:kern w:val="2"/>
          <w:sz w:val="30"/>
          <w:szCs w:val="30"/>
          <w:lang w:val="en-US" w:eastAsia="zh-CN" w:bidi="ar"/>
        </w:rPr>
        <w:t>（4）卫生间清洁标准：</w:t>
      </w:r>
    </w:p>
    <w:p w14:paraId="0EE3FAB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4.1 公共卫生间必须有专人负责，确保卫生、干净、无异味。</w:t>
      </w:r>
    </w:p>
    <w:p w14:paraId="144F0CD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4.2 地面：无尘土、碎纸、垃圾、积水、污渍，凡含酸性的清洁剂不允许洒落在地面上；</w:t>
      </w:r>
    </w:p>
    <w:p w14:paraId="1D3B21A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4.3 水龙头：光亮洁净，无任何污垢；</w:t>
      </w:r>
    </w:p>
    <w:p w14:paraId="527A46A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4.4 小便器：无尿碱、水锈印迹（黄渍）、无污垢，喷水嘴应洁净；</w:t>
      </w:r>
    </w:p>
    <w:p w14:paraId="4FDFA23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4.5 大便器：内外洁净，无大便痕迹，无污垢黄渍；</w:t>
      </w:r>
    </w:p>
    <w:p w14:paraId="35734E6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4.6 纸篓：外表干净，每日清倒，污物量不能超过桶体2/3；</w:t>
      </w:r>
    </w:p>
    <w:p w14:paraId="0EB2F8F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4.7 顶板：无尘土、污迹，定期清抹，每2月一次；</w:t>
      </w:r>
    </w:p>
    <w:p w14:paraId="78E6D6DA">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4.8 隔板：无尘土、污迹、手印清抹；</w:t>
      </w:r>
    </w:p>
    <w:p w14:paraId="564D12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4.9 墙壁：无灰尘、污迹，无乱张贴（如有破损应及时上报）；</w:t>
      </w:r>
    </w:p>
    <w:p w14:paraId="075BF84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4.10 清洁剂、清扫工具等按指定位置分类放置；</w:t>
      </w:r>
    </w:p>
    <w:p w14:paraId="6C47551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4.11 其他。</w:t>
      </w:r>
    </w:p>
    <w:p w14:paraId="07AE84BB">
      <w:pPr>
        <w:keepNext w:val="0"/>
        <w:keepLines w:val="0"/>
        <w:pageBreakBefore w:val="0"/>
        <w:widowControl/>
        <w:suppressLineNumbers w:val="0"/>
        <w:kinsoku/>
        <w:wordWrap/>
        <w:overflowPunct/>
        <w:topLinePunct w:val="0"/>
        <w:autoSpaceDE/>
        <w:autoSpaceDN/>
        <w:bidi w:val="0"/>
        <w:adjustRightInd/>
        <w:snapToGrid/>
        <w:spacing w:beforeAutospacing="0" w:afterAutospacing="0" w:line="579" w:lineRule="exact"/>
        <w:ind w:right="0" w:firstLine="602"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b/>
          <w:kern w:val="2"/>
          <w:sz w:val="30"/>
          <w:szCs w:val="30"/>
          <w:lang w:val="en-US" w:eastAsia="zh-CN" w:bidi="ar"/>
        </w:rPr>
        <w:t>（5）办公室清洁标准：</w:t>
      </w:r>
    </w:p>
    <w:p w14:paraId="21E42E5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5.1 地面：无灰尘、污迹、烟头、垃圾；</w:t>
      </w:r>
    </w:p>
    <w:p w14:paraId="162DB81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5.2 墙壁：无灰尘、污迹，无乱张贴（如有破损应及时上报）；</w:t>
      </w:r>
    </w:p>
    <w:p w14:paraId="411176E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5.3 门：无灰尘、污迹，拉手洁净；</w:t>
      </w:r>
    </w:p>
    <w:p w14:paraId="348A514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5.4 窗：无灰尘、污迹，拉手洁净，每月擦拭一次（仅限人力可达处）；</w:t>
      </w:r>
    </w:p>
    <w:p w14:paraId="66378432">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5.6 灯具：无灰尘、污迹，每2-3月擦拭一次；</w:t>
      </w:r>
    </w:p>
    <w:p w14:paraId="6E0BE5C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5.7 洗手盆：无污迹，龙头无污垢；</w:t>
      </w:r>
    </w:p>
    <w:p w14:paraId="04D2346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5.8 垃圾桶：外表干净，每日清倒，污物量不能超过桶体2/3；</w:t>
      </w:r>
    </w:p>
    <w:p w14:paraId="3E84ED1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5.9 家用电器：洁净，无污迹，电线、开关：洁净</w:t>
      </w:r>
    </w:p>
    <w:p w14:paraId="02DEF76A">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5.10 柜：洁净</w:t>
      </w:r>
    </w:p>
    <w:p w14:paraId="7038561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right="0" w:firstLine="900" w:firstLineChars="300"/>
        <w:jc w:val="both"/>
        <w:outlineLvl w:val="9"/>
        <w:rPr>
          <w:rFonts w:hint="eastAsia" w:ascii="方正仿宋_GBK" w:hAnsi="方正仿宋_GBK" w:eastAsia="方正仿宋_GBK" w:cs="方正仿宋_GBK"/>
          <w:kern w:val="2"/>
          <w:sz w:val="30"/>
          <w:szCs w:val="30"/>
          <w:lang w:val="en-US" w:eastAsia="zh-CN" w:bidi="ar"/>
        </w:rPr>
      </w:pPr>
      <w:r>
        <w:rPr>
          <w:rFonts w:hint="eastAsia" w:ascii="方正仿宋_GBK" w:hAnsi="方正仿宋_GBK" w:eastAsia="方正仿宋_GBK" w:cs="方正仿宋_GBK"/>
          <w:kern w:val="2"/>
          <w:sz w:val="30"/>
          <w:szCs w:val="30"/>
          <w:lang w:val="en-US" w:eastAsia="zh-CN" w:bidi="ar"/>
        </w:rPr>
        <w:t>5.11 其他。</w:t>
      </w:r>
    </w:p>
    <w:p w14:paraId="737A77BC">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2"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b/>
          <w:bCs/>
          <w:kern w:val="2"/>
          <w:sz w:val="30"/>
          <w:szCs w:val="30"/>
          <w:lang w:val="en-US" w:eastAsia="zh-CN" w:bidi="ar"/>
        </w:rPr>
        <w:t>（6）会议室清洁标准</w:t>
      </w:r>
      <w:r>
        <w:rPr>
          <w:rFonts w:hint="eastAsia" w:ascii="方正仿宋_GBK" w:hAnsi="方正仿宋_GBK" w:eastAsia="方正仿宋_GBK" w:cs="方正仿宋_GBK"/>
          <w:b/>
          <w:kern w:val="2"/>
          <w:sz w:val="30"/>
          <w:szCs w:val="30"/>
          <w:lang w:val="en-US" w:eastAsia="zh-CN" w:bidi="ar"/>
        </w:rPr>
        <w:t>：</w:t>
      </w:r>
    </w:p>
    <w:p w14:paraId="3CEAECC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6.1 地面：无灰尘、污迹、烟头、垃圾；</w:t>
      </w:r>
    </w:p>
    <w:p w14:paraId="690604EA">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6.2 墙壁：无灰尘、污迹；无乱张贴（如有破损应及时上报）；</w:t>
      </w:r>
    </w:p>
    <w:p w14:paraId="36108A99">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6.3 门：无灰尘、污迹，拉手洁净；</w:t>
      </w:r>
    </w:p>
    <w:p w14:paraId="02B5D569">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6.4 窗：无灰尘、污迹，拉手洁净，每月擦拭一次（仅限人力可达处）；</w:t>
      </w:r>
    </w:p>
    <w:p w14:paraId="10783982">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6.5 灯具：无灰尘、污迹，每2-3月擦拭一次；</w:t>
      </w:r>
    </w:p>
    <w:p w14:paraId="4A2BB8D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6.6 沙发、座椅：无灰尘、无污迹；</w:t>
      </w:r>
    </w:p>
    <w:p w14:paraId="1C80CEB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6.7 柜、装饰物：洁净</w:t>
      </w:r>
    </w:p>
    <w:p w14:paraId="76561DD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6.8 家用电器：洁净，无污迹，电线、开关：洁净；</w:t>
      </w:r>
    </w:p>
    <w:p w14:paraId="74C41D6E">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6.9 垃圾桶：外表干净，每日清倒，污物量不能超过桶体2/3；</w:t>
      </w:r>
    </w:p>
    <w:p w14:paraId="099B865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79" w:lineRule="exact"/>
        <w:ind w:left="251" w:leftChars="114" w:right="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kern w:val="2"/>
          <w:sz w:val="30"/>
          <w:szCs w:val="30"/>
          <w:lang w:val="en-US" w:eastAsia="zh-CN" w:bidi="ar"/>
        </w:rPr>
        <w:t>6.10 其他。</w:t>
      </w:r>
    </w:p>
    <w:p w14:paraId="4317BB29">
      <w:pPr>
        <w:keepNext w:val="0"/>
        <w:keepLines w:val="0"/>
        <w:pageBreakBefore w:val="0"/>
        <w:tabs>
          <w:tab w:val="center" w:pos="4153"/>
        </w:tabs>
        <w:kinsoku/>
        <w:wordWrap/>
        <w:overflowPunct/>
        <w:topLinePunct w:val="0"/>
        <w:autoSpaceDE/>
        <w:autoSpaceDN/>
        <w:bidi w:val="0"/>
        <w:adjustRightInd/>
        <w:snapToGrid/>
        <w:spacing w:line="579" w:lineRule="exact"/>
        <w:ind w:firstLine="602" w:firstLineChars="200"/>
        <w:jc w:val="both"/>
        <w:outlineLvl w:val="9"/>
        <w:rPr>
          <w:rFonts w:hint="eastAsia"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lang w:eastAsia="zh-CN"/>
        </w:rPr>
        <w:t>（</w:t>
      </w:r>
      <w:r>
        <w:rPr>
          <w:rFonts w:hint="eastAsia" w:ascii="方正仿宋_GBK" w:hAnsi="方正仿宋_GBK" w:eastAsia="方正仿宋_GBK" w:cs="方正仿宋_GBK"/>
          <w:b/>
          <w:sz w:val="30"/>
          <w:szCs w:val="30"/>
          <w:lang w:val="en-US" w:eastAsia="zh-CN"/>
        </w:rPr>
        <w:t>7</w:t>
      </w:r>
      <w:r>
        <w:rPr>
          <w:rFonts w:hint="eastAsia" w:ascii="方正仿宋_GBK" w:hAnsi="方正仿宋_GBK" w:eastAsia="方正仿宋_GBK" w:cs="方正仿宋_GBK"/>
          <w:b/>
          <w:sz w:val="30"/>
          <w:szCs w:val="30"/>
          <w:lang w:eastAsia="zh-CN"/>
        </w:rPr>
        <w:t>）</w:t>
      </w:r>
      <w:r>
        <w:rPr>
          <w:rFonts w:hint="eastAsia" w:ascii="方正仿宋_GBK" w:hAnsi="方正仿宋_GBK" w:eastAsia="方正仿宋_GBK" w:cs="方正仿宋_GBK"/>
          <w:b/>
          <w:sz w:val="30"/>
          <w:szCs w:val="30"/>
        </w:rPr>
        <w:t>楼梯清洁标准：</w:t>
      </w:r>
    </w:p>
    <w:p w14:paraId="485245EC">
      <w:pPr>
        <w:keepNext w:val="0"/>
        <w:keepLines w:val="0"/>
        <w:pageBreakBefore w:val="0"/>
        <w:tabs>
          <w:tab w:val="center" w:pos="4153"/>
        </w:tabs>
        <w:kinsoku/>
        <w:wordWrap/>
        <w:overflowPunct/>
        <w:topLinePunct w:val="0"/>
        <w:autoSpaceDE/>
        <w:autoSpaceDN/>
        <w:bidi w:val="0"/>
        <w:adjustRightInd/>
        <w:snapToGrid/>
        <w:spacing w:line="579" w:lineRule="exact"/>
        <w:ind w:left="440" w:leftChars="200" w:firstLine="600" w:firstLineChars="200"/>
        <w:jc w:val="both"/>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地面无尘土、烟头、痰迹、垃圾、杂物，扶手无尘土；消防设备：表面无尘土。</w:t>
      </w:r>
    </w:p>
    <w:p w14:paraId="500A259E">
      <w:pPr>
        <w:keepNext w:val="0"/>
        <w:keepLines w:val="0"/>
        <w:pageBreakBefore w:val="0"/>
        <w:kinsoku/>
        <w:wordWrap/>
        <w:overflowPunct/>
        <w:topLinePunct w:val="0"/>
        <w:autoSpaceDE/>
        <w:autoSpaceDN/>
        <w:bidi w:val="0"/>
        <w:adjustRightInd/>
        <w:snapToGrid/>
        <w:spacing w:line="579" w:lineRule="exact"/>
        <w:ind w:left="0" w:leftChars="0" w:firstLine="602" w:firstLineChars="200"/>
        <w:jc w:val="both"/>
        <w:textAlignment w:val="auto"/>
        <w:outlineLvl w:val="9"/>
        <w:rPr>
          <w:rFonts w:hint="eastAsia" w:ascii="方正仿宋_GBK" w:hAnsi="方正仿宋_GBK" w:eastAsia="方正仿宋_GBK" w:cs="方正仿宋_GBK"/>
          <w:b/>
          <w:color w:val="auto"/>
          <w:sz w:val="30"/>
          <w:szCs w:val="30"/>
          <w:lang w:eastAsia="zh-CN"/>
        </w:rPr>
      </w:pPr>
      <w:r>
        <w:rPr>
          <w:rFonts w:hint="eastAsia" w:ascii="方正仿宋_GBK" w:hAnsi="方正仿宋_GBK" w:eastAsia="方正仿宋_GBK" w:cs="方正仿宋_GBK"/>
          <w:b/>
          <w:color w:val="auto"/>
          <w:sz w:val="30"/>
          <w:szCs w:val="30"/>
          <w:lang w:eastAsia="zh-CN"/>
        </w:rPr>
        <w:t>（</w:t>
      </w:r>
      <w:r>
        <w:rPr>
          <w:rFonts w:hint="eastAsia" w:ascii="方正仿宋_GBK" w:hAnsi="方正仿宋_GBK" w:eastAsia="方正仿宋_GBK" w:cs="方正仿宋_GBK"/>
          <w:b/>
          <w:color w:val="auto"/>
          <w:sz w:val="30"/>
          <w:szCs w:val="30"/>
          <w:lang w:val="en-US" w:eastAsia="zh-CN"/>
        </w:rPr>
        <w:t>8</w:t>
      </w:r>
      <w:r>
        <w:rPr>
          <w:rFonts w:hint="eastAsia" w:ascii="方正仿宋_GBK" w:hAnsi="方正仿宋_GBK" w:eastAsia="方正仿宋_GBK" w:cs="方正仿宋_GBK"/>
          <w:b/>
          <w:color w:val="auto"/>
          <w:sz w:val="30"/>
          <w:szCs w:val="30"/>
          <w:lang w:eastAsia="zh-CN"/>
        </w:rPr>
        <w:t>）空调清洁标准：</w:t>
      </w:r>
    </w:p>
    <w:p w14:paraId="099A49DC">
      <w:pPr>
        <w:keepNext w:val="0"/>
        <w:keepLines w:val="0"/>
        <w:pageBreakBefore w:val="0"/>
        <w:kinsoku/>
        <w:wordWrap/>
        <w:overflowPunct/>
        <w:topLinePunct w:val="0"/>
        <w:autoSpaceDE/>
        <w:autoSpaceDN/>
        <w:bidi w:val="0"/>
        <w:adjustRightInd/>
        <w:snapToGrid/>
        <w:spacing w:line="579" w:lineRule="exact"/>
        <w:ind w:left="0" w:leftChars="0" w:firstLine="600" w:firstLineChars="200"/>
        <w:jc w:val="both"/>
        <w:textAlignment w:val="auto"/>
        <w:outlineLvl w:val="9"/>
        <w:rPr>
          <w:rFonts w:hint="eastAsia" w:ascii="方正仿宋_GBK" w:hAnsi="方正仿宋_GBK" w:eastAsia="方正仿宋_GBK" w:cs="方正仿宋_GBK"/>
          <w:b w:val="0"/>
          <w:bCs/>
          <w:color w:val="auto"/>
          <w:sz w:val="30"/>
          <w:szCs w:val="30"/>
          <w:lang w:val="en-US" w:eastAsia="zh-CN"/>
        </w:rPr>
      </w:pPr>
      <w:r>
        <w:rPr>
          <w:rFonts w:hint="eastAsia" w:ascii="方正仿宋_GBK" w:hAnsi="方正仿宋_GBK" w:eastAsia="方正仿宋_GBK" w:cs="方正仿宋_GBK"/>
          <w:b w:val="0"/>
          <w:bCs/>
          <w:color w:val="auto"/>
          <w:sz w:val="30"/>
          <w:szCs w:val="30"/>
          <w:lang w:val="en-US" w:eastAsia="zh-CN"/>
        </w:rPr>
        <w:t>有空调科室每季度一次，表面洁净，</w:t>
      </w:r>
      <w:r>
        <w:rPr>
          <w:rFonts w:hint="eastAsia" w:ascii="方正仿宋_GBK" w:hAnsi="方正仿宋_GBK" w:eastAsia="方正仿宋_GBK" w:cs="方正仿宋_GBK"/>
          <w:color w:val="auto"/>
          <w:sz w:val="30"/>
          <w:szCs w:val="30"/>
        </w:rPr>
        <w:t>无</w:t>
      </w:r>
      <w:r>
        <w:rPr>
          <w:rFonts w:hint="eastAsia" w:ascii="方正仿宋_GBK" w:hAnsi="方正仿宋_GBK" w:eastAsia="方正仿宋_GBK" w:cs="方正仿宋_GBK"/>
          <w:color w:val="auto"/>
          <w:sz w:val="30"/>
          <w:szCs w:val="30"/>
          <w:lang w:eastAsia="zh-CN"/>
        </w:rPr>
        <w:t>灰尘</w:t>
      </w:r>
      <w:r>
        <w:rPr>
          <w:rFonts w:hint="eastAsia" w:ascii="方正仿宋_GBK" w:hAnsi="方正仿宋_GBK" w:eastAsia="方正仿宋_GBK" w:cs="方正仿宋_GBK"/>
          <w:color w:val="auto"/>
          <w:sz w:val="30"/>
          <w:szCs w:val="30"/>
        </w:rPr>
        <w:t>污迹</w:t>
      </w:r>
      <w:r>
        <w:rPr>
          <w:rFonts w:hint="eastAsia" w:ascii="方正仿宋_GBK" w:hAnsi="方正仿宋_GBK" w:eastAsia="方正仿宋_GBK" w:cs="方正仿宋_GBK"/>
          <w:b w:val="0"/>
          <w:bCs/>
          <w:color w:val="auto"/>
          <w:sz w:val="30"/>
          <w:szCs w:val="30"/>
          <w:lang w:val="en-US" w:eastAsia="zh-CN"/>
        </w:rPr>
        <w:t>，机组翅片干净，无灰尘</w:t>
      </w:r>
      <w:r>
        <w:rPr>
          <w:rFonts w:hint="eastAsia" w:ascii="方正仿宋_GBK" w:hAnsi="方正仿宋_GBK" w:eastAsia="方正仿宋_GBK" w:cs="方正仿宋_GBK"/>
          <w:color w:val="auto"/>
          <w:sz w:val="30"/>
          <w:szCs w:val="30"/>
        </w:rPr>
        <w:t>污迹</w:t>
      </w:r>
      <w:r>
        <w:rPr>
          <w:rFonts w:hint="eastAsia" w:ascii="方正仿宋_GBK" w:hAnsi="方正仿宋_GBK" w:eastAsia="方正仿宋_GBK" w:cs="方正仿宋_GBK"/>
          <w:color w:val="auto"/>
          <w:sz w:val="30"/>
          <w:szCs w:val="30"/>
          <w:lang w:eastAsia="zh-CN"/>
        </w:rPr>
        <w:t>，过滤网干净能正常通风。</w:t>
      </w:r>
    </w:p>
    <w:p w14:paraId="3F9D4500">
      <w:pPr>
        <w:keepNext w:val="0"/>
        <w:keepLines w:val="0"/>
        <w:pageBreakBefore w:val="0"/>
        <w:tabs>
          <w:tab w:val="center" w:pos="4153"/>
        </w:tabs>
        <w:kinsoku/>
        <w:wordWrap/>
        <w:overflowPunct/>
        <w:topLinePunct w:val="0"/>
        <w:autoSpaceDE/>
        <w:autoSpaceDN/>
        <w:bidi w:val="0"/>
        <w:adjustRightInd/>
        <w:snapToGrid/>
        <w:spacing w:line="579" w:lineRule="exact"/>
        <w:ind w:firstLine="602" w:firstLineChars="200"/>
        <w:jc w:val="both"/>
        <w:textAlignment w:val="auto"/>
        <w:outlineLvl w:val="9"/>
        <w:rPr>
          <w:rFonts w:hint="eastAsia"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lang w:eastAsia="zh-CN"/>
        </w:rPr>
        <w:t>（</w:t>
      </w:r>
      <w:r>
        <w:rPr>
          <w:rFonts w:hint="eastAsia" w:ascii="方正仿宋_GBK" w:hAnsi="方正仿宋_GBK" w:eastAsia="方正仿宋_GBK" w:cs="方正仿宋_GBK"/>
          <w:b/>
          <w:sz w:val="30"/>
          <w:szCs w:val="30"/>
          <w:lang w:val="en-US" w:eastAsia="zh-CN"/>
        </w:rPr>
        <w:t>9</w:t>
      </w:r>
      <w:r>
        <w:rPr>
          <w:rFonts w:hint="eastAsia" w:ascii="方正仿宋_GBK" w:hAnsi="方正仿宋_GBK" w:eastAsia="方正仿宋_GBK" w:cs="方正仿宋_GBK"/>
          <w:b/>
          <w:sz w:val="30"/>
          <w:szCs w:val="30"/>
          <w:lang w:eastAsia="zh-CN"/>
        </w:rPr>
        <w:t>）</w:t>
      </w:r>
      <w:r>
        <w:rPr>
          <w:rFonts w:hint="eastAsia" w:ascii="方正仿宋_GBK" w:hAnsi="方正仿宋_GBK" w:eastAsia="方正仿宋_GBK" w:cs="方正仿宋_GBK"/>
          <w:b/>
          <w:sz w:val="30"/>
          <w:szCs w:val="30"/>
        </w:rPr>
        <w:t>雨污水井、盖清洁标准：</w:t>
      </w:r>
    </w:p>
    <w:p w14:paraId="00AA654C">
      <w:pPr>
        <w:keepNext w:val="0"/>
        <w:keepLines w:val="0"/>
        <w:pageBreakBefore w:val="0"/>
        <w:tabs>
          <w:tab w:val="center" w:pos="4153"/>
        </w:tabs>
        <w:kinsoku/>
        <w:wordWrap/>
        <w:overflowPunct/>
        <w:topLinePunct w:val="0"/>
        <w:autoSpaceDE/>
        <w:autoSpaceDN/>
        <w:bidi w:val="0"/>
        <w:adjustRightInd/>
        <w:snapToGrid/>
        <w:spacing w:line="579" w:lineRule="exact"/>
        <w:ind w:left="440" w:leftChars="200" w:firstLine="600" w:firstLineChars="200"/>
        <w:jc w:val="both"/>
        <w:textAlignment w:val="auto"/>
        <w:outlineLvl w:val="9"/>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排水通畅，井盖没有明显裂纹或破损，井壁没有塌裂；</w:t>
      </w:r>
      <w:r>
        <w:rPr>
          <w:rFonts w:hint="eastAsia" w:ascii="方正仿宋_GBK" w:hAnsi="方正仿宋_GBK" w:eastAsia="方正仿宋_GBK" w:cs="方正仿宋_GBK"/>
          <w:sz w:val="30"/>
          <w:szCs w:val="30"/>
          <w:lang w:val="en-US" w:eastAsia="zh-CN"/>
        </w:rPr>
        <w:t>如发现及时联系医院总务科。</w:t>
      </w:r>
    </w:p>
    <w:p w14:paraId="56432571">
      <w:pPr>
        <w:keepNext w:val="0"/>
        <w:keepLines w:val="0"/>
        <w:pageBreakBefore w:val="0"/>
        <w:widowControl/>
        <w:suppressLineNumbers w:val="0"/>
        <w:kinsoku/>
        <w:wordWrap/>
        <w:overflowPunct/>
        <w:topLinePunct w:val="0"/>
        <w:autoSpaceDE/>
        <w:autoSpaceDN/>
        <w:bidi w:val="0"/>
        <w:adjustRightInd/>
        <w:snapToGrid/>
        <w:spacing w:before="156" w:beforeLines="50" w:beforeAutospacing="0" w:after="156" w:afterLines="50" w:afterAutospacing="0" w:line="579" w:lineRule="exact"/>
        <w:ind w:left="0" w:right="0" w:firstLine="602" w:firstLineChars="200"/>
        <w:jc w:val="both"/>
        <w:outlineLvl w:val="9"/>
        <w:rPr>
          <w:rFonts w:hint="eastAsia" w:ascii="方正黑体_GBK" w:hAnsi="方正黑体_GBK" w:eastAsia="方正黑体_GBK" w:cs="方正黑体_GBK"/>
          <w:sz w:val="30"/>
          <w:szCs w:val="30"/>
        </w:rPr>
      </w:pPr>
      <w:r>
        <w:rPr>
          <w:rFonts w:hint="eastAsia" w:ascii="方正黑体_GBK" w:hAnsi="方正黑体_GBK" w:eastAsia="方正黑体_GBK" w:cs="方正黑体_GBK"/>
          <w:b/>
          <w:kern w:val="2"/>
          <w:sz w:val="30"/>
          <w:szCs w:val="30"/>
          <w:lang w:val="en-US" w:eastAsia="zh-CN" w:bidi="ar"/>
        </w:rPr>
        <w:t>2、各区域保洁内容与频次要求</w:t>
      </w:r>
    </w:p>
    <w:p w14:paraId="5C6CCC6A">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leftChars="0" w:right="0" w:firstLine="640" w:firstLineChars="200"/>
        <w:jc w:val="both"/>
        <w:textAlignment w:val="auto"/>
        <w:outlineLvl w:val="9"/>
        <w:rPr>
          <w:rFonts w:hint="eastAsia" w:ascii="宋体" w:hAnsi="宋体" w:eastAsia="方正楷体_GBK" w:cs="方正楷体_GBK"/>
          <w:b w:val="0"/>
          <w:bCs w:val="0"/>
          <w:sz w:val="32"/>
          <w:szCs w:val="32"/>
        </w:rPr>
      </w:pPr>
      <w:r>
        <w:rPr>
          <w:rFonts w:hint="eastAsia" w:eastAsia="方正楷体_GBK" w:cs="方正楷体_GBK"/>
          <w:b w:val="0"/>
          <w:bCs w:val="0"/>
          <w:color w:val="000000"/>
          <w:spacing w:val="0"/>
          <w:w w:val="100"/>
          <w:position w:val="0"/>
          <w:sz w:val="32"/>
          <w:szCs w:val="32"/>
          <w:lang w:eastAsia="zh-CN"/>
        </w:rPr>
        <w:t>（</w:t>
      </w:r>
      <w:r>
        <w:rPr>
          <w:rFonts w:hint="eastAsia" w:eastAsia="方正楷体_GBK" w:cs="方正楷体_GBK"/>
          <w:b w:val="0"/>
          <w:bCs w:val="0"/>
          <w:color w:val="000000"/>
          <w:spacing w:val="0"/>
          <w:w w:val="100"/>
          <w:position w:val="0"/>
          <w:sz w:val="32"/>
          <w:szCs w:val="32"/>
          <w:lang w:val="en-US" w:eastAsia="zh-CN"/>
        </w:rPr>
        <w:t>1</w:t>
      </w:r>
      <w:r>
        <w:rPr>
          <w:rFonts w:hint="eastAsia" w:eastAsia="方正楷体_GBK" w:cs="方正楷体_GBK"/>
          <w:b w:val="0"/>
          <w:bCs w:val="0"/>
          <w:color w:val="000000"/>
          <w:spacing w:val="0"/>
          <w:w w:val="100"/>
          <w:position w:val="0"/>
          <w:sz w:val="32"/>
          <w:szCs w:val="32"/>
          <w:lang w:eastAsia="zh-CN"/>
        </w:rPr>
        <w:t>）</w:t>
      </w:r>
      <w:r>
        <w:rPr>
          <w:rFonts w:hint="eastAsia" w:ascii="宋体" w:hAnsi="宋体" w:eastAsia="方正楷体_GBK" w:cs="方正楷体_GBK"/>
          <w:b w:val="0"/>
          <w:bCs w:val="0"/>
          <w:color w:val="000000"/>
          <w:spacing w:val="0"/>
          <w:w w:val="100"/>
          <w:position w:val="0"/>
          <w:sz w:val="32"/>
          <w:szCs w:val="32"/>
        </w:rPr>
        <w:t>保洁时间安排</w:t>
      </w:r>
    </w:p>
    <w:p w14:paraId="50E2C534">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eastAsia="方正仿宋_GBK" w:cstheme="minorEastAsia"/>
          <w:color w:val="000000"/>
          <w:spacing w:val="0"/>
          <w:w w:val="100"/>
          <w:position w:val="0"/>
          <w:sz w:val="32"/>
          <w:szCs w:val="32"/>
          <w:lang w:val="en-US" w:eastAsia="zh-CN"/>
        </w:rPr>
        <w:t>1.1</w:t>
      </w:r>
      <w:r>
        <w:rPr>
          <w:rFonts w:hint="eastAsia" w:ascii="宋体" w:hAnsi="宋体" w:eastAsia="方正仿宋_GBK" w:cstheme="minorEastAsia"/>
          <w:color w:val="000000"/>
          <w:spacing w:val="0"/>
          <w:w w:val="100"/>
          <w:position w:val="0"/>
          <w:sz w:val="32"/>
          <w:szCs w:val="32"/>
        </w:rPr>
        <w:t>（6</w:t>
      </w:r>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lang w:val="en-US" w:eastAsia="en-US"/>
        </w:rPr>
        <w:t>00-</w:t>
      </w:r>
      <w:r>
        <w:rPr>
          <w:rFonts w:hint="eastAsia" w:eastAsia="方正仿宋_GBK" w:cstheme="minorEastAsia"/>
          <w:color w:val="000000"/>
          <w:spacing w:val="0"/>
          <w:w w:val="100"/>
          <w:position w:val="0"/>
          <w:sz w:val="32"/>
          <w:szCs w:val="32"/>
          <w:lang w:val="en-US" w:eastAsia="zh-CN"/>
        </w:rPr>
        <w:t>10</w:t>
      </w:r>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00）拖扫病房，办公室（医生、护士、主任室等），门厅，走道，楼梯,冲洗开水间、卫生间等；保持卫生区域的清洁，进行紫外线和空气消毒。</w:t>
      </w:r>
    </w:p>
    <w:p w14:paraId="3E716563">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eastAsia="方正仿宋_GBK" w:cstheme="minorEastAsia"/>
          <w:color w:val="000000"/>
          <w:spacing w:val="0"/>
          <w:w w:val="100"/>
          <w:position w:val="0"/>
          <w:sz w:val="32"/>
          <w:szCs w:val="32"/>
          <w:lang w:val="en-US" w:eastAsia="zh-CN"/>
        </w:rPr>
        <w:t>1.2</w:t>
      </w:r>
      <w:r>
        <w:rPr>
          <w:rFonts w:hint="eastAsia" w:ascii="宋体" w:hAnsi="宋体" w:eastAsia="方正仿宋_GBK" w:cstheme="minorEastAsia"/>
          <w:color w:val="000000"/>
          <w:spacing w:val="0"/>
          <w:w w:val="100"/>
          <w:position w:val="0"/>
          <w:sz w:val="32"/>
          <w:szCs w:val="32"/>
        </w:rPr>
        <w:t>（1</w:t>
      </w:r>
      <w:r>
        <w:rPr>
          <w:rFonts w:hint="eastAsia" w:eastAsia="方正仿宋_GBK" w:cstheme="minorEastAsia"/>
          <w:color w:val="000000"/>
          <w:spacing w:val="0"/>
          <w:w w:val="100"/>
          <w:position w:val="0"/>
          <w:sz w:val="32"/>
          <w:szCs w:val="32"/>
          <w:lang w:val="en-US" w:eastAsia="zh-CN"/>
        </w:rPr>
        <w:t>2</w:t>
      </w:r>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30</w:t>
      </w:r>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1</w:t>
      </w:r>
      <w:r>
        <w:rPr>
          <w:rFonts w:hint="eastAsia" w:eastAsia="方正仿宋_GBK" w:cstheme="minorEastAsia"/>
          <w:color w:val="000000"/>
          <w:spacing w:val="0"/>
          <w:w w:val="100"/>
          <w:position w:val="0"/>
          <w:sz w:val="32"/>
          <w:szCs w:val="32"/>
          <w:lang w:val="en-US" w:eastAsia="zh-CN"/>
        </w:rPr>
        <w:t>6</w:t>
      </w:r>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30）拖扫病房，各办公室，门厅，走道等卫生区域</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垃圾清运人员收送垃圾（医用、生活垃圾）至垃圾站，分类处理。</w:t>
      </w:r>
    </w:p>
    <w:p w14:paraId="15311A01">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leftChars="0" w:right="0" w:firstLine="640" w:firstLineChars="200"/>
        <w:jc w:val="both"/>
        <w:textAlignment w:val="auto"/>
        <w:outlineLvl w:val="9"/>
        <w:rPr>
          <w:rFonts w:hint="eastAsia" w:ascii="宋体" w:hAnsi="宋体" w:eastAsia="方正楷体_GBK" w:cs="方正楷体_GBK"/>
          <w:b w:val="0"/>
          <w:bCs w:val="0"/>
          <w:color w:val="000000"/>
          <w:spacing w:val="0"/>
          <w:w w:val="100"/>
          <w:position w:val="0"/>
          <w:sz w:val="32"/>
          <w:szCs w:val="32"/>
        </w:rPr>
      </w:pPr>
      <w:r>
        <w:rPr>
          <w:rFonts w:hint="eastAsia" w:ascii="宋体" w:hAnsi="宋体" w:eastAsia="方正楷体_GBK" w:cs="方正楷体_GBK"/>
          <w:b w:val="0"/>
          <w:bCs w:val="0"/>
          <w:color w:val="000000"/>
          <w:spacing w:val="0"/>
          <w:w w:val="100"/>
          <w:position w:val="0"/>
          <w:sz w:val="32"/>
          <w:szCs w:val="32"/>
          <w:lang w:eastAsia="zh-CN"/>
        </w:rPr>
        <w:t>（</w:t>
      </w:r>
      <w:r>
        <w:rPr>
          <w:rFonts w:hint="eastAsia" w:eastAsia="方正楷体_GBK" w:cs="方正楷体_GBK"/>
          <w:b w:val="0"/>
          <w:bCs w:val="0"/>
          <w:color w:val="000000"/>
          <w:spacing w:val="0"/>
          <w:w w:val="100"/>
          <w:position w:val="0"/>
          <w:sz w:val="32"/>
          <w:szCs w:val="32"/>
          <w:lang w:val="en-US" w:eastAsia="zh-CN"/>
        </w:rPr>
        <w:t>2</w:t>
      </w:r>
      <w:r>
        <w:rPr>
          <w:rFonts w:hint="eastAsia" w:ascii="宋体" w:hAnsi="宋体" w:eastAsia="方正楷体_GBK" w:cs="方正楷体_GBK"/>
          <w:b w:val="0"/>
          <w:bCs w:val="0"/>
          <w:color w:val="000000"/>
          <w:spacing w:val="0"/>
          <w:w w:val="100"/>
          <w:position w:val="0"/>
          <w:sz w:val="32"/>
          <w:szCs w:val="32"/>
          <w:lang w:eastAsia="zh-CN"/>
        </w:rPr>
        <w:t>）</w:t>
      </w:r>
      <w:r>
        <w:rPr>
          <w:rFonts w:hint="eastAsia" w:ascii="宋体" w:hAnsi="宋体" w:eastAsia="方正楷体_GBK" w:cs="方正楷体_GBK"/>
          <w:b w:val="0"/>
          <w:bCs w:val="0"/>
          <w:color w:val="000000"/>
          <w:spacing w:val="0"/>
          <w:w w:val="100"/>
          <w:position w:val="0"/>
          <w:sz w:val="32"/>
          <w:szCs w:val="32"/>
        </w:rPr>
        <w:t>以环境保护为目的，预防交叉感染，特作以下物料、工具、消毒液使用规定。</w:t>
      </w:r>
    </w:p>
    <w:p w14:paraId="273001AF">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eastAsia="方正仿宋_GBK" w:cstheme="minorEastAsia"/>
          <w:color w:val="000000"/>
          <w:spacing w:val="0"/>
          <w:w w:val="100"/>
          <w:position w:val="0"/>
          <w:sz w:val="32"/>
          <w:szCs w:val="32"/>
          <w:lang w:val="en-US" w:eastAsia="zh-CN"/>
        </w:rPr>
        <w:t>2.1</w:t>
      </w:r>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垃圾袋使用规定</w:t>
      </w:r>
    </w:p>
    <w:tbl>
      <w:tblPr>
        <w:tblStyle w:val="62"/>
        <w:tblW w:w="9259" w:type="dxa"/>
        <w:jc w:val="center"/>
        <w:tblLayout w:type="fixed"/>
        <w:tblCellMar>
          <w:top w:w="0" w:type="dxa"/>
          <w:left w:w="10" w:type="dxa"/>
          <w:bottom w:w="0" w:type="dxa"/>
          <w:right w:w="10" w:type="dxa"/>
        </w:tblCellMar>
      </w:tblPr>
      <w:tblGrid>
        <w:gridCol w:w="4061"/>
        <w:gridCol w:w="5198"/>
      </w:tblGrid>
      <w:tr w14:paraId="6AFEDA82">
        <w:tblPrEx>
          <w:tblCellMar>
            <w:top w:w="0" w:type="dxa"/>
            <w:left w:w="10" w:type="dxa"/>
            <w:bottom w:w="0" w:type="dxa"/>
            <w:right w:w="10" w:type="dxa"/>
          </w:tblCellMar>
        </w:tblPrEx>
        <w:trPr>
          <w:trHeight w:val="615" w:hRule="exact"/>
          <w:jc w:val="center"/>
        </w:trPr>
        <w:tc>
          <w:tcPr>
            <w:tcW w:w="4061" w:type="dxa"/>
            <w:tcBorders>
              <w:top w:val="single" w:color="auto" w:sz="4" w:space="0"/>
              <w:left w:val="single" w:color="auto" w:sz="4" w:space="0"/>
            </w:tcBorders>
            <w:shd w:val="clear" w:color="auto" w:fill="FFFFFF"/>
            <w:vAlign w:val="center"/>
          </w:tcPr>
          <w:p w14:paraId="6666AE8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562" w:firstLineChars="200"/>
              <w:jc w:val="both"/>
              <w:textAlignment w:val="auto"/>
              <w:outlineLvl w:val="9"/>
              <w:rPr>
                <w:rFonts w:hint="eastAsia" w:ascii="宋体" w:hAnsi="宋体" w:eastAsia="方正仿宋_GBK" w:cstheme="minorEastAsia"/>
                <w:b/>
                <w:bCs/>
                <w:sz w:val="28"/>
                <w:szCs w:val="28"/>
              </w:rPr>
            </w:pPr>
            <w:r>
              <w:rPr>
                <w:rFonts w:hint="eastAsia" w:ascii="宋体" w:hAnsi="宋体" w:eastAsia="方正仿宋_GBK" w:cstheme="minorEastAsia"/>
                <w:b/>
                <w:bCs/>
                <w:color w:val="000000"/>
                <w:spacing w:val="0"/>
                <w:w w:val="100"/>
                <w:position w:val="0"/>
                <w:sz w:val="28"/>
                <w:szCs w:val="28"/>
              </w:rPr>
              <w:t>品名</w:t>
            </w:r>
          </w:p>
        </w:tc>
        <w:tc>
          <w:tcPr>
            <w:tcW w:w="5198" w:type="dxa"/>
            <w:tcBorders>
              <w:top w:val="single" w:color="auto" w:sz="4" w:space="0"/>
              <w:left w:val="single" w:color="auto" w:sz="4" w:space="0"/>
              <w:right w:val="single" w:color="auto" w:sz="4" w:space="0"/>
            </w:tcBorders>
            <w:shd w:val="clear" w:color="auto" w:fill="FFFFFF"/>
            <w:vAlign w:val="center"/>
          </w:tcPr>
          <w:p w14:paraId="27B6034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562" w:firstLineChars="200"/>
              <w:jc w:val="both"/>
              <w:textAlignment w:val="auto"/>
              <w:outlineLvl w:val="9"/>
              <w:rPr>
                <w:rFonts w:hint="eastAsia" w:ascii="宋体" w:hAnsi="宋体" w:eastAsia="方正仿宋_GBK" w:cstheme="minorEastAsia"/>
                <w:b/>
                <w:bCs/>
                <w:sz w:val="28"/>
                <w:szCs w:val="28"/>
              </w:rPr>
            </w:pPr>
            <w:r>
              <w:rPr>
                <w:rFonts w:hint="eastAsia" w:ascii="宋体" w:hAnsi="宋体" w:eastAsia="方正仿宋_GBK" w:cstheme="minorEastAsia"/>
                <w:b/>
                <w:bCs/>
                <w:color w:val="000000"/>
                <w:spacing w:val="0"/>
                <w:w w:val="100"/>
                <w:position w:val="0"/>
                <w:sz w:val="28"/>
                <w:szCs w:val="28"/>
              </w:rPr>
              <w:t>垃圾袋颜色</w:t>
            </w:r>
          </w:p>
        </w:tc>
      </w:tr>
      <w:tr w14:paraId="2EA45D71">
        <w:tblPrEx>
          <w:tblCellMar>
            <w:top w:w="0" w:type="dxa"/>
            <w:left w:w="10" w:type="dxa"/>
            <w:bottom w:w="0" w:type="dxa"/>
            <w:right w:w="10" w:type="dxa"/>
          </w:tblCellMar>
        </w:tblPrEx>
        <w:trPr>
          <w:trHeight w:val="623" w:hRule="exact"/>
          <w:jc w:val="center"/>
        </w:trPr>
        <w:tc>
          <w:tcPr>
            <w:tcW w:w="4061" w:type="dxa"/>
            <w:tcBorders>
              <w:top w:val="single" w:color="auto" w:sz="4" w:space="0"/>
              <w:left w:val="single" w:color="auto" w:sz="4" w:space="0"/>
            </w:tcBorders>
            <w:shd w:val="clear" w:color="auto" w:fill="FFFFFF"/>
            <w:vAlign w:val="center"/>
          </w:tcPr>
          <w:p w14:paraId="0A0957A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560" w:firstLineChars="200"/>
              <w:jc w:val="both"/>
              <w:textAlignment w:val="auto"/>
              <w:outlineLvl w:val="9"/>
              <w:rPr>
                <w:rFonts w:hint="eastAsia" w:ascii="宋体" w:hAnsi="宋体" w:eastAsia="方正仿宋_GBK" w:cstheme="minorEastAsia"/>
                <w:sz w:val="28"/>
                <w:szCs w:val="28"/>
                <w:lang w:eastAsia="zh-CN"/>
              </w:rPr>
            </w:pPr>
            <w:r>
              <w:rPr>
                <w:rFonts w:hint="eastAsia" w:eastAsia="方正仿宋_GBK" w:cstheme="minorEastAsia"/>
                <w:sz w:val="28"/>
                <w:szCs w:val="28"/>
                <w:lang w:eastAsia="zh-CN"/>
              </w:rPr>
              <w:t>生活垃圾</w:t>
            </w:r>
          </w:p>
        </w:tc>
        <w:tc>
          <w:tcPr>
            <w:tcW w:w="5198" w:type="dxa"/>
            <w:tcBorders>
              <w:top w:val="single" w:color="auto" w:sz="4" w:space="0"/>
              <w:left w:val="single" w:color="auto" w:sz="4" w:space="0"/>
              <w:right w:val="single" w:color="auto" w:sz="4" w:space="0"/>
            </w:tcBorders>
            <w:shd w:val="clear" w:color="auto" w:fill="FFFFFF"/>
            <w:vAlign w:val="center"/>
          </w:tcPr>
          <w:p w14:paraId="6CA0E1E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560" w:firstLineChars="200"/>
              <w:jc w:val="both"/>
              <w:textAlignment w:val="auto"/>
              <w:outlineLvl w:val="9"/>
              <w:rPr>
                <w:rFonts w:hint="eastAsia" w:ascii="宋体" w:hAnsi="宋体" w:eastAsia="方正仿宋_GBK" w:cstheme="minorEastAsia"/>
                <w:sz w:val="28"/>
                <w:szCs w:val="28"/>
              </w:rPr>
            </w:pPr>
            <w:r>
              <w:rPr>
                <w:rFonts w:hint="eastAsia" w:ascii="宋体" w:hAnsi="宋体" w:eastAsia="方正仿宋_GBK" w:cstheme="minorEastAsia"/>
                <w:color w:val="000000"/>
                <w:spacing w:val="0"/>
                <w:w w:val="100"/>
                <w:position w:val="0"/>
                <w:sz w:val="28"/>
                <w:szCs w:val="28"/>
              </w:rPr>
              <w:t>黑色垃圾袋</w:t>
            </w:r>
          </w:p>
        </w:tc>
      </w:tr>
      <w:tr w14:paraId="7BB2EFF0">
        <w:tblPrEx>
          <w:tblCellMar>
            <w:top w:w="0" w:type="dxa"/>
            <w:left w:w="10" w:type="dxa"/>
            <w:bottom w:w="0" w:type="dxa"/>
            <w:right w:w="10" w:type="dxa"/>
          </w:tblCellMar>
        </w:tblPrEx>
        <w:trPr>
          <w:trHeight w:val="727" w:hRule="exact"/>
          <w:jc w:val="center"/>
        </w:trPr>
        <w:tc>
          <w:tcPr>
            <w:tcW w:w="4061" w:type="dxa"/>
            <w:tcBorders>
              <w:top w:val="single" w:color="auto" w:sz="4" w:space="0"/>
              <w:left w:val="single" w:color="auto" w:sz="4" w:space="0"/>
              <w:bottom w:val="single" w:color="auto" w:sz="4" w:space="0"/>
            </w:tcBorders>
            <w:shd w:val="clear" w:color="auto" w:fill="FFFFFF"/>
            <w:vAlign w:val="center"/>
          </w:tcPr>
          <w:p w14:paraId="6A7171A2">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0" w:firstLineChars="200"/>
              <w:jc w:val="both"/>
              <w:textAlignment w:val="auto"/>
              <w:outlineLvl w:val="9"/>
              <w:rPr>
                <w:rFonts w:hint="eastAsia" w:ascii="宋体" w:hAnsi="宋体" w:eastAsia="方正仿宋_GBK" w:cstheme="minorEastAsia"/>
                <w:sz w:val="28"/>
                <w:szCs w:val="28"/>
                <w:lang w:eastAsia="zh-CN"/>
              </w:rPr>
            </w:pPr>
            <w:r>
              <w:rPr>
                <w:rFonts w:hint="eastAsia" w:eastAsia="方正仿宋_GBK" w:cstheme="minorEastAsia"/>
                <w:sz w:val="28"/>
                <w:szCs w:val="28"/>
                <w:lang w:eastAsia="zh-CN"/>
              </w:rPr>
              <w:t>医疗垃圾</w:t>
            </w:r>
          </w:p>
        </w:tc>
        <w:tc>
          <w:tcPr>
            <w:tcW w:w="5198" w:type="dxa"/>
            <w:tcBorders>
              <w:top w:val="single" w:color="auto" w:sz="4" w:space="0"/>
              <w:left w:val="single" w:color="auto" w:sz="4" w:space="0"/>
              <w:bottom w:val="single" w:color="auto" w:sz="4" w:space="0"/>
              <w:right w:val="single" w:color="auto" w:sz="4" w:space="0"/>
            </w:tcBorders>
            <w:shd w:val="clear" w:color="auto" w:fill="FFFFFF"/>
            <w:vAlign w:val="center"/>
          </w:tcPr>
          <w:p w14:paraId="43FA354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560" w:firstLineChars="200"/>
              <w:jc w:val="both"/>
              <w:textAlignment w:val="auto"/>
              <w:outlineLvl w:val="9"/>
              <w:rPr>
                <w:rFonts w:hint="eastAsia" w:ascii="宋体" w:hAnsi="宋体" w:eastAsia="方正仿宋_GBK" w:cstheme="minorEastAsia"/>
                <w:sz w:val="28"/>
                <w:szCs w:val="28"/>
                <w:lang w:eastAsia="zh-CN"/>
              </w:rPr>
            </w:pPr>
            <w:r>
              <w:rPr>
                <w:rFonts w:hint="eastAsia" w:eastAsia="方正仿宋_GBK" w:cstheme="minorEastAsia"/>
                <w:sz w:val="28"/>
                <w:szCs w:val="28"/>
                <w:lang w:eastAsia="zh-CN"/>
              </w:rPr>
              <w:t>黄色医疗垃圾专用袋</w:t>
            </w:r>
          </w:p>
        </w:tc>
      </w:tr>
    </w:tbl>
    <w:p w14:paraId="0425E87C">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leftChars="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lang w:val="zh-CN" w:eastAsia="zh-CN"/>
        </w:rPr>
      </w:pPr>
      <w:r>
        <w:rPr>
          <w:rFonts w:hint="eastAsia" w:eastAsia="方正仿宋_GBK" w:cstheme="minorEastAsia"/>
          <w:color w:val="000000"/>
          <w:spacing w:val="0"/>
          <w:w w:val="100"/>
          <w:position w:val="0"/>
          <w:sz w:val="32"/>
          <w:szCs w:val="32"/>
          <w:lang w:val="en-US" w:eastAsia="zh-CN"/>
        </w:rPr>
        <w:t>2.2</w:t>
      </w:r>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lang w:val="zh-CN" w:eastAsia="zh-CN"/>
        </w:rPr>
        <w:t>卫生工具使用规定</w:t>
      </w:r>
    </w:p>
    <w:tbl>
      <w:tblPr>
        <w:tblStyle w:val="62"/>
        <w:tblW w:w="9267" w:type="dxa"/>
        <w:jc w:val="center"/>
        <w:tblLayout w:type="fixed"/>
        <w:tblCellMar>
          <w:top w:w="0" w:type="dxa"/>
          <w:left w:w="10" w:type="dxa"/>
          <w:bottom w:w="0" w:type="dxa"/>
          <w:right w:w="10" w:type="dxa"/>
        </w:tblCellMar>
      </w:tblPr>
      <w:tblGrid>
        <w:gridCol w:w="2941"/>
        <w:gridCol w:w="3547"/>
        <w:gridCol w:w="2779"/>
      </w:tblGrid>
      <w:tr w14:paraId="7A312AB8">
        <w:tblPrEx>
          <w:tblCellMar>
            <w:top w:w="0" w:type="dxa"/>
            <w:left w:w="10" w:type="dxa"/>
            <w:bottom w:w="0" w:type="dxa"/>
            <w:right w:w="10" w:type="dxa"/>
          </w:tblCellMar>
        </w:tblPrEx>
        <w:trPr>
          <w:trHeight w:val="643" w:hRule="exact"/>
          <w:jc w:val="center"/>
        </w:trPr>
        <w:tc>
          <w:tcPr>
            <w:tcW w:w="2941" w:type="dxa"/>
            <w:tcBorders>
              <w:top w:val="single" w:color="auto" w:sz="4" w:space="0"/>
              <w:left w:val="single" w:color="auto" w:sz="4" w:space="0"/>
            </w:tcBorders>
            <w:shd w:val="clear" w:color="auto" w:fill="FFFFFF"/>
            <w:vAlign w:val="center"/>
          </w:tcPr>
          <w:p w14:paraId="6859F2B2">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2" w:firstLineChars="200"/>
              <w:jc w:val="center"/>
              <w:textAlignment w:val="auto"/>
              <w:outlineLvl w:val="9"/>
              <w:rPr>
                <w:rFonts w:hint="eastAsia" w:ascii="宋体" w:hAnsi="宋体" w:eastAsia="方正仿宋_GBK" w:cstheme="minorEastAsia"/>
                <w:b/>
                <w:bCs/>
                <w:color w:val="000000"/>
                <w:spacing w:val="0"/>
                <w:w w:val="100"/>
                <w:position w:val="0"/>
                <w:sz w:val="28"/>
                <w:szCs w:val="28"/>
              </w:rPr>
            </w:pPr>
            <w:r>
              <w:rPr>
                <w:rFonts w:hint="eastAsia" w:ascii="宋体" w:hAnsi="宋体" w:eastAsia="方正仿宋_GBK" w:cstheme="minorEastAsia"/>
                <w:b/>
                <w:bCs/>
                <w:color w:val="000000"/>
                <w:spacing w:val="0"/>
                <w:w w:val="100"/>
                <w:position w:val="0"/>
                <w:sz w:val="28"/>
                <w:szCs w:val="28"/>
              </w:rPr>
              <w:t>名称</w:t>
            </w:r>
          </w:p>
        </w:tc>
        <w:tc>
          <w:tcPr>
            <w:tcW w:w="3547" w:type="dxa"/>
            <w:tcBorders>
              <w:top w:val="single" w:color="auto" w:sz="4" w:space="0"/>
              <w:left w:val="single" w:color="auto" w:sz="4" w:space="0"/>
            </w:tcBorders>
            <w:shd w:val="clear" w:color="auto" w:fill="FFFFFF"/>
            <w:vAlign w:val="center"/>
          </w:tcPr>
          <w:p w14:paraId="37920344">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2" w:firstLineChars="200"/>
              <w:jc w:val="center"/>
              <w:textAlignment w:val="auto"/>
              <w:outlineLvl w:val="9"/>
              <w:rPr>
                <w:rFonts w:hint="eastAsia" w:ascii="宋体" w:hAnsi="宋体" w:eastAsia="方正仿宋_GBK" w:cstheme="minorEastAsia"/>
                <w:b/>
                <w:bCs/>
                <w:color w:val="000000"/>
                <w:spacing w:val="0"/>
                <w:w w:val="100"/>
                <w:position w:val="0"/>
                <w:sz w:val="28"/>
                <w:szCs w:val="28"/>
              </w:rPr>
            </w:pPr>
            <w:r>
              <w:rPr>
                <w:rFonts w:hint="eastAsia" w:ascii="宋体" w:hAnsi="宋体" w:eastAsia="方正仿宋_GBK" w:cstheme="minorEastAsia"/>
                <w:b/>
                <w:bCs/>
                <w:color w:val="000000"/>
                <w:spacing w:val="0"/>
                <w:w w:val="100"/>
                <w:position w:val="0"/>
                <w:sz w:val="28"/>
                <w:szCs w:val="28"/>
              </w:rPr>
              <w:t>区域</w:t>
            </w:r>
          </w:p>
        </w:tc>
        <w:tc>
          <w:tcPr>
            <w:tcW w:w="2779" w:type="dxa"/>
            <w:tcBorders>
              <w:top w:val="single" w:color="auto" w:sz="4" w:space="0"/>
              <w:left w:val="single" w:color="auto" w:sz="4" w:space="0"/>
              <w:right w:val="single" w:color="auto" w:sz="4" w:space="0"/>
            </w:tcBorders>
            <w:shd w:val="clear" w:color="auto" w:fill="FFFFFF"/>
            <w:vAlign w:val="center"/>
          </w:tcPr>
          <w:p w14:paraId="195B93F3">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2" w:firstLineChars="200"/>
              <w:jc w:val="center"/>
              <w:textAlignment w:val="auto"/>
              <w:outlineLvl w:val="9"/>
              <w:rPr>
                <w:rFonts w:hint="eastAsia" w:ascii="宋体" w:hAnsi="宋体" w:eastAsia="方正仿宋_GBK" w:cstheme="minorEastAsia"/>
                <w:b/>
                <w:bCs/>
                <w:color w:val="000000"/>
                <w:spacing w:val="0"/>
                <w:w w:val="100"/>
                <w:position w:val="0"/>
                <w:sz w:val="28"/>
                <w:szCs w:val="28"/>
              </w:rPr>
            </w:pPr>
            <w:r>
              <w:rPr>
                <w:rFonts w:hint="eastAsia" w:ascii="宋体" w:hAnsi="宋体" w:eastAsia="方正仿宋_GBK" w:cstheme="minorEastAsia"/>
                <w:b/>
                <w:bCs/>
                <w:color w:val="000000"/>
                <w:spacing w:val="0"/>
                <w:w w:val="100"/>
                <w:position w:val="0"/>
                <w:sz w:val="28"/>
                <w:szCs w:val="28"/>
              </w:rPr>
              <w:t>标记</w:t>
            </w:r>
          </w:p>
        </w:tc>
      </w:tr>
      <w:tr w14:paraId="5F89969F">
        <w:tblPrEx>
          <w:tblCellMar>
            <w:top w:w="0" w:type="dxa"/>
            <w:left w:w="10" w:type="dxa"/>
            <w:bottom w:w="0" w:type="dxa"/>
            <w:right w:w="10" w:type="dxa"/>
          </w:tblCellMar>
        </w:tblPrEx>
        <w:trPr>
          <w:trHeight w:val="713" w:hRule="exact"/>
          <w:jc w:val="center"/>
        </w:trPr>
        <w:tc>
          <w:tcPr>
            <w:tcW w:w="2941" w:type="dxa"/>
            <w:vMerge w:val="restart"/>
            <w:tcBorders>
              <w:top w:val="single" w:color="auto" w:sz="4" w:space="0"/>
              <w:left w:val="single" w:color="auto" w:sz="4" w:space="0"/>
            </w:tcBorders>
            <w:shd w:val="clear" w:color="auto" w:fill="FFFFFF"/>
            <w:vAlign w:val="top"/>
          </w:tcPr>
          <w:p w14:paraId="69FF663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宋体" w:hAnsi="宋体" w:eastAsia="方正仿宋_GBK" w:cstheme="minorEastAsia"/>
                <w:color w:val="000000"/>
                <w:spacing w:val="0"/>
                <w:w w:val="100"/>
                <w:position w:val="0"/>
                <w:sz w:val="28"/>
                <w:szCs w:val="28"/>
              </w:rPr>
            </w:pPr>
            <w:r>
              <w:rPr>
                <w:rFonts w:hint="eastAsia" w:ascii="宋体" w:hAnsi="宋体" w:eastAsia="方正仿宋_GBK" w:cstheme="minorEastAsia"/>
                <w:color w:val="000000"/>
                <w:spacing w:val="0"/>
                <w:w w:val="100"/>
                <w:position w:val="0"/>
                <w:sz w:val="28"/>
                <w:szCs w:val="28"/>
              </w:rPr>
              <w:t>拖把、扫帚、簸箕、一</w:t>
            </w:r>
            <w:r>
              <w:rPr>
                <w:rFonts w:hint="eastAsia" w:eastAsia="方正仿宋_GBK" w:cstheme="minorEastAsia"/>
                <w:color w:val="000000"/>
                <w:spacing w:val="0"/>
                <w:w w:val="100"/>
                <w:position w:val="0"/>
                <w:sz w:val="28"/>
                <w:szCs w:val="28"/>
                <w:lang w:val="en-US" w:eastAsia="zh-CN"/>
              </w:rPr>
              <w:t>床</w:t>
            </w:r>
            <w:r>
              <w:rPr>
                <w:rFonts w:hint="eastAsia" w:ascii="宋体" w:hAnsi="宋体" w:eastAsia="方正仿宋_GBK" w:cstheme="minorEastAsia"/>
                <w:color w:val="000000"/>
                <w:spacing w:val="0"/>
                <w:w w:val="100"/>
                <w:position w:val="0"/>
                <w:sz w:val="28"/>
                <w:szCs w:val="28"/>
              </w:rPr>
              <w:t>抹布、除尘器等</w:t>
            </w:r>
          </w:p>
        </w:tc>
        <w:tc>
          <w:tcPr>
            <w:tcW w:w="3547" w:type="dxa"/>
            <w:tcBorders>
              <w:top w:val="single" w:color="auto" w:sz="4" w:space="0"/>
              <w:left w:val="single" w:color="auto" w:sz="4" w:space="0"/>
            </w:tcBorders>
            <w:shd w:val="clear" w:color="auto" w:fill="FFFFFF"/>
            <w:vAlign w:val="center"/>
          </w:tcPr>
          <w:p w14:paraId="6F30381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宋体" w:hAnsi="宋体" w:eastAsia="方正仿宋_GBK" w:cstheme="minorEastAsia"/>
                <w:color w:val="000000"/>
                <w:spacing w:val="0"/>
                <w:w w:val="100"/>
                <w:position w:val="0"/>
                <w:sz w:val="28"/>
                <w:szCs w:val="28"/>
              </w:rPr>
            </w:pPr>
            <w:r>
              <w:rPr>
                <w:rFonts w:hint="eastAsia" w:ascii="宋体" w:hAnsi="宋体" w:eastAsia="方正仿宋_GBK" w:cstheme="minorEastAsia"/>
                <w:color w:val="000000"/>
                <w:spacing w:val="0"/>
                <w:w w:val="100"/>
                <w:position w:val="0"/>
                <w:sz w:val="28"/>
                <w:szCs w:val="28"/>
              </w:rPr>
              <w:t>病房、抢救室、处置室等</w:t>
            </w:r>
          </w:p>
        </w:tc>
        <w:tc>
          <w:tcPr>
            <w:tcW w:w="2779" w:type="dxa"/>
            <w:tcBorders>
              <w:top w:val="single" w:color="auto" w:sz="4" w:space="0"/>
              <w:left w:val="single" w:color="auto" w:sz="4" w:space="0"/>
              <w:right w:val="single" w:color="auto" w:sz="4" w:space="0"/>
            </w:tcBorders>
            <w:shd w:val="clear" w:color="auto" w:fill="FFFFFF"/>
            <w:vAlign w:val="center"/>
          </w:tcPr>
          <w:p w14:paraId="7DC502E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宋体" w:hAnsi="宋体" w:eastAsia="方正仿宋_GBK" w:cstheme="minorEastAsia"/>
                <w:color w:val="000000"/>
                <w:spacing w:val="0"/>
                <w:w w:val="100"/>
                <w:position w:val="0"/>
                <w:sz w:val="28"/>
                <w:szCs w:val="28"/>
              </w:rPr>
            </w:pPr>
            <w:r>
              <w:rPr>
                <w:rFonts w:hint="eastAsia" w:eastAsia="方正仿宋_GBK" w:cstheme="minorEastAsia"/>
                <w:color w:val="000000"/>
                <w:spacing w:val="0"/>
                <w:w w:val="100"/>
                <w:position w:val="0"/>
                <w:sz w:val="28"/>
                <w:szCs w:val="28"/>
                <w:lang w:eastAsia="zh-CN"/>
              </w:rPr>
              <w:t>紫</w:t>
            </w:r>
            <w:r>
              <w:rPr>
                <w:rFonts w:hint="eastAsia" w:ascii="宋体" w:hAnsi="宋体" w:eastAsia="方正仿宋_GBK" w:cstheme="minorEastAsia"/>
                <w:color w:val="000000"/>
                <w:spacing w:val="0"/>
                <w:w w:val="100"/>
                <w:position w:val="0"/>
                <w:sz w:val="28"/>
                <w:szCs w:val="28"/>
              </w:rPr>
              <w:t>色标记</w:t>
            </w:r>
          </w:p>
        </w:tc>
      </w:tr>
      <w:tr w14:paraId="3B558246">
        <w:tblPrEx>
          <w:tblCellMar>
            <w:top w:w="0" w:type="dxa"/>
            <w:left w:w="10" w:type="dxa"/>
            <w:bottom w:w="0" w:type="dxa"/>
            <w:right w:w="10" w:type="dxa"/>
          </w:tblCellMar>
        </w:tblPrEx>
        <w:trPr>
          <w:trHeight w:val="691" w:hRule="exact"/>
          <w:jc w:val="center"/>
        </w:trPr>
        <w:tc>
          <w:tcPr>
            <w:tcW w:w="2941" w:type="dxa"/>
            <w:vMerge w:val="continue"/>
            <w:tcBorders>
              <w:left w:val="single" w:color="auto" w:sz="4" w:space="0"/>
            </w:tcBorders>
            <w:shd w:val="clear" w:color="auto" w:fill="FFFFFF"/>
            <w:vAlign w:val="top"/>
          </w:tcPr>
          <w:p w14:paraId="7E4CBAF8">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both"/>
              <w:textAlignment w:val="auto"/>
              <w:outlineLvl w:val="9"/>
              <w:rPr>
                <w:rFonts w:hint="eastAsia" w:ascii="宋体" w:hAnsi="宋体" w:eastAsia="方正仿宋_GBK" w:cstheme="minorEastAsia"/>
                <w:color w:val="000000"/>
                <w:spacing w:val="0"/>
                <w:w w:val="100"/>
                <w:position w:val="0"/>
                <w:sz w:val="28"/>
                <w:szCs w:val="28"/>
              </w:rPr>
            </w:pPr>
          </w:p>
        </w:tc>
        <w:tc>
          <w:tcPr>
            <w:tcW w:w="3547" w:type="dxa"/>
            <w:tcBorders>
              <w:top w:val="single" w:color="auto" w:sz="4" w:space="0"/>
              <w:left w:val="single" w:color="auto" w:sz="4" w:space="0"/>
            </w:tcBorders>
            <w:shd w:val="clear" w:color="auto" w:fill="FFFFFF"/>
            <w:vAlign w:val="center"/>
          </w:tcPr>
          <w:p w14:paraId="32F9D40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宋体" w:hAnsi="宋体" w:eastAsia="方正仿宋_GBK" w:cstheme="minorEastAsia"/>
                <w:color w:val="000000"/>
                <w:spacing w:val="0"/>
                <w:w w:val="100"/>
                <w:position w:val="0"/>
                <w:sz w:val="28"/>
                <w:szCs w:val="28"/>
              </w:rPr>
            </w:pPr>
            <w:r>
              <w:rPr>
                <w:rFonts w:hint="eastAsia" w:ascii="宋体" w:hAnsi="宋体" w:eastAsia="方正仿宋_GBK" w:cstheme="minorEastAsia"/>
                <w:color w:val="000000"/>
                <w:spacing w:val="0"/>
                <w:w w:val="100"/>
                <w:position w:val="0"/>
                <w:sz w:val="28"/>
                <w:szCs w:val="28"/>
              </w:rPr>
              <w:t>走道、楼梯、门厅等</w:t>
            </w:r>
          </w:p>
        </w:tc>
        <w:tc>
          <w:tcPr>
            <w:tcW w:w="2779" w:type="dxa"/>
            <w:tcBorders>
              <w:top w:val="single" w:color="auto" w:sz="4" w:space="0"/>
              <w:left w:val="single" w:color="auto" w:sz="4" w:space="0"/>
              <w:right w:val="single" w:color="auto" w:sz="4" w:space="0"/>
            </w:tcBorders>
            <w:shd w:val="clear" w:color="auto" w:fill="FFFFFF"/>
            <w:vAlign w:val="center"/>
          </w:tcPr>
          <w:p w14:paraId="1BBD0EA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宋体" w:hAnsi="宋体" w:eastAsia="方正仿宋_GBK" w:cstheme="minorEastAsia"/>
                <w:color w:val="000000"/>
                <w:spacing w:val="0"/>
                <w:w w:val="100"/>
                <w:position w:val="0"/>
                <w:sz w:val="28"/>
                <w:szCs w:val="28"/>
              </w:rPr>
            </w:pPr>
            <w:r>
              <w:rPr>
                <w:rFonts w:hint="eastAsia" w:eastAsia="方正仿宋_GBK" w:cstheme="minorEastAsia"/>
                <w:color w:val="000000"/>
                <w:spacing w:val="0"/>
                <w:w w:val="100"/>
                <w:position w:val="0"/>
                <w:sz w:val="28"/>
                <w:szCs w:val="28"/>
                <w:lang w:eastAsia="zh-CN"/>
              </w:rPr>
              <w:t>蓝</w:t>
            </w:r>
            <w:r>
              <w:rPr>
                <w:rFonts w:hint="eastAsia" w:ascii="宋体" w:hAnsi="宋体" w:eastAsia="方正仿宋_GBK" w:cstheme="minorEastAsia"/>
                <w:color w:val="000000"/>
                <w:spacing w:val="0"/>
                <w:w w:val="100"/>
                <w:position w:val="0"/>
                <w:sz w:val="28"/>
                <w:szCs w:val="28"/>
              </w:rPr>
              <w:t>色标记</w:t>
            </w:r>
          </w:p>
        </w:tc>
      </w:tr>
      <w:tr w14:paraId="4561382F">
        <w:tblPrEx>
          <w:tblCellMar>
            <w:top w:w="0" w:type="dxa"/>
            <w:left w:w="10" w:type="dxa"/>
            <w:bottom w:w="0" w:type="dxa"/>
            <w:right w:w="10" w:type="dxa"/>
          </w:tblCellMar>
        </w:tblPrEx>
        <w:trPr>
          <w:trHeight w:val="659" w:hRule="exact"/>
          <w:jc w:val="center"/>
        </w:trPr>
        <w:tc>
          <w:tcPr>
            <w:tcW w:w="2941" w:type="dxa"/>
            <w:vMerge w:val="continue"/>
            <w:tcBorders>
              <w:left w:val="single" w:color="auto" w:sz="4" w:space="0"/>
            </w:tcBorders>
            <w:shd w:val="clear" w:color="auto" w:fill="FFFFFF"/>
            <w:vAlign w:val="top"/>
          </w:tcPr>
          <w:p w14:paraId="784B1FD2">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0" w:firstLineChars="200"/>
              <w:jc w:val="both"/>
              <w:textAlignment w:val="auto"/>
              <w:outlineLvl w:val="9"/>
              <w:rPr>
                <w:rFonts w:hint="eastAsia" w:ascii="宋体" w:hAnsi="宋体" w:eastAsia="方正仿宋_GBK" w:cstheme="minorEastAsia"/>
                <w:color w:val="000000"/>
                <w:spacing w:val="0"/>
                <w:w w:val="100"/>
                <w:position w:val="0"/>
                <w:sz w:val="28"/>
                <w:szCs w:val="28"/>
              </w:rPr>
            </w:pPr>
          </w:p>
        </w:tc>
        <w:tc>
          <w:tcPr>
            <w:tcW w:w="3547" w:type="dxa"/>
            <w:tcBorders>
              <w:top w:val="single" w:color="auto" w:sz="4" w:space="0"/>
              <w:left w:val="single" w:color="auto" w:sz="4" w:space="0"/>
            </w:tcBorders>
            <w:shd w:val="clear" w:color="auto" w:fill="FFFFFF"/>
            <w:vAlign w:val="center"/>
          </w:tcPr>
          <w:p w14:paraId="67EA4C90">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宋体" w:hAnsi="宋体" w:eastAsia="方正仿宋_GBK" w:cstheme="minorEastAsia"/>
                <w:color w:val="000000"/>
                <w:spacing w:val="0"/>
                <w:w w:val="100"/>
                <w:position w:val="0"/>
                <w:sz w:val="28"/>
                <w:szCs w:val="28"/>
              </w:rPr>
            </w:pPr>
            <w:r>
              <w:rPr>
                <w:rFonts w:hint="eastAsia" w:ascii="宋体" w:hAnsi="宋体" w:eastAsia="方正仿宋_GBK" w:cstheme="minorEastAsia"/>
                <w:color w:val="000000"/>
                <w:spacing w:val="0"/>
                <w:w w:val="100"/>
                <w:position w:val="0"/>
                <w:sz w:val="28"/>
                <w:szCs w:val="28"/>
              </w:rPr>
              <w:t>卫生间</w:t>
            </w:r>
          </w:p>
        </w:tc>
        <w:tc>
          <w:tcPr>
            <w:tcW w:w="2779" w:type="dxa"/>
            <w:tcBorders>
              <w:top w:val="single" w:color="auto" w:sz="4" w:space="0"/>
              <w:left w:val="single" w:color="auto" w:sz="4" w:space="0"/>
              <w:right w:val="single" w:color="auto" w:sz="4" w:space="0"/>
            </w:tcBorders>
            <w:shd w:val="clear" w:color="auto" w:fill="FFFFFF"/>
            <w:vAlign w:val="center"/>
          </w:tcPr>
          <w:p w14:paraId="5A6689D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宋体" w:hAnsi="宋体" w:eastAsia="方正仿宋_GBK" w:cstheme="minorEastAsia"/>
                <w:color w:val="000000"/>
                <w:spacing w:val="0"/>
                <w:w w:val="100"/>
                <w:position w:val="0"/>
                <w:sz w:val="28"/>
                <w:szCs w:val="28"/>
              </w:rPr>
            </w:pPr>
            <w:r>
              <w:rPr>
                <w:rFonts w:hint="eastAsia" w:ascii="宋体" w:hAnsi="宋体" w:eastAsia="方正仿宋_GBK" w:cstheme="minorEastAsia"/>
                <w:color w:val="000000"/>
                <w:spacing w:val="0"/>
                <w:w w:val="100"/>
                <w:position w:val="0"/>
                <w:sz w:val="28"/>
                <w:szCs w:val="28"/>
              </w:rPr>
              <w:t>红色标记</w:t>
            </w:r>
          </w:p>
        </w:tc>
      </w:tr>
      <w:tr w14:paraId="2D9A0F5C">
        <w:tblPrEx>
          <w:tblCellMar>
            <w:top w:w="0" w:type="dxa"/>
            <w:left w:w="10" w:type="dxa"/>
            <w:bottom w:w="0" w:type="dxa"/>
            <w:right w:w="10" w:type="dxa"/>
          </w:tblCellMar>
        </w:tblPrEx>
        <w:trPr>
          <w:trHeight w:val="780" w:hRule="exact"/>
          <w:jc w:val="center"/>
        </w:trPr>
        <w:tc>
          <w:tcPr>
            <w:tcW w:w="2941" w:type="dxa"/>
            <w:vMerge w:val="continue"/>
            <w:tcBorders>
              <w:left w:val="single" w:color="auto" w:sz="4" w:space="0"/>
              <w:bottom w:val="single" w:color="auto" w:sz="4" w:space="0"/>
            </w:tcBorders>
            <w:shd w:val="clear" w:color="auto" w:fill="FFFFFF"/>
            <w:vAlign w:val="top"/>
          </w:tcPr>
          <w:p w14:paraId="11358F64">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0" w:firstLineChars="200"/>
              <w:jc w:val="both"/>
              <w:textAlignment w:val="auto"/>
              <w:outlineLvl w:val="9"/>
              <w:rPr>
                <w:rFonts w:hint="eastAsia" w:ascii="宋体" w:hAnsi="宋体" w:eastAsia="方正仿宋_GBK" w:cstheme="minorEastAsia"/>
                <w:color w:val="000000"/>
                <w:spacing w:val="0"/>
                <w:w w:val="100"/>
                <w:position w:val="0"/>
                <w:sz w:val="28"/>
                <w:szCs w:val="28"/>
              </w:rPr>
            </w:pPr>
          </w:p>
        </w:tc>
        <w:tc>
          <w:tcPr>
            <w:tcW w:w="3547" w:type="dxa"/>
            <w:tcBorders>
              <w:top w:val="single" w:color="auto" w:sz="4" w:space="0"/>
              <w:left w:val="single" w:color="auto" w:sz="4" w:space="0"/>
              <w:bottom w:val="single" w:color="auto" w:sz="4" w:space="0"/>
            </w:tcBorders>
            <w:shd w:val="clear" w:color="auto" w:fill="FFFFFF"/>
            <w:vAlign w:val="center"/>
          </w:tcPr>
          <w:p w14:paraId="565DB6D8">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宋体" w:hAnsi="宋体" w:eastAsia="方正仿宋_GBK" w:cstheme="minorEastAsia"/>
                <w:color w:val="000000"/>
                <w:spacing w:val="0"/>
                <w:w w:val="100"/>
                <w:position w:val="0"/>
                <w:sz w:val="28"/>
                <w:szCs w:val="28"/>
              </w:rPr>
            </w:pPr>
            <w:r>
              <w:rPr>
                <w:rFonts w:hint="eastAsia" w:ascii="宋体" w:hAnsi="宋体" w:eastAsia="方正仿宋_GBK" w:cstheme="minorEastAsia"/>
                <w:color w:val="000000"/>
                <w:spacing w:val="0"/>
                <w:w w:val="100"/>
                <w:position w:val="0"/>
                <w:sz w:val="28"/>
                <w:szCs w:val="28"/>
              </w:rPr>
              <w:t>办公区域</w:t>
            </w:r>
          </w:p>
        </w:tc>
        <w:tc>
          <w:tcPr>
            <w:tcW w:w="2779" w:type="dxa"/>
            <w:tcBorders>
              <w:top w:val="single" w:color="auto" w:sz="4" w:space="0"/>
              <w:left w:val="single" w:color="auto" w:sz="4" w:space="0"/>
              <w:bottom w:val="single" w:color="auto" w:sz="4" w:space="0"/>
              <w:right w:val="single" w:color="auto" w:sz="4" w:space="0"/>
            </w:tcBorders>
            <w:shd w:val="clear" w:color="auto" w:fill="FFFFFF"/>
            <w:vAlign w:val="center"/>
          </w:tcPr>
          <w:p w14:paraId="6B85B19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宋体" w:hAnsi="宋体" w:eastAsia="方正仿宋_GBK" w:cstheme="minorEastAsia"/>
                <w:color w:val="000000"/>
                <w:spacing w:val="0"/>
                <w:w w:val="100"/>
                <w:position w:val="0"/>
                <w:sz w:val="28"/>
                <w:szCs w:val="28"/>
              </w:rPr>
            </w:pPr>
            <w:r>
              <w:rPr>
                <w:rFonts w:hint="eastAsia" w:eastAsia="方正仿宋_GBK" w:cstheme="minorEastAsia"/>
                <w:color w:val="000000"/>
                <w:spacing w:val="0"/>
                <w:w w:val="100"/>
                <w:position w:val="0"/>
                <w:sz w:val="28"/>
                <w:szCs w:val="28"/>
                <w:lang w:eastAsia="zh-CN"/>
              </w:rPr>
              <w:t>绿</w:t>
            </w:r>
            <w:r>
              <w:rPr>
                <w:rFonts w:hint="eastAsia" w:ascii="宋体" w:hAnsi="宋体" w:eastAsia="方正仿宋_GBK" w:cstheme="minorEastAsia"/>
                <w:color w:val="000000"/>
                <w:spacing w:val="0"/>
                <w:w w:val="100"/>
                <w:position w:val="0"/>
                <w:sz w:val="28"/>
                <w:szCs w:val="28"/>
              </w:rPr>
              <w:t>色标记</w:t>
            </w:r>
          </w:p>
        </w:tc>
      </w:tr>
    </w:tbl>
    <w:p w14:paraId="5D1E03A8">
      <w:pPr>
        <w:pStyle w:val="434"/>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579" w:lineRule="exact"/>
        <w:ind w:right="0" w:rightChars="0" w:firstLine="640" w:firstLineChars="200"/>
        <w:jc w:val="both"/>
        <w:textAlignment w:val="auto"/>
        <w:outlineLvl w:val="9"/>
        <w:rPr>
          <w:rFonts w:hint="eastAsia" w:ascii="宋体" w:hAnsi="宋体" w:eastAsia="方正仿宋_GBK" w:cstheme="minorEastAsia"/>
          <w:color w:val="000000"/>
          <w:spacing w:val="0"/>
          <w:w w:val="100"/>
          <w:position w:val="0"/>
          <w:sz w:val="32"/>
          <w:szCs w:val="32"/>
          <w:lang w:val="zh-CN" w:eastAsia="zh-CN"/>
        </w:rPr>
      </w:pPr>
      <w:r>
        <w:rPr>
          <w:rFonts w:hint="eastAsia" w:eastAsia="方正仿宋_GBK" w:cstheme="minorEastAsia"/>
          <w:color w:val="000000"/>
          <w:spacing w:val="0"/>
          <w:w w:val="100"/>
          <w:position w:val="0"/>
          <w:sz w:val="32"/>
          <w:szCs w:val="32"/>
          <w:lang w:val="en-US" w:eastAsia="zh-CN"/>
        </w:rPr>
        <w:t>2.3.</w:t>
      </w:r>
      <w:r>
        <w:rPr>
          <w:rFonts w:hint="eastAsia" w:ascii="宋体" w:hAnsi="宋体" w:eastAsia="方正仿宋_GBK" w:cstheme="minorEastAsia"/>
          <w:color w:val="000000"/>
          <w:spacing w:val="0"/>
          <w:w w:val="100"/>
          <w:position w:val="0"/>
          <w:sz w:val="32"/>
          <w:szCs w:val="32"/>
          <w:lang w:val="zh-CN" w:eastAsia="zh-CN"/>
        </w:rPr>
        <w:t>消毒液配制及使用标准</w:t>
      </w:r>
    </w:p>
    <w:p w14:paraId="56435900">
      <w:pPr>
        <w:pStyle w:val="434"/>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579" w:lineRule="exact"/>
        <w:ind w:right="0" w:rightChars="0" w:firstLine="640" w:firstLineChars="200"/>
        <w:jc w:val="both"/>
        <w:textAlignment w:val="auto"/>
        <w:outlineLvl w:val="9"/>
        <w:rPr>
          <w:rFonts w:hint="eastAsia" w:ascii="宋体" w:hAnsi="宋体" w:eastAsia="方正仿宋_GBK" w:cstheme="minorEastAsia"/>
          <w:color w:val="000000"/>
          <w:spacing w:val="0"/>
          <w:w w:val="100"/>
          <w:position w:val="0"/>
          <w:sz w:val="28"/>
          <w:szCs w:val="28"/>
        </w:rPr>
      </w:pPr>
      <w:r>
        <w:rPr>
          <w:rFonts w:hint="eastAsia" w:eastAsia="方正仿宋_GBK" w:cstheme="minorEastAsia"/>
          <w:color w:val="000000"/>
          <w:spacing w:val="0"/>
          <w:w w:val="100"/>
          <w:position w:val="0"/>
          <w:sz w:val="32"/>
          <w:szCs w:val="32"/>
          <w:lang w:val="zh-CN" w:eastAsia="zh-CN"/>
        </w:rPr>
        <w:t>消毒液配制：</w:t>
      </w:r>
      <w:r>
        <w:rPr>
          <w:rFonts w:hint="eastAsia" w:eastAsia="方正仿宋_GBK" w:cstheme="minorEastAsia"/>
          <w:color w:val="000000"/>
          <w:spacing w:val="0"/>
          <w:w w:val="100"/>
          <w:position w:val="0"/>
          <w:sz w:val="32"/>
          <w:szCs w:val="32"/>
          <w:lang w:val="en-US" w:eastAsia="zh-CN"/>
        </w:rPr>
        <w:t>(1)</w:t>
      </w:r>
      <w:r>
        <w:rPr>
          <w:rFonts w:hint="eastAsia" w:eastAsia="方正仿宋_GBK" w:cstheme="minorEastAsia"/>
          <w:color w:val="000000"/>
          <w:spacing w:val="0"/>
          <w:w w:val="100"/>
          <w:position w:val="0"/>
          <w:sz w:val="32"/>
          <w:szCs w:val="32"/>
          <w:lang w:val="zh-CN" w:eastAsia="zh-CN"/>
        </w:rPr>
        <w:t>普通消毒</w:t>
      </w:r>
      <w:r>
        <w:rPr>
          <w:rFonts w:hint="eastAsia"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28"/>
          <w:szCs w:val="28"/>
        </w:rPr>
        <w:t>用</w:t>
      </w:r>
      <w:r>
        <w:rPr>
          <w:rFonts w:hint="eastAsia" w:eastAsia="方正仿宋_GBK" w:cstheme="minorEastAsia"/>
          <w:color w:val="000000"/>
          <w:spacing w:val="0"/>
          <w:w w:val="100"/>
          <w:position w:val="0"/>
          <w:sz w:val="28"/>
          <w:szCs w:val="28"/>
          <w:lang w:val="en-US" w:eastAsia="zh-CN"/>
        </w:rPr>
        <w:t>500mg/L含氯</w:t>
      </w:r>
      <w:r>
        <w:rPr>
          <w:rFonts w:hint="eastAsia" w:ascii="宋体" w:hAnsi="宋体" w:eastAsia="方正仿宋_GBK" w:cstheme="minorEastAsia"/>
          <w:color w:val="000000"/>
          <w:spacing w:val="0"/>
          <w:w w:val="100"/>
          <w:position w:val="0"/>
          <w:sz w:val="28"/>
          <w:szCs w:val="28"/>
        </w:rPr>
        <w:t>消毒液</w:t>
      </w:r>
    </w:p>
    <w:p w14:paraId="18284703">
      <w:pPr>
        <w:pStyle w:val="434"/>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579" w:lineRule="exact"/>
        <w:ind w:right="0" w:rightChars="0" w:firstLine="560" w:firstLineChars="200"/>
        <w:jc w:val="both"/>
        <w:textAlignment w:val="auto"/>
        <w:outlineLvl w:val="9"/>
        <w:rPr>
          <w:rFonts w:hint="eastAsia" w:ascii="宋体" w:hAnsi="宋体" w:eastAsia="方正仿宋_GBK" w:cstheme="minorEastAsia"/>
          <w:color w:val="000000"/>
          <w:spacing w:val="0"/>
          <w:w w:val="100"/>
          <w:position w:val="0"/>
          <w:sz w:val="28"/>
          <w:szCs w:val="28"/>
          <w:lang w:val="en-US" w:eastAsia="zh-CN"/>
        </w:rPr>
      </w:pPr>
      <w:r>
        <w:rPr>
          <w:rFonts w:hint="eastAsia" w:eastAsia="方正仿宋_GBK" w:cstheme="minorEastAsia"/>
          <w:color w:val="000000"/>
          <w:spacing w:val="0"/>
          <w:w w:val="100"/>
          <w:position w:val="0"/>
          <w:sz w:val="28"/>
          <w:szCs w:val="28"/>
          <w:lang w:val="en-US" w:eastAsia="zh-CN"/>
        </w:rPr>
        <w:t>(2)感染性消毒：</w:t>
      </w:r>
      <w:r>
        <w:rPr>
          <w:rFonts w:hint="eastAsia" w:ascii="宋体" w:hAnsi="宋体" w:eastAsia="方正仿宋_GBK" w:cstheme="minorEastAsia"/>
          <w:color w:val="000000"/>
          <w:spacing w:val="0"/>
          <w:w w:val="100"/>
          <w:position w:val="0"/>
          <w:sz w:val="28"/>
          <w:szCs w:val="28"/>
        </w:rPr>
        <w:t>用</w:t>
      </w:r>
      <w:r>
        <w:rPr>
          <w:rFonts w:hint="eastAsia" w:eastAsia="方正仿宋_GBK" w:cstheme="minorEastAsia"/>
          <w:color w:val="000000"/>
          <w:spacing w:val="0"/>
          <w:w w:val="100"/>
          <w:position w:val="0"/>
          <w:sz w:val="28"/>
          <w:szCs w:val="28"/>
          <w:lang w:val="en-US" w:eastAsia="zh-CN"/>
        </w:rPr>
        <w:t>1000mg/L含氯</w:t>
      </w:r>
      <w:r>
        <w:rPr>
          <w:rFonts w:hint="eastAsia" w:ascii="宋体" w:hAnsi="宋体" w:eastAsia="方正仿宋_GBK" w:cstheme="minorEastAsia"/>
          <w:color w:val="000000"/>
          <w:spacing w:val="0"/>
          <w:w w:val="100"/>
          <w:position w:val="0"/>
          <w:sz w:val="28"/>
          <w:szCs w:val="28"/>
        </w:rPr>
        <w:t>消毒液</w:t>
      </w:r>
    </w:p>
    <w:tbl>
      <w:tblPr>
        <w:tblStyle w:val="62"/>
        <w:tblW w:w="9600" w:type="dxa"/>
        <w:jc w:val="center"/>
        <w:tblLayout w:type="fixed"/>
        <w:tblCellMar>
          <w:top w:w="0" w:type="dxa"/>
          <w:left w:w="10" w:type="dxa"/>
          <w:bottom w:w="0" w:type="dxa"/>
          <w:right w:w="10" w:type="dxa"/>
        </w:tblCellMar>
      </w:tblPr>
      <w:tblGrid>
        <w:gridCol w:w="3612"/>
        <w:gridCol w:w="5988"/>
      </w:tblGrid>
      <w:tr w14:paraId="77B97EC0">
        <w:tblPrEx>
          <w:tblCellMar>
            <w:top w:w="0" w:type="dxa"/>
            <w:left w:w="10" w:type="dxa"/>
            <w:bottom w:w="0" w:type="dxa"/>
            <w:right w:w="10" w:type="dxa"/>
          </w:tblCellMar>
        </w:tblPrEx>
        <w:trPr>
          <w:trHeight w:val="592" w:hRule="exact"/>
          <w:jc w:val="center"/>
        </w:trPr>
        <w:tc>
          <w:tcPr>
            <w:tcW w:w="3612" w:type="dxa"/>
            <w:tcBorders>
              <w:top w:val="single" w:color="auto" w:sz="4" w:space="0"/>
              <w:left w:val="single" w:color="auto" w:sz="4" w:space="0"/>
            </w:tcBorders>
            <w:shd w:val="clear" w:color="auto" w:fill="FFFFFF"/>
            <w:vAlign w:val="center"/>
          </w:tcPr>
          <w:p w14:paraId="3AADC8FE">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2" w:firstLineChars="200"/>
              <w:jc w:val="center"/>
              <w:textAlignment w:val="auto"/>
              <w:outlineLvl w:val="9"/>
              <w:rPr>
                <w:rFonts w:hint="eastAsia" w:ascii="方正仿宋_GBK" w:hAnsi="方正仿宋_GBK" w:eastAsia="方正仿宋_GBK" w:cs="方正仿宋_GBK"/>
                <w:b/>
                <w:bCs/>
                <w:color w:val="000000"/>
                <w:spacing w:val="0"/>
                <w:w w:val="100"/>
                <w:position w:val="0"/>
                <w:sz w:val="28"/>
                <w:szCs w:val="28"/>
              </w:rPr>
            </w:pPr>
            <w:r>
              <w:rPr>
                <w:rFonts w:hint="eastAsia" w:ascii="方正仿宋_GBK" w:hAnsi="方正仿宋_GBK" w:eastAsia="方正仿宋_GBK" w:cs="方正仿宋_GBK"/>
                <w:b/>
                <w:bCs/>
                <w:color w:val="000000"/>
                <w:spacing w:val="0"/>
                <w:w w:val="100"/>
                <w:position w:val="0"/>
                <w:sz w:val="28"/>
                <w:szCs w:val="28"/>
              </w:rPr>
              <w:t>品</w:t>
            </w:r>
            <w:r>
              <w:rPr>
                <w:rFonts w:hint="eastAsia" w:ascii="方正仿宋_GBK" w:hAnsi="方正仿宋_GBK" w:eastAsia="方正仿宋_GBK" w:cs="方正仿宋_GBK"/>
                <w:b/>
                <w:bCs/>
                <w:color w:val="000000"/>
                <w:spacing w:val="0"/>
                <w:w w:val="100"/>
                <w:position w:val="0"/>
                <w:sz w:val="28"/>
                <w:szCs w:val="28"/>
                <w:lang w:val="zh-CN" w:eastAsia="zh-CN"/>
              </w:rPr>
              <w:t>名</w:t>
            </w:r>
          </w:p>
        </w:tc>
        <w:tc>
          <w:tcPr>
            <w:tcW w:w="5988" w:type="dxa"/>
            <w:tcBorders>
              <w:top w:val="single" w:color="auto" w:sz="4" w:space="0"/>
              <w:left w:val="single" w:color="auto" w:sz="4" w:space="0"/>
              <w:right w:val="single" w:color="auto" w:sz="4" w:space="0"/>
            </w:tcBorders>
            <w:shd w:val="clear" w:color="auto" w:fill="FFFFFF"/>
            <w:vAlign w:val="center"/>
          </w:tcPr>
          <w:p w14:paraId="6652B34B">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2" w:firstLineChars="200"/>
              <w:jc w:val="center"/>
              <w:textAlignment w:val="auto"/>
              <w:outlineLvl w:val="9"/>
              <w:rPr>
                <w:rFonts w:hint="eastAsia" w:ascii="方正仿宋_GBK" w:hAnsi="方正仿宋_GBK" w:eastAsia="方正仿宋_GBK" w:cs="方正仿宋_GBK"/>
                <w:b/>
                <w:bCs/>
                <w:color w:val="000000"/>
                <w:spacing w:val="0"/>
                <w:w w:val="100"/>
                <w:position w:val="0"/>
                <w:sz w:val="28"/>
                <w:szCs w:val="28"/>
              </w:rPr>
            </w:pPr>
            <w:r>
              <w:rPr>
                <w:rFonts w:hint="eastAsia" w:ascii="方正仿宋_GBK" w:hAnsi="方正仿宋_GBK" w:eastAsia="方正仿宋_GBK" w:cs="方正仿宋_GBK"/>
                <w:b/>
                <w:bCs/>
                <w:color w:val="000000"/>
                <w:spacing w:val="0"/>
                <w:w w:val="100"/>
                <w:position w:val="0"/>
                <w:sz w:val="28"/>
                <w:szCs w:val="28"/>
              </w:rPr>
              <w:t>配制比例和使用方法</w:t>
            </w:r>
          </w:p>
        </w:tc>
      </w:tr>
      <w:tr w14:paraId="317B1D6E">
        <w:tblPrEx>
          <w:tblCellMar>
            <w:top w:w="0" w:type="dxa"/>
            <w:left w:w="10" w:type="dxa"/>
            <w:bottom w:w="0" w:type="dxa"/>
            <w:right w:w="10" w:type="dxa"/>
          </w:tblCellMar>
        </w:tblPrEx>
        <w:trPr>
          <w:trHeight w:val="718" w:hRule="exact"/>
          <w:jc w:val="center"/>
        </w:trPr>
        <w:tc>
          <w:tcPr>
            <w:tcW w:w="3612" w:type="dxa"/>
            <w:tcBorders>
              <w:top w:val="single" w:color="auto" w:sz="4" w:space="0"/>
              <w:left w:val="single" w:color="auto" w:sz="4" w:space="0"/>
            </w:tcBorders>
            <w:shd w:val="clear" w:color="auto" w:fill="FFFFFF"/>
            <w:vAlign w:val="center"/>
          </w:tcPr>
          <w:p w14:paraId="4F83389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工具类：拖把、抹布等</w:t>
            </w:r>
          </w:p>
        </w:tc>
        <w:tc>
          <w:tcPr>
            <w:tcW w:w="5988" w:type="dxa"/>
            <w:tcBorders>
              <w:top w:val="single" w:color="auto" w:sz="4" w:space="0"/>
              <w:left w:val="single" w:color="auto" w:sz="4" w:space="0"/>
              <w:right w:val="single" w:color="auto" w:sz="4" w:space="0"/>
            </w:tcBorders>
            <w:shd w:val="clear" w:color="auto" w:fill="FFFFFF"/>
            <w:vAlign w:val="center"/>
          </w:tcPr>
          <w:p w14:paraId="73FFD0C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用</w:t>
            </w:r>
            <w:r>
              <w:rPr>
                <w:rFonts w:hint="eastAsia" w:ascii="方正仿宋_GBK" w:hAnsi="方正仿宋_GBK" w:eastAsia="方正仿宋_GBK" w:cs="方正仿宋_GBK"/>
                <w:color w:val="000000"/>
                <w:spacing w:val="0"/>
                <w:w w:val="100"/>
                <w:position w:val="0"/>
                <w:sz w:val="28"/>
                <w:szCs w:val="28"/>
                <w:lang w:val="en-US" w:eastAsia="zh-CN"/>
              </w:rPr>
              <w:t>500mg/L含氯</w:t>
            </w:r>
            <w:r>
              <w:rPr>
                <w:rFonts w:hint="eastAsia" w:ascii="方正仿宋_GBK" w:hAnsi="方正仿宋_GBK" w:eastAsia="方正仿宋_GBK" w:cs="方正仿宋_GBK"/>
                <w:color w:val="000000"/>
                <w:spacing w:val="0"/>
                <w:w w:val="100"/>
                <w:position w:val="0"/>
                <w:sz w:val="28"/>
                <w:szCs w:val="28"/>
              </w:rPr>
              <w:t>消毒液浸泡30分钟后，方可使用</w:t>
            </w:r>
          </w:p>
        </w:tc>
      </w:tr>
      <w:tr w14:paraId="496C5ECF">
        <w:tblPrEx>
          <w:tblCellMar>
            <w:top w:w="0" w:type="dxa"/>
            <w:left w:w="10" w:type="dxa"/>
            <w:bottom w:w="0" w:type="dxa"/>
            <w:right w:w="10" w:type="dxa"/>
          </w:tblCellMar>
        </w:tblPrEx>
        <w:trPr>
          <w:trHeight w:val="696" w:hRule="exact"/>
          <w:jc w:val="center"/>
        </w:trPr>
        <w:tc>
          <w:tcPr>
            <w:tcW w:w="3612" w:type="dxa"/>
            <w:tcBorders>
              <w:top w:val="single" w:color="auto" w:sz="4" w:space="0"/>
              <w:left w:val="single" w:color="auto" w:sz="4" w:space="0"/>
              <w:bottom w:val="single" w:color="auto" w:sz="4" w:space="0"/>
            </w:tcBorders>
            <w:shd w:val="clear" w:color="auto" w:fill="FFFFFF"/>
            <w:vAlign w:val="center"/>
          </w:tcPr>
          <w:p w14:paraId="7ACE806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地面，墙面，扶手，窗台等</w:t>
            </w:r>
          </w:p>
        </w:tc>
        <w:tc>
          <w:tcPr>
            <w:tcW w:w="5988" w:type="dxa"/>
            <w:tcBorders>
              <w:top w:val="single" w:color="auto" w:sz="4" w:space="0"/>
              <w:left w:val="single" w:color="auto" w:sz="4" w:space="0"/>
              <w:bottom w:val="single" w:color="auto" w:sz="4" w:space="0"/>
              <w:right w:val="single" w:color="auto" w:sz="4" w:space="0"/>
            </w:tcBorders>
            <w:shd w:val="clear" w:color="auto" w:fill="FFFFFF"/>
            <w:vAlign w:val="center"/>
          </w:tcPr>
          <w:p w14:paraId="21D0537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用</w:t>
            </w:r>
            <w:r>
              <w:rPr>
                <w:rFonts w:hint="eastAsia" w:ascii="方正仿宋_GBK" w:hAnsi="方正仿宋_GBK" w:eastAsia="方正仿宋_GBK" w:cs="方正仿宋_GBK"/>
                <w:color w:val="000000"/>
                <w:spacing w:val="0"/>
                <w:w w:val="100"/>
                <w:position w:val="0"/>
                <w:sz w:val="28"/>
                <w:szCs w:val="28"/>
                <w:lang w:val="en-US" w:eastAsia="zh-CN"/>
              </w:rPr>
              <w:t>500mg/L含氯</w:t>
            </w:r>
            <w:r>
              <w:rPr>
                <w:rFonts w:hint="eastAsia" w:ascii="方正仿宋_GBK" w:hAnsi="方正仿宋_GBK" w:eastAsia="方正仿宋_GBK" w:cs="方正仿宋_GBK"/>
                <w:color w:val="000000"/>
                <w:spacing w:val="0"/>
                <w:w w:val="100"/>
                <w:position w:val="0"/>
                <w:sz w:val="28"/>
                <w:szCs w:val="28"/>
              </w:rPr>
              <w:t>消毒液擦抹</w:t>
            </w:r>
          </w:p>
        </w:tc>
      </w:tr>
    </w:tbl>
    <w:p w14:paraId="3AB8306C">
      <w:pPr>
        <w:pStyle w:val="436"/>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640" w:firstLineChars="200"/>
        <w:jc w:val="both"/>
        <w:textAlignment w:val="auto"/>
        <w:outlineLvl w:val="9"/>
        <w:rPr>
          <w:rFonts w:hint="eastAsia" w:ascii="宋体" w:hAnsi="宋体" w:eastAsia="方正楷体_GBK" w:cs="方正楷体_GBK"/>
          <w:b w:val="0"/>
          <w:bCs w:val="0"/>
          <w:color w:val="000000"/>
          <w:spacing w:val="0"/>
          <w:w w:val="100"/>
          <w:position w:val="0"/>
          <w:sz w:val="32"/>
          <w:szCs w:val="32"/>
          <w:u w:val="none"/>
          <w:shd w:val="clear" w:color="auto" w:fill="auto"/>
          <w:lang w:val="zh-TW" w:eastAsia="zh-CN" w:bidi="zh-TW"/>
        </w:rPr>
      </w:pPr>
      <w:r>
        <w:rPr>
          <w:rFonts w:hint="eastAsia" w:eastAsia="方正楷体_GBK" w:cs="方正楷体_GBK"/>
          <w:b w:val="0"/>
          <w:bCs w:val="0"/>
          <w:color w:val="000000"/>
          <w:spacing w:val="0"/>
          <w:w w:val="100"/>
          <w:position w:val="0"/>
          <w:sz w:val="32"/>
          <w:szCs w:val="32"/>
          <w:u w:val="none"/>
          <w:shd w:val="clear" w:color="auto" w:fill="auto"/>
          <w:lang w:val="en-US" w:eastAsia="zh-CN" w:bidi="zh-TW"/>
        </w:rPr>
        <w:t>3.</w:t>
      </w:r>
      <w:r>
        <w:rPr>
          <w:rFonts w:hint="eastAsia" w:ascii="宋体" w:hAnsi="宋体" w:eastAsia="方正楷体_GBK" w:cs="方正楷体_GBK"/>
          <w:b w:val="0"/>
          <w:bCs w:val="0"/>
          <w:color w:val="000000"/>
          <w:spacing w:val="0"/>
          <w:w w:val="100"/>
          <w:position w:val="0"/>
          <w:sz w:val="32"/>
          <w:szCs w:val="32"/>
          <w:u w:val="none"/>
          <w:shd w:val="clear" w:color="auto" w:fill="auto"/>
          <w:lang w:val="zh-TW" w:eastAsia="zh-CN" w:bidi="zh-TW"/>
        </w:rPr>
        <w:t>日常工作安排及标准</w:t>
      </w:r>
    </w:p>
    <w:tbl>
      <w:tblPr>
        <w:tblStyle w:val="62"/>
        <w:tblpPr w:leftFromText="180" w:rightFromText="180" w:vertAnchor="text" w:horzAnchor="page" w:tblpX="1184" w:tblpY="331"/>
        <w:tblOverlap w:val="never"/>
        <w:tblW w:w="9511" w:type="dxa"/>
        <w:tblInd w:w="0" w:type="dxa"/>
        <w:tblLayout w:type="fixed"/>
        <w:tblCellMar>
          <w:top w:w="0" w:type="dxa"/>
          <w:left w:w="10" w:type="dxa"/>
          <w:bottom w:w="0" w:type="dxa"/>
          <w:right w:w="10" w:type="dxa"/>
        </w:tblCellMar>
      </w:tblPr>
      <w:tblGrid>
        <w:gridCol w:w="533"/>
        <w:gridCol w:w="1581"/>
        <w:gridCol w:w="2443"/>
        <w:gridCol w:w="2506"/>
        <w:gridCol w:w="2448"/>
      </w:tblGrid>
      <w:tr w14:paraId="2989F6A5">
        <w:tblPrEx>
          <w:tblCellMar>
            <w:top w:w="0" w:type="dxa"/>
            <w:left w:w="10" w:type="dxa"/>
            <w:bottom w:w="0" w:type="dxa"/>
            <w:right w:w="10" w:type="dxa"/>
          </w:tblCellMar>
        </w:tblPrEx>
        <w:trPr>
          <w:trHeight w:val="802" w:hRule="exact"/>
        </w:trPr>
        <w:tc>
          <w:tcPr>
            <w:tcW w:w="2114" w:type="dxa"/>
            <w:gridSpan w:val="2"/>
            <w:tcBorders>
              <w:top w:val="single" w:color="auto" w:sz="4" w:space="0"/>
              <w:left w:val="single" w:color="auto" w:sz="4" w:space="0"/>
            </w:tcBorders>
            <w:shd w:val="clear" w:color="auto" w:fill="FFFFFF"/>
            <w:vAlign w:val="bottom"/>
          </w:tcPr>
          <w:p w14:paraId="746B00F4">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2" w:firstLineChars="200"/>
              <w:jc w:val="both"/>
              <w:textAlignment w:val="auto"/>
              <w:outlineLvl w:val="9"/>
              <w:rPr>
                <w:rFonts w:hint="eastAsia" w:ascii="方正仿宋_GBK" w:hAnsi="方正仿宋_GBK" w:eastAsia="方正仿宋_GBK" w:cs="方正仿宋_GBK"/>
                <w:b/>
                <w:bCs/>
                <w:color w:val="000000"/>
                <w:spacing w:val="0"/>
                <w:w w:val="100"/>
                <w:position w:val="0"/>
                <w:sz w:val="28"/>
                <w:szCs w:val="28"/>
              </w:rPr>
            </w:pPr>
            <w:r>
              <w:rPr>
                <w:rFonts w:hint="eastAsia" w:ascii="方正仿宋_GBK" w:hAnsi="方正仿宋_GBK" w:eastAsia="方正仿宋_GBK" w:cs="方正仿宋_GBK"/>
                <w:b/>
                <w:bCs/>
                <w:color w:val="000000"/>
                <w:spacing w:val="0"/>
                <w:w w:val="100"/>
                <w:position w:val="0"/>
                <w:sz w:val="28"/>
                <w:szCs w:val="28"/>
              </w:rPr>
              <w:t>保洁内容</w:t>
            </w:r>
          </w:p>
        </w:tc>
        <w:tc>
          <w:tcPr>
            <w:tcW w:w="2443" w:type="dxa"/>
            <w:tcBorders>
              <w:top w:val="single" w:color="auto" w:sz="4" w:space="0"/>
              <w:left w:val="single" w:color="auto" w:sz="4" w:space="0"/>
            </w:tcBorders>
            <w:shd w:val="clear" w:color="auto" w:fill="FFFFFF"/>
            <w:vAlign w:val="bottom"/>
          </w:tcPr>
          <w:p w14:paraId="465ECA33">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right="0"/>
              <w:jc w:val="center"/>
              <w:textAlignment w:val="auto"/>
              <w:outlineLvl w:val="9"/>
              <w:rPr>
                <w:rFonts w:hint="eastAsia" w:ascii="方正仿宋_GBK" w:hAnsi="方正仿宋_GBK" w:eastAsia="方正仿宋_GBK" w:cs="方正仿宋_GBK"/>
                <w:b/>
                <w:bCs/>
                <w:color w:val="000000"/>
                <w:spacing w:val="0"/>
                <w:w w:val="100"/>
                <w:position w:val="0"/>
                <w:sz w:val="28"/>
                <w:szCs w:val="28"/>
              </w:rPr>
            </w:pPr>
            <w:r>
              <w:rPr>
                <w:rFonts w:hint="eastAsia" w:ascii="方正仿宋_GBK" w:hAnsi="方正仿宋_GBK" w:eastAsia="方正仿宋_GBK" w:cs="方正仿宋_GBK"/>
                <w:b/>
                <w:bCs/>
                <w:color w:val="000000"/>
                <w:spacing w:val="0"/>
                <w:w w:val="100"/>
                <w:position w:val="0"/>
                <w:sz w:val="28"/>
                <w:szCs w:val="28"/>
              </w:rPr>
              <w:t>保洁方式及频率</w:t>
            </w:r>
          </w:p>
        </w:tc>
        <w:tc>
          <w:tcPr>
            <w:tcW w:w="2506" w:type="dxa"/>
            <w:tcBorders>
              <w:top w:val="single" w:color="auto" w:sz="4" w:space="0"/>
              <w:left w:val="single" w:color="auto" w:sz="4" w:space="0"/>
            </w:tcBorders>
            <w:shd w:val="clear" w:color="auto" w:fill="FFFFFF"/>
            <w:vAlign w:val="bottom"/>
          </w:tcPr>
          <w:p w14:paraId="3E015158">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2" w:firstLineChars="200"/>
              <w:jc w:val="both"/>
              <w:textAlignment w:val="auto"/>
              <w:outlineLvl w:val="9"/>
              <w:rPr>
                <w:rFonts w:hint="eastAsia" w:ascii="方正仿宋_GBK" w:hAnsi="方正仿宋_GBK" w:eastAsia="方正仿宋_GBK" w:cs="方正仿宋_GBK"/>
                <w:b/>
                <w:bCs/>
                <w:color w:val="000000"/>
                <w:spacing w:val="0"/>
                <w:w w:val="100"/>
                <w:position w:val="0"/>
                <w:sz w:val="28"/>
                <w:szCs w:val="28"/>
              </w:rPr>
            </w:pPr>
            <w:r>
              <w:rPr>
                <w:rFonts w:hint="eastAsia" w:ascii="方正仿宋_GBK" w:hAnsi="方正仿宋_GBK" w:eastAsia="方正仿宋_GBK" w:cs="方正仿宋_GBK"/>
                <w:b/>
                <w:bCs/>
                <w:color w:val="000000"/>
                <w:spacing w:val="0"/>
                <w:w w:val="100"/>
                <w:position w:val="0"/>
                <w:sz w:val="28"/>
                <w:szCs w:val="28"/>
              </w:rPr>
              <w:t>标准</w:t>
            </w:r>
          </w:p>
        </w:tc>
        <w:tc>
          <w:tcPr>
            <w:tcW w:w="2448" w:type="dxa"/>
            <w:tcBorders>
              <w:top w:val="single" w:color="auto" w:sz="4" w:space="0"/>
              <w:left w:val="single" w:color="auto" w:sz="4" w:space="0"/>
              <w:right w:val="single" w:color="auto" w:sz="4" w:space="0"/>
            </w:tcBorders>
            <w:shd w:val="clear" w:color="auto" w:fill="FFFFFF"/>
            <w:vAlign w:val="bottom"/>
          </w:tcPr>
          <w:p w14:paraId="23F85280">
            <w:pPr>
              <w:pStyle w:val="435"/>
              <w:keepNext w:val="0"/>
              <w:keepLines w:val="0"/>
              <w:pageBreakBefore w:val="0"/>
              <w:widowControl w:val="0"/>
              <w:shd w:val="clear" w:color="auto" w:fill="auto"/>
              <w:kinsoku/>
              <w:wordWrap/>
              <w:overflowPunct/>
              <w:topLinePunct w:val="0"/>
              <w:autoSpaceDE/>
              <w:autoSpaceDN/>
              <w:bidi w:val="0"/>
              <w:adjustRightInd/>
              <w:snapToGrid/>
              <w:spacing w:before="100" w:after="0" w:line="579" w:lineRule="exact"/>
              <w:ind w:left="0" w:right="0" w:firstLine="562" w:firstLineChars="200"/>
              <w:jc w:val="both"/>
              <w:textAlignment w:val="auto"/>
              <w:outlineLvl w:val="9"/>
              <w:rPr>
                <w:rFonts w:hint="eastAsia" w:ascii="方正仿宋_GBK" w:hAnsi="方正仿宋_GBK" w:eastAsia="方正仿宋_GBK" w:cs="方正仿宋_GBK"/>
                <w:b/>
                <w:bCs/>
                <w:color w:val="000000"/>
                <w:spacing w:val="0"/>
                <w:w w:val="100"/>
                <w:position w:val="0"/>
                <w:sz w:val="28"/>
                <w:szCs w:val="28"/>
                <w:lang w:val="en-US" w:eastAsia="zh-CN"/>
              </w:rPr>
            </w:pPr>
            <w:r>
              <w:rPr>
                <w:rFonts w:hint="eastAsia" w:ascii="方正仿宋_GBK" w:hAnsi="方正仿宋_GBK" w:eastAsia="方正仿宋_GBK" w:cs="方正仿宋_GBK"/>
                <w:b/>
                <w:bCs/>
                <w:color w:val="000000"/>
                <w:spacing w:val="0"/>
                <w:w w:val="100"/>
                <w:position w:val="0"/>
                <w:sz w:val="28"/>
                <w:szCs w:val="28"/>
              </w:rPr>
              <w:t>保洁工具</w:t>
            </w:r>
          </w:p>
        </w:tc>
      </w:tr>
      <w:tr w14:paraId="091A7006">
        <w:tblPrEx>
          <w:tblCellMar>
            <w:top w:w="0" w:type="dxa"/>
            <w:left w:w="10" w:type="dxa"/>
            <w:bottom w:w="0" w:type="dxa"/>
            <w:right w:w="10" w:type="dxa"/>
          </w:tblCellMar>
        </w:tblPrEx>
        <w:trPr>
          <w:trHeight w:val="2492" w:hRule="exact"/>
        </w:trPr>
        <w:tc>
          <w:tcPr>
            <w:tcW w:w="533" w:type="dxa"/>
            <w:tcBorders>
              <w:top w:val="single" w:color="auto" w:sz="4" w:space="0"/>
              <w:left w:val="single" w:color="auto" w:sz="4" w:space="0"/>
            </w:tcBorders>
            <w:shd w:val="clear" w:color="auto" w:fill="FFFFFF"/>
            <w:vAlign w:val="center"/>
          </w:tcPr>
          <w:p w14:paraId="432B29D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1</w:t>
            </w:r>
          </w:p>
        </w:tc>
        <w:tc>
          <w:tcPr>
            <w:tcW w:w="1581" w:type="dxa"/>
            <w:tcBorders>
              <w:top w:val="single" w:color="auto" w:sz="4" w:space="0"/>
              <w:left w:val="single" w:color="auto" w:sz="4" w:space="0"/>
            </w:tcBorders>
            <w:shd w:val="clear" w:color="auto" w:fill="FFFFFF"/>
            <w:vAlign w:val="center"/>
          </w:tcPr>
          <w:p w14:paraId="78C86D7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地面保洁</w:t>
            </w:r>
          </w:p>
        </w:tc>
        <w:tc>
          <w:tcPr>
            <w:tcW w:w="2443" w:type="dxa"/>
            <w:tcBorders>
              <w:top w:val="single" w:color="auto" w:sz="4" w:space="0"/>
              <w:left w:val="single" w:color="auto" w:sz="4" w:space="0"/>
            </w:tcBorders>
            <w:shd w:val="clear" w:color="auto" w:fill="FFFFFF"/>
            <w:vAlign w:val="center"/>
          </w:tcPr>
          <w:p w14:paraId="09AAC568">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lang w:eastAsia="zh-CN"/>
              </w:rPr>
              <w:t>湿</w:t>
            </w:r>
            <w:r>
              <w:rPr>
                <w:rFonts w:hint="eastAsia" w:ascii="方正仿宋_GBK" w:hAnsi="方正仿宋_GBK" w:eastAsia="方正仿宋_GBK" w:cs="方正仿宋_GBK"/>
                <w:color w:val="000000"/>
                <w:spacing w:val="0"/>
                <w:w w:val="100"/>
                <w:position w:val="0"/>
                <w:sz w:val="28"/>
                <w:szCs w:val="28"/>
              </w:rPr>
              <w:t>拖</w:t>
            </w:r>
            <w:r>
              <w:rPr>
                <w:rFonts w:hint="eastAsia" w:ascii="方正仿宋_GBK" w:hAnsi="方正仿宋_GBK" w:eastAsia="方正仿宋_GBK" w:cs="方正仿宋_GBK"/>
                <w:color w:val="000000"/>
                <w:spacing w:val="0"/>
                <w:w w:val="100"/>
                <w:position w:val="0"/>
                <w:sz w:val="28"/>
                <w:szCs w:val="28"/>
                <w:lang w:val="en-US" w:eastAsia="zh-CN"/>
              </w:rPr>
              <w:t>2</w:t>
            </w:r>
            <w:r>
              <w:rPr>
                <w:rFonts w:hint="eastAsia" w:ascii="方正仿宋_GBK" w:hAnsi="方正仿宋_GBK" w:eastAsia="方正仿宋_GBK" w:cs="方正仿宋_GBK"/>
                <w:color w:val="000000"/>
                <w:spacing w:val="0"/>
                <w:w w:val="100"/>
                <w:position w:val="0"/>
                <w:sz w:val="28"/>
                <w:szCs w:val="28"/>
              </w:rPr>
              <w:t>次，</w:t>
            </w:r>
            <w:r>
              <w:rPr>
                <w:rFonts w:hint="eastAsia" w:ascii="方正仿宋_GBK" w:hAnsi="方正仿宋_GBK" w:eastAsia="方正仿宋_GBK" w:cs="方正仿宋_GBK"/>
                <w:color w:val="000000"/>
                <w:spacing w:val="0"/>
                <w:w w:val="100"/>
                <w:position w:val="0"/>
                <w:sz w:val="28"/>
                <w:szCs w:val="28"/>
                <w:lang w:eastAsia="zh-CN"/>
              </w:rPr>
              <w:t>干拖</w:t>
            </w:r>
            <w:r>
              <w:rPr>
                <w:rFonts w:hint="eastAsia" w:ascii="方正仿宋_GBK" w:hAnsi="方正仿宋_GBK" w:eastAsia="方正仿宋_GBK" w:cs="方正仿宋_GBK"/>
                <w:color w:val="000000"/>
                <w:spacing w:val="0"/>
                <w:w w:val="100"/>
                <w:position w:val="0"/>
                <w:sz w:val="28"/>
                <w:szCs w:val="28"/>
                <w:lang w:val="en-US" w:eastAsia="zh-CN"/>
              </w:rPr>
              <w:t>2次，</w:t>
            </w:r>
            <w:r>
              <w:rPr>
                <w:rFonts w:hint="eastAsia" w:ascii="方正仿宋_GBK" w:hAnsi="方正仿宋_GBK" w:eastAsia="方正仿宋_GBK" w:cs="方正仿宋_GBK"/>
                <w:color w:val="000000"/>
                <w:spacing w:val="0"/>
                <w:w w:val="100"/>
                <w:position w:val="0"/>
                <w:sz w:val="28"/>
                <w:szCs w:val="28"/>
              </w:rPr>
              <w:t>高峰30分左右巡场</w:t>
            </w:r>
            <w:r>
              <w:rPr>
                <w:rFonts w:hint="eastAsia" w:ascii="方正仿宋_GBK" w:hAnsi="方正仿宋_GBK" w:eastAsia="方正仿宋_GBK" w:cs="方正仿宋_GBK"/>
                <w:color w:val="000000"/>
                <w:spacing w:val="0"/>
                <w:w w:val="100"/>
                <w:position w:val="0"/>
                <w:sz w:val="28"/>
                <w:szCs w:val="28"/>
                <w:lang w:val="en-US" w:eastAsia="zh-CN"/>
              </w:rPr>
              <w:t>1</w:t>
            </w:r>
            <w:r>
              <w:rPr>
                <w:rFonts w:hint="eastAsia" w:ascii="方正仿宋_GBK" w:hAnsi="方正仿宋_GBK" w:eastAsia="方正仿宋_GBK" w:cs="方正仿宋_GBK"/>
                <w:color w:val="000000"/>
                <w:spacing w:val="0"/>
                <w:w w:val="100"/>
                <w:position w:val="0"/>
                <w:sz w:val="28"/>
                <w:szCs w:val="28"/>
              </w:rPr>
              <w:t>次</w:t>
            </w:r>
            <w:r>
              <w:rPr>
                <w:rFonts w:hint="eastAsia" w:ascii="方正仿宋_GBK" w:hAnsi="方正仿宋_GBK" w:eastAsia="方正仿宋_GBK" w:cs="方正仿宋_GBK"/>
                <w:color w:val="000000"/>
                <w:spacing w:val="0"/>
                <w:w w:val="100"/>
                <w:position w:val="0"/>
                <w:sz w:val="28"/>
                <w:szCs w:val="28"/>
                <w:lang w:eastAsia="zh-CN"/>
              </w:rPr>
              <w:t>，</w:t>
            </w:r>
            <w:r>
              <w:rPr>
                <w:rFonts w:hint="eastAsia" w:ascii="方正仿宋_GBK" w:hAnsi="方正仿宋_GBK" w:eastAsia="方正仿宋_GBK" w:cs="方正仿宋_GBK"/>
                <w:color w:val="000000"/>
                <w:spacing w:val="0"/>
                <w:w w:val="100"/>
                <w:position w:val="0"/>
                <w:sz w:val="28"/>
                <w:szCs w:val="28"/>
              </w:rPr>
              <w:t>随脏随洁</w:t>
            </w:r>
          </w:p>
        </w:tc>
        <w:tc>
          <w:tcPr>
            <w:tcW w:w="2506" w:type="dxa"/>
            <w:tcBorders>
              <w:top w:val="single" w:color="auto" w:sz="4" w:space="0"/>
              <w:left w:val="single" w:color="auto" w:sz="4" w:space="0"/>
            </w:tcBorders>
            <w:shd w:val="clear" w:color="auto" w:fill="FFFFFF"/>
            <w:vAlign w:val="center"/>
          </w:tcPr>
          <w:p w14:paraId="13A964F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rPr>
              <w:t>无尘，无水，无印迹</w:t>
            </w:r>
            <w:r>
              <w:rPr>
                <w:rFonts w:hint="eastAsia" w:ascii="方正仿宋_GBK" w:hAnsi="方正仿宋_GBK" w:eastAsia="方正仿宋_GBK" w:cs="方正仿宋_GBK"/>
                <w:color w:val="000000"/>
                <w:spacing w:val="0"/>
                <w:w w:val="100"/>
                <w:position w:val="0"/>
                <w:sz w:val="28"/>
                <w:szCs w:val="28"/>
                <w:lang w:eastAsia="zh-CN"/>
              </w:rPr>
              <w:t>、</w:t>
            </w:r>
            <w:r>
              <w:rPr>
                <w:rFonts w:hint="eastAsia" w:ascii="方正仿宋_GBK" w:hAnsi="方正仿宋_GBK" w:eastAsia="方正仿宋_GBK" w:cs="方正仿宋_GBK"/>
                <w:color w:val="000000"/>
                <w:spacing w:val="0"/>
                <w:w w:val="100"/>
                <w:position w:val="0"/>
                <w:sz w:val="28"/>
                <w:szCs w:val="28"/>
              </w:rPr>
              <w:t>无杂物，无粘遗物，光亮、洁净</w:t>
            </w:r>
            <w:r>
              <w:rPr>
                <w:rFonts w:hint="eastAsia" w:ascii="方正仿宋_GBK" w:hAnsi="方正仿宋_GBK" w:eastAsia="方正仿宋_GBK" w:cs="方正仿宋_GBK"/>
                <w:color w:val="000000"/>
                <w:spacing w:val="0"/>
                <w:w w:val="100"/>
                <w:position w:val="0"/>
                <w:sz w:val="28"/>
                <w:szCs w:val="28"/>
                <w:lang w:eastAsia="zh-CN"/>
              </w:rPr>
              <w:t>。</w:t>
            </w:r>
          </w:p>
        </w:tc>
        <w:tc>
          <w:tcPr>
            <w:tcW w:w="2448" w:type="dxa"/>
            <w:tcBorders>
              <w:top w:val="single" w:color="auto" w:sz="4" w:space="0"/>
              <w:left w:val="single" w:color="auto" w:sz="4" w:space="0"/>
              <w:right w:val="single" w:color="auto" w:sz="4" w:space="0"/>
            </w:tcBorders>
            <w:shd w:val="clear" w:color="auto" w:fill="FFFFFF"/>
            <w:vAlign w:val="center"/>
          </w:tcPr>
          <w:p w14:paraId="346B89C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rPr>
              <w:t>地拖、尘推、洗洁剂、吸水机、静电除尘器、</w:t>
            </w:r>
            <w:r>
              <w:rPr>
                <w:rFonts w:hint="eastAsia" w:ascii="方正仿宋_GBK" w:hAnsi="方正仿宋_GBK" w:eastAsia="方正仿宋_GBK" w:cs="方正仿宋_GBK"/>
                <w:color w:val="000000"/>
                <w:spacing w:val="0"/>
                <w:w w:val="100"/>
                <w:position w:val="0"/>
                <w:sz w:val="28"/>
                <w:szCs w:val="28"/>
                <w:lang w:eastAsia="zh-CN"/>
              </w:rPr>
              <w:t>笤</w:t>
            </w:r>
            <w:r>
              <w:rPr>
                <w:rFonts w:hint="eastAsia" w:ascii="方正仿宋_GBK" w:hAnsi="方正仿宋_GBK" w:eastAsia="方正仿宋_GBK" w:cs="方正仿宋_GBK"/>
                <w:color w:val="000000"/>
                <w:spacing w:val="0"/>
                <w:w w:val="100"/>
                <w:position w:val="0"/>
                <w:sz w:val="28"/>
                <w:szCs w:val="28"/>
              </w:rPr>
              <w:t>帚、簸箕等（分区</w:t>
            </w:r>
            <w:r>
              <w:rPr>
                <w:rFonts w:hint="eastAsia" w:ascii="方正仿宋_GBK" w:hAnsi="方正仿宋_GBK" w:eastAsia="方正仿宋_GBK" w:cs="方正仿宋_GBK"/>
                <w:color w:val="000000"/>
                <w:spacing w:val="0"/>
                <w:w w:val="100"/>
                <w:position w:val="0"/>
                <w:sz w:val="28"/>
                <w:szCs w:val="28"/>
                <w:lang w:eastAsia="zh-CN"/>
              </w:rPr>
              <w:t>使用）</w:t>
            </w:r>
          </w:p>
          <w:p w14:paraId="139B8E6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使用）</w:t>
            </w:r>
          </w:p>
        </w:tc>
      </w:tr>
      <w:tr w14:paraId="4F5AE759">
        <w:tblPrEx>
          <w:tblCellMar>
            <w:top w:w="0" w:type="dxa"/>
            <w:left w:w="10" w:type="dxa"/>
            <w:bottom w:w="0" w:type="dxa"/>
            <w:right w:w="10" w:type="dxa"/>
          </w:tblCellMar>
        </w:tblPrEx>
        <w:trPr>
          <w:trHeight w:val="1479" w:hRule="exact"/>
        </w:trPr>
        <w:tc>
          <w:tcPr>
            <w:tcW w:w="533" w:type="dxa"/>
            <w:tcBorders>
              <w:top w:val="single" w:color="auto" w:sz="4" w:space="0"/>
              <w:left w:val="single" w:color="auto" w:sz="4" w:space="0"/>
            </w:tcBorders>
            <w:shd w:val="clear" w:color="auto" w:fill="FFFFFF"/>
            <w:vAlign w:val="center"/>
          </w:tcPr>
          <w:p w14:paraId="52181F9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2</w:t>
            </w:r>
          </w:p>
        </w:tc>
        <w:tc>
          <w:tcPr>
            <w:tcW w:w="1581" w:type="dxa"/>
            <w:tcBorders>
              <w:top w:val="single" w:color="auto" w:sz="4" w:space="0"/>
              <w:left w:val="single" w:color="auto" w:sz="4" w:space="0"/>
            </w:tcBorders>
            <w:shd w:val="clear" w:color="auto" w:fill="FFFFFF"/>
            <w:vAlign w:val="center"/>
          </w:tcPr>
          <w:p w14:paraId="0C6D812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墙面保洁</w:t>
            </w:r>
          </w:p>
        </w:tc>
        <w:tc>
          <w:tcPr>
            <w:tcW w:w="2443" w:type="dxa"/>
            <w:tcBorders>
              <w:top w:val="single" w:color="auto" w:sz="4" w:space="0"/>
              <w:left w:val="single" w:color="auto" w:sz="4" w:space="0"/>
            </w:tcBorders>
            <w:shd w:val="clear" w:color="auto" w:fill="FFFFFF"/>
            <w:vAlign w:val="center"/>
          </w:tcPr>
          <w:p w14:paraId="1EA29398">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擦抹一次</w:t>
            </w:r>
          </w:p>
        </w:tc>
        <w:tc>
          <w:tcPr>
            <w:tcW w:w="2506" w:type="dxa"/>
            <w:tcBorders>
              <w:top w:val="single" w:color="auto" w:sz="4" w:space="0"/>
              <w:left w:val="single" w:color="auto" w:sz="4" w:space="0"/>
            </w:tcBorders>
            <w:shd w:val="clear" w:color="auto" w:fill="FFFFFF"/>
            <w:vAlign w:val="center"/>
          </w:tcPr>
          <w:p w14:paraId="06C17D6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无印迹，无杂物，清洁光亮</w:t>
            </w:r>
          </w:p>
        </w:tc>
        <w:tc>
          <w:tcPr>
            <w:tcW w:w="2448" w:type="dxa"/>
            <w:tcBorders>
              <w:top w:val="single" w:color="auto" w:sz="4" w:space="0"/>
              <w:left w:val="single" w:color="auto" w:sz="4" w:space="0"/>
              <w:right w:val="single" w:color="auto" w:sz="4" w:space="0"/>
            </w:tcBorders>
            <w:shd w:val="clear" w:color="auto" w:fill="FFFFFF"/>
            <w:vAlign w:val="center"/>
          </w:tcPr>
          <w:p w14:paraId="4AA1121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抹布、消毒液</w:t>
            </w:r>
          </w:p>
        </w:tc>
      </w:tr>
      <w:tr w14:paraId="7A83E82F">
        <w:tblPrEx>
          <w:tblCellMar>
            <w:top w:w="0" w:type="dxa"/>
            <w:left w:w="10" w:type="dxa"/>
            <w:bottom w:w="0" w:type="dxa"/>
            <w:right w:w="10" w:type="dxa"/>
          </w:tblCellMar>
        </w:tblPrEx>
        <w:trPr>
          <w:trHeight w:val="1449" w:hRule="exact"/>
        </w:trPr>
        <w:tc>
          <w:tcPr>
            <w:tcW w:w="533" w:type="dxa"/>
            <w:tcBorders>
              <w:top w:val="single" w:color="auto" w:sz="4" w:space="0"/>
              <w:left w:val="single" w:color="auto" w:sz="4" w:space="0"/>
            </w:tcBorders>
            <w:shd w:val="clear" w:color="auto" w:fill="FFFFFF"/>
            <w:vAlign w:val="center"/>
          </w:tcPr>
          <w:p w14:paraId="001C2F2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3</w:t>
            </w:r>
          </w:p>
        </w:tc>
        <w:tc>
          <w:tcPr>
            <w:tcW w:w="1581" w:type="dxa"/>
            <w:tcBorders>
              <w:top w:val="single" w:color="auto" w:sz="4" w:space="0"/>
              <w:left w:val="single" w:color="auto" w:sz="4" w:space="0"/>
            </w:tcBorders>
            <w:shd w:val="clear" w:color="auto" w:fill="FFFFFF"/>
            <w:vAlign w:val="center"/>
          </w:tcPr>
          <w:p w14:paraId="10EBB8C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方柱</w:t>
            </w:r>
          </w:p>
        </w:tc>
        <w:tc>
          <w:tcPr>
            <w:tcW w:w="2443" w:type="dxa"/>
            <w:tcBorders>
              <w:top w:val="single" w:color="auto" w:sz="4" w:space="0"/>
              <w:left w:val="single" w:color="auto" w:sz="4" w:space="0"/>
            </w:tcBorders>
            <w:shd w:val="clear" w:color="auto" w:fill="FFFFFF"/>
            <w:vAlign w:val="center"/>
          </w:tcPr>
          <w:p w14:paraId="2BCB824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擦抹一次</w:t>
            </w:r>
          </w:p>
        </w:tc>
        <w:tc>
          <w:tcPr>
            <w:tcW w:w="2506" w:type="dxa"/>
            <w:tcBorders>
              <w:top w:val="single" w:color="auto" w:sz="4" w:space="0"/>
              <w:left w:val="single" w:color="auto" w:sz="4" w:space="0"/>
            </w:tcBorders>
            <w:shd w:val="clear" w:color="auto" w:fill="FFFFFF"/>
            <w:vAlign w:val="center"/>
          </w:tcPr>
          <w:p w14:paraId="6CB8B2A8">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rPr>
              <w:t>无印迹，无杂物，清洁</w:t>
            </w:r>
            <w:r>
              <w:rPr>
                <w:rFonts w:hint="eastAsia" w:ascii="方正仿宋_GBK" w:hAnsi="方正仿宋_GBK" w:eastAsia="方正仿宋_GBK" w:cs="方正仿宋_GBK"/>
                <w:color w:val="000000"/>
                <w:spacing w:val="0"/>
                <w:w w:val="100"/>
                <w:position w:val="0"/>
                <w:sz w:val="28"/>
                <w:szCs w:val="28"/>
                <w:lang w:eastAsia="zh-CN"/>
              </w:rPr>
              <w:t>光亮</w:t>
            </w:r>
          </w:p>
          <w:p w14:paraId="3A84C540">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光亮</w:t>
            </w:r>
          </w:p>
        </w:tc>
        <w:tc>
          <w:tcPr>
            <w:tcW w:w="2448" w:type="dxa"/>
            <w:tcBorders>
              <w:top w:val="single" w:color="auto" w:sz="4" w:space="0"/>
              <w:left w:val="single" w:color="auto" w:sz="4" w:space="0"/>
              <w:right w:val="single" w:color="auto" w:sz="4" w:space="0"/>
            </w:tcBorders>
            <w:shd w:val="clear" w:color="auto" w:fill="FFFFFF"/>
            <w:vAlign w:val="center"/>
          </w:tcPr>
          <w:p w14:paraId="54C2693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抹布、洗洁剂</w:t>
            </w:r>
          </w:p>
        </w:tc>
      </w:tr>
      <w:tr w14:paraId="00EDC969">
        <w:tblPrEx>
          <w:tblCellMar>
            <w:top w:w="0" w:type="dxa"/>
            <w:left w:w="10" w:type="dxa"/>
            <w:bottom w:w="0" w:type="dxa"/>
            <w:right w:w="10" w:type="dxa"/>
          </w:tblCellMar>
        </w:tblPrEx>
        <w:trPr>
          <w:trHeight w:val="1721" w:hRule="exact"/>
        </w:trPr>
        <w:tc>
          <w:tcPr>
            <w:tcW w:w="533" w:type="dxa"/>
            <w:tcBorders>
              <w:top w:val="single" w:color="auto" w:sz="4" w:space="0"/>
              <w:left w:val="single" w:color="auto" w:sz="4" w:space="0"/>
            </w:tcBorders>
            <w:shd w:val="clear" w:color="auto" w:fill="FFFFFF"/>
            <w:vAlign w:val="center"/>
          </w:tcPr>
          <w:p w14:paraId="52C2782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4</w:t>
            </w:r>
          </w:p>
        </w:tc>
        <w:tc>
          <w:tcPr>
            <w:tcW w:w="1581" w:type="dxa"/>
            <w:tcBorders>
              <w:top w:val="single" w:color="auto" w:sz="4" w:space="0"/>
              <w:left w:val="single" w:color="auto" w:sz="4" w:space="0"/>
            </w:tcBorders>
            <w:shd w:val="clear" w:color="auto" w:fill="FFFFFF"/>
            <w:vAlign w:val="center"/>
          </w:tcPr>
          <w:p w14:paraId="764ECF8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门窗玻璃</w:t>
            </w:r>
          </w:p>
        </w:tc>
        <w:tc>
          <w:tcPr>
            <w:tcW w:w="2443" w:type="dxa"/>
            <w:tcBorders>
              <w:top w:val="single" w:color="auto" w:sz="4" w:space="0"/>
              <w:left w:val="single" w:color="auto" w:sz="4" w:space="0"/>
            </w:tcBorders>
            <w:shd w:val="clear" w:color="auto" w:fill="FFFFFF"/>
            <w:vAlign w:val="center"/>
          </w:tcPr>
          <w:p w14:paraId="7EF8905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擦抹一次,清洗一次/周</w:t>
            </w:r>
          </w:p>
        </w:tc>
        <w:tc>
          <w:tcPr>
            <w:tcW w:w="2506" w:type="dxa"/>
            <w:tcBorders>
              <w:top w:val="single" w:color="auto" w:sz="4" w:space="0"/>
              <w:left w:val="single" w:color="auto" w:sz="4" w:space="0"/>
            </w:tcBorders>
            <w:shd w:val="clear" w:color="auto" w:fill="FFFFFF"/>
            <w:vAlign w:val="center"/>
          </w:tcPr>
          <w:p w14:paraId="1DD94D2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无胶质，无杂物，透明</w:t>
            </w:r>
            <w:r>
              <w:rPr>
                <w:rFonts w:hint="eastAsia" w:ascii="方正仿宋_GBK" w:hAnsi="方正仿宋_GBK" w:eastAsia="方正仿宋_GBK" w:cs="方正仿宋_GBK"/>
                <w:color w:val="000000"/>
                <w:spacing w:val="0"/>
                <w:w w:val="100"/>
                <w:position w:val="0"/>
                <w:sz w:val="28"/>
                <w:szCs w:val="28"/>
                <w:lang w:eastAsia="zh-CN"/>
              </w:rPr>
              <w:t>、</w:t>
            </w:r>
            <w:r>
              <w:rPr>
                <w:rFonts w:hint="eastAsia" w:ascii="方正仿宋_GBK" w:hAnsi="方正仿宋_GBK" w:eastAsia="方正仿宋_GBK" w:cs="方正仿宋_GBK"/>
                <w:color w:val="000000"/>
                <w:spacing w:val="0"/>
                <w:w w:val="100"/>
                <w:position w:val="0"/>
                <w:sz w:val="28"/>
                <w:szCs w:val="28"/>
              </w:rPr>
              <w:t>光亮</w:t>
            </w:r>
          </w:p>
        </w:tc>
        <w:tc>
          <w:tcPr>
            <w:tcW w:w="2448" w:type="dxa"/>
            <w:tcBorders>
              <w:top w:val="single" w:color="auto" w:sz="4" w:space="0"/>
              <w:left w:val="single" w:color="auto" w:sz="4" w:space="0"/>
              <w:right w:val="single" w:color="auto" w:sz="4" w:space="0"/>
            </w:tcBorders>
            <w:shd w:val="clear" w:color="auto" w:fill="FFFFFF"/>
            <w:vAlign w:val="center"/>
          </w:tcPr>
          <w:p w14:paraId="1D3FED7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w:t>
            </w:r>
            <w:r>
              <w:rPr>
                <w:rFonts w:hint="eastAsia" w:ascii="方正仿宋_GBK" w:hAnsi="方正仿宋_GBK" w:eastAsia="方正仿宋_GBK" w:cs="方正仿宋_GBK"/>
                <w:color w:val="000000"/>
                <w:spacing w:val="0"/>
                <w:w w:val="100"/>
                <w:position w:val="0"/>
                <w:sz w:val="28"/>
                <w:szCs w:val="28"/>
                <w:lang w:eastAsia="zh-CN"/>
              </w:rPr>
              <w:t>、</w:t>
            </w:r>
            <w:r>
              <w:rPr>
                <w:rFonts w:hint="eastAsia" w:ascii="方正仿宋_GBK" w:hAnsi="方正仿宋_GBK" w:eastAsia="方正仿宋_GBK" w:cs="方正仿宋_GBK"/>
                <w:color w:val="000000"/>
                <w:spacing w:val="0"/>
                <w:w w:val="100"/>
                <w:position w:val="0"/>
                <w:sz w:val="28"/>
                <w:szCs w:val="28"/>
              </w:rPr>
              <w:t>洗洁剂、毛刷</w:t>
            </w:r>
          </w:p>
        </w:tc>
      </w:tr>
      <w:tr w14:paraId="7EB8AD3F">
        <w:tblPrEx>
          <w:tblCellMar>
            <w:top w:w="0" w:type="dxa"/>
            <w:left w:w="10" w:type="dxa"/>
            <w:bottom w:w="0" w:type="dxa"/>
            <w:right w:w="10" w:type="dxa"/>
          </w:tblCellMar>
        </w:tblPrEx>
        <w:trPr>
          <w:trHeight w:val="2963" w:hRule="exact"/>
        </w:trPr>
        <w:tc>
          <w:tcPr>
            <w:tcW w:w="533" w:type="dxa"/>
            <w:tcBorders>
              <w:top w:val="single" w:color="auto" w:sz="4" w:space="0"/>
              <w:left w:val="single" w:color="auto" w:sz="4" w:space="0"/>
            </w:tcBorders>
            <w:shd w:val="clear" w:color="auto" w:fill="FFFFFF"/>
            <w:vAlign w:val="center"/>
          </w:tcPr>
          <w:p w14:paraId="60C994B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5</w:t>
            </w:r>
          </w:p>
        </w:tc>
        <w:tc>
          <w:tcPr>
            <w:tcW w:w="1581" w:type="dxa"/>
            <w:tcBorders>
              <w:top w:val="single" w:color="auto" w:sz="4" w:space="0"/>
              <w:left w:val="single" w:color="auto" w:sz="4" w:space="0"/>
            </w:tcBorders>
            <w:shd w:val="clear" w:color="auto" w:fill="FFFFFF"/>
            <w:vAlign w:val="center"/>
          </w:tcPr>
          <w:p w14:paraId="7957E46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卫生间</w:t>
            </w:r>
          </w:p>
        </w:tc>
        <w:tc>
          <w:tcPr>
            <w:tcW w:w="2443" w:type="dxa"/>
            <w:tcBorders>
              <w:top w:val="single" w:color="auto" w:sz="4" w:space="0"/>
              <w:left w:val="single" w:color="auto" w:sz="4" w:space="0"/>
            </w:tcBorders>
            <w:shd w:val="clear" w:color="auto" w:fill="FFFFFF"/>
            <w:vAlign w:val="center"/>
          </w:tcPr>
          <w:p w14:paraId="315E1EF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全面保洁4次，随脏随洁</w:t>
            </w:r>
          </w:p>
        </w:tc>
        <w:tc>
          <w:tcPr>
            <w:tcW w:w="2506" w:type="dxa"/>
            <w:tcBorders>
              <w:top w:val="single" w:color="auto" w:sz="4" w:space="0"/>
              <w:left w:val="single" w:color="auto" w:sz="4" w:space="0"/>
            </w:tcBorders>
            <w:shd w:val="clear" w:color="auto" w:fill="FFFFFF"/>
            <w:vAlign w:val="center"/>
          </w:tcPr>
          <w:p w14:paraId="13F937E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无异味，无脏迹，无尿碱,无水垢，镜面、墙面、地面清洁光亮</w:t>
            </w:r>
          </w:p>
        </w:tc>
        <w:tc>
          <w:tcPr>
            <w:tcW w:w="2448" w:type="dxa"/>
            <w:tcBorders>
              <w:top w:val="single" w:color="auto" w:sz="4" w:space="0"/>
              <w:left w:val="single" w:color="auto" w:sz="4" w:space="0"/>
              <w:right w:val="single" w:color="auto" w:sz="4" w:space="0"/>
            </w:tcBorders>
            <w:shd w:val="clear" w:color="auto" w:fill="FFFFFF"/>
            <w:vAlign w:val="center"/>
          </w:tcPr>
          <w:p w14:paraId="31AE6F2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地拖、</w:t>
            </w:r>
            <w:r>
              <w:rPr>
                <w:rFonts w:hint="eastAsia" w:ascii="方正仿宋_GBK" w:hAnsi="方正仿宋_GBK" w:eastAsia="方正仿宋_GBK" w:cs="方正仿宋_GBK"/>
                <w:color w:val="000000"/>
                <w:spacing w:val="0"/>
                <w:w w:val="100"/>
                <w:position w:val="0"/>
                <w:sz w:val="28"/>
                <w:szCs w:val="28"/>
                <w:lang w:eastAsia="zh-CN"/>
              </w:rPr>
              <w:t>笤</w:t>
            </w:r>
            <w:r>
              <w:rPr>
                <w:rFonts w:hint="eastAsia" w:ascii="方正仿宋_GBK" w:hAnsi="方正仿宋_GBK" w:eastAsia="方正仿宋_GBK" w:cs="方正仿宋_GBK"/>
                <w:color w:val="000000"/>
                <w:spacing w:val="0"/>
                <w:w w:val="100"/>
                <w:position w:val="0"/>
                <w:sz w:val="28"/>
                <w:szCs w:val="28"/>
              </w:rPr>
              <w:t>帚、抹布、球刷、空气清新剂、厕宝、厕香球、垃圾袋、洗洁剂、去污粉等</w:t>
            </w:r>
          </w:p>
        </w:tc>
      </w:tr>
      <w:tr w14:paraId="5F217F0A">
        <w:tblPrEx>
          <w:tblCellMar>
            <w:top w:w="0" w:type="dxa"/>
            <w:left w:w="10" w:type="dxa"/>
            <w:bottom w:w="0" w:type="dxa"/>
            <w:right w:w="10" w:type="dxa"/>
          </w:tblCellMar>
        </w:tblPrEx>
        <w:trPr>
          <w:trHeight w:val="1964" w:hRule="exact"/>
        </w:trPr>
        <w:tc>
          <w:tcPr>
            <w:tcW w:w="533" w:type="dxa"/>
            <w:tcBorders>
              <w:top w:val="single" w:color="auto" w:sz="4" w:space="0"/>
              <w:left w:val="single" w:color="auto" w:sz="4" w:space="0"/>
            </w:tcBorders>
            <w:shd w:val="clear" w:color="auto" w:fill="FFFFFF"/>
            <w:vAlign w:val="center"/>
          </w:tcPr>
          <w:p w14:paraId="6A04753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6</w:t>
            </w:r>
          </w:p>
        </w:tc>
        <w:tc>
          <w:tcPr>
            <w:tcW w:w="1581" w:type="dxa"/>
            <w:tcBorders>
              <w:top w:val="single" w:color="auto" w:sz="4" w:space="0"/>
              <w:left w:val="single" w:color="auto" w:sz="4" w:space="0"/>
            </w:tcBorders>
            <w:shd w:val="clear" w:color="auto" w:fill="FFFFFF"/>
            <w:vAlign w:val="center"/>
          </w:tcPr>
          <w:p w14:paraId="74EC203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门厅</w:t>
            </w:r>
          </w:p>
        </w:tc>
        <w:tc>
          <w:tcPr>
            <w:tcW w:w="2443" w:type="dxa"/>
            <w:tcBorders>
              <w:top w:val="single" w:color="auto" w:sz="4" w:space="0"/>
              <w:left w:val="single" w:color="auto" w:sz="4" w:space="0"/>
            </w:tcBorders>
            <w:shd w:val="clear" w:color="auto" w:fill="FFFFFF"/>
            <w:vAlign w:val="center"/>
          </w:tcPr>
          <w:p w14:paraId="36E9C90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全</w:t>
            </w:r>
            <w:r>
              <w:rPr>
                <w:rFonts w:hint="eastAsia" w:ascii="方正仿宋_GBK" w:hAnsi="方正仿宋_GBK" w:eastAsia="方正仿宋_GBK" w:cs="方正仿宋_GBK"/>
                <w:color w:val="000000"/>
                <w:spacing w:val="0"/>
                <w:w w:val="100"/>
                <w:position w:val="0"/>
                <w:sz w:val="28"/>
                <w:szCs w:val="28"/>
                <w:lang w:eastAsia="zh-CN"/>
              </w:rPr>
              <w:t>面</w:t>
            </w:r>
            <w:r>
              <w:rPr>
                <w:rFonts w:hint="eastAsia" w:ascii="方正仿宋_GBK" w:hAnsi="方正仿宋_GBK" w:eastAsia="方正仿宋_GBK" w:cs="方正仿宋_GBK"/>
                <w:color w:val="000000"/>
                <w:spacing w:val="0"/>
                <w:w w:val="100"/>
                <w:position w:val="0"/>
                <w:sz w:val="28"/>
                <w:szCs w:val="28"/>
              </w:rPr>
              <w:t>保洁4次，随脏随洁，高峰每小时一次</w:t>
            </w:r>
          </w:p>
        </w:tc>
        <w:tc>
          <w:tcPr>
            <w:tcW w:w="2506" w:type="dxa"/>
            <w:tcBorders>
              <w:top w:val="single" w:color="auto" w:sz="4" w:space="0"/>
              <w:left w:val="single" w:color="auto" w:sz="4" w:space="0"/>
            </w:tcBorders>
            <w:shd w:val="clear" w:color="auto" w:fill="FFFFFF"/>
            <w:vAlign w:val="center"/>
          </w:tcPr>
          <w:p w14:paraId="5ECE8AC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地面清洁，玻璃光亮，无污垢、杂物</w:t>
            </w:r>
          </w:p>
        </w:tc>
        <w:tc>
          <w:tcPr>
            <w:tcW w:w="2448" w:type="dxa"/>
            <w:tcBorders>
              <w:top w:val="single" w:color="auto" w:sz="4" w:space="0"/>
              <w:left w:val="single" w:color="auto" w:sz="4" w:space="0"/>
              <w:right w:val="single" w:color="auto" w:sz="4" w:space="0"/>
            </w:tcBorders>
            <w:shd w:val="clear" w:color="auto" w:fill="FFFFFF"/>
            <w:vAlign w:val="center"/>
          </w:tcPr>
          <w:p w14:paraId="7CCBD69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地拖</w:t>
            </w:r>
            <w:r>
              <w:rPr>
                <w:rFonts w:hint="eastAsia" w:ascii="方正仿宋_GBK" w:hAnsi="方正仿宋_GBK" w:eastAsia="方正仿宋_GBK" w:cs="方正仿宋_GBK"/>
                <w:color w:val="000000"/>
                <w:spacing w:val="0"/>
                <w:w w:val="100"/>
                <w:position w:val="0"/>
                <w:sz w:val="28"/>
                <w:szCs w:val="28"/>
                <w:lang w:eastAsia="zh-CN"/>
              </w:rPr>
              <w:t>、</w:t>
            </w:r>
            <w:r>
              <w:rPr>
                <w:rFonts w:hint="eastAsia" w:ascii="方正仿宋_GBK" w:hAnsi="方正仿宋_GBK" w:eastAsia="方正仿宋_GBK" w:cs="方正仿宋_GBK"/>
                <w:color w:val="000000"/>
                <w:spacing w:val="0"/>
                <w:w w:val="100"/>
                <w:position w:val="0"/>
                <w:sz w:val="28"/>
                <w:szCs w:val="28"/>
              </w:rPr>
              <w:t>抹布、尘推、吸水机、</w:t>
            </w:r>
            <w:r>
              <w:rPr>
                <w:rFonts w:hint="eastAsia" w:ascii="方正仿宋_GBK" w:hAnsi="方正仿宋_GBK" w:eastAsia="方正仿宋_GBK" w:cs="方正仿宋_GBK"/>
                <w:color w:val="000000"/>
                <w:spacing w:val="0"/>
                <w:w w:val="100"/>
                <w:position w:val="0"/>
                <w:sz w:val="28"/>
                <w:szCs w:val="28"/>
                <w:lang w:eastAsia="zh-CN"/>
              </w:rPr>
              <w:t>扫</w:t>
            </w:r>
            <w:r>
              <w:rPr>
                <w:rFonts w:hint="eastAsia" w:ascii="方正仿宋_GBK" w:hAnsi="方正仿宋_GBK" w:eastAsia="方正仿宋_GBK" w:cs="方正仿宋_GBK"/>
                <w:color w:val="000000"/>
                <w:spacing w:val="0"/>
                <w:w w:val="100"/>
                <w:position w:val="0"/>
                <w:sz w:val="28"/>
                <w:szCs w:val="28"/>
              </w:rPr>
              <w:t>帚、簸</w:t>
            </w:r>
            <w:r>
              <w:rPr>
                <w:rFonts w:hint="eastAsia" w:ascii="方正仿宋_GBK" w:hAnsi="方正仿宋_GBK" w:eastAsia="方正仿宋_GBK" w:cs="方正仿宋_GBK"/>
                <w:color w:val="000000"/>
                <w:spacing w:val="0"/>
                <w:w w:val="100"/>
                <w:position w:val="0"/>
                <w:sz w:val="28"/>
                <w:szCs w:val="28"/>
                <w:lang w:eastAsia="zh-CN"/>
              </w:rPr>
              <w:t>箕</w:t>
            </w:r>
            <w:r>
              <w:rPr>
                <w:rFonts w:hint="eastAsia" w:ascii="方正仿宋_GBK" w:hAnsi="方正仿宋_GBK" w:eastAsia="方正仿宋_GBK" w:cs="方正仿宋_GBK"/>
                <w:color w:val="000000"/>
                <w:spacing w:val="0"/>
                <w:w w:val="100"/>
                <w:position w:val="0"/>
                <w:sz w:val="28"/>
                <w:szCs w:val="28"/>
              </w:rPr>
              <w:t>等</w:t>
            </w:r>
          </w:p>
        </w:tc>
      </w:tr>
      <w:tr w14:paraId="76922559">
        <w:tblPrEx>
          <w:tblCellMar>
            <w:top w:w="0" w:type="dxa"/>
            <w:left w:w="10" w:type="dxa"/>
            <w:bottom w:w="0" w:type="dxa"/>
            <w:right w:w="10" w:type="dxa"/>
          </w:tblCellMar>
        </w:tblPrEx>
        <w:trPr>
          <w:trHeight w:val="2289" w:hRule="exact"/>
        </w:trPr>
        <w:tc>
          <w:tcPr>
            <w:tcW w:w="533" w:type="dxa"/>
            <w:tcBorders>
              <w:top w:val="single" w:color="auto" w:sz="4" w:space="0"/>
              <w:left w:val="single" w:color="auto" w:sz="4" w:space="0"/>
            </w:tcBorders>
            <w:shd w:val="clear" w:color="auto" w:fill="FFFFFF"/>
            <w:vAlign w:val="center"/>
          </w:tcPr>
          <w:p w14:paraId="0040EF7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7</w:t>
            </w:r>
          </w:p>
        </w:tc>
        <w:tc>
          <w:tcPr>
            <w:tcW w:w="1581" w:type="dxa"/>
            <w:tcBorders>
              <w:top w:val="single" w:color="auto" w:sz="4" w:space="0"/>
              <w:left w:val="single" w:color="auto" w:sz="4" w:space="0"/>
            </w:tcBorders>
            <w:shd w:val="clear" w:color="auto" w:fill="FFFFFF"/>
            <w:vAlign w:val="center"/>
          </w:tcPr>
          <w:p w14:paraId="66054EE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办公室及病房开水间</w:t>
            </w:r>
          </w:p>
        </w:tc>
        <w:tc>
          <w:tcPr>
            <w:tcW w:w="2443" w:type="dxa"/>
            <w:tcBorders>
              <w:top w:val="single" w:color="auto" w:sz="4" w:space="0"/>
              <w:left w:val="single" w:color="auto" w:sz="4" w:space="0"/>
            </w:tcBorders>
            <w:shd w:val="clear" w:color="auto" w:fill="FFFFFF"/>
            <w:vAlign w:val="center"/>
          </w:tcPr>
          <w:p w14:paraId="6F526A6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全面保洁2次、随脏随洁</w:t>
            </w:r>
          </w:p>
        </w:tc>
        <w:tc>
          <w:tcPr>
            <w:tcW w:w="2506" w:type="dxa"/>
            <w:tcBorders>
              <w:top w:val="single" w:color="auto" w:sz="4" w:space="0"/>
              <w:left w:val="single" w:color="auto" w:sz="4" w:space="0"/>
            </w:tcBorders>
            <w:shd w:val="clear" w:color="auto" w:fill="FFFFFF"/>
            <w:vAlign w:val="center"/>
          </w:tcPr>
          <w:p w14:paraId="1BCAF24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干净、整洁、地面、墙壁、玻璃窗台、桌椅等光亮无灰尘、无蛛网</w:t>
            </w:r>
          </w:p>
        </w:tc>
        <w:tc>
          <w:tcPr>
            <w:tcW w:w="2448" w:type="dxa"/>
            <w:tcBorders>
              <w:top w:val="single" w:color="auto" w:sz="4" w:space="0"/>
              <w:left w:val="single" w:color="auto" w:sz="4" w:space="0"/>
              <w:right w:val="single" w:color="auto" w:sz="4" w:space="0"/>
            </w:tcBorders>
            <w:shd w:val="clear" w:color="auto" w:fill="FFFFFF"/>
            <w:vAlign w:val="center"/>
          </w:tcPr>
          <w:p w14:paraId="1AAEC1D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专用</w:t>
            </w:r>
            <w:r>
              <w:rPr>
                <w:rFonts w:hint="eastAsia" w:ascii="方正仿宋_GBK" w:hAnsi="方正仿宋_GBK" w:eastAsia="方正仿宋_GBK" w:cs="方正仿宋_GBK"/>
                <w:color w:val="000000"/>
                <w:spacing w:val="0"/>
                <w:w w:val="100"/>
                <w:position w:val="0"/>
                <w:sz w:val="28"/>
                <w:szCs w:val="28"/>
                <w:lang w:eastAsia="zh-CN"/>
              </w:rPr>
              <w:t>笤</w:t>
            </w:r>
            <w:r>
              <w:rPr>
                <w:rFonts w:hint="eastAsia" w:ascii="方正仿宋_GBK" w:hAnsi="方正仿宋_GBK" w:eastAsia="方正仿宋_GBK" w:cs="方正仿宋_GBK"/>
                <w:color w:val="000000"/>
                <w:spacing w:val="0"/>
                <w:w w:val="100"/>
                <w:position w:val="0"/>
                <w:sz w:val="28"/>
                <w:szCs w:val="28"/>
              </w:rPr>
              <w:t>帚</w:t>
            </w:r>
            <w:r>
              <w:rPr>
                <w:rFonts w:hint="eastAsia" w:ascii="方正仿宋_GBK" w:hAnsi="方正仿宋_GBK" w:eastAsia="方正仿宋_GBK" w:cs="方正仿宋_GBK"/>
                <w:color w:val="000000"/>
                <w:spacing w:val="0"/>
                <w:w w:val="100"/>
                <w:position w:val="0"/>
                <w:sz w:val="28"/>
                <w:szCs w:val="28"/>
                <w:lang w:eastAsia="zh-CN"/>
              </w:rPr>
              <w:t>、</w:t>
            </w:r>
            <w:r>
              <w:rPr>
                <w:rFonts w:hint="eastAsia" w:ascii="方正仿宋_GBK" w:hAnsi="方正仿宋_GBK" w:eastAsia="方正仿宋_GBK" w:cs="方正仿宋_GBK"/>
                <w:color w:val="000000"/>
                <w:spacing w:val="0"/>
                <w:w w:val="100"/>
                <w:position w:val="0"/>
                <w:sz w:val="28"/>
                <w:szCs w:val="28"/>
              </w:rPr>
              <w:t>簸箕</w:t>
            </w:r>
            <w:r>
              <w:rPr>
                <w:rFonts w:hint="eastAsia" w:ascii="方正仿宋_GBK" w:hAnsi="方正仿宋_GBK" w:eastAsia="方正仿宋_GBK" w:cs="方正仿宋_GBK"/>
                <w:color w:val="000000"/>
                <w:spacing w:val="0"/>
                <w:w w:val="100"/>
                <w:position w:val="0"/>
                <w:sz w:val="28"/>
                <w:szCs w:val="28"/>
                <w:lang w:eastAsia="zh-CN"/>
              </w:rPr>
              <w:t>、</w:t>
            </w:r>
            <w:r>
              <w:rPr>
                <w:rFonts w:hint="eastAsia" w:ascii="方正仿宋_GBK" w:hAnsi="方正仿宋_GBK" w:eastAsia="方正仿宋_GBK" w:cs="方正仿宋_GBK"/>
                <w:color w:val="000000"/>
                <w:spacing w:val="0"/>
                <w:w w:val="100"/>
                <w:position w:val="0"/>
                <w:sz w:val="28"/>
                <w:szCs w:val="28"/>
              </w:rPr>
              <w:t>抹布、地拖、洗洁剂、消毒剂、尘推等</w:t>
            </w:r>
          </w:p>
        </w:tc>
      </w:tr>
      <w:tr w14:paraId="2A57E4FA">
        <w:tblPrEx>
          <w:tblCellMar>
            <w:top w:w="0" w:type="dxa"/>
            <w:left w:w="10" w:type="dxa"/>
            <w:bottom w:w="0" w:type="dxa"/>
            <w:right w:w="10" w:type="dxa"/>
          </w:tblCellMar>
        </w:tblPrEx>
        <w:trPr>
          <w:trHeight w:val="2514" w:hRule="exact"/>
        </w:trPr>
        <w:tc>
          <w:tcPr>
            <w:tcW w:w="533" w:type="dxa"/>
            <w:tcBorders>
              <w:top w:val="single" w:color="auto" w:sz="4" w:space="0"/>
              <w:left w:val="single" w:color="auto" w:sz="4" w:space="0"/>
              <w:bottom w:val="single" w:color="auto" w:sz="4" w:space="0"/>
            </w:tcBorders>
            <w:shd w:val="clear" w:color="auto" w:fill="FFFFFF"/>
            <w:vAlign w:val="center"/>
          </w:tcPr>
          <w:p w14:paraId="2C51F0D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8</w:t>
            </w:r>
          </w:p>
        </w:tc>
        <w:tc>
          <w:tcPr>
            <w:tcW w:w="1581" w:type="dxa"/>
            <w:tcBorders>
              <w:top w:val="single" w:color="auto" w:sz="4" w:space="0"/>
              <w:left w:val="single" w:color="auto" w:sz="4" w:space="0"/>
              <w:bottom w:val="single" w:color="auto" w:sz="4" w:space="0"/>
            </w:tcBorders>
            <w:shd w:val="clear" w:color="auto" w:fill="FFFFFF"/>
            <w:vAlign w:val="center"/>
          </w:tcPr>
          <w:p w14:paraId="5BE0951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公共过道</w:t>
            </w:r>
          </w:p>
        </w:tc>
        <w:tc>
          <w:tcPr>
            <w:tcW w:w="2443" w:type="dxa"/>
            <w:tcBorders>
              <w:top w:val="single" w:color="auto" w:sz="4" w:space="0"/>
              <w:left w:val="single" w:color="auto" w:sz="4" w:space="0"/>
              <w:bottom w:val="single" w:color="auto" w:sz="4" w:space="0"/>
            </w:tcBorders>
            <w:shd w:val="clear" w:color="auto" w:fill="FFFFFF"/>
            <w:vAlign w:val="center"/>
          </w:tcPr>
          <w:p w14:paraId="7381BC6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湿拖4次，高峰每小时巡场一次，随脏随洁</w:t>
            </w:r>
          </w:p>
        </w:tc>
        <w:tc>
          <w:tcPr>
            <w:tcW w:w="2506" w:type="dxa"/>
            <w:tcBorders>
              <w:top w:val="single" w:color="auto" w:sz="4" w:space="0"/>
              <w:left w:val="single" w:color="auto" w:sz="4" w:space="0"/>
              <w:bottom w:val="single" w:color="auto" w:sz="4" w:space="0"/>
            </w:tcBorders>
            <w:shd w:val="clear" w:color="auto" w:fill="FFFFFF"/>
            <w:vAlign w:val="center"/>
          </w:tcPr>
          <w:p w14:paraId="3A6E154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地面清洁，无污垢，水迹，烟头等杂物</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33BED060">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专用</w:t>
            </w:r>
            <w:r>
              <w:rPr>
                <w:rFonts w:hint="eastAsia" w:ascii="方正仿宋_GBK" w:hAnsi="方正仿宋_GBK" w:eastAsia="方正仿宋_GBK" w:cs="方正仿宋_GBK"/>
                <w:color w:val="000000"/>
                <w:spacing w:val="0"/>
                <w:w w:val="100"/>
                <w:position w:val="0"/>
                <w:sz w:val="28"/>
                <w:szCs w:val="28"/>
                <w:lang w:eastAsia="zh-CN"/>
              </w:rPr>
              <w:t>扫</w:t>
            </w:r>
            <w:r>
              <w:rPr>
                <w:rFonts w:hint="eastAsia" w:ascii="方正仿宋_GBK" w:hAnsi="方正仿宋_GBK" w:eastAsia="方正仿宋_GBK" w:cs="方正仿宋_GBK"/>
                <w:color w:val="000000"/>
                <w:spacing w:val="0"/>
                <w:w w:val="100"/>
                <w:position w:val="0"/>
                <w:sz w:val="28"/>
                <w:szCs w:val="28"/>
              </w:rPr>
              <w:t>帚、簸箕，抹布、地拖、洗洁剂、消毒剂、尘推、吸水机等</w:t>
            </w:r>
          </w:p>
        </w:tc>
      </w:tr>
      <w:tr w14:paraId="77110C6D">
        <w:tblPrEx>
          <w:tblCellMar>
            <w:top w:w="0" w:type="dxa"/>
            <w:left w:w="10" w:type="dxa"/>
            <w:bottom w:w="0" w:type="dxa"/>
            <w:right w:w="10" w:type="dxa"/>
          </w:tblCellMar>
        </w:tblPrEx>
        <w:trPr>
          <w:trHeight w:val="1338"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1D2F48F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9</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27B3DA7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天棚</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7FF9C15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每日清洁一次</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16A918A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无灰尘、挂灰，无蜘蛛网</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6F63480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抹布、消毒剂、伸缩铝梯</w:t>
            </w:r>
          </w:p>
        </w:tc>
      </w:tr>
      <w:tr w14:paraId="6AEBAAD8">
        <w:tblPrEx>
          <w:tblCellMar>
            <w:top w:w="0" w:type="dxa"/>
            <w:left w:w="10" w:type="dxa"/>
            <w:bottom w:w="0" w:type="dxa"/>
            <w:right w:w="10" w:type="dxa"/>
          </w:tblCellMar>
        </w:tblPrEx>
        <w:trPr>
          <w:trHeight w:val="1245"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327F09C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1</w:t>
            </w:r>
            <w:r>
              <w:rPr>
                <w:rFonts w:hint="eastAsia" w:ascii="方正仿宋_GBK" w:hAnsi="方正仿宋_GBK" w:eastAsia="方正仿宋_GBK" w:cs="方正仿宋_GBK"/>
                <w:color w:val="000000"/>
                <w:spacing w:val="0"/>
                <w:w w:val="100"/>
                <w:position w:val="0"/>
                <w:sz w:val="28"/>
                <w:szCs w:val="28"/>
                <w:lang w:val="en-US" w:eastAsia="zh-CN"/>
              </w:rPr>
              <w:t>0</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4F589EE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灯具</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52076C3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每周清洗一次</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2BD7253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无灰尘，清洁光亮</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55F777B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lang w:eastAsia="zh-CN"/>
              </w:rPr>
              <w:t>掸</w:t>
            </w:r>
            <w:r>
              <w:rPr>
                <w:rFonts w:hint="eastAsia" w:ascii="方正仿宋_GBK" w:hAnsi="方正仿宋_GBK" w:eastAsia="方正仿宋_GBK" w:cs="方正仿宋_GBK"/>
                <w:color w:val="000000"/>
                <w:spacing w:val="0"/>
                <w:w w:val="100"/>
                <w:position w:val="0"/>
                <w:sz w:val="28"/>
                <w:szCs w:val="28"/>
              </w:rPr>
              <w:t>子、抹布、伸缩铝梯</w:t>
            </w:r>
          </w:p>
        </w:tc>
      </w:tr>
      <w:tr w14:paraId="438F624A">
        <w:tblPrEx>
          <w:tblCellMar>
            <w:top w:w="0" w:type="dxa"/>
            <w:left w:w="10" w:type="dxa"/>
            <w:bottom w:w="0" w:type="dxa"/>
            <w:right w:w="10" w:type="dxa"/>
          </w:tblCellMar>
        </w:tblPrEx>
        <w:trPr>
          <w:trHeight w:val="1385"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7411730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1</w:t>
            </w:r>
            <w:r>
              <w:rPr>
                <w:rFonts w:hint="eastAsia" w:ascii="方正仿宋_GBK" w:hAnsi="方正仿宋_GBK" w:eastAsia="方正仿宋_GBK" w:cs="方正仿宋_GBK"/>
                <w:color w:val="000000"/>
                <w:spacing w:val="0"/>
                <w:w w:val="100"/>
                <w:position w:val="0"/>
                <w:sz w:val="28"/>
                <w:szCs w:val="28"/>
                <w:lang w:val="en-US" w:eastAsia="zh-CN"/>
              </w:rPr>
              <w:t>1</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3D7AC1D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楼梯</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38F1BE2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扶手擦抹，湿拖2次，随脏随洁</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3188B81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梯间无泥沙，无蜘蛛网、挂灰，清洁光亮</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121318C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拖把、</w:t>
            </w:r>
            <w:r>
              <w:rPr>
                <w:rFonts w:hint="eastAsia" w:ascii="方正仿宋_GBK" w:hAnsi="方正仿宋_GBK" w:eastAsia="方正仿宋_GBK" w:cs="方正仿宋_GBK"/>
                <w:color w:val="000000"/>
                <w:spacing w:val="0"/>
                <w:w w:val="100"/>
                <w:position w:val="0"/>
                <w:sz w:val="28"/>
                <w:szCs w:val="28"/>
                <w:lang w:eastAsia="zh-CN"/>
              </w:rPr>
              <w:t>笤</w:t>
            </w:r>
            <w:r>
              <w:rPr>
                <w:rFonts w:hint="eastAsia" w:ascii="方正仿宋_GBK" w:hAnsi="方正仿宋_GBK" w:eastAsia="方正仿宋_GBK" w:cs="方正仿宋_GBK"/>
                <w:color w:val="000000"/>
                <w:spacing w:val="0"/>
                <w:w w:val="100"/>
                <w:position w:val="0"/>
                <w:sz w:val="28"/>
                <w:szCs w:val="28"/>
              </w:rPr>
              <w:t>帚、簸箕、抹布等</w:t>
            </w:r>
          </w:p>
        </w:tc>
      </w:tr>
      <w:tr w14:paraId="747835AF">
        <w:tblPrEx>
          <w:tblCellMar>
            <w:top w:w="0" w:type="dxa"/>
            <w:left w:w="10" w:type="dxa"/>
            <w:bottom w:w="0" w:type="dxa"/>
            <w:right w:w="10" w:type="dxa"/>
          </w:tblCellMar>
        </w:tblPrEx>
        <w:trPr>
          <w:trHeight w:val="1205"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7EBC9C4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1</w:t>
            </w:r>
            <w:r>
              <w:rPr>
                <w:rFonts w:hint="eastAsia" w:ascii="方正仿宋_GBK" w:hAnsi="方正仿宋_GBK" w:eastAsia="方正仿宋_GBK" w:cs="方正仿宋_GBK"/>
                <w:color w:val="000000"/>
                <w:spacing w:val="0"/>
                <w:w w:val="100"/>
                <w:position w:val="0"/>
                <w:sz w:val="28"/>
                <w:szCs w:val="28"/>
                <w:lang w:val="en-US" w:eastAsia="zh-CN"/>
              </w:rPr>
              <w:t>2</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5A09B0B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水池</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4C85D13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每天1次、日常保洁</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1A18AC3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干净、无污迹、无油腻</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55F9ECA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抹布、去污粉</w:t>
            </w:r>
          </w:p>
        </w:tc>
      </w:tr>
      <w:tr w14:paraId="2B727616">
        <w:tblPrEx>
          <w:tblCellMar>
            <w:top w:w="0" w:type="dxa"/>
            <w:left w:w="10" w:type="dxa"/>
            <w:bottom w:w="0" w:type="dxa"/>
            <w:right w:w="10" w:type="dxa"/>
          </w:tblCellMar>
        </w:tblPrEx>
        <w:trPr>
          <w:trHeight w:val="1378"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0A1D78B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1</w:t>
            </w:r>
            <w:r>
              <w:rPr>
                <w:rFonts w:hint="eastAsia" w:ascii="方正仿宋_GBK" w:hAnsi="方正仿宋_GBK" w:eastAsia="方正仿宋_GBK" w:cs="方正仿宋_GBK"/>
                <w:color w:val="000000"/>
                <w:spacing w:val="0"/>
                <w:w w:val="100"/>
                <w:position w:val="0"/>
                <w:sz w:val="28"/>
                <w:szCs w:val="28"/>
                <w:lang w:val="en-US" w:eastAsia="zh-CN"/>
              </w:rPr>
              <w:t>3</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4E51FF6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院内</w:t>
            </w:r>
          </w:p>
          <w:p w14:paraId="7A254B0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公共场所</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69ECFED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随脏随洁</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1641D24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rPr>
              <w:t>地面清洁，无杂物、无</w:t>
            </w:r>
            <w:r>
              <w:rPr>
                <w:rFonts w:hint="eastAsia" w:ascii="方正仿宋_GBK" w:hAnsi="方正仿宋_GBK" w:eastAsia="方正仿宋_GBK" w:cs="方正仿宋_GBK"/>
                <w:color w:val="000000"/>
                <w:spacing w:val="0"/>
                <w:w w:val="100"/>
                <w:position w:val="0"/>
                <w:sz w:val="28"/>
                <w:szCs w:val="28"/>
                <w:lang w:eastAsia="zh-CN"/>
              </w:rPr>
              <w:t>烟头</w:t>
            </w:r>
          </w:p>
          <w:p w14:paraId="3077B9E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烟头</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3679B25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地拖、尘推、静电除尘器</w:t>
            </w:r>
          </w:p>
        </w:tc>
      </w:tr>
      <w:tr w14:paraId="25CA7905">
        <w:tblPrEx>
          <w:tblCellMar>
            <w:top w:w="0" w:type="dxa"/>
            <w:left w:w="10" w:type="dxa"/>
            <w:bottom w:w="0" w:type="dxa"/>
            <w:right w:w="10" w:type="dxa"/>
          </w:tblCellMar>
        </w:tblPrEx>
        <w:trPr>
          <w:trHeight w:val="1320"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653D23E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1</w:t>
            </w:r>
            <w:r>
              <w:rPr>
                <w:rFonts w:hint="eastAsia" w:ascii="方正仿宋_GBK" w:hAnsi="方正仿宋_GBK" w:eastAsia="方正仿宋_GBK" w:cs="方正仿宋_GBK"/>
                <w:color w:val="000000"/>
                <w:spacing w:val="0"/>
                <w:w w:val="100"/>
                <w:position w:val="0"/>
                <w:sz w:val="28"/>
                <w:szCs w:val="28"/>
                <w:lang w:val="en-US" w:eastAsia="zh-CN"/>
              </w:rPr>
              <w:t>4</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186D58F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门手</w:t>
            </w:r>
            <w:r>
              <w:rPr>
                <w:rFonts w:hint="eastAsia" w:ascii="方正仿宋_GBK" w:hAnsi="方正仿宋_GBK" w:eastAsia="方正仿宋_GBK" w:cs="方正仿宋_GBK"/>
                <w:color w:val="000000"/>
                <w:spacing w:val="0"/>
                <w:w w:val="100"/>
                <w:position w:val="0"/>
                <w:sz w:val="28"/>
                <w:szCs w:val="28"/>
                <w:lang w:eastAsia="zh-CN"/>
              </w:rPr>
              <w:t>、</w:t>
            </w:r>
            <w:r>
              <w:rPr>
                <w:rFonts w:hint="eastAsia" w:ascii="方正仿宋_GBK" w:hAnsi="方正仿宋_GBK" w:eastAsia="方正仿宋_GBK" w:cs="方正仿宋_GBK"/>
                <w:color w:val="000000"/>
                <w:spacing w:val="0"/>
                <w:w w:val="100"/>
                <w:position w:val="0"/>
                <w:sz w:val="28"/>
                <w:szCs w:val="28"/>
              </w:rPr>
              <w:t>水龙头、开关</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6D1104A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每天</w:t>
            </w:r>
            <w:r>
              <w:rPr>
                <w:rFonts w:hint="eastAsia" w:ascii="方正仿宋_GBK" w:hAnsi="方正仿宋_GBK" w:eastAsia="方正仿宋_GBK" w:cs="方正仿宋_GBK"/>
                <w:color w:val="000000"/>
                <w:spacing w:val="0"/>
                <w:w w:val="100"/>
                <w:position w:val="0"/>
                <w:sz w:val="28"/>
                <w:szCs w:val="28"/>
                <w:lang w:val="en-US" w:eastAsia="zh-CN"/>
              </w:rPr>
              <w:t>1-2</w:t>
            </w:r>
            <w:r>
              <w:rPr>
                <w:rFonts w:hint="eastAsia" w:ascii="方正仿宋_GBK" w:hAnsi="方正仿宋_GBK" w:eastAsia="方正仿宋_GBK" w:cs="方正仿宋_GBK"/>
                <w:color w:val="000000"/>
                <w:spacing w:val="0"/>
                <w:w w:val="100"/>
                <w:position w:val="0"/>
                <w:sz w:val="28"/>
                <w:szCs w:val="28"/>
              </w:rPr>
              <w:t>次</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5CB45D9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洁净、无积尘</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21D24CB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专用抹布、含氯消毒剂</w:t>
            </w:r>
          </w:p>
        </w:tc>
      </w:tr>
      <w:tr w14:paraId="6789236F">
        <w:tblPrEx>
          <w:tblCellMar>
            <w:top w:w="0" w:type="dxa"/>
            <w:left w:w="10" w:type="dxa"/>
            <w:bottom w:w="0" w:type="dxa"/>
            <w:right w:w="10" w:type="dxa"/>
          </w:tblCellMar>
        </w:tblPrEx>
        <w:trPr>
          <w:trHeight w:val="1945"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78A657D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1</w:t>
            </w:r>
            <w:r>
              <w:rPr>
                <w:rFonts w:hint="eastAsia" w:ascii="方正仿宋_GBK" w:hAnsi="方正仿宋_GBK" w:eastAsia="方正仿宋_GBK" w:cs="方正仿宋_GBK"/>
                <w:color w:val="000000"/>
                <w:spacing w:val="0"/>
                <w:w w:val="100"/>
                <w:position w:val="0"/>
                <w:sz w:val="28"/>
                <w:szCs w:val="28"/>
                <w:lang w:val="en-US" w:eastAsia="zh-CN"/>
              </w:rPr>
              <w:t>5</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10D9999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lang w:eastAsia="zh-CN"/>
              </w:rPr>
              <w:t>床单元（床</w:t>
            </w:r>
          </w:p>
          <w:p w14:paraId="4656546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lang w:eastAsia="zh-CN"/>
              </w:rPr>
              <w:t>、床头柜、储物柜）</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2DAB021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每天</w:t>
            </w:r>
            <w:r>
              <w:rPr>
                <w:rFonts w:hint="eastAsia" w:ascii="方正仿宋_GBK" w:hAnsi="方正仿宋_GBK" w:eastAsia="方正仿宋_GBK" w:cs="方正仿宋_GBK"/>
                <w:color w:val="000000"/>
                <w:spacing w:val="0"/>
                <w:w w:val="100"/>
                <w:position w:val="0"/>
                <w:sz w:val="28"/>
                <w:szCs w:val="28"/>
                <w:lang w:val="en-US" w:eastAsia="zh-CN"/>
              </w:rPr>
              <w:t>1-</w:t>
            </w:r>
            <w:r>
              <w:rPr>
                <w:rFonts w:hint="eastAsia" w:ascii="方正仿宋_GBK" w:hAnsi="方正仿宋_GBK" w:eastAsia="方正仿宋_GBK" w:cs="方正仿宋_GBK"/>
                <w:color w:val="000000"/>
                <w:spacing w:val="0"/>
                <w:w w:val="100"/>
                <w:position w:val="0"/>
                <w:sz w:val="28"/>
                <w:szCs w:val="28"/>
              </w:rPr>
              <w:t>2次</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272806E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洁净、无尘、无菌</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04A7DA7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抹布、洗洁剂、消毒剂</w:t>
            </w:r>
          </w:p>
        </w:tc>
      </w:tr>
      <w:tr w14:paraId="58B4532B">
        <w:tblPrEx>
          <w:tblCellMar>
            <w:top w:w="0" w:type="dxa"/>
            <w:left w:w="10" w:type="dxa"/>
            <w:bottom w:w="0" w:type="dxa"/>
            <w:right w:w="10" w:type="dxa"/>
          </w:tblCellMar>
        </w:tblPrEx>
        <w:trPr>
          <w:trHeight w:val="720"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4B0A460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1</w:t>
            </w:r>
            <w:r>
              <w:rPr>
                <w:rFonts w:hint="eastAsia" w:ascii="方正仿宋_GBK" w:hAnsi="方正仿宋_GBK" w:eastAsia="方正仿宋_GBK" w:cs="方正仿宋_GBK"/>
                <w:color w:val="000000"/>
                <w:spacing w:val="0"/>
                <w:w w:val="100"/>
                <w:position w:val="0"/>
                <w:sz w:val="28"/>
                <w:szCs w:val="28"/>
                <w:lang w:val="en-US" w:eastAsia="zh-CN"/>
              </w:rPr>
              <w:t>6</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1A034F5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氧气管道</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74C97EC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每天1次</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0D71CC5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洁净、无尘</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0D2EA9B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抹布、消毒剂</w:t>
            </w:r>
          </w:p>
        </w:tc>
      </w:tr>
      <w:tr w14:paraId="4677E224">
        <w:tblPrEx>
          <w:tblCellMar>
            <w:top w:w="0" w:type="dxa"/>
            <w:left w:w="10" w:type="dxa"/>
            <w:bottom w:w="0" w:type="dxa"/>
            <w:right w:w="10" w:type="dxa"/>
          </w:tblCellMar>
        </w:tblPrEx>
        <w:trPr>
          <w:trHeight w:val="1323"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5CCEA51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1</w:t>
            </w:r>
            <w:r>
              <w:rPr>
                <w:rFonts w:hint="eastAsia" w:ascii="方正仿宋_GBK" w:hAnsi="方正仿宋_GBK" w:eastAsia="方正仿宋_GBK" w:cs="方正仿宋_GBK"/>
                <w:color w:val="000000"/>
                <w:spacing w:val="0"/>
                <w:w w:val="100"/>
                <w:position w:val="0"/>
                <w:sz w:val="28"/>
                <w:szCs w:val="28"/>
                <w:lang w:val="en-US" w:eastAsia="zh-CN"/>
              </w:rPr>
              <w:t>7</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0C50DCB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电梯</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593165F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每天1次、定期保养、</w:t>
            </w:r>
          </w:p>
          <w:p w14:paraId="4B8A2B9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消毒</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29C874D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光亮、无灰尘</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7D7C904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抹布、不锈钢光亮剂</w:t>
            </w:r>
          </w:p>
        </w:tc>
      </w:tr>
      <w:tr w14:paraId="70797257">
        <w:tblPrEx>
          <w:tblCellMar>
            <w:top w:w="0" w:type="dxa"/>
            <w:left w:w="10" w:type="dxa"/>
            <w:bottom w:w="0" w:type="dxa"/>
            <w:right w:w="10" w:type="dxa"/>
          </w:tblCellMar>
        </w:tblPrEx>
        <w:trPr>
          <w:trHeight w:val="1230"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6F1EB9A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18</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67F97A2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空调机口</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5F3BE7A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w:t>
            </w:r>
            <w:r>
              <w:rPr>
                <w:rFonts w:hint="eastAsia" w:ascii="方正仿宋_GBK" w:hAnsi="方正仿宋_GBK" w:eastAsia="方正仿宋_GBK" w:cs="方正仿宋_GBK"/>
                <w:color w:val="000000"/>
                <w:spacing w:val="0"/>
                <w:w w:val="100"/>
                <w:position w:val="0"/>
                <w:sz w:val="28"/>
                <w:szCs w:val="28"/>
                <w:lang w:eastAsia="zh-CN"/>
              </w:rPr>
              <w:t>月</w:t>
            </w:r>
            <w:r>
              <w:rPr>
                <w:rFonts w:hint="eastAsia" w:ascii="方正仿宋_GBK" w:hAnsi="方正仿宋_GBK" w:eastAsia="方正仿宋_GBK" w:cs="方正仿宋_GBK"/>
                <w:color w:val="000000"/>
                <w:spacing w:val="0"/>
                <w:w w:val="100"/>
                <w:position w:val="0"/>
                <w:sz w:val="28"/>
                <w:szCs w:val="28"/>
                <w:lang w:val="en-US" w:eastAsia="zh-CN"/>
              </w:rPr>
              <w:t>1</w:t>
            </w:r>
            <w:r>
              <w:rPr>
                <w:rFonts w:hint="eastAsia" w:ascii="方正仿宋_GBK" w:hAnsi="方正仿宋_GBK" w:eastAsia="方正仿宋_GBK" w:cs="方正仿宋_GBK"/>
                <w:color w:val="000000"/>
                <w:spacing w:val="0"/>
                <w:w w:val="100"/>
                <w:position w:val="0"/>
                <w:sz w:val="28"/>
                <w:szCs w:val="28"/>
              </w:rPr>
              <w:t>次、定期保洁</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52CAB63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洁净、无尘</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130EDC8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抹布、洗洁剂、伸缩铝梯</w:t>
            </w:r>
          </w:p>
        </w:tc>
      </w:tr>
      <w:tr w14:paraId="4486A19C">
        <w:tblPrEx>
          <w:tblCellMar>
            <w:top w:w="0" w:type="dxa"/>
            <w:left w:w="10" w:type="dxa"/>
            <w:bottom w:w="0" w:type="dxa"/>
            <w:right w:w="10" w:type="dxa"/>
          </w:tblCellMar>
        </w:tblPrEx>
        <w:trPr>
          <w:trHeight w:val="555"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5813E8A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19</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7162366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候诊椅</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01AED98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每日1次、日常保洁</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0D183DB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干净、无灰尘、无污迹</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38393D20">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抹布、洗洁剂</w:t>
            </w:r>
          </w:p>
        </w:tc>
      </w:tr>
      <w:tr w14:paraId="2655F2EC">
        <w:tblPrEx>
          <w:tblCellMar>
            <w:top w:w="0" w:type="dxa"/>
            <w:left w:w="10" w:type="dxa"/>
            <w:bottom w:w="0" w:type="dxa"/>
            <w:right w:w="10" w:type="dxa"/>
          </w:tblCellMar>
        </w:tblPrEx>
        <w:trPr>
          <w:trHeight w:val="700"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3BB42D90">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20</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55F74A20">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电视、家具</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5276E48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每天1次、日常保洁</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3AFBB93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洁净、无灰尘</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40C5CE0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抹布、洗洁剂</w:t>
            </w:r>
          </w:p>
        </w:tc>
      </w:tr>
      <w:tr w14:paraId="2714CBE5">
        <w:tblPrEx>
          <w:tblCellMar>
            <w:top w:w="0" w:type="dxa"/>
            <w:left w:w="10" w:type="dxa"/>
            <w:bottom w:w="0" w:type="dxa"/>
            <w:right w:w="10" w:type="dxa"/>
          </w:tblCellMar>
        </w:tblPrEx>
        <w:trPr>
          <w:trHeight w:val="584"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3075C7E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2</w:t>
            </w:r>
            <w:r>
              <w:rPr>
                <w:rFonts w:hint="eastAsia" w:ascii="方正仿宋_GBK" w:hAnsi="方正仿宋_GBK" w:eastAsia="方正仿宋_GBK" w:cs="方正仿宋_GBK"/>
                <w:color w:val="000000"/>
                <w:spacing w:val="0"/>
                <w:w w:val="100"/>
                <w:position w:val="0"/>
                <w:sz w:val="28"/>
                <w:szCs w:val="28"/>
                <w:lang w:val="en-US" w:eastAsia="zh-CN"/>
              </w:rPr>
              <w:t>1</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12BA0F9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垃圾桶</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4AB93C9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每天1次、日常保洁</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6291316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干净、无污迹、无痰迹</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273335A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方刷、抹布、洗洁剂</w:t>
            </w:r>
          </w:p>
        </w:tc>
      </w:tr>
      <w:tr w14:paraId="01283D6A">
        <w:tblPrEx>
          <w:tblCellMar>
            <w:top w:w="0" w:type="dxa"/>
            <w:left w:w="10" w:type="dxa"/>
            <w:bottom w:w="0" w:type="dxa"/>
            <w:right w:w="10" w:type="dxa"/>
          </w:tblCellMar>
        </w:tblPrEx>
        <w:trPr>
          <w:trHeight w:val="2540"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00C6FDB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2</w:t>
            </w:r>
            <w:r>
              <w:rPr>
                <w:rFonts w:hint="eastAsia" w:ascii="方正仿宋_GBK" w:hAnsi="方正仿宋_GBK" w:eastAsia="方正仿宋_GBK" w:cs="方正仿宋_GBK"/>
                <w:color w:val="000000"/>
                <w:spacing w:val="0"/>
                <w:w w:val="100"/>
                <w:position w:val="0"/>
                <w:sz w:val="28"/>
                <w:szCs w:val="28"/>
                <w:lang w:val="en-US" w:eastAsia="zh-CN"/>
              </w:rPr>
              <w:t>2</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40E9A4E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jc w:val="left"/>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lang w:eastAsia="zh-CN"/>
              </w:rPr>
              <w:t>手术室手术间、复苏室、无菌包间、洁净屏</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2E3104B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lang w:eastAsia="zh-CN"/>
              </w:rPr>
              <w:t>每日清洗</w:t>
            </w:r>
            <w:r>
              <w:rPr>
                <w:rFonts w:hint="eastAsia" w:ascii="方正仿宋_GBK" w:hAnsi="方正仿宋_GBK" w:eastAsia="方正仿宋_GBK" w:cs="方正仿宋_GBK"/>
                <w:color w:val="000000"/>
                <w:spacing w:val="0"/>
                <w:w w:val="100"/>
                <w:position w:val="0"/>
                <w:sz w:val="28"/>
                <w:szCs w:val="28"/>
                <w:lang w:val="en-US" w:eastAsia="zh-CN"/>
              </w:rPr>
              <w:t>2</w:t>
            </w:r>
            <w:r>
              <w:rPr>
                <w:rFonts w:hint="eastAsia" w:ascii="方正仿宋_GBK" w:hAnsi="方正仿宋_GBK" w:eastAsia="方正仿宋_GBK" w:cs="方正仿宋_GBK"/>
                <w:color w:val="000000"/>
                <w:spacing w:val="0"/>
                <w:w w:val="100"/>
                <w:position w:val="0"/>
                <w:sz w:val="28"/>
                <w:szCs w:val="28"/>
                <w:lang w:eastAsia="zh-CN"/>
              </w:rPr>
              <w:t>次，</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0FAC7F3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干净、无污迹</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385E22F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jc w:val="center"/>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专抹布、含氯消毒剂</w:t>
            </w:r>
          </w:p>
        </w:tc>
      </w:tr>
      <w:tr w14:paraId="22C093B6">
        <w:tblPrEx>
          <w:tblCellMar>
            <w:top w:w="0" w:type="dxa"/>
            <w:left w:w="10" w:type="dxa"/>
            <w:bottom w:w="0" w:type="dxa"/>
            <w:right w:w="10" w:type="dxa"/>
          </w:tblCellMar>
        </w:tblPrEx>
        <w:trPr>
          <w:trHeight w:val="1390"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67D700F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23</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02DA765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lang w:eastAsia="zh-CN"/>
              </w:rPr>
              <w:t>全院窗帘、隔帘</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5535643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lang w:eastAsia="zh-CN"/>
              </w:rPr>
              <w:t>每半年清洗一次</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1231D56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干净、无污迹</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38891B3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rPr>
              <w:t>洗洁剂、消毒剂</w:t>
            </w:r>
          </w:p>
        </w:tc>
      </w:tr>
      <w:tr w14:paraId="7E9E1EB5">
        <w:tblPrEx>
          <w:tblCellMar>
            <w:top w:w="0" w:type="dxa"/>
            <w:left w:w="10" w:type="dxa"/>
            <w:bottom w:w="0" w:type="dxa"/>
            <w:right w:w="10" w:type="dxa"/>
          </w:tblCellMar>
        </w:tblPrEx>
        <w:trPr>
          <w:trHeight w:val="1440"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36827E3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24</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339CCEA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rPr>
              <w:t>垃圾收集</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25278AE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rPr>
              <w:t>垃圾日产日清</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4993138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垃圾篓无堆积，无积水，无污迹、日产日清</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3F77DED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抹布、洗洁剂、垃圾袋</w:t>
            </w:r>
          </w:p>
        </w:tc>
      </w:tr>
      <w:tr w14:paraId="60189780">
        <w:tblPrEx>
          <w:tblCellMar>
            <w:top w:w="0" w:type="dxa"/>
            <w:left w:w="10" w:type="dxa"/>
            <w:bottom w:w="0" w:type="dxa"/>
            <w:right w:w="10" w:type="dxa"/>
          </w:tblCellMar>
        </w:tblPrEx>
        <w:trPr>
          <w:trHeight w:val="1286"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4B1DC5C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25</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063E08E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lang w:eastAsia="zh-CN"/>
              </w:rPr>
              <w:t>病床、床单元服务</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219084A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left"/>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lang w:eastAsia="zh-CN"/>
              </w:rPr>
              <w:t>每日上班时间负责出院病人被褥更换</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790B00D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rPr>
              <w:t>干净、</w:t>
            </w:r>
            <w:r>
              <w:rPr>
                <w:rFonts w:hint="eastAsia" w:ascii="方正仿宋_GBK" w:hAnsi="方正仿宋_GBK" w:eastAsia="方正仿宋_GBK" w:cs="方正仿宋_GBK"/>
                <w:color w:val="000000"/>
                <w:spacing w:val="0"/>
                <w:w w:val="100"/>
                <w:position w:val="0"/>
                <w:sz w:val="28"/>
                <w:szCs w:val="28"/>
                <w:lang w:eastAsia="zh-CN"/>
              </w:rPr>
              <w:t>整洁</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37A9E940">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lang w:eastAsia="zh-CN"/>
              </w:rPr>
              <w:t>消毒</w:t>
            </w:r>
          </w:p>
        </w:tc>
      </w:tr>
      <w:tr w14:paraId="73594E76">
        <w:tblPrEx>
          <w:tblCellMar>
            <w:top w:w="0" w:type="dxa"/>
            <w:left w:w="10" w:type="dxa"/>
            <w:bottom w:w="0" w:type="dxa"/>
            <w:right w:w="10" w:type="dxa"/>
          </w:tblCellMar>
        </w:tblPrEx>
        <w:trPr>
          <w:trHeight w:val="1287"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5162481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26</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5940AF4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lang w:eastAsia="zh-CN"/>
              </w:rPr>
              <w:t>治疗室</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217B40C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eastAsia="zh-CN"/>
              </w:rPr>
              <w:t>每日打扫</w:t>
            </w:r>
            <w:r>
              <w:rPr>
                <w:rFonts w:hint="eastAsia" w:ascii="方正仿宋_GBK" w:hAnsi="方正仿宋_GBK" w:eastAsia="方正仿宋_GBK" w:cs="方正仿宋_GBK"/>
                <w:color w:val="000000"/>
                <w:spacing w:val="0"/>
                <w:w w:val="100"/>
                <w:position w:val="0"/>
                <w:sz w:val="28"/>
                <w:szCs w:val="28"/>
                <w:lang w:val="en-US" w:eastAsia="zh-CN"/>
              </w:rPr>
              <w:t>2次</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73D0858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干净、</w:t>
            </w:r>
            <w:r>
              <w:rPr>
                <w:rFonts w:hint="eastAsia" w:ascii="方正仿宋_GBK" w:hAnsi="方正仿宋_GBK" w:eastAsia="方正仿宋_GBK" w:cs="方正仿宋_GBK"/>
                <w:color w:val="000000"/>
                <w:spacing w:val="0"/>
                <w:w w:val="100"/>
                <w:position w:val="0"/>
                <w:sz w:val="28"/>
                <w:szCs w:val="28"/>
                <w:lang w:eastAsia="zh-CN"/>
              </w:rPr>
              <w:t>整洁、无碎玻璃等</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1AD36D1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lang w:eastAsia="zh-CN"/>
              </w:rPr>
              <w:t>拖</w:t>
            </w:r>
            <w:r>
              <w:rPr>
                <w:rFonts w:hint="eastAsia" w:ascii="方正仿宋_GBK" w:hAnsi="方正仿宋_GBK" w:eastAsia="方正仿宋_GBK" w:cs="方正仿宋_GBK"/>
                <w:color w:val="000000"/>
                <w:spacing w:val="0"/>
                <w:w w:val="100"/>
                <w:position w:val="0"/>
                <w:sz w:val="28"/>
                <w:szCs w:val="28"/>
              </w:rPr>
              <w:t>把、</w:t>
            </w:r>
            <w:r>
              <w:rPr>
                <w:rFonts w:hint="eastAsia" w:ascii="方正仿宋_GBK" w:hAnsi="方正仿宋_GBK" w:eastAsia="方正仿宋_GBK" w:cs="方正仿宋_GBK"/>
                <w:color w:val="000000"/>
                <w:spacing w:val="0"/>
                <w:w w:val="100"/>
                <w:position w:val="0"/>
                <w:sz w:val="28"/>
                <w:szCs w:val="28"/>
                <w:lang w:eastAsia="zh-CN"/>
              </w:rPr>
              <w:t>笤</w:t>
            </w:r>
            <w:r>
              <w:rPr>
                <w:rFonts w:hint="eastAsia" w:ascii="方正仿宋_GBK" w:hAnsi="方正仿宋_GBK" w:eastAsia="方正仿宋_GBK" w:cs="方正仿宋_GBK"/>
                <w:color w:val="000000"/>
                <w:spacing w:val="0"/>
                <w:w w:val="100"/>
                <w:position w:val="0"/>
                <w:sz w:val="28"/>
                <w:szCs w:val="28"/>
              </w:rPr>
              <w:t>帚、簸箕、抹布等</w:t>
            </w:r>
            <w:r>
              <w:rPr>
                <w:rFonts w:hint="eastAsia" w:ascii="方正仿宋_GBK" w:hAnsi="方正仿宋_GBK" w:eastAsia="方正仿宋_GBK" w:cs="方正仿宋_GBK"/>
                <w:color w:val="000000"/>
                <w:spacing w:val="0"/>
                <w:w w:val="100"/>
                <w:position w:val="0"/>
                <w:sz w:val="28"/>
                <w:szCs w:val="28"/>
                <w:lang w:eastAsia="zh-CN"/>
              </w:rPr>
              <w:t>专用</w:t>
            </w:r>
          </w:p>
        </w:tc>
      </w:tr>
      <w:tr w14:paraId="11F22D92">
        <w:tblPrEx>
          <w:tblCellMar>
            <w:top w:w="0" w:type="dxa"/>
            <w:left w:w="10" w:type="dxa"/>
            <w:bottom w:w="0" w:type="dxa"/>
            <w:right w:w="10" w:type="dxa"/>
          </w:tblCellMar>
        </w:tblPrEx>
        <w:trPr>
          <w:trHeight w:val="1044" w:hRule="exact"/>
        </w:trPr>
        <w:tc>
          <w:tcPr>
            <w:tcW w:w="533" w:type="dxa"/>
            <w:tcBorders>
              <w:top w:val="single" w:color="auto" w:sz="4" w:space="0"/>
              <w:left w:val="single" w:color="auto" w:sz="4" w:space="0"/>
              <w:bottom w:val="single" w:color="auto" w:sz="4" w:space="0"/>
              <w:right w:val="single" w:color="auto" w:sz="4" w:space="0"/>
            </w:tcBorders>
            <w:shd w:val="clear" w:color="auto" w:fill="FFFFFF"/>
            <w:vAlign w:val="center"/>
          </w:tcPr>
          <w:p w14:paraId="3025AF4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27</w:t>
            </w:r>
          </w:p>
        </w:tc>
        <w:tc>
          <w:tcPr>
            <w:tcW w:w="1581" w:type="dxa"/>
            <w:tcBorders>
              <w:top w:val="single" w:color="auto" w:sz="4" w:space="0"/>
              <w:left w:val="single" w:color="auto" w:sz="4" w:space="0"/>
              <w:bottom w:val="single" w:color="auto" w:sz="4" w:space="0"/>
              <w:right w:val="single" w:color="auto" w:sz="4" w:space="0"/>
            </w:tcBorders>
            <w:shd w:val="clear" w:color="auto" w:fill="FFFFFF"/>
            <w:vAlign w:val="center"/>
          </w:tcPr>
          <w:p w14:paraId="3F8BFF4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医院窗帘</w:t>
            </w:r>
          </w:p>
        </w:tc>
        <w:tc>
          <w:tcPr>
            <w:tcW w:w="2443" w:type="dxa"/>
            <w:tcBorders>
              <w:top w:val="single" w:color="auto" w:sz="4" w:space="0"/>
              <w:left w:val="single" w:color="auto" w:sz="4" w:space="0"/>
              <w:bottom w:val="single" w:color="auto" w:sz="4" w:space="0"/>
              <w:right w:val="single" w:color="auto" w:sz="4" w:space="0"/>
            </w:tcBorders>
            <w:shd w:val="clear" w:color="auto" w:fill="FFFFFF"/>
            <w:vAlign w:val="center"/>
          </w:tcPr>
          <w:p w14:paraId="78F5ED5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val="en-US" w:eastAsia="zh-CN"/>
              </w:rPr>
            </w:pPr>
            <w:r>
              <w:rPr>
                <w:rFonts w:hint="eastAsia" w:ascii="方正仿宋_GBK" w:hAnsi="方正仿宋_GBK" w:eastAsia="方正仿宋_GBK" w:cs="方正仿宋_GBK"/>
                <w:color w:val="000000"/>
                <w:spacing w:val="0"/>
                <w:w w:val="100"/>
                <w:position w:val="0"/>
                <w:sz w:val="28"/>
                <w:szCs w:val="28"/>
                <w:lang w:val="en-US" w:eastAsia="zh-CN"/>
              </w:rPr>
              <w:t>每年清洗二次</w:t>
            </w:r>
          </w:p>
        </w:tc>
        <w:tc>
          <w:tcPr>
            <w:tcW w:w="2506" w:type="dxa"/>
            <w:tcBorders>
              <w:top w:val="single" w:color="auto" w:sz="4" w:space="0"/>
              <w:left w:val="single" w:color="auto" w:sz="4" w:space="0"/>
              <w:bottom w:val="single" w:color="auto" w:sz="4" w:space="0"/>
              <w:right w:val="single" w:color="auto" w:sz="4" w:space="0"/>
            </w:tcBorders>
            <w:shd w:val="clear" w:color="auto" w:fill="FFFFFF"/>
            <w:vAlign w:val="center"/>
          </w:tcPr>
          <w:p w14:paraId="30E3DA7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rPr>
            </w:pPr>
            <w:r>
              <w:rPr>
                <w:rFonts w:hint="eastAsia" w:ascii="方正仿宋_GBK" w:hAnsi="方正仿宋_GBK" w:eastAsia="方正仿宋_GBK" w:cs="方正仿宋_GBK"/>
                <w:color w:val="000000"/>
                <w:spacing w:val="0"/>
                <w:w w:val="100"/>
                <w:position w:val="0"/>
                <w:sz w:val="28"/>
                <w:szCs w:val="28"/>
              </w:rPr>
              <w:t>干净、</w:t>
            </w:r>
            <w:r>
              <w:rPr>
                <w:rFonts w:hint="eastAsia" w:ascii="方正仿宋_GBK" w:hAnsi="方正仿宋_GBK" w:eastAsia="方正仿宋_GBK" w:cs="方正仿宋_GBK"/>
                <w:color w:val="000000"/>
                <w:spacing w:val="0"/>
                <w:w w:val="100"/>
                <w:position w:val="0"/>
                <w:sz w:val="28"/>
                <w:szCs w:val="28"/>
                <w:lang w:eastAsia="zh-CN"/>
              </w:rPr>
              <w:t>整洁、</w:t>
            </w:r>
          </w:p>
        </w:tc>
        <w:tc>
          <w:tcPr>
            <w:tcW w:w="2448" w:type="dxa"/>
            <w:tcBorders>
              <w:top w:val="single" w:color="auto" w:sz="4" w:space="0"/>
              <w:left w:val="single" w:color="auto" w:sz="4" w:space="0"/>
              <w:bottom w:val="single" w:color="auto" w:sz="4" w:space="0"/>
              <w:right w:val="single" w:color="auto" w:sz="4" w:space="0"/>
            </w:tcBorders>
            <w:shd w:val="clear" w:color="auto" w:fill="FFFFFF"/>
            <w:vAlign w:val="center"/>
          </w:tcPr>
          <w:p w14:paraId="6D732F9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rightChars="0" w:firstLine="0" w:firstLineChars="0"/>
              <w:jc w:val="both"/>
              <w:textAlignment w:val="auto"/>
              <w:outlineLvl w:val="9"/>
              <w:rPr>
                <w:rFonts w:hint="eastAsia" w:ascii="方正仿宋_GBK" w:hAnsi="方正仿宋_GBK" w:eastAsia="方正仿宋_GBK" w:cs="方正仿宋_GBK"/>
                <w:color w:val="000000"/>
                <w:spacing w:val="0"/>
                <w:w w:val="100"/>
                <w:position w:val="0"/>
                <w:sz w:val="28"/>
                <w:szCs w:val="28"/>
                <w:lang w:eastAsia="zh-CN"/>
              </w:rPr>
            </w:pPr>
            <w:r>
              <w:rPr>
                <w:rFonts w:hint="eastAsia" w:ascii="方正仿宋_GBK" w:hAnsi="方正仿宋_GBK" w:eastAsia="方正仿宋_GBK" w:cs="方正仿宋_GBK"/>
                <w:color w:val="000000"/>
                <w:spacing w:val="0"/>
                <w:w w:val="100"/>
                <w:position w:val="0"/>
                <w:sz w:val="28"/>
                <w:szCs w:val="28"/>
              </w:rPr>
              <w:t>洗洁剂、消毒剂、</w:t>
            </w:r>
          </w:p>
        </w:tc>
      </w:tr>
    </w:tbl>
    <w:p w14:paraId="40355377">
      <w:pPr>
        <w:pStyle w:val="436"/>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640" w:firstLineChars="200"/>
        <w:jc w:val="both"/>
        <w:textAlignment w:val="auto"/>
        <w:outlineLvl w:val="9"/>
        <w:rPr>
          <w:rFonts w:hint="eastAsia" w:ascii="宋体" w:hAnsi="宋体" w:eastAsia="方正楷体_GBK" w:cs="方正楷体_GBK"/>
          <w:b w:val="0"/>
          <w:bCs w:val="0"/>
          <w:color w:val="000000"/>
          <w:spacing w:val="0"/>
          <w:w w:val="100"/>
          <w:position w:val="0"/>
          <w:sz w:val="32"/>
          <w:szCs w:val="32"/>
        </w:rPr>
      </w:pPr>
      <w:r>
        <w:rPr>
          <w:rFonts w:hint="eastAsia" w:eastAsia="方正楷体_GBK" w:cs="方正楷体_GBK"/>
          <w:b w:val="0"/>
          <w:bCs w:val="0"/>
          <w:color w:val="000000"/>
          <w:spacing w:val="0"/>
          <w:w w:val="100"/>
          <w:position w:val="0"/>
          <w:sz w:val="32"/>
          <w:szCs w:val="32"/>
          <w:lang w:val="en-US" w:eastAsia="zh-CN"/>
        </w:rPr>
        <w:t>4.</w:t>
      </w:r>
      <w:r>
        <w:rPr>
          <w:rFonts w:hint="eastAsia" w:ascii="宋体" w:hAnsi="宋体" w:eastAsia="方正楷体_GBK" w:cs="方正楷体_GBK"/>
          <w:b w:val="0"/>
          <w:bCs w:val="0"/>
          <w:color w:val="000000"/>
          <w:spacing w:val="0"/>
          <w:w w:val="100"/>
          <w:position w:val="0"/>
          <w:sz w:val="32"/>
          <w:szCs w:val="32"/>
        </w:rPr>
        <w:t>工具使用及消毒程序</w:t>
      </w:r>
    </w:p>
    <w:p w14:paraId="49423DD0">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为预防交叉感染，严格规范工具使用及消毒程序如下：</w:t>
      </w:r>
    </w:p>
    <w:p w14:paraId="1F5A4365">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eastAsia="方正仿宋_GBK" w:cstheme="minorEastAsia"/>
          <w:color w:val="000000"/>
          <w:spacing w:val="0"/>
          <w:w w:val="100"/>
          <w:position w:val="0"/>
          <w:sz w:val="32"/>
          <w:szCs w:val="32"/>
          <w:lang w:eastAsia="zh-CN"/>
        </w:rPr>
        <w:t>（</w:t>
      </w:r>
      <w:r>
        <w:rPr>
          <w:rFonts w:hint="eastAsia" w:eastAsia="方正仿宋_GBK" w:cstheme="minorEastAsia"/>
          <w:color w:val="000000"/>
          <w:spacing w:val="0"/>
          <w:w w:val="100"/>
          <w:position w:val="0"/>
          <w:sz w:val="32"/>
          <w:szCs w:val="32"/>
          <w:lang w:val="en-US" w:eastAsia="zh-CN"/>
        </w:rPr>
        <w:t>1</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拖把、扫帚、簸箕、抹布等清洁工具分区使用，并设有标记，共分4类。第一类为医护人员办公室使用，第二类为病房使用，第三类为公共区域使用，第四类为洗手间使用,工具在每日下班前消毒一次，抹布使用前后均经</w:t>
      </w:r>
      <w:r>
        <w:rPr>
          <w:rFonts w:hint="eastAsia" w:ascii="宋体" w:hAnsi="宋体" w:eastAsia="方正仿宋_GBK" w:cstheme="minorEastAsia"/>
          <w:color w:val="000000"/>
          <w:spacing w:val="0"/>
          <w:w w:val="100"/>
          <w:position w:val="0"/>
          <w:sz w:val="28"/>
          <w:szCs w:val="28"/>
        </w:rPr>
        <w:t>用</w:t>
      </w:r>
      <w:r>
        <w:rPr>
          <w:rFonts w:hint="eastAsia" w:eastAsia="方正仿宋_GBK" w:cstheme="minorEastAsia"/>
          <w:color w:val="000000"/>
          <w:spacing w:val="0"/>
          <w:w w:val="100"/>
          <w:position w:val="0"/>
          <w:sz w:val="28"/>
          <w:szCs w:val="28"/>
          <w:lang w:val="en-US" w:eastAsia="zh-CN"/>
        </w:rPr>
        <w:t>500mg/L含氯</w:t>
      </w:r>
      <w:r>
        <w:rPr>
          <w:rFonts w:hint="eastAsia" w:ascii="宋体" w:hAnsi="宋体" w:eastAsia="方正仿宋_GBK" w:cstheme="minorEastAsia"/>
          <w:color w:val="000000"/>
          <w:spacing w:val="0"/>
          <w:w w:val="100"/>
          <w:position w:val="0"/>
          <w:sz w:val="32"/>
          <w:szCs w:val="32"/>
        </w:rPr>
        <w:t>消毒液消毒30分钟；</w:t>
      </w:r>
    </w:p>
    <w:p w14:paraId="5E1CA570">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eastAsia="方正仿宋_GBK" w:cstheme="minorEastAsia"/>
          <w:color w:val="000000"/>
          <w:spacing w:val="0"/>
          <w:w w:val="100"/>
          <w:position w:val="0"/>
          <w:sz w:val="32"/>
          <w:szCs w:val="32"/>
          <w:lang w:eastAsia="zh-CN"/>
        </w:rPr>
        <w:t>（</w:t>
      </w:r>
      <w:r>
        <w:rPr>
          <w:rFonts w:hint="eastAsia" w:eastAsia="方正仿宋_GBK" w:cstheme="minorEastAsia"/>
          <w:color w:val="000000"/>
          <w:spacing w:val="0"/>
          <w:w w:val="100"/>
          <w:position w:val="0"/>
          <w:sz w:val="32"/>
          <w:szCs w:val="32"/>
          <w:lang w:val="en-US" w:eastAsia="zh-CN"/>
        </w:rPr>
        <w:t>2</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各保洁区域地面墙面抹手，每日以</w:t>
      </w:r>
      <w:r>
        <w:rPr>
          <w:rFonts w:hint="eastAsia" w:ascii="宋体" w:hAnsi="宋体" w:eastAsia="方正仿宋_GBK" w:cstheme="minorEastAsia"/>
          <w:color w:val="000000"/>
          <w:spacing w:val="0"/>
          <w:w w:val="100"/>
          <w:position w:val="0"/>
          <w:sz w:val="28"/>
          <w:szCs w:val="28"/>
        </w:rPr>
        <w:t>用</w:t>
      </w:r>
      <w:r>
        <w:rPr>
          <w:rFonts w:hint="eastAsia" w:eastAsia="方正仿宋_GBK" w:cstheme="minorEastAsia"/>
          <w:color w:val="000000"/>
          <w:spacing w:val="0"/>
          <w:w w:val="100"/>
          <w:position w:val="0"/>
          <w:sz w:val="28"/>
          <w:szCs w:val="28"/>
          <w:lang w:val="en-US" w:eastAsia="zh-CN"/>
        </w:rPr>
        <w:t>500mg/L含氯</w:t>
      </w:r>
      <w:r>
        <w:rPr>
          <w:rFonts w:hint="eastAsia" w:ascii="宋体" w:hAnsi="宋体" w:eastAsia="方正仿宋_GBK" w:cstheme="minorEastAsia"/>
          <w:color w:val="000000"/>
          <w:spacing w:val="0"/>
          <w:w w:val="100"/>
          <w:position w:val="0"/>
          <w:sz w:val="32"/>
          <w:szCs w:val="32"/>
        </w:rPr>
        <w:t>消毒液消毒擦抹一次，并进行空气消毒一次；</w:t>
      </w:r>
      <w:bookmarkStart w:id="198" w:name="bookmark13"/>
    </w:p>
    <w:bookmarkEnd w:id="198"/>
    <w:p w14:paraId="644A2ADF">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eastAsia="方正仿宋_GBK" w:cstheme="minorEastAsia"/>
          <w:color w:val="000000"/>
          <w:spacing w:val="0"/>
          <w:w w:val="100"/>
          <w:position w:val="0"/>
          <w:sz w:val="32"/>
          <w:szCs w:val="32"/>
          <w:lang w:eastAsia="zh-CN"/>
        </w:rPr>
        <w:t>（</w:t>
      </w:r>
      <w:r>
        <w:rPr>
          <w:rFonts w:hint="eastAsia" w:eastAsia="方正仿宋_GBK" w:cstheme="minorEastAsia"/>
          <w:color w:val="000000"/>
          <w:spacing w:val="0"/>
          <w:w w:val="100"/>
          <w:position w:val="0"/>
          <w:sz w:val="32"/>
          <w:szCs w:val="32"/>
          <w:lang w:val="en-US" w:eastAsia="zh-CN"/>
        </w:rPr>
        <w:t>3</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每周重点消毒程序：</w:t>
      </w:r>
    </w:p>
    <w:p w14:paraId="5E5A8810">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周一</w:t>
      </w:r>
      <w:r>
        <w:rPr>
          <w:rFonts w:hint="eastAsia" w:eastAsia="方正仿宋_GBK" w:cstheme="minorEastAsia"/>
          <w:color w:val="000000"/>
          <w:spacing w:val="0"/>
          <w:w w:val="100"/>
          <w:position w:val="0"/>
          <w:sz w:val="32"/>
          <w:szCs w:val="32"/>
          <w:lang w:val="en-US" w:eastAsia="zh-CN"/>
        </w:rPr>
        <w:t>至周日</w:t>
      </w:r>
      <w:r>
        <w:rPr>
          <w:rFonts w:hint="eastAsia" w:ascii="宋体" w:hAnsi="宋体" w:eastAsia="方正仿宋_GBK" w:cstheme="minorEastAsia"/>
          <w:color w:val="000000"/>
          <w:spacing w:val="0"/>
          <w:w w:val="100"/>
          <w:position w:val="0"/>
          <w:sz w:val="32"/>
          <w:szCs w:val="32"/>
        </w:rPr>
        <w:t>：重点擦洗、消毒公共场所病人床位（床架、床头柜、椅子、</w:t>
      </w:r>
      <w:r>
        <w:rPr>
          <w:rFonts w:hint="eastAsia" w:eastAsia="方正仿宋_GBK" w:cstheme="minorEastAsia"/>
          <w:color w:val="000000"/>
          <w:spacing w:val="0"/>
          <w:w w:val="100"/>
          <w:position w:val="0"/>
          <w:sz w:val="32"/>
          <w:szCs w:val="32"/>
          <w:lang w:eastAsia="zh-CN"/>
        </w:rPr>
        <w:t>垃圾</w:t>
      </w:r>
      <w:r>
        <w:rPr>
          <w:rFonts w:hint="eastAsia" w:ascii="宋体" w:hAnsi="宋体" w:eastAsia="方正仿宋_GBK" w:cstheme="minorEastAsia"/>
          <w:color w:val="000000"/>
          <w:spacing w:val="0"/>
          <w:w w:val="100"/>
          <w:position w:val="0"/>
          <w:sz w:val="32"/>
          <w:szCs w:val="32"/>
        </w:rPr>
        <w:t>篓、）；</w:t>
      </w:r>
    </w:p>
    <w:p w14:paraId="4D563217">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周二：重点擦洗、消毒值班室、办公室、会议室、治疗室、桌、椅、</w:t>
      </w:r>
      <w:r>
        <w:rPr>
          <w:rFonts w:hint="eastAsia" w:eastAsia="方正仿宋_GBK" w:cstheme="minorEastAsia"/>
          <w:color w:val="000000"/>
          <w:spacing w:val="0"/>
          <w:w w:val="100"/>
          <w:position w:val="0"/>
          <w:sz w:val="32"/>
          <w:szCs w:val="32"/>
          <w:lang w:eastAsia="zh-CN"/>
        </w:rPr>
        <w:t>垃圾</w:t>
      </w:r>
      <w:r>
        <w:rPr>
          <w:rFonts w:hint="eastAsia" w:ascii="宋体" w:hAnsi="宋体" w:eastAsia="方正仿宋_GBK" w:cstheme="minorEastAsia"/>
          <w:color w:val="000000"/>
          <w:spacing w:val="0"/>
          <w:w w:val="100"/>
          <w:position w:val="0"/>
          <w:sz w:val="32"/>
          <w:szCs w:val="32"/>
        </w:rPr>
        <w:t>篓等；</w:t>
      </w:r>
    </w:p>
    <w:p w14:paraId="1CE2DAE6">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周三：重点擦洗、消毒开水间、配餐间、厕所、污物间、走廊；</w:t>
      </w:r>
    </w:p>
    <w:p w14:paraId="54426B9A">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周四：重点抹擦各个楼层、楼梯、病区玻璃；</w:t>
      </w:r>
    </w:p>
    <w:p w14:paraId="4B79DE81">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周五：全面大清洁、消毒</w:t>
      </w:r>
      <w:r>
        <w:rPr>
          <w:rFonts w:hint="eastAsia" w:eastAsia="方正仿宋_GBK" w:cstheme="minorEastAsia"/>
          <w:color w:val="000000"/>
          <w:spacing w:val="0"/>
          <w:w w:val="100"/>
          <w:position w:val="0"/>
          <w:sz w:val="32"/>
          <w:szCs w:val="32"/>
          <w:lang w:val="en-US" w:eastAsia="zh-CN"/>
        </w:rPr>
        <w:t>1</w:t>
      </w:r>
      <w:r>
        <w:rPr>
          <w:rFonts w:hint="eastAsia" w:ascii="宋体" w:hAnsi="宋体" w:eastAsia="方正仿宋_GBK" w:cstheme="minorEastAsia"/>
          <w:color w:val="000000"/>
          <w:spacing w:val="0"/>
          <w:w w:val="100"/>
          <w:position w:val="0"/>
          <w:sz w:val="32"/>
          <w:szCs w:val="32"/>
        </w:rPr>
        <w:t>次。</w:t>
      </w:r>
    </w:p>
    <w:p w14:paraId="2EBA525D">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199" w:name="bookmark14"/>
      <w:bookmarkEnd w:id="199"/>
      <w:r>
        <w:rPr>
          <w:rFonts w:hint="eastAsia" w:eastAsia="方正仿宋_GBK" w:cstheme="minorEastAsia"/>
          <w:color w:val="000000"/>
          <w:spacing w:val="0"/>
          <w:w w:val="100"/>
          <w:position w:val="0"/>
          <w:sz w:val="32"/>
          <w:szCs w:val="32"/>
          <w:lang w:eastAsia="zh-CN"/>
        </w:rPr>
        <w:t>（</w:t>
      </w:r>
      <w:r>
        <w:rPr>
          <w:rFonts w:hint="eastAsia" w:eastAsia="方正仿宋_GBK" w:cstheme="minorEastAsia"/>
          <w:color w:val="000000"/>
          <w:spacing w:val="0"/>
          <w:w w:val="100"/>
          <w:position w:val="0"/>
          <w:sz w:val="32"/>
          <w:szCs w:val="32"/>
          <w:lang w:val="en-US" w:eastAsia="zh-CN"/>
        </w:rPr>
        <w:t>4</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清洁各值班室、办公室、治疗室、换药室、病室、大厅、走廊、台阶地面，随脏随洁；</w:t>
      </w:r>
    </w:p>
    <w:p w14:paraId="26DDEFE4">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eastAsia="方正仿宋_GBK" w:cstheme="minorEastAsia"/>
          <w:color w:val="000000"/>
          <w:spacing w:val="0"/>
          <w:w w:val="100"/>
          <w:position w:val="0"/>
          <w:sz w:val="32"/>
          <w:szCs w:val="32"/>
          <w:lang w:eastAsia="zh-CN"/>
        </w:rPr>
        <w:t>（</w:t>
      </w:r>
      <w:r>
        <w:rPr>
          <w:rFonts w:hint="eastAsia" w:eastAsia="方正仿宋_GBK" w:cstheme="minorEastAsia"/>
          <w:color w:val="000000"/>
          <w:spacing w:val="0"/>
          <w:w w:val="100"/>
          <w:position w:val="0"/>
          <w:sz w:val="32"/>
          <w:szCs w:val="32"/>
          <w:lang w:val="en-US" w:eastAsia="zh-CN"/>
        </w:rPr>
        <w:t>5</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各部门办公室、会议室、开水间、污物间、厕所卫生，并随脏随洁；</w:t>
      </w:r>
    </w:p>
    <w:p w14:paraId="4C280C9F">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eastAsia="方正仿宋_GBK" w:cstheme="minorEastAsia"/>
          <w:color w:val="000000"/>
          <w:spacing w:val="0"/>
          <w:w w:val="100"/>
          <w:position w:val="0"/>
          <w:sz w:val="32"/>
          <w:szCs w:val="32"/>
          <w:lang w:eastAsia="zh-CN"/>
        </w:rPr>
        <w:t>（</w:t>
      </w:r>
      <w:r>
        <w:rPr>
          <w:rFonts w:hint="eastAsia" w:eastAsia="方正仿宋_GBK" w:cstheme="minorEastAsia"/>
          <w:color w:val="000000"/>
          <w:spacing w:val="0"/>
          <w:w w:val="100"/>
          <w:position w:val="0"/>
          <w:sz w:val="32"/>
          <w:szCs w:val="32"/>
          <w:lang w:val="en-US" w:eastAsia="zh-CN"/>
        </w:rPr>
        <w:t>6</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清理各部门办公室、会议室、病区汇总垃圾一次；</w:t>
      </w:r>
    </w:p>
    <w:p w14:paraId="084335A1">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eastAsia="方正仿宋_GBK" w:cstheme="minorEastAsia"/>
          <w:color w:val="000000"/>
          <w:spacing w:val="0"/>
          <w:w w:val="100"/>
          <w:position w:val="0"/>
          <w:sz w:val="32"/>
          <w:szCs w:val="32"/>
          <w:lang w:eastAsia="zh-CN"/>
        </w:rPr>
        <w:t>（</w:t>
      </w:r>
      <w:r>
        <w:rPr>
          <w:rFonts w:hint="eastAsia" w:eastAsia="方正仿宋_GBK" w:cstheme="minorEastAsia"/>
          <w:color w:val="000000"/>
          <w:spacing w:val="0"/>
          <w:w w:val="100"/>
          <w:position w:val="0"/>
          <w:sz w:val="32"/>
          <w:szCs w:val="32"/>
          <w:lang w:val="en-US" w:eastAsia="zh-CN"/>
        </w:rPr>
        <w:t>7</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清理各部门办公室、病室病人床头柜、桌椅、电视机、床架浮灰</w:t>
      </w:r>
      <w:r>
        <w:rPr>
          <w:rFonts w:hint="eastAsia" w:ascii="宋体" w:hAnsi="宋体" w:eastAsia="方正仿宋_GBK" w:cstheme="minorEastAsia"/>
          <w:color w:val="000000"/>
          <w:spacing w:val="0"/>
          <w:w w:val="100"/>
          <w:position w:val="0"/>
          <w:sz w:val="32"/>
          <w:szCs w:val="32"/>
          <w:lang w:eastAsia="zh-CN"/>
        </w:rPr>
        <w:t>一</w:t>
      </w:r>
      <w:r>
        <w:rPr>
          <w:rFonts w:hint="eastAsia" w:ascii="宋体" w:hAnsi="宋体" w:eastAsia="方正仿宋_GBK" w:cstheme="minorEastAsia"/>
          <w:color w:val="000000"/>
          <w:spacing w:val="0"/>
          <w:w w:val="100"/>
          <w:position w:val="0"/>
          <w:sz w:val="32"/>
          <w:szCs w:val="32"/>
        </w:rPr>
        <w:t>次；一桌一布，用后使用</w:t>
      </w:r>
      <w:r>
        <w:rPr>
          <w:rFonts w:hint="eastAsia" w:ascii="宋体" w:hAnsi="宋体" w:eastAsia="方正仿宋_GBK" w:cstheme="minorEastAsia"/>
          <w:color w:val="000000"/>
          <w:spacing w:val="0"/>
          <w:w w:val="100"/>
          <w:position w:val="0"/>
          <w:sz w:val="28"/>
          <w:szCs w:val="28"/>
        </w:rPr>
        <w:t>用</w:t>
      </w:r>
      <w:r>
        <w:rPr>
          <w:rFonts w:hint="eastAsia" w:eastAsia="方正仿宋_GBK" w:cstheme="minorEastAsia"/>
          <w:color w:val="000000"/>
          <w:spacing w:val="0"/>
          <w:w w:val="100"/>
          <w:position w:val="0"/>
          <w:sz w:val="28"/>
          <w:szCs w:val="28"/>
          <w:lang w:val="en-US" w:eastAsia="zh-CN"/>
        </w:rPr>
        <w:t>500mg/L含氯</w:t>
      </w:r>
      <w:r>
        <w:rPr>
          <w:rFonts w:hint="eastAsia" w:ascii="宋体" w:hAnsi="宋体" w:eastAsia="方正仿宋_GBK" w:cstheme="minorEastAsia"/>
          <w:color w:val="000000"/>
          <w:spacing w:val="0"/>
          <w:w w:val="100"/>
          <w:position w:val="0"/>
          <w:sz w:val="32"/>
          <w:szCs w:val="32"/>
        </w:rPr>
        <w:t>消毒液消毒，清洗后晾干。</w:t>
      </w:r>
    </w:p>
    <w:p w14:paraId="70CC780A">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00" w:name="bookmark19"/>
      <w:bookmarkEnd w:id="200"/>
      <w:r>
        <w:rPr>
          <w:rFonts w:hint="eastAsia" w:eastAsia="方正仿宋_GBK" w:cstheme="minorEastAsia"/>
          <w:color w:val="000000"/>
          <w:spacing w:val="0"/>
          <w:w w:val="100"/>
          <w:position w:val="0"/>
          <w:sz w:val="32"/>
          <w:szCs w:val="32"/>
          <w:lang w:val="en-US" w:eastAsia="zh-CN"/>
        </w:rPr>
        <w:t>5.</w:t>
      </w:r>
      <w:r>
        <w:rPr>
          <w:rFonts w:hint="eastAsia" w:ascii="宋体" w:hAnsi="宋体" w:eastAsia="方正仿宋_GBK" w:cstheme="minorEastAsia"/>
          <w:color w:val="000000"/>
          <w:spacing w:val="0"/>
          <w:w w:val="100"/>
          <w:position w:val="0"/>
          <w:sz w:val="32"/>
          <w:szCs w:val="32"/>
        </w:rPr>
        <w:t>常见影响清洁情况的特殊处理</w:t>
      </w:r>
    </w:p>
    <w:p w14:paraId="25D8D879">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01" w:name="bookmark59"/>
      <w:bookmarkEnd w:id="201"/>
      <w:r>
        <w:rPr>
          <w:rFonts w:hint="eastAsia" w:eastAsia="方正仿宋_GBK" w:cstheme="minorEastAsia"/>
          <w:color w:val="000000"/>
          <w:spacing w:val="0"/>
          <w:w w:val="100"/>
          <w:position w:val="0"/>
          <w:sz w:val="32"/>
          <w:szCs w:val="32"/>
          <w:lang w:eastAsia="zh-CN"/>
        </w:rPr>
        <w:t>（</w:t>
      </w:r>
      <w:r>
        <w:rPr>
          <w:rFonts w:hint="eastAsia" w:eastAsia="方正仿宋_GBK" w:cstheme="minorEastAsia"/>
          <w:color w:val="000000"/>
          <w:spacing w:val="0"/>
          <w:w w:val="100"/>
          <w:position w:val="0"/>
          <w:sz w:val="32"/>
          <w:szCs w:val="32"/>
          <w:lang w:val="en-US" w:eastAsia="zh-CN"/>
        </w:rPr>
        <w:t>1</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连天雨天气的处理办法。</w:t>
      </w:r>
    </w:p>
    <w:p w14:paraId="5095B186">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连天雨季节大理石、瓷砖地面和墙面很容易出现反潮现象，造成地面积水，墙皮肃剥落，电器感应开关自动导通等现象。出现这些现象的处理办法是：在大厅人员岀入频繁的地方放置指示牌，提醒客人“小心</w:t>
      </w:r>
      <w:r>
        <w:rPr>
          <w:rFonts w:hint="eastAsia" w:ascii="宋体" w:hAnsi="宋体" w:eastAsia="方正仿宋_GBK" w:cstheme="minorEastAsia"/>
          <w:color w:val="000000"/>
          <w:spacing w:val="0"/>
          <w:w w:val="100"/>
          <w:position w:val="0"/>
          <w:sz w:val="32"/>
          <w:szCs w:val="32"/>
          <w:lang w:val="zh-CN" w:eastAsia="zh-CN"/>
        </w:rPr>
        <w:t>地滑</w:t>
      </w:r>
      <w:r>
        <w:rPr>
          <w:rFonts w:hint="eastAsia" w:eastAsia="方正仿宋_GBK" w:cstheme="minorEastAsia"/>
          <w:color w:val="000000"/>
          <w:spacing w:val="0"/>
          <w:w w:val="100"/>
          <w:position w:val="0"/>
          <w:sz w:val="32"/>
          <w:szCs w:val="32"/>
          <w:lang w:val="zh-CN" w:eastAsia="zh-CN"/>
        </w:rPr>
        <w:t>”</w:t>
      </w:r>
      <w:r>
        <w:rPr>
          <w:rFonts w:hint="eastAsia" w:ascii="宋体" w:hAnsi="宋体" w:eastAsia="方正仿宋_GBK" w:cstheme="minorEastAsia"/>
          <w:color w:val="000000"/>
          <w:spacing w:val="0"/>
          <w:w w:val="100"/>
          <w:position w:val="0"/>
          <w:sz w:val="32"/>
          <w:szCs w:val="32"/>
        </w:rPr>
        <w:t>增派人员，及时清干地面、墙面水迹。如反潮现象比较严重，应在大厅铺设一条防滑地毡，并用大块的海绵吸千地面、墙面的积水。仓库内配好干拖把、海绵、地毯、毛巾等防潮用品。</w:t>
      </w:r>
    </w:p>
    <w:p w14:paraId="1080F85E">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02" w:name="bookmark60"/>
      <w:bookmarkEnd w:id="202"/>
      <w:r>
        <w:rPr>
          <w:rFonts w:hint="eastAsia" w:eastAsia="方正仿宋_GBK" w:cstheme="minorEastAsia"/>
          <w:color w:val="000000"/>
          <w:spacing w:val="0"/>
          <w:w w:val="100"/>
          <w:position w:val="0"/>
          <w:sz w:val="32"/>
          <w:szCs w:val="32"/>
          <w:lang w:eastAsia="zh-CN"/>
        </w:rPr>
        <w:t>（</w:t>
      </w:r>
      <w:r>
        <w:rPr>
          <w:rFonts w:hint="eastAsia" w:eastAsia="方正仿宋_GBK" w:cstheme="minorEastAsia"/>
          <w:color w:val="000000"/>
          <w:spacing w:val="0"/>
          <w:w w:val="100"/>
          <w:position w:val="0"/>
          <w:sz w:val="32"/>
          <w:szCs w:val="32"/>
          <w:lang w:val="en-US" w:eastAsia="zh-CN"/>
        </w:rPr>
        <w:t>2</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暴风雨天气的处理办法。</w:t>
      </w:r>
    </w:p>
    <w:p w14:paraId="3CE17407">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天台的阴暗沟渠、地漏，要派专人检查，如有堵塞及时疏通</w:t>
      </w:r>
      <w:r>
        <w:rPr>
          <w:rFonts w:hint="eastAsia" w:ascii="宋体" w:hAnsi="宋体" w:eastAsia="方正仿宋_GBK" w:cstheme="minorEastAsia"/>
          <w:color w:val="000000"/>
          <w:spacing w:val="0"/>
          <w:w w:val="100"/>
          <w:position w:val="0"/>
          <w:sz w:val="32"/>
          <w:szCs w:val="32"/>
          <w:lang w:val="zh-CN" w:eastAsia="zh-CN"/>
        </w:rPr>
        <w:t>各</w:t>
      </w:r>
      <w:r>
        <w:rPr>
          <w:rFonts w:hint="eastAsia" w:ascii="宋体" w:hAnsi="宋体" w:eastAsia="方正仿宋_GBK" w:cstheme="minorEastAsia"/>
          <w:color w:val="000000"/>
          <w:spacing w:val="0"/>
          <w:w w:val="100"/>
          <w:position w:val="0"/>
          <w:sz w:val="32"/>
          <w:szCs w:val="32"/>
        </w:rPr>
        <w:t>岗位清洁员要配合秩序维护员关好各楼层的门窗，防止风雨刮进楼内，淋湿地面及打碎玻璃；仓库内备好</w:t>
      </w:r>
      <w:r>
        <w:rPr>
          <w:rFonts w:hint="eastAsia" w:ascii="宋体" w:hAnsi="宋体" w:eastAsia="方正仿宋_GBK" w:cstheme="minorEastAsia"/>
          <w:color w:val="000000"/>
          <w:spacing w:val="0"/>
          <w:w w:val="100"/>
          <w:position w:val="0"/>
          <w:sz w:val="32"/>
          <w:szCs w:val="32"/>
          <w:lang w:val="zh-CN" w:eastAsia="zh-CN"/>
        </w:rPr>
        <w:t>雨具；</w:t>
      </w:r>
      <w:r>
        <w:rPr>
          <w:rFonts w:hint="eastAsia" w:ascii="宋体" w:hAnsi="宋体" w:eastAsia="方正仿宋_GBK" w:cstheme="minorEastAsia"/>
          <w:color w:val="000000"/>
          <w:spacing w:val="0"/>
          <w:w w:val="100"/>
          <w:position w:val="0"/>
          <w:sz w:val="32"/>
          <w:szCs w:val="32"/>
        </w:rPr>
        <w:t>铁勾、竹片、手电筒，做到有备无患。</w:t>
      </w:r>
    </w:p>
    <w:p w14:paraId="1EF010E6">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leftChars="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03" w:name="bookmark61"/>
      <w:bookmarkEnd w:id="203"/>
      <w:r>
        <w:rPr>
          <w:rFonts w:hint="eastAsia" w:eastAsia="方正仿宋_GBK" w:cstheme="minorEastAsia"/>
          <w:color w:val="000000"/>
          <w:spacing w:val="0"/>
          <w:w w:val="100"/>
          <w:position w:val="0"/>
          <w:sz w:val="32"/>
          <w:szCs w:val="32"/>
          <w:lang w:eastAsia="zh-CN"/>
        </w:rPr>
        <w:t>（</w:t>
      </w:r>
      <w:r>
        <w:rPr>
          <w:rFonts w:hint="eastAsia" w:eastAsia="方正仿宋_GBK" w:cstheme="minorEastAsia"/>
          <w:color w:val="000000"/>
          <w:spacing w:val="0"/>
          <w:w w:val="100"/>
          <w:position w:val="0"/>
          <w:sz w:val="32"/>
          <w:szCs w:val="32"/>
          <w:lang w:val="en-US" w:eastAsia="zh-CN"/>
        </w:rPr>
        <w:t>3</w:t>
      </w:r>
      <w:r>
        <w:rPr>
          <w:rFonts w:hint="eastAsia" w:eastAsia="方正仿宋_GBK" w:cstheme="minorEastAsia"/>
          <w:color w:val="000000"/>
          <w:spacing w:val="0"/>
          <w:w w:val="100"/>
          <w:position w:val="0"/>
          <w:sz w:val="32"/>
          <w:szCs w:val="32"/>
          <w:lang w:eastAsia="zh-CN"/>
        </w:rPr>
        <w:t>）</w:t>
      </w:r>
      <w:r>
        <w:rPr>
          <w:rFonts w:hint="eastAsia" w:ascii="宋体" w:hAnsi="宋体" w:eastAsia="方正仿宋_GBK" w:cstheme="minorEastAsia"/>
          <w:color w:val="000000"/>
          <w:spacing w:val="0"/>
          <w:w w:val="100"/>
          <w:position w:val="0"/>
          <w:sz w:val="32"/>
          <w:szCs w:val="32"/>
        </w:rPr>
        <w:t>发生</w:t>
      </w:r>
      <w:r>
        <w:rPr>
          <w:rFonts w:hint="eastAsia" w:eastAsia="方正仿宋_GBK" w:cstheme="minorEastAsia"/>
          <w:color w:val="000000"/>
          <w:spacing w:val="0"/>
          <w:w w:val="100"/>
          <w:position w:val="0"/>
          <w:sz w:val="32"/>
          <w:szCs w:val="32"/>
          <w:lang w:eastAsia="zh-CN"/>
        </w:rPr>
        <w:t>水</w:t>
      </w:r>
      <w:r>
        <w:rPr>
          <w:rFonts w:hint="eastAsia" w:ascii="宋体" w:hAnsi="宋体" w:eastAsia="方正仿宋_GBK" w:cstheme="minorEastAsia"/>
          <w:color w:val="000000"/>
          <w:spacing w:val="0"/>
          <w:w w:val="100"/>
          <w:position w:val="0"/>
          <w:sz w:val="32"/>
          <w:szCs w:val="32"/>
        </w:rPr>
        <w:t>管</w:t>
      </w:r>
      <w:r>
        <w:rPr>
          <w:rFonts w:hint="eastAsia" w:eastAsia="方正仿宋_GBK" w:cstheme="minorEastAsia"/>
          <w:color w:val="000000"/>
          <w:spacing w:val="0"/>
          <w:w w:val="100"/>
          <w:position w:val="0"/>
          <w:sz w:val="32"/>
          <w:szCs w:val="32"/>
          <w:lang w:eastAsia="zh-CN"/>
        </w:rPr>
        <w:t>爆</w:t>
      </w:r>
      <w:r>
        <w:rPr>
          <w:rFonts w:hint="eastAsia" w:ascii="宋体" w:hAnsi="宋体" w:eastAsia="方正仿宋_GBK" w:cstheme="minorEastAsia"/>
          <w:color w:val="000000"/>
          <w:spacing w:val="0"/>
          <w:w w:val="100"/>
          <w:position w:val="0"/>
          <w:sz w:val="32"/>
          <w:szCs w:val="32"/>
        </w:rPr>
        <w:t>裂的处理办法。</w:t>
      </w:r>
    </w:p>
    <w:p w14:paraId="688EDE88">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当楼层内发生水管爆裂，造成楼层浸水时应按下列办法进行：一是迅速关闭水管阀门，并立即通知秩序维护员和院方维修人员前来协助。二是迅速用扫把扫走流</w:t>
      </w:r>
      <w:r>
        <w:rPr>
          <w:rFonts w:hint="eastAsia" w:eastAsia="方正仿宋_GBK" w:cstheme="minorEastAsia"/>
          <w:color w:val="000000"/>
          <w:spacing w:val="0"/>
          <w:w w:val="100"/>
          <w:position w:val="0"/>
          <w:sz w:val="32"/>
          <w:szCs w:val="32"/>
          <w:lang w:eastAsia="zh-CN"/>
        </w:rPr>
        <w:t>向</w:t>
      </w:r>
      <w:r>
        <w:rPr>
          <w:rFonts w:hint="eastAsia" w:ascii="宋体" w:hAnsi="宋体" w:eastAsia="方正仿宋_GBK" w:cstheme="minorEastAsia"/>
          <w:color w:val="000000"/>
          <w:spacing w:val="0"/>
          <w:w w:val="100"/>
          <w:position w:val="0"/>
          <w:sz w:val="32"/>
          <w:szCs w:val="32"/>
        </w:rPr>
        <w:t>电梯厅的水，如控制不了时可将电梯开</w:t>
      </w:r>
      <w:r>
        <w:rPr>
          <w:rFonts w:hint="eastAsia" w:ascii="宋体" w:hAnsi="宋体" w:eastAsia="方正仿宋_GBK" w:cstheme="minorEastAsia"/>
          <w:color w:val="000000"/>
          <w:spacing w:val="0"/>
          <w:w w:val="100"/>
          <w:position w:val="0"/>
          <w:sz w:val="32"/>
          <w:szCs w:val="32"/>
          <w:lang w:val="zh-CN" w:eastAsia="zh-CN"/>
        </w:rPr>
        <w:t>往上一</w:t>
      </w:r>
      <w:r>
        <w:rPr>
          <w:rFonts w:hint="eastAsia" w:ascii="宋体" w:hAnsi="宋体" w:eastAsia="方正仿宋_GBK" w:cstheme="minorEastAsia"/>
          <w:color w:val="000000"/>
          <w:spacing w:val="0"/>
          <w:w w:val="100"/>
          <w:position w:val="0"/>
          <w:sz w:val="32"/>
          <w:szCs w:val="32"/>
        </w:rPr>
        <w:t>层楼，通知电梯工关闭电梯。三是用垃圾斗将水倒到水桶，再</w:t>
      </w:r>
      <w:r>
        <w:rPr>
          <w:rFonts w:hint="eastAsia" w:eastAsia="方正仿宋_GBK" w:cstheme="minorEastAsia"/>
          <w:color w:val="000000"/>
          <w:spacing w:val="0"/>
          <w:w w:val="100"/>
          <w:position w:val="0"/>
          <w:sz w:val="32"/>
          <w:szCs w:val="32"/>
          <w:lang w:eastAsia="zh-CN"/>
        </w:rPr>
        <w:t>将</w:t>
      </w:r>
      <w:r>
        <w:rPr>
          <w:rFonts w:hint="eastAsia" w:ascii="宋体" w:hAnsi="宋体" w:eastAsia="方正仿宋_GBK" w:cstheme="minorEastAsia"/>
          <w:color w:val="000000"/>
          <w:spacing w:val="0"/>
          <w:w w:val="100"/>
          <w:position w:val="0"/>
          <w:sz w:val="32"/>
          <w:szCs w:val="32"/>
        </w:rPr>
        <w:t>余水扫进地漏，再用吸水器吸干地面的水分。四是打开门窗，用风扇吹于地面。</w:t>
      </w:r>
    </w:p>
    <w:p w14:paraId="24FD665B">
      <w:pPr>
        <w:pStyle w:val="434"/>
        <w:keepNext w:val="0"/>
        <w:keepLines w:val="0"/>
        <w:pageBreakBefore w:val="0"/>
        <w:widowControl w:val="0"/>
        <w:numPr>
          <w:ilvl w:val="0"/>
          <w:numId w:val="6"/>
        </w:numPr>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黑体_GBK" w:cs="方正黑体_GBK"/>
          <w:sz w:val="32"/>
          <w:szCs w:val="32"/>
        </w:rPr>
      </w:pPr>
      <w:r>
        <w:rPr>
          <w:rFonts w:hint="eastAsia" w:ascii="宋体" w:hAnsi="宋体" w:eastAsia="方正黑体_GBK" w:cs="方正黑体_GBK"/>
          <w:color w:val="000000"/>
          <w:spacing w:val="0"/>
          <w:w w:val="100"/>
          <w:position w:val="0"/>
          <w:sz w:val="32"/>
          <w:szCs w:val="32"/>
        </w:rPr>
        <w:t>日常保洁工作考核细则</w:t>
      </w:r>
    </w:p>
    <w:p w14:paraId="7E04805F">
      <w:pPr>
        <w:pStyle w:val="434"/>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579" w:lineRule="exact"/>
        <w:ind w:leftChars="200" w:right="0" w:rightChars="0" w:firstLine="640" w:firstLineChars="200"/>
        <w:jc w:val="both"/>
        <w:textAlignment w:val="auto"/>
        <w:outlineLvl w:val="9"/>
        <w:rPr>
          <w:rFonts w:hint="eastAsia" w:ascii="宋体" w:hAnsi="宋体" w:eastAsia="方正楷体_GBK" w:cs="方正楷体_GBK"/>
          <w:color w:val="000000"/>
          <w:spacing w:val="0"/>
          <w:w w:val="100"/>
          <w:position w:val="0"/>
          <w:sz w:val="32"/>
          <w:szCs w:val="32"/>
          <w:lang w:eastAsia="zh-CN"/>
        </w:rPr>
      </w:pPr>
      <w:r>
        <w:rPr>
          <w:rFonts w:hint="eastAsia" w:ascii="宋体" w:hAnsi="宋体" w:eastAsia="方正楷体_GBK" w:cs="方正楷体_GBK"/>
          <w:color w:val="000000"/>
          <w:spacing w:val="0"/>
          <w:w w:val="100"/>
          <w:position w:val="0"/>
          <w:sz w:val="32"/>
          <w:szCs w:val="32"/>
          <w:lang w:eastAsia="zh-CN"/>
        </w:rPr>
        <w:t>（一）</w:t>
      </w:r>
      <w:r>
        <w:rPr>
          <w:rFonts w:hint="eastAsia" w:ascii="宋体" w:hAnsi="宋体" w:eastAsia="方正楷体_GBK" w:cs="方正楷体_GBK"/>
          <w:color w:val="000000"/>
          <w:spacing w:val="0"/>
          <w:w w:val="100"/>
          <w:position w:val="0"/>
          <w:sz w:val="32"/>
          <w:szCs w:val="32"/>
        </w:rPr>
        <w:t>日常保洁工作考评表</w:t>
      </w:r>
    </w:p>
    <w:tbl>
      <w:tblPr>
        <w:tblStyle w:val="62"/>
        <w:tblW w:w="9648" w:type="dxa"/>
        <w:jc w:val="center"/>
        <w:tblLayout w:type="fixed"/>
        <w:tblCellMar>
          <w:top w:w="0" w:type="dxa"/>
          <w:left w:w="10" w:type="dxa"/>
          <w:bottom w:w="0" w:type="dxa"/>
          <w:right w:w="10" w:type="dxa"/>
        </w:tblCellMar>
      </w:tblPr>
      <w:tblGrid>
        <w:gridCol w:w="965"/>
        <w:gridCol w:w="5342"/>
        <w:gridCol w:w="1001"/>
        <w:gridCol w:w="1073"/>
        <w:gridCol w:w="1267"/>
      </w:tblGrid>
      <w:tr w14:paraId="4CC35EA9">
        <w:tblPrEx>
          <w:tblCellMar>
            <w:top w:w="0" w:type="dxa"/>
            <w:left w:w="10" w:type="dxa"/>
            <w:bottom w:w="0" w:type="dxa"/>
            <w:right w:w="10" w:type="dxa"/>
          </w:tblCellMar>
        </w:tblPrEx>
        <w:trPr>
          <w:trHeight w:val="578" w:hRule="exact"/>
          <w:jc w:val="center"/>
        </w:trPr>
        <w:tc>
          <w:tcPr>
            <w:tcW w:w="965" w:type="dxa"/>
            <w:tcBorders>
              <w:top w:val="single" w:color="auto" w:sz="4" w:space="0"/>
              <w:left w:val="single" w:color="auto" w:sz="4" w:space="0"/>
              <w:bottom w:val="single" w:color="auto" w:sz="4" w:space="0"/>
            </w:tcBorders>
            <w:shd w:val="clear" w:color="auto" w:fill="FFFFFF"/>
            <w:vAlign w:val="bottom"/>
          </w:tcPr>
          <w:p w14:paraId="101B876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center"/>
              <w:textAlignment w:val="auto"/>
              <w:outlineLvl w:val="9"/>
              <w:rPr>
                <w:rFonts w:hint="eastAsia" w:ascii="宋体" w:hAnsi="宋体" w:eastAsia="方正仿宋_GBK" w:cs="方正仿宋_GBK"/>
                <w:b/>
                <w:bCs/>
                <w:sz w:val="28"/>
                <w:szCs w:val="28"/>
              </w:rPr>
            </w:pPr>
            <w:r>
              <w:rPr>
                <w:rFonts w:hint="eastAsia" w:ascii="宋体" w:hAnsi="宋体" w:eastAsia="方正仿宋_GBK" w:cs="方正仿宋_GBK"/>
                <w:b/>
                <w:bCs/>
                <w:color w:val="000000"/>
                <w:spacing w:val="0"/>
                <w:w w:val="100"/>
                <w:position w:val="0"/>
                <w:sz w:val="28"/>
                <w:szCs w:val="28"/>
              </w:rPr>
              <w:t>满分</w:t>
            </w:r>
          </w:p>
        </w:tc>
        <w:tc>
          <w:tcPr>
            <w:tcW w:w="5342" w:type="dxa"/>
            <w:tcBorders>
              <w:top w:val="single" w:color="auto" w:sz="4" w:space="0"/>
              <w:left w:val="single" w:color="auto" w:sz="4" w:space="0"/>
            </w:tcBorders>
            <w:shd w:val="clear" w:color="auto" w:fill="FFFFFF"/>
            <w:vAlign w:val="bottom"/>
          </w:tcPr>
          <w:p w14:paraId="48EC67C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1968" w:firstLineChars="700"/>
              <w:jc w:val="center"/>
              <w:textAlignment w:val="auto"/>
              <w:outlineLvl w:val="9"/>
              <w:rPr>
                <w:rFonts w:hint="eastAsia" w:ascii="宋体" w:hAnsi="宋体" w:eastAsia="方正仿宋_GBK" w:cs="方正仿宋_GBK"/>
                <w:b/>
                <w:bCs/>
                <w:sz w:val="28"/>
                <w:szCs w:val="28"/>
              </w:rPr>
            </w:pPr>
            <w:r>
              <w:rPr>
                <w:rFonts w:hint="eastAsia" w:ascii="宋体" w:hAnsi="宋体" w:eastAsia="方正仿宋_GBK" w:cs="方正仿宋_GBK"/>
                <w:b/>
                <w:bCs/>
                <w:color w:val="000000"/>
                <w:spacing w:val="0"/>
                <w:w w:val="100"/>
                <w:position w:val="0"/>
                <w:sz w:val="28"/>
                <w:szCs w:val="28"/>
              </w:rPr>
              <w:t>标准要求</w:t>
            </w:r>
          </w:p>
        </w:tc>
        <w:tc>
          <w:tcPr>
            <w:tcW w:w="1001" w:type="dxa"/>
            <w:tcBorders>
              <w:top w:val="single" w:color="auto" w:sz="4" w:space="0"/>
              <w:left w:val="single" w:color="auto" w:sz="4" w:space="0"/>
            </w:tcBorders>
            <w:shd w:val="clear" w:color="auto" w:fill="FFFFFF"/>
            <w:vAlign w:val="bottom"/>
          </w:tcPr>
          <w:p w14:paraId="5D7A64D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center"/>
              <w:textAlignment w:val="auto"/>
              <w:outlineLvl w:val="9"/>
              <w:rPr>
                <w:rFonts w:hint="eastAsia" w:ascii="宋体" w:hAnsi="宋体" w:eastAsia="方正仿宋_GBK" w:cs="方正仿宋_GBK"/>
                <w:b/>
                <w:bCs/>
                <w:sz w:val="28"/>
                <w:szCs w:val="28"/>
              </w:rPr>
            </w:pPr>
            <w:r>
              <w:rPr>
                <w:rFonts w:hint="eastAsia" w:ascii="宋体" w:hAnsi="宋体" w:eastAsia="方正仿宋_GBK" w:cs="方正仿宋_GBK"/>
                <w:b/>
                <w:bCs/>
                <w:color w:val="000000"/>
                <w:spacing w:val="0"/>
                <w:w w:val="100"/>
                <w:position w:val="0"/>
                <w:sz w:val="28"/>
                <w:szCs w:val="28"/>
              </w:rPr>
              <w:t>分值</w:t>
            </w:r>
          </w:p>
        </w:tc>
        <w:tc>
          <w:tcPr>
            <w:tcW w:w="1073" w:type="dxa"/>
            <w:tcBorders>
              <w:top w:val="single" w:color="auto" w:sz="4" w:space="0"/>
              <w:left w:val="single" w:color="auto" w:sz="4" w:space="0"/>
            </w:tcBorders>
            <w:shd w:val="clear" w:color="auto" w:fill="FFFFFF"/>
            <w:vAlign w:val="bottom"/>
          </w:tcPr>
          <w:p w14:paraId="3A0322A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center"/>
              <w:textAlignment w:val="auto"/>
              <w:outlineLvl w:val="9"/>
              <w:rPr>
                <w:rFonts w:hint="eastAsia" w:ascii="宋体" w:hAnsi="宋体" w:eastAsia="方正仿宋_GBK" w:cs="方正仿宋_GBK"/>
                <w:b/>
                <w:bCs/>
                <w:sz w:val="28"/>
                <w:szCs w:val="28"/>
              </w:rPr>
            </w:pPr>
            <w:r>
              <w:rPr>
                <w:rFonts w:hint="eastAsia" w:ascii="宋体" w:hAnsi="宋体" w:eastAsia="方正仿宋_GBK" w:cs="方正仿宋_GBK"/>
                <w:b/>
                <w:bCs/>
                <w:color w:val="000000"/>
                <w:spacing w:val="0"/>
                <w:w w:val="100"/>
                <w:position w:val="0"/>
                <w:sz w:val="28"/>
                <w:szCs w:val="28"/>
              </w:rPr>
              <w:t>得分</w:t>
            </w:r>
          </w:p>
        </w:tc>
        <w:tc>
          <w:tcPr>
            <w:tcW w:w="1267" w:type="dxa"/>
            <w:tcBorders>
              <w:top w:val="single" w:color="auto" w:sz="4" w:space="0"/>
              <w:left w:val="single" w:color="auto" w:sz="4" w:space="0"/>
              <w:right w:val="single" w:color="auto" w:sz="4" w:space="0"/>
            </w:tcBorders>
            <w:shd w:val="clear" w:color="auto" w:fill="FFFFFF"/>
            <w:vAlign w:val="bottom"/>
          </w:tcPr>
          <w:p w14:paraId="7160776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center"/>
              <w:textAlignment w:val="auto"/>
              <w:outlineLvl w:val="9"/>
              <w:rPr>
                <w:rFonts w:hint="eastAsia" w:ascii="宋体" w:hAnsi="宋体" w:eastAsia="方正仿宋_GBK" w:cs="方正仿宋_GBK"/>
                <w:b/>
                <w:bCs/>
                <w:sz w:val="28"/>
                <w:szCs w:val="28"/>
              </w:rPr>
            </w:pPr>
            <w:r>
              <w:rPr>
                <w:rFonts w:hint="eastAsia" w:ascii="宋体" w:hAnsi="宋体" w:eastAsia="方正仿宋_GBK" w:cs="方正仿宋_GBK"/>
                <w:b/>
                <w:bCs/>
                <w:color w:val="000000"/>
                <w:spacing w:val="0"/>
                <w:w w:val="100"/>
                <w:position w:val="0"/>
                <w:sz w:val="28"/>
                <w:szCs w:val="28"/>
              </w:rPr>
              <w:t>备注</w:t>
            </w:r>
          </w:p>
        </w:tc>
      </w:tr>
      <w:tr w14:paraId="7CE9CEA7">
        <w:tblPrEx>
          <w:tblCellMar>
            <w:top w:w="0" w:type="dxa"/>
            <w:left w:w="10" w:type="dxa"/>
            <w:bottom w:w="0" w:type="dxa"/>
            <w:right w:w="10" w:type="dxa"/>
          </w:tblCellMar>
        </w:tblPrEx>
        <w:trPr>
          <w:trHeight w:val="548" w:hRule="exact"/>
          <w:jc w:val="center"/>
        </w:trPr>
        <w:tc>
          <w:tcPr>
            <w:tcW w:w="965" w:type="dxa"/>
            <w:vMerge w:val="restart"/>
            <w:tcBorders>
              <w:top w:val="single" w:color="auto" w:sz="4" w:space="0"/>
              <w:left w:val="single" w:color="auto" w:sz="4" w:space="0"/>
              <w:right w:val="single" w:color="auto" w:sz="4" w:space="0"/>
            </w:tcBorders>
            <w:shd w:val="clear" w:color="auto" w:fill="FFFFFF"/>
            <w:vAlign w:val="center"/>
          </w:tcPr>
          <w:p w14:paraId="245E237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保洁项</w:t>
            </w:r>
          </w:p>
          <w:p w14:paraId="522DD6C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满分100</w:t>
            </w:r>
          </w:p>
          <w:p w14:paraId="281D2FA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分</w:t>
            </w:r>
          </w:p>
        </w:tc>
        <w:tc>
          <w:tcPr>
            <w:tcW w:w="5342" w:type="dxa"/>
            <w:tcBorders>
              <w:top w:val="single" w:color="auto" w:sz="4" w:space="0"/>
              <w:left w:val="single" w:color="auto" w:sz="4" w:space="0"/>
            </w:tcBorders>
            <w:shd w:val="clear" w:color="auto" w:fill="FFFFFF"/>
            <w:vAlign w:val="center"/>
          </w:tcPr>
          <w:p w14:paraId="6676EC9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地面</w:t>
            </w:r>
            <w:r>
              <w:rPr>
                <w:rFonts w:hint="eastAsia" w:ascii="宋体" w:hAnsi="宋体" w:eastAsia="方正仿宋_GBK" w:cs="方正仿宋_GBK"/>
                <w:color w:val="000000"/>
                <w:spacing w:val="0"/>
                <w:w w:val="100"/>
                <w:position w:val="0"/>
                <w:sz w:val="28"/>
                <w:szCs w:val="28"/>
                <w:lang w:val="zh-CN" w:eastAsia="zh-CN"/>
              </w:rPr>
              <w:t>保洁：</w:t>
            </w:r>
            <w:r>
              <w:rPr>
                <w:rFonts w:hint="eastAsia" w:ascii="宋体" w:hAnsi="宋体" w:eastAsia="方正仿宋_GBK" w:cs="方正仿宋_GBK"/>
                <w:color w:val="000000"/>
                <w:spacing w:val="0"/>
                <w:w w:val="100"/>
                <w:position w:val="0"/>
                <w:sz w:val="28"/>
                <w:szCs w:val="28"/>
              </w:rPr>
              <w:t>无尘、无水、物杂物、无粘异物</w:t>
            </w:r>
          </w:p>
        </w:tc>
        <w:tc>
          <w:tcPr>
            <w:tcW w:w="1001" w:type="dxa"/>
            <w:tcBorders>
              <w:top w:val="single" w:color="auto" w:sz="4" w:space="0"/>
              <w:left w:val="single" w:color="auto" w:sz="4" w:space="0"/>
            </w:tcBorders>
            <w:shd w:val="clear" w:color="auto" w:fill="FFFFFF"/>
            <w:vAlign w:val="center"/>
          </w:tcPr>
          <w:p w14:paraId="34DB216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8分</w:t>
            </w:r>
          </w:p>
        </w:tc>
        <w:tc>
          <w:tcPr>
            <w:tcW w:w="1073" w:type="dxa"/>
            <w:tcBorders>
              <w:top w:val="single" w:color="auto" w:sz="4" w:space="0"/>
              <w:left w:val="single" w:color="auto" w:sz="4" w:space="0"/>
            </w:tcBorders>
            <w:shd w:val="clear" w:color="auto" w:fill="FFFFFF"/>
            <w:vAlign w:val="center"/>
          </w:tcPr>
          <w:p w14:paraId="05AD87F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right w:val="single" w:color="auto" w:sz="4" w:space="0"/>
            </w:tcBorders>
            <w:shd w:val="clear" w:color="auto" w:fill="FFFFFF"/>
            <w:vAlign w:val="center"/>
          </w:tcPr>
          <w:p w14:paraId="5CA3D4B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08E8F9BD">
        <w:tblPrEx>
          <w:tblCellMar>
            <w:top w:w="0" w:type="dxa"/>
            <w:left w:w="10" w:type="dxa"/>
            <w:bottom w:w="0" w:type="dxa"/>
            <w:right w:w="10" w:type="dxa"/>
          </w:tblCellMar>
        </w:tblPrEx>
        <w:trPr>
          <w:trHeight w:val="566" w:hRule="exact"/>
          <w:jc w:val="center"/>
        </w:trPr>
        <w:tc>
          <w:tcPr>
            <w:tcW w:w="965" w:type="dxa"/>
            <w:vMerge w:val="continue"/>
            <w:tcBorders>
              <w:left w:val="single" w:color="auto" w:sz="4" w:space="0"/>
              <w:right w:val="single" w:color="auto" w:sz="4" w:space="0"/>
            </w:tcBorders>
            <w:shd w:val="clear" w:color="auto" w:fill="FFFFFF"/>
            <w:vAlign w:val="center"/>
          </w:tcPr>
          <w:p w14:paraId="2FC0779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tcBorders>
            <w:shd w:val="clear" w:color="auto" w:fill="FFFFFF"/>
            <w:vAlign w:val="center"/>
          </w:tcPr>
          <w:p w14:paraId="0F1792B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墙面保洁：无印迹，无尘，清洁光亮</w:t>
            </w:r>
          </w:p>
        </w:tc>
        <w:tc>
          <w:tcPr>
            <w:tcW w:w="1001" w:type="dxa"/>
            <w:tcBorders>
              <w:top w:val="single" w:color="auto" w:sz="4" w:space="0"/>
              <w:left w:val="single" w:color="auto" w:sz="4" w:space="0"/>
            </w:tcBorders>
            <w:shd w:val="clear" w:color="auto" w:fill="FFFFFF"/>
            <w:vAlign w:val="center"/>
          </w:tcPr>
          <w:p w14:paraId="22307C9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8分</w:t>
            </w:r>
          </w:p>
        </w:tc>
        <w:tc>
          <w:tcPr>
            <w:tcW w:w="1073" w:type="dxa"/>
            <w:tcBorders>
              <w:top w:val="single" w:color="auto" w:sz="4" w:space="0"/>
              <w:left w:val="single" w:color="auto" w:sz="4" w:space="0"/>
            </w:tcBorders>
            <w:shd w:val="clear" w:color="auto" w:fill="FFFFFF"/>
            <w:vAlign w:val="center"/>
          </w:tcPr>
          <w:p w14:paraId="391A7AE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right w:val="single" w:color="auto" w:sz="4" w:space="0"/>
            </w:tcBorders>
            <w:shd w:val="clear" w:color="auto" w:fill="FFFFFF"/>
            <w:vAlign w:val="center"/>
          </w:tcPr>
          <w:p w14:paraId="093FE72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0E30F326">
        <w:tblPrEx>
          <w:tblCellMar>
            <w:top w:w="0" w:type="dxa"/>
            <w:left w:w="10" w:type="dxa"/>
            <w:bottom w:w="0" w:type="dxa"/>
            <w:right w:w="10" w:type="dxa"/>
          </w:tblCellMar>
        </w:tblPrEx>
        <w:trPr>
          <w:trHeight w:val="581" w:hRule="exact"/>
          <w:jc w:val="center"/>
        </w:trPr>
        <w:tc>
          <w:tcPr>
            <w:tcW w:w="965" w:type="dxa"/>
            <w:vMerge w:val="continue"/>
            <w:tcBorders>
              <w:left w:val="single" w:color="auto" w:sz="4" w:space="0"/>
              <w:right w:val="single" w:color="auto" w:sz="4" w:space="0"/>
            </w:tcBorders>
            <w:shd w:val="clear" w:color="auto" w:fill="FFFFFF"/>
            <w:vAlign w:val="center"/>
          </w:tcPr>
          <w:p w14:paraId="5A0848E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tcBorders>
            <w:shd w:val="clear" w:color="auto" w:fill="FFFFFF"/>
            <w:vAlign w:val="center"/>
          </w:tcPr>
          <w:p w14:paraId="4FBBDBF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立柱：无印迹，无杂物,清洁光亮</w:t>
            </w:r>
          </w:p>
        </w:tc>
        <w:tc>
          <w:tcPr>
            <w:tcW w:w="1001" w:type="dxa"/>
            <w:tcBorders>
              <w:top w:val="single" w:color="auto" w:sz="4" w:space="0"/>
              <w:left w:val="single" w:color="auto" w:sz="4" w:space="0"/>
            </w:tcBorders>
            <w:shd w:val="clear" w:color="auto" w:fill="FFFFFF"/>
            <w:vAlign w:val="center"/>
          </w:tcPr>
          <w:p w14:paraId="3CB7095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8分</w:t>
            </w:r>
          </w:p>
        </w:tc>
        <w:tc>
          <w:tcPr>
            <w:tcW w:w="1073" w:type="dxa"/>
            <w:tcBorders>
              <w:top w:val="single" w:color="auto" w:sz="4" w:space="0"/>
              <w:left w:val="single" w:color="auto" w:sz="4" w:space="0"/>
            </w:tcBorders>
            <w:shd w:val="clear" w:color="auto" w:fill="FFFFFF"/>
            <w:vAlign w:val="center"/>
          </w:tcPr>
          <w:p w14:paraId="41D346D0">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right w:val="single" w:color="auto" w:sz="4" w:space="0"/>
            </w:tcBorders>
            <w:shd w:val="clear" w:color="auto" w:fill="FFFFFF"/>
            <w:vAlign w:val="center"/>
          </w:tcPr>
          <w:p w14:paraId="1406608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7ECCD139">
        <w:tblPrEx>
          <w:tblCellMar>
            <w:top w:w="0" w:type="dxa"/>
            <w:left w:w="10" w:type="dxa"/>
            <w:bottom w:w="0" w:type="dxa"/>
            <w:right w:w="10" w:type="dxa"/>
          </w:tblCellMar>
        </w:tblPrEx>
        <w:trPr>
          <w:trHeight w:val="559" w:hRule="exact"/>
          <w:jc w:val="center"/>
        </w:trPr>
        <w:tc>
          <w:tcPr>
            <w:tcW w:w="965" w:type="dxa"/>
            <w:vMerge w:val="continue"/>
            <w:tcBorders>
              <w:left w:val="single" w:color="auto" w:sz="4" w:space="0"/>
              <w:right w:val="single" w:color="auto" w:sz="4" w:space="0"/>
            </w:tcBorders>
            <w:shd w:val="clear" w:color="auto" w:fill="FFFFFF"/>
            <w:vAlign w:val="center"/>
          </w:tcPr>
          <w:p w14:paraId="7CE4C49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tcBorders>
            <w:shd w:val="clear" w:color="auto" w:fill="FFFFFF"/>
            <w:vAlign w:val="center"/>
          </w:tcPr>
          <w:p w14:paraId="2D6FC11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门窗玻璃：无胶质，无杂物</w:t>
            </w:r>
          </w:p>
        </w:tc>
        <w:tc>
          <w:tcPr>
            <w:tcW w:w="1001" w:type="dxa"/>
            <w:tcBorders>
              <w:top w:val="single" w:color="auto" w:sz="4" w:space="0"/>
              <w:left w:val="single" w:color="auto" w:sz="4" w:space="0"/>
            </w:tcBorders>
            <w:shd w:val="clear" w:color="auto" w:fill="FFFFFF"/>
            <w:vAlign w:val="center"/>
          </w:tcPr>
          <w:p w14:paraId="078BEA9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8分</w:t>
            </w:r>
          </w:p>
        </w:tc>
        <w:tc>
          <w:tcPr>
            <w:tcW w:w="1073" w:type="dxa"/>
            <w:tcBorders>
              <w:top w:val="single" w:color="auto" w:sz="4" w:space="0"/>
              <w:left w:val="single" w:color="auto" w:sz="4" w:space="0"/>
            </w:tcBorders>
            <w:shd w:val="clear" w:color="auto" w:fill="FFFFFF"/>
            <w:vAlign w:val="center"/>
          </w:tcPr>
          <w:p w14:paraId="7782155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right w:val="single" w:color="auto" w:sz="4" w:space="0"/>
            </w:tcBorders>
            <w:shd w:val="clear" w:color="auto" w:fill="FFFFFF"/>
            <w:vAlign w:val="center"/>
          </w:tcPr>
          <w:p w14:paraId="3847C66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3D28A14F">
        <w:tblPrEx>
          <w:tblCellMar>
            <w:top w:w="0" w:type="dxa"/>
            <w:left w:w="10" w:type="dxa"/>
            <w:bottom w:w="0" w:type="dxa"/>
            <w:right w:w="10" w:type="dxa"/>
          </w:tblCellMar>
        </w:tblPrEx>
        <w:trPr>
          <w:trHeight w:val="1193" w:hRule="exact"/>
          <w:jc w:val="center"/>
        </w:trPr>
        <w:tc>
          <w:tcPr>
            <w:tcW w:w="965" w:type="dxa"/>
            <w:vMerge w:val="continue"/>
            <w:tcBorders>
              <w:left w:val="single" w:color="auto" w:sz="4" w:space="0"/>
              <w:right w:val="single" w:color="auto" w:sz="4" w:space="0"/>
            </w:tcBorders>
            <w:shd w:val="clear" w:color="auto" w:fill="FFFFFF"/>
            <w:vAlign w:val="center"/>
          </w:tcPr>
          <w:p w14:paraId="5FAAE89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tcBorders>
            <w:shd w:val="clear" w:color="auto" w:fill="FFFFFF"/>
            <w:vAlign w:val="center"/>
          </w:tcPr>
          <w:p w14:paraId="1609C93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卫生间：无异味，无脏迹，无尿碱，无水垢，镜面，墙面，地面清洁光亮</w:t>
            </w:r>
          </w:p>
        </w:tc>
        <w:tc>
          <w:tcPr>
            <w:tcW w:w="1001" w:type="dxa"/>
            <w:tcBorders>
              <w:top w:val="single" w:color="auto" w:sz="4" w:space="0"/>
              <w:left w:val="single" w:color="auto" w:sz="4" w:space="0"/>
            </w:tcBorders>
            <w:shd w:val="clear" w:color="auto" w:fill="FFFFFF"/>
            <w:vAlign w:val="center"/>
          </w:tcPr>
          <w:p w14:paraId="7EC5BB8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8分</w:t>
            </w:r>
          </w:p>
        </w:tc>
        <w:tc>
          <w:tcPr>
            <w:tcW w:w="1073" w:type="dxa"/>
            <w:tcBorders>
              <w:top w:val="single" w:color="auto" w:sz="4" w:space="0"/>
              <w:left w:val="single" w:color="auto" w:sz="4" w:space="0"/>
            </w:tcBorders>
            <w:shd w:val="clear" w:color="auto" w:fill="FFFFFF"/>
            <w:vAlign w:val="center"/>
          </w:tcPr>
          <w:p w14:paraId="583D37C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right w:val="single" w:color="auto" w:sz="4" w:space="0"/>
            </w:tcBorders>
            <w:shd w:val="clear" w:color="auto" w:fill="FFFFFF"/>
            <w:vAlign w:val="center"/>
          </w:tcPr>
          <w:p w14:paraId="7CF1AEC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28C5F897">
        <w:tblPrEx>
          <w:tblCellMar>
            <w:top w:w="0" w:type="dxa"/>
            <w:left w:w="10" w:type="dxa"/>
            <w:bottom w:w="0" w:type="dxa"/>
            <w:right w:w="10" w:type="dxa"/>
          </w:tblCellMar>
        </w:tblPrEx>
        <w:trPr>
          <w:trHeight w:val="619" w:hRule="exact"/>
          <w:jc w:val="center"/>
        </w:trPr>
        <w:tc>
          <w:tcPr>
            <w:tcW w:w="965" w:type="dxa"/>
            <w:vMerge w:val="continue"/>
            <w:tcBorders>
              <w:left w:val="single" w:color="auto" w:sz="4" w:space="0"/>
              <w:right w:val="single" w:color="auto" w:sz="4" w:space="0"/>
            </w:tcBorders>
            <w:shd w:val="clear" w:color="auto" w:fill="FFFFFF"/>
            <w:vAlign w:val="center"/>
          </w:tcPr>
          <w:p w14:paraId="491EAC78">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tcBorders>
            <w:shd w:val="clear" w:color="auto" w:fill="FFFFFF"/>
            <w:vAlign w:val="center"/>
          </w:tcPr>
          <w:p w14:paraId="0B01BD9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门厅：地面清洁,玻璃光亮，无污垢，杂物</w:t>
            </w:r>
          </w:p>
        </w:tc>
        <w:tc>
          <w:tcPr>
            <w:tcW w:w="1001" w:type="dxa"/>
            <w:tcBorders>
              <w:top w:val="single" w:color="auto" w:sz="4" w:space="0"/>
              <w:left w:val="single" w:color="auto" w:sz="4" w:space="0"/>
            </w:tcBorders>
            <w:shd w:val="clear" w:color="auto" w:fill="FFFFFF"/>
            <w:vAlign w:val="center"/>
          </w:tcPr>
          <w:p w14:paraId="3A1989B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8分</w:t>
            </w:r>
          </w:p>
        </w:tc>
        <w:tc>
          <w:tcPr>
            <w:tcW w:w="1073" w:type="dxa"/>
            <w:tcBorders>
              <w:top w:val="single" w:color="auto" w:sz="4" w:space="0"/>
              <w:left w:val="single" w:color="auto" w:sz="4" w:space="0"/>
            </w:tcBorders>
            <w:shd w:val="clear" w:color="auto" w:fill="FFFFFF"/>
            <w:vAlign w:val="center"/>
          </w:tcPr>
          <w:p w14:paraId="6C153B0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right w:val="single" w:color="auto" w:sz="4" w:space="0"/>
            </w:tcBorders>
            <w:shd w:val="clear" w:color="auto" w:fill="FFFFFF"/>
            <w:vAlign w:val="center"/>
          </w:tcPr>
          <w:p w14:paraId="1EDAAAD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6D8404C1">
        <w:tblPrEx>
          <w:tblCellMar>
            <w:top w:w="0" w:type="dxa"/>
            <w:left w:w="10" w:type="dxa"/>
            <w:bottom w:w="0" w:type="dxa"/>
            <w:right w:w="10" w:type="dxa"/>
          </w:tblCellMar>
        </w:tblPrEx>
        <w:trPr>
          <w:trHeight w:val="662" w:hRule="exact"/>
          <w:jc w:val="center"/>
        </w:trPr>
        <w:tc>
          <w:tcPr>
            <w:tcW w:w="965" w:type="dxa"/>
            <w:vMerge w:val="continue"/>
            <w:tcBorders>
              <w:left w:val="single" w:color="auto" w:sz="4" w:space="0"/>
              <w:right w:val="single" w:color="auto" w:sz="4" w:space="0"/>
            </w:tcBorders>
            <w:shd w:val="clear" w:color="auto" w:fill="FFFFFF"/>
            <w:vAlign w:val="center"/>
          </w:tcPr>
          <w:p w14:paraId="0F6C741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bottom w:val="single" w:color="auto" w:sz="4" w:space="0"/>
            </w:tcBorders>
            <w:shd w:val="clear" w:color="auto" w:fill="FFFFFF"/>
            <w:vAlign w:val="center"/>
          </w:tcPr>
          <w:p w14:paraId="7CA73158">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办公室：桌面地面垃圾等全面保洁2次</w:t>
            </w:r>
          </w:p>
        </w:tc>
        <w:tc>
          <w:tcPr>
            <w:tcW w:w="1001" w:type="dxa"/>
            <w:tcBorders>
              <w:top w:val="single" w:color="auto" w:sz="4" w:space="0"/>
              <w:left w:val="single" w:color="auto" w:sz="4" w:space="0"/>
              <w:bottom w:val="single" w:color="auto" w:sz="4" w:space="0"/>
            </w:tcBorders>
            <w:shd w:val="clear" w:color="auto" w:fill="FFFFFF"/>
            <w:vAlign w:val="center"/>
          </w:tcPr>
          <w:p w14:paraId="39B0AF6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8分</w:t>
            </w:r>
          </w:p>
        </w:tc>
        <w:tc>
          <w:tcPr>
            <w:tcW w:w="1073" w:type="dxa"/>
            <w:tcBorders>
              <w:top w:val="single" w:color="auto" w:sz="4" w:space="0"/>
              <w:left w:val="single" w:color="auto" w:sz="4" w:space="0"/>
              <w:bottom w:val="single" w:color="auto" w:sz="4" w:space="0"/>
            </w:tcBorders>
            <w:shd w:val="clear" w:color="auto" w:fill="FFFFFF"/>
            <w:vAlign w:val="center"/>
          </w:tcPr>
          <w:p w14:paraId="07CA9A52">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bottom w:val="single" w:color="auto" w:sz="4" w:space="0"/>
              <w:right w:val="single" w:color="auto" w:sz="4" w:space="0"/>
            </w:tcBorders>
            <w:shd w:val="clear" w:color="auto" w:fill="FFFFFF"/>
            <w:vAlign w:val="center"/>
          </w:tcPr>
          <w:p w14:paraId="74FB852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777D2CF6">
        <w:tblPrEx>
          <w:tblCellMar>
            <w:top w:w="0" w:type="dxa"/>
            <w:left w:w="10" w:type="dxa"/>
            <w:bottom w:w="0" w:type="dxa"/>
            <w:right w:w="10" w:type="dxa"/>
          </w:tblCellMar>
        </w:tblPrEx>
        <w:trPr>
          <w:trHeight w:val="647" w:hRule="exact"/>
          <w:jc w:val="center"/>
        </w:trPr>
        <w:tc>
          <w:tcPr>
            <w:tcW w:w="965" w:type="dxa"/>
            <w:vMerge w:val="continue"/>
            <w:tcBorders>
              <w:left w:val="single" w:color="auto" w:sz="4" w:space="0"/>
              <w:right w:val="single" w:color="auto" w:sz="4" w:space="0"/>
            </w:tcBorders>
            <w:shd w:val="clear" w:color="auto" w:fill="FFFFFF"/>
            <w:vAlign w:val="center"/>
          </w:tcPr>
          <w:p w14:paraId="412982C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bottom w:val="single" w:color="auto" w:sz="4" w:space="0"/>
            </w:tcBorders>
            <w:shd w:val="clear" w:color="auto" w:fill="FFFFFF"/>
            <w:vAlign w:val="center"/>
          </w:tcPr>
          <w:p w14:paraId="10FB43A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公共过道：地面清洁，无污垢，水迹，烟头等杂物</w:t>
            </w:r>
          </w:p>
        </w:tc>
        <w:tc>
          <w:tcPr>
            <w:tcW w:w="1001" w:type="dxa"/>
            <w:tcBorders>
              <w:top w:val="single" w:color="auto" w:sz="4" w:space="0"/>
              <w:left w:val="single" w:color="auto" w:sz="4" w:space="0"/>
              <w:bottom w:val="single" w:color="auto" w:sz="4" w:space="0"/>
            </w:tcBorders>
            <w:shd w:val="clear" w:color="auto" w:fill="FFFFFF"/>
            <w:vAlign w:val="center"/>
          </w:tcPr>
          <w:p w14:paraId="0277927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8分</w:t>
            </w:r>
          </w:p>
        </w:tc>
        <w:tc>
          <w:tcPr>
            <w:tcW w:w="1073" w:type="dxa"/>
            <w:tcBorders>
              <w:top w:val="single" w:color="auto" w:sz="4" w:space="0"/>
              <w:left w:val="single" w:color="auto" w:sz="4" w:space="0"/>
              <w:bottom w:val="single" w:color="auto" w:sz="4" w:space="0"/>
            </w:tcBorders>
            <w:shd w:val="clear" w:color="auto" w:fill="FFFFFF"/>
            <w:vAlign w:val="center"/>
          </w:tcPr>
          <w:p w14:paraId="0AE0AFC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bottom w:val="single" w:color="auto" w:sz="4" w:space="0"/>
              <w:right w:val="single" w:color="auto" w:sz="4" w:space="0"/>
            </w:tcBorders>
            <w:shd w:val="clear" w:color="auto" w:fill="FFFFFF"/>
            <w:vAlign w:val="center"/>
          </w:tcPr>
          <w:p w14:paraId="6FA28500">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30D6CAFF">
        <w:tblPrEx>
          <w:tblCellMar>
            <w:top w:w="0" w:type="dxa"/>
            <w:left w:w="10" w:type="dxa"/>
            <w:bottom w:w="0" w:type="dxa"/>
            <w:right w:w="10" w:type="dxa"/>
          </w:tblCellMar>
        </w:tblPrEx>
        <w:trPr>
          <w:trHeight w:val="632" w:hRule="exact"/>
          <w:jc w:val="center"/>
        </w:trPr>
        <w:tc>
          <w:tcPr>
            <w:tcW w:w="965" w:type="dxa"/>
            <w:vMerge w:val="continue"/>
            <w:tcBorders>
              <w:left w:val="single" w:color="auto" w:sz="4" w:space="0"/>
              <w:right w:val="single" w:color="auto" w:sz="4" w:space="0"/>
            </w:tcBorders>
            <w:shd w:val="clear" w:color="auto" w:fill="FFFFFF"/>
            <w:vAlign w:val="center"/>
          </w:tcPr>
          <w:p w14:paraId="61A4347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bottom w:val="single" w:color="auto" w:sz="4" w:space="0"/>
            </w:tcBorders>
            <w:shd w:val="clear" w:color="auto" w:fill="FFFFFF"/>
            <w:vAlign w:val="center"/>
          </w:tcPr>
          <w:p w14:paraId="302C237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天棚：无灰尘，挂灰，无蜘蛛网</w:t>
            </w:r>
          </w:p>
        </w:tc>
        <w:tc>
          <w:tcPr>
            <w:tcW w:w="1001" w:type="dxa"/>
            <w:tcBorders>
              <w:top w:val="single" w:color="auto" w:sz="4" w:space="0"/>
              <w:left w:val="single" w:color="auto" w:sz="4" w:space="0"/>
              <w:bottom w:val="single" w:color="auto" w:sz="4" w:space="0"/>
            </w:tcBorders>
            <w:shd w:val="clear" w:color="auto" w:fill="FFFFFF"/>
            <w:vAlign w:val="center"/>
          </w:tcPr>
          <w:p w14:paraId="0DFB6A9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8分</w:t>
            </w:r>
          </w:p>
        </w:tc>
        <w:tc>
          <w:tcPr>
            <w:tcW w:w="1073" w:type="dxa"/>
            <w:tcBorders>
              <w:top w:val="single" w:color="auto" w:sz="4" w:space="0"/>
              <w:left w:val="single" w:color="auto" w:sz="4" w:space="0"/>
              <w:bottom w:val="single" w:color="auto" w:sz="4" w:space="0"/>
            </w:tcBorders>
            <w:shd w:val="clear" w:color="auto" w:fill="FFFFFF"/>
            <w:vAlign w:val="center"/>
          </w:tcPr>
          <w:p w14:paraId="5E7790E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bottom w:val="single" w:color="auto" w:sz="4" w:space="0"/>
              <w:right w:val="single" w:color="auto" w:sz="4" w:space="0"/>
            </w:tcBorders>
            <w:shd w:val="clear" w:color="auto" w:fill="FFFFFF"/>
            <w:vAlign w:val="center"/>
          </w:tcPr>
          <w:p w14:paraId="25D63BB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1EB78615">
        <w:tblPrEx>
          <w:tblCellMar>
            <w:top w:w="0" w:type="dxa"/>
            <w:left w:w="10" w:type="dxa"/>
            <w:bottom w:w="0" w:type="dxa"/>
            <w:right w:w="10" w:type="dxa"/>
          </w:tblCellMar>
        </w:tblPrEx>
        <w:trPr>
          <w:trHeight w:val="632" w:hRule="exact"/>
          <w:jc w:val="center"/>
        </w:trPr>
        <w:tc>
          <w:tcPr>
            <w:tcW w:w="965" w:type="dxa"/>
            <w:vMerge w:val="continue"/>
            <w:tcBorders>
              <w:left w:val="single" w:color="auto" w:sz="4" w:space="0"/>
              <w:right w:val="single" w:color="auto" w:sz="4" w:space="0"/>
            </w:tcBorders>
            <w:shd w:val="clear" w:color="auto" w:fill="FFFFFF"/>
            <w:vAlign w:val="center"/>
          </w:tcPr>
          <w:p w14:paraId="3E6E9A03">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bottom w:val="single" w:color="auto" w:sz="4" w:space="0"/>
            </w:tcBorders>
            <w:shd w:val="clear" w:color="auto" w:fill="FFFFFF"/>
            <w:vAlign w:val="center"/>
          </w:tcPr>
          <w:p w14:paraId="0DDFD57A">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灯具：无灰尘，清洁光亮</w:t>
            </w:r>
          </w:p>
        </w:tc>
        <w:tc>
          <w:tcPr>
            <w:tcW w:w="1001" w:type="dxa"/>
            <w:tcBorders>
              <w:top w:val="single" w:color="auto" w:sz="4" w:space="0"/>
              <w:left w:val="single" w:color="auto" w:sz="4" w:space="0"/>
              <w:bottom w:val="single" w:color="auto" w:sz="4" w:space="0"/>
            </w:tcBorders>
            <w:shd w:val="clear" w:color="auto" w:fill="FFFFFF"/>
            <w:vAlign w:val="center"/>
          </w:tcPr>
          <w:p w14:paraId="08162C6D">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7分</w:t>
            </w:r>
          </w:p>
        </w:tc>
        <w:tc>
          <w:tcPr>
            <w:tcW w:w="1073" w:type="dxa"/>
            <w:tcBorders>
              <w:top w:val="single" w:color="auto" w:sz="4" w:space="0"/>
              <w:left w:val="single" w:color="auto" w:sz="4" w:space="0"/>
              <w:bottom w:val="single" w:color="auto" w:sz="4" w:space="0"/>
            </w:tcBorders>
            <w:shd w:val="clear" w:color="auto" w:fill="FFFFFF"/>
            <w:vAlign w:val="center"/>
          </w:tcPr>
          <w:p w14:paraId="3930942F">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bottom w:val="single" w:color="auto" w:sz="4" w:space="0"/>
              <w:right w:val="single" w:color="auto" w:sz="4" w:space="0"/>
            </w:tcBorders>
            <w:shd w:val="clear" w:color="auto" w:fill="FFFFFF"/>
            <w:vAlign w:val="center"/>
          </w:tcPr>
          <w:p w14:paraId="2187D9DB">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7058E609">
        <w:tblPrEx>
          <w:tblCellMar>
            <w:top w:w="0" w:type="dxa"/>
            <w:left w:w="10" w:type="dxa"/>
            <w:bottom w:w="0" w:type="dxa"/>
            <w:right w:w="10" w:type="dxa"/>
          </w:tblCellMar>
        </w:tblPrEx>
        <w:trPr>
          <w:trHeight w:val="647" w:hRule="exact"/>
          <w:jc w:val="center"/>
        </w:trPr>
        <w:tc>
          <w:tcPr>
            <w:tcW w:w="965" w:type="dxa"/>
            <w:vMerge w:val="continue"/>
            <w:tcBorders>
              <w:left w:val="single" w:color="auto" w:sz="4" w:space="0"/>
              <w:right w:val="single" w:color="auto" w:sz="4" w:space="0"/>
            </w:tcBorders>
            <w:shd w:val="clear" w:color="auto" w:fill="FFFFFF"/>
            <w:vAlign w:val="center"/>
          </w:tcPr>
          <w:p w14:paraId="1B800CE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bottom w:val="single" w:color="auto" w:sz="4" w:space="0"/>
            </w:tcBorders>
            <w:shd w:val="clear" w:color="auto" w:fill="FFFFFF"/>
            <w:vAlign w:val="center"/>
          </w:tcPr>
          <w:p w14:paraId="5A81708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标示牌：无尘，清洁光亮</w:t>
            </w:r>
          </w:p>
        </w:tc>
        <w:tc>
          <w:tcPr>
            <w:tcW w:w="1001" w:type="dxa"/>
            <w:tcBorders>
              <w:top w:val="single" w:color="auto" w:sz="4" w:space="0"/>
              <w:left w:val="single" w:color="auto" w:sz="4" w:space="0"/>
              <w:bottom w:val="single" w:color="auto" w:sz="4" w:space="0"/>
            </w:tcBorders>
            <w:shd w:val="clear" w:color="auto" w:fill="FFFFFF"/>
            <w:vAlign w:val="center"/>
          </w:tcPr>
          <w:p w14:paraId="0C5789B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6分</w:t>
            </w:r>
          </w:p>
        </w:tc>
        <w:tc>
          <w:tcPr>
            <w:tcW w:w="1073" w:type="dxa"/>
            <w:tcBorders>
              <w:top w:val="single" w:color="auto" w:sz="4" w:space="0"/>
              <w:left w:val="single" w:color="auto" w:sz="4" w:space="0"/>
              <w:bottom w:val="single" w:color="auto" w:sz="4" w:space="0"/>
            </w:tcBorders>
            <w:shd w:val="clear" w:color="auto" w:fill="FFFFFF"/>
            <w:vAlign w:val="center"/>
          </w:tcPr>
          <w:p w14:paraId="299ED71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bottom w:val="single" w:color="auto" w:sz="4" w:space="0"/>
              <w:right w:val="single" w:color="auto" w:sz="4" w:space="0"/>
            </w:tcBorders>
            <w:shd w:val="clear" w:color="auto" w:fill="FFFFFF"/>
            <w:vAlign w:val="center"/>
          </w:tcPr>
          <w:p w14:paraId="6944E0E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36DD22D8">
        <w:tblPrEx>
          <w:tblCellMar>
            <w:top w:w="0" w:type="dxa"/>
            <w:left w:w="10" w:type="dxa"/>
            <w:bottom w:w="0" w:type="dxa"/>
            <w:right w:w="10" w:type="dxa"/>
          </w:tblCellMar>
        </w:tblPrEx>
        <w:trPr>
          <w:trHeight w:val="1119" w:hRule="exact"/>
          <w:jc w:val="center"/>
        </w:trPr>
        <w:tc>
          <w:tcPr>
            <w:tcW w:w="965" w:type="dxa"/>
            <w:vMerge w:val="continue"/>
            <w:tcBorders>
              <w:left w:val="single" w:color="auto" w:sz="4" w:space="0"/>
              <w:right w:val="single" w:color="auto" w:sz="4" w:space="0"/>
            </w:tcBorders>
            <w:shd w:val="clear" w:color="auto" w:fill="FFFFFF"/>
            <w:vAlign w:val="center"/>
          </w:tcPr>
          <w:p w14:paraId="62146E9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bottom w:val="single" w:color="auto" w:sz="4" w:space="0"/>
            </w:tcBorders>
            <w:shd w:val="clear" w:color="auto" w:fill="FFFFFF"/>
            <w:vAlign w:val="center"/>
          </w:tcPr>
          <w:p w14:paraId="270E7C2C">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楼梯：梯间无泥沙</w:t>
            </w:r>
            <w:r>
              <w:rPr>
                <w:rFonts w:hint="eastAsia" w:eastAsia="方正仿宋_GBK" w:cs="方正仿宋_GBK"/>
                <w:color w:val="000000"/>
                <w:spacing w:val="0"/>
                <w:w w:val="100"/>
                <w:position w:val="0"/>
                <w:sz w:val="28"/>
                <w:szCs w:val="28"/>
                <w:lang w:val="en-US" w:eastAsia="zh-CN"/>
              </w:rPr>
              <w:t>烟头</w:t>
            </w:r>
            <w:r>
              <w:rPr>
                <w:rFonts w:hint="eastAsia" w:ascii="宋体" w:hAnsi="宋体" w:eastAsia="方正仿宋_GBK" w:cs="方正仿宋_GBK"/>
                <w:color w:val="000000"/>
                <w:spacing w:val="0"/>
                <w:w w:val="100"/>
                <w:position w:val="0"/>
                <w:sz w:val="28"/>
                <w:szCs w:val="28"/>
              </w:rPr>
              <w:t>，无蜘蛛网，挂灰</w:t>
            </w:r>
            <w:r>
              <w:rPr>
                <w:rFonts w:hint="eastAsia" w:eastAsia="方正仿宋_GBK" w:cs="方正仿宋_GBK"/>
                <w:color w:val="000000"/>
                <w:spacing w:val="0"/>
                <w:w w:val="100"/>
                <w:position w:val="0"/>
                <w:sz w:val="28"/>
                <w:szCs w:val="28"/>
                <w:lang w:eastAsia="zh-CN"/>
              </w:rPr>
              <w:t>、</w:t>
            </w:r>
            <w:r>
              <w:rPr>
                <w:rFonts w:hint="eastAsia" w:ascii="宋体" w:hAnsi="宋体" w:eastAsia="方正仿宋_GBK" w:cs="方正仿宋_GBK"/>
                <w:color w:val="000000"/>
                <w:spacing w:val="0"/>
                <w:w w:val="100"/>
                <w:position w:val="0"/>
                <w:sz w:val="28"/>
                <w:szCs w:val="28"/>
              </w:rPr>
              <w:t>清洁光亮</w:t>
            </w:r>
          </w:p>
        </w:tc>
        <w:tc>
          <w:tcPr>
            <w:tcW w:w="1001" w:type="dxa"/>
            <w:tcBorders>
              <w:top w:val="single" w:color="auto" w:sz="4" w:space="0"/>
              <w:left w:val="single" w:color="auto" w:sz="4" w:space="0"/>
              <w:bottom w:val="single" w:color="auto" w:sz="4" w:space="0"/>
            </w:tcBorders>
            <w:shd w:val="clear" w:color="auto" w:fill="FFFFFF"/>
            <w:vAlign w:val="center"/>
          </w:tcPr>
          <w:p w14:paraId="4277F61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7分</w:t>
            </w:r>
          </w:p>
        </w:tc>
        <w:tc>
          <w:tcPr>
            <w:tcW w:w="1073" w:type="dxa"/>
            <w:tcBorders>
              <w:top w:val="single" w:color="auto" w:sz="4" w:space="0"/>
              <w:left w:val="single" w:color="auto" w:sz="4" w:space="0"/>
              <w:bottom w:val="single" w:color="auto" w:sz="4" w:space="0"/>
            </w:tcBorders>
            <w:shd w:val="clear" w:color="auto" w:fill="FFFFFF"/>
            <w:vAlign w:val="center"/>
          </w:tcPr>
          <w:p w14:paraId="776513B0">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bottom w:val="single" w:color="auto" w:sz="4" w:space="0"/>
              <w:right w:val="single" w:color="auto" w:sz="4" w:space="0"/>
            </w:tcBorders>
            <w:shd w:val="clear" w:color="auto" w:fill="FFFFFF"/>
            <w:vAlign w:val="center"/>
          </w:tcPr>
          <w:p w14:paraId="4355083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230CAE1F">
        <w:tblPrEx>
          <w:tblCellMar>
            <w:top w:w="0" w:type="dxa"/>
            <w:left w:w="10" w:type="dxa"/>
            <w:bottom w:w="0" w:type="dxa"/>
            <w:right w:w="10" w:type="dxa"/>
          </w:tblCellMar>
        </w:tblPrEx>
        <w:trPr>
          <w:trHeight w:val="737" w:hRule="exact"/>
          <w:jc w:val="center"/>
        </w:trPr>
        <w:tc>
          <w:tcPr>
            <w:tcW w:w="965" w:type="dxa"/>
            <w:vMerge w:val="continue"/>
            <w:tcBorders>
              <w:left w:val="single" w:color="auto" w:sz="4" w:space="0"/>
              <w:right w:val="single" w:color="auto" w:sz="4" w:space="0"/>
            </w:tcBorders>
            <w:shd w:val="clear" w:color="auto" w:fill="FFFFFF"/>
            <w:vAlign w:val="center"/>
          </w:tcPr>
          <w:p w14:paraId="0C5C2636">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bottom w:val="single" w:color="auto" w:sz="4" w:space="0"/>
            </w:tcBorders>
            <w:shd w:val="clear" w:color="auto" w:fill="FFFFFF"/>
            <w:vAlign w:val="center"/>
          </w:tcPr>
          <w:p w14:paraId="54090A74">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垃圾收集：垃圾篓无堆积，无积水，无污迹，垃</w:t>
            </w:r>
          </w:p>
          <w:p w14:paraId="34D88B3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圾清运率达</w:t>
            </w:r>
          </w:p>
        </w:tc>
        <w:tc>
          <w:tcPr>
            <w:tcW w:w="1001" w:type="dxa"/>
            <w:tcBorders>
              <w:top w:val="single" w:color="auto" w:sz="4" w:space="0"/>
              <w:left w:val="single" w:color="auto" w:sz="4" w:space="0"/>
              <w:bottom w:val="single" w:color="auto" w:sz="4" w:space="0"/>
            </w:tcBorders>
            <w:shd w:val="clear" w:color="auto" w:fill="FFFFFF"/>
            <w:vAlign w:val="center"/>
          </w:tcPr>
          <w:p w14:paraId="708EF857">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280" w:firstLineChars="100"/>
              <w:jc w:val="both"/>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8分</w:t>
            </w:r>
          </w:p>
        </w:tc>
        <w:tc>
          <w:tcPr>
            <w:tcW w:w="1073" w:type="dxa"/>
            <w:tcBorders>
              <w:top w:val="single" w:color="auto" w:sz="4" w:space="0"/>
              <w:left w:val="single" w:color="auto" w:sz="4" w:space="0"/>
              <w:bottom w:val="single" w:color="auto" w:sz="4" w:space="0"/>
            </w:tcBorders>
            <w:shd w:val="clear" w:color="auto" w:fill="FFFFFF"/>
            <w:vAlign w:val="center"/>
          </w:tcPr>
          <w:p w14:paraId="52CE9745">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1267" w:type="dxa"/>
            <w:tcBorders>
              <w:top w:val="single" w:color="auto" w:sz="4" w:space="0"/>
              <w:left w:val="single" w:color="auto" w:sz="4" w:space="0"/>
              <w:bottom w:val="single" w:color="auto" w:sz="4" w:space="0"/>
              <w:right w:val="single" w:color="auto" w:sz="4" w:space="0"/>
            </w:tcBorders>
            <w:shd w:val="clear" w:color="auto" w:fill="FFFFFF"/>
            <w:vAlign w:val="center"/>
          </w:tcPr>
          <w:p w14:paraId="0D238AAE">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r w14:paraId="01DE2148">
        <w:tblPrEx>
          <w:tblCellMar>
            <w:top w:w="0" w:type="dxa"/>
            <w:left w:w="10" w:type="dxa"/>
            <w:bottom w:w="0" w:type="dxa"/>
            <w:right w:w="10" w:type="dxa"/>
          </w:tblCellMar>
        </w:tblPrEx>
        <w:trPr>
          <w:trHeight w:val="857" w:hRule="exact"/>
          <w:jc w:val="center"/>
        </w:trPr>
        <w:tc>
          <w:tcPr>
            <w:tcW w:w="965" w:type="dxa"/>
            <w:vMerge w:val="continue"/>
            <w:tcBorders>
              <w:left w:val="single" w:color="auto" w:sz="4" w:space="0"/>
              <w:bottom w:val="single" w:color="auto" w:sz="4" w:space="0"/>
              <w:right w:val="single" w:color="auto" w:sz="4" w:space="0"/>
            </w:tcBorders>
            <w:shd w:val="clear" w:color="auto" w:fill="FFFFFF"/>
            <w:vAlign w:val="center"/>
          </w:tcPr>
          <w:p w14:paraId="5E7C1989">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c>
          <w:tcPr>
            <w:tcW w:w="5342" w:type="dxa"/>
            <w:tcBorders>
              <w:top w:val="single" w:color="auto" w:sz="4" w:space="0"/>
              <w:left w:val="single" w:color="auto" w:sz="4" w:space="0"/>
              <w:bottom w:val="single" w:color="auto" w:sz="4" w:space="0"/>
              <w:right w:val="single" w:color="auto" w:sz="4" w:space="0"/>
            </w:tcBorders>
            <w:shd w:val="clear" w:color="auto" w:fill="FFFFFF"/>
            <w:vAlign w:val="center"/>
          </w:tcPr>
          <w:p w14:paraId="77B9CEE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r>
              <w:rPr>
                <w:rFonts w:hint="eastAsia" w:ascii="宋体" w:hAnsi="宋体" w:eastAsia="方正仿宋_GBK" w:cs="方正仿宋_GBK"/>
                <w:color w:val="000000"/>
                <w:spacing w:val="0"/>
                <w:w w:val="100"/>
                <w:position w:val="0"/>
                <w:sz w:val="28"/>
                <w:szCs w:val="28"/>
              </w:rPr>
              <w:t>合计考评得分</w:t>
            </w:r>
          </w:p>
        </w:tc>
        <w:tc>
          <w:tcPr>
            <w:tcW w:w="3341"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14:paraId="1E103C91">
            <w:pPr>
              <w:pStyle w:val="435"/>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right="0" w:firstLine="560" w:firstLineChars="200"/>
              <w:jc w:val="center"/>
              <w:textAlignment w:val="auto"/>
              <w:outlineLvl w:val="9"/>
              <w:rPr>
                <w:rFonts w:hint="eastAsia" w:ascii="宋体" w:hAnsi="宋体" w:eastAsia="方正仿宋_GBK" w:cs="方正仿宋_GBK"/>
                <w:color w:val="000000"/>
                <w:spacing w:val="0"/>
                <w:w w:val="100"/>
                <w:position w:val="0"/>
                <w:sz w:val="28"/>
                <w:szCs w:val="28"/>
              </w:rPr>
            </w:pPr>
          </w:p>
        </w:tc>
      </w:tr>
    </w:tbl>
    <w:p w14:paraId="356A1B3B">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leftChars="0" w:right="0" w:firstLine="640" w:firstLineChars="200"/>
        <w:jc w:val="both"/>
        <w:textAlignment w:val="auto"/>
        <w:outlineLvl w:val="9"/>
        <w:rPr>
          <w:rFonts w:hint="eastAsia" w:ascii="宋体" w:hAnsi="宋体" w:eastAsia="方正楷体_GBK" w:cs="方正楷体_GBK"/>
          <w:b w:val="0"/>
          <w:bCs w:val="0"/>
          <w:sz w:val="32"/>
          <w:szCs w:val="32"/>
        </w:rPr>
      </w:pPr>
      <w:r>
        <w:rPr>
          <w:rFonts w:hint="eastAsia" w:ascii="宋体" w:hAnsi="宋体" w:eastAsia="方正楷体_GBK" w:cs="方正楷体_GBK"/>
          <w:b w:val="0"/>
          <w:bCs w:val="0"/>
          <w:color w:val="000000"/>
          <w:spacing w:val="0"/>
          <w:w w:val="100"/>
          <w:position w:val="0"/>
          <w:sz w:val="32"/>
          <w:szCs w:val="32"/>
        </w:rPr>
        <w:t>（二）保洁质量三査制度</w:t>
      </w:r>
    </w:p>
    <w:p w14:paraId="16463FE1">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1</w:t>
      </w:r>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员工自查：每个员工根据有关作业规程，对自己负责分管区域的保洁项目进行</w:t>
      </w:r>
      <w:r>
        <w:rPr>
          <w:rFonts w:hint="eastAsia" w:ascii="宋体" w:hAnsi="宋体" w:eastAsia="方正仿宋_GBK" w:cstheme="minorEastAsia"/>
          <w:color w:val="000000"/>
          <w:spacing w:val="0"/>
          <w:w w:val="100"/>
          <w:position w:val="0"/>
          <w:sz w:val="32"/>
          <w:szCs w:val="32"/>
          <w:lang w:val="zh-CN" w:eastAsia="zh-CN"/>
        </w:rPr>
        <w:t>自查，</w:t>
      </w:r>
      <w:r>
        <w:rPr>
          <w:rFonts w:hint="eastAsia" w:ascii="宋体" w:hAnsi="宋体" w:eastAsia="方正仿宋_GBK" w:cstheme="minorEastAsia"/>
          <w:color w:val="000000"/>
          <w:spacing w:val="0"/>
          <w:w w:val="100"/>
          <w:position w:val="0"/>
          <w:sz w:val="32"/>
          <w:szCs w:val="32"/>
        </w:rPr>
        <w:t>及时发现问题、解决问题，并做好记录；</w:t>
      </w:r>
    </w:p>
    <w:p w14:paraId="050BBFEB">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04" w:name="bookmark62"/>
      <w:r>
        <w:rPr>
          <w:rFonts w:hint="eastAsia" w:ascii="宋体" w:hAnsi="宋体" w:eastAsia="方正仿宋_GBK" w:cstheme="minorEastAsia"/>
          <w:color w:val="000000"/>
          <w:spacing w:val="0"/>
          <w:w w:val="100"/>
          <w:position w:val="0"/>
          <w:sz w:val="32"/>
          <w:szCs w:val="32"/>
        </w:rPr>
        <w:t>2</w:t>
      </w:r>
      <w:bookmarkEnd w:id="204"/>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领班巡査：领班应把巡回检查作为自己的主要工作，每天不得少于二次，并做好纪录；</w:t>
      </w:r>
    </w:p>
    <w:p w14:paraId="3C95C3E6">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05" w:name="bookmark63"/>
      <w:r>
        <w:rPr>
          <w:rFonts w:hint="eastAsia" w:ascii="宋体" w:hAnsi="宋体" w:eastAsia="方正仿宋_GBK" w:cstheme="minorEastAsia"/>
          <w:color w:val="000000"/>
          <w:spacing w:val="0"/>
          <w:w w:val="100"/>
          <w:position w:val="0"/>
          <w:sz w:val="32"/>
          <w:szCs w:val="32"/>
        </w:rPr>
        <w:t>3</w:t>
      </w:r>
      <w:bookmarkEnd w:id="205"/>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主管抽查：主管每日抽査不得少于一次；主管还应会同物管处（陪同医院、公司领导）每月三次联合检查，并做好纪录。</w:t>
      </w:r>
    </w:p>
    <w:p w14:paraId="3469CEE1">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leftChars="0" w:right="0" w:firstLine="640" w:firstLineChars="200"/>
        <w:jc w:val="both"/>
        <w:textAlignment w:val="auto"/>
        <w:outlineLvl w:val="9"/>
        <w:rPr>
          <w:rFonts w:hint="eastAsia" w:ascii="宋体" w:hAnsi="宋体" w:eastAsia="方正黑体_GBK" w:cs="方正黑体_GBK"/>
          <w:b w:val="0"/>
          <w:bCs w:val="0"/>
          <w:sz w:val="32"/>
          <w:szCs w:val="32"/>
        </w:rPr>
      </w:pPr>
      <w:r>
        <w:rPr>
          <w:rFonts w:hint="eastAsia" w:ascii="宋体" w:hAnsi="宋体" w:eastAsia="方正黑体_GBK" w:cs="方正黑体_GBK"/>
          <w:b w:val="0"/>
          <w:bCs w:val="0"/>
          <w:i w:val="0"/>
          <w:iCs w:val="0"/>
          <w:color w:val="000000"/>
          <w:spacing w:val="0"/>
          <w:w w:val="100"/>
          <w:position w:val="0"/>
          <w:sz w:val="32"/>
          <w:szCs w:val="32"/>
        </w:rPr>
        <w:t>六、</w:t>
      </w:r>
      <w:r>
        <w:rPr>
          <w:rFonts w:hint="eastAsia" w:ascii="宋体" w:hAnsi="宋体" w:eastAsia="方正黑体_GBK" w:cs="方正黑体_GBK"/>
          <w:b w:val="0"/>
          <w:bCs w:val="0"/>
          <w:color w:val="000000"/>
          <w:spacing w:val="0"/>
          <w:w w:val="100"/>
          <w:position w:val="0"/>
          <w:sz w:val="32"/>
          <w:szCs w:val="32"/>
        </w:rPr>
        <w:t>被服供应洗浆房方案</w:t>
      </w:r>
    </w:p>
    <w:p w14:paraId="00775253">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06" w:name="bookmark64"/>
      <w:r>
        <w:rPr>
          <w:rFonts w:hint="eastAsia" w:ascii="宋体" w:hAnsi="宋体" w:eastAsia="方正仿宋_GBK" w:cstheme="minorEastAsia"/>
          <w:color w:val="000000"/>
          <w:spacing w:val="0"/>
          <w:w w:val="100"/>
          <w:position w:val="0"/>
          <w:sz w:val="32"/>
          <w:szCs w:val="32"/>
        </w:rPr>
        <w:t>1</w:t>
      </w:r>
      <w:bookmarkEnd w:id="206"/>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供应商提供洗浆房的各种所需设备，负责全院各种医用被服，各科室值班室的被服和工作人员工作服的清洗、消毒、缝补、干燥、烫平，按要求折叠，做好供应工作。</w:t>
      </w:r>
    </w:p>
    <w:p w14:paraId="228C6DF3">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07" w:name="bookmark65"/>
      <w:r>
        <w:rPr>
          <w:rFonts w:hint="eastAsia" w:ascii="宋体" w:hAnsi="宋体" w:eastAsia="方正仿宋_GBK" w:cstheme="minorEastAsia"/>
          <w:color w:val="000000"/>
          <w:spacing w:val="0"/>
          <w:w w:val="100"/>
          <w:position w:val="0"/>
          <w:sz w:val="32"/>
          <w:szCs w:val="32"/>
        </w:rPr>
        <w:t>2</w:t>
      </w:r>
      <w:bookmarkEnd w:id="207"/>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被服由供应洗浆房负责下收下送。</w:t>
      </w:r>
    </w:p>
    <w:p w14:paraId="0CE8D1D1">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lang w:val="en-US" w:eastAsia="zh-CN"/>
        </w:rPr>
        <w:t>3.</w:t>
      </w:r>
      <w:r>
        <w:rPr>
          <w:rFonts w:hint="eastAsia" w:ascii="宋体" w:hAnsi="宋体" w:eastAsia="方正仿宋_GBK" w:cstheme="minorEastAsia"/>
          <w:color w:val="000000"/>
          <w:spacing w:val="0"/>
          <w:w w:val="100"/>
          <w:position w:val="0"/>
          <w:sz w:val="32"/>
          <w:szCs w:val="32"/>
        </w:rPr>
        <w:t>被服供应洗浆房与各科室掌握一定基数的被服，对布类物品必须逐渐清点，办理交换手续，发现差错及时处理。每季小清点，每年大</w:t>
      </w:r>
      <w:r>
        <w:rPr>
          <w:rFonts w:hint="eastAsia" w:ascii="宋体" w:hAnsi="宋体" w:eastAsia="方正仿宋_GBK" w:cstheme="minorEastAsia"/>
          <w:color w:val="000000"/>
          <w:spacing w:val="0"/>
          <w:w w:val="100"/>
          <w:position w:val="0"/>
          <w:sz w:val="32"/>
          <w:szCs w:val="32"/>
          <w:lang w:val="zh-CN" w:eastAsia="zh-CN"/>
        </w:rPr>
        <w:t>清点。</w:t>
      </w:r>
    </w:p>
    <w:p w14:paraId="02D04FF2">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08" w:name="bookmark67"/>
      <w:r>
        <w:rPr>
          <w:rFonts w:hint="eastAsia" w:ascii="宋体" w:hAnsi="宋体" w:eastAsia="方正仿宋_GBK" w:cstheme="minorEastAsia"/>
          <w:color w:val="000000"/>
          <w:spacing w:val="0"/>
          <w:w w:val="100"/>
          <w:position w:val="0"/>
          <w:sz w:val="32"/>
          <w:szCs w:val="32"/>
        </w:rPr>
        <w:t>4</w:t>
      </w:r>
      <w:bookmarkEnd w:id="208"/>
      <w:r>
        <w:rPr>
          <w:rFonts w:hint="eastAsia" w:ascii="宋体" w:hAnsi="宋体" w:eastAsia="方正仿宋_GBK" w:cstheme="minorEastAsia"/>
          <w:color w:val="000000"/>
          <w:spacing w:val="0"/>
          <w:w w:val="100"/>
          <w:position w:val="0"/>
          <w:sz w:val="32"/>
          <w:szCs w:val="32"/>
          <w:lang w:val="en-US" w:eastAsia="zh-CN"/>
        </w:rPr>
        <w:t>.</w:t>
      </w:r>
      <w:r>
        <w:rPr>
          <w:rFonts w:hint="eastAsia" w:eastAsia="方正仿宋_GBK" w:cstheme="minorEastAsia"/>
          <w:color w:val="000000"/>
          <w:spacing w:val="0"/>
          <w:w w:val="100"/>
          <w:position w:val="0"/>
          <w:sz w:val="32"/>
          <w:szCs w:val="32"/>
          <w:lang w:val="en-US" w:eastAsia="zh-CN"/>
        </w:rPr>
        <w:t>被</w:t>
      </w:r>
      <w:r>
        <w:rPr>
          <w:rFonts w:hint="eastAsia" w:ascii="宋体" w:hAnsi="宋体" w:eastAsia="方正仿宋_GBK" w:cstheme="minorEastAsia"/>
          <w:color w:val="000000"/>
          <w:spacing w:val="0"/>
          <w:w w:val="100"/>
          <w:position w:val="0"/>
          <w:sz w:val="32"/>
          <w:szCs w:val="32"/>
        </w:rPr>
        <w:t>服消毒、洗涤、供应、应做到有色和无色的被服分开，病员的被服和工作人员的工作服分开。严格</w:t>
      </w:r>
      <w:r>
        <w:rPr>
          <w:rFonts w:hint="eastAsia" w:eastAsia="方正仿宋_GBK" w:cstheme="minorEastAsia"/>
          <w:color w:val="000000"/>
          <w:spacing w:val="0"/>
          <w:w w:val="100"/>
          <w:position w:val="0"/>
          <w:sz w:val="32"/>
          <w:szCs w:val="32"/>
          <w:lang w:eastAsia="zh-CN"/>
        </w:rPr>
        <w:t>遵守医院相关规章制度</w:t>
      </w:r>
      <w:r>
        <w:rPr>
          <w:rFonts w:hint="eastAsia" w:ascii="宋体" w:hAnsi="宋体" w:eastAsia="方正仿宋_GBK" w:cstheme="minorEastAsia"/>
          <w:color w:val="000000"/>
          <w:spacing w:val="0"/>
          <w:w w:val="100"/>
          <w:position w:val="0"/>
          <w:sz w:val="32"/>
          <w:szCs w:val="32"/>
        </w:rPr>
        <w:t>和隔离消毒制度，防止交叉感染。</w:t>
      </w:r>
    </w:p>
    <w:p w14:paraId="7FC0EDCD">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09" w:name="bookmark68"/>
      <w:r>
        <w:rPr>
          <w:rFonts w:hint="eastAsia" w:ascii="宋体" w:hAnsi="宋体" w:eastAsia="方正仿宋_GBK" w:cstheme="minorEastAsia"/>
          <w:color w:val="000000"/>
          <w:spacing w:val="0"/>
          <w:w w:val="100"/>
          <w:position w:val="0"/>
          <w:sz w:val="32"/>
          <w:szCs w:val="32"/>
        </w:rPr>
        <w:t>5</w:t>
      </w:r>
      <w:bookmarkEnd w:id="209"/>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被</w:t>
      </w:r>
      <w:r>
        <w:rPr>
          <w:rFonts w:hint="eastAsia" w:eastAsia="方正仿宋_GBK" w:cstheme="minorEastAsia"/>
          <w:color w:val="000000"/>
          <w:spacing w:val="0"/>
          <w:w w:val="100"/>
          <w:position w:val="0"/>
          <w:sz w:val="32"/>
          <w:szCs w:val="32"/>
          <w:lang w:eastAsia="zh-CN"/>
        </w:rPr>
        <w:t>服</w:t>
      </w:r>
      <w:r>
        <w:rPr>
          <w:rFonts w:hint="eastAsia" w:ascii="宋体" w:hAnsi="宋体" w:eastAsia="方正仿宋_GBK" w:cstheme="minorEastAsia"/>
          <w:color w:val="000000"/>
          <w:spacing w:val="0"/>
          <w:w w:val="100"/>
          <w:position w:val="0"/>
          <w:sz w:val="32"/>
          <w:szCs w:val="32"/>
        </w:rPr>
        <w:t>工作</w:t>
      </w:r>
      <w:r>
        <w:rPr>
          <w:rFonts w:hint="eastAsia" w:eastAsia="方正仿宋_GBK" w:cstheme="minorEastAsia"/>
          <w:color w:val="000000"/>
          <w:spacing w:val="0"/>
          <w:w w:val="100"/>
          <w:position w:val="0"/>
          <w:sz w:val="32"/>
          <w:szCs w:val="32"/>
          <w:lang w:eastAsia="zh-CN"/>
        </w:rPr>
        <w:t>服</w:t>
      </w:r>
      <w:r>
        <w:rPr>
          <w:rFonts w:hint="eastAsia" w:ascii="宋体" w:hAnsi="宋体" w:eastAsia="方正仿宋_GBK" w:cstheme="minorEastAsia"/>
          <w:color w:val="000000"/>
          <w:spacing w:val="0"/>
          <w:w w:val="100"/>
          <w:position w:val="0"/>
          <w:sz w:val="32"/>
          <w:szCs w:val="32"/>
        </w:rPr>
        <w:t>等破损时应经缝纫修补后方能发出。应报废的被服统一由被服供应作集中，填好报单，按月按季会同有关部门现场鉴定，由总务科长签署意见,由副院长批准，办理报废手续。</w:t>
      </w:r>
    </w:p>
    <w:p w14:paraId="62AB5ECE">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10" w:name="bookmark69"/>
      <w:r>
        <w:rPr>
          <w:rFonts w:hint="eastAsia" w:ascii="宋体" w:hAnsi="宋体" w:eastAsia="方正仿宋_GBK" w:cstheme="minorEastAsia"/>
          <w:color w:val="000000"/>
          <w:spacing w:val="0"/>
          <w:w w:val="100"/>
          <w:position w:val="0"/>
          <w:sz w:val="32"/>
          <w:szCs w:val="32"/>
        </w:rPr>
        <w:t>6</w:t>
      </w:r>
      <w:bookmarkEnd w:id="210"/>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被服供应要有专人管理，防止霉烂、遗失、差错等，做好机器的维修、保养</w:t>
      </w:r>
      <w:r>
        <w:rPr>
          <w:rFonts w:hint="eastAsia" w:ascii="宋体" w:hAnsi="宋体" w:eastAsia="方正仿宋_GBK" w:cstheme="minorEastAsia"/>
          <w:color w:val="000000"/>
          <w:spacing w:val="0"/>
          <w:w w:val="100"/>
          <w:position w:val="0"/>
          <w:sz w:val="32"/>
          <w:szCs w:val="32"/>
          <w:lang w:val="zh-CN" w:eastAsia="zh-CN"/>
        </w:rPr>
        <w:t>工作。</w:t>
      </w:r>
    </w:p>
    <w:p w14:paraId="0D3D9E10">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bookmarkStart w:id="211" w:name="bookmark70"/>
      <w:r>
        <w:rPr>
          <w:rFonts w:hint="eastAsia" w:ascii="宋体" w:hAnsi="宋体" w:eastAsia="方正仿宋_GBK" w:cstheme="minorEastAsia"/>
          <w:color w:val="000000"/>
          <w:spacing w:val="0"/>
          <w:w w:val="100"/>
          <w:position w:val="0"/>
          <w:sz w:val="32"/>
          <w:szCs w:val="32"/>
        </w:rPr>
        <w:t>7</w:t>
      </w:r>
      <w:bookmarkEnd w:id="211"/>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在洗浆过程中，不用棍棒搅拌，不将私人物品带入室内洗涤，并做好洗涤剂的节约开支。</w:t>
      </w:r>
    </w:p>
    <w:p w14:paraId="3C60D877">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宋体" w:hAnsi="宋体" w:eastAsia="方正仿宋_GBK" w:cstheme="minorEastAsia"/>
          <w:color w:val="000000"/>
          <w:spacing w:val="0"/>
          <w:w w:val="100"/>
          <w:position w:val="0"/>
          <w:sz w:val="32"/>
          <w:szCs w:val="32"/>
        </w:rPr>
      </w:pPr>
      <w:r>
        <w:rPr>
          <w:rFonts w:hint="eastAsia" w:ascii="宋体" w:hAnsi="宋体" w:eastAsia="方正仿宋_GBK" w:cstheme="minorEastAsia"/>
          <w:color w:val="000000"/>
          <w:spacing w:val="0"/>
          <w:w w:val="100"/>
          <w:position w:val="0"/>
          <w:sz w:val="32"/>
          <w:szCs w:val="32"/>
        </w:rPr>
        <w:t>8</w:t>
      </w:r>
      <w:r>
        <w:rPr>
          <w:rFonts w:hint="eastAsia" w:ascii="宋体" w:hAnsi="宋体" w:eastAsia="方正仿宋_GBK" w:cstheme="minorEastAsia"/>
          <w:color w:val="000000"/>
          <w:spacing w:val="0"/>
          <w:w w:val="100"/>
          <w:position w:val="0"/>
          <w:sz w:val="32"/>
          <w:szCs w:val="32"/>
          <w:lang w:val="en-US" w:eastAsia="zh-CN"/>
        </w:rPr>
        <w:t>.</w:t>
      </w:r>
      <w:r>
        <w:rPr>
          <w:rFonts w:hint="eastAsia" w:ascii="宋体" w:hAnsi="宋体" w:eastAsia="方正仿宋_GBK" w:cstheme="minorEastAsia"/>
          <w:color w:val="000000"/>
          <w:spacing w:val="0"/>
          <w:w w:val="100"/>
          <w:position w:val="0"/>
          <w:sz w:val="32"/>
          <w:szCs w:val="32"/>
        </w:rPr>
        <w:t>希望各科室相互监督，相互配合，共同维护医院利益。</w:t>
      </w:r>
    </w:p>
    <w:p w14:paraId="45FA6DD8">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3" w:firstLineChars="200"/>
        <w:jc w:val="both"/>
        <w:textAlignment w:val="auto"/>
        <w:outlineLvl w:val="9"/>
        <w:rPr>
          <w:rFonts w:hint="eastAsia" w:ascii="仿宋_GB2312" w:hAnsi="仿宋_GB2312" w:eastAsia="仿宋_GB2312" w:cs="仿宋_GB2312"/>
          <w:b/>
          <w:bCs/>
          <w:color w:val="000000"/>
          <w:spacing w:val="0"/>
          <w:w w:val="100"/>
          <w:position w:val="0"/>
          <w:sz w:val="32"/>
          <w:szCs w:val="32"/>
          <w:lang w:val="en-US" w:eastAsia="zh-CN"/>
        </w:rPr>
      </w:pPr>
      <w:r>
        <w:rPr>
          <w:rFonts w:hint="eastAsia" w:ascii="仿宋_GB2312" w:hAnsi="仿宋_GB2312" w:eastAsia="仿宋_GB2312" w:cs="仿宋_GB2312"/>
          <w:b/>
          <w:bCs/>
          <w:color w:val="000000"/>
          <w:spacing w:val="0"/>
          <w:w w:val="100"/>
          <w:position w:val="0"/>
          <w:sz w:val="32"/>
          <w:szCs w:val="32"/>
          <w:lang w:val="en-US" w:eastAsia="zh-CN"/>
        </w:rPr>
        <w:t>七、本次保洁方案金额包含</w:t>
      </w:r>
    </w:p>
    <w:p w14:paraId="54EFC780">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仿宋_GB2312" w:hAnsi="仿宋_GB2312" w:eastAsia="仿宋_GB2312" w:cs="仿宋_GB2312"/>
          <w:b w:val="0"/>
          <w:bCs w:val="0"/>
          <w:color w:val="000000"/>
          <w:spacing w:val="0"/>
          <w:w w:val="100"/>
          <w:position w:val="0"/>
          <w:sz w:val="32"/>
          <w:szCs w:val="32"/>
          <w:lang w:val="en-US" w:eastAsia="zh-CN"/>
        </w:rPr>
      </w:pPr>
      <w:r>
        <w:rPr>
          <w:rFonts w:hint="eastAsia" w:ascii="仿宋_GB2312" w:hAnsi="仿宋_GB2312" w:eastAsia="仿宋_GB2312" w:cs="仿宋_GB2312"/>
          <w:b w:val="0"/>
          <w:bCs w:val="0"/>
          <w:color w:val="000000"/>
          <w:spacing w:val="0"/>
          <w:w w:val="100"/>
          <w:position w:val="0"/>
          <w:sz w:val="32"/>
          <w:szCs w:val="32"/>
          <w:lang w:val="en-US" w:eastAsia="zh-CN"/>
        </w:rPr>
        <w:t>1、人员工资</w:t>
      </w:r>
    </w:p>
    <w:p w14:paraId="4CDCDDF6">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仿宋_GB2312" w:hAnsi="仿宋_GB2312" w:eastAsia="仿宋_GB2312" w:cs="仿宋_GB2312"/>
          <w:b w:val="0"/>
          <w:bCs w:val="0"/>
          <w:color w:val="000000"/>
          <w:spacing w:val="0"/>
          <w:w w:val="100"/>
          <w:position w:val="0"/>
          <w:sz w:val="32"/>
          <w:szCs w:val="32"/>
          <w:lang w:val="en-US" w:eastAsia="zh-CN"/>
        </w:rPr>
      </w:pPr>
      <w:r>
        <w:rPr>
          <w:rFonts w:hint="eastAsia" w:ascii="仿宋_GB2312" w:hAnsi="仿宋_GB2312" w:eastAsia="仿宋_GB2312" w:cs="仿宋_GB2312"/>
          <w:b w:val="0"/>
          <w:bCs w:val="0"/>
          <w:color w:val="000000"/>
          <w:spacing w:val="0"/>
          <w:w w:val="100"/>
          <w:position w:val="0"/>
          <w:sz w:val="32"/>
          <w:szCs w:val="32"/>
          <w:lang w:val="en-US" w:eastAsia="zh-CN"/>
        </w:rPr>
        <w:t>2、保洁区域所需用品、公共卫生间用品（医疗回收垃圾袋及生活用品垃圾回收袋等）</w:t>
      </w:r>
    </w:p>
    <w:p w14:paraId="1C49B970">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79" w:lineRule="exact"/>
        <w:ind w:left="0" w:right="0" w:firstLine="640" w:firstLineChars="200"/>
        <w:jc w:val="both"/>
        <w:textAlignment w:val="auto"/>
        <w:outlineLvl w:val="9"/>
        <w:rPr>
          <w:rFonts w:hint="eastAsia" w:ascii="仿宋_GB2312" w:hAnsi="仿宋_GB2312" w:eastAsia="仿宋_GB2312" w:cs="仿宋_GB2312"/>
          <w:b w:val="0"/>
          <w:bCs w:val="0"/>
          <w:color w:val="000000"/>
          <w:spacing w:val="0"/>
          <w:w w:val="100"/>
          <w:position w:val="0"/>
          <w:sz w:val="32"/>
          <w:szCs w:val="32"/>
          <w:lang w:val="en-US" w:eastAsia="zh-CN"/>
        </w:rPr>
      </w:pPr>
      <w:r>
        <w:rPr>
          <w:rFonts w:hint="eastAsia" w:ascii="仿宋_GB2312" w:hAnsi="仿宋_GB2312" w:eastAsia="仿宋_GB2312" w:cs="仿宋_GB2312"/>
          <w:b w:val="0"/>
          <w:bCs w:val="0"/>
          <w:color w:val="000000"/>
          <w:spacing w:val="0"/>
          <w:w w:val="100"/>
          <w:position w:val="0"/>
          <w:sz w:val="32"/>
          <w:szCs w:val="32"/>
          <w:lang w:val="en-US" w:eastAsia="zh-CN"/>
        </w:rPr>
        <w:t>3、洗浆房所需用品。</w:t>
      </w:r>
    </w:p>
    <w:p w14:paraId="6D72C4BA">
      <w:pPr>
        <w:pStyle w:val="2"/>
        <w:spacing w:line="276" w:lineRule="auto"/>
        <w:ind w:firstLine="640" w:firstLineChars="200"/>
        <w:jc w:val="both"/>
        <w:rPr>
          <w:rFonts w:hint="eastAsia" w:asciiTheme="minorEastAsia" w:hAnsiTheme="minorEastAsia" w:eastAsiaTheme="minorEastAsia" w:cstheme="minorEastAsia"/>
          <w:color w:val="auto"/>
          <w:sz w:val="40"/>
          <w:highlight w:val="none"/>
        </w:rPr>
      </w:pPr>
      <w:r>
        <w:rPr>
          <w:rFonts w:hint="eastAsia" w:ascii="仿宋_GB2312" w:hAnsi="仿宋_GB2312" w:eastAsia="仿宋_GB2312" w:cs="仿宋_GB2312"/>
          <w:b w:val="0"/>
          <w:bCs w:val="0"/>
          <w:color w:val="000000"/>
          <w:spacing w:val="0"/>
          <w:w w:val="100"/>
          <w:position w:val="0"/>
          <w:sz w:val="32"/>
          <w:szCs w:val="32"/>
          <w:lang w:val="en-US" w:eastAsia="zh-CN"/>
        </w:rPr>
        <w:t>4、含病区更换被褥支付款</w:t>
      </w:r>
    </w:p>
    <w:p w14:paraId="0424F31D">
      <w:pPr>
        <w:rPr>
          <w:rFonts w:hint="eastAsia" w:asciiTheme="minorEastAsia" w:hAnsiTheme="minorEastAsia" w:eastAsiaTheme="minorEastAsia" w:cstheme="minorEastAsia"/>
          <w:color w:val="auto"/>
          <w:sz w:val="40"/>
          <w:highlight w:val="none"/>
        </w:rPr>
      </w:pPr>
    </w:p>
    <w:p w14:paraId="194E1B1A">
      <w:pPr>
        <w:rPr>
          <w:rFonts w:hint="eastAsia"/>
        </w:rPr>
      </w:pPr>
      <w:r>
        <w:rPr>
          <w:rFonts w:hint="eastAsia"/>
        </w:rPr>
        <w:br w:type="page"/>
      </w:r>
    </w:p>
    <w:p w14:paraId="069E5300">
      <w:pPr>
        <w:pStyle w:val="2"/>
        <w:spacing w:line="276" w:lineRule="auto"/>
        <w:jc w:val="center"/>
        <w:rPr>
          <w:rFonts w:hint="eastAsia" w:asciiTheme="minorEastAsia" w:hAnsiTheme="minorEastAsia" w:eastAsiaTheme="minorEastAsia" w:cstheme="minorEastAsia"/>
          <w:color w:val="auto"/>
          <w:sz w:val="40"/>
          <w:highlight w:val="none"/>
        </w:rPr>
      </w:pPr>
      <w:r>
        <w:rPr>
          <w:rFonts w:hint="eastAsia" w:asciiTheme="minorEastAsia" w:hAnsiTheme="minorEastAsia" w:eastAsiaTheme="minorEastAsia" w:cstheme="minorEastAsia"/>
          <w:color w:val="auto"/>
          <w:sz w:val="40"/>
          <w:highlight w:val="none"/>
        </w:rPr>
        <w:t xml:space="preserve">第六章 </w:t>
      </w:r>
      <w:bookmarkEnd w:id="194"/>
      <w:bookmarkEnd w:id="195"/>
      <w:r>
        <w:rPr>
          <w:rFonts w:hint="eastAsia" w:asciiTheme="minorEastAsia" w:hAnsiTheme="minorEastAsia" w:eastAsiaTheme="minorEastAsia" w:cstheme="minorEastAsia"/>
          <w:color w:val="auto"/>
          <w:sz w:val="40"/>
          <w:highlight w:val="none"/>
        </w:rPr>
        <w:t>竞争性磋商响应文件格式</w:t>
      </w:r>
      <w:bookmarkEnd w:id="196"/>
    </w:p>
    <w:p w14:paraId="615C7874">
      <w:pPr>
        <w:spacing w:line="360" w:lineRule="auto"/>
        <w:jc w:val="right"/>
        <w:rPr>
          <w:rFonts w:hint="eastAsia" w:asciiTheme="minorEastAsia" w:hAnsiTheme="minorEastAsia" w:eastAsiaTheme="minorEastAsia" w:cstheme="minorEastAsia"/>
          <w:color w:val="auto"/>
          <w:sz w:val="32"/>
          <w:szCs w:val="32"/>
          <w:highlight w:val="none"/>
          <w:u w:val="single"/>
        </w:rPr>
      </w:pPr>
    </w:p>
    <w:p w14:paraId="1CE69854">
      <w:pPr>
        <w:spacing w:line="360" w:lineRule="auto"/>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single"/>
        </w:rPr>
        <w:t>（项目名称）</w:t>
      </w:r>
      <w:r>
        <w:rPr>
          <w:rFonts w:hint="eastAsia" w:asciiTheme="minorEastAsia" w:hAnsiTheme="minorEastAsia" w:eastAsiaTheme="minorEastAsia" w:cstheme="minorEastAsia"/>
          <w:color w:val="auto"/>
          <w:sz w:val="28"/>
          <w:szCs w:val="28"/>
          <w:highlight w:val="none"/>
        </w:rPr>
        <w:t xml:space="preserve">（标段号）     </w:t>
      </w:r>
    </w:p>
    <w:p w14:paraId="0D62993D">
      <w:pPr>
        <w:spacing w:line="360" w:lineRule="auto"/>
        <w:jc w:val="center"/>
        <w:rPr>
          <w:rFonts w:hint="eastAsia" w:asciiTheme="minorEastAsia" w:hAnsiTheme="minorEastAsia" w:eastAsiaTheme="minorEastAsia" w:cstheme="minorEastAsia"/>
          <w:b/>
          <w:bCs/>
          <w:color w:val="auto"/>
          <w:sz w:val="52"/>
          <w:szCs w:val="52"/>
          <w:highlight w:val="none"/>
          <w:lang w:bidi="zh-CN"/>
        </w:rPr>
      </w:pPr>
    </w:p>
    <w:p w14:paraId="5D33ED04">
      <w:pPr>
        <w:spacing w:line="360" w:lineRule="auto"/>
        <w:jc w:val="center"/>
        <w:rPr>
          <w:rFonts w:hint="eastAsia" w:asciiTheme="minorEastAsia" w:hAnsiTheme="minorEastAsia" w:eastAsiaTheme="minorEastAsia" w:cstheme="minorEastAsia"/>
          <w:b/>
          <w:bCs/>
          <w:color w:val="auto"/>
          <w:sz w:val="52"/>
          <w:szCs w:val="52"/>
          <w:highlight w:val="none"/>
          <w:lang w:bidi="zh-CN"/>
        </w:rPr>
      </w:pPr>
      <w:r>
        <w:rPr>
          <w:rFonts w:hint="eastAsia" w:asciiTheme="minorEastAsia" w:hAnsiTheme="minorEastAsia" w:eastAsiaTheme="minorEastAsia" w:cstheme="minorEastAsia"/>
          <w:b/>
          <w:bCs/>
          <w:color w:val="auto"/>
          <w:sz w:val="52"/>
          <w:szCs w:val="52"/>
          <w:highlight w:val="none"/>
          <w:lang w:bidi="zh-CN"/>
        </w:rPr>
        <w:t>竞争性磋商响应文件</w:t>
      </w:r>
    </w:p>
    <w:p w14:paraId="1EE8B175">
      <w:pPr>
        <w:spacing w:line="360" w:lineRule="auto"/>
        <w:jc w:val="cente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28"/>
          <w:szCs w:val="28"/>
          <w:highlight w:val="none"/>
        </w:rPr>
        <w:t>编号：</w:t>
      </w:r>
      <w:r>
        <w:rPr>
          <w:rFonts w:hint="eastAsia" w:asciiTheme="minorEastAsia" w:hAnsiTheme="minorEastAsia" w:eastAsiaTheme="minorEastAsia" w:cstheme="minorEastAsia"/>
          <w:color w:val="auto"/>
          <w:sz w:val="28"/>
          <w:szCs w:val="28"/>
          <w:highlight w:val="none"/>
          <w:lang w:eastAsia="zh-CN"/>
        </w:rPr>
        <w:t>LLCG2026（JC）×02</w:t>
      </w:r>
    </w:p>
    <w:p w14:paraId="5BF3B707">
      <w:pPr>
        <w:spacing w:line="360" w:lineRule="auto"/>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政采云项目编号：BSZC2026-C3-00472-LLXZ-0008</w:t>
      </w:r>
    </w:p>
    <w:p w14:paraId="33A60F72">
      <w:pPr>
        <w:spacing w:line="360" w:lineRule="auto"/>
        <w:jc w:val="center"/>
        <w:rPr>
          <w:rFonts w:hint="eastAsia" w:asciiTheme="minorEastAsia" w:hAnsiTheme="minorEastAsia" w:eastAsiaTheme="minorEastAsia" w:cstheme="minorEastAsia"/>
          <w:color w:val="auto"/>
          <w:sz w:val="28"/>
          <w:szCs w:val="28"/>
          <w:highlight w:val="none"/>
        </w:rPr>
      </w:pPr>
    </w:p>
    <w:p w14:paraId="0F283748">
      <w:pPr>
        <w:spacing w:line="360" w:lineRule="auto"/>
        <w:ind w:firstLine="330" w:firstLineChars="150"/>
        <w:rPr>
          <w:rFonts w:hint="eastAsia" w:asciiTheme="minorEastAsia" w:hAnsiTheme="minorEastAsia" w:eastAsiaTheme="minorEastAsia" w:cstheme="minorEastAsia"/>
          <w:bCs/>
          <w:color w:val="auto"/>
          <w:szCs w:val="21"/>
          <w:highlight w:val="none"/>
        </w:rPr>
      </w:pPr>
    </w:p>
    <w:p w14:paraId="59974B1E">
      <w:pPr>
        <w:spacing w:line="360" w:lineRule="auto"/>
        <w:ind w:firstLine="330" w:firstLineChars="150"/>
        <w:rPr>
          <w:rFonts w:hint="eastAsia" w:asciiTheme="minorEastAsia" w:hAnsiTheme="minorEastAsia" w:eastAsiaTheme="minorEastAsia" w:cstheme="minorEastAsia"/>
          <w:bCs/>
          <w:color w:val="auto"/>
          <w:szCs w:val="21"/>
          <w:highlight w:val="none"/>
        </w:rPr>
      </w:pPr>
    </w:p>
    <w:p w14:paraId="747FC7F7">
      <w:pPr>
        <w:spacing w:line="360" w:lineRule="auto"/>
        <w:ind w:firstLine="330" w:firstLineChars="150"/>
        <w:rPr>
          <w:rFonts w:hint="eastAsia" w:asciiTheme="minorEastAsia" w:hAnsiTheme="minorEastAsia" w:eastAsiaTheme="minorEastAsia" w:cstheme="minorEastAsia"/>
          <w:bCs/>
          <w:color w:val="auto"/>
          <w:szCs w:val="21"/>
          <w:highlight w:val="none"/>
        </w:rPr>
      </w:pPr>
    </w:p>
    <w:p w14:paraId="739EAA43">
      <w:pPr>
        <w:spacing w:after="0" w:line="520" w:lineRule="exact"/>
        <w:ind w:firstLine="560" w:firstLineChars="200"/>
        <w:rPr>
          <w:rFonts w:hint="eastAsia" w:asciiTheme="minorEastAsia" w:hAnsiTheme="minorEastAsia" w:eastAsiaTheme="minorEastAsia" w:cstheme="minorEastAsia"/>
          <w:color w:val="auto"/>
          <w:sz w:val="28"/>
          <w:szCs w:val="28"/>
          <w:highlight w:val="none"/>
        </w:rPr>
      </w:pPr>
    </w:p>
    <w:p w14:paraId="342CA092">
      <w:pPr>
        <w:pStyle w:val="14"/>
        <w:rPr>
          <w:rFonts w:hint="eastAsia" w:asciiTheme="minorEastAsia" w:hAnsiTheme="minorEastAsia" w:eastAsiaTheme="minorEastAsia" w:cstheme="minorEastAsia"/>
          <w:color w:val="auto"/>
          <w:highlight w:val="none"/>
        </w:rPr>
      </w:pPr>
    </w:p>
    <w:p w14:paraId="4950CF20">
      <w:pPr>
        <w:spacing w:after="0" w:line="520" w:lineRule="exact"/>
        <w:ind w:firstLine="1960" w:firstLineChars="700"/>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供应商：</w:t>
      </w:r>
      <w:r>
        <w:rPr>
          <w:rFonts w:hint="eastAsia" w:asciiTheme="minorEastAsia" w:hAnsiTheme="minorEastAsia" w:eastAsiaTheme="minorEastAsia" w:cstheme="minorEastAsia"/>
          <w:color w:val="auto"/>
          <w:sz w:val="28"/>
          <w:szCs w:val="28"/>
          <w:highlight w:val="none"/>
          <w:u w:val="single"/>
        </w:rPr>
        <w:t xml:space="preserve">                      （盖章） </w:t>
      </w:r>
    </w:p>
    <w:p w14:paraId="211AE799">
      <w:pPr>
        <w:spacing w:after="0" w:line="520" w:lineRule="exact"/>
        <w:ind w:firstLine="560" w:firstLineChars="200"/>
        <w:rPr>
          <w:rFonts w:hint="eastAsia" w:asciiTheme="minorEastAsia" w:hAnsiTheme="minorEastAsia" w:eastAsiaTheme="minorEastAsia" w:cstheme="minorEastAsia"/>
          <w:color w:val="auto"/>
          <w:sz w:val="28"/>
          <w:szCs w:val="28"/>
          <w:highlight w:val="none"/>
        </w:rPr>
      </w:pPr>
    </w:p>
    <w:p w14:paraId="0D51CAD6">
      <w:pPr>
        <w:spacing w:after="0" w:line="520" w:lineRule="exact"/>
        <w:ind w:firstLine="1960" w:firstLineChars="700"/>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法定代表人或其委托代理人：</w:t>
      </w:r>
      <w:r>
        <w:rPr>
          <w:rFonts w:hint="eastAsia" w:asciiTheme="minorEastAsia" w:hAnsiTheme="minorEastAsia" w:eastAsiaTheme="minorEastAsia" w:cstheme="minorEastAsia"/>
          <w:color w:val="auto"/>
          <w:sz w:val="28"/>
          <w:szCs w:val="28"/>
          <w:highlight w:val="none"/>
          <w:u w:val="single"/>
        </w:rPr>
        <w:t xml:space="preserve">   （盖章或签字）</w:t>
      </w:r>
    </w:p>
    <w:p w14:paraId="545B44A5">
      <w:pPr>
        <w:spacing w:after="0" w:line="520" w:lineRule="exact"/>
        <w:ind w:firstLine="560" w:firstLineChars="200"/>
        <w:rPr>
          <w:rFonts w:hint="eastAsia" w:asciiTheme="minorEastAsia" w:hAnsiTheme="minorEastAsia" w:eastAsiaTheme="minorEastAsia" w:cstheme="minorEastAsia"/>
          <w:color w:val="auto"/>
          <w:sz w:val="28"/>
          <w:szCs w:val="28"/>
          <w:highlight w:val="none"/>
        </w:rPr>
      </w:pPr>
    </w:p>
    <w:p w14:paraId="5CFB013D">
      <w:pPr>
        <w:ind w:firstLine="140" w:firstLineChars="50"/>
        <w:jc w:val="center"/>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color w:val="auto"/>
          <w:sz w:val="28"/>
          <w:szCs w:val="28"/>
          <w:highlight w:val="none"/>
          <w:u w:val="single"/>
        </w:rPr>
        <w:tab/>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ab/>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ab/>
      </w:r>
      <w:r>
        <w:rPr>
          <w:rFonts w:hint="eastAsia" w:asciiTheme="minorEastAsia" w:hAnsiTheme="minorEastAsia" w:eastAsiaTheme="minorEastAsia" w:cstheme="minorEastAsia"/>
          <w:color w:val="auto"/>
          <w:sz w:val="28"/>
          <w:szCs w:val="28"/>
          <w:highlight w:val="none"/>
        </w:rPr>
        <w:t>日</w:t>
      </w:r>
      <w:r>
        <w:rPr>
          <w:rFonts w:hint="eastAsia" w:asciiTheme="minorEastAsia" w:hAnsiTheme="minorEastAsia" w:eastAsiaTheme="minorEastAsia" w:cstheme="minorEastAsia"/>
          <w:color w:val="auto"/>
          <w:sz w:val="28"/>
          <w:szCs w:val="28"/>
          <w:highlight w:val="none"/>
        </w:rPr>
        <w:br w:type="page"/>
      </w:r>
      <w:bookmarkStart w:id="212" w:name="_Toc536534062"/>
      <w:bookmarkStart w:id="213" w:name="_Toc531966063"/>
      <w:bookmarkStart w:id="214" w:name="_Toc525741713"/>
      <w:bookmarkStart w:id="215" w:name="_Toc536534332"/>
    </w:p>
    <w:p w14:paraId="046271B5">
      <w:pPr>
        <w:jc w:val="center"/>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44"/>
          <w:szCs w:val="44"/>
          <w:highlight w:val="none"/>
        </w:rPr>
        <w:t>目       录</w:t>
      </w:r>
      <w:bookmarkEnd w:id="212"/>
      <w:bookmarkEnd w:id="213"/>
      <w:bookmarkEnd w:id="214"/>
      <w:bookmarkEnd w:id="215"/>
    </w:p>
    <w:p w14:paraId="6C74418F">
      <w:pPr>
        <w:rPr>
          <w:rFonts w:hint="eastAsia" w:asciiTheme="minorEastAsia" w:hAnsiTheme="minorEastAsia" w:eastAsiaTheme="minorEastAsia" w:cstheme="minorEastAsia"/>
          <w:b/>
          <w:bCs/>
          <w:color w:val="auto"/>
          <w:sz w:val="36"/>
          <w:szCs w:val="36"/>
          <w:highlight w:val="none"/>
        </w:rPr>
      </w:pPr>
    </w:p>
    <w:p w14:paraId="05050595">
      <w:pP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1、竞争性磋商响应文件封面</w:t>
      </w:r>
    </w:p>
    <w:p w14:paraId="132B36D1">
      <w:pP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2、竞争性磋商响应文件目录</w:t>
      </w:r>
    </w:p>
    <w:p w14:paraId="23816379">
      <w:pP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3、第一部分  资格审查部分</w:t>
      </w:r>
    </w:p>
    <w:p w14:paraId="36476317">
      <w:pP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4、第二部分  技术标部分</w:t>
      </w:r>
    </w:p>
    <w:p w14:paraId="108EDA1D">
      <w:pP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5、第三部分  商务标部分</w:t>
      </w:r>
    </w:p>
    <w:p w14:paraId="16DEFEF2">
      <w:pPr>
        <w:pStyle w:val="102"/>
        <w:spacing w:after="120"/>
        <w:jc w:val="center"/>
        <w:rPr>
          <w:rFonts w:hint="eastAsia" w:asciiTheme="minorEastAsia" w:hAnsiTheme="minorEastAsia" w:eastAsiaTheme="minorEastAsia" w:cstheme="minorEastAsia"/>
          <w:color w:val="auto"/>
          <w:highlight w:val="none"/>
        </w:rPr>
      </w:pPr>
    </w:p>
    <w:p w14:paraId="6825EF17">
      <w:pPr>
        <w:spacing w:after="0" w:line="520" w:lineRule="exact"/>
        <w:ind w:firstLine="560"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br w:type="page"/>
      </w:r>
    </w:p>
    <w:p w14:paraId="7A6A3F7B">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44"/>
          <w:szCs w:val="44"/>
          <w:highlight w:val="none"/>
        </w:rPr>
        <w:t xml:space="preserve"> 第一部分  资格审查部分</w:t>
      </w:r>
    </w:p>
    <w:p w14:paraId="5028A693">
      <w:pPr>
        <w:spacing w:line="360" w:lineRule="auto"/>
        <w:jc w:val="center"/>
        <w:rPr>
          <w:rFonts w:ascii="宋体" w:hAnsi="宋体" w:eastAsia="宋体" w:cs="宋体"/>
          <w:color w:val="auto"/>
        </w:rPr>
      </w:pPr>
      <w:r>
        <w:rPr>
          <w:rFonts w:hint="eastAsia" w:ascii="宋体" w:hAnsi="宋体" w:eastAsia="宋体" w:cs="宋体"/>
          <w:b/>
          <w:color w:val="auto"/>
          <w:sz w:val="28"/>
          <w:szCs w:val="28"/>
        </w:rPr>
        <w:t>1</w:t>
      </w:r>
      <w:r>
        <w:rPr>
          <w:rFonts w:hint="eastAsia" w:ascii="宋体" w:hAnsi="宋体" w:eastAsia="宋体" w:cs="宋体"/>
          <w:b/>
          <w:color w:val="auto"/>
          <w:sz w:val="28"/>
          <w:szCs w:val="28"/>
          <w:lang w:eastAsia="zh-CN"/>
        </w:rPr>
        <w:t>、</w:t>
      </w:r>
      <w:r>
        <w:rPr>
          <w:rFonts w:hint="eastAsia" w:ascii="宋体" w:hAnsi="宋体" w:eastAsia="宋体" w:cs="宋体"/>
          <w:b/>
          <w:color w:val="auto"/>
          <w:sz w:val="28"/>
          <w:szCs w:val="28"/>
        </w:rPr>
        <w:t>资格审查申请函</w:t>
      </w:r>
    </w:p>
    <w:p w14:paraId="09DD6AA0">
      <w:pPr>
        <w:spacing w:line="360" w:lineRule="auto"/>
        <w:ind w:firstLine="440" w:firstLineChars="200"/>
        <w:jc w:val="left"/>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xml:space="preserve">               （采购人名称）</w:t>
      </w:r>
    </w:p>
    <w:p w14:paraId="59DB83E8">
      <w:pPr>
        <w:spacing w:line="360" w:lineRule="auto"/>
        <w:ind w:firstLine="440" w:firstLineChars="200"/>
        <w:jc w:val="left"/>
        <w:rPr>
          <w:rFonts w:ascii="宋体" w:hAnsi="宋体" w:eastAsia="宋体" w:cs="宋体"/>
          <w:color w:val="auto"/>
        </w:rPr>
      </w:pPr>
      <w:r>
        <w:rPr>
          <w:rFonts w:hint="eastAsia" w:ascii="宋体" w:hAnsi="宋体" w:eastAsia="宋体" w:cs="宋体"/>
          <w:color w:val="auto"/>
        </w:rPr>
        <w:t>我方仔细研究了</w:t>
      </w:r>
      <w:r>
        <w:rPr>
          <w:rFonts w:hint="eastAsia" w:ascii="宋体" w:hAnsi="宋体" w:eastAsia="宋体" w:cs="宋体"/>
          <w:color w:val="auto"/>
          <w:u w:val="single"/>
        </w:rPr>
        <w:t>（项目名称</w:t>
      </w:r>
      <w:r>
        <w:rPr>
          <w:rFonts w:hint="eastAsia" w:ascii="宋体" w:hAnsi="宋体" w:eastAsia="宋体" w:cs="宋体"/>
          <w:color w:val="auto"/>
          <w:u w:val="single"/>
          <w:lang w:eastAsia="zh-CN"/>
        </w:rPr>
        <w:t>：</w:t>
      </w:r>
      <w:r>
        <w:rPr>
          <w:rFonts w:hint="eastAsia" w:ascii="宋体" w:hAnsi="宋体" w:eastAsia="宋体" w:cs="宋体"/>
          <w:color w:val="auto"/>
          <w:u w:val="single"/>
        </w:rPr>
        <w:t xml:space="preserve">）  </w:t>
      </w:r>
      <w:r>
        <w:rPr>
          <w:rFonts w:hint="eastAsia" w:ascii="宋体" w:hAnsi="宋体" w:eastAsia="宋体" w:cs="宋体"/>
          <w:color w:val="auto"/>
          <w:u w:val="none"/>
          <w:lang w:eastAsia="zh-CN"/>
        </w:rPr>
        <w:t>，</w:t>
      </w:r>
      <w:r>
        <w:rPr>
          <w:rFonts w:hint="eastAsia" w:ascii="宋体" w:hAnsi="宋体" w:eastAsia="宋体" w:cs="宋体"/>
          <w:color w:val="auto"/>
          <w:u w:val="single"/>
        </w:rPr>
        <w:t>（</w:t>
      </w:r>
      <w:r>
        <w:rPr>
          <w:rFonts w:hint="eastAsia" w:ascii="宋体" w:hAnsi="宋体" w:eastAsia="宋体" w:cs="宋体"/>
          <w:color w:val="auto"/>
          <w:u w:val="single"/>
          <w:lang w:eastAsia="zh-CN"/>
        </w:rPr>
        <w:t>项目编号</w:t>
      </w:r>
      <w:r>
        <w:rPr>
          <w:rFonts w:hint="eastAsia" w:ascii="宋体" w:hAnsi="宋体" w:eastAsia="宋体" w:cs="宋体"/>
          <w:color w:val="auto"/>
          <w:u w:val="single"/>
        </w:rPr>
        <w:t>：）</w:t>
      </w:r>
      <w:r>
        <w:rPr>
          <w:rFonts w:hint="eastAsia" w:ascii="宋体" w:hAnsi="宋体" w:eastAsia="宋体" w:cs="宋体"/>
          <w:color w:val="auto"/>
          <w:u w:val="none"/>
          <w:lang w:eastAsia="zh-CN"/>
        </w:rPr>
        <w:t>项目</w:t>
      </w:r>
      <w:r>
        <w:rPr>
          <w:rFonts w:hint="eastAsia" w:ascii="宋体" w:hAnsi="宋体" w:eastAsia="宋体" w:cs="宋体"/>
          <w:color w:val="auto"/>
        </w:rPr>
        <w:t>竞争性磋商文件的全部内容，我方正式授权下述签字人</w:t>
      </w:r>
      <w:r>
        <w:rPr>
          <w:rFonts w:hint="eastAsia" w:ascii="宋体" w:hAnsi="宋体" w:eastAsia="宋体" w:cs="宋体"/>
          <w:color w:val="auto"/>
          <w:u w:val="single"/>
        </w:rPr>
        <w:t xml:space="preserve">   （姓名和职务）     </w:t>
      </w:r>
      <w:r>
        <w:rPr>
          <w:rFonts w:hint="eastAsia" w:ascii="宋体" w:hAnsi="宋体" w:eastAsia="宋体" w:cs="宋体"/>
          <w:color w:val="auto"/>
        </w:rPr>
        <w:t>全权代表</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供应商</w:t>
      </w:r>
      <w:r>
        <w:rPr>
          <w:rFonts w:hint="eastAsia" w:ascii="宋体" w:hAnsi="宋体" w:eastAsia="宋体" w:cs="宋体"/>
          <w:color w:val="auto"/>
          <w:u w:val="single"/>
        </w:rPr>
        <w:t xml:space="preserve">全称）   </w:t>
      </w:r>
      <w:r>
        <w:rPr>
          <w:rFonts w:hint="eastAsia" w:ascii="宋体" w:hAnsi="宋体" w:eastAsia="宋体" w:cs="宋体"/>
          <w:color w:val="auto"/>
        </w:rPr>
        <w:t>参加磋商，并提交磋商响应文件电子文件。</w:t>
      </w:r>
    </w:p>
    <w:p w14:paraId="58FC096F">
      <w:pPr>
        <w:spacing w:line="360" w:lineRule="auto"/>
        <w:ind w:firstLine="440" w:firstLineChars="200"/>
        <w:jc w:val="left"/>
        <w:rPr>
          <w:rFonts w:ascii="宋体" w:hAnsi="宋体" w:eastAsia="宋体" w:cs="宋体"/>
          <w:color w:val="auto"/>
        </w:rPr>
      </w:pPr>
      <w:r>
        <w:rPr>
          <w:rFonts w:hint="eastAsia" w:ascii="宋体" w:hAnsi="宋体" w:eastAsia="宋体" w:cs="宋体"/>
          <w:color w:val="auto"/>
        </w:rPr>
        <w:t>据此申请书，签字人兹宣布同意如下：</w:t>
      </w:r>
    </w:p>
    <w:p w14:paraId="4FFC851E">
      <w:pPr>
        <w:spacing w:line="360" w:lineRule="auto"/>
        <w:ind w:firstLine="440" w:firstLineChars="200"/>
        <w:jc w:val="left"/>
        <w:rPr>
          <w:rFonts w:ascii="宋体" w:hAnsi="宋体" w:eastAsia="宋体" w:cs="宋体"/>
          <w:color w:val="auto"/>
        </w:rPr>
      </w:pPr>
      <w:r>
        <w:rPr>
          <w:rFonts w:hint="eastAsia" w:ascii="宋体" w:hAnsi="宋体" w:eastAsia="宋体" w:cs="宋体"/>
          <w:color w:val="auto"/>
        </w:rPr>
        <w:t>1.我方同意将按竞争性磋商文件的规定履行合同责任和义务。</w:t>
      </w:r>
    </w:p>
    <w:p w14:paraId="47514CD0">
      <w:pPr>
        <w:spacing w:line="360" w:lineRule="auto"/>
        <w:ind w:firstLine="440" w:firstLineChars="200"/>
        <w:jc w:val="left"/>
        <w:rPr>
          <w:rFonts w:ascii="宋体" w:hAnsi="宋体" w:eastAsia="宋体" w:cs="宋体"/>
          <w:color w:val="auto"/>
        </w:rPr>
      </w:pPr>
      <w:r>
        <w:rPr>
          <w:rFonts w:hint="eastAsia" w:ascii="宋体" w:hAnsi="宋体" w:eastAsia="宋体" w:cs="宋体"/>
          <w:color w:val="auto"/>
        </w:rPr>
        <w:t>2.我方已详细审查全部竞争性磋商文件，包括修改文件以及全部参考资料和所有附件。我们完全理解并认为该磋商文件公平公正，不存在倾向性，且同意放弃对这方面有不明及误解的权利。</w:t>
      </w:r>
    </w:p>
    <w:p w14:paraId="76004B21">
      <w:pPr>
        <w:spacing w:line="360" w:lineRule="auto"/>
        <w:ind w:firstLine="440" w:firstLineChars="200"/>
        <w:jc w:val="left"/>
        <w:rPr>
          <w:rFonts w:ascii="宋体" w:hAnsi="宋体" w:eastAsia="宋体" w:cs="宋体"/>
          <w:color w:val="auto"/>
        </w:rPr>
      </w:pPr>
      <w:r>
        <w:rPr>
          <w:rFonts w:hint="eastAsia" w:ascii="宋体" w:hAnsi="宋体" w:eastAsia="宋体" w:cs="宋体"/>
          <w:color w:val="auto"/>
        </w:rPr>
        <w:t>3.本磋商自响应文件开启之日起有效期为</w:t>
      </w:r>
      <w:r>
        <w:rPr>
          <w:rFonts w:hint="eastAsia" w:ascii="宋体" w:hAnsi="宋体" w:eastAsia="宋体" w:cs="宋体"/>
          <w:color w:val="auto"/>
          <w:lang w:val="en-US" w:eastAsia="zh-CN"/>
        </w:rPr>
        <w:t>9</w:t>
      </w:r>
      <w:r>
        <w:rPr>
          <w:rFonts w:hint="eastAsia" w:ascii="宋体" w:hAnsi="宋体" w:eastAsia="宋体" w:cs="宋体"/>
          <w:color w:val="auto"/>
        </w:rPr>
        <w:t>0天。</w:t>
      </w:r>
    </w:p>
    <w:p w14:paraId="7DA9D62E">
      <w:pPr>
        <w:spacing w:line="360" w:lineRule="auto"/>
        <w:ind w:firstLine="440" w:firstLineChars="200"/>
        <w:jc w:val="left"/>
        <w:rPr>
          <w:rFonts w:ascii="宋体" w:hAnsi="宋体" w:eastAsia="宋体" w:cs="宋体"/>
          <w:color w:val="auto"/>
        </w:rPr>
      </w:pPr>
      <w:r>
        <w:rPr>
          <w:rFonts w:hint="eastAsia" w:ascii="宋体" w:hAnsi="宋体" w:eastAsia="宋体" w:cs="宋体"/>
          <w:color w:val="auto"/>
          <w:lang w:val="en-US" w:eastAsia="zh-CN"/>
        </w:rPr>
        <w:t>4</w:t>
      </w:r>
      <w:r>
        <w:rPr>
          <w:rFonts w:hint="eastAsia" w:ascii="宋体" w:hAnsi="宋体" w:eastAsia="宋体" w:cs="宋体"/>
          <w:color w:val="auto"/>
        </w:rPr>
        <w:t>.同意应贵方要求提供与本次磋商有关的任何数据和资料，并保证数据和资料的完整性和真实性。</w:t>
      </w:r>
    </w:p>
    <w:p w14:paraId="5B3C7FA9">
      <w:pPr>
        <w:spacing w:line="360" w:lineRule="auto"/>
        <w:ind w:firstLine="440" w:firstLineChars="200"/>
        <w:jc w:val="left"/>
        <w:rPr>
          <w:rFonts w:ascii="宋体" w:hAnsi="宋体" w:eastAsia="宋体" w:cs="宋体"/>
          <w:color w:val="auto"/>
        </w:rPr>
      </w:pPr>
      <w:r>
        <w:rPr>
          <w:rFonts w:hint="eastAsia" w:ascii="宋体" w:hAnsi="宋体" w:eastAsia="宋体" w:cs="宋体"/>
          <w:color w:val="auto"/>
          <w:lang w:val="en-US" w:eastAsia="zh-CN"/>
        </w:rPr>
        <w:t>5</w:t>
      </w:r>
      <w:r>
        <w:rPr>
          <w:rFonts w:hint="eastAsia" w:ascii="宋体" w:hAnsi="宋体" w:eastAsia="宋体" w:cs="宋体"/>
          <w:color w:val="auto"/>
        </w:rPr>
        <w:t>.同意因资格条件不符合资格要求不得再参与磋商的规定。</w:t>
      </w:r>
    </w:p>
    <w:p w14:paraId="48DE99DE">
      <w:pPr>
        <w:spacing w:line="360" w:lineRule="auto"/>
        <w:ind w:firstLine="440" w:firstLineChars="200"/>
        <w:jc w:val="left"/>
        <w:rPr>
          <w:rFonts w:ascii="宋体" w:hAnsi="宋体" w:eastAsia="宋体" w:cs="宋体"/>
          <w:color w:val="auto"/>
        </w:rPr>
      </w:pPr>
      <w:r>
        <w:rPr>
          <w:rFonts w:hint="eastAsia" w:ascii="宋体" w:hAnsi="宋体" w:eastAsia="宋体" w:cs="宋体"/>
          <w:color w:val="auto"/>
        </w:rPr>
        <w:t>与本次磋商有关的正式通讯地址为：</w:t>
      </w:r>
    </w:p>
    <w:p w14:paraId="286A0D47">
      <w:pPr>
        <w:spacing w:line="360" w:lineRule="auto"/>
        <w:ind w:firstLine="440" w:firstLineChars="200"/>
        <w:jc w:val="left"/>
        <w:rPr>
          <w:rFonts w:ascii="宋体" w:hAnsi="宋体" w:eastAsia="宋体" w:cs="宋体"/>
          <w:color w:val="auto"/>
        </w:rPr>
      </w:pPr>
      <w:r>
        <w:rPr>
          <w:rFonts w:hint="eastAsia" w:ascii="宋体" w:hAnsi="宋体" w:eastAsia="宋体" w:cs="宋体"/>
          <w:color w:val="auto"/>
        </w:rPr>
        <w:t>地    址：           邮政编码：</w:t>
      </w:r>
    </w:p>
    <w:p w14:paraId="327A7F88">
      <w:pPr>
        <w:spacing w:line="360" w:lineRule="auto"/>
        <w:ind w:firstLine="440" w:firstLineChars="200"/>
        <w:jc w:val="left"/>
        <w:rPr>
          <w:rFonts w:ascii="宋体" w:hAnsi="宋体" w:eastAsia="宋体" w:cs="宋体"/>
          <w:color w:val="auto"/>
        </w:rPr>
      </w:pPr>
      <w:r>
        <w:rPr>
          <w:rFonts w:hint="eastAsia" w:ascii="宋体" w:hAnsi="宋体" w:eastAsia="宋体" w:cs="宋体"/>
          <w:color w:val="auto"/>
        </w:rPr>
        <w:t>电    话：           传    真：</w:t>
      </w:r>
      <w:r>
        <w:rPr>
          <w:rFonts w:hint="eastAsia" w:ascii="宋体" w:hAnsi="宋体" w:eastAsia="宋体" w:cs="宋体"/>
          <w:color w:val="auto"/>
          <w:u w:val="single"/>
        </w:rPr>
        <w:t>　　　　　　　　</w:t>
      </w:r>
    </w:p>
    <w:p w14:paraId="562C25C0">
      <w:pPr>
        <w:spacing w:line="360" w:lineRule="auto"/>
        <w:ind w:firstLine="440" w:firstLineChars="200"/>
        <w:jc w:val="left"/>
        <w:rPr>
          <w:rFonts w:ascii="宋体" w:hAnsi="宋体" w:eastAsia="宋体" w:cs="宋体"/>
          <w:color w:val="auto"/>
          <w:u w:val="single"/>
        </w:rPr>
      </w:pPr>
      <w:r>
        <w:rPr>
          <w:rFonts w:hint="eastAsia" w:ascii="宋体" w:hAnsi="宋体" w:eastAsia="宋体" w:cs="宋体"/>
          <w:color w:val="auto"/>
        </w:rPr>
        <w:t>开户名称：</w:t>
      </w:r>
    </w:p>
    <w:p w14:paraId="2B504740">
      <w:pPr>
        <w:spacing w:line="360" w:lineRule="auto"/>
        <w:ind w:firstLine="440" w:firstLineChars="200"/>
        <w:jc w:val="left"/>
        <w:rPr>
          <w:rFonts w:ascii="宋体" w:hAnsi="宋体" w:eastAsia="宋体" w:cs="宋体"/>
          <w:color w:val="auto"/>
          <w:u w:val="single"/>
        </w:rPr>
      </w:pPr>
      <w:r>
        <w:rPr>
          <w:rFonts w:hint="eastAsia" w:ascii="宋体" w:hAnsi="宋体" w:eastAsia="宋体" w:cs="宋体"/>
          <w:color w:val="auto"/>
        </w:rPr>
        <w:t>开户银行：</w:t>
      </w:r>
    </w:p>
    <w:p w14:paraId="7CA852FF">
      <w:pPr>
        <w:spacing w:line="360" w:lineRule="auto"/>
        <w:ind w:firstLine="440" w:firstLineChars="200"/>
        <w:jc w:val="left"/>
        <w:rPr>
          <w:rFonts w:ascii="宋体" w:hAnsi="宋体" w:eastAsia="宋体" w:cs="宋体"/>
          <w:color w:val="auto"/>
          <w:u w:val="single"/>
        </w:rPr>
      </w:pPr>
      <w:r>
        <w:rPr>
          <w:rFonts w:hint="eastAsia" w:ascii="宋体" w:hAnsi="宋体" w:eastAsia="宋体" w:cs="宋体"/>
          <w:color w:val="auto"/>
        </w:rPr>
        <w:t>帐    号：</w:t>
      </w:r>
    </w:p>
    <w:p w14:paraId="1188672F">
      <w:pPr>
        <w:spacing w:line="360" w:lineRule="auto"/>
        <w:ind w:firstLine="440" w:firstLineChars="200"/>
        <w:jc w:val="left"/>
        <w:rPr>
          <w:rFonts w:ascii="宋体" w:hAnsi="宋体" w:eastAsia="宋体" w:cs="宋体"/>
          <w:color w:val="auto"/>
        </w:rPr>
      </w:pPr>
      <w:r>
        <w:rPr>
          <w:rFonts w:hint="eastAsia" w:ascii="宋体" w:hAnsi="宋体" w:eastAsia="宋体" w:cs="宋体"/>
          <w:color w:val="auto"/>
          <w:lang w:eastAsia="zh-CN"/>
        </w:rPr>
        <w:t>供应商</w:t>
      </w:r>
      <w:r>
        <w:rPr>
          <w:rFonts w:hint="eastAsia" w:ascii="宋体" w:hAnsi="宋体" w:eastAsia="宋体" w:cs="宋体"/>
          <w:color w:val="auto"/>
        </w:rPr>
        <w:t>：</w:t>
      </w:r>
      <w:r>
        <w:rPr>
          <w:rFonts w:hint="eastAsia" w:ascii="宋体" w:hAnsi="宋体" w:eastAsia="宋体" w:cs="宋体"/>
          <w:color w:val="auto"/>
          <w:u w:val="single"/>
        </w:rPr>
        <w:t xml:space="preserve">              （全称）                     </w:t>
      </w:r>
      <w:r>
        <w:rPr>
          <w:rFonts w:hint="eastAsia" w:ascii="宋体" w:hAnsi="宋体" w:eastAsia="宋体" w:cs="宋体"/>
          <w:color w:val="auto"/>
        </w:rPr>
        <w:t>（盖单位章）</w:t>
      </w:r>
    </w:p>
    <w:p w14:paraId="6C8530C0">
      <w:pPr>
        <w:spacing w:line="360" w:lineRule="auto"/>
        <w:ind w:firstLine="440" w:firstLineChars="200"/>
        <w:jc w:val="left"/>
        <w:rPr>
          <w:rFonts w:ascii="宋体" w:hAnsi="宋体" w:eastAsia="宋体" w:cs="宋体"/>
          <w:color w:val="auto"/>
        </w:rPr>
      </w:pPr>
      <w:r>
        <w:rPr>
          <w:rFonts w:hint="eastAsia" w:ascii="宋体" w:hAnsi="宋体" w:eastAsia="宋体" w:cs="宋体"/>
          <w:color w:val="auto"/>
          <w:lang w:eastAsia="zh-CN"/>
        </w:rPr>
        <w:t>法定代表人</w:t>
      </w:r>
      <w:r>
        <w:rPr>
          <w:rFonts w:hint="eastAsia" w:ascii="宋体" w:hAnsi="宋体" w:eastAsia="宋体" w:cs="宋体"/>
          <w:color w:val="auto"/>
        </w:rPr>
        <w:t>或其委托代理人：（签字或盖章）</w:t>
      </w:r>
    </w:p>
    <w:p w14:paraId="0DA85873">
      <w:pPr>
        <w:spacing w:line="360" w:lineRule="auto"/>
        <w:ind w:firstLine="440" w:firstLineChars="200"/>
        <w:jc w:val="left"/>
        <w:rPr>
          <w:rFonts w:ascii="宋体" w:hAnsi="宋体" w:eastAsia="宋体" w:cs="宋体"/>
          <w:color w:val="auto"/>
        </w:rPr>
      </w:pPr>
      <w:r>
        <w:rPr>
          <w:rFonts w:hint="eastAsia" w:ascii="宋体" w:hAnsi="宋体" w:eastAsia="宋体" w:cs="宋体"/>
          <w:color w:val="auto"/>
        </w:rPr>
        <w:t>日期：年月日</w:t>
      </w:r>
    </w:p>
    <w:p w14:paraId="46E5E4CC">
      <w:pPr>
        <w:keepNext/>
        <w:jc w:val="left"/>
        <w:rPr>
          <w:rFonts w:ascii="宋体" w:hAnsi="宋体" w:eastAsia="宋体" w:cs="宋体"/>
          <w:color w:val="auto"/>
        </w:rPr>
      </w:pPr>
    </w:p>
    <w:p w14:paraId="28FF010D">
      <w:pPr>
        <w:keepNext/>
        <w:jc w:val="center"/>
        <w:rPr>
          <w:rFonts w:ascii="宋体" w:hAnsi="宋体" w:eastAsia="宋体" w:cs="宋体"/>
          <w:b/>
          <w:bCs/>
          <w:color w:val="auto"/>
          <w:sz w:val="28"/>
          <w:szCs w:val="28"/>
        </w:rPr>
      </w:pPr>
      <w:r>
        <w:rPr>
          <w:rFonts w:hint="eastAsia" w:ascii="宋体" w:hAnsi="宋体" w:eastAsia="宋体" w:cs="宋体"/>
          <w:b/>
          <w:color w:val="auto"/>
        </w:rPr>
        <w:br w:type="page"/>
      </w:r>
      <w:bookmarkStart w:id="216" w:name="_Toc7252771"/>
      <w:r>
        <w:rPr>
          <w:rFonts w:hint="eastAsia" w:ascii="宋体" w:hAnsi="宋体" w:eastAsia="宋体" w:cs="宋体"/>
          <w:b/>
          <w:bCs/>
          <w:color w:val="auto"/>
          <w:sz w:val="28"/>
          <w:szCs w:val="28"/>
        </w:rPr>
        <w:t>2</w:t>
      </w:r>
      <w:bookmarkEnd w:id="216"/>
      <w:bookmarkStart w:id="217" w:name="_Toc21569"/>
      <w:r>
        <w:rPr>
          <w:rFonts w:hint="eastAsia" w:ascii="宋体" w:hAnsi="宋体" w:eastAsia="宋体" w:cs="宋体"/>
          <w:b/>
          <w:bCs/>
          <w:color w:val="auto"/>
          <w:sz w:val="28"/>
          <w:szCs w:val="28"/>
          <w:lang w:eastAsia="zh-CN"/>
        </w:rPr>
        <w:t>、供应商</w:t>
      </w:r>
      <w:r>
        <w:rPr>
          <w:rFonts w:hint="eastAsia" w:ascii="宋体" w:hAnsi="宋体" w:eastAsia="宋体" w:cs="宋体"/>
          <w:b/>
          <w:bCs/>
          <w:color w:val="auto"/>
          <w:sz w:val="28"/>
          <w:szCs w:val="28"/>
        </w:rPr>
        <w:t>应具有独立承担民事责任的能力</w:t>
      </w:r>
      <w:bookmarkEnd w:id="217"/>
    </w:p>
    <w:p w14:paraId="2C6FA782">
      <w:pPr>
        <w:keepNext/>
        <w:spacing w:line="360" w:lineRule="auto"/>
        <w:jc w:val="center"/>
        <w:rPr>
          <w:rFonts w:ascii="宋体" w:hAnsi="宋体" w:eastAsia="宋体" w:cs="宋体"/>
          <w:b/>
          <w:bCs/>
          <w:color w:val="auto"/>
          <w:sz w:val="28"/>
          <w:szCs w:val="28"/>
        </w:rPr>
      </w:pPr>
      <w:r>
        <w:rPr>
          <w:rFonts w:hint="eastAsia" w:ascii="宋体" w:hAnsi="宋体" w:eastAsia="宋体" w:cs="宋体"/>
          <w:b/>
          <w:bCs/>
          <w:color w:val="auto"/>
          <w:sz w:val="28"/>
          <w:szCs w:val="28"/>
        </w:rPr>
        <w:t>2</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1提供有效营业执照等能证明具有独立承担民事责任能力材料：</w:t>
      </w:r>
    </w:p>
    <w:p w14:paraId="13FAC6F1">
      <w:pPr>
        <w:shd w:val="clear" w:color="auto" w:fill="auto"/>
        <w:spacing w:line="460" w:lineRule="exact"/>
        <w:ind w:firstLine="440" w:firstLineChars="200"/>
        <w:jc w:val="left"/>
        <w:rPr>
          <w:rFonts w:hint="eastAsia" w:ascii="宋体" w:hAnsi="宋体" w:eastAsia="宋体" w:cs="宋体"/>
          <w:color w:val="auto"/>
          <w:szCs w:val="21"/>
        </w:rPr>
      </w:pPr>
    </w:p>
    <w:p w14:paraId="52D6A66D">
      <w:pPr>
        <w:shd w:val="clear" w:color="auto" w:fill="auto"/>
        <w:spacing w:line="360" w:lineRule="auto"/>
        <w:ind w:firstLine="480" w:firstLineChars="200"/>
        <w:jc w:val="left"/>
        <w:rPr>
          <w:rFonts w:hint="eastAsia" w:ascii="宋体" w:hAnsi="宋体" w:eastAsia="宋体" w:cs="宋体"/>
          <w:color w:val="auto"/>
          <w:lang w:val="en-US" w:eastAsia="zh-CN"/>
        </w:rPr>
      </w:pPr>
      <w:r>
        <w:rPr>
          <w:rFonts w:hint="eastAsia" w:ascii="宋体" w:hAnsi="宋体" w:cs="宋体"/>
          <w:color w:val="auto"/>
          <w:sz w:val="24"/>
          <w:szCs w:val="24"/>
          <w:lang w:val="en-US" w:eastAsia="zh-CN"/>
        </w:rPr>
        <w:t>具有独立承担民事责任的能力。供应商须提供合法有效的</w:t>
      </w:r>
      <w:r>
        <w:rPr>
          <w:rFonts w:hint="eastAsia" w:ascii="宋体" w:hAnsi="宋体" w:cs="宋体"/>
          <w:color w:val="auto"/>
          <w:sz w:val="24"/>
          <w:szCs w:val="24"/>
        </w:rPr>
        <w:t>《</w:t>
      </w:r>
      <w:r>
        <w:rPr>
          <w:rFonts w:hint="eastAsia" w:ascii="宋体" w:hAnsi="宋体" w:cs="宋体"/>
          <w:bCs/>
          <w:color w:val="auto"/>
          <w:sz w:val="24"/>
          <w:szCs w:val="24"/>
        </w:rPr>
        <w:t>营业执照》其他组织证件或自然人身份证件</w:t>
      </w:r>
      <w:r>
        <w:rPr>
          <w:rFonts w:hint="eastAsia" w:ascii="宋体" w:hAnsi="宋体" w:cs="宋体"/>
          <w:color w:val="auto"/>
          <w:sz w:val="24"/>
          <w:szCs w:val="24"/>
        </w:rPr>
        <w:t>等能证明其具有独立承担民事责任能力的相应材料。</w:t>
      </w:r>
    </w:p>
    <w:p w14:paraId="53C35C9C">
      <w:pPr>
        <w:shd w:val="clear" w:color="auto" w:fill="auto"/>
        <w:spacing w:line="360" w:lineRule="auto"/>
        <w:ind w:firstLine="440" w:firstLineChars="200"/>
        <w:jc w:val="left"/>
        <w:rPr>
          <w:rFonts w:ascii="宋体" w:hAnsi="宋体" w:eastAsia="宋体" w:cs="宋体"/>
          <w:color w:val="auto"/>
          <w:szCs w:val="21"/>
        </w:rPr>
      </w:pPr>
    </w:p>
    <w:p w14:paraId="68901F6F">
      <w:pPr>
        <w:pStyle w:val="438"/>
        <w:rPr>
          <w:rFonts w:ascii="宋体" w:hAnsi="宋体" w:eastAsia="宋体" w:cs="宋体"/>
          <w:b/>
          <w:color w:val="auto"/>
          <w:szCs w:val="21"/>
        </w:rPr>
      </w:pPr>
      <w:r>
        <w:rPr>
          <w:rFonts w:hint="eastAsia" w:ascii="宋体" w:hAnsi="宋体" w:eastAsia="宋体" w:cs="宋体"/>
          <w:b/>
          <w:color w:val="auto"/>
          <w:szCs w:val="21"/>
        </w:rPr>
        <w:br w:type="page"/>
      </w:r>
    </w:p>
    <w:p w14:paraId="4920724D">
      <w:pPr>
        <w:widowControl/>
        <w:jc w:val="left"/>
        <w:rPr>
          <w:rFonts w:ascii="宋体" w:hAnsi="宋体" w:eastAsia="宋体" w:cs="宋体"/>
          <w:b/>
          <w:bCs/>
          <w:color w:val="auto"/>
          <w:szCs w:val="21"/>
        </w:rPr>
      </w:pPr>
    </w:p>
    <w:p w14:paraId="62EAB1FD">
      <w:pPr>
        <w:spacing w:line="460" w:lineRule="exact"/>
        <w:jc w:val="center"/>
        <w:rPr>
          <w:rFonts w:ascii="宋体" w:hAnsi="宋体" w:eastAsia="宋体" w:cs="宋体"/>
          <w:b/>
          <w:bCs/>
          <w:color w:val="auto"/>
          <w:sz w:val="28"/>
          <w:szCs w:val="28"/>
        </w:rPr>
      </w:pPr>
      <w:r>
        <w:rPr>
          <w:rFonts w:hint="eastAsia" w:ascii="宋体" w:hAnsi="宋体" w:eastAsia="宋体" w:cs="宋体"/>
          <w:b/>
          <w:bCs/>
          <w:color w:val="auto"/>
          <w:sz w:val="28"/>
          <w:szCs w:val="28"/>
        </w:rPr>
        <w:t>2</w:t>
      </w:r>
      <w:r>
        <w:rPr>
          <w:rFonts w:hint="eastAsia" w:ascii="宋体" w:hAnsi="宋体" w:eastAsia="宋体" w:cs="宋体"/>
          <w:b/>
          <w:bCs/>
          <w:color w:val="auto"/>
          <w:sz w:val="28"/>
          <w:szCs w:val="28"/>
          <w:lang w:val="en-US" w:eastAsia="zh-CN"/>
        </w:rPr>
        <w:t xml:space="preserve">.2  </w:t>
      </w:r>
      <w:r>
        <w:rPr>
          <w:rFonts w:hint="eastAsia" w:ascii="宋体" w:hAnsi="宋体" w:eastAsia="宋体" w:cs="宋体"/>
          <w:b/>
          <w:bCs/>
          <w:color w:val="auto"/>
          <w:sz w:val="28"/>
          <w:szCs w:val="28"/>
          <w:lang w:eastAsia="zh-CN"/>
        </w:rPr>
        <w:t>供应商</w:t>
      </w:r>
      <w:r>
        <w:rPr>
          <w:rFonts w:hint="eastAsia" w:ascii="宋体" w:hAnsi="宋体" w:eastAsia="宋体" w:cs="宋体"/>
          <w:b/>
          <w:bCs/>
          <w:color w:val="auto"/>
          <w:sz w:val="28"/>
          <w:szCs w:val="28"/>
        </w:rPr>
        <w:t>提供联合体情况申明</w:t>
      </w:r>
    </w:p>
    <w:p w14:paraId="38A7FCB4">
      <w:pPr>
        <w:spacing w:line="480" w:lineRule="exact"/>
        <w:jc w:val="center"/>
        <w:rPr>
          <w:rFonts w:ascii="宋体" w:hAnsi="宋体" w:eastAsia="宋体" w:cs="宋体"/>
          <w:b/>
          <w:bCs/>
          <w:color w:val="auto"/>
          <w:sz w:val="30"/>
        </w:rPr>
      </w:pPr>
    </w:p>
    <w:p w14:paraId="4495CD26">
      <w:pPr>
        <w:spacing w:line="480" w:lineRule="exact"/>
        <w:jc w:val="center"/>
        <w:rPr>
          <w:rFonts w:ascii="宋体" w:hAnsi="宋体" w:eastAsia="宋体" w:cs="宋体"/>
          <w:b/>
          <w:bCs/>
          <w:color w:val="auto"/>
          <w:sz w:val="30"/>
        </w:rPr>
      </w:pPr>
      <w:r>
        <w:rPr>
          <w:rFonts w:hint="eastAsia" w:ascii="宋体" w:hAnsi="宋体" w:eastAsia="宋体" w:cs="宋体"/>
          <w:b/>
          <w:bCs/>
          <w:color w:val="auto"/>
          <w:sz w:val="30"/>
          <w:lang w:eastAsia="zh-CN"/>
        </w:rPr>
        <w:t>供应商</w:t>
      </w:r>
      <w:r>
        <w:rPr>
          <w:rFonts w:hint="eastAsia" w:ascii="宋体" w:hAnsi="宋体" w:eastAsia="宋体" w:cs="宋体"/>
          <w:b/>
          <w:bCs/>
          <w:color w:val="auto"/>
          <w:sz w:val="30"/>
        </w:rPr>
        <w:t>若不属于联合体的请按以下格式填写</w:t>
      </w:r>
    </w:p>
    <w:p w14:paraId="75A14569">
      <w:pPr>
        <w:spacing w:line="480" w:lineRule="exact"/>
        <w:jc w:val="center"/>
        <w:rPr>
          <w:rFonts w:ascii="宋体" w:hAnsi="宋体" w:eastAsia="宋体" w:cs="宋体"/>
          <w:b/>
          <w:bCs/>
          <w:color w:val="auto"/>
          <w:sz w:val="30"/>
        </w:rPr>
      </w:pPr>
      <w:r>
        <w:rPr>
          <w:rFonts w:hint="eastAsia" w:ascii="宋体" w:hAnsi="宋体" w:eastAsia="宋体" w:cs="宋体"/>
          <w:b/>
          <w:bCs/>
          <w:color w:val="auto"/>
          <w:sz w:val="30"/>
        </w:rPr>
        <w:t xml:space="preserve">申 明 书 </w:t>
      </w:r>
    </w:p>
    <w:p w14:paraId="19EE898D">
      <w:pPr>
        <w:spacing w:line="480" w:lineRule="exact"/>
        <w:rPr>
          <w:rFonts w:ascii="宋体" w:hAnsi="宋体" w:eastAsia="宋体" w:cs="宋体"/>
          <w:b/>
          <w:bCs/>
          <w:color w:val="auto"/>
          <w:sz w:val="24"/>
          <w:szCs w:val="24"/>
        </w:rPr>
      </w:pPr>
    </w:p>
    <w:p w14:paraId="30F2F59D">
      <w:pPr>
        <w:spacing w:line="480" w:lineRule="exact"/>
        <w:rPr>
          <w:rFonts w:ascii="宋体" w:hAnsi="宋体" w:eastAsia="宋体" w:cs="宋体"/>
          <w:b/>
          <w:color w:val="auto"/>
          <w:szCs w:val="21"/>
          <w:u w:val="single"/>
        </w:rPr>
      </w:pPr>
      <w:r>
        <w:rPr>
          <w:rFonts w:hint="eastAsia" w:ascii="宋体" w:hAnsi="宋体" w:eastAsia="宋体" w:cs="宋体"/>
          <w:b/>
          <w:color w:val="auto"/>
          <w:szCs w:val="21"/>
        </w:rPr>
        <w:t>致：</w:t>
      </w:r>
      <w:r>
        <w:rPr>
          <w:rFonts w:hint="eastAsia" w:ascii="宋体" w:hAnsi="宋体" w:eastAsia="宋体" w:cs="宋体"/>
          <w:b/>
          <w:color w:val="auto"/>
          <w:szCs w:val="21"/>
          <w:u w:val="single"/>
        </w:rPr>
        <w:t xml:space="preserve">    （采购人名称）       </w:t>
      </w:r>
    </w:p>
    <w:p w14:paraId="63EF2F01">
      <w:pPr>
        <w:spacing w:line="500" w:lineRule="exact"/>
        <w:rPr>
          <w:rFonts w:ascii="宋体" w:hAnsi="宋体" w:eastAsia="宋体" w:cs="宋体"/>
          <w:b/>
          <w:color w:val="auto"/>
          <w:szCs w:val="21"/>
        </w:rPr>
      </w:pPr>
    </w:p>
    <w:p w14:paraId="73619EE9">
      <w:pPr>
        <w:spacing w:line="500" w:lineRule="exact"/>
        <w:ind w:firstLine="440" w:firstLineChars="200"/>
        <w:jc w:val="left"/>
        <w:rPr>
          <w:rFonts w:ascii="宋体" w:hAnsi="宋体" w:eastAsia="宋体" w:cs="宋体"/>
          <w:color w:val="auto"/>
          <w:szCs w:val="21"/>
        </w:rPr>
      </w:pPr>
      <w:r>
        <w:rPr>
          <w:rFonts w:hint="eastAsia" w:ascii="宋体" w:hAnsi="宋体" w:eastAsia="宋体" w:cs="宋体"/>
          <w:color w:val="auto"/>
          <w:szCs w:val="21"/>
        </w:rPr>
        <w:t>在审阅了贵方竞争性磋商文件包括确已收到第</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号补充文件（若有，若没有任何补遗、更正的，请填写“/”），我方被授权签字人在此申明我方就本项目采购活动为独立参与磋商，我方不属于</w:t>
      </w:r>
      <w:r>
        <w:rPr>
          <w:rFonts w:hint="eastAsia" w:ascii="宋体" w:hAnsi="宋体" w:eastAsia="宋体" w:cs="宋体"/>
          <w:b/>
          <w:color w:val="auto"/>
          <w:szCs w:val="21"/>
        </w:rPr>
        <w:t>联合体，与其他</w:t>
      </w:r>
      <w:r>
        <w:rPr>
          <w:rFonts w:hint="eastAsia" w:ascii="宋体" w:hAnsi="宋体" w:eastAsia="宋体" w:cs="宋体"/>
          <w:b/>
          <w:color w:val="auto"/>
          <w:szCs w:val="21"/>
          <w:lang w:eastAsia="zh-CN"/>
        </w:rPr>
        <w:t>供应商</w:t>
      </w:r>
      <w:r>
        <w:rPr>
          <w:rFonts w:hint="eastAsia" w:ascii="宋体" w:hAnsi="宋体" w:eastAsia="宋体" w:cs="宋体"/>
          <w:b/>
          <w:color w:val="auto"/>
          <w:szCs w:val="21"/>
        </w:rPr>
        <w:t>不存在单位负责人为同一人或者存在直接控股、管理关系的情况。</w:t>
      </w:r>
    </w:p>
    <w:p w14:paraId="73C85DAD">
      <w:pPr>
        <w:spacing w:line="500" w:lineRule="exact"/>
        <w:ind w:firstLine="440" w:firstLineChars="200"/>
        <w:jc w:val="left"/>
        <w:rPr>
          <w:rFonts w:ascii="宋体" w:hAnsi="宋体" w:eastAsia="宋体" w:cs="宋体"/>
          <w:color w:val="auto"/>
          <w:szCs w:val="21"/>
        </w:rPr>
      </w:pPr>
    </w:p>
    <w:p w14:paraId="2A24AF79">
      <w:pPr>
        <w:spacing w:line="500" w:lineRule="exact"/>
        <w:jc w:val="left"/>
        <w:rPr>
          <w:rFonts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color w:val="auto"/>
          <w:szCs w:val="21"/>
          <w:lang w:eastAsia="zh-CN"/>
        </w:rPr>
        <w:t>法定代表人</w:t>
      </w:r>
      <w:r>
        <w:rPr>
          <w:rFonts w:hint="eastAsia" w:ascii="宋体" w:hAnsi="宋体" w:eastAsia="宋体" w:cs="宋体"/>
          <w:color w:val="auto"/>
          <w:szCs w:val="21"/>
        </w:rPr>
        <w:t xml:space="preserve">或被授权人（签字或盖章）： </w:t>
      </w:r>
    </w:p>
    <w:p w14:paraId="39584227">
      <w:pPr>
        <w:spacing w:line="500" w:lineRule="exact"/>
        <w:ind w:firstLine="4840" w:firstLineChars="2200"/>
        <w:jc w:val="left"/>
        <w:rPr>
          <w:rFonts w:ascii="宋体" w:hAnsi="宋体" w:eastAsia="宋体" w:cs="宋体"/>
          <w:color w:val="auto"/>
          <w:szCs w:val="21"/>
        </w:rPr>
      </w:pPr>
      <w:r>
        <w:rPr>
          <w:rFonts w:hint="eastAsia" w:ascii="宋体" w:hAnsi="宋体" w:eastAsia="宋体" w:cs="宋体"/>
          <w:color w:val="auto"/>
          <w:szCs w:val="21"/>
        </w:rPr>
        <w:t>单位公章：</w:t>
      </w:r>
    </w:p>
    <w:p w14:paraId="43E45ABE">
      <w:pPr>
        <w:spacing w:line="500" w:lineRule="exact"/>
        <w:jc w:val="left"/>
        <w:rPr>
          <w:rFonts w:ascii="宋体" w:hAnsi="宋体" w:eastAsia="宋体" w:cs="宋体"/>
          <w:color w:val="auto"/>
          <w:szCs w:val="21"/>
        </w:rPr>
      </w:pPr>
      <w:r>
        <w:rPr>
          <w:rFonts w:hint="eastAsia" w:ascii="宋体" w:hAnsi="宋体" w:eastAsia="宋体" w:cs="宋体"/>
          <w:color w:val="auto"/>
          <w:szCs w:val="21"/>
        </w:rPr>
        <w:t>　　　　　　　　　　　　　　　　　　　　　　　年　　月    日</w:t>
      </w:r>
    </w:p>
    <w:p w14:paraId="53C8E464">
      <w:pPr>
        <w:spacing w:line="500" w:lineRule="exact"/>
        <w:jc w:val="left"/>
        <w:rPr>
          <w:rFonts w:ascii="宋体" w:hAnsi="宋体" w:eastAsia="宋体" w:cs="宋体"/>
          <w:color w:val="auto"/>
          <w:szCs w:val="21"/>
        </w:rPr>
      </w:pPr>
    </w:p>
    <w:p w14:paraId="230C2F91">
      <w:pPr>
        <w:rPr>
          <w:rFonts w:ascii="宋体" w:hAnsi="宋体" w:eastAsia="宋体" w:cs="宋体"/>
          <w:color w:val="auto"/>
          <w:szCs w:val="21"/>
        </w:rPr>
      </w:pPr>
      <w:r>
        <w:rPr>
          <w:rFonts w:ascii="宋体" w:hAnsi="宋体" w:eastAsia="宋体" w:cs="宋体"/>
          <w:color w:val="auto"/>
          <w:szCs w:val="21"/>
        </w:rPr>
        <w:br w:type="page"/>
      </w:r>
    </w:p>
    <w:p w14:paraId="693F7D08">
      <w:pPr>
        <w:pStyle w:val="434"/>
        <w:keepNext w:val="0"/>
        <w:keepLines w:val="0"/>
        <w:pageBreakBefore w:val="0"/>
        <w:widowControl w:val="0"/>
        <w:numPr>
          <w:ilvl w:val="0"/>
          <w:numId w:val="0"/>
        </w:numPr>
        <w:shd w:val="clear" w:color="auto" w:fill="auto"/>
        <w:tabs>
          <w:tab w:val="left" w:pos="763"/>
        </w:tabs>
        <w:kinsoku/>
        <w:wordWrap/>
        <w:overflowPunct/>
        <w:topLinePunct w:val="0"/>
        <w:autoSpaceDE/>
        <w:autoSpaceDN/>
        <w:bidi w:val="0"/>
        <w:adjustRightInd/>
        <w:snapToGrid/>
        <w:spacing w:before="0" w:after="120" w:line="500" w:lineRule="exact"/>
        <w:ind w:right="0" w:rightChars="0" w:firstLine="562" w:firstLineChars="200"/>
        <w:jc w:val="center"/>
        <w:textAlignment w:val="auto"/>
        <w:outlineLvl w:val="2"/>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3</w:t>
      </w:r>
      <w:r>
        <w:rPr>
          <w:rFonts w:hint="eastAsia" w:cs="宋体"/>
          <w:b/>
          <w:bCs/>
          <w:color w:val="auto"/>
          <w:sz w:val="28"/>
          <w:szCs w:val="28"/>
          <w:lang w:val="en-US" w:eastAsia="zh-CN"/>
        </w:rPr>
        <w:t>、</w:t>
      </w:r>
      <w:r>
        <w:rPr>
          <w:rFonts w:hint="eastAsia" w:ascii="宋体" w:hAnsi="宋体" w:eastAsia="宋体" w:cs="宋体"/>
          <w:b/>
          <w:bCs/>
          <w:color w:val="auto"/>
          <w:sz w:val="28"/>
          <w:szCs w:val="28"/>
        </w:rPr>
        <w:t>具有良好的商业信誉</w:t>
      </w:r>
      <w:r>
        <w:rPr>
          <w:rFonts w:hint="eastAsia" w:ascii="宋体" w:hAnsi="宋体" w:eastAsia="宋体" w:cs="宋体"/>
          <w:b/>
          <w:bCs/>
          <w:color w:val="auto"/>
          <w:sz w:val="28"/>
          <w:szCs w:val="28"/>
          <w:lang w:val="en-US" w:eastAsia="zh-CN"/>
        </w:rPr>
        <w:t>和健全的财务会计制度</w:t>
      </w:r>
    </w:p>
    <w:p w14:paraId="50568A65">
      <w:pPr>
        <w:shd w:val="clear" w:color="auto" w:fill="auto"/>
        <w:spacing w:line="460" w:lineRule="exact"/>
        <w:ind w:firstLine="440" w:firstLineChars="200"/>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3.1：</w:t>
      </w:r>
      <w:r>
        <w:rPr>
          <w:rFonts w:hint="eastAsia" w:ascii="宋体" w:hAnsi="宋体" w:eastAsia="宋体" w:cs="宋体"/>
          <w:color w:val="auto"/>
          <w:szCs w:val="21"/>
        </w:rPr>
        <w:t>提供具有良好的商业信誉的声明函。</w:t>
      </w:r>
    </w:p>
    <w:p w14:paraId="5AB3A4AD">
      <w:pPr>
        <w:shd w:val="clear" w:color="auto" w:fill="auto"/>
        <w:spacing w:line="460" w:lineRule="exact"/>
        <w:ind w:firstLine="440" w:firstLineChars="200"/>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（提供没有处于被责令停业财产被接管、冻结、破产状态的声明函，格式自拟</w:t>
      </w:r>
      <w:r>
        <w:rPr>
          <w:rFonts w:hint="eastAsia" w:ascii="宋体" w:hAnsi="宋体" w:eastAsia="宋体" w:cs="宋体"/>
          <w:color w:val="auto"/>
          <w:szCs w:val="21"/>
          <w:lang w:eastAsia="zh-CN"/>
        </w:rPr>
        <w:t>）</w:t>
      </w:r>
    </w:p>
    <w:p w14:paraId="77744353">
      <w:pPr>
        <w:spacing w:line="460" w:lineRule="exact"/>
        <w:jc w:val="left"/>
        <w:rPr>
          <w:rFonts w:hint="eastAsia" w:ascii="宋体" w:hAnsi="宋体" w:eastAsia="宋体" w:cs="宋体"/>
          <w:b/>
          <w:bCs/>
          <w:color w:val="auto"/>
          <w:sz w:val="28"/>
          <w:szCs w:val="28"/>
        </w:rPr>
      </w:pPr>
    </w:p>
    <w:p w14:paraId="21E8E8FF">
      <w:pPr>
        <w:spacing w:line="460" w:lineRule="exact"/>
        <w:jc w:val="left"/>
        <w:rPr>
          <w:rFonts w:hint="eastAsia" w:ascii="宋体" w:hAnsi="宋体" w:eastAsia="宋体" w:cs="宋体"/>
          <w:b/>
          <w:bCs/>
          <w:color w:val="auto"/>
          <w:sz w:val="28"/>
          <w:szCs w:val="28"/>
        </w:rPr>
      </w:pPr>
    </w:p>
    <w:p w14:paraId="601089E3">
      <w:pPr>
        <w:spacing w:line="460" w:lineRule="exact"/>
        <w:jc w:val="left"/>
        <w:rPr>
          <w:rFonts w:hint="eastAsia" w:ascii="宋体" w:hAnsi="宋体" w:eastAsia="宋体" w:cs="宋体"/>
          <w:b/>
          <w:bCs/>
          <w:color w:val="auto"/>
          <w:sz w:val="28"/>
          <w:szCs w:val="28"/>
        </w:rPr>
      </w:pPr>
    </w:p>
    <w:p w14:paraId="5E2ED337">
      <w:pPr>
        <w:spacing w:line="460" w:lineRule="exact"/>
        <w:jc w:val="left"/>
        <w:rPr>
          <w:rFonts w:hint="eastAsia" w:ascii="宋体" w:hAnsi="宋体" w:eastAsia="宋体" w:cs="宋体"/>
          <w:b/>
          <w:bCs/>
          <w:color w:val="auto"/>
          <w:sz w:val="28"/>
          <w:szCs w:val="28"/>
        </w:rPr>
      </w:pPr>
    </w:p>
    <w:p w14:paraId="6F9E0AA4">
      <w:pPr>
        <w:spacing w:line="460" w:lineRule="exact"/>
        <w:jc w:val="left"/>
        <w:rPr>
          <w:rFonts w:hint="eastAsia" w:ascii="宋体" w:hAnsi="宋体" w:eastAsia="宋体" w:cs="宋体"/>
          <w:b/>
          <w:bCs/>
          <w:color w:val="auto"/>
          <w:sz w:val="28"/>
          <w:szCs w:val="28"/>
        </w:rPr>
      </w:pPr>
    </w:p>
    <w:p w14:paraId="593F5F35">
      <w:pPr>
        <w:spacing w:line="460" w:lineRule="exact"/>
        <w:jc w:val="left"/>
        <w:rPr>
          <w:rFonts w:hint="eastAsia" w:ascii="宋体" w:hAnsi="宋体" w:eastAsia="宋体" w:cs="宋体"/>
          <w:b/>
          <w:bCs/>
          <w:color w:val="auto"/>
          <w:sz w:val="28"/>
          <w:szCs w:val="28"/>
        </w:rPr>
      </w:pPr>
    </w:p>
    <w:p w14:paraId="753B4358">
      <w:pPr>
        <w:spacing w:line="460" w:lineRule="exact"/>
        <w:jc w:val="left"/>
        <w:rPr>
          <w:rFonts w:hint="eastAsia" w:ascii="宋体" w:hAnsi="宋体" w:eastAsia="宋体" w:cs="宋体"/>
          <w:b/>
          <w:bCs/>
          <w:color w:val="auto"/>
          <w:sz w:val="28"/>
          <w:szCs w:val="28"/>
        </w:rPr>
      </w:pPr>
    </w:p>
    <w:p w14:paraId="48D2BD17">
      <w:pPr>
        <w:spacing w:line="460" w:lineRule="exact"/>
        <w:jc w:val="left"/>
        <w:rPr>
          <w:rFonts w:hint="eastAsia" w:ascii="宋体" w:hAnsi="宋体" w:eastAsia="宋体" w:cs="宋体"/>
          <w:b/>
          <w:bCs/>
          <w:color w:val="auto"/>
          <w:sz w:val="28"/>
          <w:szCs w:val="28"/>
        </w:rPr>
      </w:pPr>
    </w:p>
    <w:p w14:paraId="5823E5AC">
      <w:pPr>
        <w:spacing w:line="460" w:lineRule="exact"/>
        <w:jc w:val="left"/>
        <w:rPr>
          <w:rFonts w:hint="eastAsia" w:ascii="宋体" w:hAnsi="宋体" w:eastAsia="宋体" w:cs="宋体"/>
          <w:b/>
          <w:bCs/>
          <w:color w:val="auto"/>
          <w:sz w:val="28"/>
          <w:szCs w:val="28"/>
        </w:rPr>
      </w:pPr>
    </w:p>
    <w:p w14:paraId="1C0F94C7">
      <w:pPr>
        <w:spacing w:line="460" w:lineRule="exact"/>
        <w:jc w:val="left"/>
        <w:rPr>
          <w:rFonts w:hint="eastAsia" w:ascii="宋体" w:hAnsi="宋体" w:eastAsia="宋体" w:cs="宋体"/>
          <w:b/>
          <w:bCs/>
          <w:color w:val="auto"/>
          <w:sz w:val="28"/>
          <w:szCs w:val="28"/>
        </w:rPr>
      </w:pPr>
    </w:p>
    <w:p w14:paraId="661D472C">
      <w:pPr>
        <w:spacing w:line="460" w:lineRule="exact"/>
        <w:jc w:val="left"/>
        <w:rPr>
          <w:rFonts w:hint="eastAsia" w:ascii="宋体" w:hAnsi="宋体" w:eastAsia="宋体" w:cs="宋体"/>
          <w:b/>
          <w:bCs/>
          <w:color w:val="auto"/>
          <w:sz w:val="28"/>
          <w:szCs w:val="28"/>
        </w:rPr>
      </w:pPr>
    </w:p>
    <w:p w14:paraId="62D24012">
      <w:pPr>
        <w:spacing w:line="460" w:lineRule="exact"/>
        <w:jc w:val="left"/>
        <w:rPr>
          <w:rFonts w:hint="eastAsia" w:ascii="宋体" w:hAnsi="宋体" w:eastAsia="宋体" w:cs="宋体"/>
          <w:b/>
          <w:bCs/>
          <w:color w:val="auto"/>
          <w:sz w:val="28"/>
          <w:szCs w:val="28"/>
        </w:rPr>
      </w:pPr>
    </w:p>
    <w:p w14:paraId="798B3EF7">
      <w:pPr>
        <w:spacing w:line="460" w:lineRule="exact"/>
        <w:jc w:val="left"/>
        <w:rPr>
          <w:rFonts w:hint="eastAsia" w:ascii="宋体" w:hAnsi="宋体" w:eastAsia="宋体" w:cs="宋体"/>
          <w:b/>
          <w:bCs/>
          <w:color w:val="auto"/>
          <w:sz w:val="28"/>
          <w:szCs w:val="28"/>
        </w:rPr>
      </w:pPr>
    </w:p>
    <w:p w14:paraId="3C40F56D">
      <w:pPr>
        <w:spacing w:line="460" w:lineRule="exact"/>
        <w:jc w:val="left"/>
        <w:rPr>
          <w:rFonts w:hint="eastAsia" w:ascii="宋体" w:hAnsi="宋体" w:eastAsia="宋体" w:cs="宋体"/>
          <w:b/>
          <w:bCs/>
          <w:color w:val="auto"/>
          <w:sz w:val="28"/>
          <w:szCs w:val="28"/>
        </w:rPr>
      </w:pPr>
    </w:p>
    <w:p w14:paraId="4FE04F0E">
      <w:pPr>
        <w:spacing w:line="460" w:lineRule="exact"/>
        <w:jc w:val="left"/>
        <w:rPr>
          <w:rFonts w:hint="eastAsia" w:ascii="宋体" w:hAnsi="宋体" w:eastAsia="宋体" w:cs="宋体"/>
          <w:b/>
          <w:bCs/>
          <w:color w:val="auto"/>
          <w:sz w:val="28"/>
          <w:szCs w:val="28"/>
        </w:rPr>
      </w:pPr>
    </w:p>
    <w:p w14:paraId="63DBAAEC">
      <w:pPr>
        <w:spacing w:line="460" w:lineRule="exact"/>
        <w:jc w:val="center"/>
        <w:rPr>
          <w:rFonts w:hint="eastAsia" w:ascii="宋体" w:hAnsi="宋体" w:eastAsia="宋体" w:cs="宋体"/>
          <w:b/>
          <w:bCs/>
          <w:color w:val="auto"/>
          <w:sz w:val="28"/>
          <w:szCs w:val="28"/>
        </w:rPr>
      </w:pPr>
    </w:p>
    <w:p w14:paraId="00A57B8F">
      <w:pPr>
        <w:spacing w:line="460" w:lineRule="exact"/>
        <w:jc w:val="both"/>
        <w:rPr>
          <w:rFonts w:hint="eastAsia" w:ascii="宋体" w:hAnsi="宋体" w:eastAsia="宋体" w:cs="宋体"/>
          <w:b/>
          <w:bCs/>
          <w:color w:val="auto"/>
          <w:sz w:val="28"/>
          <w:szCs w:val="28"/>
        </w:rPr>
      </w:pPr>
    </w:p>
    <w:p w14:paraId="4C7D2925">
      <w:pPr>
        <w:pStyle w:val="24"/>
        <w:rPr>
          <w:rFonts w:hint="eastAsia" w:ascii="宋体" w:hAnsi="宋体" w:eastAsia="宋体" w:cs="宋体"/>
          <w:b/>
          <w:bCs/>
          <w:color w:val="auto"/>
          <w:sz w:val="28"/>
          <w:szCs w:val="28"/>
        </w:rPr>
      </w:pPr>
    </w:p>
    <w:p w14:paraId="68D4A245">
      <w:pPr>
        <w:rPr>
          <w:rFonts w:hint="eastAsia"/>
        </w:rPr>
      </w:pPr>
    </w:p>
    <w:p w14:paraId="3A2C48A0">
      <w:pPr>
        <w:spacing w:line="460" w:lineRule="exact"/>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3</w:t>
      </w:r>
      <w:r>
        <w:rPr>
          <w:rFonts w:hint="eastAsia" w:ascii="宋体" w:hAnsi="宋体" w:eastAsia="宋体" w:cs="宋体"/>
          <w:b/>
          <w:bCs/>
          <w:color w:val="auto"/>
          <w:sz w:val="28"/>
          <w:szCs w:val="28"/>
          <w:lang w:val="en-US" w:eastAsia="zh-CN"/>
        </w:rPr>
        <w:t>.2:健全的财务会计制度</w:t>
      </w:r>
    </w:p>
    <w:p w14:paraId="063777D6">
      <w:pPr>
        <w:pStyle w:val="14"/>
        <w:rPr>
          <w:rFonts w:hint="eastAsia"/>
          <w:color w:val="auto"/>
          <w:lang w:val="en-US" w:eastAsia="zh-CN"/>
        </w:rPr>
      </w:pPr>
    </w:p>
    <w:p w14:paraId="056E8966">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40" w:firstLineChars="200"/>
        <w:jc w:val="both"/>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须提供提供2023至2025年度任意一个年度经社会审计机构出具的审计报告及会计报表（含资产负债表、现金流量表、利润表）；未经审计的，可提供2023至2025年度任意一个年度公司内部自行编制的财务报表或银行开具的资信证明文件（新注册不满一年的企业可提供成立至今的会计报表或银行开具的资信证明文件或书面说明，此项要求可不列入废标条款）。</w:t>
      </w:r>
    </w:p>
    <w:p w14:paraId="7385903C">
      <w:pPr>
        <w:pStyle w:val="439"/>
        <w:ind w:firstLine="464"/>
        <w:rPr>
          <w:rFonts w:hAnsi="宋体" w:eastAsia="宋体" w:cs="宋体"/>
          <w:color w:val="auto"/>
          <w:sz w:val="24"/>
          <w:szCs w:val="24"/>
        </w:rPr>
      </w:pPr>
    </w:p>
    <w:p w14:paraId="715D0945">
      <w:pPr>
        <w:pStyle w:val="439"/>
        <w:ind w:firstLine="464"/>
        <w:rPr>
          <w:rFonts w:hAnsi="宋体" w:eastAsia="宋体" w:cs="宋体"/>
          <w:color w:val="auto"/>
          <w:sz w:val="24"/>
          <w:szCs w:val="24"/>
        </w:rPr>
      </w:pPr>
    </w:p>
    <w:p w14:paraId="7F2BB060">
      <w:pPr>
        <w:pStyle w:val="439"/>
        <w:ind w:firstLine="464"/>
        <w:rPr>
          <w:rFonts w:hAnsi="宋体" w:eastAsia="宋体" w:cs="宋体"/>
          <w:color w:val="auto"/>
          <w:sz w:val="24"/>
          <w:szCs w:val="24"/>
        </w:rPr>
      </w:pPr>
    </w:p>
    <w:p w14:paraId="1C1CD8CC">
      <w:pPr>
        <w:pStyle w:val="439"/>
        <w:ind w:firstLine="464"/>
        <w:rPr>
          <w:rFonts w:hAnsi="宋体" w:eastAsia="宋体" w:cs="宋体"/>
          <w:color w:val="auto"/>
          <w:sz w:val="24"/>
          <w:szCs w:val="24"/>
        </w:rPr>
      </w:pPr>
    </w:p>
    <w:p w14:paraId="45F18ED2">
      <w:pPr>
        <w:pStyle w:val="439"/>
        <w:ind w:firstLine="464"/>
        <w:rPr>
          <w:rFonts w:hAnsi="宋体" w:eastAsia="宋体" w:cs="宋体"/>
          <w:color w:val="auto"/>
          <w:sz w:val="24"/>
          <w:szCs w:val="24"/>
        </w:rPr>
      </w:pPr>
    </w:p>
    <w:p w14:paraId="78AFD1EA">
      <w:pPr>
        <w:pStyle w:val="439"/>
        <w:ind w:firstLine="464"/>
        <w:rPr>
          <w:rFonts w:hAnsi="宋体" w:eastAsia="宋体" w:cs="宋体"/>
          <w:color w:val="auto"/>
          <w:sz w:val="24"/>
          <w:szCs w:val="24"/>
        </w:rPr>
      </w:pPr>
    </w:p>
    <w:p w14:paraId="7ED33D7B">
      <w:pPr>
        <w:spacing w:line="460" w:lineRule="exact"/>
        <w:jc w:val="left"/>
        <w:rPr>
          <w:rFonts w:ascii="宋体" w:hAnsi="宋体" w:eastAsia="宋体" w:cs="宋体"/>
          <w:color w:val="auto"/>
          <w:szCs w:val="21"/>
        </w:rPr>
      </w:pPr>
    </w:p>
    <w:p w14:paraId="275F9271">
      <w:pPr>
        <w:spacing w:line="460" w:lineRule="exact"/>
        <w:jc w:val="left"/>
        <w:rPr>
          <w:rFonts w:ascii="宋体" w:hAnsi="宋体" w:eastAsia="宋体" w:cs="宋体"/>
          <w:color w:val="auto"/>
          <w:szCs w:val="21"/>
        </w:rPr>
      </w:pPr>
    </w:p>
    <w:p w14:paraId="2C473454">
      <w:pPr>
        <w:spacing w:line="460" w:lineRule="exact"/>
        <w:jc w:val="left"/>
        <w:rPr>
          <w:rFonts w:ascii="宋体" w:hAnsi="宋体" w:eastAsia="宋体" w:cs="宋体"/>
          <w:color w:val="auto"/>
          <w:szCs w:val="21"/>
        </w:rPr>
      </w:pPr>
    </w:p>
    <w:p w14:paraId="4FC51456">
      <w:pPr>
        <w:pStyle w:val="4"/>
        <w:tabs>
          <w:tab w:val="left" w:pos="432"/>
        </w:tabs>
        <w:spacing w:before="0" w:after="0" w:line="48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br w:type="page"/>
      </w:r>
      <w:bookmarkStart w:id="218" w:name="_Toc12731"/>
      <w:bookmarkStart w:id="219" w:name="_Toc31588"/>
      <w:bookmarkStart w:id="220" w:name="_Toc13261"/>
      <w:bookmarkStart w:id="221" w:name="_Toc29168"/>
      <w:bookmarkStart w:id="222" w:name="_Toc19324"/>
      <w:bookmarkStart w:id="223" w:name="_Toc3902"/>
      <w:bookmarkStart w:id="224" w:name="_Toc22041"/>
      <w:bookmarkStart w:id="225" w:name="_Toc15331"/>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具备履行合同所必需的设备和专业技术能力</w:t>
      </w:r>
      <w:bookmarkEnd w:id="218"/>
      <w:bookmarkEnd w:id="219"/>
      <w:bookmarkEnd w:id="220"/>
      <w:bookmarkEnd w:id="221"/>
    </w:p>
    <w:p w14:paraId="22DCEAC8">
      <w:pPr>
        <w:jc w:val="left"/>
        <w:rPr>
          <w:rFonts w:ascii="宋体" w:hAnsi="宋体" w:eastAsia="宋体" w:cs="宋体"/>
          <w:b/>
          <w:color w:val="auto"/>
          <w:sz w:val="24"/>
          <w:szCs w:val="24"/>
        </w:rPr>
      </w:pPr>
    </w:p>
    <w:p w14:paraId="5D021760">
      <w:pPr>
        <w:pStyle w:val="434"/>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46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w:t>
      </w:r>
      <w:r>
        <w:rPr>
          <w:rFonts w:hint="eastAsia" w:cs="宋体"/>
          <w:color w:val="auto"/>
          <w:sz w:val="24"/>
          <w:szCs w:val="24"/>
          <w:lang w:val="en-US" w:eastAsia="zh-CN"/>
        </w:rPr>
        <w:t>供应商</w:t>
      </w:r>
      <w:r>
        <w:rPr>
          <w:rFonts w:hint="eastAsia" w:ascii="宋体" w:hAnsi="宋体" w:eastAsia="宋体" w:cs="宋体"/>
          <w:color w:val="auto"/>
          <w:sz w:val="24"/>
          <w:szCs w:val="24"/>
          <w:lang w:val="en-US" w:eastAsia="zh-CN"/>
        </w:rPr>
        <w:t>能证明其具备履行合同所必需的设备和专业技术能力的书面声明承诺函（格式自拟，加盖公章确认）。</w:t>
      </w:r>
    </w:p>
    <w:p w14:paraId="6727A831">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6EB2CD52">
      <w:pPr>
        <w:widowControl/>
        <w:jc w:val="center"/>
        <w:rPr>
          <w:rFonts w:ascii="宋体" w:hAnsi="宋体" w:eastAsia="宋体" w:cs="宋体"/>
          <w:b w:val="0"/>
          <w:color w:val="auto"/>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lang w:eastAsia="zh-CN"/>
        </w:rPr>
        <w:t>、具</w:t>
      </w:r>
      <w:r>
        <w:rPr>
          <w:rFonts w:hint="eastAsia" w:ascii="宋体" w:hAnsi="宋体" w:eastAsia="宋体" w:cs="宋体"/>
          <w:b/>
          <w:bCs/>
          <w:color w:val="auto"/>
          <w:sz w:val="28"/>
          <w:szCs w:val="28"/>
        </w:rPr>
        <w:t>有依法缴纳税收和社会保障资金的良好记录</w:t>
      </w:r>
      <w:bookmarkEnd w:id="222"/>
      <w:bookmarkEnd w:id="223"/>
      <w:bookmarkEnd w:id="224"/>
      <w:bookmarkEnd w:id="225"/>
    </w:p>
    <w:p w14:paraId="15AE15EF">
      <w:pPr>
        <w:spacing w:line="360" w:lineRule="auto"/>
        <w:ind w:firstLine="480" w:firstLineChars="200"/>
        <w:jc w:val="left"/>
        <w:rPr>
          <w:rFonts w:hint="eastAsia" w:asciiTheme="minorEastAsia" w:hAnsiTheme="minorEastAsia" w:eastAsiaTheme="minorEastAsia" w:cstheme="minorEastAsia"/>
          <w:color w:val="auto"/>
          <w:sz w:val="24"/>
          <w:szCs w:val="24"/>
        </w:rPr>
      </w:pPr>
    </w:p>
    <w:p w14:paraId="19E6DBCC">
      <w:pPr>
        <w:keepNext w:val="0"/>
        <w:keepLines w:val="0"/>
        <w:pageBreakBefore w:val="0"/>
        <w:widowControl w:val="0"/>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pacing w:val="0"/>
          <w:w w:val="100"/>
          <w:position w:val="0"/>
          <w:sz w:val="24"/>
          <w:szCs w:val="24"/>
          <w:u w:val="none"/>
          <w:shd w:val="clear" w:color="auto" w:fill="auto"/>
          <w:lang w:val="en-US" w:eastAsia="zh-CN" w:bidi="zh-TW"/>
        </w:rPr>
      </w:pPr>
      <w:r>
        <w:rPr>
          <w:rFonts w:hint="eastAsia" w:ascii="宋体" w:hAnsi="宋体" w:eastAsia="宋体" w:cs="宋体"/>
          <w:color w:val="auto"/>
          <w:sz w:val="24"/>
          <w:szCs w:val="24"/>
          <w:u w:val="none"/>
          <w:shd w:val="clear" w:color="auto" w:fill="auto"/>
          <w:lang w:val="en-US" w:eastAsia="zh-CN" w:bidi="zh-TW"/>
        </w:rPr>
        <w:t>提供2025年01月至今任意1个月的依法缴纳税收和社会保障资金的证明材料（依法免税和不需要缴纳社会保障资金的磋商申请人，应提供相应证明材料；成立不足3个月的，须提供书面说明，此项要求可不列入废标条款）；</w:t>
      </w:r>
      <w:r>
        <w:rPr>
          <w:rFonts w:hint="eastAsia" w:ascii="宋体" w:hAnsi="宋体" w:eastAsia="宋体" w:cs="宋体"/>
          <w:color w:val="auto"/>
          <w:spacing w:val="0"/>
          <w:w w:val="100"/>
          <w:position w:val="0"/>
          <w:sz w:val="24"/>
          <w:szCs w:val="24"/>
          <w:u w:val="none"/>
          <w:shd w:val="clear" w:color="auto" w:fill="auto"/>
          <w:lang w:val="en-US" w:eastAsia="zh-CN" w:bidi="zh-TW"/>
        </w:rPr>
        <w:t>。</w:t>
      </w:r>
    </w:p>
    <w:p w14:paraId="285F50DC">
      <w:pPr>
        <w:spacing w:line="360" w:lineRule="auto"/>
        <w:ind w:firstLine="840" w:firstLineChars="300"/>
        <w:jc w:val="left"/>
        <w:rPr>
          <w:rFonts w:ascii="宋体" w:hAnsi="宋体" w:eastAsia="宋体" w:cs="宋体"/>
          <w:color w:val="auto"/>
          <w:szCs w:val="21"/>
        </w:rPr>
      </w:pPr>
      <w:r>
        <w:rPr>
          <w:rFonts w:hint="eastAsia" w:ascii="宋体" w:hAnsi="宋体" w:eastAsia="宋体" w:cs="宋体"/>
          <w:color w:val="auto"/>
          <w:sz w:val="28"/>
          <w:szCs w:val="28"/>
        </w:rPr>
        <w:br w:type="page"/>
      </w:r>
    </w:p>
    <w:p w14:paraId="169F2CF9">
      <w:pPr>
        <w:pStyle w:val="4"/>
        <w:tabs>
          <w:tab w:val="left" w:pos="432"/>
        </w:tabs>
        <w:spacing w:before="0" w:after="0" w:line="480" w:lineRule="exact"/>
        <w:jc w:val="center"/>
        <w:rPr>
          <w:rFonts w:ascii="宋体" w:hAnsi="宋体" w:eastAsia="宋体" w:cs="宋体"/>
          <w:b w:val="0"/>
          <w:color w:val="auto"/>
          <w:sz w:val="28"/>
          <w:szCs w:val="28"/>
        </w:rPr>
      </w:pPr>
      <w:bookmarkStart w:id="226" w:name="_Toc5961"/>
      <w:bookmarkStart w:id="227" w:name="_Toc13934"/>
      <w:bookmarkStart w:id="228" w:name="_Toc5634"/>
      <w:bookmarkStart w:id="229" w:name="_Toc5886"/>
      <w:r>
        <w:rPr>
          <w:rFonts w:hint="eastAsia" w:ascii="宋体" w:hAnsi="宋体" w:eastAsia="宋体" w:cs="宋体"/>
          <w:color w:val="auto"/>
          <w:sz w:val="28"/>
          <w:szCs w:val="28"/>
        </w:rPr>
        <w:t>6</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无重大违法声明</w:t>
      </w:r>
      <w:bookmarkEnd w:id="226"/>
      <w:bookmarkEnd w:id="227"/>
      <w:bookmarkEnd w:id="228"/>
      <w:bookmarkEnd w:id="229"/>
    </w:p>
    <w:p w14:paraId="08780E0C">
      <w:pPr>
        <w:spacing w:line="360" w:lineRule="auto"/>
        <w:ind w:firstLine="220" w:firstLineChars="100"/>
        <w:jc w:val="left"/>
        <w:rPr>
          <w:rFonts w:ascii="宋体" w:hAnsi="宋体" w:eastAsia="宋体" w:cs="宋体"/>
          <w:color w:val="auto"/>
          <w:szCs w:val="21"/>
        </w:rPr>
      </w:pPr>
    </w:p>
    <w:p w14:paraId="31F039A5">
      <w:pPr>
        <w:spacing w:line="360" w:lineRule="auto"/>
        <w:ind w:firstLine="440" w:firstLineChars="200"/>
        <w:jc w:val="left"/>
        <w:rPr>
          <w:rFonts w:ascii="宋体" w:hAnsi="宋体" w:cs="宋体"/>
          <w:color w:val="auto"/>
          <w:szCs w:val="21"/>
        </w:rPr>
      </w:pPr>
      <w:r>
        <w:rPr>
          <w:rFonts w:hint="eastAsia" w:ascii="宋体" w:hAnsi="宋体" w:eastAsia="宋体" w:cs="宋体"/>
          <w:color w:val="auto"/>
          <w:szCs w:val="21"/>
        </w:rPr>
        <w:t>提供参加政府采购活动</w:t>
      </w:r>
      <w:r>
        <w:rPr>
          <w:rFonts w:hint="eastAsia" w:ascii="宋体" w:hAnsi="宋体" w:eastAsia="宋体" w:cs="宋体"/>
          <w:color w:val="auto"/>
          <w:szCs w:val="21"/>
          <w:lang w:eastAsia="zh-CN"/>
        </w:rPr>
        <w:t>近</w:t>
      </w:r>
      <w:r>
        <w:rPr>
          <w:rFonts w:hint="eastAsia" w:ascii="宋体" w:hAnsi="宋体" w:eastAsia="宋体" w:cs="宋体"/>
          <w:color w:val="auto"/>
          <w:szCs w:val="21"/>
        </w:rPr>
        <w:t>3年内在经营活动中没有重大违法记录的书面声明（重大违法记录是指：因违法经营受到刑事处罚或者责令停产停业、吊销许可证或者执照、较大数额罚款等行政处罚）。格式自拟（加盖公章确认）</w:t>
      </w:r>
    </w:p>
    <w:p w14:paraId="24C3F4F3">
      <w:pPr>
        <w:ind w:firstLine="240" w:firstLineChars="100"/>
        <w:jc w:val="left"/>
        <w:rPr>
          <w:rFonts w:ascii="宋体" w:hAnsi="宋体" w:cs="宋体"/>
          <w:color w:val="auto"/>
          <w:sz w:val="24"/>
        </w:rPr>
      </w:pPr>
    </w:p>
    <w:p w14:paraId="45AB7403">
      <w:pPr>
        <w:pStyle w:val="33"/>
        <w:pageBreakBefore w:val="0"/>
        <w:kinsoku/>
        <w:overflowPunct/>
        <w:topLinePunct w:val="0"/>
        <w:bidi w:val="0"/>
        <w:spacing w:line="560" w:lineRule="exact"/>
        <w:jc w:val="both"/>
        <w:rPr>
          <w:rFonts w:hint="eastAsia" w:ascii="宋体" w:hAnsi="宋体" w:eastAsia="宋体" w:cs="宋体"/>
          <w:b/>
          <w:bCs/>
          <w:color w:val="auto"/>
          <w:sz w:val="28"/>
          <w:szCs w:val="28"/>
        </w:rPr>
      </w:pPr>
    </w:p>
    <w:p w14:paraId="6E33598D">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p>
    <w:p w14:paraId="5DEEB46F">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p>
    <w:p w14:paraId="3B3560A2">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p>
    <w:p w14:paraId="1F8E4CC8">
      <w:pPr>
        <w:spacing w:line="360" w:lineRule="auto"/>
        <w:rPr>
          <w:rFonts w:hint="eastAsia" w:ascii="宋体" w:hAnsi="宋体" w:eastAsia="宋体" w:cs="宋体"/>
          <w:b/>
          <w:bCs/>
          <w:color w:val="auto"/>
          <w:sz w:val="28"/>
          <w:szCs w:val="28"/>
          <w:lang w:val="en-US" w:eastAsia="zh-CN"/>
        </w:rPr>
      </w:pPr>
    </w:p>
    <w:p w14:paraId="18F59211">
      <w:pPr>
        <w:spacing w:line="360" w:lineRule="auto"/>
        <w:rPr>
          <w:rFonts w:hint="eastAsia" w:ascii="宋体" w:hAnsi="宋体" w:eastAsia="宋体" w:cs="宋体"/>
          <w:b/>
          <w:bCs/>
          <w:color w:val="auto"/>
          <w:sz w:val="28"/>
          <w:szCs w:val="28"/>
          <w:lang w:val="en-US" w:eastAsia="zh-CN"/>
        </w:rPr>
      </w:pPr>
    </w:p>
    <w:p w14:paraId="73380AD1">
      <w:pPr>
        <w:spacing w:line="360" w:lineRule="auto"/>
        <w:rPr>
          <w:rFonts w:hint="eastAsia" w:ascii="宋体" w:hAnsi="宋体" w:eastAsia="宋体" w:cs="宋体"/>
          <w:b/>
          <w:bCs/>
          <w:color w:val="auto"/>
          <w:sz w:val="28"/>
          <w:szCs w:val="28"/>
          <w:lang w:val="en-US" w:eastAsia="zh-CN"/>
        </w:rPr>
      </w:pPr>
    </w:p>
    <w:p w14:paraId="413EC597">
      <w:pPr>
        <w:spacing w:line="360" w:lineRule="auto"/>
        <w:rPr>
          <w:rFonts w:hint="eastAsia" w:ascii="宋体" w:hAnsi="宋体" w:eastAsia="宋体" w:cs="宋体"/>
          <w:b/>
          <w:bCs/>
          <w:color w:val="auto"/>
          <w:sz w:val="28"/>
          <w:szCs w:val="28"/>
          <w:lang w:val="en-US" w:eastAsia="zh-CN"/>
        </w:rPr>
      </w:pPr>
    </w:p>
    <w:p w14:paraId="02EB7D69">
      <w:pPr>
        <w:spacing w:line="360" w:lineRule="auto"/>
        <w:rPr>
          <w:rFonts w:hint="eastAsia" w:ascii="宋体" w:hAnsi="宋体" w:eastAsia="宋体" w:cs="宋体"/>
          <w:b/>
          <w:bCs/>
          <w:color w:val="auto"/>
          <w:sz w:val="28"/>
          <w:szCs w:val="28"/>
          <w:lang w:val="en-US" w:eastAsia="zh-CN"/>
        </w:rPr>
      </w:pPr>
    </w:p>
    <w:p w14:paraId="4C93A9FC">
      <w:pPr>
        <w:spacing w:line="360" w:lineRule="auto"/>
        <w:rPr>
          <w:rFonts w:hint="eastAsia" w:ascii="宋体" w:hAnsi="宋体" w:eastAsia="宋体" w:cs="宋体"/>
          <w:b/>
          <w:bCs/>
          <w:color w:val="auto"/>
          <w:sz w:val="28"/>
          <w:szCs w:val="28"/>
          <w:lang w:val="en-US" w:eastAsia="zh-CN"/>
        </w:rPr>
      </w:pPr>
    </w:p>
    <w:p w14:paraId="11EFCCA7">
      <w:pPr>
        <w:spacing w:line="360" w:lineRule="auto"/>
        <w:rPr>
          <w:rFonts w:hint="eastAsia" w:ascii="宋体" w:hAnsi="宋体" w:eastAsia="宋体" w:cs="宋体"/>
          <w:b/>
          <w:bCs/>
          <w:color w:val="auto"/>
          <w:sz w:val="28"/>
          <w:szCs w:val="28"/>
          <w:lang w:val="en-US" w:eastAsia="zh-CN"/>
        </w:rPr>
      </w:pPr>
    </w:p>
    <w:p w14:paraId="5E519518">
      <w:pPr>
        <w:spacing w:line="360" w:lineRule="auto"/>
        <w:rPr>
          <w:rFonts w:hint="eastAsia" w:ascii="宋体" w:hAnsi="宋体" w:eastAsia="宋体" w:cs="宋体"/>
          <w:b/>
          <w:bCs/>
          <w:color w:val="auto"/>
          <w:sz w:val="28"/>
          <w:szCs w:val="28"/>
          <w:lang w:val="en-US" w:eastAsia="zh-CN"/>
        </w:rPr>
      </w:pPr>
    </w:p>
    <w:p w14:paraId="5B2780D7">
      <w:pPr>
        <w:spacing w:line="360" w:lineRule="auto"/>
        <w:rPr>
          <w:rFonts w:hint="eastAsia" w:ascii="宋体" w:hAnsi="宋体" w:eastAsia="宋体" w:cs="宋体"/>
          <w:b/>
          <w:bCs/>
          <w:color w:val="auto"/>
          <w:sz w:val="28"/>
          <w:szCs w:val="28"/>
          <w:lang w:val="en-US" w:eastAsia="zh-CN"/>
        </w:rPr>
      </w:pPr>
    </w:p>
    <w:p w14:paraId="749DD533">
      <w:pPr>
        <w:spacing w:line="360" w:lineRule="auto"/>
        <w:rPr>
          <w:rFonts w:hint="eastAsia" w:ascii="宋体" w:hAnsi="宋体" w:eastAsia="宋体" w:cs="宋体"/>
          <w:b/>
          <w:bCs/>
          <w:color w:val="auto"/>
          <w:sz w:val="28"/>
          <w:szCs w:val="28"/>
          <w:lang w:val="en-US" w:eastAsia="zh-CN"/>
        </w:rPr>
      </w:pPr>
    </w:p>
    <w:p w14:paraId="77A1927D">
      <w:pPr>
        <w:spacing w:line="360" w:lineRule="auto"/>
        <w:rPr>
          <w:rFonts w:hint="eastAsia" w:ascii="宋体" w:hAnsi="宋体" w:eastAsia="宋体" w:cs="宋体"/>
          <w:b/>
          <w:bCs/>
          <w:color w:val="auto"/>
          <w:sz w:val="28"/>
          <w:szCs w:val="28"/>
          <w:lang w:val="en-US" w:eastAsia="zh-CN"/>
        </w:rPr>
      </w:pPr>
    </w:p>
    <w:p w14:paraId="3E763C4B">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br w:type="page"/>
      </w:r>
    </w:p>
    <w:p w14:paraId="1B02CFA6">
      <w:pPr>
        <w:pStyle w:val="3"/>
        <w:numPr>
          <w:ilvl w:val="0"/>
          <w:numId w:val="7"/>
        </w:numPr>
        <w:tabs>
          <w:tab w:val="left" w:pos="360"/>
        </w:tabs>
        <w:ind w:left="425"/>
        <w:jc w:val="center"/>
        <w:rPr>
          <w:rFonts w:hint="eastAsia" w:ascii="宋体" w:hAnsi="宋体" w:eastAsia="宋体" w:cs="宋体"/>
          <w:b/>
          <w:bCs/>
          <w:kern w:val="2"/>
          <w:sz w:val="28"/>
          <w:szCs w:val="28"/>
          <w:lang w:val="en-US" w:eastAsia="zh-CN" w:bidi="ar-SA"/>
        </w:rPr>
      </w:pPr>
      <w:bookmarkStart w:id="230" w:name="_Toc3578"/>
      <w:r>
        <w:rPr>
          <w:rFonts w:hint="eastAsia" w:ascii="宋体" w:hAnsi="宋体" w:eastAsia="宋体" w:cs="宋体"/>
          <w:b/>
          <w:bCs/>
          <w:kern w:val="2"/>
          <w:sz w:val="28"/>
          <w:szCs w:val="28"/>
          <w:lang w:val="en-US" w:eastAsia="zh-CN" w:bidi="ar-SA"/>
        </w:rPr>
        <w:t>其他资格要求</w:t>
      </w:r>
    </w:p>
    <w:p w14:paraId="2C3F0C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7.1供应商在磋商公告发出日期之前未被列入“信用中国”网站“严重失信主体名单”“失信被执行人”“重大税收违法失信主体</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政府采购严重违法失信行为记录名单</w:t>
      </w:r>
      <w:r>
        <w:rPr>
          <w:rFonts w:hint="eastAsia" w:ascii="宋体" w:hAnsi="宋体" w:eastAsia="宋体" w:cs="宋体"/>
          <w:sz w:val="24"/>
          <w:szCs w:val="24"/>
          <w:lang w:val="en-US" w:eastAsia="zh-CN"/>
        </w:rPr>
        <w:t>”，未被列入中国政府采购网“政府采购严重违法失信行为信息记录名单”，由采购人及采购代理机构将按照以上条款对参与磋商的供应商的信用信息进行查询，有不良记录的磋商将被拒绝。（供应商无须提供）。</w:t>
      </w:r>
    </w:p>
    <w:p w14:paraId="77B60AC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z w:val="24"/>
          <w:szCs w:val="24"/>
          <w:lang w:val="en-US" w:eastAsia="zh-CN"/>
        </w:rPr>
        <w:t>7.2单位负责人为同一人或者存在直接控股、管理关系的不同</w:t>
      </w:r>
      <w:r>
        <w:rPr>
          <w:rFonts w:hint="eastAsia" w:ascii="宋体" w:hAnsi="宋体" w:eastAsia="宋体" w:cs="宋体"/>
          <w:sz w:val="24"/>
          <w:szCs w:val="24"/>
          <w:lang w:eastAsia="zh-CN"/>
        </w:rPr>
        <w:t>供应商</w:t>
      </w:r>
      <w:r>
        <w:rPr>
          <w:rFonts w:hint="eastAsia" w:ascii="宋体" w:hAnsi="宋体" w:eastAsia="宋体" w:cs="宋体"/>
          <w:sz w:val="24"/>
          <w:szCs w:val="24"/>
          <w:lang w:val="en-US" w:eastAsia="zh-CN"/>
        </w:rPr>
        <w:t>，不得参加同一合同项下的政府采购活动（提供声明函）。</w:t>
      </w:r>
    </w:p>
    <w:p w14:paraId="07F5374D">
      <w:pPr>
        <w:shd w:val="clear" w:color="auto" w:fill="auto"/>
        <w:spacing w:line="360" w:lineRule="auto"/>
        <w:ind w:left="0" w:leftChars="0" w:firstLine="561" w:firstLineChars="266"/>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供应商无直接控股、管理关系书面声明函</w:t>
      </w:r>
      <w:bookmarkEnd w:id="230"/>
    </w:p>
    <w:p w14:paraId="33F3C539">
      <w:pPr>
        <w:snapToGrid w:val="0"/>
        <w:spacing w:line="280" w:lineRule="exact"/>
        <w:rPr>
          <w:rFonts w:hint="eastAsia" w:ascii="宋体" w:hAnsi="宋体"/>
          <w:b/>
          <w:bCs/>
          <w:color w:val="auto"/>
          <w:sz w:val="24"/>
          <w:highlight w:val="none"/>
          <w:u w:val="single"/>
        </w:rPr>
      </w:pPr>
    </w:p>
    <w:p w14:paraId="255D2622">
      <w:pPr>
        <w:snapToGrid w:val="0"/>
        <w:spacing w:line="280" w:lineRule="exact"/>
        <w:rPr>
          <w:rFonts w:ascii="宋体" w:hAnsi="宋体"/>
          <w:color w:val="auto"/>
          <w:sz w:val="24"/>
          <w:highlight w:val="none"/>
          <w:u w:val="single"/>
        </w:rPr>
      </w:pPr>
      <w:r>
        <w:rPr>
          <w:rFonts w:hint="eastAsia" w:ascii="宋体" w:hAnsi="宋体"/>
          <w:color w:val="auto"/>
          <w:sz w:val="24"/>
          <w:highlight w:val="none"/>
          <w:u w:val="single"/>
        </w:rPr>
        <w:t>（采购人名称）：</w:t>
      </w:r>
    </w:p>
    <w:p w14:paraId="507F96CD">
      <w:pPr>
        <w:snapToGrid w:val="0"/>
        <w:spacing w:line="280" w:lineRule="exact"/>
        <w:rPr>
          <w:rFonts w:ascii="宋体" w:hAnsi="宋体"/>
          <w:color w:val="auto"/>
          <w:sz w:val="24"/>
          <w:highlight w:val="none"/>
        </w:rPr>
      </w:pPr>
    </w:p>
    <w:p w14:paraId="5AA6D54F">
      <w:pPr>
        <w:snapToGrid w:val="0"/>
        <w:spacing w:line="280" w:lineRule="exact"/>
        <w:rPr>
          <w:rFonts w:ascii="宋体" w:hAnsi="宋体"/>
          <w:color w:val="auto"/>
          <w:sz w:val="24"/>
          <w:highlight w:val="none"/>
        </w:rPr>
      </w:pPr>
      <w:r>
        <w:rPr>
          <w:rFonts w:hint="eastAsia" w:ascii="宋体" w:hAnsi="宋体"/>
          <w:color w:val="auto"/>
          <w:sz w:val="24"/>
          <w:highlight w:val="none"/>
        </w:rPr>
        <w:t xml:space="preserve">一、下述公司负责人与我公司单位负责人为同一人：（如无则本项填写“无”）  </w:t>
      </w:r>
    </w:p>
    <w:p w14:paraId="6700FA3A">
      <w:pPr>
        <w:snapToGrid w:val="0"/>
        <w:spacing w:line="280" w:lineRule="exact"/>
        <w:rPr>
          <w:rFonts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 xml:space="preserve">                              </w:t>
      </w:r>
    </w:p>
    <w:p w14:paraId="143755FB">
      <w:pPr>
        <w:snapToGrid w:val="0"/>
        <w:spacing w:line="280" w:lineRule="exact"/>
        <w:rPr>
          <w:rFonts w:ascii="宋体" w:hAnsi="宋体"/>
          <w:color w:val="auto"/>
          <w:sz w:val="24"/>
          <w:highlight w:val="none"/>
        </w:rPr>
      </w:pPr>
      <w:r>
        <w:rPr>
          <w:rFonts w:ascii="宋体" w:hAnsi="宋体"/>
          <w:color w:val="auto"/>
          <w:sz w:val="24"/>
          <w:highlight w:val="none"/>
        </w:rPr>
        <w:t>2.</w:t>
      </w:r>
      <w:r>
        <w:rPr>
          <w:rFonts w:ascii="宋体" w:hAnsi="宋体"/>
          <w:color w:val="auto"/>
          <w:sz w:val="24"/>
          <w:highlight w:val="none"/>
          <w:u w:val="single"/>
        </w:rPr>
        <w:t xml:space="preserve">                              </w:t>
      </w:r>
    </w:p>
    <w:p w14:paraId="7B3E3597">
      <w:pPr>
        <w:snapToGrid w:val="0"/>
        <w:spacing w:line="280" w:lineRule="exact"/>
        <w:rPr>
          <w:rFonts w:ascii="宋体" w:hAnsi="宋体"/>
          <w:color w:val="auto"/>
          <w:sz w:val="24"/>
          <w:highlight w:val="none"/>
          <w:u w:val="single"/>
        </w:rPr>
      </w:pPr>
      <w:r>
        <w:rPr>
          <w:rFonts w:ascii="宋体" w:hAnsi="宋体"/>
          <w:color w:val="auto"/>
          <w:sz w:val="24"/>
          <w:highlight w:val="none"/>
        </w:rPr>
        <w:t>3.</w:t>
      </w:r>
      <w:r>
        <w:rPr>
          <w:rFonts w:ascii="宋体" w:hAnsi="宋体"/>
          <w:color w:val="auto"/>
          <w:sz w:val="24"/>
          <w:highlight w:val="none"/>
          <w:u w:val="single"/>
        </w:rPr>
        <w:t xml:space="preserve">                              </w:t>
      </w:r>
    </w:p>
    <w:p w14:paraId="0587D84E">
      <w:pPr>
        <w:snapToGrid w:val="0"/>
        <w:spacing w:line="280" w:lineRule="exact"/>
        <w:rPr>
          <w:rFonts w:ascii="宋体" w:hAnsi="宋体"/>
          <w:color w:val="auto"/>
          <w:sz w:val="24"/>
          <w:highlight w:val="none"/>
        </w:rPr>
      </w:pPr>
      <w:r>
        <w:rPr>
          <w:rFonts w:hint="eastAsia" w:ascii="宋体" w:hAnsi="宋体"/>
          <w:color w:val="auto"/>
          <w:sz w:val="24"/>
          <w:highlight w:val="none"/>
        </w:rPr>
        <w:t>……</w:t>
      </w:r>
    </w:p>
    <w:p w14:paraId="395E8298">
      <w:pPr>
        <w:snapToGrid w:val="0"/>
        <w:spacing w:line="280" w:lineRule="exact"/>
        <w:rPr>
          <w:rFonts w:ascii="宋体" w:hAnsi="宋体"/>
          <w:color w:val="auto"/>
          <w:sz w:val="24"/>
          <w:highlight w:val="none"/>
        </w:rPr>
      </w:pPr>
      <w:r>
        <w:rPr>
          <w:rFonts w:hint="eastAsia" w:ascii="宋体" w:hAnsi="宋体"/>
          <w:color w:val="auto"/>
          <w:sz w:val="24"/>
          <w:highlight w:val="none"/>
        </w:rPr>
        <w:t xml:space="preserve">二、我公司与下述公司存在直接控股关系：（如无则本项填写“无”） </w:t>
      </w:r>
    </w:p>
    <w:p w14:paraId="1B6A5442">
      <w:pPr>
        <w:snapToGrid w:val="0"/>
        <w:spacing w:line="280" w:lineRule="exact"/>
        <w:rPr>
          <w:rFonts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 xml:space="preserve">                              </w:t>
      </w:r>
    </w:p>
    <w:p w14:paraId="406427A5">
      <w:pPr>
        <w:snapToGrid w:val="0"/>
        <w:spacing w:line="280" w:lineRule="exact"/>
        <w:rPr>
          <w:rFonts w:ascii="宋体" w:hAnsi="宋体"/>
          <w:color w:val="auto"/>
          <w:sz w:val="24"/>
          <w:highlight w:val="none"/>
        </w:rPr>
      </w:pPr>
      <w:r>
        <w:rPr>
          <w:rFonts w:ascii="宋体" w:hAnsi="宋体"/>
          <w:color w:val="auto"/>
          <w:sz w:val="24"/>
          <w:highlight w:val="none"/>
        </w:rPr>
        <w:t>2.</w:t>
      </w:r>
      <w:r>
        <w:rPr>
          <w:rFonts w:ascii="宋体" w:hAnsi="宋体"/>
          <w:color w:val="auto"/>
          <w:sz w:val="24"/>
          <w:highlight w:val="none"/>
          <w:u w:val="single"/>
        </w:rPr>
        <w:t xml:space="preserve">                              </w:t>
      </w:r>
    </w:p>
    <w:p w14:paraId="5F52670C">
      <w:pPr>
        <w:snapToGrid w:val="0"/>
        <w:spacing w:line="280" w:lineRule="exact"/>
        <w:rPr>
          <w:rFonts w:ascii="宋体" w:hAnsi="宋体"/>
          <w:color w:val="auto"/>
          <w:sz w:val="24"/>
          <w:highlight w:val="none"/>
          <w:u w:val="single"/>
        </w:rPr>
      </w:pPr>
      <w:r>
        <w:rPr>
          <w:rFonts w:ascii="宋体" w:hAnsi="宋体"/>
          <w:color w:val="auto"/>
          <w:sz w:val="24"/>
          <w:highlight w:val="none"/>
        </w:rPr>
        <w:t>3.</w:t>
      </w:r>
      <w:r>
        <w:rPr>
          <w:rFonts w:ascii="宋体" w:hAnsi="宋体"/>
          <w:color w:val="auto"/>
          <w:sz w:val="24"/>
          <w:highlight w:val="none"/>
          <w:u w:val="single"/>
        </w:rPr>
        <w:t xml:space="preserve">                              </w:t>
      </w:r>
    </w:p>
    <w:p w14:paraId="223924EE">
      <w:pPr>
        <w:snapToGrid w:val="0"/>
        <w:spacing w:line="280" w:lineRule="exact"/>
        <w:rPr>
          <w:rFonts w:ascii="宋体" w:hAnsi="宋体"/>
          <w:color w:val="auto"/>
          <w:sz w:val="24"/>
          <w:highlight w:val="none"/>
        </w:rPr>
      </w:pPr>
      <w:r>
        <w:rPr>
          <w:rFonts w:hint="eastAsia" w:ascii="宋体" w:hAnsi="宋体"/>
          <w:color w:val="auto"/>
          <w:sz w:val="24"/>
          <w:highlight w:val="none"/>
        </w:rPr>
        <w:t>……</w:t>
      </w:r>
    </w:p>
    <w:p w14:paraId="1798BA56">
      <w:pPr>
        <w:snapToGrid w:val="0"/>
        <w:spacing w:line="280" w:lineRule="exact"/>
        <w:rPr>
          <w:rFonts w:ascii="宋体" w:hAnsi="宋体"/>
          <w:color w:val="auto"/>
          <w:sz w:val="24"/>
          <w:highlight w:val="none"/>
        </w:rPr>
      </w:pPr>
      <w:r>
        <w:rPr>
          <w:rFonts w:hint="eastAsia" w:ascii="宋体" w:hAnsi="宋体"/>
          <w:color w:val="auto"/>
          <w:sz w:val="24"/>
          <w:highlight w:val="none"/>
        </w:rPr>
        <w:t xml:space="preserve">三、我公司与下述公司存在直接管理关系：（如无则本项填写“无”） </w:t>
      </w:r>
    </w:p>
    <w:p w14:paraId="63784564">
      <w:pPr>
        <w:snapToGrid w:val="0"/>
        <w:spacing w:line="280" w:lineRule="exact"/>
        <w:rPr>
          <w:rFonts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 xml:space="preserve">                              </w:t>
      </w:r>
    </w:p>
    <w:p w14:paraId="52F08EC8">
      <w:pPr>
        <w:snapToGrid w:val="0"/>
        <w:spacing w:line="280" w:lineRule="exact"/>
        <w:rPr>
          <w:rFonts w:ascii="宋体" w:hAnsi="宋体"/>
          <w:color w:val="auto"/>
          <w:sz w:val="24"/>
          <w:highlight w:val="none"/>
        </w:rPr>
      </w:pPr>
      <w:r>
        <w:rPr>
          <w:rFonts w:ascii="宋体" w:hAnsi="宋体"/>
          <w:color w:val="auto"/>
          <w:sz w:val="24"/>
          <w:highlight w:val="none"/>
        </w:rPr>
        <w:t>2.</w:t>
      </w:r>
      <w:r>
        <w:rPr>
          <w:rFonts w:ascii="宋体" w:hAnsi="宋体"/>
          <w:color w:val="auto"/>
          <w:sz w:val="24"/>
          <w:highlight w:val="none"/>
          <w:u w:val="single"/>
        </w:rPr>
        <w:t xml:space="preserve">                              </w:t>
      </w:r>
    </w:p>
    <w:p w14:paraId="7B43D857">
      <w:pPr>
        <w:snapToGrid w:val="0"/>
        <w:spacing w:line="280" w:lineRule="exact"/>
        <w:rPr>
          <w:rFonts w:ascii="宋体" w:hAnsi="宋体"/>
          <w:color w:val="auto"/>
          <w:sz w:val="24"/>
          <w:highlight w:val="none"/>
          <w:u w:val="single"/>
        </w:rPr>
      </w:pPr>
      <w:r>
        <w:rPr>
          <w:rFonts w:ascii="宋体" w:hAnsi="宋体"/>
          <w:color w:val="auto"/>
          <w:sz w:val="24"/>
          <w:highlight w:val="none"/>
        </w:rPr>
        <w:t>3.</w:t>
      </w:r>
      <w:r>
        <w:rPr>
          <w:rFonts w:ascii="宋体" w:hAnsi="宋体"/>
          <w:color w:val="auto"/>
          <w:sz w:val="24"/>
          <w:highlight w:val="none"/>
          <w:u w:val="single"/>
        </w:rPr>
        <w:t xml:space="preserve">                              </w:t>
      </w:r>
    </w:p>
    <w:p w14:paraId="2DE960E9">
      <w:pPr>
        <w:snapToGrid w:val="0"/>
        <w:spacing w:line="280" w:lineRule="exact"/>
        <w:rPr>
          <w:rFonts w:ascii="宋体" w:hAnsi="宋体"/>
          <w:color w:val="auto"/>
          <w:sz w:val="24"/>
          <w:highlight w:val="none"/>
        </w:rPr>
      </w:pPr>
      <w:r>
        <w:rPr>
          <w:rFonts w:hint="eastAsia" w:ascii="宋体" w:hAnsi="宋体"/>
          <w:color w:val="auto"/>
          <w:sz w:val="24"/>
          <w:highlight w:val="none"/>
        </w:rPr>
        <w:t>……</w:t>
      </w:r>
    </w:p>
    <w:p w14:paraId="109C127B">
      <w:pPr>
        <w:spacing w:line="280" w:lineRule="exact"/>
        <w:ind w:firstLine="480" w:firstLineChars="200"/>
        <w:rPr>
          <w:rFonts w:ascii="宋体" w:hAnsi="宋体"/>
          <w:color w:val="auto"/>
          <w:sz w:val="24"/>
          <w:highlight w:val="none"/>
        </w:rPr>
      </w:pPr>
      <w:r>
        <w:rPr>
          <w:rFonts w:hint="eastAsia" w:ascii="宋体" w:hAnsi="宋体"/>
          <w:color w:val="auto"/>
          <w:sz w:val="24"/>
          <w:highlight w:val="none"/>
        </w:rPr>
        <w:t>我单位郑重声明：与本单位负责人为同一人或者与本单位存在直接控股关系、管理关系的</w:t>
      </w:r>
      <w:r>
        <w:rPr>
          <w:rFonts w:hint="eastAsia" w:ascii="宋体" w:hAnsi="宋体" w:eastAsia="宋体"/>
          <w:color w:val="auto"/>
          <w:sz w:val="24"/>
          <w:highlight w:val="none"/>
          <w:lang w:eastAsia="zh-CN"/>
        </w:rPr>
        <w:t>供应商</w:t>
      </w:r>
      <w:r>
        <w:rPr>
          <w:rFonts w:hint="eastAsia" w:ascii="宋体" w:hAnsi="宋体"/>
          <w:color w:val="auto"/>
          <w:sz w:val="24"/>
          <w:highlight w:val="none"/>
        </w:rPr>
        <w:t>未参与</w:t>
      </w:r>
      <w:r>
        <w:rPr>
          <w:rFonts w:ascii="宋体" w:hAnsi="宋体"/>
          <w:color w:val="auto"/>
          <w:sz w:val="24"/>
          <w:highlight w:val="none"/>
        </w:rPr>
        <w:t>本项目</w:t>
      </w:r>
      <w:r>
        <w:rPr>
          <w:rFonts w:hint="eastAsia" w:ascii="宋体" w:hAnsi="宋体"/>
          <w:color w:val="auto"/>
          <w:sz w:val="24"/>
          <w:highlight w:val="none"/>
        </w:rPr>
        <w:t xml:space="preserve">同一合同项下的投标。 </w:t>
      </w:r>
    </w:p>
    <w:p w14:paraId="424113C7">
      <w:pPr>
        <w:spacing w:line="280" w:lineRule="exact"/>
        <w:ind w:firstLine="480" w:firstLineChars="200"/>
        <w:rPr>
          <w:rFonts w:ascii="宋体" w:hAnsi="宋体"/>
          <w:color w:val="auto"/>
          <w:sz w:val="24"/>
          <w:highlight w:val="none"/>
        </w:rPr>
      </w:pPr>
      <w:r>
        <w:rPr>
          <w:rFonts w:hint="eastAsia" w:ascii="宋体" w:hAnsi="宋体"/>
          <w:color w:val="auto"/>
          <w:sz w:val="24"/>
          <w:highlight w:val="none"/>
        </w:rPr>
        <w:t xml:space="preserve">我单位保证上述声明真实、有效、可查。 </w:t>
      </w:r>
    </w:p>
    <w:p w14:paraId="6C20202D">
      <w:pPr>
        <w:spacing w:line="280" w:lineRule="exact"/>
        <w:ind w:firstLine="480" w:firstLineChars="200"/>
        <w:rPr>
          <w:rFonts w:ascii="宋体" w:hAnsi="宋体"/>
          <w:color w:val="auto"/>
          <w:sz w:val="24"/>
          <w:highlight w:val="none"/>
        </w:rPr>
      </w:pPr>
      <w:r>
        <w:rPr>
          <w:rFonts w:hint="eastAsia" w:ascii="宋体" w:hAnsi="宋体"/>
          <w:color w:val="auto"/>
          <w:sz w:val="24"/>
          <w:highlight w:val="none"/>
        </w:rPr>
        <w:t xml:space="preserve">特此声明。 </w:t>
      </w:r>
    </w:p>
    <w:p w14:paraId="3B610894">
      <w:pPr>
        <w:spacing w:line="360" w:lineRule="auto"/>
        <w:rPr>
          <w:rFonts w:ascii="宋体" w:hAnsi="宋体"/>
          <w:color w:val="auto"/>
          <w:sz w:val="24"/>
          <w:highlight w:val="none"/>
        </w:rPr>
      </w:pPr>
    </w:p>
    <w:p w14:paraId="7C9D3201">
      <w:pPr>
        <w:pageBreakBefore w:val="0"/>
        <w:kinsoku/>
        <w:overflowPunct/>
        <w:topLinePunct w:val="0"/>
        <w:bidi w:val="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全称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盖公章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p>
    <w:p w14:paraId="5BA65B51">
      <w:pPr>
        <w:pageBreakBefore w:val="0"/>
        <w:shd w:val="clear" w:color="auto" w:fill="auto"/>
        <w:kinsoku/>
        <w:overflowPunct/>
        <w:topLinePunct w:val="0"/>
        <w:bidi w:val="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法定代表人或委托代理人（签字或盖章）                  </w:t>
      </w:r>
    </w:p>
    <w:p w14:paraId="549A369F">
      <w:pPr>
        <w:pageBreakBefore w:val="0"/>
        <w:shd w:val="clear" w:color="auto" w:fill="auto"/>
        <w:kinsoku/>
        <w:overflowPunct/>
        <w:topLinePunct w:val="0"/>
        <w:bidi w:val="0"/>
        <w:spacing w:line="560" w:lineRule="exact"/>
        <w:rPr>
          <w:rFonts w:ascii="宋体" w:hAnsi="宋体"/>
          <w:b/>
          <w:color w:val="auto"/>
          <w:sz w:val="24"/>
          <w:highlight w:val="none"/>
        </w:rPr>
      </w:pPr>
      <w:r>
        <w:rPr>
          <w:rFonts w:hint="eastAsia" w:ascii="宋体" w:hAnsi="宋体" w:eastAsia="宋体" w:cs="宋体"/>
          <w:color w:val="auto"/>
          <w:sz w:val="24"/>
          <w:szCs w:val="24"/>
        </w:rPr>
        <w:t>日期：    年    月    日</w:t>
      </w:r>
    </w:p>
    <w:p w14:paraId="5F43A824">
      <w:pPr>
        <w:spacing w:line="320" w:lineRule="exact"/>
        <w:rPr>
          <w:rFonts w:ascii="宋体" w:hAnsi="宋体"/>
          <w:b/>
          <w:color w:val="auto"/>
          <w:sz w:val="24"/>
          <w:highlight w:val="none"/>
        </w:rPr>
      </w:pPr>
      <w:r>
        <w:rPr>
          <w:rFonts w:ascii="宋体" w:hAnsi="宋体"/>
          <w:b/>
          <w:color w:val="auto"/>
          <w:sz w:val="24"/>
          <w:highlight w:val="none"/>
        </w:rPr>
        <w:t>注</w:t>
      </w:r>
      <w:r>
        <w:rPr>
          <w:rFonts w:hint="eastAsia" w:ascii="宋体" w:hAnsi="宋体"/>
          <w:b/>
          <w:color w:val="auto"/>
          <w:sz w:val="24"/>
          <w:highlight w:val="none"/>
        </w:rPr>
        <w:t>：</w:t>
      </w:r>
    </w:p>
    <w:p w14:paraId="2FA951A7">
      <w:pPr>
        <w:spacing w:line="320" w:lineRule="exact"/>
        <w:rPr>
          <w:rFonts w:ascii="宋体" w:hAnsi="宋体"/>
          <w:b/>
          <w:color w:val="auto"/>
          <w:sz w:val="24"/>
          <w:highlight w:val="none"/>
        </w:rPr>
      </w:pPr>
      <w:r>
        <w:rPr>
          <w:rFonts w:hint="eastAsia" w:ascii="宋体" w:hAnsi="宋体"/>
          <w:b/>
          <w:color w:val="auto"/>
          <w:sz w:val="24"/>
          <w:highlight w:val="none"/>
        </w:rPr>
        <w:t>1、</w:t>
      </w:r>
      <w:r>
        <w:rPr>
          <w:rFonts w:ascii="宋体" w:hAnsi="宋体"/>
          <w:b/>
          <w:color w:val="auto"/>
          <w:sz w:val="24"/>
          <w:highlight w:val="none"/>
        </w:rPr>
        <w:t>单位负责人</w:t>
      </w:r>
      <w:r>
        <w:rPr>
          <w:rFonts w:hint="eastAsia" w:ascii="宋体" w:hAnsi="宋体"/>
          <w:b/>
          <w:color w:val="auto"/>
          <w:sz w:val="24"/>
          <w:highlight w:val="none"/>
        </w:rPr>
        <w:t>，是指单位法定代表人或者法律、行政法规规定代表单位行使职权的主要负责人。</w:t>
      </w:r>
    </w:p>
    <w:p w14:paraId="24236EC0">
      <w:pPr>
        <w:spacing w:line="320" w:lineRule="exact"/>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w:t>
      </w:r>
      <w:r>
        <w:rPr>
          <w:rFonts w:ascii="宋体" w:hAnsi="宋体"/>
          <w:b/>
          <w:color w:val="auto"/>
          <w:sz w:val="24"/>
          <w:highlight w:val="none"/>
        </w:rPr>
        <w:t>直接控股关系</w:t>
      </w:r>
      <w:r>
        <w:rPr>
          <w:rFonts w:hint="eastAsia" w:ascii="宋体" w:hAnsi="宋体"/>
          <w:b/>
          <w:color w:val="auto"/>
          <w:sz w:val="24"/>
          <w:highlight w:val="none"/>
        </w:rPr>
        <w:t>，</w:t>
      </w:r>
      <w:r>
        <w:rPr>
          <w:rFonts w:ascii="宋体" w:hAnsi="宋体"/>
          <w:b/>
          <w:color w:val="auto"/>
          <w:sz w:val="24"/>
          <w:highlight w:val="none"/>
          <w:shd w:val="clear" w:color="auto" w:fill="FFFFFF"/>
        </w:rPr>
        <w:t>是指单位或个人股东的直接控股关系</w:t>
      </w:r>
      <w:r>
        <w:rPr>
          <w:rFonts w:hint="eastAsia" w:ascii="宋体" w:hAnsi="宋体"/>
          <w:b/>
          <w:color w:val="auto"/>
          <w:sz w:val="24"/>
          <w:highlight w:val="none"/>
          <w:shd w:val="clear" w:color="auto" w:fill="FFFFFF"/>
        </w:rPr>
        <w:t>；</w:t>
      </w:r>
      <w:r>
        <w:rPr>
          <w:rFonts w:ascii="宋体" w:hAnsi="宋体"/>
          <w:b/>
          <w:color w:val="auto"/>
          <w:sz w:val="24"/>
          <w:highlight w:val="none"/>
          <w:shd w:val="clear" w:color="auto" w:fill="FFFFFF"/>
        </w:rPr>
        <w:t>控股股东</w:t>
      </w:r>
      <w:r>
        <w:rPr>
          <w:rFonts w:hint="eastAsia" w:ascii="宋体" w:hAnsi="宋体"/>
          <w:b/>
          <w:color w:val="auto"/>
          <w:sz w:val="24"/>
          <w:highlight w:val="none"/>
          <w:shd w:val="clear" w:color="auto" w:fill="FFFFFF"/>
        </w:rPr>
        <w:t>，</w:t>
      </w:r>
      <w:r>
        <w:rPr>
          <w:rFonts w:ascii="宋体" w:hAnsi="宋体"/>
          <w:b/>
          <w:color w:val="auto"/>
          <w:sz w:val="24"/>
          <w:highlight w:val="none"/>
          <w:shd w:val="clear" w:color="auto" w:fill="FFFFFF"/>
        </w:rPr>
        <w:t>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b/>
          <w:color w:val="auto"/>
          <w:sz w:val="24"/>
          <w:highlight w:val="none"/>
        </w:rPr>
        <w:t>。</w:t>
      </w:r>
    </w:p>
    <w:p w14:paraId="5947A695">
      <w:pPr>
        <w:spacing w:line="320" w:lineRule="exact"/>
        <w:rPr>
          <w:rFonts w:ascii="宋体" w:hAnsi="宋体"/>
          <w:b/>
          <w:color w:val="auto"/>
          <w:sz w:val="24"/>
          <w:highlight w:val="none"/>
        </w:rPr>
      </w:pPr>
      <w:r>
        <w:rPr>
          <w:rFonts w:hint="eastAsia" w:ascii="宋体" w:hAnsi="宋体"/>
          <w:b/>
          <w:color w:val="auto"/>
          <w:sz w:val="24"/>
          <w:highlight w:val="none"/>
        </w:rPr>
        <w:t>3、直接</w:t>
      </w:r>
      <w:r>
        <w:rPr>
          <w:rFonts w:ascii="宋体" w:hAnsi="宋体"/>
          <w:b/>
          <w:color w:val="auto"/>
          <w:sz w:val="24"/>
          <w:highlight w:val="none"/>
        </w:rPr>
        <w:t>管理关系</w:t>
      </w:r>
      <w:r>
        <w:rPr>
          <w:rFonts w:hint="eastAsia" w:ascii="宋体" w:hAnsi="宋体"/>
          <w:b/>
          <w:color w:val="auto"/>
          <w:sz w:val="24"/>
          <w:highlight w:val="none"/>
        </w:rPr>
        <w:t>，</w:t>
      </w:r>
      <w:r>
        <w:rPr>
          <w:rFonts w:ascii="宋体" w:hAnsi="宋体"/>
          <w:b/>
          <w:color w:val="auto"/>
          <w:sz w:val="24"/>
          <w:highlight w:val="none"/>
        </w:rPr>
        <w:t>是指不具有出资持股关系的其他单位之间存在的直接管理与被管理关系</w:t>
      </w:r>
      <w:r>
        <w:rPr>
          <w:rFonts w:hint="eastAsia" w:ascii="宋体" w:hAnsi="宋体"/>
          <w:b/>
          <w:color w:val="auto"/>
          <w:sz w:val="24"/>
          <w:highlight w:val="none"/>
        </w:rPr>
        <w:t>，</w:t>
      </w:r>
      <w:r>
        <w:rPr>
          <w:rFonts w:ascii="宋体" w:hAnsi="宋体"/>
          <w:b/>
          <w:color w:val="auto"/>
          <w:sz w:val="24"/>
          <w:highlight w:val="none"/>
        </w:rPr>
        <w:t>如上下级关系的事业单位和团体组织</w:t>
      </w:r>
      <w:r>
        <w:rPr>
          <w:rFonts w:hint="eastAsia" w:ascii="宋体" w:hAnsi="宋体"/>
          <w:b/>
          <w:color w:val="auto"/>
          <w:sz w:val="24"/>
          <w:highlight w:val="none"/>
        </w:rPr>
        <w:t>。</w:t>
      </w:r>
    </w:p>
    <w:p w14:paraId="74EAB585">
      <w:pPr>
        <w:pStyle w:val="33"/>
        <w:spacing w:line="600" w:lineRule="exact"/>
        <w:jc w:val="left"/>
        <w:rPr>
          <w:rFonts w:hAnsi="宋体"/>
          <w:b/>
          <w:color w:val="auto"/>
          <w:sz w:val="28"/>
          <w:szCs w:val="28"/>
          <w:highlight w:val="none"/>
        </w:rPr>
      </w:pPr>
    </w:p>
    <w:p w14:paraId="48DCC241">
      <w:pPr>
        <w:spacing w:line="360" w:lineRule="auto"/>
        <w:ind w:left="0" w:leftChars="0" w:firstLine="748" w:firstLineChars="266"/>
        <w:jc w:val="left"/>
        <w:rPr>
          <w:rFonts w:hint="eastAsia" w:ascii="宋体" w:hAnsi="宋体" w:eastAsia="宋体" w:cs="宋体"/>
          <w:b/>
          <w:bCs/>
          <w:color w:val="auto"/>
          <w:sz w:val="28"/>
          <w:szCs w:val="28"/>
          <w:lang w:val="en-US" w:eastAsia="zh-CN"/>
        </w:rPr>
      </w:pPr>
    </w:p>
    <w:p w14:paraId="03270DCF">
      <w:pPr>
        <w:pStyle w:val="24"/>
        <w:rPr>
          <w:rFonts w:hint="eastAsia" w:ascii="宋体" w:hAnsi="宋体" w:eastAsia="宋体" w:cs="宋体"/>
          <w:b/>
          <w:bCs/>
          <w:color w:val="auto"/>
          <w:sz w:val="28"/>
          <w:szCs w:val="28"/>
          <w:lang w:val="en-US" w:eastAsia="zh-CN"/>
        </w:rPr>
      </w:pPr>
    </w:p>
    <w:p w14:paraId="6376C033">
      <w:pPr>
        <w:rPr>
          <w:rFonts w:hint="eastAsia" w:ascii="宋体" w:hAnsi="宋体" w:eastAsia="宋体" w:cs="宋体"/>
          <w:b/>
          <w:bCs/>
          <w:color w:val="auto"/>
          <w:sz w:val="28"/>
          <w:szCs w:val="28"/>
          <w:lang w:val="en-US" w:eastAsia="zh-CN"/>
        </w:rPr>
      </w:pPr>
    </w:p>
    <w:p w14:paraId="42093330">
      <w:pPr>
        <w:pStyle w:val="24"/>
        <w:rPr>
          <w:rFonts w:hint="eastAsia" w:ascii="宋体" w:hAnsi="宋体" w:eastAsia="宋体" w:cs="宋体"/>
          <w:b/>
          <w:bCs/>
          <w:color w:val="auto"/>
          <w:sz w:val="28"/>
          <w:szCs w:val="28"/>
          <w:lang w:val="en-US" w:eastAsia="zh-CN"/>
        </w:rPr>
      </w:pPr>
    </w:p>
    <w:p w14:paraId="344236D9">
      <w:pPr>
        <w:rPr>
          <w:rFonts w:hint="eastAsia" w:ascii="宋体" w:hAnsi="宋体" w:eastAsia="宋体" w:cs="宋体"/>
          <w:b/>
          <w:bCs/>
          <w:color w:val="auto"/>
          <w:sz w:val="28"/>
          <w:szCs w:val="28"/>
          <w:lang w:val="en-US" w:eastAsia="zh-CN"/>
        </w:rPr>
      </w:pPr>
    </w:p>
    <w:p w14:paraId="333D4C7A">
      <w:pPr>
        <w:pStyle w:val="24"/>
        <w:rPr>
          <w:rFonts w:hint="eastAsia" w:ascii="宋体" w:hAnsi="宋体" w:eastAsia="宋体" w:cs="宋体"/>
          <w:b/>
          <w:bCs/>
          <w:color w:val="auto"/>
          <w:sz w:val="28"/>
          <w:szCs w:val="28"/>
          <w:lang w:val="en-US" w:eastAsia="zh-CN"/>
        </w:rPr>
      </w:pPr>
    </w:p>
    <w:p w14:paraId="287FCE88">
      <w:pPr>
        <w:rPr>
          <w:rFonts w:hint="eastAsia" w:ascii="宋体" w:hAnsi="宋体" w:eastAsia="宋体" w:cs="宋体"/>
          <w:b/>
          <w:bCs/>
          <w:color w:val="auto"/>
          <w:sz w:val="28"/>
          <w:szCs w:val="28"/>
          <w:lang w:val="en-US" w:eastAsia="zh-CN"/>
        </w:rPr>
      </w:pPr>
    </w:p>
    <w:p w14:paraId="1C07C495">
      <w:pPr>
        <w:pStyle w:val="77"/>
        <w:rPr>
          <w:rFonts w:hint="eastAsia" w:ascii="宋体" w:hAnsi="宋体" w:eastAsia="宋体" w:cs="宋体"/>
          <w:b/>
          <w:bCs/>
          <w:color w:val="auto"/>
          <w:sz w:val="28"/>
          <w:szCs w:val="28"/>
          <w:lang w:val="en-US" w:eastAsia="zh-CN"/>
        </w:rPr>
      </w:pPr>
    </w:p>
    <w:p w14:paraId="387BCF21">
      <w:pPr>
        <w:pStyle w:val="78"/>
        <w:rPr>
          <w:rFonts w:hint="eastAsia"/>
          <w:lang w:val="en-US" w:eastAsia="zh-CN"/>
        </w:rPr>
      </w:pPr>
    </w:p>
    <w:p w14:paraId="2F40C1EA">
      <w:pPr>
        <w:pStyle w:val="24"/>
        <w:rPr>
          <w:rFonts w:hint="eastAsia"/>
          <w:lang w:val="en-US" w:eastAsia="zh-CN"/>
        </w:rPr>
      </w:pPr>
    </w:p>
    <w:p w14:paraId="5F9474C4">
      <w:pPr>
        <w:spacing w:line="360" w:lineRule="auto"/>
        <w:jc w:val="center"/>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rPr>
        <w:t>8、</w:t>
      </w:r>
      <w:r>
        <w:rPr>
          <w:rFonts w:hint="eastAsia" w:ascii="宋体" w:hAnsi="宋体" w:eastAsia="宋体" w:cs="宋体"/>
          <w:b/>
          <w:bCs/>
          <w:color w:val="auto"/>
          <w:sz w:val="28"/>
          <w:szCs w:val="28"/>
        </w:rPr>
        <w:t>《中小企业声明函》或《残疾人福利性单位声明函》或《监狱企业声明函》</w:t>
      </w:r>
    </w:p>
    <w:p w14:paraId="5B4C055C">
      <w:pPr>
        <w:pStyle w:val="388"/>
        <w:keepNext w:val="0"/>
        <w:keepLines w:val="0"/>
        <w:pageBreakBefore w:val="0"/>
        <w:numPr>
          <w:ilvl w:val="0"/>
          <w:numId w:val="0"/>
        </w:numPr>
        <w:kinsoku/>
        <w:wordWrap/>
        <w:overflowPunct/>
        <w:topLinePunct w:val="0"/>
        <w:autoSpaceDE/>
        <w:autoSpaceDN/>
        <w:bidi w:val="0"/>
        <w:adjustRightInd/>
        <w:snapToGrid/>
        <w:spacing w:line="560" w:lineRule="exact"/>
        <w:ind w:leftChars="0" w:right="0" w:rightChars="0"/>
        <w:jc w:val="center"/>
        <w:textAlignment w:val="auto"/>
        <w:rPr>
          <w:rFonts w:hint="eastAsia" w:ascii="宋体" w:hAnsi="宋体" w:eastAsia="宋体" w:cs="宋体"/>
          <w:b/>
          <w:bCs/>
          <w:color w:val="auto"/>
          <w:sz w:val="28"/>
          <w:szCs w:val="28"/>
        </w:rPr>
      </w:pPr>
    </w:p>
    <w:p w14:paraId="3FF92A55">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cs="Times New Roman"/>
          <w:color w:val="auto"/>
          <w:spacing w:val="0"/>
          <w:w w:val="100"/>
          <w:position w:val="0"/>
          <w:sz w:val="24"/>
          <w:szCs w:val="20"/>
          <w:u w:val="none"/>
          <w:shd w:val="clear" w:color="auto" w:fill="auto"/>
          <w:lang w:val="en-US" w:eastAsia="zh-CN" w:bidi="en-US"/>
        </w:rPr>
      </w:pPr>
      <w:r>
        <w:rPr>
          <w:rFonts w:hint="eastAsia" w:ascii="宋体" w:hAnsi="宋体" w:cs="Times New Roman"/>
          <w:color w:val="auto"/>
          <w:spacing w:val="0"/>
          <w:w w:val="100"/>
          <w:position w:val="0"/>
          <w:sz w:val="24"/>
          <w:szCs w:val="20"/>
          <w:u w:val="none"/>
          <w:shd w:val="clear" w:color="auto" w:fill="auto"/>
          <w:lang w:val="en-US" w:eastAsia="zh-CN" w:bidi="en-US"/>
        </w:rPr>
        <w:t>扶持中小企业政策：</w:t>
      </w:r>
      <w:r>
        <w:rPr>
          <w:rFonts w:hint="eastAsia" w:ascii="宋体" w:hAnsi="宋体" w:cs="Times New Roman"/>
          <w:b/>
          <w:bCs/>
          <w:color w:val="auto"/>
          <w:spacing w:val="0"/>
          <w:w w:val="100"/>
          <w:position w:val="0"/>
          <w:sz w:val="24"/>
          <w:szCs w:val="20"/>
          <w:u w:val="none"/>
          <w:shd w:val="clear" w:color="auto" w:fill="auto"/>
          <w:lang w:val="en-US" w:eastAsia="zh-CN" w:bidi="en-US"/>
        </w:rPr>
        <w:t>本项目专门面向中小企业的政府采购项目。供应商应按要求提供《中小企业声明函》或《残疾人福利性单位声明函》或《监狱企业声明函》</w:t>
      </w:r>
      <w:r>
        <w:rPr>
          <w:rFonts w:hint="eastAsia" w:ascii="宋体" w:hAnsi="宋体" w:cs="Times New Roman"/>
          <w:color w:val="auto"/>
          <w:spacing w:val="0"/>
          <w:w w:val="100"/>
          <w:position w:val="0"/>
          <w:sz w:val="24"/>
          <w:szCs w:val="20"/>
          <w:u w:val="none"/>
          <w:shd w:val="clear" w:color="auto" w:fill="auto"/>
          <w:lang w:val="en-US" w:eastAsia="zh-CN" w:bidi="en-US"/>
        </w:rPr>
        <w:t>。注：供应商应对其提交的《中小企业声明函》《残疾人福利性单位声明函》《监狱企业声明函》的真实性负责，提交的声明函不真实的，应承担相应的法律责任。</w:t>
      </w:r>
    </w:p>
    <w:p w14:paraId="6E3BFF05">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kern w:val="0"/>
          <w:sz w:val="24"/>
          <w:szCs w:val="24"/>
          <w:lang w:val="en-US" w:eastAsia="zh-CN"/>
        </w:rPr>
      </w:pPr>
    </w:p>
    <w:p w14:paraId="3F1A3BC9">
      <w:pPr>
        <w:pStyle w:val="16"/>
        <w:rPr>
          <w:rFonts w:hint="eastAsia" w:ascii="宋体" w:hAnsi="宋体" w:eastAsia="宋体" w:cs="宋体"/>
          <w:color w:val="auto"/>
          <w:kern w:val="0"/>
          <w:sz w:val="28"/>
          <w:szCs w:val="28"/>
          <w:lang w:val="en-US" w:eastAsia="zh-CN"/>
        </w:rPr>
      </w:pPr>
    </w:p>
    <w:p w14:paraId="60989C63">
      <w:pPr>
        <w:rPr>
          <w:rFonts w:hint="eastAsia" w:ascii="宋体" w:hAnsi="宋体" w:eastAsia="宋体" w:cs="宋体"/>
          <w:color w:val="auto"/>
          <w:kern w:val="0"/>
          <w:sz w:val="28"/>
          <w:szCs w:val="28"/>
          <w:lang w:val="en-US" w:eastAsia="zh-CN"/>
        </w:rPr>
      </w:pPr>
    </w:p>
    <w:p w14:paraId="03D7680D">
      <w:pPr>
        <w:pStyle w:val="16"/>
        <w:rPr>
          <w:rFonts w:hint="eastAsia" w:ascii="宋体" w:hAnsi="宋体" w:eastAsia="宋体" w:cs="宋体"/>
          <w:color w:val="auto"/>
          <w:kern w:val="0"/>
          <w:sz w:val="28"/>
          <w:szCs w:val="28"/>
          <w:lang w:val="en-US" w:eastAsia="zh-CN"/>
        </w:rPr>
      </w:pPr>
    </w:p>
    <w:p w14:paraId="239DCC55">
      <w:pPr>
        <w:rPr>
          <w:rFonts w:hint="eastAsia" w:ascii="宋体" w:hAnsi="宋体" w:eastAsia="宋体" w:cs="宋体"/>
          <w:color w:val="auto"/>
          <w:kern w:val="0"/>
          <w:sz w:val="28"/>
          <w:szCs w:val="28"/>
          <w:lang w:val="en-US" w:eastAsia="zh-CN"/>
        </w:rPr>
      </w:pPr>
    </w:p>
    <w:p w14:paraId="6B5B543C">
      <w:pPr>
        <w:pStyle w:val="24"/>
        <w:rPr>
          <w:rFonts w:hint="eastAsia" w:ascii="宋体" w:hAnsi="宋体" w:eastAsia="宋体" w:cs="宋体"/>
          <w:color w:val="auto"/>
          <w:kern w:val="0"/>
          <w:sz w:val="28"/>
          <w:szCs w:val="28"/>
          <w:lang w:val="en-US" w:eastAsia="zh-CN"/>
        </w:rPr>
      </w:pPr>
    </w:p>
    <w:p w14:paraId="62381525">
      <w:pPr>
        <w:rPr>
          <w:rFonts w:hint="eastAsia" w:ascii="宋体" w:hAnsi="宋体" w:eastAsia="宋体" w:cs="宋体"/>
          <w:color w:val="auto"/>
          <w:kern w:val="0"/>
          <w:sz w:val="28"/>
          <w:szCs w:val="28"/>
          <w:lang w:val="en-US" w:eastAsia="zh-CN"/>
        </w:rPr>
      </w:pPr>
    </w:p>
    <w:p w14:paraId="68C59FF9">
      <w:pPr>
        <w:pStyle w:val="24"/>
        <w:rPr>
          <w:rFonts w:hint="eastAsia" w:ascii="宋体" w:hAnsi="宋体" w:eastAsia="宋体" w:cs="宋体"/>
          <w:color w:val="auto"/>
          <w:kern w:val="0"/>
          <w:sz w:val="28"/>
          <w:szCs w:val="28"/>
          <w:lang w:val="en-US" w:eastAsia="zh-CN"/>
        </w:rPr>
      </w:pPr>
    </w:p>
    <w:p w14:paraId="4376E1EF">
      <w:pPr>
        <w:rPr>
          <w:rFonts w:hint="eastAsia" w:ascii="宋体" w:hAnsi="宋体" w:eastAsia="宋体" w:cs="宋体"/>
          <w:color w:val="auto"/>
          <w:kern w:val="0"/>
          <w:sz w:val="28"/>
          <w:szCs w:val="28"/>
          <w:lang w:val="en-US" w:eastAsia="zh-CN"/>
        </w:rPr>
      </w:pPr>
    </w:p>
    <w:p w14:paraId="7622C00B">
      <w:pPr>
        <w:pStyle w:val="24"/>
        <w:rPr>
          <w:rFonts w:hint="eastAsia" w:ascii="宋体" w:hAnsi="宋体" w:eastAsia="宋体" w:cs="宋体"/>
          <w:color w:val="auto"/>
          <w:kern w:val="0"/>
          <w:sz w:val="28"/>
          <w:szCs w:val="28"/>
          <w:lang w:val="en-US" w:eastAsia="zh-CN"/>
        </w:rPr>
      </w:pPr>
    </w:p>
    <w:p w14:paraId="133F8D13">
      <w:pPr>
        <w:rPr>
          <w:rFonts w:hint="eastAsia" w:ascii="宋体" w:hAnsi="宋体" w:eastAsia="宋体" w:cs="宋体"/>
          <w:color w:val="auto"/>
          <w:kern w:val="0"/>
          <w:sz w:val="28"/>
          <w:szCs w:val="28"/>
          <w:lang w:val="en-US" w:eastAsia="zh-CN"/>
        </w:rPr>
      </w:pPr>
    </w:p>
    <w:p w14:paraId="39140993">
      <w:pPr>
        <w:pStyle w:val="24"/>
        <w:rPr>
          <w:rFonts w:hint="eastAsia" w:ascii="宋体" w:hAnsi="宋体" w:eastAsia="宋体" w:cs="宋体"/>
          <w:color w:val="auto"/>
          <w:kern w:val="0"/>
          <w:sz w:val="28"/>
          <w:szCs w:val="28"/>
          <w:lang w:val="en-US" w:eastAsia="zh-CN"/>
        </w:rPr>
      </w:pPr>
    </w:p>
    <w:p w14:paraId="1EF4202A">
      <w:pPr>
        <w:rPr>
          <w:rFonts w:hint="eastAsia" w:ascii="宋体" w:hAnsi="宋体" w:eastAsia="宋体" w:cs="宋体"/>
          <w:color w:val="auto"/>
          <w:kern w:val="0"/>
          <w:sz w:val="28"/>
          <w:szCs w:val="28"/>
          <w:lang w:val="en-US" w:eastAsia="zh-CN"/>
        </w:rPr>
      </w:pPr>
    </w:p>
    <w:p w14:paraId="4D23F3C6">
      <w:pPr>
        <w:pStyle w:val="24"/>
        <w:rPr>
          <w:rFonts w:hint="eastAsia" w:ascii="宋体" w:hAnsi="宋体" w:eastAsia="宋体" w:cs="宋体"/>
          <w:color w:val="auto"/>
          <w:kern w:val="0"/>
          <w:sz w:val="28"/>
          <w:szCs w:val="28"/>
          <w:lang w:val="en-US" w:eastAsia="zh-CN"/>
        </w:rPr>
      </w:pPr>
    </w:p>
    <w:p w14:paraId="789D3275">
      <w:pPr>
        <w:rPr>
          <w:rFonts w:hint="eastAsia" w:ascii="宋体" w:hAnsi="宋体" w:eastAsia="宋体" w:cs="宋体"/>
          <w:color w:val="auto"/>
          <w:kern w:val="0"/>
          <w:sz w:val="28"/>
          <w:szCs w:val="28"/>
          <w:lang w:val="en-US" w:eastAsia="zh-CN"/>
        </w:rPr>
      </w:pPr>
    </w:p>
    <w:p w14:paraId="0906B2A7">
      <w:pPr>
        <w:pStyle w:val="24"/>
        <w:rPr>
          <w:rFonts w:hint="eastAsia"/>
          <w:lang w:val="en-US" w:eastAsia="zh-CN"/>
        </w:rPr>
      </w:pPr>
    </w:p>
    <w:p w14:paraId="0BEFD58E">
      <w:pPr>
        <w:pStyle w:val="16"/>
        <w:rPr>
          <w:rFonts w:hint="eastAsia" w:ascii="宋体" w:hAnsi="宋体" w:eastAsia="宋体" w:cs="宋体"/>
          <w:color w:val="auto"/>
          <w:kern w:val="0"/>
          <w:sz w:val="28"/>
          <w:szCs w:val="28"/>
          <w:lang w:val="en-US" w:eastAsia="zh-CN"/>
        </w:rPr>
      </w:pPr>
    </w:p>
    <w:p w14:paraId="3C6FC0F7">
      <w:pPr>
        <w:rPr>
          <w:rFonts w:hint="eastAsia" w:ascii="宋体" w:hAnsi="宋体" w:eastAsia="宋体" w:cs="宋体"/>
          <w:color w:val="auto"/>
          <w:kern w:val="0"/>
          <w:sz w:val="28"/>
          <w:szCs w:val="28"/>
          <w:lang w:val="en-US" w:eastAsia="zh-CN"/>
        </w:rPr>
      </w:pPr>
    </w:p>
    <w:p w14:paraId="536498CB">
      <w:pPr>
        <w:pStyle w:val="16"/>
        <w:rPr>
          <w:rFonts w:hint="eastAsia"/>
          <w:color w:val="auto"/>
          <w:lang w:val="en-US" w:eastAsia="zh-CN"/>
        </w:rPr>
      </w:pPr>
    </w:p>
    <w:p w14:paraId="3DC4C81D">
      <w:pPr>
        <w:widowControl/>
        <w:shd w:val="clear" w:color="auto" w:fill="auto"/>
        <w:jc w:val="left"/>
        <w:rPr>
          <w:rFonts w:hint="eastAsia" w:ascii="宋体" w:hAnsi="宋体" w:eastAsia="宋体" w:cs="宋体"/>
          <w:b/>
          <w:color w:val="auto"/>
          <w:sz w:val="24"/>
          <w:szCs w:val="24"/>
        </w:rPr>
      </w:pPr>
    </w:p>
    <w:p w14:paraId="6A0EDC21">
      <w:pPr>
        <w:widowControl/>
        <w:shd w:val="clear" w:color="auto" w:fill="auto"/>
        <w:jc w:val="left"/>
        <w:rPr>
          <w:rFonts w:hint="eastAsia" w:ascii="宋体" w:hAnsi="宋体" w:eastAsia="宋体" w:cs="宋体"/>
          <w:b/>
          <w:color w:val="auto"/>
          <w:sz w:val="24"/>
          <w:szCs w:val="24"/>
        </w:rPr>
      </w:pPr>
      <w:r>
        <w:rPr>
          <w:rFonts w:hint="eastAsia" w:ascii="宋体" w:hAnsi="宋体" w:eastAsia="宋体" w:cs="宋体"/>
          <w:b/>
          <w:color w:val="auto"/>
          <w:sz w:val="24"/>
          <w:szCs w:val="24"/>
        </w:rPr>
        <w:t>（1）《中小企业声明函》格式</w:t>
      </w:r>
    </w:p>
    <w:p w14:paraId="1ADDFBF8">
      <w:pPr>
        <w:pStyle w:val="442"/>
        <w:spacing w:before="162"/>
        <w:rPr>
          <w:rFonts w:hint="eastAsia" w:ascii="宋体"/>
          <w:sz w:val="28"/>
          <w:szCs w:val="28"/>
        </w:rPr>
      </w:pPr>
      <w:bookmarkStart w:id="231" w:name="_Toc23139"/>
      <w:bookmarkStart w:id="232" w:name="_Toc20647"/>
      <w:bookmarkStart w:id="233" w:name="_Toc17309"/>
      <w:bookmarkStart w:id="234" w:name="_Toc29984"/>
      <w:r>
        <w:rPr>
          <w:rFonts w:hint="eastAsia" w:ascii="宋体"/>
          <w:sz w:val="28"/>
          <w:szCs w:val="28"/>
        </w:rPr>
        <w:t>中小企业声明函（</w:t>
      </w:r>
      <w:r>
        <w:rPr>
          <w:rFonts w:hint="eastAsia" w:ascii="宋体"/>
          <w:sz w:val="28"/>
          <w:szCs w:val="28"/>
          <w:lang w:eastAsia="zh-CN"/>
        </w:rPr>
        <w:t>服务</w:t>
      </w:r>
      <w:r>
        <w:rPr>
          <w:rFonts w:hint="eastAsia" w:ascii="宋体"/>
          <w:sz w:val="28"/>
          <w:szCs w:val="28"/>
        </w:rPr>
        <w:t>）</w:t>
      </w:r>
      <w:bookmarkEnd w:id="231"/>
      <w:bookmarkEnd w:id="232"/>
      <w:bookmarkEnd w:id="233"/>
      <w:bookmarkEnd w:id="234"/>
    </w:p>
    <w:p w14:paraId="628E980D">
      <w:pPr>
        <w:pStyle w:val="14"/>
        <w:jc w:val="center"/>
        <w:rPr>
          <w:rFonts w:hint="eastAsia" w:ascii="宋体" w:hAnsi="宋体" w:eastAsia="宋体" w:cs="宋体"/>
          <w:sz w:val="21"/>
          <w:szCs w:val="21"/>
        </w:rPr>
      </w:pPr>
      <w:r>
        <w:rPr>
          <w:rFonts w:hint="eastAsia" w:ascii="宋体" w:hAnsi="宋体" w:eastAsia="宋体" w:cs="宋体"/>
          <w:b/>
          <w:sz w:val="21"/>
          <w:szCs w:val="21"/>
        </w:rPr>
        <w:t>（不属于</w:t>
      </w:r>
      <w:r>
        <w:rPr>
          <w:rFonts w:hint="eastAsia" w:ascii="宋体" w:hAnsi="宋体" w:eastAsia="宋体" w:cs="宋体"/>
          <w:b/>
          <w:sz w:val="21"/>
          <w:szCs w:val="21"/>
          <w:lang w:val="en-US"/>
        </w:rPr>
        <w:t>小型、微型企业</w:t>
      </w:r>
      <w:r>
        <w:rPr>
          <w:rFonts w:hint="eastAsia" w:ascii="宋体" w:hAnsi="宋体" w:eastAsia="宋体" w:cs="宋体"/>
          <w:b/>
          <w:sz w:val="21"/>
          <w:szCs w:val="21"/>
        </w:rPr>
        <w:t>的无需填写）</w:t>
      </w:r>
    </w:p>
    <w:p w14:paraId="53B7DFBA">
      <w:pPr>
        <w:pStyle w:val="14"/>
        <w:spacing w:before="2"/>
        <w:rPr>
          <w:rFonts w:hint="eastAsia" w:ascii="宋体" w:hAnsi="宋体" w:eastAsia="宋体" w:cs="宋体"/>
          <w:sz w:val="21"/>
          <w:szCs w:val="21"/>
        </w:rPr>
      </w:pPr>
    </w:p>
    <w:p w14:paraId="7946841B">
      <w:pPr>
        <w:pStyle w:val="14"/>
        <w:spacing w:before="55" w:line="302" w:lineRule="auto"/>
        <w:ind w:right="415" w:firstLine="64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 号）的规定，本公司参加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采购活动，提供的</w:t>
      </w:r>
      <w:r>
        <w:rPr>
          <w:rFonts w:hint="eastAsia" w:ascii="宋体" w:hAnsi="宋体" w:eastAsia="宋体" w:cs="宋体"/>
          <w:sz w:val="21"/>
          <w:szCs w:val="21"/>
          <w:lang w:eastAsia="zh-CN"/>
        </w:rPr>
        <w:t>服务</w:t>
      </w:r>
      <w:r>
        <w:rPr>
          <w:rFonts w:hint="eastAsia" w:ascii="宋体" w:hAnsi="宋体" w:eastAsia="宋体" w:cs="宋体"/>
          <w:sz w:val="21"/>
          <w:szCs w:val="21"/>
        </w:rPr>
        <w:t>全部由符合政策要求的中小企业制造。相关企业</w:t>
      </w:r>
    </w:p>
    <w:p w14:paraId="7496BEFF">
      <w:pPr>
        <w:pStyle w:val="14"/>
        <w:spacing w:line="304" w:lineRule="auto"/>
        <w:ind w:right="405"/>
        <w:rPr>
          <w:rFonts w:hint="eastAsia" w:ascii="宋体" w:hAnsi="宋体" w:eastAsia="宋体" w:cs="宋体"/>
          <w:sz w:val="21"/>
          <w:szCs w:val="21"/>
        </w:rPr>
      </w:pPr>
      <w:r>
        <w:rPr>
          <w:rFonts w:hint="eastAsia" w:ascii="宋体" w:hAnsi="宋体" w:eastAsia="宋体" w:cs="宋体"/>
          <w:sz w:val="21"/>
          <w:szCs w:val="21"/>
        </w:rPr>
        <w:t>（含联合体中的中小企业、签订分包意向协议的中小企业） 的具体情况如下：</w:t>
      </w:r>
    </w:p>
    <w:p w14:paraId="5CF32D91">
      <w:pPr>
        <w:pStyle w:val="431"/>
        <w:tabs>
          <w:tab w:val="left" w:pos="1183"/>
          <w:tab w:val="left" w:pos="1484"/>
          <w:tab w:val="left" w:pos="4662"/>
          <w:tab w:val="left" w:pos="6903"/>
        </w:tabs>
        <w:autoSpaceDE w:val="0"/>
        <w:autoSpaceDN w:val="0"/>
        <w:spacing w:line="295" w:lineRule="auto"/>
        <w:ind w:right="169" w:firstLine="371" w:firstLineChars="177"/>
        <w:jc w:val="left"/>
        <w:rPr>
          <w:rFonts w:hint="eastAsia" w:ascii="宋体" w:hAnsi="宋体" w:cs="宋体"/>
          <w:sz w:val="21"/>
          <w:szCs w:val="21"/>
        </w:rPr>
      </w:pPr>
      <w:r>
        <w:rPr>
          <w:rFonts w:hint="eastAsia" w:ascii="宋体" w:hAnsi="宋体" w:cs="宋体"/>
          <w:sz w:val="21"/>
          <w:szCs w:val="21"/>
          <w:u w:val="single"/>
        </w:rPr>
        <w:t xml:space="preserve">1. （ 标 的 名 称 ） </w:t>
      </w:r>
      <w:r>
        <w:rPr>
          <w:rFonts w:hint="eastAsia" w:ascii="宋体" w:hAnsi="宋体" w:cs="宋体"/>
          <w:sz w:val="21"/>
          <w:szCs w:val="21"/>
        </w:rPr>
        <w:t>， 属 于 （ 采 购 文 件 中 明 确 的 所 属 行 业 ）</w:t>
      </w:r>
      <w:r>
        <w:rPr>
          <w:rFonts w:hint="eastAsia" w:ascii="宋体" w:hAnsi="宋体" w:cs="宋体"/>
          <w:sz w:val="21"/>
          <w:szCs w:val="21"/>
          <w:u w:val="single"/>
        </w:rPr>
        <w:t xml:space="preserve">    </w:t>
      </w:r>
      <w:r>
        <w:rPr>
          <w:rFonts w:hint="eastAsia" w:ascii="宋体" w:hAnsi="宋体" w:cs="宋体"/>
          <w:sz w:val="21"/>
          <w:szCs w:val="21"/>
        </w:rPr>
        <w:t>行业；</w:t>
      </w:r>
      <w:r>
        <w:rPr>
          <w:rFonts w:hint="eastAsia" w:ascii="宋体" w:hAnsi="宋体" w:cs="宋体"/>
          <w:sz w:val="21"/>
          <w:szCs w:val="21"/>
          <w:lang w:eastAsia="zh-CN"/>
        </w:rPr>
        <w:t>服务</w:t>
      </w:r>
      <w:r>
        <w:rPr>
          <w:rFonts w:hint="eastAsia" w:ascii="宋体" w:hAnsi="宋体" w:cs="宋体"/>
          <w:sz w:val="21"/>
          <w:szCs w:val="21"/>
        </w:rPr>
        <w:t>商为</w:t>
      </w:r>
      <w:r>
        <w:rPr>
          <w:rFonts w:hint="eastAsia" w:ascii="宋体" w:hAnsi="宋体" w:cs="宋体"/>
          <w:sz w:val="21"/>
          <w:szCs w:val="21"/>
          <w:u w:val="single"/>
        </w:rPr>
        <w:t xml:space="preserve">   （企业名称）  ，</w:t>
      </w:r>
      <w:r>
        <w:rPr>
          <w:rFonts w:hint="eastAsia" w:ascii="宋体" w:hAnsi="宋体" w:cs="宋体"/>
          <w:sz w:val="21"/>
          <w:szCs w:val="21"/>
        </w:rPr>
        <w:t>从业人员</w:t>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rPr>
        <w:t>人，营业收入为</w:t>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rPr>
        <w:t xml:space="preserve">万元，资产总额为 </w:t>
      </w:r>
      <w:r>
        <w:rPr>
          <w:rFonts w:hint="eastAsia" w:ascii="宋体" w:hAnsi="宋体" w:cs="宋体"/>
          <w:sz w:val="21"/>
          <w:szCs w:val="21"/>
          <w:u w:val="single"/>
        </w:rPr>
        <w:t xml:space="preserve">       </w:t>
      </w:r>
      <w:r>
        <w:rPr>
          <w:rFonts w:hint="eastAsia" w:ascii="宋体" w:hAnsi="宋体" w:cs="宋体"/>
          <w:sz w:val="21"/>
          <w:szCs w:val="21"/>
        </w:rPr>
        <w:t>万元</w:t>
      </w:r>
      <w:r>
        <w:rPr>
          <w:rFonts w:hint="eastAsia" w:ascii="宋体" w:hAnsi="宋体" w:cs="宋体"/>
          <w:position w:val="16"/>
          <w:sz w:val="21"/>
          <w:szCs w:val="21"/>
        </w:rPr>
        <w:t>1</w:t>
      </w:r>
      <w:r>
        <w:rPr>
          <w:rFonts w:hint="eastAsia" w:ascii="宋体" w:hAnsi="宋体" w:cs="宋体"/>
          <w:sz w:val="21"/>
          <w:szCs w:val="21"/>
        </w:rPr>
        <w:t>，属于（中型企业、小型企业、微型企业）；</w:t>
      </w:r>
    </w:p>
    <w:p w14:paraId="5962F288">
      <w:pPr>
        <w:pStyle w:val="431"/>
        <w:tabs>
          <w:tab w:val="left" w:pos="1183"/>
          <w:tab w:val="left" w:pos="1484"/>
          <w:tab w:val="left" w:pos="4662"/>
          <w:tab w:val="left" w:pos="6903"/>
        </w:tabs>
        <w:autoSpaceDE w:val="0"/>
        <w:autoSpaceDN w:val="0"/>
        <w:spacing w:before="156" w:line="295" w:lineRule="auto"/>
        <w:ind w:right="169" w:firstLine="371" w:firstLineChars="177"/>
        <w:jc w:val="left"/>
        <w:rPr>
          <w:rFonts w:hint="eastAsia" w:ascii="宋体" w:hAnsi="宋体" w:cs="宋体"/>
          <w:sz w:val="21"/>
          <w:szCs w:val="21"/>
        </w:rPr>
      </w:pPr>
      <w:r>
        <w:rPr>
          <w:rFonts w:hint="eastAsia" w:ascii="宋体" w:hAnsi="宋体" w:cs="宋体"/>
          <w:sz w:val="21"/>
          <w:szCs w:val="21"/>
          <w:u w:val="single"/>
        </w:rPr>
        <w:t xml:space="preserve">2. （ 标 的 名 称 ） </w:t>
      </w:r>
      <w:r>
        <w:rPr>
          <w:rFonts w:hint="eastAsia" w:ascii="宋体" w:hAnsi="宋体" w:cs="宋体"/>
          <w:sz w:val="21"/>
          <w:szCs w:val="21"/>
        </w:rPr>
        <w:t>， 属 于 （ 采 购 文 件 中 明 确 的 所 属 行 业 ）</w:t>
      </w:r>
      <w:r>
        <w:rPr>
          <w:rFonts w:hint="eastAsia" w:ascii="宋体" w:hAnsi="宋体" w:cs="宋体"/>
          <w:sz w:val="21"/>
          <w:szCs w:val="21"/>
          <w:u w:val="single"/>
        </w:rPr>
        <w:t xml:space="preserve">    </w:t>
      </w:r>
      <w:r>
        <w:rPr>
          <w:rFonts w:hint="eastAsia" w:ascii="宋体" w:hAnsi="宋体" w:cs="宋体"/>
          <w:sz w:val="21"/>
          <w:szCs w:val="21"/>
        </w:rPr>
        <w:t>行业；</w:t>
      </w:r>
      <w:r>
        <w:rPr>
          <w:rFonts w:hint="eastAsia" w:ascii="宋体" w:hAnsi="宋体" w:cs="宋体"/>
          <w:sz w:val="21"/>
          <w:szCs w:val="21"/>
          <w:lang w:eastAsia="zh-CN"/>
        </w:rPr>
        <w:t>服务</w:t>
      </w:r>
      <w:r>
        <w:rPr>
          <w:rFonts w:hint="eastAsia" w:ascii="宋体" w:hAnsi="宋体" w:cs="宋体"/>
          <w:sz w:val="21"/>
          <w:szCs w:val="21"/>
        </w:rPr>
        <w:t>商为</w:t>
      </w:r>
      <w:r>
        <w:rPr>
          <w:rFonts w:hint="eastAsia" w:ascii="宋体" w:hAnsi="宋体" w:cs="宋体"/>
          <w:sz w:val="21"/>
          <w:szCs w:val="21"/>
          <w:u w:val="single"/>
        </w:rPr>
        <w:t xml:space="preserve">   （企业名称）  ，</w:t>
      </w:r>
      <w:r>
        <w:rPr>
          <w:rFonts w:hint="eastAsia" w:ascii="宋体" w:hAnsi="宋体" w:cs="宋体"/>
          <w:sz w:val="21"/>
          <w:szCs w:val="21"/>
        </w:rPr>
        <w:t>从业人员</w:t>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rPr>
        <w:t>人，营业收入为</w:t>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rPr>
        <w:t xml:space="preserve">万元，资产总额为 </w:t>
      </w:r>
      <w:r>
        <w:rPr>
          <w:rFonts w:hint="eastAsia" w:ascii="宋体" w:hAnsi="宋体" w:cs="宋体"/>
          <w:sz w:val="21"/>
          <w:szCs w:val="21"/>
          <w:u w:val="single"/>
        </w:rPr>
        <w:t xml:space="preserve">       </w:t>
      </w:r>
      <w:r>
        <w:rPr>
          <w:rFonts w:hint="eastAsia" w:ascii="宋体" w:hAnsi="宋体" w:cs="宋体"/>
          <w:sz w:val="21"/>
          <w:szCs w:val="21"/>
        </w:rPr>
        <w:t>万元</w:t>
      </w:r>
      <w:r>
        <w:rPr>
          <w:rFonts w:hint="eastAsia" w:ascii="宋体" w:hAnsi="宋体" w:cs="宋体"/>
          <w:position w:val="16"/>
          <w:sz w:val="21"/>
          <w:szCs w:val="21"/>
        </w:rPr>
        <w:t>1</w:t>
      </w:r>
      <w:r>
        <w:rPr>
          <w:rFonts w:hint="eastAsia" w:ascii="宋体" w:hAnsi="宋体" w:cs="宋体"/>
          <w:sz w:val="21"/>
          <w:szCs w:val="21"/>
        </w:rPr>
        <w:t>，属于（中型企业、小型企业、微型企业）；</w:t>
      </w:r>
    </w:p>
    <w:p w14:paraId="71E85A08">
      <w:pPr>
        <w:pStyle w:val="14"/>
        <w:ind w:left="860"/>
        <w:rPr>
          <w:rFonts w:hint="eastAsia" w:ascii="宋体" w:hAnsi="宋体" w:eastAsia="宋体" w:cs="宋体"/>
          <w:sz w:val="21"/>
          <w:szCs w:val="21"/>
        </w:rPr>
      </w:pPr>
      <w:r>
        <w:rPr>
          <w:rFonts w:hint="eastAsia" w:ascii="宋体" w:hAnsi="宋体" w:eastAsia="宋体" w:cs="宋体"/>
          <w:sz w:val="21"/>
          <w:szCs w:val="21"/>
        </w:rPr>
        <w:t>……</w:t>
      </w:r>
    </w:p>
    <w:p w14:paraId="5393E523">
      <w:pPr>
        <w:pStyle w:val="14"/>
        <w:spacing w:before="105" w:line="304" w:lineRule="auto"/>
        <w:ind w:right="417" w:firstLine="645"/>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268B9E9B">
      <w:pPr>
        <w:pStyle w:val="14"/>
        <w:spacing w:before="156" w:line="302" w:lineRule="auto"/>
        <w:ind w:right="372" w:firstLine="42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08F93FE5">
      <w:pPr>
        <w:widowControl/>
        <w:jc w:val="center"/>
        <w:rPr>
          <w:rFonts w:hint="eastAsia" w:ascii="宋体" w:hAnsi="宋体" w:eastAsia="宋体" w:cs="宋体"/>
          <w:sz w:val="21"/>
          <w:szCs w:val="21"/>
        </w:rPr>
      </w:pPr>
      <w:r>
        <w:rPr>
          <w:rFonts w:hint="eastAsia" w:ascii="宋体" w:hAnsi="宋体" w:eastAsia="宋体" w:cs="宋体"/>
          <w:sz w:val="21"/>
          <w:szCs w:val="21"/>
        </w:rPr>
        <w:t>企业名称（盖章）：</w:t>
      </w:r>
    </w:p>
    <w:p w14:paraId="003AA0A1">
      <w:pPr>
        <w:widowControl/>
        <w:jc w:val="center"/>
        <w:rPr>
          <w:rFonts w:hint="eastAsia" w:ascii="宋体" w:hAnsi="宋体" w:eastAsia="宋体" w:cs="宋体"/>
          <w:sz w:val="21"/>
          <w:szCs w:val="21"/>
        </w:rPr>
      </w:pPr>
      <w:r>
        <w:rPr>
          <w:rFonts w:hint="eastAsia" w:ascii="宋体" w:hAnsi="宋体" w:eastAsia="宋体" w:cs="宋体"/>
          <w:sz w:val="21"/>
          <w:szCs w:val="21"/>
        </w:rPr>
        <w:t>日期：</w:t>
      </w:r>
    </w:p>
    <w:p w14:paraId="1D9F43B5">
      <w:pPr>
        <w:widowControl/>
        <w:jc w:val="center"/>
        <w:rPr>
          <w:rFonts w:hint="eastAsia" w:ascii="宋体" w:hAnsi="宋体" w:eastAsia="宋体" w:cs="宋体"/>
          <w:sz w:val="21"/>
          <w:szCs w:val="21"/>
        </w:rPr>
      </w:pPr>
    </w:p>
    <w:p w14:paraId="7DB0792F">
      <w:pPr>
        <w:pStyle w:val="14"/>
        <w:rPr>
          <w:rFonts w:ascii="Times New Roman" w:hAnsi="Times New Roman" w:cs="Times New Roman"/>
          <w:lang w:eastAsia="zh-CN"/>
        </w:rPr>
      </w:pPr>
    </w:p>
    <w:p w14:paraId="65CF3364">
      <w:pPr>
        <w:pStyle w:val="14"/>
        <w:rPr>
          <w:rFonts w:ascii="Times New Roman" w:hAnsi="Times New Roman" w:cs="Times New Roman"/>
          <w:sz w:val="20"/>
          <w:lang w:eastAsia="zh-CN"/>
        </w:rPr>
      </w:pPr>
    </w:p>
    <w:p w14:paraId="1DB36CF5">
      <w:pPr>
        <w:pStyle w:val="14"/>
        <w:keepNext w:val="0"/>
        <w:keepLines w:val="0"/>
        <w:pageBreakBefore w:val="0"/>
        <w:kinsoku/>
        <w:wordWrap/>
        <w:overflowPunct/>
        <w:topLinePunct w:val="0"/>
        <w:bidi w:val="0"/>
        <w:adjustRightInd/>
        <w:snapToGrid/>
        <w:spacing w:before="55" w:line="560" w:lineRule="exact"/>
        <w:ind w:right="415" w:firstLine="640"/>
        <w:textAlignment w:val="auto"/>
        <w:rPr>
          <w:rFonts w:hint="eastAsia" w:ascii="宋体" w:hAnsi="宋体" w:eastAsia="宋体" w:cs="宋体"/>
          <w:color w:val="auto"/>
          <w:sz w:val="24"/>
          <w:szCs w:val="24"/>
        </w:rPr>
      </w:pPr>
    </w:p>
    <w:p w14:paraId="587AE61B">
      <w:pPr>
        <w:pStyle w:val="14"/>
        <w:keepNext w:val="0"/>
        <w:keepLines w:val="0"/>
        <w:pageBreakBefore w:val="0"/>
        <w:kinsoku/>
        <w:wordWrap/>
        <w:overflowPunct/>
        <w:topLinePunct w:val="0"/>
        <w:bidi w:val="0"/>
        <w:adjustRightInd/>
        <w:snapToGrid/>
        <w:spacing w:before="55" w:line="560" w:lineRule="exact"/>
        <w:ind w:right="415" w:firstLine="640"/>
        <w:textAlignment w:val="auto"/>
        <w:rPr>
          <w:rFonts w:hint="eastAsia" w:ascii="宋体" w:hAnsi="宋体" w:eastAsia="宋体" w:cs="宋体"/>
          <w:color w:val="auto"/>
          <w:sz w:val="24"/>
          <w:szCs w:val="24"/>
        </w:rPr>
      </w:pPr>
    </w:p>
    <w:p w14:paraId="6821DF2D">
      <w:pPr>
        <w:pStyle w:val="14"/>
        <w:rPr>
          <w:rFonts w:hint="eastAsia"/>
          <w:color w:val="auto"/>
        </w:rPr>
      </w:pPr>
    </w:p>
    <w:p w14:paraId="4DC06098">
      <w:pPr>
        <w:widowControl/>
        <w:jc w:val="center"/>
        <w:rPr>
          <w:rFonts w:hint="eastAsia" w:ascii="宋体" w:hAnsi="宋体" w:eastAsia="宋体" w:cs="宋体"/>
          <w:color w:val="auto"/>
          <w:sz w:val="24"/>
          <w:szCs w:val="24"/>
        </w:rPr>
      </w:pPr>
    </w:p>
    <w:p w14:paraId="687D86B3">
      <w:pPr>
        <w:widowControl/>
        <w:jc w:val="left"/>
        <w:rPr>
          <w:rFonts w:hint="eastAsia" w:ascii="宋体" w:hAnsi="宋体" w:eastAsia="宋体" w:cs="宋体"/>
          <w:color w:val="auto"/>
          <w:sz w:val="28"/>
          <w:szCs w:val="28"/>
        </w:rPr>
      </w:pPr>
      <w:r>
        <w:rPr>
          <w:rFonts w:hint="eastAsia" w:ascii="宋体" w:hAnsi="宋体" w:eastAsia="宋体" w:cs="宋体"/>
          <w:b/>
          <w:bCs/>
          <w:color w:val="auto"/>
          <w:sz w:val="24"/>
          <w:szCs w:val="24"/>
        </w:rPr>
        <w:t>注：从业人员、营业收入、资产总额填报上一年度数据，无上一年度数据的新成立企业可不填报。</w:t>
      </w:r>
    </w:p>
    <w:p w14:paraId="497A1B80">
      <w:pPr>
        <w:widowControl/>
        <w:jc w:val="left"/>
        <w:rPr>
          <w:rFonts w:hint="eastAsia" w:ascii="宋体" w:hAnsi="宋体" w:eastAsia="宋体" w:cs="宋体"/>
          <w:b/>
          <w:color w:val="auto"/>
          <w:sz w:val="24"/>
          <w:szCs w:val="24"/>
        </w:rPr>
      </w:pPr>
    </w:p>
    <w:p w14:paraId="4A592A09">
      <w:pPr>
        <w:widowControl/>
        <w:jc w:val="left"/>
        <w:rPr>
          <w:rFonts w:ascii="宋体" w:hAnsi="宋体" w:eastAsia="宋体" w:cs="宋体"/>
          <w:b/>
          <w:color w:val="auto"/>
          <w:sz w:val="24"/>
          <w:szCs w:val="24"/>
        </w:rPr>
      </w:pPr>
      <w:r>
        <w:rPr>
          <w:rFonts w:hint="eastAsia" w:ascii="宋体" w:hAnsi="宋体" w:eastAsia="宋体" w:cs="宋体"/>
          <w:b/>
          <w:color w:val="auto"/>
          <w:sz w:val="24"/>
          <w:szCs w:val="24"/>
        </w:rPr>
        <w:t>（2）《残疾人福利性单位声明函》格式</w:t>
      </w:r>
    </w:p>
    <w:p w14:paraId="47645DF2">
      <w:pPr>
        <w:widowControl/>
        <w:jc w:val="left"/>
        <w:rPr>
          <w:rFonts w:ascii="宋体" w:hAnsi="宋体" w:eastAsia="宋体" w:cs="宋体"/>
          <w:b/>
          <w:color w:val="auto"/>
          <w:sz w:val="24"/>
          <w:szCs w:val="24"/>
        </w:rPr>
      </w:pPr>
    </w:p>
    <w:p w14:paraId="13CD7A66">
      <w:pPr>
        <w:spacing w:line="588" w:lineRule="exact"/>
        <w:jc w:val="center"/>
        <w:rPr>
          <w:rFonts w:ascii="宋体" w:hAnsi="宋体" w:eastAsia="宋体" w:cs="宋体"/>
          <w:b/>
          <w:color w:val="auto"/>
          <w:spacing w:val="6"/>
          <w:sz w:val="32"/>
          <w:szCs w:val="32"/>
        </w:rPr>
      </w:pPr>
      <w:r>
        <w:rPr>
          <w:rFonts w:hint="eastAsia" w:ascii="宋体" w:hAnsi="宋体" w:eastAsia="宋体" w:cs="宋体"/>
          <w:b/>
          <w:color w:val="auto"/>
          <w:spacing w:val="6"/>
          <w:sz w:val="32"/>
          <w:szCs w:val="32"/>
        </w:rPr>
        <w:t>残疾人福利性单位声明函</w:t>
      </w:r>
    </w:p>
    <w:p w14:paraId="210236A7">
      <w:pPr>
        <w:widowControl/>
        <w:jc w:val="center"/>
        <w:rPr>
          <w:rFonts w:ascii="宋体" w:hAnsi="宋体" w:eastAsia="宋体" w:cs="宋体"/>
          <w:b/>
          <w:color w:val="auto"/>
          <w:sz w:val="24"/>
          <w:szCs w:val="24"/>
        </w:rPr>
      </w:pPr>
      <w:r>
        <w:rPr>
          <w:rFonts w:hint="eastAsia" w:ascii="宋体" w:hAnsi="宋体" w:eastAsia="宋体" w:cs="宋体"/>
          <w:b/>
          <w:color w:val="auto"/>
          <w:sz w:val="24"/>
          <w:szCs w:val="24"/>
        </w:rPr>
        <w:t>（不属于残疾人福利性单位的无需填写）</w:t>
      </w:r>
    </w:p>
    <w:p w14:paraId="61ADD4CA">
      <w:pPr>
        <w:widowControl/>
        <w:jc w:val="left"/>
        <w:rPr>
          <w:rFonts w:ascii="宋体" w:hAnsi="宋体" w:eastAsia="宋体" w:cs="宋体"/>
          <w:b/>
          <w:color w:val="auto"/>
          <w:sz w:val="24"/>
          <w:szCs w:val="24"/>
        </w:rPr>
      </w:pPr>
    </w:p>
    <w:p w14:paraId="0A52199E">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本单位郑重声明，根据《财政部 民政部 中国残疾人联合会关于促进残疾人就业政府采购政策的通知》</w:t>
      </w:r>
    </w:p>
    <w:p w14:paraId="1E6E9D51">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74AE9EB6">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本单位对上述声明的真实性负责。如有虚假，将依法承担相应责任。</w:t>
      </w:r>
    </w:p>
    <w:p w14:paraId="6C2301C7">
      <w:pPr>
        <w:widowControl/>
        <w:spacing w:line="360" w:lineRule="auto"/>
        <w:ind w:firstLine="440" w:firstLineChars="200"/>
        <w:jc w:val="left"/>
        <w:rPr>
          <w:rFonts w:ascii="宋体" w:hAnsi="宋体" w:eastAsia="宋体" w:cs="宋体"/>
          <w:color w:val="auto"/>
          <w:szCs w:val="21"/>
        </w:rPr>
      </w:pPr>
    </w:p>
    <w:p w14:paraId="12CC5752">
      <w:pPr>
        <w:widowControl/>
        <w:spacing w:line="360" w:lineRule="auto"/>
        <w:ind w:firstLine="440" w:firstLineChars="200"/>
        <w:jc w:val="left"/>
        <w:rPr>
          <w:rFonts w:ascii="宋体" w:hAnsi="宋体" w:eastAsia="宋体" w:cs="宋体"/>
          <w:color w:val="auto"/>
          <w:szCs w:val="21"/>
        </w:rPr>
      </w:pPr>
    </w:p>
    <w:p w14:paraId="153F1C66">
      <w:pPr>
        <w:widowControl/>
        <w:spacing w:line="360" w:lineRule="auto"/>
        <w:ind w:firstLine="442" w:firstLineChars="200"/>
        <w:jc w:val="left"/>
        <w:rPr>
          <w:rFonts w:ascii="宋体" w:hAnsi="宋体" w:eastAsia="宋体" w:cs="宋体"/>
          <w:b/>
          <w:color w:val="auto"/>
          <w:szCs w:val="21"/>
        </w:rPr>
      </w:pPr>
      <w:r>
        <w:rPr>
          <w:rFonts w:hint="eastAsia" w:ascii="宋体" w:hAnsi="宋体" w:eastAsia="宋体" w:cs="宋体"/>
          <w:b/>
          <w:color w:val="auto"/>
          <w:szCs w:val="21"/>
        </w:rPr>
        <w:t>注：请单独列出所供残疾人福利性单位制造的货物产品或提供的服务或实施的工程的单价和总价。</w:t>
      </w:r>
    </w:p>
    <w:p w14:paraId="6BAC981C">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（若磋商响应文件中无上述材料，则在评审时不考虑对该小、微企业的相关优惠。）</w:t>
      </w:r>
    </w:p>
    <w:p w14:paraId="51D7E01A">
      <w:pPr>
        <w:widowControl/>
        <w:spacing w:line="360" w:lineRule="auto"/>
        <w:ind w:firstLine="440" w:firstLineChars="200"/>
        <w:jc w:val="left"/>
        <w:rPr>
          <w:rFonts w:ascii="宋体" w:hAnsi="宋体" w:eastAsia="宋体" w:cs="宋体"/>
          <w:color w:val="auto"/>
          <w:szCs w:val="21"/>
        </w:rPr>
      </w:pPr>
    </w:p>
    <w:p w14:paraId="772A6A54">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lang w:eastAsia="zh-CN"/>
        </w:rPr>
        <w:t>供应商</w:t>
      </w:r>
      <w:r>
        <w:rPr>
          <w:rFonts w:hint="eastAsia" w:ascii="宋体" w:hAnsi="宋体" w:eastAsia="宋体" w:cs="宋体"/>
          <w:color w:val="auto"/>
          <w:szCs w:val="21"/>
        </w:rPr>
        <w:t>（盖章）：</w:t>
      </w:r>
    </w:p>
    <w:p w14:paraId="08768E2F">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日 期：</w:t>
      </w:r>
    </w:p>
    <w:p w14:paraId="6220CCFE">
      <w:pPr>
        <w:widowControl/>
        <w:spacing w:line="360" w:lineRule="auto"/>
        <w:ind w:firstLine="440" w:firstLineChars="200"/>
        <w:jc w:val="left"/>
        <w:rPr>
          <w:rFonts w:ascii="宋体" w:hAnsi="宋体" w:eastAsia="宋体" w:cs="宋体"/>
          <w:color w:val="auto"/>
          <w:szCs w:val="21"/>
        </w:rPr>
      </w:pPr>
    </w:p>
    <w:p w14:paraId="09875494">
      <w:pPr>
        <w:widowControl/>
        <w:spacing w:line="360" w:lineRule="auto"/>
        <w:ind w:firstLine="440" w:firstLineChars="200"/>
        <w:jc w:val="left"/>
        <w:rPr>
          <w:rFonts w:ascii="宋体" w:hAnsi="宋体" w:eastAsia="宋体" w:cs="宋体"/>
          <w:color w:val="auto"/>
          <w:szCs w:val="21"/>
        </w:rPr>
      </w:pPr>
    </w:p>
    <w:p w14:paraId="478416D6">
      <w:pPr>
        <w:widowControl/>
        <w:spacing w:line="360" w:lineRule="auto"/>
        <w:ind w:firstLine="440" w:firstLineChars="200"/>
        <w:jc w:val="left"/>
        <w:rPr>
          <w:rFonts w:ascii="宋体" w:hAnsi="宋体" w:eastAsia="宋体" w:cs="宋体"/>
          <w:color w:val="auto"/>
          <w:sz w:val="24"/>
          <w:szCs w:val="24"/>
        </w:rPr>
      </w:pPr>
      <w:r>
        <w:rPr>
          <w:rFonts w:hint="eastAsia" w:ascii="宋体" w:hAnsi="宋体" w:eastAsia="宋体" w:cs="宋体"/>
          <w:color w:val="auto"/>
          <w:szCs w:val="21"/>
        </w:rPr>
        <w:t>符合条件的残疾人福利性单位在参加政府采购活动时，应当提供本通知规定的《残疾人福利性单位声明函》，并对声明的真实性负责。采购代理机构在随成交、成交结果同时公告其《残疾人福利性单位声明函》，接受社会监督。</w:t>
      </w:r>
      <w:r>
        <w:rPr>
          <w:rFonts w:hint="eastAsia" w:ascii="宋体" w:hAnsi="宋体" w:eastAsia="宋体" w:cs="宋体"/>
          <w:color w:val="auto"/>
          <w:szCs w:val="21"/>
          <w:lang w:eastAsia="zh-CN"/>
        </w:rPr>
        <w:t>供应商</w:t>
      </w:r>
      <w:r>
        <w:rPr>
          <w:rFonts w:hint="eastAsia" w:ascii="宋体" w:hAnsi="宋体" w:eastAsia="宋体" w:cs="宋体"/>
          <w:color w:val="auto"/>
          <w:szCs w:val="21"/>
        </w:rPr>
        <w:t>提供的《残疾人福利性单位声明函》与事实不符的，依照《政府采购法》第七十七条第一款的规定追究法律责任。</w:t>
      </w:r>
    </w:p>
    <w:p w14:paraId="030D7027">
      <w:pPr>
        <w:widowControl/>
        <w:jc w:val="left"/>
        <w:rPr>
          <w:rFonts w:ascii="宋体" w:hAnsi="宋体" w:eastAsia="宋体" w:cs="宋体"/>
          <w:b/>
          <w:color w:val="auto"/>
          <w:sz w:val="24"/>
          <w:szCs w:val="24"/>
        </w:rPr>
      </w:pPr>
    </w:p>
    <w:p w14:paraId="69CCA20E">
      <w:pPr>
        <w:widowControl/>
        <w:jc w:val="left"/>
        <w:rPr>
          <w:rFonts w:ascii="宋体" w:hAnsi="宋体" w:eastAsia="宋体" w:cs="宋体"/>
          <w:b/>
          <w:color w:val="auto"/>
          <w:sz w:val="24"/>
          <w:szCs w:val="24"/>
        </w:rPr>
      </w:pPr>
      <w:r>
        <w:rPr>
          <w:rFonts w:hint="eastAsia" w:ascii="宋体" w:hAnsi="宋体" w:eastAsia="宋体" w:cs="宋体"/>
          <w:b/>
          <w:color w:val="auto"/>
          <w:sz w:val="24"/>
          <w:szCs w:val="24"/>
        </w:rPr>
        <w:br w:type="page"/>
      </w:r>
    </w:p>
    <w:p w14:paraId="08F07798">
      <w:pPr>
        <w:widowControl/>
        <w:jc w:val="left"/>
        <w:rPr>
          <w:rFonts w:ascii="宋体" w:hAnsi="宋体" w:eastAsia="宋体" w:cs="宋体"/>
          <w:b/>
          <w:color w:val="auto"/>
          <w:sz w:val="24"/>
          <w:szCs w:val="24"/>
        </w:rPr>
      </w:pPr>
      <w:r>
        <w:rPr>
          <w:rFonts w:hint="eastAsia" w:ascii="宋体" w:hAnsi="宋体" w:eastAsia="宋体" w:cs="宋体"/>
          <w:b/>
          <w:color w:val="auto"/>
          <w:sz w:val="24"/>
          <w:szCs w:val="24"/>
        </w:rPr>
        <w:t>（3）《监狱企业声明函》格式</w:t>
      </w:r>
    </w:p>
    <w:p w14:paraId="5E39E98A">
      <w:pPr>
        <w:spacing w:line="588" w:lineRule="exact"/>
        <w:jc w:val="center"/>
        <w:rPr>
          <w:rFonts w:ascii="宋体" w:hAnsi="宋体" w:eastAsia="宋体" w:cs="宋体"/>
          <w:b/>
          <w:color w:val="auto"/>
          <w:spacing w:val="6"/>
          <w:sz w:val="32"/>
          <w:szCs w:val="32"/>
        </w:rPr>
      </w:pPr>
    </w:p>
    <w:p w14:paraId="00153B66">
      <w:pPr>
        <w:spacing w:line="588" w:lineRule="exact"/>
        <w:jc w:val="center"/>
        <w:rPr>
          <w:rFonts w:ascii="宋体" w:hAnsi="宋体" w:eastAsia="宋体" w:cs="宋体"/>
          <w:b/>
          <w:color w:val="auto"/>
          <w:spacing w:val="6"/>
          <w:sz w:val="32"/>
          <w:szCs w:val="32"/>
        </w:rPr>
      </w:pPr>
      <w:r>
        <w:rPr>
          <w:rFonts w:hint="eastAsia" w:ascii="宋体" w:hAnsi="宋体" w:eastAsia="宋体" w:cs="宋体"/>
          <w:b/>
          <w:color w:val="auto"/>
          <w:spacing w:val="6"/>
          <w:sz w:val="32"/>
          <w:szCs w:val="32"/>
        </w:rPr>
        <w:t>监狱企业声明函</w:t>
      </w:r>
    </w:p>
    <w:p w14:paraId="132DC973">
      <w:pPr>
        <w:widowControl/>
        <w:jc w:val="center"/>
        <w:rPr>
          <w:rFonts w:ascii="宋体" w:hAnsi="宋体" w:eastAsia="宋体" w:cs="宋体"/>
          <w:b/>
          <w:color w:val="auto"/>
          <w:sz w:val="24"/>
          <w:szCs w:val="24"/>
        </w:rPr>
      </w:pPr>
      <w:r>
        <w:rPr>
          <w:rFonts w:hint="eastAsia" w:ascii="宋体" w:hAnsi="宋体" w:eastAsia="宋体" w:cs="宋体"/>
          <w:b/>
          <w:color w:val="auto"/>
          <w:sz w:val="24"/>
          <w:szCs w:val="24"/>
        </w:rPr>
        <w:t>（不属于监狱企业的无需填写）</w:t>
      </w:r>
    </w:p>
    <w:p w14:paraId="2B88A068">
      <w:pPr>
        <w:widowControl/>
        <w:spacing w:line="360" w:lineRule="auto"/>
        <w:ind w:firstLine="480" w:firstLineChars="200"/>
        <w:jc w:val="left"/>
        <w:rPr>
          <w:rFonts w:ascii="宋体" w:hAnsi="宋体" w:eastAsia="宋体" w:cs="宋体"/>
          <w:color w:val="auto"/>
          <w:sz w:val="24"/>
          <w:szCs w:val="24"/>
        </w:rPr>
      </w:pPr>
    </w:p>
    <w:p w14:paraId="4E279606">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公司郑重声明，根据《关于政府采购支持监狱企业发展有关问题的通知》 （财库[2014]68 号）的规定，本公司为监狱企业。</w:t>
      </w:r>
    </w:p>
    <w:p w14:paraId="0AD5F86A">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根据上述标准，我公司属于监狱企业的理由为：   。</w:t>
      </w:r>
    </w:p>
    <w:p w14:paraId="2F7EA770">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 xml:space="preserve">本公司为参加 </w:t>
      </w:r>
      <w:r>
        <w:rPr>
          <w:rFonts w:hint="eastAsia" w:ascii="宋体" w:hAnsi="宋体" w:eastAsia="宋体" w:cs="宋体"/>
          <w:color w:val="auto"/>
          <w:szCs w:val="21"/>
          <w:u w:val="single"/>
        </w:rPr>
        <w:t>（项目名称） （</w:t>
      </w:r>
      <w:r>
        <w:rPr>
          <w:rFonts w:hint="eastAsia" w:ascii="宋体" w:hAnsi="宋体" w:eastAsia="宋体" w:cs="宋体"/>
          <w:color w:val="auto"/>
          <w:szCs w:val="21"/>
          <w:u w:val="single"/>
          <w:lang w:eastAsia="zh-CN"/>
        </w:rPr>
        <w:t>项目编号</w:t>
      </w:r>
      <w:r>
        <w:rPr>
          <w:rFonts w:hint="eastAsia" w:ascii="宋体" w:hAnsi="宋体" w:eastAsia="宋体" w:cs="宋体"/>
          <w:color w:val="auto"/>
          <w:szCs w:val="21"/>
          <w:u w:val="single"/>
        </w:rPr>
        <w:t>：）</w:t>
      </w:r>
      <w:r>
        <w:rPr>
          <w:rFonts w:hint="eastAsia" w:ascii="宋体" w:hAnsi="宋体" w:eastAsia="宋体" w:cs="宋体"/>
          <w:color w:val="auto"/>
          <w:szCs w:val="21"/>
        </w:rPr>
        <w:t>采购活动提供本企业（填写制造的货物，</w:t>
      </w:r>
    </w:p>
    <w:p w14:paraId="71B3315B">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由本企业承担工程、提供服务）。</w:t>
      </w:r>
    </w:p>
    <w:p w14:paraId="2D3BF934">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本条所称货物不包括使用大型企业注册商标的货物和服务。</w:t>
      </w:r>
    </w:p>
    <w:p w14:paraId="447B7C21">
      <w:pPr>
        <w:widowControl/>
        <w:spacing w:line="360" w:lineRule="auto"/>
        <w:ind w:firstLine="440" w:firstLineChars="200"/>
        <w:jc w:val="left"/>
        <w:rPr>
          <w:rFonts w:ascii="宋体" w:hAnsi="宋体" w:eastAsia="宋体" w:cs="宋体"/>
          <w:color w:val="auto"/>
          <w:szCs w:val="21"/>
        </w:rPr>
      </w:pPr>
    </w:p>
    <w:p w14:paraId="2226CCE1">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本公司对上述声明的真实性负责。如有虚假，将依法承担相应责任</w:t>
      </w:r>
    </w:p>
    <w:p w14:paraId="0DF9D5B2">
      <w:pPr>
        <w:widowControl/>
        <w:spacing w:line="360" w:lineRule="auto"/>
        <w:ind w:firstLine="440" w:firstLineChars="200"/>
        <w:jc w:val="left"/>
        <w:rPr>
          <w:rFonts w:ascii="宋体" w:hAnsi="宋体" w:eastAsia="宋体" w:cs="宋体"/>
          <w:color w:val="auto"/>
          <w:szCs w:val="21"/>
        </w:rPr>
      </w:pPr>
    </w:p>
    <w:p w14:paraId="35BB2470">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lang w:eastAsia="zh-CN"/>
        </w:rPr>
        <w:t>供应商</w:t>
      </w:r>
      <w:r>
        <w:rPr>
          <w:rFonts w:hint="eastAsia" w:ascii="宋体" w:hAnsi="宋体" w:eastAsia="宋体" w:cs="宋体"/>
          <w:color w:val="auto"/>
          <w:szCs w:val="21"/>
        </w:rPr>
        <w:t>（盖章）：</w:t>
      </w:r>
    </w:p>
    <w:p w14:paraId="544FA106">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日 期：</w:t>
      </w:r>
    </w:p>
    <w:p w14:paraId="41601A0D">
      <w:pPr>
        <w:widowControl/>
        <w:spacing w:line="360" w:lineRule="auto"/>
        <w:ind w:firstLine="440" w:firstLineChars="200"/>
        <w:jc w:val="left"/>
        <w:rPr>
          <w:rFonts w:ascii="宋体" w:hAnsi="宋体" w:eastAsia="宋体" w:cs="宋体"/>
          <w:color w:val="auto"/>
          <w:szCs w:val="21"/>
        </w:rPr>
      </w:pPr>
    </w:p>
    <w:p w14:paraId="239E6239">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注：</w:t>
      </w:r>
    </w:p>
    <w:p w14:paraId="5C54D828">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若产品出自符合国家规定的监狱企业，则该产品制造企业必须出具上述声明函，且</w:t>
      </w:r>
      <w:r>
        <w:rPr>
          <w:rFonts w:hint="eastAsia" w:ascii="宋体" w:hAnsi="宋体" w:eastAsia="宋体" w:cs="宋体"/>
          <w:color w:val="auto"/>
          <w:szCs w:val="21"/>
          <w:lang w:eastAsia="zh-CN"/>
        </w:rPr>
        <w:t>供应商</w:t>
      </w:r>
      <w:r>
        <w:rPr>
          <w:rFonts w:hint="eastAsia" w:ascii="宋体" w:hAnsi="宋体" w:eastAsia="宋体" w:cs="宋体"/>
          <w:color w:val="auto"/>
          <w:szCs w:val="21"/>
        </w:rPr>
        <w:t>必须提供应当提供由省级以上监狱管理局、戒毒管理局（含新疆生产建设兵团）出具的属于监狱企业的证明文件，否则在评审时将不考虑对该监狱企业的相关优惠。</w:t>
      </w:r>
    </w:p>
    <w:p w14:paraId="1094B351">
      <w:pPr>
        <w:widowControl/>
        <w:spacing w:line="360" w:lineRule="auto"/>
        <w:ind w:firstLine="440" w:firstLineChars="200"/>
        <w:jc w:val="left"/>
        <w:rPr>
          <w:rFonts w:ascii="宋体" w:hAnsi="宋体" w:eastAsia="宋体" w:cs="宋体"/>
          <w:color w:val="auto"/>
          <w:szCs w:val="21"/>
        </w:rPr>
      </w:pPr>
      <w:r>
        <w:rPr>
          <w:rFonts w:hint="eastAsia" w:ascii="宋体" w:hAnsi="宋体" w:eastAsia="宋体" w:cs="宋体"/>
          <w:color w:val="auto"/>
          <w:szCs w:val="21"/>
        </w:rPr>
        <w:t>监狱企业视同小型、微型企业，享受评审中价格扣除等政府采购促进中小企业发展的政府采购政策。</w:t>
      </w:r>
    </w:p>
    <w:p w14:paraId="4C34F5DA">
      <w:pPr>
        <w:widowControl/>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r>
    </w:p>
    <w:p w14:paraId="2215FB8F">
      <w:pPr>
        <w:spacing w:line="360" w:lineRule="auto"/>
        <w:jc w:val="center"/>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9</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资格要求中要求的其他文件</w:t>
      </w:r>
    </w:p>
    <w:p w14:paraId="7F4DB6F9">
      <w:pPr>
        <w:pStyle w:val="33"/>
        <w:spacing w:line="360" w:lineRule="auto"/>
        <w:ind w:firstLine="241" w:firstLineChars="100"/>
        <w:rPr>
          <w:rFonts w:hAnsi="宋体"/>
          <w:b/>
          <w:bCs/>
          <w:color w:val="auto"/>
          <w:sz w:val="24"/>
          <w:szCs w:val="24"/>
        </w:rPr>
      </w:pPr>
    </w:p>
    <w:p w14:paraId="119CDDEA">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r>
        <w:rPr>
          <w:rFonts w:hint="eastAsia" w:ascii="宋体" w:hAnsi="宋体" w:eastAsia="宋体" w:cs="宋体"/>
          <w:color w:val="auto"/>
        </w:rPr>
        <w:t>详见第二章“</w:t>
      </w:r>
      <w:r>
        <w:rPr>
          <w:rFonts w:hint="eastAsia" w:hAnsi="宋体" w:eastAsia="宋体" w:cs="宋体"/>
          <w:b/>
          <w:bCs/>
          <w:color w:val="auto"/>
          <w:lang w:eastAsia="zh-CN"/>
        </w:rPr>
        <w:t>供应商</w:t>
      </w:r>
      <w:r>
        <w:rPr>
          <w:rFonts w:hint="eastAsia" w:ascii="宋体" w:hAnsi="宋体" w:eastAsia="宋体" w:cs="宋体"/>
          <w:b/>
          <w:bCs/>
          <w:color w:val="auto"/>
        </w:rPr>
        <w:t>须知前附表</w:t>
      </w:r>
      <w:r>
        <w:rPr>
          <w:rFonts w:hint="eastAsia" w:ascii="宋体" w:hAnsi="宋体" w:eastAsia="宋体" w:cs="宋体"/>
          <w:color w:val="auto"/>
        </w:rPr>
        <w:t>”，有格式的请按给定格式填写，无格式要求的请自拟格式。</w:t>
      </w:r>
    </w:p>
    <w:p w14:paraId="14E975D2">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p>
    <w:p w14:paraId="7EF3ECDA">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p>
    <w:p w14:paraId="7721FDC9">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p>
    <w:p w14:paraId="261F6131">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p>
    <w:p w14:paraId="59621A52">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p>
    <w:p w14:paraId="18EFDA12">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p>
    <w:p w14:paraId="5C8DC656">
      <w:pPr>
        <w:pStyle w:val="33"/>
        <w:pageBreakBefore w:val="0"/>
        <w:kinsoku/>
        <w:overflowPunct/>
        <w:topLinePunct w:val="0"/>
        <w:bidi w:val="0"/>
        <w:spacing w:line="560" w:lineRule="exact"/>
        <w:jc w:val="center"/>
        <w:rPr>
          <w:rFonts w:hint="eastAsia" w:ascii="宋体" w:hAnsi="宋体" w:eastAsia="宋体" w:cs="宋体"/>
          <w:b/>
          <w:bCs/>
          <w:color w:val="auto"/>
          <w:sz w:val="28"/>
          <w:szCs w:val="28"/>
        </w:rPr>
      </w:pPr>
    </w:p>
    <w:p w14:paraId="6E21E941">
      <w:pPr>
        <w:pStyle w:val="34"/>
        <w:rPr>
          <w:rFonts w:hint="eastAsia" w:ascii="宋体" w:hAnsi="宋体" w:eastAsia="宋体" w:cs="宋体"/>
          <w:b/>
          <w:bCs/>
          <w:color w:val="auto"/>
          <w:sz w:val="28"/>
          <w:szCs w:val="28"/>
        </w:rPr>
      </w:pPr>
    </w:p>
    <w:p w14:paraId="127DFDD7">
      <w:pPr>
        <w:pStyle w:val="34"/>
        <w:rPr>
          <w:rFonts w:hint="eastAsia" w:ascii="宋体" w:hAnsi="宋体" w:eastAsia="宋体" w:cs="宋体"/>
          <w:b/>
          <w:bCs/>
          <w:color w:val="auto"/>
          <w:sz w:val="28"/>
          <w:szCs w:val="28"/>
        </w:rPr>
      </w:pPr>
    </w:p>
    <w:p w14:paraId="1DDBD32F">
      <w:pPr>
        <w:pStyle w:val="34"/>
        <w:rPr>
          <w:rFonts w:hint="eastAsia" w:ascii="宋体" w:hAnsi="宋体" w:eastAsia="宋体" w:cs="宋体"/>
          <w:b/>
          <w:bCs/>
          <w:color w:val="auto"/>
          <w:sz w:val="28"/>
          <w:szCs w:val="28"/>
        </w:rPr>
      </w:pPr>
    </w:p>
    <w:p w14:paraId="76AF81DF">
      <w:pPr>
        <w:pStyle w:val="34"/>
        <w:rPr>
          <w:rFonts w:hint="eastAsia" w:ascii="宋体" w:hAnsi="宋体" w:eastAsia="宋体" w:cs="宋体"/>
          <w:b/>
          <w:bCs/>
          <w:color w:val="auto"/>
          <w:sz w:val="28"/>
          <w:szCs w:val="28"/>
        </w:rPr>
      </w:pPr>
    </w:p>
    <w:p w14:paraId="7ABE7466">
      <w:pPr>
        <w:pStyle w:val="34"/>
        <w:rPr>
          <w:rFonts w:hint="eastAsia" w:ascii="宋体" w:hAnsi="宋体" w:eastAsia="宋体" w:cs="宋体"/>
          <w:b/>
          <w:bCs/>
          <w:color w:val="auto"/>
          <w:sz w:val="28"/>
          <w:szCs w:val="28"/>
        </w:rPr>
      </w:pPr>
    </w:p>
    <w:p w14:paraId="4139740E">
      <w:pPr>
        <w:pStyle w:val="34"/>
        <w:rPr>
          <w:rFonts w:hint="eastAsia" w:ascii="宋体" w:hAnsi="宋体" w:eastAsia="宋体" w:cs="宋体"/>
          <w:b/>
          <w:bCs/>
          <w:color w:val="auto"/>
          <w:sz w:val="28"/>
          <w:szCs w:val="28"/>
        </w:rPr>
      </w:pPr>
    </w:p>
    <w:p w14:paraId="030295DC">
      <w:pPr>
        <w:pStyle w:val="34"/>
        <w:rPr>
          <w:rFonts w:hint="eastAsia" w:ascii="宋体" w:hAnsi="宋体" w:eastAsia="宋体" w:cs="宋体"/>
          <w:b/>
          <w:bCs/>
          <w:color w:val="auto"/>
          <w:sz w:val="28"/>
          <w:szCs w:val="28"/>
        </w:rPr>
      </w:pPr>
    </w:p>
    <w:p w14:paraId="4CEB8528">
      <w:pPr>
        <w:pStyle w:val="34"/>
        <w:rPr>
          <w:rFonts w:hint="eastAsia" w:ascii="宋体" w:hAnsi="宋体" w:eastAsia="宋体" w:cs="宋体"/>
          <w:b/>
          <w:bCs/>
          <w:color w:val="auto"/>
          <w:sz w:val="28"/>
          <w:szCs w:val="28"/>
        </w:rPr>
      </w:pPr>
    </w:p>
    <w:p w14:paraId="781AAA27">
      <w:pPr>
        <w:pStyle w:val="34"/>
        <w:rPr>
          <w:rFonts w:hint="eastAsia" w:ascii="宋体" w:hAnsi="宋体" w:eastAsia="宋体" w:cs="宋体"/>
          <w:b/>
          <w:bCs/>
          <w:color w:val="auto"/>
          <w:sz w:val="28"/>
          <w:szCs w:val="28"/>
        </w:rPr>
      </w:pPr>
    </w:p>
    <w:p w14:paraId="56F26146">
      <w:pPr>
        <w:pStyle w:val="34"/>
        <w:rPr>
          <w:rFonts w:hint="eastAsia" w:ascii="宋体" w:hAnsi="宋体" w:eastAsia="宋体" w:cs="宋体"/>
          <w:b/>
          <w:bCs/>
          <w:color w:val="auto"/>
          <w:sz w:val="28"/>
          <w:szCs w:val="28"/>
        </w:rPr>
      </w:pPr>
    </w:p>
    <w:p w14:paraId="284C256C">
      <w:pPr>
        <w:pStyle w:val="34"/>
        <w:rPr>
          <w:rFonts w:hint="eastAsia" w:ascii="宋体" w:hAnsi="宋体" w:eastAsia="宋体" w:cs="宋体"/>
          <w:b/>
          <w:bCs/>
          <w:color w:val="auto"/>
          <w:sz w:val="28"/>
          <w:szCs w:val="28"/>
        </w:rPr>
      </w:pPr>
    </w:p>
    <w:p w14:paraId="46D625B8">
      <w:pPr>
        <w:pStyle w:val="34"/>
        <w:rPr>
          <w:rFonts w:hint="eastAsia" w:ascii="宋体" w:hAnsi="宋体" w:eastAsia="宋体" w:cs="宋体"/>
          <w:b/>
          <w:bCs/>
          <w:color w:val="auto"/>
          <w:sz w:val="28"/>
          <w:szCs w:val="28"/>
        </w:rPr>
      </w:pPr>
    </w:p>
    <w:p w14:paraId="1679B92B">
      <w:pPr>
        <w:jc w:val="center"/>
        <w:rPr>
          <w:rFonts w:hint="eastAsia" w:ascii="宋体" w:hAnsi="宋体" w:eastAsia="宋体" w:cs="宋体"/>
          <w:b/>
          <w:bCs/>
          <w:color w:val="auto"/>
          <w:sz w:val="28"/>
          <w:szCs w:val="28"/>
        </w:rPr>
      </w:pPr>
    </w:p>
    <w:p w14:paraId="051D7C02">
      <w:pPr>
        <w:spacing w:line="360" w:lineRule="auto"/>
        <w:rPr>
          <w:rFonts w:hint="eastAsia" w:asciiTheme="minorEastAsia" w:hAnsiTheme="minorEastAsia" w:eastAsiaTheme="minorEastAsia" w:cstheme="minorEastAsia"/>
          <w:b/>
          <w:bCs/>
          <w:color w:val="auto"/>
          <w:sz w:val="24"/>
          <w:szCs w:val="24"/>
          <w:highlight w:val="none"/>
        </w:rPr>
      </w:pPr>
    </w:p>
    <w:p w14:paraId="4FC6E528">
      <w:pPr>
        <w:spacing w:line="360" w:lineRule="auto"/>
        <w:rPr>
          <w:rFonts w:hint="eastAsia" w:asciiTheme="minorEastAsia" w:hAnsiTheme="minorEastAsia" w:eastAsiaTheme="minorEastAsia" w:cstheme="minorEastAsia"/>
          <w:b/>
          <w:bCs/>
          <w:color w:val="auto"/>
          <w:sz w:val="24"/>
          <w:szCs w:val="24"/>
          <w:highlight w:val="none"/>
        </w:rPr>
      </w:pPr>
    </w:p>
    <w:p w14:paraId="33A05A2A">
      <w:pPr>
        <w:jc w:val="center"/>
        <w:rPr>
          <w:rFonts w:hint="eastAsia" w:asciiTheme="minorEastAsia" w:hAnsiTheme="minorEastAsia" w:eastAsiaTheme="minorEastAsia" w:cstheme="minorEastAsia"/>
          <w:b/>
          <w:bCs/>
          <w:color w:val="auto"/>
          <w:sz w:val="44"/>
          <w:szCs w:val="44"/>
          <w:highlight w:val="none"/>
        </w:rPr>
      </w:pPr>
      <w:bookmarkStart w:id="235" w:name="_Toc234382989"/>
      <w:bookmarkStart w:id="236" w:name="_Toc531966078"/>
      <w:r>
        <w:rPr>
          <w:rFonts w:hint="eastAsia" w:asciiTheme="minorEastAsia" w:hAnsiTheme="minorEastAsia" w:eastAsiaTheme="minorEastAsia" w:cstheme="minorEastAsia"/>
          <w:color w:val="auto"/>
          <w:highlight w:val="none"/>
        </w:rPr>
        <w:br w:type="page"/>
      </w:r>
      <w:bookmarkEnd w:id="235"/>
      <w:bookmarkEnd w:id="236"/>
      <w:r>
        <w:rPr>
          <w:rFonts w:hint="eastAsia" w:asciiTheme="minorEastAsia" w:hAnsiTheme="minorEastAsia" w:eastAsiaTheme="minorEastAsia" w:cstheme="minorEastAsia"/>
          <w:b/>
          <w:bCs/>
          <w:color w:val="auto"/>
          <w:sz w:val="44"/>
          <w:szCs w:val="44"/>
          <w:highlight w:val="none"/>
        </w:rPr>
        <w:t>第二部分 技术标部分</w:t>
      </w:r>
    </w:p>
    <w:p w14:paraId="53A96713">
      <w:pPr>
        <w:adjustRightInd/>
        <w:snapToGrid/>
        <w:spacing w:after="0"/>
        <w:jc w:val="center"/>
        <w:rPr>
          <w:rFonts w:hint="eastAsia" w:asciiTheme="minorEastAsia" w:hAnsiTheme="minorEastAsia" w:eastAsiaTheme="minorEastAsia" w:cstheme="minorEastAsia"/>
          <w:b/>
          <w:color w:val="auto"/>
          <w:kern w:val="2"/>
          <w:sz w:val="24"/>
          <w:szCs w:val="24"/>
          <w:highlight w:val="none"/>
          <w:lang w:val="en-US" w:eastAsia="zh-CN"/>
        </w:rPr>
      </w:pPr>
      <w:r>
        <w:rPr>
          <w:rFonts w:hint="eastAsia" w:asciiTheme="minorEastAsia" w:hAnsiTheme="minorEastAsia" w:eastAsiaTheme="minorEastAsia" w:cstheme="minorEastAsia"/>
          <w:b/>
          <w:color w:val="auto"/>
          <w:kern w:val="2"/>
          <w:sz w:val="32"/>
          <w:szCs w:val="32"/>
          <w:highlight w:val="none"/>
          <w:lang w:val="en-US" w:eastAsia="zh-CN"/>
        </w:rPr>
        <w:t>1.项目总体服务方案</w:t>
      </w:r>
    </w:p>
    <w:p w14:paraId="25739D49">
      <w:pPr>
        <w:adjustRightInd/>
        <w:snapToGrid/>
        <w:spacing w:after="0"/>
        <w:jc w:val="center"/>
        <w:rPr>
          <w:rFonts w:hint="eastAsia" w:asciiTheme="minorEastAsia" w:hAnsiTheme="minorEastAsia" w:eastAsiaTheme="minorEastAsia" w:cstheme="minorEastAsia"/>
          <w:b/>
          <w:color w:val="auto"/>
          <w:kern w:val="2"/>
          <w:sz w:val="24"/>
          <w:szCs w:val="24"/>
          <w:highlight w:val="none"/>
          <w:lang w:val="en-US" w:eastAsia="zh-CN"/>
        </w:rPr>
      </w:pPr>
      <w:r>
        <w:rPr>
          <w:rFonts w:hint="eastAsia" w:ascii="宋体" w:hAnsi="宋体" w:eastAsia="宋体" w:cs="宋体"/>
          <w:color w:val="auto"/>
          <w:szCs w:val="21"/>
          <w:highlight w:val="none"/>
        </w:rPr>
        <w:t>包括但不限于</w:t>
      </w:r>
      <w:r>
        <w:rPr>
          <w:rFonts w:hint="eastAsia" w:ascii="宋体" w:hAnsi="宋体" w:eastAsia="宋体" w:cs="宋体"/>
          <w:color w:val="auto"/>
          <w:szCs w:val="21"/>
          <w:highlight w:val="none"/>
          <w:lang w:eastAsia="zh-CN"/>
        </w:rPr>
        <w:t>保洁服务方案</w:t>
      </w:r>
      <w:r>
        <w:rPr>
          <w:rFonts w:hint="eastAsia" w:ascii="宋体" w:hAnsi="宋体" w:eastAsia="宋体" w:cs="宋体"/>
          <w:color w:val="auto"/>
          <w:szCs w:val="21"/>
          <w:highlight w:val="none"/>
        </w:rPr>
        <w:t>、被服供应洗浆房</w:t>
      </w:r>
      <w:r>
        <w:rPr>
          <w:rFonts w:hint="eastAsia" w:ascii="宋体" w:hAnsi="宋体" w:eastAsia="宋体" w:cs="宋体"/>
          <w:color w:val="auto"/>
          <w:szCs w:val="21"/>
          <w:highlight w:val="none"/>
          <w:lang w:eastAsia="zh-CN"/>
        </w:rPr>
        <w:t>服务方案</w:t>
      </w:r>
      <w:r>
        <w:rPr>
          <w:rFonts w:hint="eastAsia" w:ascii="宋体" w:hAnsi="宋体" w:eastAsia="宋体" w:cs="宋体"/>
          <w:color w:val="auto"/>
          <w:szCs w:val="21"/>
          <w:highlight w:val="none"/>
        </w:rPr>
        <w:t>、预防交叉感染相关方案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安全管理措施等</w:t>
      </w:r>
    </w:p>
    <w:p w14:paraId="2FDD339A">
      <w:pPr>
        <w:adjustRightInd/>
        <w:snapToGrid/>
        <w:spacing w:after="0"/>
        <w:jc w:val="center"/>
        <w:rPr>
          <w:rFonts w:hint="eastAsia" w:asciiTheme="minorEastAsia" w:hAnsiTheme="minorEastAsia" w:eastAsiaTheme="minorEastAsia" w:cstheme="minorEastAsia"/>
          <w:b/>
          <w:color w:val="auto"/>
          <w:kern w:val="2"/>
          <w:sz w:val="24"/>
          <w:szCs w:val="24"/>
          <w:highlight w:val="none"/>
          <w:lang w:val="en-US" w:eastAsia="zh-CN"/>
        </w:rPr>
      </w:pPr>
      <w:r>
        <w:rPr>
          <w:rFonts w:hint="eastAsia" w:asciiTheme="minorEastAsia" w:hAnsiTheme="minorEastAsia" w:eastAsiaTheme="minorEastAsia" w:cstheme="minorEastAsia"/>
          <w:b/>
          <w:color w:val="auto"/>
          <w:kern w:val="2"/>
          <w:sz w:val="24"/>
          <w:szCs w:val="24"/>
          <w:highlight w:val="none"/>
          <w:lang w:val="en-US" w:eastAsia="zh-CN"/>
        </w:rPr>
        <w:t>（格式自拟）</w:t>
      </w:r>
    </w:p>
    <w:p w14:paraId="263F8DE8">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2C83607D">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64F528EA">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25A42628">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hAnsi="宋体" w:eastAsia="宋体" w:cs="宋体"/>
          <w:color w:val="auto"/>
          <w:kern w:val="0"/>
          <w:sz w:val="24"/>
          <w:szCs w:val="24"/>
          <w:lang w:eastAsia="zh-CN"/>
        </w:rPr>
        <w:t>供应商</w:t>
      </w:r>
      <w:r>
        <w:rPr>
          <w:rFonts w:hint="eastAsia" w:ascii="宋体" w:hAnsi="宋体" w:eastAsia="宋体" w:cs="宋体"/>
          <w:color w:val="auto"/>
          <w:kern w:val="0"/>
          <w:sz w:val="24"/>
          <w:szCs w:val="24"/>
        </w:rPr>
        <w:t>全称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盖公章</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 xml:space="preserve">：                                        </w:t>
      </w:r>
    </w:p>
    <w:p w14:paraId="40F016A1">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法定代表人或委托代理人（签字或盖章）                  </w:t>
      </w:r>
    </w:p>
    <w:p w14:paraId="0B230C64">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3E497FF3">
      <w:pPr>
        <w:adjustRightInd/>
        <w:snapToGrid/>
        <w:spacing w:after="0"/>
        <w:jc w:val="center"/>
        <w:rPr>
          <w:rFonts w:hint="eastAsia" w:asciiTheme="minorEastAsia" w:hAnsiTheme="minorEastAsia" w:eastAsiaTheme="minorEastAsia" w:cstheme="minorEastAsia"/>
          <w:b/>
          <w:color w:val="auto"/>
          <w:kern w:val="2"/>
          <w:sz w:val="24"/>
          <w:szCs w:val="24"/>
          <w:highlight w:val="none"/>
          <w:lang w:val="en-US" w:eastAsia="zh-CN"/>
        </w:rPr>
      </w:pPr>
    </w:p>
    <w:p w14:paraId="468C8898">
      <w:pPr>
        <w:pStyle w:val="24"/>
        <w:ind w:left="0" w:leftChars="0" w:firstLine="0" w:firstLineChars="0"/>
        <w:rPr>
          <w:rFonts w:hint="eastAsia" w:asciiTheme="minorEastAsia" w:hAnsiTheme="minorEastAsia" w:eastAsiaTheme="minorEastAsia" w:cstheme="minorEastAsia"/>
          <w:b/>
          <w:color w:val="auto"/>
          <w:kern w:val="2"/>
          <w:sz w:val="24"/>
          <w:szCs w:val="24"/>
          <w:highlight w:val="none"/>
          <w:lang w:val="en-US" w:eastAsia="zh-CN"/>
        </w:rPr>
      </w:pPr>
    </w:p>
    <w:p w14:paraId="41C6D25F">
      <w:pPr>
        <w:rPr>
          <w:rFonts w:hint="eastAsia" w:asciiTheme="minorEastAsia" w:hAnsiTheme="minorEastAsia" w:eastAsiaTheme="minorEastAsia" w:cstheme="minorEastAsia"/>
          <w:b/>
          <w:color w:val="auto"/>
          <w:kern w:val="2"/>
          <w:sz w:val="24"/>
          <w:szCs w:val="24"/>
          <w:highlight w:val="none"/>
          <w:lang w:val="en-US" w:eastAsia="zh-CN"/>
        </w:rPr>
      </w:pPr>
    </w:p>
    <w:p w14:paraId="6958AD90">
      <w:pPr>
        <w:pStyle w:val="24"/>
        <w:rPr>
          <w:rFonts w:hint="eastAsia" w:asciiTheme="minorEastAsia" w:hAnsiTheme="minorEastAsia" w:eastAsiaTheme="minorEastAsia" w:cstheme="minorEastAsia"/>
          <w:b/>
          <w:color w:val="auto"/>
          <w:kern w:val="2"/>
          <w:sz w:val="24"/>
          <w:szCs w:val="24"/>
          <w:highlight w:val="none"/>
          <w:lang w:val="en-US" w:eastAsia="zh-CN"/>
        </w:rPr>
      </w:pPr>
    </w:p>
    <w:p w14:paraId="147957AB">
      <w:pPr>
        <w:rPr>
          <w:rFonts w:hint="eastAsia"/>
          <w:lang w:val="en-US" w:eastAsia="zh-CN"/>
        </w:rPr>
      </w:pPr>
    </w:p>
    <w:p w14:paraId="1108AD92">
      <w:pPr>
        <w:pStyle w:val="24"/>
        <w:rPr>
          <w:rFonts w:hint="eastAsia"/>
          <w:lang w:val="en-US" w:eastAsia="zh-CN"/>
        </w:rPr>
      </w:pPr>
    </w:p>
    <w:p w14:paraId="11A8C691">
      <w:pPr>
        <w:adjustRightInd/>
        <w:snapToGrid/>
        <w:spacing w:after="0"/>
        <w:jc w:val="center"/>
        <w:rPr>
          <w:rFonts w:hint="eastAsia" w:asciiTheme="minorEastAsia" w:hAnsiTheme="minorEastAsia" w:eastAsiaTheme="minorEastAsia" w:cstheme="minorEastAsia"/>
          <w:b/>
          <w:color w:val="auto"/>
          <w:kern w:val="2"/>
          <w:sz w:val="32"/>
          <w:szCs w:val="32"/>
          <w:highlight w:val="none"/>
          <w:lang w:val="en-US" w:eastAsia="zh-CN"/>
        </w:rPr>
      </w:pPr>
      <w:r>
        <w:rPr>
          <w:rFonts w:hint="eastAsia" w:asciiTheme="minorEastAsia" w:hAnsiTheme="minorEastAsia" w:eastAsiaTheme="minorEastAsia" w:cstheme="minorEastAsia"/>
          <w:b/>
          <w:color w:val="auto"/>
          <w:kern w:val="2"/>
          <w:sz w:val="32"/>
          <w:szCs w:val="32"/>
          <w:highlight w:val="none"/>
          <w:lang w:val="en-US" w:eastAsia="zh-CN"/>
        </w:rPr>
        <w:t>2.针对本次采购服务的服务承诺及违约责任</w:t>
      </w:r>
    </w:p>
    <w:p w14:paraId="7D0F412E">
      <w:pPr>
        <w:adjustRightInd/>
        <w:snapToGrid/>
        <w:spacing w:after="0"/>
        <w:jc w:val="center"/>
        <w:rPr>
          <w:rFonts w:hint="eastAsia" w:asciiTheme="minorEastAsia" w:hAnsiTheme="minorEastAsia" w:eastAsiaTheme="minorEastAsia" w:cstheme="minorEastAsia"/>
          <w:b/>
          <w:color w:val="auto"/>
          <w:kern w:val="2"/>
          <w:sz w:val="24"/>
          <w:szCs w:val="24"/>
          <w:highlight w:val="none"/>
          <w:lang w:val="en-US" w:eastAsia="zh-CN"/>
        </w:rPr>
      </w:pPr>
      <w:r>
        <w:rPr>
          <w:rFonts w:hint="eastAsia" w:asciiTheme="minorEastAsia" w:hAnsiTheme="minorEastAsia" w:eastAsiaTheme="minorEastAsia" w:cstheme="minorEastAsia"/>
          <w:b/>
          <w:color w:val="auto"/>
          <w:kern w:val="2"/>
          <w:sz w:val="24"/>
          <w:szCs w:val="24"/>
          <w:highlight w:val="none"/>
          <w:lang w:val="en-US" w:eastAsia="zh-CN"/>
        </w:rPr>
        <w:t>（格式自拟）</w:t>
      </w:r>
    </w:p>
    <w:p w14:paraId="370E2603">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4FDAB185">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74383ACB">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120EBCCF">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hAnsi="宋体" w:eastAsia="宋体" w:cs="宋体"/>
          <w:color w:val="auto"/>
          <w:kern w:val="0"/>
          <w:sz w:val="24"/>
          <w:szCs w:val="24"/>
          <w:lang w:eastAsia="zh-CN"/>
        </w:rPr>
        <w:t>供应商</w:t>
      </w:r>
      <w:r>
        <w:rPr>
          <w:rFonts w:hint="eastAsia" w:ascii="宋体" w:hAnsi="宋体" w:eastAsia="宋体" w:cs="宋体"/>
          <w:color w:val="auto"/>
          <w:kern w:val="0"/>
          <w:sz w:val="24"/>
          <w:szCs w:val="24"/>
        </w:rPr>
        <w:t>全称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盖公章</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 xml:space="preserve">：                                        </w:t>
      </w:r>
    </w:p>
    <w:p w14:paraId="593EA707">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法定代表人或委托代理人（签字或盖章）                  </w:t>
      </w:r>
    </w:p>
    <w:p w14:paraId="4CD45B25">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56F041FB">
      <w:pPr>
        <w:pStyle w:val="14"/>
        <w:rPr>
          <w:rFonts w:hint="eastAsia"/>
          <w:lang w:eastAsia="zh-CN"/>
        </w:rPr>
      </w:pPr>
    </w:p>
    <w:p w14:paraId="58F2A054">
      <w:pPr>
        <w:adjustRightInd/>
        <w:snapToGrid/>
        <w:spacing w:after="0"/>
        <w:jc w:val="center"/>
        <w:rPr>
          <w:rFonts w:hint="eastAsia" w:asciiTheme="minorEastAsia" w:hAnsiTheme="minorEastAsia" w:eastAsiaTheme="minorEastAsia" w:cstheme="minorEastAsia"/>
          <w:b/>
          <w:color w:val="auto"/>
          <w:kern w:val="2"/>
          <w:sz w:val="24"/>
          <w:szCs w:val="24"/>
          <w:highlight w:val="none"/>
        </w:rPr>
      </w:pPr>
    </w:p>
    <w:p w14:paraId="1D7C38E3">
      <w:pPr>
        <w:pStyle w:val="24"/>
        <w:rPr>
          <w:rFonts w:hint="eastAsia" w:asciiTheme="minorEastAsia" w:hAnsiTheme="minorEastAsia" w:eastAsiaTheme="minorEastAsia" w:cstheme="minorEastAsia"/>
          <w:b/>
          <w:color w:val="auto"/>
          <w:kern w:val="2"/>
          <w:sz w:val="24"/>
          <w:szCs w:val="24"/>
          <w:highlight w:val="none"/>
        </w:rPr>
      </w:pPr>
    </w:p>
    <w:p w14:paraId="1868106D">
      <w:pPr>
        <w:rPr>
          <w:rFonts w:hint="eastAsia" w:asciiTheme="minorEastAsia" w:hAnsiTheme="minorEastAsia" w:eastAsiaTheme="minorEastAsia" w:cstheme="minorEastAsia"/>
          <w:b/>
          <w:color w:val="auto"/>
          <w:kern w:val="2"/>
          <w:sz w:val="24"/>
          <w:szCs w:val="24"/>
          <w:highlight w:val="none"/>
        </w:rPr>
      </w:pPr>
    </w:p>
    <w:p w14:paraId="2DC0D502">
      <w:pPr>
        <w:pStyle w:val="24"/>
        <w:rPr>
          <w:rFonts w:hint="eastAsia" w:asciiTheme="minorEastAsia" w:hAnsiTheme="minorEastAsia" w:eastAsiaTheme="minorEastAsia" w:cstheme="minorEastAsia"/>
          <w:b/>
          <w:color w:val="auto"/>
          <w:kern w:val="2"/>
          <w:sz w:val="24"/>
          <w:szCs w:val="24"/>
          <w:highlight w:val="none"/>
        </w:rPr>
      </w:pPr>
    </w:p>
    <w:p w14:paraId="05655A68">
      <w:pPr>
        <w:rPr>
          <w:rFonts w:hint="eastAsia"/>
        </w:rPr>
      </w:pPr>
    </w:p>
    <w:p w14:paraId="1AE2B7DC">
      <w:pPr>
        <w:adjustRightInd/>
        <w:snapToGrid/>
        <w:spacing w:after="0"/>
        <w:jc w:val="center"/>
        <w:rPr>
          <w:rFonts w:hint="eastAsia" w:asciiTheme="minorEastAsia" w:hAnsiTheme="minorEastAsia" w:eastAsiaTheme="minorEastAsia" w:cstheme="minorEastAsia"/>
          <w:b/>
          <w:color w:val="auto"/>
          <w:kern w:val="2"/>
          <w:sz w:val="32"/>
          <w:szCs w:val="32"/>
          <w:highlight w:val="none"/>
          <w:lang w:val="en-US" w:eastAsia="zh-CN"/>
        </w:rPr>
      </w:pPr>
      <w:r>
        <w:rPr>
          <w:rFonts w:hint="eastAsia" w:asciiTheme="minorEastAsia" w:hAnsiTheme="minorEastAsia" w:eastAsiaTheme="minorEastAsia" w:cstheme="minorEastAsia"/>
          <w:b/>
          <w:color w:val="auto"/>
          <w:kern w:val="2"/>
          <w:sz w:val="32"/>
          <w:szCs w:val="32"/>
          <w:highlight w:val="none"/>
          <w:lang w:val="en-US" w:eastAsia="zh-CN"/>
        </w:rPr>
        <w:t>3.拟派服务人员管理方案</w:t>
      </w:r>
    </w:p>
    <w:p w14:paraId="775E60B0">
      <w:pPr>
        <w:adjustRightInd/>
        <w:snapToGrid/>
        <w:spacing w:after="0"/>
        <w:jc w:val="center"/>
        <w:rPr>
          <w:rFonts w:hint="eastAsia" w:asciiTheme="minorEastAsia" w:hAnsiTheme="minorEastAsia" w:eastAsiaTheme="minorEastAsia" w:cstheme="minorEastAsia"/>
          <w:b/>
          <w:color w:val="auto"/>
          <w:kern w:val="2"/>
          <w:sz w:val="24"/>
          <w:szCs w:val="24"/>
          <w:highlight w:val="none"/>
          <w:lang w:val="en-US" w:eastAsia="zh-CN"/>
        </w:rPr>
      </w:pPr>
      <w:r>
        <w:rPr>
          <w:rFonts w:hint="eastAsia" w:asciiTheme="minorEastAsia" w:hAnsiTheme="minorEastAsia" w:eastAsiaTheme="minorEastAsia" w:cstheme="minorEastAsia"/>
          <w:b/>
          <w:color w:val="auto"/>
          <w:kern w:val="2"/>
          <w:sz w:val="24"/>
          <w:szCs w:val="24"/>
          <w:highlight w:val="none"/>
          <w:lang w:val="en-US" w:eastAsia="zh-CN"/>
        </w:rPr>
        <w:t>（格式自拟）</w:t>
      </w:r>
    </w:p>
    <w:p w14:paraId="519E26F2">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7BF02542">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4F9CC51D">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5F54E0C0">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54D715E2">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hAnsi="宋体" w:eastAsia="宋体" w:cs="宋体"/>
          <w:color w:val="auto"/>
          <w:kern w:val="0"/>
          <w:sz w:val="24"/>
          <w:szCs w:val="24"/>
          <w:lang w:eastAsia="zh-CN"/>
        </w:rPr>
        <w:t>供应商</w:t>
      </w:r>
      <w:r>
        <w:rPr>
          <w:rFonts w:hint="eastAsia" w:ascii="宋体" w:hAnsi="宋体" w:eastAsia="宋体" w:cs="宋体"/>
          <w:color w:val="auto"/>
          <w:kern w:val="0"/>
          <w:sz w:val="24"/>
          <w:szCs w:val="24"/>
        </w:rPr>
        <w:t>全称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盖公章</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 xml:space="preserve">：                                        </w:t>
      </w:r>
    </w:p>
    <w:p w14:paraId="3D1EB12D">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法定代表人或委托代理人（签字或盖章）                  </w:t>
      </w:r>
    </w:p>
    <w:p w14:paraId="210CB874">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0958D6D7">
      <w:pPr>
        <w:pStyle w:val="24"/>
        <w:rPr>
          <w:rFonts w:hint="eastAsia" w:asciiTheme="minorEastAsia" w:hAnsiTheme="minorEastAsia" w:eastAsiaTheme="minorEastAsia" w:cstheme="minorEastAsia"/>
          <w:b/>
          <w:color w:val="auto"/>
          <w:kern w:val="2"/>
          <w:sz w:val="24"/>
          <w:szCs w:val="24"/>
          <w:highlight w:val="none"/>
          <w:lang w:val="en-US" w:eastAsia="zh-CN"/>
        </w:rPr>
      </w:pPr>
    </w:p>
    <w:p w14:paraId="159B5128">
      <w:pPr>
        <w:rPr>
          <w:rFonts w:hint="eastAsia"/>
          <w:lang w:val="en-US" w:eastAsia="zh-CN"/>
        </w:rPr>
      </w:pPr>
    </w:p>
    <w:p w14:paraId="36E7E56E">
      <w:pPr>
        <w:pStyle w:val="24"/>
        <w:ind w:left="0" w:leftChars="0" w:firstLine="0" w:firstLineChars="0"/>
        <w:rPr>
          <w:rFonts w:hint="eastAsia"/>
          <w:lang w:val="en-US" w:eastAsia="zh-CN"/>
        </w:rPr>
      </w:pPr>
    </w:p>
    <w:p w14:paraId="66CF7691">
      <w:pPr>
        <w:adjustRightInd/>
        <w:snapToGrid/>
        <w:spacing w:after="0"/>
        <w:jc w:val="center"/>
        <w:rPr>
          <w:rFonts w:hint="eastAsia" w:asciiTheme="minorEastAsia" w:hAnsiTheme="minorEastAsia" w:eastAsiaTheme="minorEastAsia" w:cstheme="minorEastAsia"/>
          <w:b/>
          <w:color w:val="auto"/>
          <w:kern w:val="2"/>
          <w:sz w:val="32"/>
          <w:szCs w:val="32"/>
          <w:highlight w:val="none"/>
          <w:lang w:val="en-US" w:eastAsia="zh-CN"/>
        </w:rPr>
      </w:pPr>
    </w:p>
    <w:p w14:paraId="141CA416">
      <w:pPr>
        <w:adjustRightInd/>
        <w:snapToGrid/>
        <w:spacing w:after="0"/>
        <w:jc w:val="center"/>
        <w:rPr>
          <w:rFonts w:hint="eastAsia" w:asciiTheme="minorEastAsia" w:hAnsiTheme="minorEastAsia" w:eastAsiaTheme="minorEastAsia" w:cstheme="minorEastAsia"/>
          <w:b/>
          <w:color w:val="auto"/>
          <w:kern w:val="2"/>
          <w:sz w:val="24"/>
          <w:szCs w:val="24"/>
          <w:highlight w:val="none"/>
          <w:lang w:val="en-US" w:eastAsia="zh-CN"/>
        </w:rPr>
      </w:pPr>
      <w:r>
        <w:rPr>
          <w:rFonts w:hint="eastAsia" w:asciiTheme="minorEastAsia" w:hAnsiTheme="minorEastAsia" w:eastAsiaTheme="minorEastAsia" w:cstheme="minorEastAsia"/>
          <w:b/>
          <w:color w:val="auto"/>
          <w:kern w:val="2"/>
          <w:sz w:val="32"/>
          <w:szCs w:val="32"/>
          <w:highlight w:val="none"/>
          <w:lang w:val="en-US" w:eastAsia="zh-CN"/>
        </w:rPr>
        <w:t>4.应急管理服务方案与风险防范处理措施</w:t>
      </w:r>
    </w:p>
    <w:p w14:paraId="6480DF6F">
      <w:pPr>
        <w:adjustRightInd/>
        <w:snapToGrid/>
        <w:spacing w:after="0"/>
        <w:jc w:val="center"/>
        <w:rPr>
          <w:rFonts w:hint="eastAsia" w:asciiTheme="minorEastAsia" w:hAnsiTheme="minorEastAsia" w:eastAsiaTheme="minorEastAsia" w:cstheme="minorEastAsia"/>
          <w:b/>
          <w:color w:val="auto"/>
          <w:kern w:val="2"/>
          <w:sz w:val="24"/>
          <w:szCs w:val="24"/>
          <w:highlight w:val="none"/>
          <w:lang w:val="en-US" w:eastAsia="zh-CN"/>
        </w:rPr>
      </w:pPr>
      <w:r>
        <w:rPr>
          <w:rFonts w:hint="eastAsia" w:asciiTheme="minorEastAsia" w:hAnsiTheme="minorEastAsia" w:eastAsiaTheme="minorEastAsia" w:cstheme="minorEastAsia"/>
          <w:b/>
          <w:color w:val="auto"/>
          <w:kern w:val="2"/>
          <w:sz w:val="24"/>
          <w:szCs w:val="24"/>
          <w:highlight w:val="none"/>
          <w:lang w:val="en-US" w:eastAsia="zh-CN"/>
        </w:rPr>
        <w:t>（格式自拟）</w:t>
      </w:r>
    </w:p>
    <w:p w14:paraId="7C3A7B8D">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35DED37C">
      <w:pPr>
        <w:pStyle w:val="33"/>
        <w:pageBreakBefore w:val="0"/>
        <w:kinsoku/>
        <w:overflowPunct/>
        <w:topLinePunct w:val="0"/>
        <w:bidi w:val="0"/>
        <w:spacing w:line="560" w:lineRule="exact"/>
        <w:rPr>
          <w:rFonts w:hint="eastAsia" w:hAnsi="宋体" w:eastAsia="宋体" w:cs="宋体"/>
          <w:color w:val="auto"/>
          <w:kern w:val="0"/>
          <w:sz w:val="24"/>
          <w:szCs w:val="24"/>
          <w:lang w:eastAsia="zh-CN"/>
        </w:rPr>
      </w:pPr>
    </w:p>
    <w:p w14:paraId="52DE7157">
      <w:pPr>
        <w:pStyle w:val="34"/>
        <w:rPr>
          <w:rFonts w:hint="eastAsia" w:hAnsi="宋体" w:eastAsia="宋体" w:cs="宋体"/>
          <w:color w:val="auto"/>
          <w:kern w:val="0"/>
          <w:sz w:val="24"/>
          <w:szCs w:val="24"/>
          <w:lang w:eastAsia="zh-CN"/>
        </w:rPr>
      </w:pPr>
    </w:p>
    <w:p w14:paraId="200C6D8F">
      <w:pPr>
        <w:pStyle w:val="34"/>
        <w:rPr>
          <w:rFonts w:hint="eastAsia" w:hAnsi="宋体" w:eastAsia="宋体" w:cs="宋体"/>
          <w:color w:val="auto"/>
          <w:kern w:val="0"/>
          <w:sz w:val="24"/>
          <w:szCs w:val="24"/>
          <w:lang w:eastAsia="zh-CN"/>
        </w:rPr>
      </w:pPr>
    </w:p>
    <w:p w14:paraId="0054EBCA">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hAnsi="宋体" w:eastAsia="宋体" w:cs="宋体"/>
          <w:color w:val="auto"/>
          <w:kern w:val="0"/>
          <w:sz w:val="24"/>
          <w:szCs w:val="24"/>
          <w:lang w:eastAsia="zh-CN"/>
        </w:rPr>
        <w:t>供应商</w:t>
      </w:r>
      <w:r>
        <w:rPr>
          <w:rFonts w:hint="eastAsia" w:ascii="宋体" w:hAnsi="宋体" w:eastAsia="宋体" w:cs="宋体"/>
          <w:color w:val="auto"/>
          <w:kern w:val="0"/>
          <w:sz w:val="24"/>
          <w:szCs w:val="24"/>
        </w:rPr>
        <w:t>全称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盖公章</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 xml:space="preserve">：                                        </w:t>
      </w:r>
    </w:p>
    <w:p w14:paraId="0E61DC52">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法定代表人或委托代理人（签字或盖章）                  </w:t>
      </w:r>
    </w:p>
    <w:p w14:paraId="617BA159">
      <w:pPr>
        <w:pStyle w:val="33"/>
        <w:pageBreakBefore w:val="0"/>
        <w:kinsoku/>
        <w:overflowPunct/>
        <w:topLinePunct w:val="0"/>
        <w:bidi w:val="0"/>
        <w:spacing w:line="56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27DF25D8">
      <w:pPr>
        <w:jc w:val="center"/>
        <w:rPr>
          <w:rFonts w:hint="eastAsia" w:asciiTheme="minorEastAsia" w:hAnsiTheme="minorEastAsia" w:eastAsiaTheme="minorEastAsia" w:cstheme="minorEastAsia"/>
          <w:b/>
          <w:bCs/>
          <w:color w:val="auto"/>
          <w:sz w:val="44"/>
          <w:szCs w:val="44"/>
          <w:highlight w:val="none"/>
        </w:rPr>
      </w:pPr>
    </w:p>
    <w:p w14:paraId="4641BF2E">
      <w:pPr>
        <w:jc w:val="center"/>
        <w:rPr>
          <w:rFonts w:hint="eastAsia" w:asciiTheme="minorEastAsia" w:hAnsiTheme="minorEastAsia" w:eastAsiaTheme="minorEastAsia" w:cstheme="minorEastAsia"/>
          <w:b/>
          <w:bCs/>
          <w:color w:val="auto"/>
          <w:sz w:val="44"/>
          <w:szCs w:val="44"/>
          <w:highlight w:val="none"/>
        </w:rPr>
      </w:pPr>
    </w:p>
    <w:p w14:paraId="3B416819">
      <w:pPr>
        <w:jc w:val="center"/>
        <w:rPr>
          <w:rFonts w:hint="eastAsia" w:asciiTheme="minorEastAsia" w:hAnsiTheme="minorEastAsia" w:eastAsiaTheme="minorEastAsia" w:cstheme="minorEastAsia"/>
          <w:b/>
          <w:bCs/>
          <w:color w:val="auto"/>
          <w:sz w:val="44"/>
          <w:szCs w:val="44"/>
          <w:highlight w:val="none"/>
        </w:rPr>
      </w:pPr>
    </w:p>
    <w:p w14:paraId="798149FD">
      <w:pPr>
        <w:jc w:val="both"/>
        <w:rPr>
          <w:rFonts w:hint="eastAsia" w:asciiTheme="minorEastAsia" w:hAnsiTheme="minorEastAsia" w:eastAsiaTheme="minorEastAsia" w:cstheme="minorEastAsia"/>
          <w:b/>
          <w:bCs/>
          <w:color w:val="auto"/>
          <w:sz w:val="44"/>
          <w:szCs w:val="44"/>
          <w:highlight w:val="none"/>
        </w:rPr>
      </w:pPr>
    </w:p>
    <w:p w14:paraId="286E2AEB">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bCs/>
          <w:color w:val="auto"/>
          <w:sz w:val="44"/>
          <w:szCs w:val="44"/>
          <w:highlight w:val="none"/>
        </w:rPr>
        <w:t>第三部分 商务标部分</w:t>
      </w:r>
      <w:bookmarkStart w:id="237" w:name="_Toc377658032"/>
      <w:bookmarkStart w:id="238" w:name="_Toc377657302"/>
      <w:bookmarkStart w:id="239" w:name="_Toc531966064"/>
      <w:bookmarkStart w:id="240" w:name="_Toc377657375"/>
      <w:bookmarkStart w:id="241" w:name="_Toc377657234"/>
      <w:bookmarkStart w:id="242" w:name="_Toc201460598"/>
      <w:bookmarkStart w:id="243" w:name="_Toc536534333"/>
      <w:bookmarkStart w:id="244" w:name="_Toc377657518"/>
      <w:bookmarkStart w:id="245" w:name="_Toc536534063"/>
      <w:bookmarkStart w:id="246" w:name="_Toc377657104"/>
      <w:bookmarkStart w:id="247" w:name="_Toc377657823"/>
      <w:bookmarkStart w:id="248" w:name="_Toc470531294"/>
    </w:p>
    <w:p w14:paraId="00E9BF75">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一、磋商函</w:t>
      </w:r>
      <w:bookmarkEnd w:id="237"/>
      <w:bookmarkEnd w:id="238"/>
      <w:bookmarkEnd w:id="239"/>
      <w:bookmarkEnd w:id="240"/>
      <w:bookmarkEnd w:id="241"/>
      <w:bookmarkEnd w:id="242"/>
      <w:bookmarkEnd w:id="243"/>
      <w:bookmarkEnd w:id="244"/>
      <w:bookmarkEnd w:id="245"/>
      <w:bookmarkEnd w:id="246"/>
      <w:bookmarkEnd w:id="247"/>
      <w:bookmarkEnd w:id="248"/>
    </w:p>
    <w:p w14:paraId="758E4C7D">
      <w:pPr>
        <w:spacing w:after="8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（采购人名称）</w:t>
      </w:r>
      <w:r>
        <w:rPr>
          <w:rFonts w:hint="eastAsia" w:asciiTheme="minorEastAsia" w:hAnsiTheme="minorEastAsia" w:eastAsiaTheme="minorEastAsia" w:cstheme="minorEastAsia"/>
          <w:color w:val="auto"/>
          <w:sz w:val="24"/>
          <w:szCs w:val="24"/>
          <w:highlight w:val="none"/>
        </w:rPr>
        <w:t xml:space="preserve">: </w:t>
      </w:r>
    </w:p>
    <w:p w14:paraId="41E910A5">
      <w:pPr>
        <w:spacing w:line="520" w:lineRule="exact"/>
        <w:ind w:firstLine="600" w:firstLineChars="250"/>
        <w:rPr>
          <w:rFonts w:asciiTheme="minorEastAsia" w:hAnsiTheme="minorEastAsia" w:eastAsiaTheme="minorEastAsia"/>
          <w:color w:val="auto"/>
          <w:sz w:val="24"/>
          <w:szCs w:val="24"/>
        </w:rPr>
      </w:pPr>
      <w:bookmarkStart w:id="249" w:name="_Toc531966065"/>
      <w:r>
        <w:rPr>
          <w:rFonts w:hint="eastAsia" w:asciiTheme="minorEastAsia" w:hAnsiTheme="minorEastAsia" w:eastAsiaTheme="minorEastAsia"/>
          <w:color w:val="auto"/>
          <w:sz w:val="24"/>
          <w:szCs w:val="24"/>
        </w:rPr>
        <w:t>1．我方己仔细研究了</w:t>
      </w:r>
      <w:r>
        <w:rPr>
          <w:rFonts w:hint="eastAsia" w:asciiTheme="minorEastAsia" w:hAnsiTheme="minorEastAsia" w:eastAsiaTheme="minorEastAsia"/>
          <w:color w:val="auto"/>
          <w:sz w:val="24"/>
          <w:szCs w:val="24"/>
          <w:u w:val="single"/>
        </w:rPr>
        <w:t>（项目名称）</w:t>
      </w:r>
      <w:r>
        <w:rPr>
          <w:rFonts w:hint="eastAsia" w:asciiTheme="minorEastAsia" w:hAnsiTheme="minorEastAsia" w:eastAsiaTheme="minorEastAsia"/>
          <w:color w:val="auto"/>
          <w:sz w:val="24"/>
          <w:szCs w:val="24"/>
        </w:rPr>
        <w:t>竞争性磋商文件的全部内容，愿意以最终磋商承诺的</w:t>
      </w:r>
      <w:r>
        <w:rPr>
          <w:rFonts w:hint="eastAsia" w:asciiTheme="minorEastAsia" w:hAnsiTheme="minorEastAsia" w:eastAsiaTheme="minorEastAsia"/>
          <w:color w:val="auto"/>
          <w:sz w:val="24"/>
          <w:szCs w:val="24"/>
          <w:lang w:eastAsia="zh-CN"/>
        </w:rPr>
        <w:t>价格</w:t>
      </w:r>
      <w:r>
        <w:rPr>
          <w:rFonts w:hint="eastAsia" w:asciiTheme="minorEastAsia" w:hAnsiTheme="minorEastAsia" w:eastAsiaTheme="minorEastAsia"/>
          <w:color w:val="auto"/>
          <w:sz w:val="24"/>
          <w:szCs w:val="24"/>
        </w:rPr>
        <w:t>作为最终磋商报价，合同履行期限</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u w:val="single"/>
          <w:lang w:val="en-US" w:eastAsia="zh-CN"/>
        </w:rPr>
        <w:t xml:space="preserve">          </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szCs w:val="24"/>
        </w:rPr>
        <w:t>，按合同约定实施和完成承包</w:t>
      </w:r>
      <w:r>
        <w:rPr>
          <w:rFonts w:hint="eastAsia" w:asciiTheme="minorEastAsia" w:hAnsiTheme="minorEastAsia" w:eastAsiaTheme="minorEastAsia"/>
          <w:color w:val="auto"/>
          <w:sz w:val="24"/>
          <w:szCs w:val="24"/>
          <w:lang w:eastAsia="zh-CN"/>
        </w:rPr>
        <w:t>内容</w:t>
      </w:r>
      <w:r>
        <w:rPr>
          <w:rFonts w:hint="eastAsia"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lang w:eastAsia="zh-CN"/>
        </w:rPr>
        <w:t>服务承诺</w:t>
      </w:r>
      <w:r>
        <w:rPr>
          <w:rFonts w:hint="eastAsia" w:asciiTheme="minorEastAsia" w:hAnsiTheme="minorEastAsia" w:eastAsiaTheme="minorEastAsia"/>
          <w:color w:val="auto"/>
          <w:sz w:val="24"/>
          <w:szCs w:val="24"/>
        </w:rPr>
        <w:t>：</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u w:val="single"/>
          <w:lang w:val="en-US" w:eastAsia="zh-CN"/>
        </w:rPr>
        <w:t xml:space="preserve">     </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szCs w:val="24"/>
        </w:rPr>
        <w:t>。</w:t>
      </w:r>
    </w:p>
    <w:p w14:paraId="0E8970D8">
      <w:pPr>
        <w:spacing w:line="520" w:lineRule="exac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2．我方承诺在磋商有效期内不修改、撤销响应文件。</w:t>
      </w:r>
    </w:p>
    <w:p w14:paraId="6018B300">
      <w:pPr>
        <w:spacing w:line="520" w:lineRule="exac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3．如我方获得成交资格：</w:t>
      </w:r>
    </w:p>
    <w:p w14:paraId="07302F8A">
      <w:pPr>
        <w:spacing w:line="520" w:lineRule="exact"/>
        <w:ind w:firstLine="480" w:firstLineChars="20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fldChar w:fldCharType="begin"/>
      </w:r>
      <w:r>
        <w:rPr>
          <w:rFonts w:hint="eastAsia" w:asciiTheme="minorEastAsia" w:hAnsiTheme="minorEastAsia" w:eastAsiaTheme="minorEastAsia"/>
          <w:color w:val="auto"/>
          <w:sz w:val="24"/>
          <w:szCs w:val="24"/>
        </w:rPr>
        <w:instrText xml:space="preserve">= 1 \* GB2</w:instrText>
      </w:r>
      <w:r>
        <w:rPr>
          <w:rFonts w:asciiTheme="minorEastAsia" w:hAnsiTheme="minorEastAsia" w:eastAsiaTheme="minorEastAsia"/>
          <w:color w:val="auto"/>
          <w:sz w:val="24"/>
          <w:szCs w:val="24"/>
        </w:rPr>
        <w:fldChar w:fldCharType="separate"/>
      </w:r>
      <w:r>
        <w:rPr>
          <w:rFonts w:hint="eastAsia" w:asciiTheme="minorEastAsia" w:hAnsiTheme="minorEastAsia" w:eastAsiaTheme="minorEastAsia"/>
          <w:color w:val="auto"/>
          <w:sz w:val="24"/>
          <w:szCs w:val="24"/>
        </w:rPr>
        <w:t>⑴</w:t>
      </w:r>
      <w:r>
        <w:rPr>
          <w:rFonts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我方承诺在收到成交通知书后，在成交通知书规定的期限内与你方签订合同。</w:t>
      </w:r>
    </w:p>
    <w:p w14:paraId="7C1CECEA">
      <w:pPr>
        <w:spacing w:line="520" w:lineRule="exact"/>
        <w:ind w:firstLine="480" w:firstLineChars="20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fldChar w:fldCharType="begin"/>
      </w:r>
      <w:r>
        <w:rPr>
          <w:rFonts w:hint="eastAsia" w:asciiTheme="minorEastAsia" w:hAnsiTheme="minorEastAsia" w:eastAsiaTheme="minorEastAsia"/>
          <w:color w:val="auto"/>
          <w:sz w:val="24"/>
          <w:szCs w:val="24"/>
        </w:rPr>
        <w:instrText xml:space="preserve">= 2 \* GB2</w:instrText>
      </w:r>
      <w:r>
        <w:rPr>
          <w:rFonts w:asciiTheme="minorEastAsia" w:hAnsiTheme="minorEastAsia" w:eastAsiaTheme="minorEastAsia"/>
          <w:color w:val="auto"/>
          <w:sz w:val="24"/>
          <w:szCs w:val="24"/>
        </w:rPr>
        <w:fldChar w:fldCharType="separate"/>
      </w:r>
      <w:r>
        <w:rPr>
          <w:rFonts w:hint="eastAsia" w:asciiTheme="minorEastAsia" w:hAnsiTheme="minorEastAsia" w:eastAsiaTheme="minorEastAsia"/>
          <w:color w:val="auto"/>
          <w:sz w:val="24"/>
          <w:szCs w:val="24"/>
        </w:rPr>
        <w:t>⑵</w:t>
      </w:r>
      <w:r>
        <w:rPr>
          <w:rFonts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随同本磋商函递交的磋商函附录属于合同文件的组成部分。</w:t>
      </w:r>
    </w:p>
    <w:p w14:paraId="36598BAA">
      <w:pPr>
        <w:spacing w:line="520" w:lineRule="exact"/>
        <w:ind w:firstLine="480" w:firstLineChars="20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fldChar w:fldCharType="begin"/>
      </w:r>
      <w:r>
        <w:rPr>
          <w:rFonts w:hint="eastAsia" w:asciiTheme="minorEastAsia" w:hAnsiTheme="minorEastAsia" w:eastAsiaTheme="minorEastAsia"/>
          <w:color w:val="auto"/>
          <w:sz w:val="24"/>
          <w:szCs w:val="24"/>
        </w:rPr>
        <w:instrText xml:space="preserve">= 3 \* GB2</w:instrText>
      </w:r>
      <w:r>
        <w:rPr>
          <w:rFonts w:asciiTheme="minorEastAsia" w:hAnsiTheme="minorEastAsia" w:eastAsiaTheme="minorEastAsia"/>
          <w:color w:val="auto"/>
          <w:sz w:val="24"/>
          <w:szCs w:val="24"/>
        </w:rPr>
        <w:fldChar w:fldCharType="separate"/>
      </w:r>
      <w:r>
        <w:rPr>
          <w:rFonts w:hint="eastAsia" w:asciiTheme="minorEastAsia" w:hAnsiTheme="minorEastAsia" w:eastAsiaTheme="minorEastAsia"/>
          <w:color w:val="auto"/>
          <w:sz w:val="24"/>
          <w:szCs w:val="24"/>
        </w:rPr>
        <w:t>⑶</w:t>
      </w:r>
      <w:r>
        <w:rPr>
          <w:rFonts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我方承诺按照竞争性磋商文件规定向你方递交履约担保。</w:t>
      </w:r>
    </w:p>
    <w:p w14:paraId="7B46DD27">
      <w:pPr>
        <w:spacing w:line="520" w:lineRule="exact"/>
        <w:ind w:firstLine="480" w:firstLineChars="20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fldChar w:fldCharType="begin"/>
      </w:r>
      <w:r>
        <w:rPr>
          <w:rFonts w:hint="eastAsia" w:asciiTheme="minorEastAsia" w:hAnsiTheme="minorEastAsia" w:eastAsiaTheme="minorEastAsia"/>
          <w:color w:val="auto"/>
          <w:sz w:val="24"/>
          <w:szCs w:val="24"/>
        </w:rPr>
        <w:instrText xml:space="preserve">= 4 \* GB2</w:instrText>
      </w:r>
      <w:r>
        <w:rPr>
          <w:rFonts w:asciiTheme="minorEastAsia" w:hAnsiTheme="minorEastAsia" w:eastAsiaTheme="minorEastAsia"/>
          <w:color w:val="auto"/>
          <w:sz w:val="24"/>
          <w:szCs w:val="24"/>
        </w:rPr>
        <w:fldChar w:fldCharType="separate"/>
      </w:r>
      <w:r>
        <w:rPr>
          <w:rFonts w:hint="eastAsia" w:asciiTheme="minorEastAsia" w:hAnsiTheme="minorEastAsia" w:eastAsiaTheme="minorEastAsia"/>
          <w:color w:val="auto"/>
          <w:sz w:val="24"/>
          <w:szCs w:val="24"/>
        </w:rPr>
        <w:t>⑷</w:t>
      </w:r>
      <w:r>
        <w:rPr>
          <w:rFonts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我方承诺在合同约定的期限内完成全部合同</w:t>
      </w:r>
      <w:r>
        <w:rPr>
          <w:rFonts w:hint="eastAsia" w:asciiTheme="minorEastAsia" w:hAnsiTheme="minorEastAsia" w:eastAsiaTheme="minorEastAsia"/>
          <w:color w:val="auto"/>
          <w:sz w:val="24"/>
          <w:szCs w:val="24"/>
          <w:lang w:eastAsia="zh-CN"/>
        </w:rPr>
        <w:t>内容</w:t>
      </w:r>
      <w:r>
        <w:rPr>
          <w:rFonts w:hint="eastAsia" w:asciiTheme="minorEastAsia" w:hAnsiTheme="minorEastAsia" w:eastAsiaTheme="minorEastAsia"/>
          <w:color w:val="auto"/>
          <w:sz w:val="24"/>
          <w:szCs w:val="24"/>
        </w:rPr>
        <w:t>。</w:t>
      </w:r>
    </w:p>
    <w:p w14:paraId="154D6777">
      <w:pPr>
        <w:spacing w:line="520" w:lineRule="exac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4</w:t>
      </w:r>
      <w:r>
        <w:rPr>
          <w:rFonts w:hint="eastAsia" w:asciiTheme="minorEastAsia" w:hAnsiTheme="minorEastAsia" w:eastAsiaTheme="minorEastAsia"/>
          <w:color w:val="auto"/>
          <w:sz w:val="24"/>
          <w:szCs w:val="24"/>
        </w:rPr>
        <w:t>．我方在此声明，所递交的响应文件及有关资料内容完整、真实和准确。</w:t>
      </w:r>
    </w:p>
    <w:p w14:paraId="4D7DD764">
      <w:pPr>
        <w:spacing w:line="520" w:lineRule="exac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5</w:t>
      </w:r>
      <w:r>
        <w:rPr>
          <w:rFonts w:hint="eastAsia" w:asciiTheme="minorEastAsia" w:hAnsiTheme="minorEastAsia" w:eastAsiaTheme="minorEastAsia"/>
          <w:color w:val="auto"/>
          <w:sz w:val="24"/>
          <w:szCs w:val="24"/>
        </w:rPr>
        <w:t>.（其他补充说明）。</w:t>
      </w:r>
    </w:p>
    <w:p w14:paraId="7BD48230">
      <w:pPr>
        <w:spacing w:line="360" w:lineRule="auto"/>
        <w:ind w:firstLine="3360" w:firstLineChars="1400"/>
        <w:rPr>
          <w:rFonts w:asciiTheme="minorEastAsia" w:hAnsiTheme="minorEastAsia" w:eastAsiaTheme="minorEastAsia"/>
          <w:color w:val="auto"/>
          <w:sz w:val="24"/>
          <w:szCs w:val="24"/>
          <w:u w:val="single"/>
        </w:rPr>
      </w:pPr>
      <w:r>
        <w:rPr>
          <w:rFonts w:hint="eastAsia" w:asciiTheme="minorEastAsia" w:hAnsiTheme="minorEastAsia" w:eastAsiaTheme="minorEastAsia"/>
          <w:color w:val="auto"/>
          <w:sz w:val="24"/>
          <w:szCs w:val="24"/>
          <w:lang w:val="en-US" w:eastAsia="zh-CN"/>
        </w:rPr>
        <w:t>供应商全称</w:t>
      </w:r>
      <w:r>
        <w:rPr>
          <w:rFonts w:hint="eastAsia"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u w:val="single"/>
        </w:rPr>
        <w:t xml:space="preserve">                      （盖章）   </w:t>
      </w:r>
    </w:p>
    <w:p w14:paraId="157A2F46">
      <w:pPr>
        <w:spacing w:line="320" w:lineRule="exact"/>
        <w:ind w:firstLine="3360" w:firstLineChars="1400"/>
        <w:rPr>
          <w:rFonts w:asciiTheme="minorEastAsia" w:hAnsiTheme="minorEastAsia" w:eastAsiaTheme="minorEastAsia"/>
          <w:color w:val="auto"/>
          <w:sz w:val="24"/>
          <w:szCs w:val="24"/>
          <w:u w:val="single"/>
        </w:rPr>
      </w:pPr>
      <w:r>
        <w:rPr>
          <w:rFonts w:hint="eastAsia" w:asciiTheme="minorEastAsia" w:hAnsiTheme="minorEastAsia" w:eastAsiaTheme="minorEastAsia"/>
          <w:color w:val="auto"/>
          <w:sz w:val="24"/>
          <w:szCs w:val="24"/>
        </w:rPr>
        <w:t>法定代表人或其委托代理人：</w:t>
      </w:r>
      <w:r>
        <w:rPr>
          <w:rFonts w:hint="eastAsia" w:asciiTheme="minorEastAsia" w:hAnsiTheme="minorEastAsia" w:eastAsiaTheme="minorEastAsia"/>
          <w:color w:val="auto"/>
          <w:sz w:val="24"/>
          <w:szCs w:val="24"/>
          <w:u w:val="single"/>
        </w:rPr>
        <w:t xml:space="preserve">    （盖章或签字） </w:t>
      </w:r>
    </w:p>
    <w:p w14:paraId="258D6E7B">
      <w:pPr>
        <w:spacing w:line="320" w:lineRule="exact"/>
        <w:ind w:firstLine="3360" w:firstLineChars="1400"/>
        <w:rPr>
          <w:rFonts w:asciiTheme="minorEastAsia" w:hAnsiTheme="minorEastAsia" w:eastAsiaTheme="minorEastAsia"/>
          <w:color w:val="auto"/>
          <w:sz w:val="24"/>
          <w:szCs w:val="24"/>
          <w:u w:val="single"/>
        </w:rPr>
      </w:pPr>
      <w:r>
        <w:rPr>
          <w:rFonts w:hint="eastAsia" w:asciiTheme="minorEastAsia" w:hAnsiTheme="minorEastAsia" w:eastAsiaTheme="minorEastAsia"/>
          <w:color w:val="auto"/>
          <w:sz w:val="24"/>
          <w:szCs w:val="24"/>
        </w:rPr>
        <w:t>地址：</w:t>
      </w:r>
      <w:r>
        <w:rPr>
          <w:rFonts w:hint="eastAsia" w:asciiTheme="minorEastAsia" w:hAnsiTheme="minorEastAsia" w:eastAsiaTheme="minorEastAsia"/>
          <w:color w:val="auto"/>
          <w:sz w:val="24"/>
          <w:szCs w:val="24"/>
          <w:u w:val="single"/>
        </w:rPr>
        <w:t xml:space="preserve">　                      </w:t>
      </w:r>
    </w:p>
    <w:p w14:paraId="098A0260">
      <w:pPr>
        <w:spacing w:line="320" w:lineRule="exact"/>
        <w:ind w:firstLine="3360" w:firstLineChars="1400"/>
        <w:rPr>
          <w:rFonts w:asciiTheme="minorEastAsia" w:hAnsiTheme="minorEastAsia" w:eastAsiaTheme="minorEastAsia"/>
          <w:color w:val="auto"/>
          <w:sz w:val="24"/>
          <w:szCs w:val="24"/>
          <w:u w:val="single"/>
        </w:rPr>
      </w:pPr>
      <w:r>
        <w:rPr>
          <w:rFonts w:hint="eastAsia" w:asciiTheme="minorEastAsia" w:hAnsiTheme="minorEastAsia" w:eastAsiaTheme="minorEastAsia"/>
          <w:color w:val="auto"/>
          <w:sz w:val="24"/>
          <w:szCs w:val="24"/>
        </w:rPr>
        <w:t>电话：</w:t>
      </w:r>
      <w:r>
        <w:rPr>
          <w:rFonts w:hint="eastAsia" w:asciiTheme="minorEastAsia" w:hAnsiTheme="minorEastAsia" w:eastAsiaTheme="minorEastAsia"/>
          <w:color w:val="auto"/>
          <w:sz w:val="24"/>
          <w:szCs w:val="24"/>
          <w:u w:val="single"/>
        </w:rPr>
        <w:t xml:space="preserve">　                      </w:t>
      </w:r>
    </w:p>
    <w:p w14:paraId="406ED3B6">
      <w:pPr>
        <w:spacing w:line="320" w:lineRule="exact"/>
        <w:ind w:firstLine="3360" w:firstLineChars="14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日期：</w:t>
      </w:r>
      <w:r>
        <w:rPr>
          <w:rFonts w:hint="eastAsia" w:asciiTheme="minorEastAsia" w:hAnsiTheme="minorEastAsia" w:eastAsiaTheme="minorEastAsia"/>
          <w:color w:val="auto"/>
          <w:sz w:val="24"/>
          <w:szCs w:val="24"/>
          <w:u w:val="single"/>
        </w:rPr>
        <w:tab/>
      </w:r>
      <w:r>
        <w:rPr>
          <w:rFonts w:hint="eastAsia"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 w:val="24"/>
          <w:szCs w:val="24"/>
        </w:rPr>
        <w:t>年</w:t>
      </w:r>
      <w:r>
        <w:rPr>
          <w:rFonts w:hint="eastAsia" w:asciiTheme="minorEastAsia" w:hAnsiTheme="minorEastAsia" w:eastAsiaTheme="minorEastAsia"/>
          <w:color w:val="auto"/>
          <w:sz w:val="24"/>
          <w:szCs w:val="24"/>
          <w:u w:val="single"/>
        </w:rPr>
        <w:tab/>
      </w:r>
      <w:r>
        <w:rPr>
          <w:rFonts w:hint="eastAsia" w:asciiTheme="minorEastAsia" w:hAnsiTheme="minorEastAsia" w:eastAsiaTheme="minorEastAsia"/>
          <w:color w:val="auto"/>
          <w:sz w:val="24"/>
          <w:szCs w:val="24"/>
        </w:rPr>
        <w:t>月</w:t>
      </w:r>
      <w:r>
        <w:rPr>
          <w:rFonts w:hint="eastAsia" w:asciiTheme="minorEastAsia" w:hAnsiTheme="minorEastAsia" w:eastAsiaTheme="minorEastAsia"/>
          <w:color w:val="auto"/>
          <w:sz w:val="24"/>
          <w:szCs w:val="24"/>
          <w:u w:val="single"/>
        </w:rPr>
        <w:tab/>
      </w:r>
      <w:r>
        <w:rPr>
          <w:rFonts w:hint="eastAsia" w:asciiTheme="minorEastAsia" w:hAnsiTheme="minorEastAsia" w:eastAsiaTheme="minorEastAsia"/>
          <w:color w:val="auto"/>
          <w:sz w:val="24"/>
          <w:szCs w:val="24"/>
        </w:rPr>
        <w:t>日</w:t>
      </w:r>
    </w:p>
    <w:p w14:paraId="026956BB">
      <w:pPr>
        <w:pStyle w:val="26"/>
        <w:rPr>
          <w:rFonts w:hint="eastAsia" w:asciiTheme="minorEastAsia" w:hAnsiTheme="minorEastAsia" w:eastAsiaTheme="minorEastAsia" w:cstheme="minorEastAsia"/>
          <w:color w:val="auto"/>
          <w:highlight w:val="none"/>
        </w:rPr>
      </w:pPr>
    </w:p>
    <w:p w14:paraId="25BAD5CD">
      <w:pPr>
        <w:pStyle w:val="28"/>
        <w:spacing w:before="120" w:after="120"/>
        <w:ind w:left="944"/>
        <w:rPr>
          <w:rFonts w:hint="eastAsia" w:asciiTheme="minorEastAsia" w:hAnsiTheme="minorEastAsia" w:eastAsiaTheme="minorEastAsia" w:cstheme="minorEastAsia"/>
          <w:color w:val="auto"/>
          <w:highlight w:val="none"/>
        </w:rPr>
      </w:pPr>
    </w:p>
    <w:p w14:paraId="4745186D">
      <w:pPr>
        <w:rPr>
          <w:rFonts w:hint="eastAsia" w:asciiTheme="minorEastAsia" w:hAnsiTheme="minorEastAsia" w:eastAsiaTheme="minorEastAsia" w:cstheme="minorEastAsia"/>
          <w:color w:val="auto"/>
          <w:highlight w:val="none"/>
        </w:rPr>
      </w:pPr>
    </w:p>
    <w:p w14:paraId="0B5A12E6">
      <w:pPr>
        <w:rPr>
          <w:rFonts w:hint="eastAsia"/>
        </w:rPr>
      </w:pPr>
    </w:p>
    <w:p w14:paraId="3291B1CF">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二、磋商报价一览表</w:t>
      </w:r>
      <w:bookmarkEnd w:id="249"/>
    </w:p>
    <w:p w14:paraId="4B8A60BF">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磋商报价一览表</w:t>
      </w:r>
    </w:p>
    <w:p w14:paraId="1B57D45E">
      <w:pPr>
        <w:spacing w:line="0" w:lineRule="atLeas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项目名称：</w:t>
      </w:r>
      <w:r>
        <w:rPr>
          <w:rFonts w:hint="eastAsia" w:asciiTheme="minorEastAsia" w:hAnsiTheme="minorEastAsia" w:eastAsiaTheme="minorEastAsia" w:cstheme="minorEastAsia"/>
          <w:bCs/>
          <w:color w:val="auto"/>
          <w:sz w:val="24"/>
          <w:szCs w:val="24"/>
          <w:highlight w:val="none"/>
          <w:lang w:eastAsia="zh-CN"/>
        </w:rPr>
        <w:t>龙陵县中医医院2026年保洁服务采购项目</w:t>
      </w:r>
    </w:p>
    <w:p w14:paraId="0FF782E1">
      <w:pPr>
        <w:spacing w:line="0" w:lineRule="atLeast"/>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 w:val="24"/>
          <w:szCs w:val="24"/>
          <w:highlight w:val="none"/>
        </w:rPr>
        <w:t>项目编号：</w:t>
      </w:r>
      <w:r>
        <w:rPr>
          <w:rFonts w:hint="eastAsia" w:asciiTheme="minorEastAsia" w:hAnsiTheme="minorEastAsia" w:eastAsiaTheme="minorEastAsia" w:cstheme="minorEastAsia"/>
          <w:bCs/>
          <w:color w:val="auto"/>
          <w:sz w:val="24"/>
          <w:szCs w:val="24"/>
          <w:highlight w:val="none"/>
          <w:lang w:eastAsia="zh-CN"/>
        </w:rPr>
        <w:t>LLCG2026（JC）×02</w:t>
      </w:r>
    </w:p>
    <w:tbl>
      <w:tblPr>
        <w:tblStyle w:val="62"/>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2268"/>
        <w:gridCol w:w="6765"/>
      </w:tblGrid>
      <w:tr w14:paraId="057E2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4" w:type="dxa"/>
            <w:vAlign w:val="center"/>
          </w:tcPr>
          <w:p w14:paraId="509FBC82">
            <w:pPr>
              <w:spacing w:after="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序号</w:t>
            </w:r>
          </w:p>
        </w:tc>
        <w:tc>
          <w:tcPr>
            <w:tcW w:w="2268" w:type="dxa"/>
            <w:vAlign w:val="center"/>
          </w:tcPr>
          <w:p w14:paraId="4F79CAB2">
            <w:pPr>
              <w:spacing w:after="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项   目</w:t>
            </w:r>
          </w:p>
        </w:tc>
        <w:tc>
          <w:tcPr>
            <w:tcW w:w="6765" w:type="dxa"/>
            <w:vAlign w:val="center"/>
          </w:tcPr>
          <w:p w14:paraId="475B9079">
            <w:pPr>
              <w:spacing w:after="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内  容</w:t>
            </w:r>
          </w:p>
        </w:tc>
      </w:tr>
      <w:tr w14:paraId="6B629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894" w:type="dxa"/>
            <w:vAlign w:val="center"/>
          </w:tcPr>
          <w:p w14:paraId="57AA08DC">
            <w:pPr>
              <w:spacing w:after="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p>
        </w:tc>
        <w:tc>
          <w:tcPr>
            <w:tcW w:w="2268" w:type="dxa"/>
            <w:vAlign w:val="center"/>
          </w:tcPr>
          <w:p w14:paraId="436D58E4">
            <w:pPr>
              <w:spacing w:after="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磋商报价</w:t>
            </w:r>
          </w:p>
          <w:p w14:paraId="7F6CD168">
            <w:pPr>
              <w:spacing w:after="0"/>
              <w:jc w:val="center"/>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（元）</w:t>
            </w:r>
          </w:p>
        </w:tc>
        <w:tc>
          <w:tcPr>
            <w:tcW w:w="6765" w:type="dxa"/>
            <w:vAlign w:val="center"/>
          </w:tcPr>
          <w:p w14:paraId="159FFE8C">
            <w:pPr>
              <w:spacing w:after="0" w:line="360" w:lineRule="auto"/>
              <w:ind w:right="420"/>
              <w:rPr>
                <w:rFonts w:cs="宋体" w:asciiTheme="minorEastAsia" w:hAnsiTheme="minorEastAsia" w:eastAsiaTheme="minorEastAsia"/>
                <w:color w:val="auto"/>
              </w:rPr>
            </w:pPr>
            <w:r>
              <w:rPr>
                <w:rFonts w:hint="eastAsia" w:cs="宋体" w:asciiTheme="minorEastAsia" w:hAnsiTheme="minorEastAsia" w:eastAsiaTheme="minorEastAsia"/>
                <w:color w:val="auto"/>
              </w:rPr>
              <w:t>大写：</w:t>
            </w:r>
          </w:p>
          <w:p w14:paraId="786DB71B">
            <w:pPr>
              <w:spacing w:after="0" w:line="360" w:lineRule="auto"/>
              <w:ind w:right="420"/>
              <w:rPr>
                <w:color w:val="auto"/>
              </w:rPr>
            </w:pPr>
            <w:r>
              <w:rPr>
                <w:rFonts w:hint="eastAsia" w:cs="宋体" w:asciiTheme="minorEastAsia" w:hAnsiTheme="minorEastAsia" w:eastAsiaTheme="minorEastAsia"/>
                <w:color w:val="auto"/>
              </w:rPr>
              <w:t>小写：</w:t>
            </w:r>
          </w:p>
        </w:tc>
      </w:tr>
      <w:tr w14:paraId="4608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4" w:type="dxa"/>
            <w:vAlign w:val="center"/>
          </w:tcPr>
          <w:p w14:paraId="31C1F50F">
            <w:pPr>
              <w:spacing w:after="0"/>
              <w:jc w:val="center"/>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2</w:t>
            </w:r>
          </w:p>
        </w:tc>
        <w:tc>
          <w:tcPr>
            <w:tcW w:w="2268" w:type="dxa"/>
            <w:vAlign w:val="center"/>
          </w:tcPr>
          <w:p w14:paraId="345B6442">
            <w:pPr>
              <w:spacing w:after="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合同履行期限</w:t>
            </w:r>
          </w:p>
        </w:tc>
        <w:tc>
          <w:tcPr>
            <w:tcW w:w="6765" w:type="dxa"/>
            <w:vAlign w:val="center"/>
          </w:tcPr>
          <w:p w14:paraId="25621B17">
            <w:pPr>
              <w:spacing w:after="0"/>
              <w:ind w:right="420"/>
              <w:rPr>
                <w:rFonts w:asciiTheme="minorEastAsia" w:hAnsiTheme="minorEastAsia" w:eastAsiaTheme="minorEastAsia"/>
                <w:color w:val="auto"/>
                <w:szCs w:val="21"/>
              </w:rPr>
            </w:pPr>
          </w:p>
        </w:tc>
      </w:tr>
      <w:tr w14:paraId="04BD0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4" w:type="dxa"/>
            <w:vAlign w:val="center"/>
          </w:tcPr>
          <w:p w14:paraId="42FDBCFD">
            <w:pPr>
              <w:spacing w:after="0"/>
              <w:jc w:val="center"/>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3</w:t>
            </w:r>
          </w:p>
        </w:tc>
        <w:tc>
          <w:tcPr>
            <w:tcW w:w="2268" w:type="dxa"/>
            <w:vAlign w:val="center"/>
          </w:tcPr>
          <w:p w14:paraId="58DBC0B3">
            <w:pPr>
              <w:spacing w:after="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服务</w:t>
            </w:r>
            <w:r>
              <w:rPr>
                <w:rFonts w:hint="eastAsia" w:asciiTheme="minorEastAsia" w:hAnsiTheme="minorEastAsia" w:eastAsiaTheme="minorEastAsia"/>
                <w:color w:val="auto"/>
                <w:szCs w:val="21"/>
              </w:rPr>
              <w:t>承诺</w:t>
            </w:r>
          </w:p>
        </w:tc>
        <w:tc>
          <w:tcPr>
            <w:tcW w:w="6765" w:type="dxa"/>
            <w:vAlign w:val="center"/>
          </w:tcPr>
          <w:p w14:paraId="6AF53469">
            <w:pPr>
              <w:spacing w:after="0"/>
              <w:ind w:right="420"/>
              <w:rPr>
                <w:rFonts w:asciiTheme="minorEastAsia" w:hAnsiTheme="minorEastAsia" w:eastAsiaTheme="minorEastAsia"/>
                <w:color w:val="auto"/>
                <w:szCs w:val="21"/>
                <w:u w:val="single"/>
              </w:rPr>
            </w:pPr>
          </w:p>
        </w:tc>
      </w:tr>
      <w:tr w14:paraId="0C827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4" w:type="dxa"/>
            <w:vAlign w:val="center"/>
          </w:tcPr>
          <w:p w14:paraId="7BEC091B">
            <w:pPr>
              <w:spacing w:after="0"/>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4</w:t>
            </w:r>
          </w:p>
        </w:tc>
        <w:tc>
          <w:tcPr>
            <w:tcW w:w="2268" w:type="dxa"/>
            <w:vAlign w:val="center"/>
          </w:tcPr>
          <w:p w14:paraId="455BBB0B">
            <w:pPr>
              <w:spacing w:after="0"/>
              <w:jc w:val="center"/>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备注</w:t>
            </w:r>
          </w:p>
        </w:tc>
        <w:tc>
          <w:tcPr>
            <w:tcW w:w="6765" w:type="dxa"/>
            <w:vAlign w:val="center"/>
          </w:tcPr>
          <w:p w14:paraId="27C93E8D">
            <w:pPr>
              <w:spacing w:after="0"/>
              <w:jc w:val="center"/>
              <w:rPr>
                <w:rFonts w:asciiTheme="minorEastAsia" w:hAnsiTheme="minorEastAsia" w:eastAsiaTheme="minorEastAsia"/>
                <w:color w:val="auto"/>
                <w:szCs w:val="21"/>
              </w:rPr>
            </w:pPr>
          </w:p>
        </w:tc>
      </w:tr>
      <w:tr w14:paraId="5F5A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8" w:hRule="atLeast"/>
          <w:jc w:val="center"/>
        </w:trPr>
        <w:tc>
          <w:tcPr>
            <w:tcW w:w="9927" w:type="dxa"/>
            <w:gridSpan w:val="3"/>
            <w:vAlign w:val="center"/>
          </w:tcPr>
          <w:p w14:paraId="4937A29D">
            <w:pPr>
              <w:spacing w:line="320" w:lineRule="exact"/>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lang w:val="en-US" w:eastAsia="zh-CN"/>
              </w:rPr>
              <w:t>供应商</w:t>
            </w:r>
            <w:r>
              <w:rPr>
                <w:rFonts w:hint="eastAsia" w:asciiTheme="minorEastAsia" w:hAnsiTheme="minorEastAsia" w:eastAsiaTheme="minorEastAsia"/>
                <w:color w:val="auto"/>
                <w:sz w:val="24"/>
                <w:szCs w:val="24"/>
                <w:lang w:val="en-US" w:eastAsia="zh-CN"/>
              </w:rPr>
              <w:t>全称</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u w:val="single"/>
              </w:rPr>
              <w:t xml:space="preserve">          （盖章）</w:t>
            </w:r>
          </w:p>
          <w:p w14:paraId="41453386">
            <w:pPr>
              <w:spacing w:line="360" w:lineRule="auto"/>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法定代表人或其委托人:</w:t>
            </w:r>
            <w:r>
              <w:rPr>
                <w:rFonts w:hint="eastAsia" w:cs="宋体" w:asciiTheme="minorEastAsia" w:hAnsiTheme="minorEastAsia" w:eastAsiaTheme="minorEastAsia"/>
                <w:color w:val="auto"/>
                <w:sz w:val="24"/>
                <w:szCs w:val="24"/>
                <w:u w:val="single"/>
              </w:rPr>
              <w:t xml:space="preserve">         （盖章或签字）</w:t>
            </w:r>
          </w:p>
          <w:p w14:paraId="362818EF">
            <w:pPr>
              <w:spacing w:line="360" w:lineRule="auto"/>
              <w:jc w:val="right"/>
              <w:rPr>
                <w:rFonts w:asciiTheme="minorEastAsia" w:hAnsiTheme="minorEastAsia" w:eastAsiaTheme="minorEastAsia"/>
                <w:color w:val="auto"/>
                <w:szCs w:val="21"/>
              </w:rPr>
            </w:pPr>
            <w:r>
              <w:rPr>
                <w:rFonts w:hint="eastAsia" w:asciiTheme="minorEastAsia" w:hAnsiTheme="minorEastAsia" w:eastAsiaTheme="minorEastAsia"/>
                <w:color w:val="auto"/>
                <w:szCs w:val="21"/>
              </w:rPr>
              <w:t>日  期：</w:t>
            </w:r>
            <w:r>
              <w:rPr>
                <w:rFonts w:hint="eastAsia" w:cs="宋体"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Cs w:val="21"/>
              </w:rPr>
              <w:t>年</w:t>
            </w:r>
            <w:r>
              <w:rPr>
                <w:rFonts w:hint="eastAsia" w:cs="宋体"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Cs w:val="21"/>
              </w:rPr>
              <w:t>月</w:t>
            </w:r>
            <w:r>
              <w:rPr>
                <w:rFonts w:hint="eastAsia" w:cs="宋体"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Cs w:val="21"/>
              </w:rPr>
              <w:t>日</w:t>
            </w:r>
          </w:p>
        </w:tc>
      </w:tr>
    </w:tbl>
    <w:p w14:paraId="7F9E2D91">
      <w:pPr>
        <w:spacing w:line="240" w:lineRule="exact"/>
        <w:rPr>
          <w:rFonts w:hint="eastAsia" w:asciiTheme="minorEastAsia" w:hAnsiTheme="minorEastAsia" w:eastAsiaTheme="minorEastAsia" w:cstheme="minorEastAsia"/>
          <w:color w:val="auto"/>
          <w:szCs w:val="21"/>
          <w:highlight w:val="none"/>
        </w:rPr>
      </w:pPr>
    </w:p>
    <w:p w14:paraId="4696E023">
      <w:pPr>
        <w:spacing w:line="320" w:lineRule="exact"/>
        <w:rPr>
          <w:rFonts w:asciiTheme="minorEastAsia" w:hAnsiTheme="minorEastAsia" w:eastAsiaTheme="minorEastAsia"/>
          <w:color w:val="auto"/>
          <w:szCs w:val="21"/>
        </w:rPr>
      </w:pPr>
      <w:bookmarkStart w:id="250" w:name="_Toc536534335"/>
      <w:bookmarkStart w:id="251" w:name="_Toc536534065"/>
      <w:bookmarkStart w:id="252" w:name="_Toc531966066"/>
      <w:bookmarkStart w:id="253" w:name="_Toc530733572"/>
      <w:r>
        <w:rPr>
          <w:rFonts w:hint="eastAsia" w:asciiTheme="minorEastAsia" w:hAnsiTheme="minorEastAsia" w:eastAsiaTheme="minorEastAsia"/>
          <w:color w:val="auto"/>
          <w:szCs w:val="21"/>
        </w:rPr>
        <w:t>注：1、此表磋商申请人应放在竞争性磋商响应文件封面后第一页（不需重复提交）。</w:t>
      </w:r>
    </w:p>
    <w:p w14:paraId="1627202A">
      <w:pPr>
        <w:numPr>
          <w:ilvl w:val="0"/>
          <w:numId w:val="8"/>
        </w:numPr>
        <w:spacing w:line="320" w:lineRule="exact"/>
        <w:ind w:firstLine="440" w:firstLineChars="200"/>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当大小写金额不一致时以大写金额为准，报价金额保留小数点后两位。采购人不承诺最低价中标。</w:t>
      </w:r>
    </w:p>
    <w:p w14:paraId="2002894F">
      <w:pPr>
        <w:pStyle w:val="14"/>
        <w:widowControl w:val="0"/>
        <w:numPr>
          <w:ilvl w:val="0"/>
          <w:numId w:val="0"/>
        </w:numPr>
        <w:adjustRightInd/>
        <w:snapToGrid/>
        <w:spacing w:after="120"/>
        <w:jc w:val="both"/>
        <w:rPr>
          <w:rFonts w:hint="eastAsia"/>
        </w:rPr>
      </w:pPr>
    </w:p>
    <w:p w14:paraId="7FB84AFC">
      <w:pPr>
        <w:rPr>
          <w:rFonts w:hint="eastAsia"/>
        </w:rPr>
      </w:pPr>
    </w:p>
    <w:p w14:paraId="43267A0E">
      <w:pPr>
        <w:pStyle w:val="14"/>
        <w:rPr>
          <w:rFonts w:hint="eastAsia"/>
        </w:rPr>
      </w:pPr>
    </w:p>
    <w:p w14:paraId="6909196E">
      <w:pPr>
        <w:rPr>
          <w:rFonts w:hint="eastAsia"/>
        </w:rPr>
      </w:pPr>
    </w:p>
    <w:p w14:paraId="7351F914">
      <w:pPr>
        <w:pStyle w:val="14"/>
        <w:rPr>
          <w:rFonts w:hint="eastAsia"/>
        </w:rPr>
      </w:pPr>
    </w:p>
    <w:p w14:paraId="45A0E816">
      <w:pPr>
        <w:rPr>
          <w:rFonts w:hint="eastAsia"/>
        </w:rPr>
      </w:pPr>
    </w:p>
    <w:bookmarkEnd w:id="250"/>
    <w:bookmarkEnd w:id="251"/>
    <w:bookmarkEnd w:id="252"/>
    <w:bookmarkEnd w:id="253"/>
    <w:p w14:paraId="35A22967">
      <w:pPr>
        <w:pStyle w:val="79"/>
        <w:ind w:firstLine="0" w:firstLineChars="0"/>
        <w:rPr>
          <w:rFonts w:hint="eastAsia" w:asciiTheme="minorEastAsia" w:hAnsiTheme="minorEastAsia" w:eastAsiaTheme="minorEastAsia" w:cstheme="minorEastAsia"/>
          <w:color w:val="auto"/>
          <w:highlight w:val="none"/>
        </w:rPr>
      </w:pPr>
    </w:p>
    <w:p w14:paraId="55C4BBED">
      <w:pPr>
        <w:pStyle w:val="79"/>
        <w:ind w:firstLine="0" w:firstLineChars="0"/>
        <w:rPr>
          <w:rFonts w:hint="eastAsia" w:asciiTheme="minorEastAsia" w:hAnsiTheme="minorEastAsia" w:eastAsiaTheme="minorEastAsia" w:cstheme="minorEastAsia"/>
          <w:color w:val="auto"/>
          <w:highlight w:val="none"/>
        </w:rPr>
      </w:pPr>
    </w:p>
    <w:p w14:paraId="266F759C">
      <w:pPr>
        <w:pStyle w:val="79"/>
        <w:ind w:firstLine="0" w:firstLineChars="0"/>
        <w:rPr>
          <w:rFonts w:hint="eastAsia" w:asciiTheme="minorEastAsia" w:hAnsiTheme="minorEastAsia" w:eastAsiaTheme="minorEastAsia" w:cstheme="minorEastAsia"/>
          <w:color w:val="auto"/>
          <w:highlight w:val="none"/>
        </w:rPr>
      </w:pPr>
    </w:p>
    <w:p w14:paraId="72BED098">
      <w:pPr>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8"/>
          <w:szCs w:val="28"/>
          <w:highlight w:val="none"/>
        </w:rPr>
        <w:t>三、法定代表人身份证明书</w:t>
      </w:r>
    </w:p>
    <w:p w14:paraId="125555E7">
      <w:pPr>
        <w:spacing w:line="44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供应商名称：</w:t>
      </w:r>
      <w:r>
        <w:rPr>
          <w:rFonts w:hint="eastAsia" w:asciiTheme="minorEastAsia" w:hAnsiTheme="minorEastAsia" w:eastAsiaTheme="minorEastAsia" w:cstheme="minorEastAsia"/>
          <w:color w:val="auto"/>
          <w:sz w:val="24"/>
          <w:szCs w:val="24"/>
          <w:highlight w:val="none"/>
          <w:u w:val="single"/>
        </w:rPr>
        <w:t xml:space="preserve">                     </w:t>
      </w:r>
    </w:p>
    <w:p w14:paraId="7DB16B8D">
      <w:pPr>
        <w:spacing w:line="44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p>
    <w:p w14:paraId="30DE19CF">
      <w:pPr>
        <w:spacing w:line="44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14:paraId="7F74BD94">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74615F67">
      <w:pPr>
        <w:spacing w:line="44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14:paraId="0654CBF9">
      <w:pPr>
        <w:spacing w:line="44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14:paraId="499124BE">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（供应商全称）            </w:t>
      </w:r>
      <w:r>
        <w:rPr>
          <w:rFonts w:hint="eastAsia" w:asciiTheme="minorEastAsia" w:hAnsiTheme="minorEastAsia" w:eastAsiaTheme="minorEastAsia" w:cstheme="minorEastAsia"/>
          <w:color w:val="auto"/>
          <w:sz w:val="24"/>
          <w:szCs w:val="24"/>
          <w:highlight w:val="none"/>
        </w:rPr>
        <w:t>的法定代表人。</w:t>
      </w:r>
    </w:p>
    <w:p w14:paraId="524D31B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14:paraId="33E57872">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附法定代表人身份证复印件</w:t>
      </w:r>
    </w:p>
    <w:tbl>
      <w:tblPr>
        <w:tblStyle w:val="62"/>
        <w:tblW w:w="77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798"/>
      </w:tblGrid>
      <w:tr w14:paraId="21B2E59A">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2324" w:hRule="atLeast"/>
          <w:jc w:val="center"/>
        </w:trPr>
        <w:tc>
          <w:tcPr>
            <w:tcW w:w="7798" w:type="dxa"/>
          </w:tcPr>
          <w:p w14:paraId="79A387C2">
            <w:pPr>
              <w:pStyle w:val="58"/>
              <w:adjustRightInd w:val="0"/>
              <w:snapToGrid w:val="0"/>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法定代表人身份证复印件（“居民身份证国徽”面）：</w:t>
            </w:r>
          </w:p>
        </w:tc>
      </w:tr>
      <w:tr w14:paraId="3B8733C3">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2324" w:hRule="atLeast"/>
          <w:jc w:val="center"/>
        </w:trPr>
        <w:tc>
          <w:tcPr>
            <w:tcW w:w="7798" w:type="dxa"/>
          </w:tcPr>
          <w:p w14:paraId="2E8B2E6C">
            <w:pPr>
              <w:pStyle w:val="58"/>
              <w:adjustRightInd w:val="0"/>
              <w:snapToGrid w:val="0"/>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法定代表人身份证复印件（“居民身份证号码”面）：</w:t>
            </w:r>
          </w:p>
        </w:tc>
      </w:tr>
    </w:tbl>
    <w:p w14:paraId="3FE1CF2E">
      <w:pPr>
        <w:spacing w:line="360" w:lineRule="auto"/>
        <w:rPr>
          <w:rFonts w:hint="eastAsia" w:asciiTheme="minorEastAsia" w:hAnsiTheme="minorEastAsia" w:eastAsiaTheme="minorEastAsia" w:cstheme="minorEastAsia"/>
          <w:color w:val="auto"/>
          <w:sz w:val="24"/>
          <w:szCs w:val="24"/>
          <w:highlight w:val="none"/>
        </w:rPr>
      </w:pPr>
    </w:p>
    <w:p w14:paraId="50445D9F">
      <w:pPr>
        <w:spacing w:line="360" w:lineRule="auto"/>
        <w:ind w:firstLine="3840" w:firstLineChars="16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sz w:val="24"/>
          <w:szCs w:val="24"/>
          <w:highlight w:val="none"/>
          <w:u w:val="single"/>
        </w:rPr>
        <w:t xml:space="preserve">        （全称）        （盖单位章）</w:t>
      </w:r>
    </w:p>
    <w:p w14:paraId="661C9BC3">
      <w:pPr>
        <w:spacing w:line="360" w:lineRule="auto"/>
        <w:ind w:firstLine="6480" w:firstLineChars="2700"/>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bookmarkStart w:id="254" w:name="_Toc531966068"/>
      <w:bookmarkStart w:id="255" w:name="_Toc470531299"/>
    </w:p>
    <w:p w14:paraId="4D2CA741">
      <w:pPr>
        <w:jc w:val="center"/>
        <w:rPr>
          <w:rFonts w:hint="eastAsia" w:asciiTheme="minorEastAsia" w:hAnsiTheme="minorEastAsia" w:eastAsiaTheme="minorEastAsia" w:cstheme="minorEastAsia"/>
          <w:b/>
          <w:color w:val="auto"/>
          <w:sz w:val="28"/>
          <w:szCs w:val="28"/>
          <w:highlight w:val="none"/>
        </w:rPr>
      </w:pPr>
    </w:p>
    <w:p w14:paraId="4DF6006C">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四、授权委托书</w:t>
      </w:r>
      <w:bookmarkEnd w:id="254"/>
      <w:bookmarkEnd w:id="255"/>
    </w:p>
    <w:p w14:paraId="3DCA95FF">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（姓名）</w:t>
      </w: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（供应商全称）</w:t>
      </w:r>
      <w:r>
        <w:rPr>
          <w:rFonts w:hint="eastAsia" w:asciiTheme="minorEastAsia" w:hAnsiTheme="minorEastAsia" w:eastAsiaTheme="minorEastAsia" w:cstheme="minorEastAsia"/>
          <w:color w:val="auto"/>
          <w:sz w:val="24"/>
          <w:szCs w:val="24"/>
          <w:highlight w:val="none"/>
        </w:rPr>
        <w:t>的法定代表人，现委托</w:t>
      </w:r>
      <w:r>
        <w:rPr>
          <w:rFonts w:hint="eastAsia" w:asciiTheme="minorEastAsia" w:hAnsiTheme="minorEastAsia" w:eastAsiaTheme="minorEastAsia" w:cstheme="minorEastAsia"/>
          <w:color w:val="auto"/>
          <w:sz w:val="24"/>
          <w:szCs w:val="24"/>
          <w:highlight w:val="none"/>
          <w:u w:val="single"/>
        </w:rPr>
        <w:t xml:space="preserve">   （姓名）   </w:t>
      </w:r>
      <w:r>
        <w:rPr>
          <w:rFonts w:hint="eastAsia" w:asciiTheme="minorEastAsia" w:hAnsiTheme="minorEastAsia" w:eastAsiaTheme="minorEastAsia" w:cstheme="minorEastAsia"/>
          <w:color w:val="auto"/>
          <w:sz w:val="24"/>
          <w:szCs w:val="24"/>
          <w:highlight w:val="none"/>
        </w:rPr>
        <w:t>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（项目名称）</w:t>
      </w:r>
      <w:r>
        <w:rPr>
          <w:rFonts w:hint="eastAsia" w:asciiTheme="minorEastAsia" w:hAnsiTheme="minorEastAsia" w:eastAsiaTheme="minorEastAsia" w:cstheme="minorEastAsia"/>
          <w:color w:val="auto"/>
          <w:sz w:val="24"/>
          <w:szCs w:val="24"/>
          <w:highlight w:val="none"/>
        </w:rPr>
        <w:t>磋商响应文件、签订合同和处理有关事宜，其法律后果由我方承担。</w:t>
      </w:r>
    </w:p>
    <w:p w14:paraId="43B423B4">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5481CAF8">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14:paraId="5E27CBC4">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附：委托代理人身份证复印件</w:t>
      </w:r>
    </w:p>
    <w:tbl>
      <w:tblPr>
        <w:tblStyle w:val="62"/>
        <w:tblW w:w="77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798"/>
      </w:tblGrid>
      <w:tr w14:paraId="22174D07">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783" w:hRule="atLeast"/>
          <w:jc w:val="center"/>
        </w:trPr>
        <w:tc>
          <w:tcPr>
            <w:tcW w:w="7798" w:type="dxa"/>
          </w:tcPr>
          <w:p w14:paraId="7A2A3FD6">
            <w:pPr>
              <w:pStyle w:val="58"/>
              <w:adjustRightInd w:val="0"/>
              <w:snapToGrid w:val="0"/>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委托代理人身份证复印件（“居民身份证国徽”面）：</w:t>
            </w:r>
          </w:p>
        </w:tc>
      </w:tr>
      <w:tr w14:paraId="2596C1F8">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687" w:hRule="atLeast"/>
          <w:jc w:val="center"/>
        </w:trPr>
        <w:tc>
          <w:tcPr>
            <w:tcW w:w="7798" w:type="dxa"/>
          </w:tcPr>
          <w:p w14:paraId="2178E168">
            <w:pPr>
              <w:pStyle w:val="58"/>
              <w:adjustRightInd w:val="0"/>
              <w:snapToGrid w:val="0"/>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委托代理人身份证复印件（“居民身份证号码”面）：</w:t>
            </w:r>
          </w:p>
        </w:tc>
      </w:tr>
    </w:tbl>
    <w:p w14:paraId="442B8213">
      <w:pPr>
        <w:spacing w:line="360" w:lineRule="auto"/>
        <w:ind w:firstLine="2640" w:firstLineChars="1100"/>
        <w:rPr>
          <w:rFonts w:hint="eastAsia" w:asciiTheme="minorEastAsia" w:hAnsiTheme="minorEastAsia" w:eastAsiaTheme="minorEastAsia" w:cstheme="minorEastAsia"/>
          <w:color w:val="auto"/>
          <w:sz w:val="24"/>
          <w:szCs w:val="24"/>
          <w:highlight w:val="none"/>
        </w:rPr>
      </w:pPr>
    </w:p>
    <w:p w14:paraId="75ABF8D0">
      <w:pPr>
        <w:spacing w:line="360" w:lineRule="auto"/>
        <w:ind w:firstLine="2640" w:firstLineChars="1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sz w:val="24"/>
          <w:szCs w:val="24"/>
          <w:highlight w:val="none"/>
          <w:u w:val="single"/>
        </w:rPr>
        <w:t xml:space="preserve">              （全称）      （盖单位章）</w:t>
      </w:r>
    </w:p>
    <w:p w14:paraId="3507F6B4">
      <w:pPr>
        <w:spacing w:line="360" w:lineRule="auto"/>
        <w:ind w:firstLine="2640" w:firstLineChars="1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（盖章或签字）</w:t>
      </w:r>
    </w:p>
    <w:p w14:paraId="5EB067AA">
      <w:pPr>
        <w:spacing w:line="360" w:lineRule="auto"/>
        <w:ind w:firstLine="2640" w:firstLineChars="11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14:paraId="518C43F9">
      <w:pPr>
        <w:spacing w:line="360" w:lineRule="auto"/>
        <w:ind w:firstLine="2640" w:firstLineChars="1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（签字） </w:t>
      </w:r>
    </w:p>
    <w:p w14:paraId="5FF775C4">
      <w:pPr>
        <w:spacing w:line="360" w:lineRule="auto"/>
        <w:ind w:firstLine="2640" w:firstLineChars="11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14:paraId="4475DD4F">
      <w:pPr>
        <w:spacing w:line="360" w:lineRule="auto"/>
        <w:ind w:firstLine="6480" w:firstLineChars="2700"/>
        <w:rPr>
          <w:rFonts w:hint="eastAsia" w:asciiTheme="minorEastAsia" w:hAnsiTheme="minorEastAsia" w:eastAsiaTheme="minorEastAsia" w:cstheme="minorEastAsia"/>
          <w:b/>
          <w:color w:val="auto"/>
          <w:sz w:val="28"/>
          <w:szCs w:val="28"/>
          <w:highlight w:val="none"/>
        </w:rPr>
      </w:pPr>
      <w:bookmarkStart w:id="256" w:name="_Toc531966069"/>
      <w:bookmarkStart w:id="257" w:name="_Toc470531300"/>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256"/>
    <w:bookmarkEnd w:id="257"/>
    <w:p w14:paraId="59552797">
      <w:pPr>
        <w:pStyle w:val="26"/>
        <w:ind w:firstLine="0" w:firstLineChars="0"/>
        <w:rPr>
          <w:rFonts w:hint="eastAsia" w:asciiTheme="minorEastAsia" w:hAnsiTheme="minorEastAsia" w:eastAsiaTheme="minorEastAsia" w:cstheme="minorEastAsia"/>
          <w:b/>
          <w:bCs/>
          <w:color w:val="auto"/>
          <w:sz w:val="24"/>
          <w:highlight w:val="none"/>
        </w:rPr>
      </w:pPr>
    </w:p>
    <w:p w14:paraId="78E4AA63">
      <w:pPr>
        <w:jc w:val="center"/>
        <w:rPr>
          <w:rFonts w:hint="eastAsia" w:asciiTheme="minorEastAsia" w:hAnsiTheme="minorEastAsia" w:eastAsiaTheme="minorEastAsia" w:cstheme="minorEastAsia"/>
          <w:b/>
          <w:color w:val="auto"/>
          <w:sz w:val="28"/>
          <w:szCs w:val="28"/>
          <w:highlight w:val="none"/>
          <w:lang w:val="en-US" w:eastAsia="zh-CN"/>
        </w:rPr>
      </w:pPr>
      <w:bookmarkStart w:id="258" w:name="_Toc27259"/>
    </w:p>
    <w:p w14:paraId="7FF7B32A">
      <w:pPr>
        <w:pStyle w:val="38"/>
        <w:rPr>
          <w:rFonts w:hint="eastAsia" w:asciiTheme="minorEastAsia" w:hAnsiTheme="minorEastAsia" w:eastAsiaTheme="minorEastAsia" w:cstheme="minorEastAsia"/>
          <w:bCs w:val="0"/>
          <w:color w:val="auto"/>
          <w:sz w:val="21"/>
          <w:szCs w:val="21"/>
          <w:highlight w:val="none"/>
        </w:rPr>
      </w:pPr>
    </w:p>
    <w:p w14:paraId="68D78909">
      <w:pPr>
        <w:pStyle w:val="4"/>
        <w:pageBreakBefore w:val="0"/>
        <w:tabs>
          <w:tab w:val="left" w:pos="720"/>
        </w:tabs>
        <w:kinsoku/>
        <w:wordWrap/>
        <w:topLinePunct w:val="0"/>
        <w:bidi w:val="0"/>
        <w:spacing w:line="440" w:lineRule="exact"/>
        <w:jc w:val="center"/>
        <w:rPr>
          <w:rFonts w:hint="eastAsia" w:ascii="宋体" w:hAnsi="宋体" w:eastAsia="宋体"/>
          <w:color w:val="000000"/>
          <w:sz w:val="32"/>
          <w:szCs w:val="32"/>
          <w:lang w:eastAsia="zh-CN"/>
        </w:rPr>
      </w:pPr>
      <w:bookmarkStart w:id="259" w:name="_Toc491680795"/>
      <w:bookmarkStart w:id="260" w:name="_Toc240037803"/>
      <w:bookmarkStart w:id="261" w:name="_Toc417400746"/>
      <w:bookmarkStart w:id="262" w:name="_Toc372555642"/>
      <w:bookmarkStart w:id="263" w:name="_Toc272515782"/>
      <w:bookmarkStart w:id="264" w:name="_Toc309657446"/>
      <w:bookmarkStart w:id="265" w:name="_Toc416470695"/>
      <w:bookmarkStart w:id="266" w:name="_Toc239843178"/>
      <w:bookmarkStart w:id="267" w:name="_Toc233446974"/>
      <w:r>
        <w:rPr>
          <w:rFonts w:hint="eastAsia" w:ascii="宋体" w:hAnsi="宋体"/>
          <w:color w:val="000000"/>
          <w:sz w:val="32"/>
          <w:szCs w:val="32"/>
          <w:lang w:eastAsia="zh-CN"/>
        </w:rPr>
        <w:t>五、</w:t>
      </w:r>
      <w:r>
        <w:rPr>
          <w:rFonts w:hint="eastAsia" w:ascii="宋体" w:hAnsi="宋体" w:eastAsia="宋体"/>
          <w:color w:val="000000"/>
          <w:sz w:val="32"/>
          <w:szCs w:val="32"/>
        </w:rPr>
        <w:t>近</w:t>
      </w:r>
      <w:r>
        <w:rPr>
          <w:rFonts w:hint="eastAsia" w:ascii="宋体" w:hAnsi="宋体" w:eastAsia="宋体"/>
          <w:color w:val="000000"/>
          <w:sz w:val="32"/>
          <w:szCs w:val="32"/>
          <w:lang w:val="en-US" w:eastAsia="zh-CN"/>
        </w:rPr>
        <w:t>三</w:t>
      </w:r>
      <w:r>
        <w:rPr>
          <w:rFonts w:hint="eastAsia" w:ascii="宋体" w:hAnsi="宋体" w:eastAsia="宋体"/>
          <w:color w:val="000000"/>
          <w:sz w:val="32"/>
          <w:szCs w:val="32"/>
        </w:rPr>
        <w:t>年（</w:t>
      </w:r>
      <w:r>
        <w:rPr>
          <w:rFonts w:hint="eastAsia" w:ascii="宋体" w:hAnsi="宋体"/>
          <w:color w:val="000000"/>
          <w:sz w:val="32"/>
          <w:szCs w:val="32"/>
          <w:lang w:eastAsia="zh-CN"/>
        </w:rPr>
        <w:t>2023</w:t>
      </w:r>
      <w:r>
        <w:rPr>
          <w:rFonts w:hint="eastAsia" w:ascii="宋体" w:hAnsi="宋体" w:eastAsia="宋体"/>
          <w:color w:val="000000"/>
          <w:sz w:val="32"/>
          <w:szCs w:val="32"/>
        </w:rPr>
        <w:t>-</w:t>
      </w:r>
      <w:r>
        <w:rPr>
          <w:rFonts w:hint="eastAsia" w:ascii="宋体" w:hAnsi="宋体" w:eastAsia="宋体"/>
          <w:color w:val="000000"/>
          <w:sz w:val="32"/>
          <w:szCs w:val="32"/>
          <w:lang w:eastAsia="zh-CN"/>
        </w:rPr>
        <w:t>至今</w:t>
      </w:r>
      <w:r>
        <w:rPr>
          <w:rFonts w:hint="eastAsia" w:ascii="宋体" w:hAnsi="宋体" w:eastAsia="宋体"/>
          <w:color w:val="000000"/>
          <w:sz w:val="32"/>
          <w:szCs w:val="32"/>
        </w:rPr>
        <w:t>）</w:t>
      </w:r>
      <w:r>
        <w:rPr>
          <w:rFonts w:hint="eastAsia" w:ascii="宋体" w:hAnsi="宋体" w:eastAsia="宋体"/>
          <w:color w:val="000000"/>
          <w:sz w:val="32"/>
          <w:szCs w:val="32"/>
          <w:lang w:eastAsia="zh-CN"/>
        </w:rPr>
        <w:t>类似</w:t>
      </w:r>
      <w:r>
        <w:rPr>
          <w:rFonts w:hint="eastAsia" w:ascii="宋体" w:hAnsi="宋体" w:eastAsia="宋体"/>
          <w:color w:val="000000"/>
          <w:sz w:val="32"/>
          <w:szCs w:val="32"/>
        </w:rPr>
        <w:t>项目业绩表</w:t>
      </w:r>
      <w:bookmarkEnd w:id="259"/>
      <w:bookmarkEnd w:id="260"/>
      <w:bookmarkEnd w:id="261"/>
      <w:bookmarkEnd w:id="262"/>
      <w:bookmarkEnd w:id="263"/>
      <w:bookmarkEnd w:id="264"/>
      <w:bookmarkEnd w:id="265"/>
      <w:bookmarkEnd w:id="266"/>
      <w:bookmarkEnd w:id="267"/>
    </w:p>
    <w:tbl>
      <w:tblPr>
        <w:tblStyle w:val="62"/>
        <w:tblpPr w:leftFromText="180" w:rightFromText="180" w:vertAnchor="text" w:horzAnchor="page" w:tblpX="1485" w:tblpY="255"/>
        <w:tblOverlap w:val="never"/>
        <w:tblW w:w="9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1691"/>
        <w:gridCol w:w="1754"/>
        <w:gridCol w:w="1929"/>
        <w:gridCol w:w="1579"/>
        <w:gridCol w:w="1144"/>
      </w:tblGrid>
      <w:tr w14:paraId="79CA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04" w:type="dxa"/>
            <w:noWrap w:val="0"/>
            <w:vAlign w:val="center"/>
          </w:tcPr>
          <w:p w14:paraId="17217829">
            <w:pPr>
              <w:pageBreakBefore w:val="0"/>
              <w:kinsoku/>
              <w:wordWrap/>
              <w:topLinePunct w:val="0"/>
              <w:bidi w:val="0"/>
              <w:spacing w:line="440" w:lineRule="exact"/>
              <w:jc w:val="center"/>
              <w:rPr>
                <w:color w:val="000000"/>
                <w:szCs w:val="21"/>
              </w:rPr>
            </w:pPr>
            <w:r>
              <w:rPr>
                <w:rFonts w:hint="eastAsia" w:hAnsi="宋体"/>
                <w:color w:val="000000"/>
                <w:szCs w:val="21"/>
              </w:rPr>
              <w:t>序号</w:t>
            </w:r>
          </w:p>
        </w:tc>
        <w:tc>
          <w:tcPr>
            <w:tcW w:w="1691" w:type="dxa"/>
            <w:noWrap w:val="0"/>
            <w:vAlign w:val="center"/>
          </w:tcPr>
          <w:p w14:paraId="6D0E79AE">
            <w:pPr>
              <w:pageBreakBefore w:val="0"/>
              <w:kinsoku/>
              <w:wordWrap/>
              <w:topLinePunct w:val="0"/>
              <w:bidi w:val="0"/>
              <w:spacing w:line="440" w:lineRule="exact"/>
              <w:jc w:val="center"/>
              <w:rPr>
                <w:rFonts w:hint="eastAsia"/>
                <w:color w:val="000000"/>
                <w:szCs w:val="21"/>
              </w:rPr>
            </w:pPr>
            <w:r>
              <w:rPr>
                <w:rFonts w:hint="eastAsia" w:hAnsi="宋体"/>
                <w:color w:val="000000"/>
                <w:szCs w:val="21"/>
              </w:rPr>
              <w:t>项目业主</w:t>
            </w:r>
          </w:p>
        </w:tc>
        <w:tc>
          <w:tcPr>
            <w:tcW w:w="1754" w:type="dxa"/>
            <w:noWrap w:val="0"/>
            <w:vAlign w:val="center"/>
          </w:tcPr>
          <w:p w14:paraId="23E64E89">
            <w:pPr>
              <w:pageBreakBefore w:val="0"/>
              <w:kinsoku/>
              <w:wordWrap/>
              <w:topLinePunct w:val="0"/>
              <w:bidi w:val="0"/>
              <w:spacing w:line="440" w:lineRule="exact"/>
              <w:jc w:val="center"/>
              <w:rPr>
                <w:color w:val="000000"/>
                <w:szCs w:val="21"/>
              </w:rPr>
            </w:pPr>
            <w:r>
              <w:rPr>
                <w:rFonts w:hint="eastAsia" w:hAnsi="宋体"/>
                <w:color w:val="000000"/>
                <w:szCs w:val="21"/>
              </w:rPr>
              <w:t>项目名称</w:t>
            </w:r>
          </w:p>
        </w:tc>
        <w:tc>
          <w:tcPr>
            <w:tcW w:w="1929" w:type="dxa"/>
            <w:noWrap w:val="0"/>
            <w:vAlign w:val="center"/>
          </w:tcPr>
          <w:p w14:paraId="224B7D5A">
            <w:pPr>
              <w:pageBreakBefore w:val="0"/>
              <w:kinsoku/>
              <w:wordWrap/>
              <w:topLinePunct w:val="0"/>
              <w:bidi w:val="0"/>
              <w:spacing w:line="440" w:lineRule="exact"/>
              <w:jc w:val="center"/>
              <w:rPr>
                <w:color w:val="000000"/>
                <w:szCs w:val="21"/>
              </w:rPr>
            </w:pPr>
            <w:r>
              <w:rPr>
                <w:rFonts w:hint="eastAsia" w:hAnsi="宋体"/>
                <w:color w:val="000000"/>
                <w:szCs w:val="21"/>
              </w:rPr>
              <w:t>项目起止时间</w:t>
            </w:r>
          </w:p>
        </w:tc>
        <w:tc>
          <w:tcPr>
            <w:tcW w:w="1579" w:type="dxa"/>
            <w:noWrap w:val="0"/>
            <w:vAlign w:val="center"/>
          </w:tcPr>
          <w:p w14:paraId="3C029D4A">
            <w:pPr>
              <w:pageBreakBefore w:val="0"/>
              <w:kinsoku/>
              <w:wordWrap/>
              <w:topLinePunct w:val="0"/>
              <w:bidi w:val="0"/>
              <w:spacing w:line="440" w:lineRule="exact"/>
              <w:jc w:val="center"/>
              <w:rPr>
                <w:color w:val="000000"/>
                <w:szCs w:val="21"/>
              </w:rPr>
            </w:pPr>
            <w:r>
              <w:rPr>
                <w:rFonts w:hint="eastAsia"/>
                <w:color w:val="000000"/>
                <w:szCs w:val="21"/>
              </w:rPr>
              <w:t>合同金额</w:t>
            </w:r>
          </w:p>
        </w:tc>
        <w:tc>
          <w:tcPr>
            <w:tcW w:w="1144" w:type="dxa"/>
            <w:noWrap w:val="0"/>
            <w:vAlign w:val="center"/>
          </w:tcPr>
          <w:p w14:paraId="2C4BCC70">
            <w:pPr>
              <w:pageBreakBefore w:val="0"/>
              <w:kinsoku/>
              <w:wordWrap/>
              <w:topLinePunct w:val="0"/>
              <w:bidi w:val="0"/>
              <w:spacing w:line="440" w:lineRule="exact"/>
              <w:jc w:val="center"/>
              <w:rPr>
                <w:color w:val="000000"/>
                <w:szCs w:val="21"/>
              </w:rPr>
            </w:pPr>
            <w:r>
              <w:rPr>
                <w:rFonts w:hint="eastAsia" w:hAnsi="宋体"/>
                <w:color w:val="000000"/>
                <w:szCs w:val="21"/>
              </w:rPr>
              <w:t>备注</w:t>
            </w:r>
          </w:p>
        </w:tc>
      </w:tr>
      <w:tr w14:paraId="5906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04" w:type="dxa"/>
            <w:noWrap w:val="0"/>
            <w:vAlign w:val="center"/>
          </w:tcPr>
          <w:p w14:paraId="77475F04">
            <w:pPr>
              <w:pageBreakBefore w:val="0"/>
              <w:kinsoku/>
              <w:wordWrap/>
              <w:topLinePunct w:val="0"/>
              <w:bidi w:val="0"/>
              <w:spacing w:line="440" w:lineRule="exact"/>
              <w:jc w:val="center"/>
              <w:rPr>
                <w:color w:val="000000"/>
                <w:szCs w:val="21"/>
              </w:rPr>
            </w:pPr>
          </w:p>
        </w:tc>
        <w:tc>
          <w:tcPr>
            <w:tcW w:w="1691" w:type="dxa"/>
            <w:noWrap w:val="0"/>
            <w:vAlign w:val="center"/>
          </w:tcPr>
          <w:p w14:paraId="03216AD2">
            <w:pPr>
              <w:pageBreakBefore w:val="0"/>
              <w:kinsoku/>
              <w:wordWrap/>
              <w:topLinePunct w:val="0"/>
              <w:bidi w:val="0"/>
              <w:spacing w:line="440" w:lineRule="exact"/>
              <w:jc w:val="center"/>
              <w:rPr>
                <w:color w:val="000000"/>
                <w:szCs w:val="21"/>
              </w:rPr>
            </w:pPr>
          </w:p>
        </w:tc>
        <w:tc>
          <w:tcPr>
            <w:tcW w:w="1754" w:type="dxa"/>
            <w:noWrap w:val="0"/>
            <w:vAlign w:val="center"/>
          </w:tcPr>
          <w:p w14:paraId="42416088">
            <w:pPr>
              <w:pageBreakBefore w:val="0"/>
              <w:kinsoku/>
              <w:wordWrap/>
              <w:topLinePunct w:val="0"/>
              <w:bidi w:val="0"/>
              <w:spacing w:line="440" w:lineRule="exact"/>
              <w:jc w:val="center"/>
              <w:rPr>
                <w:color w:val="000000"/>
                <w:szCs w:val="21"/>
              </w:rPr>
            </w:pPr>
          </w:p>
        </w:tc>
        <w:tc>
          <w:tcPr>
            <w:tcW w:w="1929" w:type="dxa"/>
            <w:noWrap w:val="0"/>
            <w:vAlign w:val="center"/>
          </w:tcPr>
          <w:p w14:paraId="4427DC52">
            <w:pPr>
              <w:pageBreakBefore w:val="0"/>
              <w:kinsoku/>
              <w:wordWrap/>
              <w:topLinePunct w:val="0"/>
              <w:bidi w:val="0"/>
              <w:spacing w:line="440" w:lineRule="exact"/>
              <w:jc w:val="center"/>
              <w:rPr>
                <w:color w:val="000000"/>
                <w:szCs w:val="21"/>
              </w:rPr>
            </w:pPr>
          </w:p>
        </w:tc>
        <w:tc>
          <w:tcPr>
            <w:tcW w:w="1579" w:type="dxa"/>
            <w:noWrap w:val="0"/>
            <w:vAlign w:val="center"/>
          </w:tcPr>
          <w:p w14:paraId="0C4FF513">
            <w:pPr>
              <w:pageBreakBefore w:val="0"/>
              <w:kinsoku/>
              <w:wordWrap/>
              <w:topLinePunct w:val="0"/>
              <w:bidi w:val="0"/>
              <w:spacing w:line="440" w:lineRule="exact"/>
              <w:jc w:val="center"/>
              <w:rPr>
                <w:color w:val="000000"/>
                <w:szCs w:val="21"/>
              </w:rPr>
            </w:pPr>
          </w:p>
        </w:tc>
        <w:tc>
          <w:tcPr>
            <w:tcW w:w="1144" w:type="dxa"/>
            <w:noWrap w:val="0"/>
            <w:vAlign w:val="center"/>
          </w:tcPr>
          <w:p w14:paraId="794CB97A">
            <w:pPr>
              <w:pageBreakBefore w:val="0"/>
              <w:kinsoku/>
              <w:wordWrap/>
              <w:topLinePunct w:val="0"/>
              <w:bidi w:val="0"/>
              <w:spacing w:line="440" w:lineRule="exact"/>
              <w:jc w:val="center"/>
              <w:rPr>
                <w:color w:val="000000"/>
                <w:szCs w:val="21"/>
              </w:rPr>
            </w:pPr>
          </w:p>
        </w:tc>
      </w:tr>
      <w:tr w14:paraId="36AA5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04" w:type="dxa"/>
            <w:noWrap w:val="0"/>
            <w:vAlign w:val="center"/>
          </w:tcPr>
          <w:p w14:paraId="33AFFE80">
            <w:pPr>
              <w:pageBreakBefore w:val="0"/>
              <w:kinsoku/>
              <w:wordWrap/>
              <w:topLinePunct w:val="0"/>
              <w:bidi w:val="0"/>
              <w:spacing w:line="440" w:lineRule="exact"/>
              <w:jc w:val="center"/>
              <w:rPr>
                <w:color w:val="000000"/>
                <w:szCs w:val="21"/>
              </w:rPr>
            </w:pPr>
          </w:p>
        </w:tc>
        <w:tc>
          <w:tcPr>
            <w:tcW w:w="1691" w:type="dxa"/>
            <w:noWrap w:val="0"/>
            <w:vAlign w:val="center"/>
          </w:tcPr>
          <w:p w14:paraId="41C29273">
            <w:pPr>
              <w:pageBreakBefore w:val="0"/>
              <w:kinsoku/>
              <w:wordWrap/>
              <w:topLinePunct w:val="0"/>
              <w:bidi w:val="0"/>
              <w:spacing w:line="440" w:lineRule="exact"/>
              <w:jc w:val="center"/>
              <w:rPr>
                <w:color w:val="000000"/>
                <w:szCs w:val="21"/>
              </w:rPr>
            </w:pPr>
          </w:p>
        </w:tc>
        <w:tc>
          <w:tcPr>
            <w:tcW w:w="1754" w:type="dxa"/>
            <w:noWrap w:val="0"/>
            <w:vAlign w:val="center"/>
          </w:tcPr>
          <w:p w14:paraId="04305FDA">
            <w:pPr>
              <w:pageBreakBefore w:val="0"/>
              <w:kinsoku/>
              <w:wordWrap/>
              <w:topLinePunct w:val="0"/>
              <w:bidi w:val="0"/>
              <w:spacing w:line="440" w:lineRule="exact"/>
              <w:jc w:val="center"/>
              <w:rPr>
                <w:color w:val="000000"/>
                <w:szCs w:val="21"/>
              </w:rPr>
            </w:pPr>
          </w:p>
        </w:tc>
        <w:tc>
          <w:tcPr>
            <w:tcW w:w="1929" w:type="dxa"/>
            <w:noWrap w:val="0"/>
            <w:vAlign w:val="center"/>
          </w:tcPr>
          <w:p w14:paraId="6C4DB429">
            <w:pPr>
              <w:pageBreakBefore w:val="0"/>
              <w:kinsoku/>
              <w:wordWrap/>
              <w:topLinePunct w:val="0"/>
              <w:bidi w:val="0"/>
              <w:spacing w:line="440" w:lineRule="exact"/>
              <w:jc w:val="center"/>
              <w:rPr>
                <w:color w:val="000000"/>
                <w:szCs w:val="21"/>
              </w:rPr>
            </w:pPr>
          </w:p>
        </w:tc>
        <w:tc>
          <w:tcPr>
            <w:tcW w:w="1579" w:type="dxa"/>
            <w:noWrap w:val="0"/>
            <w:vAlign w:val="center"/>
          </w:tcPr>
          <w:p w14:paraId="023D96E8">
            <w:pPr>
              <w:pageBreakBefore w:val="0"/>
              <w:kinsoku/>
              <w:wordWrap/>
              <w:topLinePunct w:val="0"/>
              <w:bidi w:val="0"/>
              <w:spacing w:line="440" w:lineRule="exact"/>
              <w:jc w:val="center"/>
              <w:rPr>
                <w:color w:val="000000"/>
                <w:szCs w:val="21"/>
              </w:rPr>
            </w:pPr>
          </w:p>
        </w:tc>
        <w:tc>
          <w:tcPr>
            <w:tcW w:w="1144" w:type="dxa"/>
            <w:noWrap w:val="0"/>
            <w:vAlign w:val="center"/>
          </w:tcPr>
          <w:p w14:paraId="333D516D">
            <w:pPr>
              <w:pageBreakBefore w:val="0"/>
              <w:kinsoku/>
              <w:wordWrap/>
              <w:topLinePunct w:val="0"/>
              <w:bidi w:val="0"/>
              <w:spacing w:line="440" w:lineRule="exact"/>
              <w:jc w:val="center"/>
              <w:rPr>
                <w:color w:val="000000"/>
                <w:szCs w:val="21"/>
              </w:rPr>
            </w:pPr>
          </w:p>
        </w:tc>
      </w:tr>
      <w:tr w14:paraId="04E75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04" w:type="dxa"/>
            <w:noWrap w:val="0"/>
            <w:vAlign w:val="center"/>
          </w:tcPr>
          <w:p w14:paraId="0AFD583E">
            <w:pPr>
              <w:pageBreakBefore w:val="0"/>
              <w:kinsoku/>
              <w:wordWrap/>
              <w:topLinePunct w:val="0"/>
              <w:bidi w:val="0"/>
              <w:spacing w:line="440" w:lineRule="exact"/>
              <w:jc w:val="center"/>
              <w:rPr>
                <w:color w:val="000000"/>
                <w:szCs w:val="21"/>
              </w:rPr>
            </w:pPr>
          </w:p>
        </w:tc>
        <w:tc>
          <w:tcPr>
            <w:tcW w:w="1691" w:type="dxa"/>
            <w:noWrap w:val="0"/>
            <w:vAlign w:val="center"/>
          </w:tcPr>
          <w:p w14:paraId="0E2F5AD8">
            <w:pPr>
              <w:pageBreakBefore w:val="0"/>
              <w:kinsoku/>
              <w:wordWrap/>
              <w:topLinePunct w:val="0"/>
              <w:bidi w:val="0"/>
              <w:spacing w:line="440" w:lineRule="exact"/>
              <w:jc w:val="center"/>
              <w:rPr>
                <w:color w:val="000000"/>
                <w:szCs w:val="21"/>
              </w:rPr>
            </w:pPr>
          </w:p>
        </w:tc>
        <w:tc>
          <w:tcPr>
            <w:tcW w:w="1754" w:type="dxa"/>
            <w:noWrap w:val="0"/>
            <w:vAlign w:val="center"/>
          </w:tcPr>
          <w:p w14:paraId="00475719">
            <w:pPr>
              <w:pageBreakBefore w:val="0"/>
              <w:kinsoku/>
              <w:wordWrap/>
              <w:topLinePunct w:val="0"/>
              <w:bidi w:val="0"/>
              <w:spacing w:line="440" w:lineRule="exact"/>
              <w:jc w:val="center"/>
              <w:rPr>
                <w:color w:val="000000"/>
                <w:szCs w:val="21"/>
              </w:rPr>
            </w:pPr>
          </w:p>
        </w:tc>
        <w:tc>
          <w:tcPr>
            <w:tcW w:w="1929" w:type="dxa"/>
            <w:noWrap w:val="0"/>
            <w:vAlign w:val="center"/>
          </w:tcPr>
          <w:p w14:paraId="55DC9A3E">
            <w:pPr>
              <w:pageBreakBefore w:val="0"/>
              <w:kinsoku/>
              <w:wordWrap/>
              <w:topLinePunct w:val="0"/>
              <w:bidi w:val="0"/>
              <w:spacing w:line="440" w:lineRule="exact"/>
              <w:jc w:val="center"/>
              <w:rPr>
                <w:color w:val="000000"/>
                <w:szCs w:val="21"/>
              </w:rPr>
            </w:pPr>
          </w:p>
        </w:tc>
        <w:tc>
          <w:tcPr>
            <w:tcW w:w="1579" w:type="dxa"/>
            <w:noWrap w:val="0"/>
            <w:vAlign w:val="center"/>
          </w:tcPr>
          <w:p w14:paraId="5AC50ED7">
            <w:pPr>
              <w:pageBreakBefore w:val="0"/>
              <w:kinsoku/>
              <w:wordWrap/>
              <w:topLinePunct w:val="0"/>
              <w:bidi w:val="0"/>
              <w:spacing w:line="440" w:lineRule="exact"/>
              <w:jc w:val="center"/>
              <w:rPr>
                <w:color w:val="000000"/>
                <w:szCs w:val="21"/>
              </w:rPr>
            </w:pPr>
          </w:p>
        </w:tc>
        <w:tc>
          <w:tcPr>
            <w:tcW w:w="1144" w:type="dxa"/>
            <w:noWrap w:val="0"/>
            <w:vAlign w:val="center"/>
          </w:tcPr>
          <w:p w14:paraId="1CA88982">
            <w:pPr>
              <w:pageBreakBefore w:val="0"/>
              <w:kinsoku/>
              <w:wordWrap/>
              <w:topLinePunct w:val="0"/>
              <w:bidi w:val="0"/>
              <w:spacing w:line="440" w:lineRule="exact"/>
              <w:jc w:val="center"/>
              <w:rPr>
                <w:color w:val="000000"/>
                <w:szCs w:val="21"/>
              </w:rPr>
            </w:pPr>
          </w:p>
        </w:tc>
      </w:tr>
      <w:tr w14:paraId="203B2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04" w:type="dxa"/>
            <w:noWrap w:val="0"/>
            <w:vAlign w:val="center"/>
          </w:tcPr>
          <w:p w14:paraId="7D89E5E9">
            <w:pPr>
              <w:pageBreakBefore w:val="0"/>
              <w:kinsoku/>
              <w:wordWrap/>
              <w:topLinePunct w:val="0"/>
              <w:bidi w:val="0"/>
              <w:spacing w:line="440" w:lineRule="exact"/>
              <w:jc w:val="center"/>
              <w:rPr>
                <w:color w:val="000000"/>
                <w:szCs w:val="21"/>
              </w:rPr>
            </w:pPr>
          </w:p>
        </w:tc>
        <w:tc>
          <w:tcPr>
            <w:tcW w:w="1691" w:type="dxa"/>
            <w:noWrap w:val="0"/>
            <w:vAlign w:val="center"/>
          </w:tcPr>
          <w:p w14:paraId="44609CA8">
            <w:pPr>
              <w:pageBreakBefore w:val="0"/>
              <w:kinsoku/>
              <w:wordWrap/>
              <w:topLinePunct w:val="0"/>
              <w:bidi w:val="0"/>
              <w:spacing w:line="440" w:lineRule="exact"/>
              <w:jc w:val="center"/>
              <w:rPr>
                <w:color w:val="000000"/>
                <w:szCs w:val="21"/>
              </w:rPr>
            </w:pPr>
          </w:p>
        </w:tc>
        <w:tc>
          <w:tcPr>
            <w:tcW w:w="1754" w:type="dxa"/>
            <w:noWrap w:val="0"/>
            <w:vAlign w:val="center"/>
          </w:tcPr>
          <w:p w14:paraId="0A74E367">
            <w:pPr>
              <w:pageBreakBefore w:val="0"/>
              <w:kinsoku/>
              <w:wordWrap/>
              <w:topLinePunct w:val="0"/>
              <w:bidi w:val="0"/>
              <w:spacing w:line="440" w:lineRule="exact"/>
              <w:jc w:val="center"/>
              <w:rPr>
                <w:color w:val="000000"/>
                <w:szCs w:val="21"/>
              </w:rPr>
            </w:pPr>
          </w:p>
        </w:tc>
        <w:tc>
          <w:tcPr>
            <w:tcW w:w="1929" w:type="dxa"/>
            <w:noWrap w:val="0"/>
            <w:vAlign w:val="center"/>
          </w:tcPr>
          <w:p w14:paraId="30B0C433">
            <w:pPr>
              <w:pageBreakBefore w:val="0"/>
              <w:kinsoku/>
              <w:wordWrap/>
              <w:topLinePunct w:val="0"/>
              <w:bidi w:val="0"/>
              <w:spacing w:line="440" w:lineRule="exact"/>
              <w:jc w:val="center"/>
              <w:rPr>
                <w:color w:val="000000"/>
                <w:szCs w:val="21"/>
              </w:rPr>
            </w:pPr>
          </w:p>
        </w:tc>
        <w:tc>
          <w:tcPr>
            <w:tcW w:w="1579" w:type="dxa"/>
            <w:noWrap w:val="0"/>
            <w:vAlign w:val="center"/>
          </w:tcPr>
          <w:p w14:paraId="2A0D5857">
            <w:pPr>
              <w:pageBreakBefore w:val="0"/>
              <w:kinsoku/>
              <w:wordWrap/>
              <w:topLinePunct w:val="0"/>
              <w:bidi w:val="0"/>
              <w:spacing w:line="440" w:lineRule="exact"/>
              <w:jc w:val="center"/>
              <w:rPr>
                <w:color w:val="000000"/>
                <w:szCs w:val="21"/>
              </w:rPr>
            </w:pPr>
          </w:p>
        </w:tc>
        <w:tc>
          <w:tcPr>
            <w:tcW w:w="1144" w:type="dxa"/>
            <w:noWrap w:val="0"/>
            <w:vAlign w:val="center"/>
          </w:tcPr>
          <w:p w14:paraId="62140432">
            <w:pPr>
              <w:pageBreakBefore w:val="0"/>
              <w:kinsoku/>
              <w:wordWrap/>
              <w:topLinePunct w:val="0"/>
              <w:bidi w:val="0"/>
              <w:spacing w:line="440" w:lineRule="exact"/>
              <w:jc w:val="center"/>
              <w:rPr>
                <w:color w:val="000000"/>
                <w:szCs w:val="21"/>
              </w:rPr>
            </w:pPr>
          </w:p>
        </w:tc>
      </w:tr>
      <w:tr w14:paraId="546C9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04" w:type="dxa"/>
            <w:noWrap w:val="0"/>
            <w:vAlign w:val="center"/>
          </w:tcPr>
          <w:p w14:paraId="5BB164C1">
            <w:pPr>
              <w:pageBreakBefore w:val="0"/>
              <w:kinsoku/>
              <w:wordWrap/>
              <w:topLinePunct w:val="0"/>
              <w:bidi w:val="0"/>
              <w:spacing w:line="440" w:lineRule="exact"/>
              <w:jc w:val="center"/>
              <w:rPr>
                <w:color w:val="000000"/>
                <w:szCs w:val="21"/>
              </w:rPr>
            </w:pPr>
          </w:p>
        </w:tc>
        <w:tc>
          <w:tcPr>
            <w:tcW w:w="1691" w:type="dxa"/>
            <w:noWrap w:val="0"/>
            <w:vAlign w:val="center"/>
          </w:tcPr>
          <w:p w14:paraId="4C173E86">
            <w:pPr>
              <w:pageBreakBefore w:val="0"/>
              <w:kinsoku/>
              <w:wordWrap/>
              <w:topLinePunct w:val="0"/>
              <w:bidi w:val="0"/>
              <w:spacing w:line="440" w:lineRule="exact"/>
              <w:jc w:val="center"/>
              <w:rPr>
                <w:color w:val="000000"/>
                <w:szCs w:val="21"/>
              </w:rPr>
            </w:pPr>
          </w:p>
        </w:tc>
        <w:tc>
          <w:tcPr>
            <w:tcW w:w="1754" w:type="dxa"/>
            <w:noWrap w:val="0"/>
            <w:vAlign w:val="center"/>
          </w:tcPr>
          <w:p w14:paraId="28D75DE6">
            <w:pPr>
              <w:pageBreakBefore w:val="0"/>
              <w:kinsoku/>
              <w:wordWrap/>
              <w:topLinePunct w:val="0"/>
              <w:bidi w:val="0"/>
              <w:spacing w:line="440" w:lineRule="exact"/>
              <w:jc w:val="center"/>
              <w:rPr>
                <w:color w:val="000000"/>
                <w:szCs w:val="21"/>
              </w:rPr>
            </w:pPr>
          </w:p>
        </w:tc>
        <w:tc>
          <w:tcPr>
            <w:tcW w:w="1929" w:type="dxa"/>
            <w:noWrap w:val="0"/>
            <w:vAlign w:val="center"/>
          </w:tcPr>
          <w:p w14:paraId="35A214A0">
            <w:pPr>
              <w:pageBreakBefore w:val="0"/>
              <w:kinsoku/>
              <w:wordWrap/>
              <w:topLinePunct w:val="0"/>
              <w:bidi w:val="0"/>
              <w:spacing w:line="440" w:lineRule="exact"/>
              <w:jc w:val="center"/>
              <w:rPr>
                <w:color w:val="000000"/>
                <w:szCs w:val="21"/>
              </w:rPr>
            </w:pPr>
          </w:p>
        </w:tc>
        <w:tc>
          <w:tcPr>
            <w:tcW w:w="1579" w:type="dxa"/>
            <w:noWrap w:val="0"/>
            <w:vAlign w:val="center"/>
          </w:tcPr>
          <w:p w14:paraId="70FA2570">
            <w:pPr>
              <w:pageBreakBefore w:val="0"/>
              <w:kinsoku/>
              <w:wordWrap/>
              <w:topLinePunct w:val="0"/>
              <w:bidi w:val="0"/>
              <w:spacing w:line="440" w:lineRule="exact"/>
              <w:jc w:val="center"/>
              <w:rPr>
                <w:color w:val="000000"/>
                <w:szCs w:val="21"/>
              </w:rPr>
            </w:pPr>
          </w:p>
        </w:tc>
        <w:tc>
          <w:tcPr>
            <w:tcW w:w="1144" w:type="dxa"/>
            <w:noWrap w:val="0"/>
            <w:vAlign w:val="center"/>
          </w:tcPr>
          <w:p w14:paraId="5B7F28DA">
            <w:pPr>
              <w:pageBreakBefore w:val="0"/>
              <w:kinsoku/>
              <w:wordWrap/>
              <w:topLinePunct w:val="0"/>
              <w:bidi w:val="0"/>
              <w:spacing w:line="440" w:lineRule="exact"/>
              <w:jc w:val="center"/>
              <w:rPr>
                <w:color w:val="000000"/>
                <w:szCs w:val="21"/>
              </w:rPr>
            </w:pPr>
          </w:p>
        </w:tc>
      </w:tr>
      <w:tr w14:paraId="60AD6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04" w:type="dxa"/>
            <w:noWrap w:val="0"/>
            <w:vAlign w:val="center"/>
          </w:tcPr>
          <w:p w14:paraId="202705AA">
            <w:pPr>
              <w:pageBreakBefore w:val="0"/>
              <w:kinsoku/>
              <w:wordWrap/>
              <w:topLinePunct w:val="0"/>
              <w:bidi w:val="0"/>
              <w:spacing w:line="440" w:lineRule="exact"/>
              <w:jc w:val="center"/>
              <w:rPr>
                <w:color w:val="000000"/>
                <w:szCs w:val="21"/>
              </w:rPr>
            </w:pPr>
          </w:p>
        </w:tc>
        <w:tc>
          <w:tcPr>
            <w:tcW w:w="1691" w:type="dxa"/>
            <w:noWrap w:val="0"/>
            <w:vAlign w:val="center"/>
          </w:tcPr>
          <w:p w14:paraId="3D2A1167">
            <w:pPr>
              <w:pageBreakBefore w:val="0"/>
              <w:kinsoku/>
              <w:wordWrap/>
              <w:topLinePunct w:val="0"/>
              <w:bidi w:val="0"/>
              <w:spacing w:line="440" w:lineRule="exact"/>
              <w:jc w:val="center"/>
              <w:rPr>
                <w:color w:val="000000"/>
                <w:szCs w:val="21"/>
              </w:rPr>
            </w:pPr>
          </w:p>
        </w:tc>
        <w:tc>
          <w:tcPr>
            <w:tcW w:w="1754" w:type="dxa"/>
            <w:noWrap w:val="0"/>
            <w:vAlign w:val="center"/>
          </w:tcPr>
          <w:p w14:paraId="62E781F7">
            <w:pPr>
              <w:pageBreakBefore w:val="0"/>
              <w:kinsoku/>
              <w:wordWrap/>
              <w:topLinePunct w:val="0"/>
              <w:bidi w:val="0"/>
              <w:spacing w:line="440" w:lineRule="exact"/>
              <w:jc w:val="center"/>
              <w:rPr>
                <w:color w:val="000000"/>
                <w:szCs w:val="21"/>
              </w:rPr>
            </w:pPr>
          </w:p>
        </w:tc>
        <w:tc>
          <w:tcPr>
            <w:tcW w:w="1929" w:type="dxa"/>
            <w:noWrap w:val="0"/>
            <w:vAlign w:val="center"/>
          </w:tcPr>
          <w:p w14:paraId="76AED589">
            <w:pPr>
              <w:pageBreakBefore w:val="0"/>
              <w:kinsoku/>
              <w:wordWrap/>
              <w:topLinePunct w:val="0"/>
              <w:bidi w:val="0"/>
              <w:spacing w:line="440" w:lineRule="exact"/>
              <w:jc w:val="center"/>
              <w:rPr>
                <w:color w:val="000000"/>
                <w:szCs w:val="21"/>
              </w:rPr>
            </w:pPr>
          </w:p>
        </w:tc>
        <w:tc>
          <w:tcPr>
            <w:tcW w:w="1579" w:type="dxa"/>
            <w:noWrap w:val="0"/>
            <w:vAlign w:val="center"/>
          </w:tcPr>
          <w:p w14:paraId="479FA077">
            <w:pPr>
              <w:pageBreakBefore w:val="0"/>
              <w:kinsoku/>
              <w:wordWrap/>
              <w:topLinePunct w:val="0"/>
              <w:bidi w:val="0"/>
              <w:spacing w:line="440" w:lineRule="exact"/>
              <w:jc w:val="center"/>
              <w:rPr>
                <w:color w:val="000000"/>
                <w:szCs w:val="21"/>
              </w:rPr>
            </w:pPr>
          </w:p>
        </w:tc>
        <w:tc>
          <w:tcPr>
            <w:tcW w:w="1144" w:type="dxa"/>
            <w:noWrap w:val="0"/>
            <w:vAlign w:val="center"/>
          </w:tcPr>
          <w:p w14:paraId="4349F019">
            <w:pPr>
              <w:pageBreakBefore w:val="0"/>
              <w:kinsoku/>
              <w:wordWrap/>
              <w:topLinePunct w:val="0"/>
              <w:bidi w:val="0"/>
              <w:spacing w:line="440" w:lineRule="exact"/>
              <w:jc w:val="center"/>
              <w:rPr>
                <w:color w:val="000000"/>
                <w:szCs w:val="21"/>
              </w:rPr>
            </w:pPr>
          </w:p>
        </w:tc>
      </w:tr>
      <w:tr w14:paraId="483E4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04" w:type="dxa"/>
            <w:noWrap w:val="0"/>
            <w:vAlign w:val="center"/>
          </w:tcPr>
          <w:p w14:paraId="2A73CB5C">
            <w:pPr>
              <w:pageBreakBefore w:val="0"/>
              <w:kinsoku/>
              <w:wordWrap/>
              <w:topLinePunct w:val="0"/>
              <w:bidi w:val="0"/>
              <w:spacing w:line="440" w:lineRule="exact"/>
              <w:jc w:val="center"/>
              <w:rPr>
                <w:color w:val="000000"/>
                <w:szCs w:val="21"/>
              </w:rPr>
            </w:pPr>
          </w:p>
        </w:tc>
        <w:tc>
          <w:tcPr>
            <w:tcW w:w="1691" w:type="dxa"/>
            <w:noWrap w:val="0"/>
            <w:vAlign w:val="center"/>
          </w:tcPr>
          <w:p w14:paraId="58777BCE">
            <w:pPr>
              <w:pageBreakBefore w:val="0"/>
              <w:kinsoku/>
              <w:wordWrap/>
              <w:topLinePunct w:val="0"/>
              <w:bidi w:val="0"/>
              <w:spacing w:line="440" w:lineRule="exact"/>
              <w:jc w:val="center"/>
              <w:rPr>
                <w:color w:val="000000"/>
                <w:szCs w:val="21"/>
              </w:rPr>
            </w:pPr>
          </w:p>
        </w:tc>
        <w:tc>
          <w:tcPr>
            <w:tcW w:w="1754" w:type="dxa"/>
            <w:noWrap w:val="0"/>
            <w:vAlign w:val="center"/>
          </w:tcPr>
          <w:p w14:paraId="17725993">
            <w:pPr>
              <w:pageBreakBefore w:val="0"/>
              <w:kinsoku/>
              <w:wordWrap/>
              <w:topLinePunct w:val="0"/>
              <w:bidi w:val="0"/>
              <w:spacing w:line="440" w:lineRule="exact"/>
              <w:jc w:val="center"/>
              <w:rPr>
                <w:color w:val="000000"/>
                <w:szCs w:val="21"/>
              </w:rPr>
            </w:pPr>
          </w:p>
        </w:tc>
        <w:tc>
          <w:tcPr>
            <w:tcW w:w="1929" w:type="dxa"/>
            <w:noWrap w:val="0"/>
            <w:vAlign w:val="center"/>
          </w:tcPr>
          <w:p w14:paraId="6AF8A834">
            <w:pPr>
              <w:pageBreakBefore w:val="0"/>
              <w:kinsoku/>
              <w:wordWrap/>
              <w:topLinePunct w:val="0"/>
              <w:bidi w:val="0"/>
              <w:spacing w:line="440" w:lineRule="exact"/>
              <w:jc w:val="center"/>
              <w:rPr>
                <w:color w:val="000000"/>
                <w:szCs w:val="21"/>
              </w:rPr>
            </w:pPr>
          </w:p>
        </w:tc>
        <w:tc>
          <w:tcPr>
            <w:tcW w:w="1579" w:type="dxa"/>
            <w:noWrap w:val="0"/>
            <w:vAlign w:val="center"/>
          </w:tcPr>
          <w:p w14:paraId="139212D8">
            <w:pPr>
              <w:pageBreakBefore w:val="0"/>
              <w:kinsoku/>
              <w:wordWrap/>
              <w:topLinePunct w:val="0"/>
              <w:bidi w:val="0"/>
              <w:spacing w:line="440" w:lineRule="exact"/>
              <w:jc w:val="center"/>
              <w:rPr>
                <w:color w:val="000000"/>
                <w:szCs w:val="21"/>
              </w:rPr>
            </w:pPr>
          </w:p>
        </w:tc>
        <w:tc>
          <w:tcPr>
            <w:tcW w:w="1144" w:type="dxa"/>
            <w:noWrap w:val="0"/>
            <w:vAlign w:val="center"/>
          </w:tcPr>
          <w:p w14:paraId="34951A3B">
            <w:pPr>
              <w:pageBreakBefore w:val="0"/>
              <w:kinsoku/>
              <w:wordWrap/>
              <w:topLinePunct w:val="0"/>
              <w:bidi w:val="0"/>
              <w:spacing w:line="440" w:lineRule="exact"/>
              <w:jc w:val="center"/>
              <w:rPr>
                <w:color w:val="000000"/>
                <w:szCs w:val="21"/>
              </w:rPr>
            </w:pPr>
          </w:p>
        </w:tc>
      </w:tr>
    </w:tbl>
    <w:p w14:paraId="0985BC16">
      <w:pPr>
        <w:pageBreakBefore w:val="0"/>
        <w:kinsoku/>
        <w:wordWrap/>
        <w:topLinePunct w:val="0"/>
        <w:bidi w:val="0"/>
        <w:spacing w:line="440" w:lineRule="exact"/>
        <w:rPr>
          <w:rFonts w:hint="eastAsia" w:ascii="宋体" w:hAnsi="宋体"/>
          <w:color w:val="000000"/>
          <w:szCs w:val="21"/>
        </w:rPr>
      </w:pPr>
    </w:p>
    <w:p w14:paraId="02D47CDC">
      <w:pPr>
        <w:pageBreakBefore w:val="0"/>
        <w:kinsoku/>
        <w:wordWrap/>
        <w:topLinePunct w:val="0"/>
        <w:bidi w:val="0"/>
        <w:spacing w:line="440" w:lineRule="exact"/>
        <w:ind w:firstLine="660" w:firstLineChars="300"/>
        <w:rPr>
          <w:rFonts w:hint="eastAsia" w:ascii="宋体" w:hAnsi="宋体"/>
          <w:color w:val="000000"/>
          <w:szCs w:val="21"/>
        </w:rPr>
      </w:pPr>
      <w:r>
        <w:rPr>
          <w:rFonts w:hint="eastAsia" w:ascii="宋体" w:hAnsi="宋体"/>
          <w:color w:val="000000"/>
          <w:szCs w:val="21"/>
        </w:rPr>
        <w:t>注：1、类似项目业绩是指从事后勤服务或物业管理服务的业绩；</w:t>
      </w:r>
    </w:p>
    <w:p w14:paraId="752A02A6">
      <w:pPr>
        <w:pageBreakBefore w:val="0"/>
        <w:kinsoku/>
        <w:wordWrap/>
        <w:topLinePunct w:val="0"/>
        <w:bidi w:val="0"/>
        <w:spacing w:line="440" w:lineRule="exact"/>
        <w:ind w:firstLine="1100" w:firstLineChars="500"/>
        <w:rPr>
          <w:rFonts w:hint="eastAsia" w:ascii="宋体" w:hAnsi="宋体" w:eastAsia="宋体"/>
          <w:color w:val="000000"/>
          <w:szCs w:val="21"/>
          <w:lang w:eastAsia="zh-CN"/>
        </w:rPr>
      </w:pPr>
      <w:r>
        <w:rPr>
          <w:rFonts w:hint="eastAsia" w:ascii="宋体" w:hAnsi="宋体"/>
          <w:color w:val="000000"/>
          <w:szCs w:val="21"/>
        </w:rPr>
        <w:t>2、附相关业绩合同或相关资料予以证明</w:t>
      </w:r>
      <w:r>
        <w:rPr>
          <w:rFonts w:hint="eastAsia" w:ascii="宋体" w:hAnsi="宋体"/>
          <w:color w:val="000000"/>
          <w:szCs w:val="21"/>
          <w:lang w:eastAsia="zh-CN"/>
        </w:rPr>
        <w:t>。</w:t>
      </w:r>
    </w:p>
    <w:p w14:paraId="172B386E">
      <w:pPr>
        <w:pageBreakBefore w:val="0"/>
        <w:kinsoku/>
        <w:wordWrap/>
        <w:topLinePunct w:val="0"/>
        <w:bidi w:val="0"/>
        <w:spacing w:line="440" w:lineRule="exact"/>
        <w:ind w:left="220" w:leftChars="100" w:firstLine="440" w:firstLineChars="200"/>
        <w:jc w:val="right"/>
        <w:rPr>
          <w:rFonts w:hint="eastAsia" w:ascii="宋体" w:hAnsi="宋体"/>
          <w:color w:val="000000"/>
          <w:szCs w:val="21"/>
          <w:u w:val="single"/>
        </w:rPr>
      </w:pPr>
      <w:r>
        <w:rPr>
          <w:rFonts w:hint="eastAsia" w:ascii="宋体" w:hAnsi="宋体"/>
          <w:color w:val="000000"/>
          <w:szCs w:val="21"/>
          <w:lang w:eastAsia="zh-CN"/>
        </w:rPr>
        <w:t>磋商</w:t>
      </w:r>
      <w:r>
        <w:rPr>
          <w:rFonts w:hint="eastAsia" w:ascii="宋体" w:hAnsi="宋体"/>
          <w:color w:val="000000"/>
          <w:szCs w:val="21"/>
        </w:rPr>
        <w:t>申请人：</w:t>
      </w:r>
      <w:r>
        <w:rPr>
          <w:rFonts w:hint="eastAsia" w:ascii="宋体" w:hAnsi="宋体"/>
          <w:color w:val="000000"/>
          <w:szCs w:val="21"/>
          <w:u w:val="single"/>
        </w:rPr>
        <w:t xml:space="preserve">             （加盖公章）</w:t>
      </w:r>
    </w:p>
    <w:p w14:paraId="592DD82A">
      <w:pPr>
        <w:pageBreakBefore w:val="0"/>
        <w:kinsoku/>
        <w:wordWrap/>
        <w:topLinePunct w:val="0"/>
        <w:bidi w:val="0"/>
        <w:spacing w:line="440" w:lineRule="exact"/>
        <w:ind w:firstLine="110" w:firstLineChars="50"/>
        <w:jc w:val="right"/>
        <w:rPr>
          <w:rFonts w:ascii="宋体" w:hAnsi="宋体"/>
          <w:color w:val="000000"/>
          <w:szCs w:val="21"/>
          <w:u w:val="single"/>
        </w:rPr>
      </w:pPr>
      <w:r>
        <w:rPr>
          <w:rFonts w:hint="eastAsia" w:ascii="宋体" w:hAnsi="宋体"/>
          <w:color w:val="000000"/>
          <w:szCs w:val="21"/>
        </w:rPr>
        <w:t>法定代表人或其委托代理人：</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（签字或盖章）</w:t>
      </w:r>
    </w:p>
    <w:p w14:paraId="13EB5D85">
      <w:pPr>
        <w:pageBreakBefore w:val="0"/>
        <w:kinsoku/>
        <w:wordWrap/>
        <w:topLinePunct w:val="0"/>
        <w:bidi w:val="0"/>
        <w:spacing w:line="440" w:lineRule="exact"/>
        <w:ind w:left="220" w:leftChars="100" w:firstLine="440" w:firstLineChars="200"/>
        <w:jc w:val="right"/>
        <w:rPr>
          <w:rFonts w:ascii="宋体" w:hAnsi="宋体"/>
          <w:color w:val="000000"/>
          <w:szCs w:val="21"/>
        </w:rPr>
      </w:pPr>
      <w:r>
        <w:rPr>
          <w:rFonts w:hint="eastAsia" w:ascii="宋体" w:hAnsi="宋体"/>
          <w:color w:val="000000"/>
          <w:szCs w:val="21"/>
        </w:rPr>
        <w:t>日    期：</w:t>
      </w:r>
      <w:r>
        <w:rPr>
          <w:rFonts w:hint="eastAsia" w:ascii="宋体" w:hAnsi="宋体"/>
          <w:color w:val="000000"/>
          <w:szCs w:val="21"/>
          <w:u w:val="single"/>
        </w:rPr>
        <w:t xml:space="preserve">      年     月     日</w:t>
      </w:r>
    </w:p>
    <w:p w14:paraId="60A2CA53">
      <w:pPr>
        <w:pStyle w:val="38"/>
        <w:rPr>
          <w:rFonts w:hint="eastAsia" w:asciiTheme="minorEastAsia" w:hAnsiTheme="minorEastAsia" w:eastAsiaTheme="minorEastAsia" w:cstheme="minorEastAsia"/>
          <w:bCs w:val="0"/>
          <w:color w:val="auto"/>
          <w:sz w:val="21"/>
          <w:szCs w:val="21"/>
          <w:highlight w:val="none"/>
        </w:rPr>
      </w:pPr>
    </w:p>
    <w:p w14:paraId="77D47A56">
      <w:pPr>
        <w:pStyle w:val="38"/>
        <w:rPr>
          <w:rFonts w:hint="eastAsia" w:asciiTheme="minorEastAsia" w:hAnsiTheme="minorEastAsia" w:eastAsiaTheme="minorEastAsia" w:cstheme="minorEastAsia"/>
          <w:bCs w:val="0"/>
          <w:color w:val="auto"/>
          <w:sz w:val="21"/>
          <w:szCs w:val="21"/>
          <w:highlight w:val="none"/>
        </w:rPr>
      </w:pPr>
    </w:p>
    <w:p w14:paraId="0E28B422">
      <w:pPr>
        <w:pStyle w:val="38"/>
        <w:rPr>
          <w:rFonts w:hint="eastAsia" w:asciiTheme="minorEastAsia" w:hAnsiTheme="minorEastAsia" w:eastAsiaTheme="minorEastAsia" w:cstheme="minorEastAsia"/>
          <w:bCs w:val="0"/>
          <w:color w:val="auto"/>
          <w:sz w:val="21"/>
          <w:szCs w:val="21"/>
          <w:highlight w:val="none"/>
        </w:rPr>
      </w:pPr>
    </w:p>
    <w:p w14:paraId="2BC1A7FF">
      <w:pPr>
        <w:pStyle w:val="38"/>
        <w:rPr>
          <w:rFonts w:hint="eastAsia" w:asciiTheme="minorEastAsia" w:hAnsiTheme="minorEastAsia" w:eastAsiaTheme="minorEastAsia" w:cstheme="minorEastAsia"/>
          <w:bCs w:val="0"/>
          <w:color w:val="auto"/>
          <w:sz w:val="21"/>
          <w:szCs w:val="21"/>
          <w:highlight w:val="none"/>
        </w:rPr>
      </w:pPr>
    </w:p>
    <w:p w14:paraId="79E47935">
      <w:pPr>
        <w:pStyle w:val="38"/>
        <w:rPr>
          <w:rFonts w:hint="eastAsia" w:asciiTheme="minorEastAsia" w:hAnsiTheme="minorEastAsia" w:eastAsiaTheme="minorEastAsia" w:cstheme="minorEastAsia"/>
          <w:bCs w:val="0"/>
          <w:color w:val="auto"/>
          <w:sz w:val="21"/>
          <w:szCs w:val="21"/>
          <w:highlight w:val="none"/>
        </w:rPr>
      </w:pPr>
    </w:p>
    <w:p w14:paraId="5C359AEF">
      <w:pPr>
        <w:pStyle w:val="38"/>
        <w:ind w:left="0" w:leftChars="0" w:firstLine="0" w:firstLineChars="0"/>
        <w:rPr>
          <w:rFonts w:hint="eastAsia" w:asciiTheme="minorEastAsia" w:hAnsiTheme="minorEastAsia" w:eastAsiaTheme="minorEastAsia" w:cstheme="minorEastAsia"/>
          <w:bCs w:val="0"/>
          <w:color w:val="auto"/>
          <w:sz w:val="21"/>
          <w:szCs w:val="21"/>
          <w:highlight w:val="none"/>
        </w:rPr>
      </w:pPr>
    </w:p>
    <w:p w14:paraId="44A794A6">
      <w:pPr>
        <w:pageBreakBefore w:val="0"/>
        <w:kinsoku/>
        <w:wordWrap/>
        <w:topLinePunct w:val="0"/>
        <w:bidi w:val="0"/>
        <w:spacing w:line="440" w:lineRule="exact"/>
        <w:ind w:firstLine="782" w:firstLineChars="236"/>
        <w:jc w:val="center"/>
        <w:rPr>
          <w:rFonts w:ascii="宋体" w:hAnsi="宋体"/>
          <w:color w:val="000000"/>
          <w:sz w:val="30"/>
          <w:szCs w:val="30"/>
        </w:rPr>
      </w:pPr>
      <w:bookmarkStart w:id="268" w:name="_Toc491680797"/>
      <w:r>
        <w:rPr>
          <w:rFonts w:hint="eastAsia" w:ascii="宋体" w:hAnsi="宋体" w:eastAsia="宋体"/>
          <w:b/>
          <w:bCs/>
          <w:iCs/>
          <w:smallCaps/>
          <w:color w:val="000000"/>
          <w:spacing w:val="5"/>
          <w:kern w:val="0"/>
          <w:sz w:val="32"/>
          <w:szCs w:val="32"/>
          <w:lang w:val="en-US" w:eastAsia="zh-CN" w:bidi="en-US"/>
        </w:rPr>
        <w:t>六、主要参与本项目人员简介</w:t>
      </w:r>
      <w:bookmarkEnd w:id="268"/>
    </w:p>
    <w:tbl>
      <w:tblPr>
        <w:tblStyle w:val="62"/>
        <w:tblW w:w="0" w:type="auto"/>
        <w:tblInd w:w="5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2569"/>
        <w:gridCol w:w="2505"/>
        <w:gridCol w:w="3000"/>
      </w:tblGrid>
      <w:tr w14:paraId="59A3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center"/>
          </w:tcPr>
          <w:p w14:paraId="6C9EBF68">
            <w:pPr>
              <w:pStyle w:val="17"/>
              <w:pageBreakBefore w:val="0"/>
              <w:kinsoku/>
              <w:wordWrap/>
              <w:topLinePunct w:val="0"/>
              <w:bidi w:val="0"/>
              <w:snapToGrid w:val="0"/>
              <w:spacing w:line="440" w:lineRule="exact"/>
              <w:ind w:firstLine="0"/>
              <w:jc w:val="center"/>
              <w:rPr>
                <w:rFonts w:ascii="宋体" w:hAnsi="宋体"/>
                <w:bCs/>
                <w:color w:val="000000"/>
                <w:szCs w:val="21"/>
                <w:lang w:val="en-US" w:eastAsia="zh-CN"/>
              </w:rPr>
            </w:pPr>
            <w:r>
              <w:rPr>
                <w:rFonts w:hint="eastAsia" w:ascii="宋体" w:hAnsi="宋体"/>
                <w:bCs/>
                <w:color w:val="000000"/>
                <w:szCs w:val="21"/>
                <w:lang w:val="en-US" w:eastAsia="zh-CN"/>
              </w:rPr>
              <w:t>序号</w:t>
            </w:r>
          </w:p>
        </w:tc>
        <w:tc>
          <w:tcPr>
            <w:tcW w:w="2569" w:type="dxa"/>
            <w:noWrap w:val="0"/>
            <w:vAlign w:val="center"/>
          </w:tcPr>
          <w:p w14:paraId="66505A7E">
            <w:pPr>
              <w:pStyle w:val="17"/>
              <w:pageBreakBefore w:val="0"/>
              <w:kinsoku/>
              <w:wordWrap/>
              <w:topLinePunct w:val="0"/>
              <w:bidi w:val="0"/>
              <w:snapToGrid w:val="0"/>
              <w:spacing w:line="440" w:lineRule="exact"/>
              <w:ind w:firstLine="0"/>
              <w:jc w:val="center"/>
              <w:rPr>
                <w:rFonts w:ascii="宋体" w:hAnsi="宋体"/>
                <w:bCs/>
                <w:color w:val="000000"/>
                <w:szCs w:val="21"/>
                <w:lang w:val="en-US" w:eastAsia="zh-CN"/>
              </w:rPr>
            </w:pPr>
            <w:r>
              <w:rPr>
                <w:rFonts w:hint="eastAsia" w:ascii="宋体" w:hAnsi="宋体"/>
                <w:bCs/>
                <w:color w:val="000000"/>
                <w:szCs w:val="21"/>
                <w:lang w:val="en-US" w:eastAsia="zh-CN"/>
              </w:rPr>
              <w:t>姓名</w:t>
            </w:r>
          </w:p>
        </w:tc>
        <w:tc>
          <w:tcPr>
            <w:tcW w:w="2505" w:type="dxa"/>
            <w:noWrap w:val="0"/>
            <w:vAlign w:val="center"/>
          </w:tcPr>
          <w:p w14:paraId="4828842C">
            <w:pPr>
              <w:pStyle w:val="17"/>
              <w:pageBreakBefore w:val="0"/>
              <w:kinsoku/>
              <w:wordWrap/>
              <w:topLinePunct w:val="0"/>
              <w:bidi w:val="0"/>
              <w:snapToGrid w:val="0"/>
              <w:spacing w:line="440" w:lineRule="exact"/>
              <w:ind w:firstLine="0"/>
              <w:jc w:val="center"/>
              <w:rPr>
                <w:rFonts w:ascii="宋体" w:hAnsi="宋体"/>
                <w:bCs/>
                <w:color w:val="000000"/>
                <w:szCs w:val="21"/>
                <w:lang w:val="en-US" w:eastAsia="zh-CN"/>
              </w:rPr>
            </w:pPr>
            <w:r>
              <w:rPr>
                <w:rFonts w:hint="eastAsia" w:ascii="宋体" w:hAnsi="宋体"/>
                <w:bCs/>
                <w:color w:val="000000"/>
                <w:szCs w:val="21"/>
                <w:lang w:val="en-US" w:eastAsia="zh-CN"/>
              </w:rPr>
              <w:t>身份证号码</w:t>
            </w:r>
          </w:p>
        </w:tc>
        <w:tc>
          <w:tcPr>
            <w:tcW w:w="3000" w:type="dxa"/>
            <w:noWrap w:val="0"/>
            <w:vAlign w:val="center"/>
          </w:tcPr>
          <w:p w14:paraId="011D35D3">
            <w:pPr>
              <w:pageBreakBefore w:val="0"/>
              <w:kinsoku/>
              <w:wordWrap/>
              <w:topLinePunct w:val="0"/>
              <w:bidi w:val="0"/>
              <w:snapToGrid w:val="0"/>
              <w:spacing w:line="440" w:lineRule="exact"/>
              <w:jc w:val="center"/>
              <w:rPr>
                <w:rFonts w:ascii="宋体" w:hAnsi="宋体"/>
                <w:bCs/>
                <w:color w:val="000000"/>
                <w:szCs w:val="21"/>
              </w:rPr>
            </w:pPr>
            <w:r>
              <w:rPr>
                <w:rFonts w:hint="eastAsia" w:ascii="宋体" w:hAnsi="宋体"/>
                <w:bCs/>
                <w:color w:val="000000"/>
                <w:szCs w:val="21"/>
              </w:rPr>
              <w:t>本项目拟任职务</w:t>
            </w:r>
          </w:p>
        </w:tc>
      </w:tr>
      <w:tr w14:paraId="0E188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53D31391">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2569" w:type="dxa"/>
            <w:noWrap w:val="0"/>
            <w:vAlign w:val="top"/>
          </w:tcPr>
          <w:p w14:paraId="5DD55B3B">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2505" w:type="dxa"/>
            <w:noWrap w:val="0"/>
            <w:vAlign w:val="top"/>
          </w:tcPr>
          <w:p w14:paraId="212B0F25">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70DBA1D4">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3A95B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4E14AD99">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2421D03C">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464E9869">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3916B393">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47F83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60B53487">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1E596E0C">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04EEE107">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5904A35E">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55315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63155801">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7EEF508B">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12C9AFAC">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026DB25E">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1B459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182EDE6A">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35DACF0D">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745658F0">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6138A2AE">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20C5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58001690">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3D6B062F">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15C02B3E">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53EA1FDD">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7227E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417675CB">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3F5F99BC">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7391D368">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4D526F22">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5F5E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7A77CCA7">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6CCB5DBE">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5D308654">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79BD27A1">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199D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4F0DFF84">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097C7807">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2FF4F034">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26D1193D">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18A71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5E4B8797">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27933C5E">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0B066DCB">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7FC3AF67">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480A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2E6A48BF">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5726E3BE">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0A5E4F90">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45B5A7E9">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1AA2C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41E539ED">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6EEB82D2">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5E74DC71">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16D8DA43">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r w14:paraId="6F021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65" w:type="dxa"/>
            <w:noWrap w:val="0"/>
            <w:vAlign w:val="top"/>
          </w:tcPr>
          <w:p w14:paraId="4E2A925F">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69" w:type="dxa"/>
            <w:noWrap w:val="0"/>
            <w:vAlign w:val="top"/>
          </w:tcPr>
          <w:p w14:paraId="35912FCD">
            <w:pPr>
              <w:pStyle w:val="17"/>
              <w:pageBreakBefore w:val="0"/>
              <w:kinsoku/>
              <w:wordWrap/>
              <w:topLinePunct w:val="0"/>
              <w:bidi w:val="0"/>
              <w:spacing w:line="440" w:lineRule="exact"/>
              <w:ind w:firstLine="480"/>
              <w:rPr>
                <w:rFonts w:ascii="宋体" w:hAnsi="宋体"/>
                <w:color w:val="000000"/>
                <w:szCs w:val="21"/>
                <w:lang w:val="en-US" w:eastAsia="zh-CN"/>
              </w:rPr>
            </w:pPr>
          </w:p>
        </w:tc>
        <w:tc>
          <w:tcPr>
            <w:tcW w:w="2505" w:type="dxa"/>
            <w:noWrap w:val="0"/>
            <w:vAlign w:val="top"/>
          </w:tcPr>
          <w:p w14:paraId="493759DA">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c>
          <w:tcPr>
            <w:tcW w:w="3000" w:type="dxa"/>
            <w:noWrap w:val="0"/>
            <w:vAlign w:val="top"/>
          </w:tcPr>
          <w:p w14:paraId="31E7211B">
            <w:pPr>
              <w:pStyle w:val="17"/>
              <w:pageBreakBefore w:val="0"/>
              <w:kinsoku/>
              <w:wordWrap/>
              <w:topLinePunct w:val="0"/>
              <w:bidi w:val="0"/>
              <w:spacing w:line="440" w:lineRule="exact"/>
              <w:ind w:firstLine="480"/>
              <w:jc w:val="center"/>
              <w:rPr>
                <w:rFonts w:ascii="宋体" w:hAnsi="宋体"/>
                <w:color w:val="000000"/>
                <w:szCs w:val="21"/>
                <w:lang w:val="en-US" w:eastAsia="zh-CN"/>
              </w:rPr>
            </w:pPr>
          </w:p>
        </w:tc>
      </w:tr>
    </w:tbl>
    <w:p w14:paraId="42887B9F">
      <w:pPr>
        <w:pageBreakBefore w:val="0"/>
        <w:kinsoku/>
        <w:wordWrap/>
        <w:topLinePunct w:val="0"/>
        <w:bidi w:val="0"/>
        <w:spacing w:line="440" w:lineRule="exact"/>
        <w:rPr>
          <w:rFonts w:hint="eastAsia" w:ascii="宋体" w:hAnsi="宋体"/>
          <w:b/>
          <w:color w:val="000000"/>
          <w:szCs w:val="21"/>
        </w:rPr>
      </w:pPr>
      <w:r>
        <w:rPr>
          <w:rFonts w:hint="eastAsia" w:ascii="宋体" w:hAnsi="宋体"/>
          <w:b/>
          <w:color w:val="000000"/>
          <w:szCs w:val="21"/>
        </w:rPr>
        <w:t>注：附本项目主要人员身份证等相应证件复印件。</w:t>
      </w:r>
    </w:p>
    <w:p w14:paraId="54B9DCF6">
      <w:pPr>
        <w:pageBreakBefore w:val="0"/>
        <w:kinsoku/>
        <w:wordWrap/>
        <w:topLinePunct w:val="0"/>
        <w:bidi w:val="0"/>
        <w:spacing w:line="440" w:lineRule="exact"/>
        <w:ind w:left="220" w:leftChars="100" w:firstLine="440" w:firstLineChars="200"/>
        <w:jc w:val="right"/>
        <w:rPr>
          <w:rFonts w:hint="eastAsia" w:ascii="宋体" w:hAnsi="宋体"/>
          <w:color w:val="000000"/>
          <w:szCs w:val="21"/>
          <w:u w:val="single"/>
        </w:rPr>
      </w:pPr>
      <w:r>
        <w:rPr>
          <w:rFonts w:hint="eastAsia" w:ascii="宋体" w:hAnsi="宋体"/>
          <w:color w:val="000000"/>
          <w:szCs w:val="21"/>
          <w:lang w:eastAsia="zh-CN"/>
        </w:rPr>
        <w:t>磋商</w:t>
      </w:r>
      <w:r>
        <w:rPr>
          <w:rFonts w:hint="eastAsia" w:ascii="宋体" w:hAnsi="宋体"/>
          <w:color w:val="000000"/>
          <w:szCs w:val="21"/>
        </w:rPr>
        <w:t>申请人：</w:t>
      </w:r>
      <w:r>
        <w:rPr>
          <w:rFonts w:hint="eastAsia" w:ascii="宋体" w:hAnsi="宋体"/>
          <w:color w:val="000000"/>
          <w:szCs w:val="21"/>
          <w:u w:val="single"/>
        </w:rPr>
        <w:t xml:space="preserve">             （加盖公章）</w:t>
      </w:r>
    </w:p>
    <w:p w14:paraId="6AE57E92">
      <w:pPr>
        <w:pageBreakBefore w:val="0"/>
        <w:kinsoku/>
        <w:wordWrap/>
        <w:topLinePunct w:val="0"/>
        <w:bidi w:val="0"/>
        <w:spacing w:line="440" w:lineRule="exact"/>
        <w:ind w:firstLine="110" w:firstLineChars="50"/>
        <w:jc w:val="right"/>
        <w:rPr>
          <w:rFonts w:ascii="宋体" w:hAnsi="宋体"/>
          <w:color w:val="000000"/>
          <w:szCs w:val="21"/>
          <w:u w:val="single"/>
        </w:rPr>
      </w:pPr>
      <w:r>
        <w:rPr>
          <w:rFonts w:hint="eastAsia" w:ascii="宋体" w:hAnsi="宋体"/>
          <w:color w:val="000000"/>
          <w:szCs w:val="21"/>
        </w:rPr>
        <w:t>法定代表人或其委托代理人：</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（签字或盖章）</w:t>
      </w:r>
    </w:p>
    <w:p w14:paraId="746D73B8">
      <w:pPr>
        <w:pageBreakBefore w:val="0"/>
        <w:kinsoku/>
        <w:wordWrap/>
        <w:topLinePunct w:val="0"/>
        <w:bidi w:val="0"/>
        <w:spacing w:line="440" w:lineRule="exact"/>
        <w:ind w:left="220" w:leftChars="100" w:firstLine="440" w:firstLineChars="200"/>
        <w:jc w:val="right"/>
        <w:rPr>
          <w:rFonts w:ascii="宋体" w:hAnsi="宋体"/>
          <w:color w:val="000000"/>
          <w:szCs w:val="21"/>
        </w:rPr>
      </w:pPr>
      <w:r>
        <w:rPr>
          <w:rFonts w:hint="eastAsia" w:ascii="宋体" w:hAnsi="宋体"/>
          <w:color w:val="000000"/>
          <w:szCs w:val="21"/>
        </w:rPr>
        <w:t>日    期：</w:t>
      </w:r>
      <w:r>
        <w:rPr>
          <w:rFonts w:hint="eastAsia" w:ascii="宋体" w:hAnsi="宋体"/>
          <w:color w:val="000000"/>
          <w:szCs w:val="21"/>
          <w:u w:val="single"/>
        </w:rPr>
        <w:t xml:space="preserve">      年     月     日</w:t>
      </w:r>
    </w:p>
    <w:p w14:paraId="18ADA458">
      <w:pPr>
        <w:pStyle w:val="38"/>
        <w:rPr>
          <w:rFonts w:hint="eastAsia" w:asciiTheme="minorEastAsia" w:hAnsiTheme="minorEastAsia" w:eastAsiaTheme="minorEastAsia" w:cstheme="minorEastAsia"/>
          <w:bCs w:val="0"/>
          <w:color w:val="auto"/>
          <w:sz w:val="21"/>
          <w:szCs w:val="21"/>
          <w:highlight w:val="none"/>
        </w:rPr>
      </w:pPr>
    </w:p>
    <w:p w14:paraId="64F1AB1B">
      <w:pPr>
        <w:pStyle w:val="2"/>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Cs w:val="0"/>
          <w:color w:val="auto"/>
          <w:sz w:val="21"/>
          <w:szCs w:val="21"/>
          <w:highlight w:val="none"/>
        </w:rPr>
        <w:t>附件1</w:t>
      </w:r>
      <w:r>
        <w:rPr>
          <w:rFonts w:hint="eastAsia" w:asciiTheme="minorEastAsia" w:hAnsiTheme="minorEastAsia" w:eastAsiaTheme="minorEastAsia" w:cstheme="minorEastAsia"/>
          <w:bCs w:val="0"/>
          <w:color w:val="auto"/>
          <w:sz w:val="21"/>
          <w:szCs w:val="21"/>
          <w:highlight w:val="none"/>
          <w:lang w:eastAsia="zh-CN"/>
        </w:rPr>
        <w:t>：中小企业划型标准规定</w:t>
      </w:r>
      <w:bookmarkEnd w:id="258"/>
    </w:p>
    <w:p w14:paraId="1547DE1B">
      <w:pPr>
        <w:topLinePunct/>
        <w:spacing w:before="4" w:line="360" w:lineRule="auto"/>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bCs/>
          <w:color w:val="auto"/>
          <w:sz w:val="32"/>
          <w:szCs w:val="32"/>
          <w:highlight w:val="none"/>
        </w:rPr>
        <w:t>中小企业划型标准规定</w:t>
      </w:r>
    </w:p>
    <w:p w14:paraId="2C18D36C">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一、根据《中华人民共和国中小企业促进法》和《国务院关于进一步促进中小企业发展的若干意见》（国发〔2009〕36号），制定本规定。</w:t>
      </w:r>
    </w:p>
    <w:p w14:paraId="5A1DDC54">
      <w:pPr>
        <w:topLinePunct/>
        <w:spacing w:before="4"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二、中小企业划分为中型、小型、微型三种类型，具体标准根据企业从业人员、营业收入、资产总额等指标，结合行业特点制定。</w:t>
      </w:r>
    </w:p>
    <w:p w14:paraId="7D145956">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DC0B501">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四、各行业划型标准为：</w:t>
      </w:r>
    </w:p>
    <w:p w14:paraId="7BD69ECC">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4D62E40C">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CF6A72">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3489F12">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5C794B3">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4B89144">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3F3FD48">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2443E9C">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7F27B35">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3DAC74E">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B1A9D44">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5FE2297">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FE4A304">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BA9777E">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17E3202">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18C0EE8">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30B05116">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五、企业类型的划分以统计部门的统计数据为依据。</w:t>
      </w:r>
    </w:p>
    <w:p w14:paraId="2B93067A">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六、本规定适用于在中华人民共和国境内依法设立的各类所有制和各种组织形式的企业。个体工商户和本规定以外的行业，参照本规定进行划型。</w:t>
      </w:r>
    </w:p>
    <w:p w14:paraId="582E4219">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291CCDA5">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八、本规定由工业和信息化部、国家统计局会同有关部门根据《国民经济行业分类》修订情况和企业发展变化情况适时修订。</w:t>
      </w:r>
    </w:p>
    <w:p w14:paraId="6E802420">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九、本规定由工业和信息化部、国家统计局会同有关部门负责解释。</w:t>
      </w:r>
    </w:p>
    <w:p w14:paraId="3B554FF3">
      <w:pPr>
        <w:topLinePunct/>
        <w:spacing w:before="4"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十、本规定自发布之日起执行，原国家经贸委、原国家计委、财政部和国家统计局2003年颁布的《中小企业标准暂行规定》同时废止。</w:t>
      </w:r>
    </w:p>
    <w:p w14:paraId="2A304E6B">
      <w:pPr>
        <w:pStyle w:val="14"/>
        <w:rPr>
          <w:rFonts w:hint="eastAsia" w:asciiTheme="minorEastAsia" w:hAnsiTheme="minorEastAsia" w:eastAsiaTheme="minorEastAsia" w:cstheme="minorEastAsia"/>
          <w:color w:val="auto"/>
          <w:sz w:val="24"/>
          <w:highlight w:val="none"/>
        </w:rPr>
      </w:pPr>
    </w:p>
    <w:p w14:paraId="49438088">
      <w:pPr>
        <w:pStyle w:val="14"/>
        <w:rPr>
          <w:rFonts w:hint="eastAsia" w:asciiTheme="minorEastAsia" w:hAnsiTheme="minorEastAsia" w:eastAsiaTheme="minorEastAsia" w:cstheme="minorEastAsia"/>
          <w:color w:val="auto"/>
          <w:sz w:val="24"/>
          <w:highlight w:val="none"/>
        </w:rPr>
      </w:pPr>
    </w:p>
    <w:p w14:paraId="0F9AF41E">
      <w:pPr>
        <w:pStyle w:val="2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6170513F">
      <w:pPr>
        <w:pStyle w:val="2"/>
        <w:rPr>
          <w:rFonts w:hint="eastAsia" w:asciiTheme="minorEastAsia" w:hAnsiTheme="minorEastAsia" w:eastAsiaTheme="minorEastAsia" w:cstheme="minorEastAsia"/>
          <w:bCs w:val="0"/>
          <w:color w:val="auto"/>
          <w:sz w:val="21"/>
          <w:szCs w:val="21"/>
          <w:highlight w:val="none"/>
          <w:lang w:eastAsia="zh-CN"/>
        </w:rPr>
      </w:pPr>
      <w:bookmarkStart w:id="269" w:name="_Toc8721"/>
      <w:r>
        <w:rPr>
          <w:rFonts w:hint="eastAsia" w:asciiTheme="minorEastAsia" w:hAnsiTheme="minorEastAsia" w:eastAsiaTheme="minorEastAsia" w:cstheme="minorEastAsia"/>
          <w:bCs w:val="0"/>
          <w:color w:val="auto"/>
          <w:sz w:val="21"/>
          <w:szCs w:val="21"/>
          <w:highlight w:val="none"/>
        </w:rPr>
        <w:t>附件</w:t>
      </w:r>
      <w:r>
        <w:rPr>
          <w:rFonts w:hint="eastAsia" w:asciiTheme="minorEastAsia" w:hAnsiTheme="minorEastAsia" w:eastAsiaTheme="minorEastAsia" w:cstheme="minorEastAsia"/>
          <w:bCs w:val="0"/>
          <w:color w:val="auto"/>
          <w:sz w:val="21"/>
          <w:szCs w:val="21"/>
          <w:highlight w:val="none"/>
          <w:lang w:val="en-US" w:eastAsia="zh-CN"/>
        </w:rPr>
        <w:t>2</w:t>
      </w:r>
      <w:r>
        <w:rPr>
          <w:rFonts w:hint="eastAsia" w:asciiTheme="minorEastAsia" w:hAnsiTheme="minorEastAsia" w:eastAsiaTheme="minorEastAsia" w:cstheme="minorEastAsia"/>
          <w:bCs w:val="0"/>
          <w:color w:val="auto"/>
          <w:sz w:val="21"/>
          <w:szCs w:val="21"/>
          <w:highlight w:val="none"/>
          <w:lang w:eastAsia="zh-CN"/>
        </w:rPr>
        <w:t>：质疑函范本</w:t>
      </w:r>
      <w:bookmarkEnd w:id="269"/>
    </w:p>
    <w:p w14:paraId="366C689A">
      <w:pPr>
        <w:jc w:val="center"/>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t>质疑函范本</w:t>
      </w:r>
    </w:p>
    <w:p w14:paraId="05D39D4B">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一、质疑供应商基本信息</w:t>
      </w:r>
    </w:p>
    <w:p w14:paraId="60DF553B">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质疑供应商：</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77443368">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邮编：</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51DA25A8">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1C31B6F9">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授权代表：</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6BE8B3D3">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07F426C2">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邮编：</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5BD5C8FC">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二、质疑项目基本情况</w:t>
      </w:r>
    </w:p>
    <w:p w14:paraId="216E90D2">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质疑项目的名称：</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6C5FDAC8">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质疑项目的编号：</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包号：</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1D775D3C">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采购人名称：</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3AFC90FD">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采购文件获取日期：</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0257C0E9">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三、质疑事项具体内容</w:t>
      </w:r>
    </w:p>
    <w:p w14:paraId="401EAFB2">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质疑事项1：</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110B097B">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事实依据：</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03489BF6">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法律依据：</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425B3D1B">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质疑事项2</w:t>
      </w:r>
    </w:p>
    <w:p w14:paraId="7F8596F3">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7CDA025B">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四、与质疑事项相关的质疑请求</w:t>
      </w:r>
    </w:p>
    <w:p w14:paraId="4835291E">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请求：</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1297C2A6">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签字（签章）： </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 xml:space="preserve"> 公章：</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p>
    <w:p w14:paraId="01037765">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p>
    <w:p w14:paraId="7A9F772E">
      <w:pPr>
        <w:keepNext w:val="0"/>
        <w:keepLines w:val="0"/>
        <w:pageBreakBefore w:val="0"/>
        <w:widowControl/>
        <w:kinsoku/>
        <w:wordWrap/>
        <w:overflowPunct/>
        <w:topLinePunct/>
        <w:autoSpaceDE/>
        <w:autoSpaceDN/>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2587BC8C">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00BDD204">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41FF5FDE">
      <w:pPr>
        <w:pStyle w:val="14"/>
        <w:rPr>
          <w:rFonts w:hint="eastAsia" w:asciiTheme="minorEastAsia" w:hAnsiTheme="minorEastAsia" w:eastAsiaTheme="minorEastAsia" w:cstheme="minorEastAsia"/>
          <w:color w:val="auto"/>
          <w:sz w:val="24"/>
          <w:szCs w:val="24"/>
          <w:highlight w:val="none"/>
        </w:rPr>
      </w:pPr>
    </w:p>
    <w:p w14:paraId="33CD4CE1">
      <w:pPr>
        <w:rPr>
          <w:rFonts w:hint="eastAsia"/>
        </w:rPr>
      </w:pPr>
    </w:p>
    <w:p w14:paraId="3CE1A7A4">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质疑函制作说明：</w:t>
      </w:r>
    </w:p>
    <w:p w14:paraId="53CC2BF1">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1.供应商提出质疑时，应提交质疑函和必要的证明材料。</w:t>
      </w:r>
    </w:p>
    <w:p w14:paraId="1E9FA0F1">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08709BD">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3.质疑供应商若对项目的某一分包进行质疑，质疑函中应列明具体分包号。</w:t>
      </w:r>
    </w:p>
    <w:p w14:paraId="51FFCAD9">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4.质疑函的质疑事项应具体、明确，并有必要的事实依据和法律依据。</w:t>
      </w:r>
    </w:p>
    <w:p w14:paraId="0C1D960D">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5.质疑函的质疑请求应与质疑事项相关。</w:t>
      </w:r>
    </w:p>
    <w:p w14:paraId="472280FE">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2EEFFEB5">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68B13760">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3CEA94E4">
      <w:pPr>
        <w:pStyle w:val="14"/>
        <w:rPr>
          <w:rFonts w:hint="eastAsia" w:asciiTheme="minorEastAsia" w:hAnsiTheme="minorEastAsia" w:eastAsiaTheme="minorEastAsia" w:cstheme="minorEastAsia"/>
          <w:color w:val="auto"/>
          <w:sz w:val="24"/>
          <w:highlight w:val="none"/>
        </w:rPr>
      </w:pPr>
    </w:p>
    <w:p w14:paraId="62E0A6C1">
      <w:pPr>
        <w:rPr>
          <w:rFonts w:hint="eastAsia" w:asciiTheme="minorEastAsia" w:hAnsiTheme="minorEastAsia" w:eastAsiaTheme="minorEastAsia" w:cstheme="minorEastAsia"/>
          <w:color w:val="auto"/>
          <w:sz w:val="24"/>
          <w:highlight w:val="none"/>
        </w:rPr>
      </w:pPr>
    </w:p>
    <w:p w14:paraId="0DD833FF">
      <w:pPr>
        <w:pStyle w:val="38"/>
        <w:rPr>
          <w:rFonts w:hint="eastAsia" w:asciiTheme="minorEastAsia" w:hAnsiTheme="minorEastAsia" w:eastAsiaTheme="minorEastAsia" w:cstheme="minorEastAsia"/>
          <w:color w:val="auto"/>
          <w:sz w:val="24"/>
          <w:highlight w:val="none"/>
        </w:rPr>
      </w:pPr>
    </w:p>
    <w:p w14:paraId="7A1BA76E">
      <w:pPr>
        <w:pStyle w:val="38"/>
        <w:rPr>
          <w:rFonts w:hint="eastAsia" w:asciiTheme="minorEastAsia" w:hAnsiTheme="minorEastAsia" w:eastAsiaTheme="minorEastAsia" w:cstheme="minorEastAsia"/>
          <w:color w:val="auto"/>
          <w:sz w:val="24"/>
          <w:highlight w:val="none"/>
        </w:rPr>
      </w:pPr>
    </w:p>
    <w:p w14:paraId="2395C1CD">
      <w:pPr>
        <w:pStyle w:val="38"/>
        <w:rPr>
          <w:rFonts w:hint="eastAsia" w:asciiTheme="minorEastAsia" w:hAnsiTheme="minorEastAsia" w:eastAsiaTheme="minorEastAsia" w:cstheme="minorEastAsia"/>
          <w:color w:val="auto"/>
          <w:sz w:val="24"/>
          <w:highlight w:val="none"/>
        </w:rPr>
      </w:pPr>
    </w:p>
    <w:p w14:paraId="2D1B6A87">
      <w:pPr>
        <w:pStyle w:val="38"/>
        <w:rPr>
          <w:rFonts w:hint="eastAsia" w:asciiTheme="minorEastAsia" w:hAnsiTheme="minorEastAsia" w:eastAsiaTheme="minorEastAsia" w:cstheme="minorEastAsia"/>
          <w:color w:val="auto"/>
          <w:sz w:val="24"/>
          <w:highlight w:val="none"/>
        </w:rPr>
      </w:pPr>
    </w:p>
    <w:p w14:paraId="2BA6E05B">
      <w:pPr>
        <w:pStyle w:val="38"/>
        <w:rPr>
          <w:rFonts w:hint="eastAsia" w:asciiTheme="minorEastAsia" w:hAnsiTheme="minorEastAsia" w:eastAsiaTheme="minorEastAsia" w:cstheme="minorEastAsia"/>
          <w:color w:val="auto"/>
          <w:sz w:val="24"/>
          <w:highlight w:val="none"/>
        </w:rPr>
      </w:pPr>
    </w:p>
    <w:p w14:paraId="4026BADF">
      <w:pPr>
        <w:pStyle w:val="38"/>
        <w:rPr>
          <w:rFonts w:hint="eastAsia" w:asciiTheme="minorEastAsia" w:hAnsiTheme="minorEastAsia" w:eastAsiaTheme="minorEastAsia" w:cstheme="minorEastAsia"/>
          <w:color w:val="auto"/>
          <w:sz w:val="24"/>
          <w:highlight w:val="none"/>
        </w:rPr>
      </w:pPr>
    </w:p>
    <w:p w14:paraId="00D7B5C8">
      <w:pPr>
        <w:pStyle w:val="38"/>
        <w:ind w:left="0" w:leftChars="0" w:firstLine="0" w:firstLineChars="0"/>
        <w:rPr>
          <w:rFonts w:hint="eastAsia" w:asciiTheme="minorEastAsia" w:hAnsiTheme="minorEastAsia" w:eastAsiaTheme="minorEastAsia" w:cstheme="minorEastAsia"/>
          <w:color w:val="auto"/>
          <w:sz w:val="24"/>
          <w:highlight w:val="none"/>
        </w:rPr>
      </w:pPr>
    </w:p>
    <w:p w14:paraId="649B1FD7">
      <w:pPr>
        <w:pStyle w:val="2"/>
        <w:rPr>
          <w:rFonts w:hint="eastAsia" w:asciiTheme="minorEastAsia" w:hAnsiTheme="minorEastAsia" w:eastAsiaTheme="minorEastAsia" w:cstheme="minorEastAsia"/>
          <w:color w:val="auto"/>
          <w:sz w:val="21"/>
          <w:szCs w:val="21"/>
          <w:highlight w:val="none"/>
          <w:lang w:eastAsia="zh-CN"/>
        </w:rPr>
      </w:pPr>
      <w:bookmarkStart w:id="270" w:name="_Toc7837"/>
      <w:r>
        <w:rPr>
          <w:rFonts w:hint="eastAsia" w:asciiTheme="minorEastAsia" w:hAnsiTheme="minorEastAsia" w:eastAsiaTheme="minorEastAsia" w:cstheme="minorEastAsia"/>
          <w:bCs w:val="0"/>
          <w:color w:val="auto"/>
          <w:sz w:val="21"/>
          <w:szCs w:val="21"/>
          <w:highlight w:val="none"/>
        </w:rPr>
        <w:t>附件</w:t>
      </w:r>
      <w:r>
        <w:rPr>
          <w:rFonts w:hint="eastAsia" w:asciiTheme="minorEastAsia" w:hAnsiTheme="minorEastAsia" w:eastAsiaTheme="minorEastAsia" w:cstheme="minorEastAsia"/>
          <w:bCs w:val="0"/>
          <w:color w:val="auto"/>
          <w:sz w:val="21"/>
          <w:szCs w:val="21"/>
          <w:highlight w:val="none"/>
          <w:lang w:val="en-US" w:eastAsia="zh-CN"/>
        </w:rPr>
        <w:t>3</w:t>
      </w:r>
      <w:r>
        <w:rPr>
          <w:rFonts w:hint="eastAsia" w:asciiTheme="minorEastAsia" w:hAnsiTheme="minorEastAsia" w:eastAsiaTheme="minorEastAsia" w:cstheme="minorEastAsia"/>
          <w:bCs w:val="0"/>
          <w:color w:val="auto"/>
          <w:sz w:val="21"/>
          <w:szCs w:val="21"/>
          <w:highlight w:val="none"/>
          <w:lang w:eastAsia="zh-CN"/>
        </w:rPr>
        <w:t>：投诉书范本</w:t>
      </w:r>
      <w:bookmarkEnd w:id="270"/>
    </w:p>
    <w:p w14:paraId="4E973012">
      <w:pPr>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投诉书范本</w:t>
      </w:r>
    </w:p>
    <w:p w14:paraId="7ED0176A">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一、投诉相关主体基本情况</w:t>
      </w:r>
    </w:p>
    <w:p w14:paraId="0AC2F254">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投诉人：</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27D62BA4">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邮编：</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0A91849F">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法定代表人/主要负责人：</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228EED85">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426EA2EC">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p>
    <w:p w14:paraId="3E6EEEE3">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邮编：</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37649C7E">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被投诉人1：</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2E304DF5">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邮编：</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6374185B">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6F3293E7">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被投诉人2</w:t>
      </w:r>
    </w:p>
    <w:p w14:paraId="4D8C0296">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72434919">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相关供应商：</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287EE127">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邮编：</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47518A42">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4C593959">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二、投诉项目基本情况</w:t>
      </w:r>
    </w:p>
    <w:p w14:paraId="0F54853A">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采购项目名称：</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09889984">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采购项目编号：</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包号：</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169EC9B6">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采购人名称：</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2046359E">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代理机构名称：</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684BDF3B">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采购文件公告：</w:t>
      </w:r>
      <w:r>
        <w:rPr>
          <w:rFonts w:hint="eastAsia" w:asciiTheme="minorEastAsia" w:hAnsiTheme="minorEastAsia" w:eastAsiaTheme="minorEastAsia" w:cstheme="minorEastAsia"/>
          <w:color w:val="auto"/>
          <w:sz w:val="24"/>
          <w:szCs w:val="24"/>
          <w:highlight w:val="none"/>
          <w:u w:val="double"/>
        </w:rPr>
        <w:t>是/否</w:t>
      </w:r>
      <w:r>
        <w:rPr>
          <w:rFonts w:hint="eastAsia" w:asciiTheme="minorEastAsia" w:hAnsiTheme="minorEastAsia" w:eastAsiaTheme="minorEastAsia" w:cstheme="minorEastAsia"/>
          <w:color w:val="auto"/>
          <w:sz w:val="24"/>
          <w:szCs w:val="24"/>
          <w:highlight w:val="none"/>
        </w:rPr>
        <w:t xml:space="preserve"> 公告期限：</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6EACD0CF">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采购结果公告：</w:t>
      </w:r>
      <w:r>
        <w:rPr>
          <w:rFonts w:hint="eastAsia" w:asciiTheme="minorEastAsia" w:hAnsiTheme="minorEastAsia" w:eastAsiaTheme="minorEastAsia" w:cstheme="minorEastAsia"/>
          <w:color w:val="auto"/>
          <w:sz w:val="24"/>
          <w:szCs w:val="24"/>
          <w:highlight w:val="none"/>
          <w:u w:val="double"/>
        </w:rPr>
        <w:t>是/否</w:t>
      </w:r>
      <w:r>
        <w:rPr>
          <w:rFonts w:hint="eastAsia" w:asciiTheme="minorEastAsia" w:hAnsiTheme="minorEastAsia" w:eastAsiaTheme="minorEastAsia" w:cstheme="minorEastAsia"/>
          <w:color w:val="auto"/>
          <w:sz w:val="24"/>
          <w:szCs w:val="24"/>
          <w:highlight w:val="none"/>
        </w:rPr>
        <w:t xml:space="preserve"> 公告期限：</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4CDB1A1E">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三、质疑基本情况</w:t>
      </w:r>
    </w:p>
    <w:p w14:paraId="446D2BB2">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投诉人于</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日，向提出质疑，质疑事项为：</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38131EC4">
      <w:pPr>
        <w:pStyle w:val="1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6EA1333B">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double"/>
        </w:rPr>
        <w:t>采购人/代理机构</w:t>
      </w:r>
      <w:r>
        <w:rPr>
          <w:rFonts w:hint="eastAsia" w:asciiTheme="minorEastAsia" w:hAnsiTheme="minorEastAsia" w:eastAsiaTheme="minorEastAsia" w:cstheme="minorEastAsia"/>
          <w:color w:val="auto"/>
          <w:sz w:val="24"/>
          <w:szCs w:val="24"/>
          <w:highlight w:val="none"/>
        </w:rPr>
        <w:t>于</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日，就质疑事项</w:t>
      </w:r>
      <w:r>
        <w:rPr>
          <w:rFonts w:hint="eastAsia" w:asciiTheme="minorEastAsia" w:hAnsiTheme="minorEastAsia" w:eastAsiaTheme="minorEastAsia" w:cstheme="minorEastAsia"/>
          <w:color w:val="auto"/>
          <w:sz w:val="24"/>
          <w:szCs w:val="24"/>
          <w:highlight w:val="none"/>
          <w:u w:val="double"/>
        </w:rPr>
        <w:t>作出了答复/没有在法定期限内作出答复</w:t>
      </w:r>
      <w:r>
        <w:rPr>
          <w:rFonts w:hint="eastAsia" w:asciiTheme="minorEastAsia" w:hAnsiTheme="minorEastAsia" w:eastAsiaTheme="minorEastAsia" w:cstheme="minorEastAsia"/>
          <w:color w:val="auto"/>
          <w:sz w:val="24"/>
          <w:szCs w:val="24"/>
          <w:highlight w:val="none"/>
        </w:rPr>
        <w:t>。</w:t>
      </w:r>
    </w:p>
    <w:p w14:paraId="692C3A97">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四、投诉事项具体内容</w:t>
      </w:r>
    </w:p>
    <w:p w14:paraId="63CA3652">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投诉事项 1：</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07EA5AFA">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事实依据：</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030D4172">
      <w:pPr>
        <w:pStyle w:val="1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446C6396">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法律依据：</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3720BCDA">
      <w:pPr>
        <w:pStyle w:val="1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0E4F22A8">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投诉事项2</w:t>
      </w:r>
    </w:p>
    <w:p w14:paraId="20BBCCCB">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7C78CD47">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五、与投诉事项相关的投诉请求</w:t>
      </w:r>
    </w:p>
    <w:p w14:paraId="45D06779">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rPr>
        <w:t>请求：</w:t>
      </w: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12B72549">
      <w:pPr>
        <w:topLinePunct/>
        <w:spacing w:line="360" w:lineRule="auto"/>
        <w:ind w:firstLine="480" w:firstLineChars="200"/>
        <w:rPr>
          <w:rFonts w:hint="eastAsia" w:asciiTheme="minorEastAsia" w:hAnsiTheme="minorEastAsia" w:eastAsiaTheme="minorEastAsia" w:cstheme="minorEastAsia"/>
          <w:color w:val="auto"/>
          <w:sz w:val="24"/>
          <w:szCs w:val="24"/>
          <w:highlight w:val="none"/>
          <w:u w:val="double"/>
          <w:lang w:val="en-US" w:eastAsia="zh-CN"/>
        </w:rPr>
      </w:pPr>
      <w:r>
        <w:rPr>
          <w:rFonts w:hint="eastAsia" w:asciiTheme="minorEastAsia" w:hAnsiTheme="minorEastAsia" w:eastAsiaTheme="minorEastAsia" w:cstheme="minorEastAsia"/>
          <w:color w:val="auto"/>
          <w:sz w:val="24"/>
          <w:szCs w:val="24"/>
          <w:highlight w:val="none"/>
          <w:u w:val="double"/>
          <w:lang w:val="en-US" w:eastAsia="zh-CN"/>
        </w:rPr>
        <w:t xml:space="preserve">                                                                                </w:t>
      </w:r>
    </w:p>
    <w:p w14:paraId="274D957C">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签字（签章）：</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 xml:space="preserve"> 公章： </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p>
    <w:p w14:paraId="795B00FB">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double"/>
        </w:rPr>
        <w:t xml:space="preserve"> </w:t>
      </w:r>
      <w:r>
        <w:rPr>
          <w:rFonts w:hint="eastAsia" w:asciiTheme="minorEastAsia" w:hAnsiTheme="minorEastAsia" w:eastAsiaTheme="minorEastAsia" w:cstheme="minorEastAsia"/>
          <w:color w:val="auto"/>
          <w:sz w:val="24"/>
          <w:szCs w:val="24"/>
          <w:highlight w:val="none"/>
          <w:u w:val="doubl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p>
    <w:p w14:paraId="57BBAC56">
      <w:pPr>
        <w:topLinePunct/>
        <w:spacing w:line="360" w:lineRule="auto"/>
        <w:rPr>
          <w:rFonts w:hint="eastAsia" w:asciiTheme="minorEastAsia" w:hAnsiTheme="minorEastAsia" w:eastAsiaTheme="minorEastAsia" w:cstheme="minorEastAsia"/>
          <w:color w:val="auto"/>
          <w:sz w:val="24"/>
          <w:szCs w:val="24"/>
          <w:highlight w:val="none"/>
        </w:rPr>
      </w:pPr>
    </w:p>
    <w:p w14:paraId="1BEFE3FC">
      <w:pPr>
        <w:topLinePunc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投诉书制作说明：</w:t>
      </w:r>
    </w:p>
    <w:p w14:paraId="4EE0D3AE">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1.投诉人提起投诉时，应当提交投诉书和必要的证明材料，并按照被投诉人和与投诉事项有关的供应商数量提供投诉书副本。</w:t>
      </w:r>
    </w:p>
    <w:p w14:paraId="6478F856">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4E402951">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3.投诉人若对项目的某一分包进行投诉，投诉书应列明具体分包号。</w:t>
      </w:r>
    </w:p>
    <w:p w14:paraId="40AD9F76">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4.投诉书应简要列明质疑事项，质疑函、质疑答复等作为附件材料提供。</w:t>
      </w:r>
    </w:p>
    <w:p w14:paraId="6C362A7D">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5.投诉书的投诉事项应具体、明确，并有必要的事实依据和法律依据。</w:t>
      </w:r>
    </w:p>
    <w:p w14:paraId="5DAFB5B2">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6.投诉书的投诉请求应与投诉事项相关。</w:t>
      </w:r>
    </w:p>
    <w:p w14:paraId="61009FAA">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7.投诉人为自然人的，投诉书应当由本人签字；投诉人为法人或者其他组织的，投诉书应当由法定代表人、主要负责人，或者其授权代表签字或者盖章，并加盖公章。</w:t>
      </w:r>
    </w:p>
    <w:p w14:paraId="0D6DF7B8">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50F6CF47">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4BEBA712">
      <w:pPr>
        <w:topLinePunct/>
        <w:spacing w:line="360" w:lineRule="auto"/>
        <w:ind w:firstLine="480" w:firstLineChars="200"/>
        <w:rPr>
          <w:rFonts w:hint="eastAsia" w:asciiTheme="minorEastAsia" w:hAnsiTheme="minorEastAsia" w:eastAsiaTheme="minorEastAsia" w:cstheme="minorEastAsia"/>
          <w:color w:val="auto"/>
          <w:sz w:val="24"/>
          <w:szCs w:val="24"/>
          <w:highlight w:val="none"/>
        </w:rPr>
      </w:pPr>
    </w:p>
    <w:sectPr>
      <w:headerReference r:id="rId10" w:type="default"/>
      <w:footerReference r:id="rId11" w:type="default"/>
      <w:pgSz w:w="11906" w:h="16838"/>
      <w:pgMar w:top="1440" w:right="856" w:bottom="1440" w:left="86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1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Sim Sun+ 2">
    <w:altName w:val="微软雅黑"/>
    <w:panose1 w:val="00000000000000000000"/>
    <w:charset w:val="00"/>
    <w:family w:val="swiss"/>
    <w:pitch w:val="default"/>
    <w:sig w:usb0="00000000" w:usb1="00000000" w:usb2="00000000" w:usb3="00000000" w:csb0="00040001" w:csb1="00000000"/>
  </w:font>
  <w:font w:name="Consolas">
    <w:panose1 w:val="020B0609020204030204"/>
    <w:charset w:val="00"/>
    <w:family w:val="modern"/>
    <w:pitch w:val="default"/>
    <w:sig w:usb0="E10002FF" w:usb1="4000FCFF" w:usb2="00000009" w:usb3="00000000" w:csb0="6000019F" w:csb1="DFD70000"/>
  </w:font>
  <w:font w:name="仿宋_GB2312">
    <w:panose1 w:val="02010609030101010101"/>
    <w:charset w:val="86"/>
    <w:family w:val="modern"/>
    <w:pitch w:val="default"/>
    <w:sig w:usb0="00000001" w:usb1="080E0000" w:usb2="00000000" w:usb3="00000000" w:csb0="00040000" w:csb1="00000000"/>
  </w:font>
  <w:font w:name="PMingLiU">
    <w:panose1 w:val="02020500000000000000"/>
    <w:charset w:val="88"/>
    <w:family w:val="auto"/>
    <w:pitch w:val="default"/>
    <w:sig w:usb0="A00002FF" w:usb1="28CFFCFA" w:usb2="00000016" w:usb3="00000000" w:csb0="00100001" w:csb1="00000000"/>
  </w:font>
  <w:font w:name="楷体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RomanD">
    <w:altName w:val="Courier New"/>
    <w:panose1 w:val="00000400000000000000"/>
    <w:charset w:val="00"/>
    <w:family w:val="auto"/>
    <w:pitch w:val="default"/>
    <w:sig w:usb0="00000000" w:usb1="00000000" w:usb2="00000000" w:usb3="00000000" w:csb0="000001FF" w:csb1="00000000"/>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roman"/>
    <w:pitch w:val="default"/>
    <w:sig w:usb0="00000000" w:usb1="00000000" w:usb2="0000003F" w:usb3="00000000" w:csb0="603F01FF" w:csb1="FFFF0000"/>
  </w:font>
  <w:font w:name="Univers">
    <w:altName w:val="Courier New"/>
    <w:panose1 w:val="00000000000000000000"/>
    <w:charset w:val="00"/>
    <w:family w:val="swiss"/>
    <w:pitch w:val="default"/>
    <w:sig w:usb0="00000000" w:usb1="00000000" w:usb2="00000000" w:usb3="00000000" w:csb0="00000000" w:csb1="00000000"/>
  </w:font>
  <w:font w:name="Tms Rmn">
    <w:altName w:val="Times New Roman"/>
    <w:panose1 w:val="02020603040505020304"/>
    <w:charset w:val="00"/>
    <w:family w:val="roma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B1305">
    <w:pPr>
      <w:pStyle w:val="41"/>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14935" cy="264795"/>
              <wp:effectExtent l="0" t="0" r="0" b="0"/>
              <wp:wrapNone/>
              <wp:docPr id="4097" name="文本框 10"/>
              <wp:cNvGraphicFramePr/>
              <a:graphic xmlns:a="http://schemas.openxmlformats.org/drawingml/2006/main">
                <a:graphicData uri="http://schemas.microsoft.com/office/word/2010/wordprocessingShape">
                  <wps:wsp>
                    <wps:cNvSpPr/>
                    <wps:spPr>
                      <a:xfrm>
                        <a:off x="0" y="0"/>
                        <a:ext cx="114934" cy="264795"/>
                      </a:xfrm>
                      <a:prstGeom prst="rect">
                        <a:avLst/>
                      </a:prstGeom>
                      <a:noFill/>
                      <a:ln>
                        <a:noFill/>
                      </a:ln>
                      <a:effectLst/>
                    </wps:spPr>
                    <wps:txbx>
                      <w:txbxContent>
                        <w:p w14:paraId="6B380AC5">
                          <w:pPr>
                            <w:rPr>
                              <w:sz w:val="18"/>
                            </w:rPr>
                          </w:pPr>
                        </w:p>
                      </w:txbxContent>
                    </wps:txbx>
                    <wps:bodyPr wrap="none" lIns="0" tIns="0" rIns="0" bIns="0" upright="1">
                      <a:spAutoFit/>
                    </wps:bodyPr>
                  </wps:wsp>
                </a:graphicData>
              </a:graphic>
            </wp:anchor>
          </w:drawing>
        </mc:Choice>
        <mc:Fallback>
          <w:pict>
            <v:rect id="文本框 10" o:spid="_x0000_s1026" o:spt="1" style="position:absolute;left:0pt;margin-top:0pt;height:20.85pt;width:9.05pt;mso-position-horizontal:right;mso-position-horizontal-relative:margin;mso-wrap-style:none;z-index:251659264;mso-width-relative:page;mso-height-relative:page;" filled="f" stroked="f" coordsize="21600,21600" o:gfxdata="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0gYhR0QAAAAMBAAAPAAAAAAAAAAEAIAAAACIAAABkcnMv&#10;ZG93bnJldi54bWxQSwECFAAUAAAACACHTuJAjZGvm9EBAACfAwAADgAAAAAAAAABACAAAAAgAQAA&#10;ZHJzL2Uyb0RvYy54bWxQSwUGAAAAAAYABgBZAQAAYwUAAAAA&#10;">
              <v:fill on="f" focussize="0,0"/>
              <v:stroke on="f"/>
              <v:imagedata o:title=""/>
              <o:lock v:ext="edit" aspectratio="f"/>
              <v:textbox inset="0mm,0mm,0mm,0mm" style="mso-fit-shape-to-text:t;">
                <w:txbxContent>
                  <w:p w14:paraId="6B380AC5">
                    <w:pPr>
                      <w:rPr>
                        <w:sz w:val="18"/>
                      </w:rPr>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840F9">
    <w:pPr>
      <w:pStyle w:val="41"/>
      <w:tabs>
        <w:tab w:val="left" w:pos="8730"/>
        <w:tab w:val="clear" w:pos="8306"/>
      </w:tabs>
      <w:jc w:val="both"/>
      <w:rPr>
        <w:rFonts w:eastAsia="宋体"/>
        <w:color w:val="auto"/>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5E6DC3B2">
                          <w:pPr>
                            <w:pStyle w:val="41"/>
                            <w:ind w:firstLine="90" w:firstLineChars="50"/>
                            <w:jc w:val="center"/>
                          </w:pPr>
                          <w:r>
                            <w:fldChar w:fldCharType="begin"/>
                          </w:r>
                          <w:r>
                            <w:instrText xml:space="preserve">PAGE   \* MERGEFORMAT</w:instrText>
                          </w:r>
                          <w:r>
                            <w:fldChar w:fldCharType="separate"/>
                          </w:r>
                          <w:r>
                            <w:rPr>
                              <w:lang w:val="zh-CN"/>
                            </w:rPr>
                            <w:t>31</w:t>
                          </w:r>
                          <w:r>
                            <w:rPr>
                              <w:lang w:val="zh-CN"/>
                            </w:rPr>
                            <w:fldChar w:fldCharType="end"/>
                          </w:r>
                        </w:p>
                        <w:p w14:paraId="2FD6283E"/>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B/l33TTAQAAqwMAAA4AAAAAAAAAAQAgAAAAHwEA&#10;AGRycy9lMm9Eb2MueG1sUEsFBgAAAAAGAAYAWQEAAGQFAAAAAA==&#10;">
              <v:fill on="f" focussize="0,0"/>
              <v:stroke on="f"/>
              <v:imagedata o:title=""/>
              <o:lock v:ext="edit" aspectratio="f"/>
              <v:textbox inset="0mm,0mm,0mm,0mm" style="mso-fit-shape-to-text:t;">
                <w:txbxContent>
                  <w:p w14:paraId="5E6DC3B2">
                    <w:pPr>
                      <w:pStyle w:val="41"/>
                      <w:ind w:firstLine="90" w:firstLineChars="50"/>
                      <w:jc w:val="center"/>
                    </w:pPr>
                    <w:r>
                      <w:fldChar w:fldCharType="begin"/>
                    </w:r>
                    <w:r>
                      <w:instrText xml:space="preserve">PAGE   \* MERGEFORMAT</w:instrText>
                    </w:r>
                    <w:r>
                      <w:fldChar w:fldCharType="separate"/>
                    </w:r>
                    <w:r>
                      <w:rPr>
                        <w:lang w:val="zh-CN"/>
                      </w:rPr>
                      <w:t>31</w:t>
                    </w:r>
                    <w:r>
                      <w:rPr>
                        <w:lang w:val="zh-CN"/>
                      </w:rPr>
                      <w:fldChar w:fldCharType="end"/>
                    </w:r>
                  </w:p>
                  <w:p w14:paraId="2FD6283E"/>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48B5E">
    <w:pPr>
      <w:pStyle w:val="41"/>
      <w:ind w:firstLine="7920" w:firstLineChars="4400"/>
      <w:jc w:val="both"/>
      <w:rPr>
        <w:color w:val="auto"/>
      </w:rPr>
    </w:pPr>
    <w:r>
      <w:rPr>
        <w:color w:val="auto"/>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133E0FC7">
                          <w:pPr>
                            <w:pStyle w:val="41"/>
                          </w:pPr>
                          <w:r>
                            <w:fldChar w:fldCharType="begin"/>
                          </w:r>
                          <w:r>
                            <w:instrText xml:space="preserve"> PAGE  \* MERGEFORMAT </w:instrText>
                          </w:r>
                          <w:r>
                            <w:fldChar w:fldCharType="separate"/>
                          </w:r>
                          <w:r>
                            <w:t>1</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xVCKidIBAACrAwAADgAAAAAAAAABACAAAAAfAQAA&#10;ZHJzL2Uyb0RvYy54bWxQSwUGAAAAAAYABgBZAQAAYwUAAAAA&#10;">
              <v:fill on="f" focussize="0,0"/>
              <v:stroke on="f"/>
              <v:imagedata o:title=""/>
              <o:lock v:ext="edit" aspectratio="f"/>
              <v:textbox inset="0mm,0mm,0mm,0mm" style="mso-fit-shape-to-text:t;">
                <w:txbxContent>
                  <w:p w14:paraId="133E0FC7">
                    <w:pPr>
                      <w:pStyle w:val="4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A1F9F">
    <w:pPr>
      <w:pStyle w:val="41"/>
      <w:tabs>
        <w:tab w:val="left" w:pos="8730"/>
        <w:tab w:val="clear" w:pos="8306"/>
      </w:tabs>
      <w:jc w:val="both"/>
      <w:rPr>
        <w:rFonts w:eastAsia="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25A28A6A">
                          <w:pPr>
                            <w:pStyle w:val="41"/>
                            <w:jc w:val="center"/>
                          </w:pPr>
                          <w:r>
                            <w:fldChar w:fldCharType="begin"/>
                          </w:r>
                          <w:r>
                            <w:instrText xml:space="preserve">PAGE   \* MERGEFORMAT</w:instrText>
                          </w:r>
                          <w:r>
                            <w:fldChar w:fldCharType="separate"/>
                          </w:r>
                          <w:r>
                            <w:rPr>
                              <w:lang w:val="zh-CN"/>
                            </w:rPr>
                            <w:t>33</w:t>
                          </w:r>
                          <w:r>
                            <w:rPr>
                              <w:lang w:val="zh-CN"/>
                            </w:rP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FyyxVLTAQAAqwMAAA4AAAAAAAAAAQAgAAAAHwEA&#10;AGRycy9lMm9Eb2MueG1sUEsFBgAAAAAGAAYAWQEAAGQFAAAAAA==&#10;">
              <v:fill on="f" focussize="0,0"/>
              <v:stroke on="f"/>
              <v:imagedata o:title=""/>
              <o:lock v:ext="edit" aspectratio="f"/>
              <v:textbox inset="0mm,0mm,0mm,0mm" style="mso-fit-shape-to-text:t;">
                <w:txbxContent>
                  <w:p w14:paraId="25A28A6A">
                    <w:pPr>
                      <w:pStyle w:val="41"/>
                      <w:jc w:val="center"/>
                    </w:pPr>
                    <w:r>
                      <w:fldChar w:fldCharType="begin"/>
                    </w:r>
                    <w:r>
                      <w:instrText xml:space="preserve">PAGE   \* MERGEFORMAT</w:instrText>
                    </w:r>
                    <w:r>
                      <w:fldChar w:fldCharType="separate"/>
                    </w:r>
                    <w:r>
                      <w:rPr>
                        <w:lang w:val="zh-CN"/>
                      </w:rPr>
                      <w:t>33</w:t>
                    </w:r>
                    <w:r>
                      <w:rPr>
                        <w:lang w:val="zh-CN"/>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2A4D9">
    <w:pPr>
      <w:pStyle w:val="43"/>
      <w:pBdr>
        <w:bottom w:val="thinThickSmallGap" w:color="auto" w:sz="12" w:space="1"/>
      </w:pBdr>
      <w:jc w:val="left"/>
      <w:rPr>
        <w:rFonts w:ascii="宋体" w:hAnsi="宋体" w:eastAsia="宋体"/>
        <w:sz w:val="20"/>
        <w:szCs w:val="20"/>
      </w:rPr>
    </w:pPr>
    <w:r>
      <w:rPr>
        <w:rFonts w:hint="eastAsia" w:ascii="宋体" w:hAnsi="宋体" w:eastAsia="宋体"/>
        <w:sz w:val="19"/>
        <w:szCs w:val="19"/>
        <w:lang w:eastAsia="zh-CN"/>
      </w:rPr>
      <w:t>龙陵县中医医院2026年保洁服务采购项目</w:t>
    </w:r>
    <w:r>
      <w:rPr>
        <w:rFonts w:hint="eastAsia" w:ascii="宋体" w:hAnsi="宋体" w:eastAsia="宋体"/>
        <w:sz w:val="19"/>
        <w:szCs w:val="19"/>
        <w:lang w:val="en-US" w:eastAsia="zh-CN"/>
      </w:rPr>
      <w:t xml:space="preserve">                                </w:t>
    </w:r>
    <w:r>
      <w:rPr>
        <w:rFonts w:hint="eastAsia" w:ascii="宋体" w:hAnsi="宋体" w:eastAsia="宋体"/>
        <w:sz w:val="19"/>
        <w:szCs w:val="19"/>
      </w:rPr>
      <w:t xml:space="preserve">竞争性磋商文件              </w:t>
    </w:r>
    <w:r>
      <w:rPr>
        <w:rFonts w:hint="eastAsia" w:ascii="宋体" w:hAnsi="宋体" w:eastAsia="宋体"/>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B45AB">
    <w:pPr>
      <w:pStyle w:val="43"/>
      <w:pBdr>
        <w:bottom w:val="none" w:color="auto" w:sz="0" w:space="1"/>
      </w:pBdr>
      <w:ind w:left="160" w:hanging="160" w:hangingChars="100"/>
      <w:jc w:val="both"/>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E63A8">
    <w:pPr>
      <w:pStyle w:val="43"/>
      <w:pBdr>
        <w:bottom w:val="thinThickSmallGap" w:color="auto" w:sz="12" w:space="2"/>
      </w:pBdr>
      <w:jc w:val="both"/>
      <w:rPr>
        <w:rFonts w:ascii="宋体" w:hAnsi="宋体" w:eastAsia="宋体"/>
        <w:bCs/>
      </w:rPr>
    </w:pPr>
    <w:r>
      <w:rPr>
        <w:rFonts w:hint="eastAsia" w:ascii="宋体" w:hAnsi="宋体" w:eastAsia="宋体"/>
        <w:sz w:val="19"/>
        <w:szCs w:val="19"/>
        <w:lang w:eastAsia="zh-CN"/>
      </w:rPr>
      <w:t>龙陵县中医医院2026年保洁服务采购项目</w:t>
    </w:r>
    <w:r>
      <w:rPr>
        <w:rFonts w:hint="eastAsia" w:ascii="宋体" w:hAnsi="宋体" w:eastAsia="宋体"/>
        <w:sz w:val="19"/>
        <w:szCs w:val="19"/>
        <w:lang w:val="en-US" w:eastAsia="zh-CN"/>
      </w:rPr>
      <w:t xml:space="preserve">   竞争性磋商文件</w:t>
    </w:r>
    <w:r>
      <w:rPr>
        <w:rFonts w:hint="eastAsia" w:ascii="宋体" w:hAnsi="宋体" w:eastAsia="宋体"/>
        <w:sz w:val="19"/>
        <w:szCs w:val="19"/>
      </w:rPr>
      <w:t xml:space="preserve">   </w:t>
    </w:r>
    <w:r>
      <w:rPr>
        <w:rFonts w:hint="eastAsia" w:ascii="宋体" w:hAnsi="宋体" w:eastAsia="宋体"/>
        <w:sz w:val="19"/>
        <w:szCs w:val="19"/>
        <w:lang w:val="en-US" w:eastAsia="zh-CN"/>
      </w:rPr>
      <w:t xml:space="preserve">               </w:t>
    </w:r>
    <w:r>
      <w:rPr>
        <w:rFonts w:hint="eastAsia" w:ascii="宋体" w:hAnsi="宋体" w:eastAsia="宋体"/>
        <w:sz w:val="20"/>
        <w:szCs w:val="20"/>
        <w:lang w:val="en-US" w:eastAsia="zh-CN"/>
      </w:rPr>
      <w:t xml:space="preserve">  </w:t>
    </w:r>
    <w:r>
      <w:rPr>
        <w:rFonts w:hint="eastAsia" w:ascii="宋体" w:hAnsi="宋体" w:eastAsia="宋体"/>
        <w:sz w:val="20"/>
        <w:szCs w:val="20"/>
      </w:rPr>
      <w:t xml:space="preserve">    </w:t>
    </w:r>
    <w:r>
      <w:rPr>
        <w:rFonts w:hint="eastAsia" w:ascii="宋体" w:hAnsi="宋体" w:eastAsia="宋体"/>
        <w:sz w:val="20"/>
        <w:szCs w:val="20"/>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BF458">
    <w:pPr>
      <w:pStyle w:val="43"/>
      <w:jc w:val="left"/>
      <w:rPr>
        <w:rFonts w:ascii="宋体" w:hAnsi="宋体" w:eastAsia="宋体"/>
        <w:sz w:val="20"/>
        <w:szCs w:val="20"/>
      </w:rPr>
    </w:pPr>
    <w:r>
      <w:rPr>
        <w:rFonts w:hint="eastAsia" w:ascii="宋体" w:hAnsi="宋体" w:eastAsia="宋体"/>
        <w:sz w:val="20"/>
        <w:szCs w:val="20"/>
        <w:lang w:eastAsia="zh-CN"/>
      </w:rPr>
      <w:t>龙陵县中医医院2026年保洁服务采购项目</w:t>
    </w:r>
    <w:r>
      <w:rPr>
        <w:rFonts w:hint="eastAsia" w:ascii="宋体" w:hAnsi="宋体" w:eastAsia="宋体"/>
        <w:sz w:val="20"/>
        <w:szCs w:val="20"/>
        <w:lang w:val="en-US" w:eastAsia="zh-CN"/>
      </w:rPr>
      <w:t xml:space="preserve">                                              </w:t>
    </w:r>
    <w:r>
      <w:rPr>
        <w:rFonts w:hint="eastAsia" w:ascii="宋体" w:hAnsi="宋体" w:eastAsia="宋体"/>
        <w:sz w:val="20"/>
        <w:szCs w:val="20"/>
      </w:rPr>
      <w:t xml:space="preserve">  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EE77FE"/>
    <w:multiLevelType w:val="singleLevel"/>
    <w:tmpl w:val="0CEE77FE"/>
    <w:lvl w:ilvl="0" w:tentative="0">
      <w:start w:val="5"/>
      <w:numFmt w:val="chineseCounting"/>
      <w:suff w:val="space"/>
      <w:lvlText w:val="第%1章"/>
      <w:lvlJc w:val="left"/>
      <w:rPr>
        <w:rFonts w:hint="eastAsia"/>
      </w:rPr>
    </w:lvl>
  </w:abstractNum>
  <w:abstractNum w:abstractNumId="1">
    <w:nsid w:val="136ABE16"/>
    <w:multiLevelType w:val="singleLevel"/>
    <w:tmpl w:val="136ABE16"/>
    <w:lvl w:ilvl="0" w:tentative="0">
      <w:start w:val="7"/>
      <w:numFmt w:val="decimal"/>
      <w:suff w:val="nothing"/>
      <w:lvlText w:val="%1、"/>
      <w:lvlJc w:val="left"/>
    </w:lvl>
  </w:abstractNum>
  <w:abstractNum w:abstractNumId="2">
    <w:nsid w:val="1C12DB02"/>
    <w:multiLevelType w:val="singleLevel"/>
    <w:tmpl w:val="1C12DB02"/>
    <w:lvl w:ilvl="0" w:tentative="0">
      <w:start w:val="1"/>
      <w:numFmt w:val="chineseCounting"/>
      <w:suff w:val="nothing"/>
      <w:lvlText w:val="%1、"/>
      <w:lvlJc w:val="left"/>
      <w:rPr>
        <w:rFonts w:hint="eastAsia"/>
      </w:rPr>
    </w:lvl>
  </w:abstractNum>
  <w:abstractNum w:abstractNumId="3">
    <w:nsid w:val="1D9C2199"/>
    <w:multiLevelType w:val="multilevel"/>
    <w:tmpl w:val="1D9C2199"/>
    <w:lvl w:ilvl="0" w:tentative="0">
      <w:start w:val="1"/>
      <w:numFmt w:val="chineseCountingThousand"/>
      <w:suff w:val="nothing"/>
      <w:lvlText w:val="(%1)"/>
      <w:lvlJc w:val="left"/>
      <w:pPr>
        <w:ind w:left="420" w:hanging="420"/>
      </w:pPr>
      <w:rPr>
        <w:rFonts w:hint="eastAsia"/>
        <w:sz w:val="21"/>
        <w:szCs w:val="21"/>
      </w:rPr>
    </w:lvl>
    <w:lvl w:ilvl="1" w:tentative="0">
      <w:start w:val="1"/>
      <w:numFmt w:val="japaneseCounting"/>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C2C4B8D"/>
    <w:multiLevelType w:val="singleLevel"/>
    <w:tmpl w:val="2C2C4B8D"/>
    <w:lvl w:ilvl="0" w:tentative="0">
      <w:start w:val="1"/>
      <w:numFmt w:val="japaneseCounting"/>
      <w:lvlText w:val="第%1条"/>
      <w:lvlJc w:val="left"/>
      <w:pPr>
        <w:tabs>
          <w:tab w:val="left" w:pos="1521"/>
        </w:tabs>
        <w:ind w:left="1521" w:hanging="1095"/>
      </w:pPr>
      <w:rPr>
        <w:rFonts w:hint="eastAsia"/>
      </w:rPr>
    </w:lvl>
  </w:abstractNum>
  <w:abstractNum w:abstractNumId="5">
    <w:nsid w:val="4C7E02D3"/>
    <w:multiLevelType w:val="singleLevel"/>
    <w:tmpl w:val="4C7E02D3"/>
    <w:lvl w:ilvl="0" w:tentative="0">
      <w:start w:val="2"/>
      <w:numFmt w:val="decimal"/>
      <w:suff w:val="nothing"/>
      <w:lvlText w:val="%1、"/>
      <w:lvlJc w:val="left"/>
    </w:lvl>
  </w:abstractNum>
  <w:abstractNum w:abstractNumId="6">
    <w:nsid w:val="4E10BF9C"/>
    <w:multiLevelType w:val="singleLevel"/>
    <w:tmpl w:val="4E10BF9C"/>
    <w:lvl w:ilvl="0" w:tentative="0">
      <w:start w:val="5"/>
      <w:numFmt w:val="chineseCounting"/>
      <w:suff w:val="nothing"/>
      <w:lvlText w:val="%1、"/>
      <w:lvlJc w:val="left"/>
      <w:rPr>
        <w:rFonts w:hint="eastAsia"/>
      </w:rPr>
    </w:lvl>
  </w:abstractNum>
  <w:abstractNum w:abstractNumId="7">
    <w:nsid w:val="67D1AFAB"/>
    <w:multiLevelType w:val="singleLevel"/>
    <w:tmpl w:val="67D1AFAB"/>
    <w:lvl w:ilvl="0" w:tentative="0">
      <w:start w:val="1"/>
      <w:numFmt w:val="decimal"/>
      <w:suff w:val="nothing"/>
      <w:lvlText w:val="%1、"/>
      <w:lvlJc w:val="left"/>
    </w:lvl>
  </w:abstractNum>
  <w:num w:numId="1">
    <w:abstractNumId w:val="4"/>
  </w:num>
  <w:num w:numId="2">
    <w:abstractNumId w:val="3"/>
  </w:num>
  <w:num w:numId="3">
    <w:abstractNumId w:val="0"/>
  </w:num>
  <w:num w:numId="4">
    <w:abstractNumId w:val="2"/>
  </w:num>
  <w:num w:numId="5">
    <w:abstractNumId w:val="7"/>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dit="readOnly" w:enforcement="0"/>
  <w:defaultTabStop w:val="720"/>
  <w:drawingGridHorizontalSpacing w:val="110"/>
  <w:drawingGridVerticalSpacing w:val="156"/>
  <w:displayHorizontalDrawingGridEvery w:val="1"/>
  <w:displayVerticalDrawingGridEvery w:val="1"/>
  <w:noPunctuationKerning w:val="1"/>
  <w:characterSpacingControl w:val="doNotCompress"/>
  <w:footnotePr>
    <w:footnote w:id="0"/>
    <w:footnote w:id="1"/>
  </w:foot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ZkOTcxYzNkZjJmMzU3ZDMxN2Q3MzZhYTk4MzcyYjQifQ=="/>
  </w:docVars>
  <w:rsids>
    <w:rsidRoot w:val="00F05E5C"/>
    <w:rsid w:val="00005402"/>
    <w:rsid w:val="00013654"/>
    <w:rsid w:val="0001738E"/>
    <w:rsid w:val="00022510"/>
    <w:rsid w:val="00023EEA"/>
    <w:rsid w:val="000355D7"/>
    <w:rsid w:val="000530C3"/>
    <w:rsid w:val="00060575"/>
    <w:rsid w:val="00061636"/>
    <w:rsid w:val="00066FD5"/>
    <w:rsid w:val="0007549A"/>
    <w:rsid w:val="000844CB"/>
    <w:rsid w:val="0009075F"/>
    <w:rsid w:val="000A3039"/>
    <w:rsid w:val="000A456B"/>
    <w:rsid w:val="000C52E3"/>
    <w:rsid w:val="000E5ACB"/>
    <w:rsid w:val="000E7711"/>
    <w:rsid w:val="00107F22"/>
    <w:rsid w:val="00121098"/>
    <w:rsid w:val="00147602"/>
    <w:rsid w:val="00155318"/>
    <w:rsid w:val="00156335"/>
    <w:rsid w:val="001604D3"/>
    <w:rsid w:val="0016581C"/>
    <w:rsid w:val="001670BC"/>
    <w:rsid w:val="00176C47"/>
    <w:rsid w:val="00182960"/>
    <w:rsid w:val="00194146"/>
    <w:rsid w:val="001963F2"/>
    <w:rsid w:val="001B6E1F"/>
    <w:rsid w:val="001C2EE6"/>
    <w:rsid w:val="002009E0"/>
    <w:rsid w:val="00202FF8"/>
    <w:rsid w:val="0025120C"/>
    <w:rsid w:val="00257DED"/>
    <w:rsid w:val="00261C5B"/>
    <w:rsid w:val="002631DA"/>
    <w:rsid w:val="002658FE"/>
    <w:rsid w:val="00270B92"/>
    <w:rsid w:val="002756BC"/>
    <w:rsid w:val="0028057D"/>
    <w:rsid w:val="00297D76"/>
    <w:rsid w:val="002A705A"/>
    <w:rsid w:val="002B106F"/>
    <w:rsid w:val="002B4F6C"/>
    <w:rsid w:val="002B59C7"/>
    <w:rsid w:val="002C0338"/>
    <w:rsid w:val="002C56D6"/>
    <w:rsid w:val="002D2BB9"/>
    <w:rsid w:val="002D57F9"/>
    <w:rsid w:val="002E5D47"/>
    <w:rsid w:val="002F7C8F"/>
    <w:rsid w:val="00301F30"/>
    <w:rsid w:val="00366BA5"/>
    <w:rsid w:val="00373C19"/>
    <w:rsid w:val="003849B1"/>
    <w:rsid w:val="00387A46"/>
    <w:rsid w:val="00393A6E"/>
    <w:rsid w:val="003A043A"/>
    <w:rsid w:val="003A51C2"/>
    <w:rsid w:val="003B558A"/>
    <w:rsid w:val="003B7D80"/>
    <w:rsid w:val="003E2265"/>
    <w:rsid w:val="003E497B"/>
    <w:rsid w:val="003F0A4E"/>
    <w:rsid w:val="003F18C7"/>
    <w:rsid w:val="003F533F"/>
    <w:rsid w:val="00417212"/>
    <w:rsid w:val="0042598A"/>
    <w:rsid w:val="0042666C"/>
    <w:rsid w:val="00446F42"/>
    <w:rsid w:val="00447311"/>
    <w:rsid w:val="0045206E"/>
    <w:rsid w:val="0045211E"/>
    <w:rsid w:val="004565EA"/>
    <w:rsid w:val="00457B57"/>
    <w:rsid w:val="00462F7E"/>
    <w:rsid w:val="0046357E"/>
    <w:rsid w:val="00476475"/>
    <w:rsid w:val="004864B4"/>
    <w:rsid w:val="004A160B"/>
    <w:rsid w:val="004A68DA"/>
    <w:rsid w:val="004A6D56"/>
    <w:rsid w:val="004A6D7F"/>
    <w:rsid w:val="004B04CE"/>
    <w:rsid w:val="004C2FC6"/>
    <w:rsid w:val="004D44A0"/>
    <w:rsid w:val="004E426A"/>
    <w:rsid w:val="004E7D06"/>
    <w:rsid w:val="004F2FB0"/>
    <w:rsid w:val="004F4D31"/>
    <w:rsid w:val="00511F4A"/>
    <w:rsid w:val="00515FA8"/>
    <w:rsid w:val="00531A94"/>
    <w:rsid w:val="00534EC2"/>
    <w:rsid w:val="00542F37"/>
    <w:rsid w:val="00552988"/>
    <w:rsid w:val="005551BE"/>
    <w:rsid w:val="00571436"/>
    <w:rsid w:val="00571FB4"/>
    <w:rsid w:val="00573EAC"/>
    <w:rsid w:val="005746C9"/>
    <w:rsid w:val="00576F65"/>
    <w:rsid w:val="005864A6"/>
    <w:rsid w:val="00592CFD"/>
    <w:rsid w:val="005A4B7E"/>
    <w:rsid w:val="005A6CDF"/>
    <w:rsid w:val="005B209F"/>
    <w:rsid w:val="005C3995"/>
    <w:rsid w:val="005C465D"/>
    <w:rsid w:val="005D3D58"/>
    <w:rsid w:val="005D3FB1"/>
    <w:rsid w:val="005D7900"/>
    <w:rsid w:val="005E28EF"/>
    <w:rsid w:val="005E54B9"/>
    <w:rsid w:val="005F1025"/>
    <w:rsid w:val="005F6234"/>
    <w:rsid w:val="006004A0"/>
    <w:rsid w:val="00601AFF"/>
    <w:rsid w:val="006174BD"/>
    <w:rsid w:val="006240C2"/>
    <w:rsid w:val="006268D1"/>
    <w:rsid w:val="00634D33"/>
    <w:rsid w:val="00640393"/>
    <w:rsid w:val="00647266"/>
    <w:rsid w:val="00660E3D"/>
    <w:rsid w:val="00663C4E"/>
    <w:rsid w:val="00665155"/>
    <w:rsid w:val="00671969"/>
    <w:rsid w:val="00671D4E"/>
    <w:rsid w:val="00673271"/>
    <w:rsid w:val="00675F40"/>
    <w:rsid w:val="00681E8D"/>
    <w:rsid w:val="006A617B"/>
    <w:rsid w:val="006A6702"/>
    <w:rsid w:val="006B3DCB"/>
    <w:rsid w:val="006C2B50"/>
    <w:rsid w:val="006C705E"/>
    <w:rsid w:val="006C7910"/>
    <w:rsid w:val="006E1B03"/>
    <w:rsid w:val="006E1EA3"/>
    <w:rsid w:val="006F0C97"/>
    <w:rsid w:val="006F1232"/>
    <w:rsid w:val="006F3B49"/>
    <w:rsid w:val="007072FA"/>
    <w:rsid w:val="00713D14"/>
    <w:rsid w:val="00724421"/>
    <w:rsid w:val="00730649"/>
    <w:rsid w:val="00731C7E"/>
    <w:rsid w:val="007340BF"/>
    <w:rsid w:val="00737BDB"/>
    <w:rsid w:val="0075346B"/>
    <w:rsid w:val="007612E8"/>
    <w:rsid w:val="0078353A"/>
    <w:rsid w:val="00783CB3"/>
    <w:rsid w:val="00784F2A"/>
    <w:rsid w:val="007A4530"/>
    <w:rsid w:val="007B55D4"/>
    <w:rsid w:val="007B5E58"/>
    <w:rsid w:val="007B6EB8"/>
    <w:rsid w:val="007D38AC"/>
    <w:rsid w:val="007F6B4B"/>
    <w:rsid w:val="00814689"/>
    <w:rsid w:val="00824D78"/>
    <w:rsid w:val="008367B0"/>
    <w:rsid w:val="00843443"/>
    <w:rsid w:val="00844658"/>
    <w:rsid w:val="00865340"/>
    <w:rsid w:val="008929C3"/>
    <w:rsid w:val="00896372"/>
    <w:rsid w:val="008A4363"/>
    <w:rsid w:val="008A5A39"/>
    <w:rsid w:val="008C3463"/>
    <w:rsid w:val="008F5F79"/>
    <w:rsid w:val="008F6274"/>
    <w:rsid w:val="00902DB2"/>
    <w:rsid w:val="009031C2"/>
    <w:rsid w:val="00906974"/>
    <w:rsid w:val="00911EA6"/>
    <w:rsid w:val="009121B5"/>
    <w:rsid w:val="00912CBB"/>
    <w:rsid w:val="00916700"/>
    <w:rsid w:val="009216BE"/>
    <w:rsid w:val="009252B9"/>
    <w:rsid w:val="009714C5"/>
    <w:rsid w:val="0097186D"/>
    <w:rsid w:val="009960E2"/>
    <w:rsid w:val="009A09A0"/>
    <w:rsid w:val="009A1E0E"/>
    <w:rsid w:val="009A34E3"/>
    <w:rsid w:val="009A39FB"/>
    <w:rsid w:val="009B1883"/>
    <w:rsid w:val="009C0ACA"/>
    <w:rsid w:val="009D2868"/>
    <w:rsid w:val="009E198B"/>
    <w:rsid w:val="009E48B2"/>
    <w:rsid w:val="009E6D25"/>
    <w:rsid w:val="009F2EBB"/>
    <w:rsid w:val="00A02C2E"/>
    <w:rsid w:val="00A14858"/>
    <w:rsid w:val="00A22C52"/>
    <w:rsid w:val="00A2604B"/>
    <w:rsid w:val="00A26DEC"/>
    <w:rsid w:val="00A40AA1"/>
    <w:rsid w:val="00A415FC"/>
    <w:rsid w:val="00A42D5F"/>
    <w:rsid w:val="00A4432E"/>
    <w:rsid w:val="00A452F9"/>
    <w:rsid w:val="00A55A76"/>
    <w:rsid w:val="00A63167"/>
    <w:rsid w:val="00A72DE4"/>
    <w:rsid w:val="00A769BE"/>
    <w:rsid w:val="00A818A8"/>
    <w:rsid w:val="00A84CFA"/>
    <w:rsid w:val="00A92516"/>
    <w:rsid w:val="00AA2F06"/>
    <w:rsid w:val="00AA63A2"/>
    <w:rsid w:val="00AB428F"/>
    <w:rsid w:val="00AC3D71"/>
    <w:rsid w:val="00AD501F"/>
    <w:rsid w:val="00AE10A0"/>
    <w:rsid w:val="00AE7462"/>
    <w:rsid w:val="00B07768"/>
    <w:rsid w:val="00B135C5"/>
    <w:rsid w:val="00B15E82"/>
    <w:rsid w:val="00B16E8D"/>
    <w:rsid w:val="00B344EC"/>
    <w:rsid w:val="00B35F8A"/>
    <w:rsid w:val="00B51524"/>
    <w:rsid w:val="00B6017E"/>
    <w:rsid w:val="00B61864"/>
    <w:rsid w:val="00B63A1F"/>
    <w:rsid w:val="00B96C16"/>
    <w:rsid w:val="00BA4238"/>
    <w:rsid w:val="00BA57E6"/>
    <w:rsid w:val="00BB18F8"/>
    <w:rsid w:val="00BB7047"/>
    <w:rsid w:val="00BC2B3F"/>
    <w:rsid w:val="00BC46DB"/>
    <w:rsid w:val="00BE7AB2"/>
    <w:rsid w:val="00C02C5E"/>
    <w:rsid w:val="00C07EC4"/>
    <w:rsid w:val="00C10704"/>
    <w:rsid w:val="00C10B09"/>
    <w:rsid w:val="00C136C3"/>
    <w:rsid w:val="00C14645"/>
    <w:rsid w:val="00C175F1"/>
    <w:rsid w:val="00C21FBC"/>
    <w:rsid w:val="00C24B27"/>
    <w:rsid w:val="00C31209"/>
    <w:rsid w:val="00C43901"/>
    <w:rsid w:val="00C6158F"/>
    <w:rsid w:val="00C63587"/>
    <w:rsid w:val="00C7559F"/>
    <w:rsid w:val="00C764D7"/>
    <w:rsid w:val="00C775BE"/>
    <w:rsid w:val="00C84964"/>
    <w:rsid w:val="00C84D34"/>
    <w:rsid w:val="00C864C4"/>
    <w:rsid w:val="00C87243"/>
    <w:rsid w:val="00C95856"/>
    <w:rsid w:val="00CA2F00"/>
    <w:rsid w:val="00CA3250"/>
    <w:rsid w:val="00CA6F50"/>
    <w:rsid w:val="00CC35BC"/>
    <w:rsid w:val="00CC4D64"/>
    <w:rsid w:val="00CF1859"/>
    <w:rsid w:val="00CF1F18"/>
    <w:rsid w:val="00CF205F"/>
    <w:rsid w:val="00D061E2"/>
    <w:rsid w:val="00D166A5"/>
    <w:rsid w:val="00D20640"/>
    <w:rsid w:val="00D61475"/>
    <w:rsid w:val="00D70505"/>
    <w:rsid w:val="00D70577"/>
    <w:rsid w:val="00D750B2"/>
    <w:rsid w:val="00D77F4A"/>
    <w:rsid w:val="00D84037"/>
    <w:rsid w:val="00D969A5"/>
    <w:rsid w:val="00DA4422"/>
    <w:rsid w:val="00DB2839"/>
    <w:rsid w:val="00DB618E"/>
    <w:rsid w:val="00DD5964"/>
    <w:rsid w:val="00DE2487"/>
    <w:rsid w:val="00E00C94"/>
    <w:rsid w:val="00E0532F"/>
    <w:rsid w:val="00E149DA"/>
    <w:rsid w:val="00E16FE2"/>
    <w:rsid w:val="00E17D5A"/>
    <w:rsid w:val="00E2251B"/>
    <w:rsid w:val="00E262D6"/>
    <w:rsid w:val="00E26BED"/>
    <w:rsid w:val="00E307E0"/>
    <w:rsid w:val="00E323B6"/>
    <w:rsid w:val="00E35DB8"/>
    <w:rsid w:val="00E52AC9"/>
    <w:rsid w:val="00E84814"/>
    <w:rsid w:val="00E857A9"/>
    <w:rsid w:val="00E90963"/>
    <w:rsid w:val="00E97768"/>
    <w:rsid w:val="00EA1544"/>
    <w:rsid w:val="00EA3551"/>
    <w:rsid w:val="00EA4F28"/>
    <w:rsid w:val="00EA73AA"/>
    <w:rsid w:val="00EB1758"/>
    <w:rsid w:val="00EB1BD5"/>
    <w:rsid w:val="00EC1D41"/>
    <w:rsid w:val="00ED1E9B"/>
    <w:rsid w:val="00ED767D"/>
    <w:rsid w:val="00EF0FE1"/>
    <w:rsid w:val="00EF1BAD"/>
    <w:rsid w:val="00F0331B"/>
    <w:rsid w:val="00F05C75"/>
    <w:rsid w:val="00F05D5E"/>
    <w:rsid w:val="00F05E5C"/>
    <w:rsid w:val="00F12760"/>
    <w:rsid w:val="00F16BA0"/>
    <w:rsid w:val="00F23520"/>
    <w:rsid w:val="00F431B9"/>
    <w:rsid w:val="00F4561D"/>
    <w:rsid w:val="00F54A03"/>
    <w:rsid w:val="00F66F31"/>
    <w:rsid w:val="00F9420F"/>
    <w:rsid w:val="00FA1D25"/>
    <w:rsid w:val="00FB4070"/>
    <w:rsid w:val="00FD668E"/>
    <w:rsid w:val="00FE0230"/>
    <w:rsid w:val="00FE44D3"/>
    <w:rsid w:val="00FF6AD3"/>
    <w:rsid w:val="0137560B"/>
    <w:rsid w:val="0146777C"/>
    <w:rsid w:val="018750F0"/>
    <w:rsid w:val="018A1427"/>
    <w:rsid w:val="0199527E"/>
    <w:rsid w:val="019D675A"/>
    <w:rsid w:val="01BF5575"/>
    <w:rsid w:val="01C319D1"/>
    <w:rsid w:val="01D442E3"/>
    <w:rsid w:val="01DD296E"/>
    <w:rsid w:val="021E51EF"/>
    <w:rsid w:val="021F7DC1"/>
    <w:rsid w:val="023A3627"/>
    <w:rsid w:val="02445490"/>
    <w:rsid w:val="024F0E8B"/>
    <w:rsid w:val="02663C42"/>
    <w:rsid w:val="02736E61"/>
    <w:rsid w:val="027D0F8C"/>
    <w:rsid w:val="02922C89"/>
    <w:rsid w:val="029A1B3E"/>
    <w:rsid w:val="029C0692"/>
    <w:rsid w:val="02BF15A4"/>
    <w:rsid w:val="02CD5A6F"/>
    <w:rsid w:val="02D844B5"/>
    <w:rsid w:val="02D9767D"/>
    <w:rsid w:val="02E06CDD"/>
    <w:rsid w:val="02EE47F0"/>
    <w:rsid w:val="02F413A5"/>
    <w:rsid w:val="02FE2311"/>
    <w:rsid w:val="03011BBD"/>
    <w:rsid w:val="03057B71"/>
    <w:rsid w:val="03074550"/>
    <w:rsid w:val="03327C97"/>
    <w:rsid w:val="035D4EAA"/>
    <w:rsid w:val="037764D6"/>
    <w:rsid w:val="037C509D"/>
    <w:rsid w:val="03BB0A6A"/>
    <w:rsid w:val="03F62464"/>
    <w:rsid w:val="03F92894"/>
    <w:rsid w:val="0431202E"/>
    <w:rsid w:val="04473600"/>
    <w:rsid w:val="04530A9C"/>
    <w:rsid w:val="04887AC9"/>
    <w:rsid w:val="049A7BD3"/>
    <w:rsid w:val="049C416F"/>
    <w:rsid w:val="04B3212E"/>
    <w:rsid w:val="04BA5894"/>
    <w:rsid w:val="04E31D80"/>
    <w:rsid w:val="04F77039"/>
    <w:rsid w:val="05001CB6"/>
    <w:rsid w:val="05047743"/>
    <w:rsid w:val="05104339"/>
    <w:rsid w:val="051A0D14"/>
    <w:rsid w:val="052119FF"/>
    <w:rsid w:val="05290176"/>
    <w:rsid w:val="0547415A"/>
    <w:rsid w:val="05483AD3"/>
    <w:rsid w:val="054B711F"/>
    <w:rsid w:val="05583808"/>
    <w:rsid w:val="055A55B4"/>
    <w:rsid w:val="0565499D"/>
    <w:rsid w:val="05752EF1"/>
    <w:rsid w:val="057B6CD6"/>
    <w:rsid w:val="05AC22B4"/>
    <w:rsid w:val="05CA44E8"/>
    <w:rsid w:val="05D15877"/>
    <w:rsid w:val="05DA1E05"/>
    <w:rsid w:val="05DA6E3E"/>
    <w:rsid w:val="05DD5554"/>
    <w:rsid w:val="05F91A40"/>
    <w:rsid w:val="05FD66E6"/>
    <w:rsid w:val="060A45E6"/>
    <w:rsid w:val="061B2F96"/>
    <w:rsid w:val="068C3E93"/>
    <w:rsid w:val="069A739A"/>
    <w:rsid w:val="069E538B"/>
    <w:rsid w:val="06AD61A0"/>
    <w:rsid w:val="06E45A7E"/>
    <w:rsid w:val="06FC6923"/>
    <w:rsid w:val="06FE43AB"/>
    <w:rsid w:val="070A4010"/>
    <w:rsid w:val="07175326"/>
    <w:rsid w:val="07177C01"/>
    <w:rsid w:val="071874D5"/>
    <w:rsid w:val="071C5217"/>
    <w:rsid w:val="071E464D"/>
    <w:rsid w:val="072C7970"/>
    <w:rsid w:val="0732690E"/>
    <w:rsid w:val="073C31C4"/>
    <w:rsid w:val="073E637E"/>
    <w:rsid w:val="07411A05"/>
    <w:rsid w:val="075C2E04"/>
    <w:rsid w:val="07681E7D"/>
    <w:rsid w:val="07865918"/>
    <w:rsid w:val="07B42663"/>
    <w:rsid w:val="07BC76D1"/>
    <w:rsid w:val="07C4086A"/>
    <w:rsid w:val="07C733D5"/>
    <w:rsid w:val="07C80EFB"/>
    <w:rsid w:val="07D00DC4"/>
    <w:rsid w:val="07D17DB0"/>
    <w:rsid w:val="07D420AA"/>
    <w:rsid w:val="07D9663F"/>
    <w:rsid w:val="07EB20DE"/>
    <w:rsid w:val="07EF0236"/>
    <w:rsid w:val="07F83E79"/>
    <w:rsid w:val="07FE6986"/>
    <w:rsid w:val="080D4B60"/>
    <w:rsid w:val="081B54CF"/>
    <w:rsid w:val="081C749F"/>
    <w:rsid w:val="081D34D5"/>
    <w:rsid w:val="08202AE5"/>
    <w:rsid w:val="08234B4B"/>
    <w:rsid w:val="08251861"/>
    <w:rsid w:val="08297BEC"/>
    <w:rsid w:val="082D1BA0"/>
    <w:rsid w:val="084C48BB"/>
    <w:rsid w:val="08537336"/>
    <w:rsid w:val="085E77D7"/>
    <w:rsid w:val="0869623A"/>
    <w:rsid w:val="08836301"/>
    <w:rsid w:val="088968DD"/>
    <w:rsid w:val="08921E79"/>
    <w:rsid w:val="089536F9"/>
    <w:rsid w:val="089808CE"/>
    <w:rsid w:val="08AB244B"/>
    <w:rsid w:val="08CA6988"/>
    <w:rsid w:val="08DA4C87"/>
    <w:rsid w:val="08FE7E80"/>
    <w:rsid w:val="090146C5"/>
    <w:rsid w:val="09076022"/>
    <w:rsid w:val="090766B8"/>
    <w:rsid w:val="09091AD2"/>
    <w:rsid w:val="090E6DE2"/>
    <w:rsid w:val="091268D2"/>
    <w:rsid w:val="09157670"/>
    <w:rsid w:val="0939065B"/>
    <w:rsid w:val="095F0E07"/>
    <w:rsid w:val="097F5263"/>
    <w:rsid w:val="098A324C"/>
    <w:rsid w:val="09A60DC8"/>
    <w:rsid w:val="09D5345C"/>
    <w:rsid w:val="09E813E1"/>
    <w:rsid w:val="09F204B1"/>
    <w:rsid w:val="0A030E52"/>
    <w:rsid w:val="0A0E7BEF"/>
    <w:rsid w:val="0A165F4E"/>
    <w:rsid w:val="0A286ADF"/>
    <w:rsid w:val="0A3C12E4"/>
    <w:rsid w:val="0A3D39CE"/>
    <w:rsid w:val="0A5D3DEB"/>
    <w:rsid w:val="0A5E16A3"/>
    <w:rsid w:val="0A5F5B47"/>
    <w:rsid w:val="0A622F41"/>
    <w:rsid w:val="0A72764C"/>
    <w:rsid w:val="0A8455AD"/>
    <w:rsid w:val="0A917424"/>
    <w:rsid w:val="0A960AF7"/>
    <w:rsid w:val="0A9D770B"/>
    <w:rsid w:val="0AA42D5C"/>
    <w:rsid w:val="0AC26155"/>
    <w:rsid w:val="0AC739F7"/>
    <w:rsid w:val="0ACF3CAE"/>
    <w:rsid w:val="0AD35BED"/>
    <w:rsid w:val="0ADF4592"/>
    <w:rsid w:val="0AF070A0"/>
    <w:rsid w:val="0AFB4AED"/>
    <w:rsid w:val="0B3D3A27"/>
    <w:rsid w:val="0B3F3282"/>
    <w:rsid w:val="0B512FB6"/>
    <w:rsid w:val="0B545CBA"/>
    <w:rsid w:val="0B767328"/>
    <w:rsid w:val="0B7849E6"/>
    <w:rsid w:val="0B7D0518"/>
    <w:rsid w:val="0B7F7C9E"/>
    <w:rsid w:val="0B8E3BFE"/>
    <w:rsid w:val="0B995414"/>
    <w:rsid w:val="0BBC4873"/>
    <w:rsid w:val="0BE272F9"/>
    <w:rsid w:val="0BE53695"/>
    <w:rsid w:val="0BEE424C"/>
    <w:rsid w:val="0BEF7D50"/>
    <w:rsid w:val="0BF0790B"/>
    <w:rsid w:val="0C0F4CA9"/>
    <w:rsid w:val="0C236027"/>
    <w:rsid w:val="0C3E0055"/>
    <w:rsid w:val="0C50326D"/>
    <w:rsid w:val="0C7D2337"/>
    <w:rsid w:val="0CA748A4"/>
    <w:rsid w:val="0CB67574"/>
    <w:rsid w:val="0CDB522D"/>
    <w:rsid w:val="0CEB51F3"/>
    <w:rsid w:val="0CF9257A"/>
    <w:rsid w:val="0D0413DD"/>
    <w:rsid w:val="0D103128"/>
    <w:rsid w:val="0D1B387B"/>
    <w:rsid w:val="0D29243C"/>
    <w:rsid w:val="0D3D6A0F"/>
    <w:rsid w:val="0D7731A8"/>
    <w:rsid w:val="0D777464"/>
    <w:rsid w:val="0DA046A7"/>
    <w:rsid w:val="0DBA7538"/>
    <w:rsid w:val="0DBB1A3F"/>
    <w:rsid w:val="0DBC13A8"/>
    <w:rsid w:val="0DCA5790"/>
    <w:rsid w:val="0DED5218"/>
    <w:rsid w:val="0E027E6D"/>
    <w:rsid w:val="0E032C8D"/>
    <w:rsid w:val="0E060087"/>
    <w:rsid w:val="0E0E22A4"/>
    <w:rsid w:val="0E2F6BD6"/>
    <w:rsid w:val="0E416EC5"/>
    <w:rsid w:val="0E417312"/>
    <w:rsid w:val="0E460DCC"/>
    <w:rsid w:val="0E7C0105"/>
    <w:rsid w:val="0E7D3EA5"/>
    <w:rsid w:val="0E9E3BDC"/>
    <w:rsid w:val="0EB775D4"/>
    <w:rsid w:val="0EBC7F72"/>
    <w:rsid w:val="0ECB50EA"/>
    <w:rsid w:val="0ECC307F"/>
    <w:rsid w:val="0ED4685A"/>
    <w:rsid w:val="0ED60470"/>
    <w:rsid w:val="0ED71BAF"/>
    <w:rsid w:val="0ED73BF2"/>
    <w:rsid w:val="0EE9713E"/>
    <w:rsid w:val="0F2E5AE8"/>
    <w:rsid w:val="0F430C58"/>
    <w:rsid w:val="0F44355D"/>
    <w:rsid w:val="0F514956"/>
    <w:rsid w:val="0F5979A5"/>
    <w:rsid w:val="0F6F17AB"/>
    <w:rsid w:val="0F714515"/>
    <w:rsid w:val="0F7756E1"/>
    <w:rsid w:val="0F8F4204"/>
    <w:rsid w:val="0F9010A5"/>
    <w:rsid w:val="0F9140CC"/>
    <w:rsid w:val="0FA54557"/>
    <w:rsid w:val="0FC86C6A"/>
    <w:rsid w:val="0FCD1FD5"/>
    <w:rsid w:val="0FD50659"/>
    <w:rsid w:val="0FDC5B55"/>
    <w:rsid w:val="0FDF5034"/>
    <w:rsid w:val="0FF86B8F"/>
    <w:rsid w:val="0FFC7994"/>
    <w:rsid w:val="0FFE195E"/>
    <w:rsid w:val="100D1BA1"/>
    <w:rsid w:val="10152804"/>
    <w:rsid w:val="102313C5"/>
    <w:rsid w:val="103A1573"/>
    <w:rsid w:val="1045703B"/>
    <w:rsid w:val="104D6442"/>
    <w:rsid w:val="10667503"/>
    <w:rsid w:val="107E2A9F"/>
    <w:rsid w:val="107F6F93"/>
    <w:rsid w:val="10A427DA"/>
    <w:rsid w:val="10AF6EF1"/>
    <w:rsid w:val="10C8518A"/>
    <w:rsid w:val="10D61301"/>
    <w:rsid w:val="10D74431"/>
    <w:rsid w:val="10FA31F8"/>
    <w:rsid w:val="1102547E"/>
    <w:rsid w:val="110F36F7"/>
    <w:rsid w:val="11164A85"/>
    <w:rsid w:val="112E1DCF"/>
    <w:rsid w:val="11450D38"/>
    <w:rsid w:val="114E7B7E"/>
    <w:rsid w:val="115363AF"/>
    <w:rsid w:val="11555284"/>
    <w:rsid w:val="11565EC8"/>
    <w:rsid w:val="11801557"/>
    <w:rsid w:val="118063A3"/>
    <w:rsid w:val="11852DFF"/>
    <w:rsid w:val="11963CA8"/>
    <w:rsid w:val="11A958FA"/>
    <w:rsid w:val="11AA6EBC"/>
    <w:rsid w:val="11B35AF6"/>
    <w:rsid w:val="11B52484"/>
    <w:rsid w:val="11BC387F"/>
    <w:rsid w:val="11E7049D"/>
    <w:rsid w:val="12037BD5"/>
    <w:rsid w:val="1211524D"/>
    <w:rsid w:val="12387D0E"/>
    <w:rsid w:val="124F1AF2"/>
    <w:rsid w:val="12523397"/>
    <w:rsid w:val="12593E39"/>
    <w:rsid w:val="126F2923"/>
    <w:rsid w:val="127952CC"/>
    <w:rsid w:val="12822AF2"/>
    <w:rsid w:val="128B1647"/>
    <w:rsid w:val="12A82A7F"/>
    <w:rsid w:val="12AD0870"/>
    <w:rsid w:val="12B02EFA"/>
    <w:rsid w:val="12B26A30"/>
    <w:rsid w:val="12B67940"/>
    <w:rsid w:val="12B752E8"/>
    <w:rsid w:val="12C021D1"/>
    <w:rsid w:val="12E34F1A"/>
    <w:rsid w:val="12F57C80"/>
    <w:rsid w:val="130F3061"/>
    <w:rsid w:val="131427B8"/>
    <w:rsid w:val="13160D6D"/>
    <w:rsid w:val="131B6383"/>
    <w:rsid w:val="13337B71"/>
    <w:rsid w:val="13373B6D"/>
    <w:rsid w:val="13511E6E"/>
    <w:rsid w:val="135D4BEE"/>
    <w:rsid w:val="13685340"/>
    <w:rsid w:val="13733E4C"/>
    <w:rsid w:val="1376180B"/>
    <w:rsid w:val="13846601"/>
    <w:rsid w:val="13991B38"/>
    <w:rsid w:val="13B54A2A"/>
    <w:rsid w:val="13D843CC"/>
    <w:rsid w:val="13EB2DEB"/>
    <w:rsid w:val="13F60920"/>
    <w:rsid w:val="14166EAE"/>
    <w:rsid w:val="143D4D2B"/>
    <w:rsid w:val="145A0CC1"/>
    <w:rsid w:val="14674788"/>
    <w:rsid w:val="1470190A"/>
    <w:rsid w:val="147A37BE"/>
    <w:rsid w:val="14887A48"/>
    <w:rsid w:val="14912630"/>
    <w:rsid w:val="14914AE2"/>
    <w:rsid w:val="14972381"/>
    <w:rsid w:val="14BB1903"/>
    <w:rsid w:val="14C56F8C"/>
    <w:rsid w:val="14D16621"/>
    <w:rsid w:val="14D233B9"/>
    <w:rsid w:val="14F31DEF"/>
    <w:rsid w:val="150A66AF"/>
    <w:rsid w:val="1515098A"/>
    <w:rsid w:val="151E2FFB"/>
    <w:rsid w:val="153235FF"/>
    <w:rsid w:val="153B4ABB"/>
    <w:rsid w:val="153E7C35"/>
    <w:rsid w:val="157048CD"/>
    <w:rsid w:val="15745BF8"/>
    <w:rsid w:val="15756ACE"/>
    <w:rsid w:val="157C3998"/>
    <w:rsid w:val="158D108E"/>
    <w:rsid w:val="15CC1BB7"/>
    <w:rsid w:val="15D1541F"/>
    <w:rsid w:val="15E46FC8"/>
    <w:rsid w:val="15F2679F"/>
    <w:rsid w:val="16262AF7"/>
    <w:rsid w:val="162F6A59"/>
    <w:rsid w:val="168406E3"/>
    <w:rsid w:val="16866209"/>
    <w:rsid w:val="16971476"/>
    <w:rsid w:val="16A207F3"/>
    <w:rsid w:val="16AA5E25"/>
    <w:rsid w:val="16BE1E47"/>
    <w:rsid w:val="16C448A6"/>
    <w:rsid w:val="16DF3B6C"/>
    <w:rsid w:val="16F02FDB"/>
    <w:rsid w:val="170B6788"/>
    <w:rsid w:val="17210540"/>
    <w:rsid w:val="172761C4"/>
    <w:rsid w:val="173C153A"/>
    <w:rsid w:val="174A5489"/>
    <w:rsid w:val="174F1619"/>
    <w:rsid w:val="174F484D"/>
    <w:rsid w:val="1768254B"/>
    <w:rsid w:val="177A6D5C"/>
    <w:rsid w:val="177C13BA"/>
    <w:rsid w:val="17800EAB"/>
    <w:rsid w:val="17815824"/>
    <w:rsid w:val="178B3636"/>
    <w:rsid w:val="17902510"/>
    <w:rsid w:val="179A0526"/>
    <w:rsid w:val="17B31280"/>
    <w:rsid w:val="17B40B54"/>
    <w:rsid w:val="17B42A29"/>
    <w:rsid w:val="17B87CB8"/>
    <w:rsid w:val="17BA0DCB"/>
    <w:rsid w:val="17BD01D7"/>
    <w:rsid w:val="17CA75AF"/>
    <w:rsid w:val="17CF598E"/>
    <w:rsid w:val="17D00FC2"/>
    <w:rsid w:val="17D47447"/>
    <w:rsid w:val="17EB6C6C"/>
    <w:rsid w:val="18057EB7"/>
    <w:rsid w:val="18074081"/>
    <w:rsid w:val="18243F2C"/>
    <w:rsid w:val="183819F3"/>
    <w:rsid w:val="183D44E0"/>
    <w:rsid w:val="184B14C7"/>
    <w:rsid w:val="184C6FDF"/>
    <w:rsid w:val="186A2B1F"/>
    <w:rsid w:val="186B5978"/>
    <w:rsid w:val="18893063"/>
    <w:rsid w:val="18A137CE"/>
    <w:rsid w:val="18A62B93"/>
    <w:rsid w:val="18A80D50"/>
    <w:rsid w:val="18B43502"/>
    <w:rsid w:val="18DF2BDD"/>
    <w:rsid w:val="18E44D9B"/>
    <w:rsid w:val="18F17962"/>
    <w:rsid w:val="18F356AC"/>
    <w:rsid w:val="19045B0B"/>
    <w:rsid w:val="191F63A6"/>
    <w:rsid w:val="193261D5"/>
    <w:rsid w:val="19341F4D"/>
    <w:rsid w:val="193A152D"/>
    <w:rsid w:val="195C4D12"/>
    <w:rsid w:val="19726F19"/>
    <w:rsid w:val="197971A0"/>
    <w:rsid w:val="197B6EAF"/>
    <w:rsid w:val="19953668"/>
    <w:rsid w:val="19BB441C"/>
    <w:rsid w:val="19C93010"/>
    <w:rsid w:val="19D21766"/>
    <w:rsid w:val="19D34081"/>
    <w:rsid w:val="1A1A1A1A"/>
    <w:rsid w:val="1A3F329F"/>
    <w:rsid w:val="1A424A67"/>
    <w:rsid w:val="1A4342A0"/>
    <w:rsid w:val="1A4818D1"/>
    <w:rsid w:val="1A4C6FCC"/>
    <w:rsid w:val="1A4E5290"/>
    <w:rsid w:val="1A572463"/>
    <w:rsid w:val="1A5F7DB9"/>
    <w:rsid w:val="1A710E87"/>
    <w:rsid w:val="1A862BD8"/>
    <w:rsid w:val="1AA55CF4"/>
    <w:rsid w:val="1AD2177C"/>
    <w:rsid w:val="1ADC4EF5"/>
    <w:rsid w:val="1AF20AB4"/>
    <w:rsid w:val="1B0E67CD"/>
    <w:rsid w:val="1B157B5C"/>
    <w:rsid w:val="1B27310F"/>
    <w:rsid w:val="1B315F3F"/>
    <w:rsid w:val="1B3B1CB8"/>
    <w:rsid w:val="1B3E70B3"/>
    <w:rsid w:val="1B51084C"/>
    <w:rsid w:val="1B5C3A7D"/>
    <w:rsid w:val="1B822D91"/>
    <w:rsid w:val="1B9118D8"/>
    <w:rsid w:val="1B975B0B"/>
    <w:rsid w:val="1BAD4238"/>
    <w:rsid w:val="1BB2030D"/>
    <w:rsid w:val="1BD94FAF"/>
    <w:rsid w:val="1BE9798D"/>
    <w:rsid w:val="1BF14125"/>
    <w:rsid w:val="1BFD19B2"/>
    <w:rsid w:val="1C246C7A"/>
    <w:rsid w:val="1C26157D"/>
    <w:rsid w:val="1C2C23ED"/>
    <w:rsid w:val="1C341ABB"/>
    <w:rsid w:val="1C3977EE"/>
    <w:rsid w:val="1C4037F4"/>
    <w:rsid w:val="1C4B78B1"/>
    <w:rsid w:val="1C5C173E"/>
    <w:rsid w:val="1C6A2058"/>
    <w:rsid w:val="1C705B1F"/>
    <w:rsid w:val="1C7361EE"/>
    <w:rsid w:val="1C7B45C3"/>
    <w:rsid w:val="1C7B60E4"/>
    <w:rsid w:val="1C8C1C43"/>
    <w:rsid w:val="1C911BDE"/>
    <w:rsid w:val="1C990D57"/>
    <w:rsid w:val="1CA078F9"/>
    <w:rsid w:val="1CB33AD0"/>
    <w:rsid w:val="1CB6711D"/>
    <w:rsid w:val="1CB82E95"/>
    <w:rsid w:val="1CBE6D1B"/>
    <w:rsid w:val="1CC10994"/>
    <w:rsid w:val="1CD37B54"/>
    <w:rsid w:val="1CD51E9F"/>
    <w:rsid w:val="1CE123EB"/>
    <w:rsid w:val="1CEB3211"/>
    <w:rsid w:val="1CF553CD"/>
    <w:rsid w:val="1CF77E61"/>
    <w:rsid w:val="1D0B1216"/>
    <w:rsid w:val="1D226A15"/>
    <w:rsid w:val="1D322C47"/>
    <w:rsid w:val="1D3D339A"/>
    <w:rsid w:val="1D3F393E"/>
    <w:rsid w:val="1D411FB9"/>
    <w:rsid w:val="1D4330A6"/>
    <w:rsid w:val="1D4B7701"/>
    <w:rsid w:val="1D50131F"/>
    <w:rsid w:val="1D5030CD"/>
    <w:rsid w:val="1D514F49"/>
    <w:rsid w:val="1D82029E"/>
    <w:rsid w:val="1DA62271"/>
    <w:rsid w:val="1DAA1F80"/>
    <w:rsid w:val="1DBB6A08"/>
    <w:rsid w:val="1DC76833"/>
    <w:rsid w:val="1DD2442A"/>
    <w:rsid w:val="1DD27F86"/>
    <w:rsid w:val="1DD82E36"/>
    <w:rsid w:val="1DDD4A91"/>
    <w:rsid w:val="1E061749"/>
    <w:rsid w:val="1E077129"/>
    <w:rsid w:val="1E2D1E3B"/>
    <w:rsid w:val="1E32569D"/>
    <w:rsid w:val="1E326C77"/>
    <w:rsid w:val="1E397B74"/>
    <w:rsid w:val="1E3B5B2B"/>
    <w:rsid w:val="1E4350D6"/>
    <w:rsid w:val="1E5D058E"/>
    <w:rsid w:val="1E5E181A"/>
    <w:rsid w:val="1E636F4B"/>
    <w:rsid w:val="1E6A2177"/>
    <w:rsid w:val="1E7948AA"/>
    <w:rsid w:val="1E796654"/>
    <w:rsid w:val="1E827E4F"/>
    <w:rsid w:val="1E937986"/>
    <w:rsid w:val="1E9A0557"/>
    <w:rsid w:val="1EBB40A4"/>
    <w:rsid w:val="1ECB3353"/>
    <w:rsid w:val="1EE765F8"/>
    <w:rsid w:val="1EFA2840"/>
    <w:rsid w:val="1EFB4AD3"/>
    <w:rsid w:val="1F0F722C"/>
    <w:rsid w:val="1F134CFA"/>
    <w:rsid w:val="1F1D7927"/>
    <w:rsid w:val="1F225BA1"/>
    <w:rsid w:val="1F291E28"/>
    <w:rsid w:val="1F391A6D"/>
    <w:rsid w:val="1F3B4881"/>
    <w:rsid w:val="1F3D3B25"/>
    <w:rsid w:val="1F57615D"/>
    <w:rsid w:val="1F6E6281"/>
    <w:rsid w:val="1F7F6F6B"/>
    <w:rsid w:val="1FBC633E"/>
    <w:rsid w:val="1FC55FF4"/>
    <w:rsid w:val="1FE31210"/>
    <w:rsid w:val="1FFB648B"/>
    <w:rsid w:val="20000DDB"/>
    <w:rsid w:val="20085EE1"/>
    <w:rsid w:val="204A474C"/>
    <w:rsid w:val="204C2272"/>
    <w:rsid w:val="20521A02"/>
    <w:rsid w:val="205A0D23"/>
    <w:rsid w:val="20616418"/>
    <w:rsid w:val="206170DB"/>
    <w:rsid w:val="207F5CAC"/>
    <w:rsid w:val="208C266E"/>
    <w:rsid w:val="208D63E6"/>
    <w:rsid w:val="208D7616"/>
    <w:rsid w:val="208E41EA"/>
    <w:rsid w:val="20CA13E8"/>
    <w:rsid w:val="20D96C9E"/>
    <w:rsid w:val="20E76E52"/>
    <w:rsid w:val="20EB4451"/>
    <w:rsid w:val="21160439"/>
    <w:rsid w:val="211A3402"/>
    <w:rsid w:val="211D3C0E"/>
    <w:rsid w:val="212136FE"/>
    <w:rsid w:val="21222FD3"/>
    <w:rsid w:val="212363ED"/>
    <w:rsid w:val="21283B70"/>
    <w:rsid w:val="212E1949"/>
    <w:rsid w:val="21374CD0"/>
    <w:rsid w:val="213966DD"/>
    <w:rsid w:val="2147536A"/>
    <w:rsid w:val="214A1BCC"/>
    <w:rsid w:val="21501E25"/>
    <w:rsid w:val="21513AA6"/>
    <w:rsid w:val="215A451A"/>
    <w:rsid w:val="21617F9F"/>
    <w:rsid w:val="217238F5"/>
    <w:rsid w:val="219D0C9F"/>
    <w:rsid w:val="219F2938"/>
    <w:rsid w:val="21A8797C"/>
    <w:rsid w:val="21CF5397"/>
    <w:rsid w:val="21D544E9"/>
    <w:rsid w:val="21DA7EAC"/>
    <w:rsid w:val="21DE0978"/>
    <w:rsid w:val="21E11403"/>
    <w:rsid w:val="21E3061D"/>
    <w:rsid w:val="21F04F93"/>
    <w:rsid w:val="22015030"/>
    <w:rsid w:val="22252D7A"/>
    <w:rsid w:val="222C235B"/>
    <w:rsid w:val="22315053"/>
    <w:rsid w:val="22765384"/>
    <w:rsid w:val="22822506"/>
    <w:rsid w:val="22853819"/>
    <w:rsid w:val="228A0374"/>
    <w:rsid w:val="228F6446"/>
    <w:rsid w:val="22910410"/>
    <w:rsid w:val="22A6273A"/>
    <w:rsid w:val="22CA0C4E"/>
    <w:rsid w:val="22E51343"/>
    <w:rsid w:val="22E70030"/>
    <w:rsid w:val="22F34C27"/>
    <w:rsid w:val="22F37B3A"/>
    <w:rsid w:val="22F63F25"/>
    <w:rsid w:val="22F664C5"/>
    <w:rsid w:val="230F5811"/>
    <w:rsid w:val="231057D9"/>
    <w:rsid w:val="2322550C"/>
    <w:rsid w:val="23331568"/>
    <w:rsid w:val="233A2855"/>
    <w:rsid w:val="2369313B"/>
    <w:rsid w:val="2375458A"/>
    <w:rsid w:val="237607A1"/>
    <w:rsid w:val="23940548"/>
    <w:rsid w:val="23C6233B"/>
    <w:rsid w:val="23C87E61"/>
    <w:rsid w:val="23D97C30"/>
    <w:rsid w:val="23DB4591"/>
    <w:rsid w:val="242E53F3"/>
    <w:rsid w:val="243F4597"/>
    <w:rsid w:val="243F5C4A"/>
    <w:rsid w:val="244D2147"/>
    <w:rsid w:val="246102B6"/>
    <w:rsid w:val="24647EF0"/>
    <w:rsid w:val="247B11AE"/>
    <w:rsid w:val="247D0EDD"/>
    <w:rsid w:val="24876B9B"/>
    <w:rsid w:val="24A57065"/>
    <w:rsid w:val="24A84F7F"/>
    <w:rsid w:val="24B22C73"/>
    <w:rsid w:val="24B30B11"/>
    <w:rsid w:val="24C16D67"/>
    <w:rsid w:val="24CD612D"/>
    <w:rsid w:val="24E30CCB"/>
    <w:rsid w:val="25127648"/>
    <w:rsid w:val="25292836"/>
    <w:rsid w:val="25317C88"/>
    <w:rsid w:val="253D43EA"/>
    <w:rsid w:val="257A5D13"/>
    <w:rsid w:val="258960CE"/>
    <w:rsid w:val="25916979"/>
    <w:rsid w:val="25A23B72"/>
    <w:rsid w:val="25B032A3"/>
    <w:rsid w:val="25B64A05"/>
    <w:rsid w:val="25BC57A4"/>
    <w:rsid w:val="25BF5294"/>
    <w:rsid w:val="25D60750"/>
    <w:rsid w:val="25D95E65"/>
    <w:rsid w:val="25DF76E4"/>
    <w:rsid w:val="25E651FE"/>
    <w:rsid w:val="25F0600A"/>
    <w:rsid w:val="260E362B"/>
    <w:rsid w:val="2610789E"/>
    <w:rsid w:val="261C2FC2"/>
    <w:rsid w:val="263100B8"/>
    <w:rsid w:val="26320FB6"/>
    <w:rsid w:val="263A1F00"/>
    <w:rsid w:val="263F7225"/>
    <w:rsid w:val="26420AFF"/>
    <w:rsid w:val="264B7620"/>
    <w:rsid w:val="26534F10"/>
    <w:rsid w:val="265E6838"/>
    <w:rsid w:val="26644A96"/>
    <w:rsid w:val="26880ABF"/>
    <w:rsid w:val="26882E12"/>
    <w:rsid w:val="268F1961"/>
    <w:rsid w:val="26A60202"/>
    <w:rsid w:val="26CD4856"/>
    <w:rsid w:val="26D06149"/>
    <w:rsid w:val="26DF7460"/>
    <w:rsid w:val="26F61189"/>
    <w:rsid w:val="26FC6074"/>
    <w:rsid w:val="27185A71"/>
    <w:rsid w:val="273D3B5E"/>
    <w:rsid w:val="27433CA3"/>
    <w:rsid w:val="274912B9"/>
    <w:rsid w:val="2752270B"/>
    <w:rsid w:val="276E4010"/>
    <w:rsid w:val="277A27E4"/>
    <w:rsid w:val="278A54F1"/>
    <w:rsid w:val="27960276"/>
    <w:rsid w:val="279B7756"/>
    <w:rsid w:val="27C052F3"/>
    <w:rsid w:val="27CC2534"/>
    <w:rsid w:val="27D54E5C"/>
    <w:rsid w:val="27E11BAE"/>
    <w:rsid w:val="27E72880"/>
    <w:rsid w:val="27EB3970"/>
    <w:rsid w:val="27EC5471"/>
    <w:rsid w:val="282E6AE0"/>
    <w:rsid w:val="282F1659"/>
    <w:rsid w:val="28355CE1"/>
    <w:rsid w:val="283F3211"/>
    <w:rsid w:val="28696F5D"/>
    <w:rsid w:val="287A5B68"/>
    <w:rsid w:val="28830013"/>
    <w:rsid w:val="288822B5"/>
    <w:rsid w:val="28893750"/>
    <w:rsid w:val="28A039F2"/>
    <w:rsid w:val="28A55630"/>
    <w:rsid w:val="28C170F2"/>
    <w:rsid w:val="28C2164D"/>
    <w:rsid w:val="28C63D09"/>
    <w:rsid w:val="28DA48C1"/>
    <w:rsid w:val="28DE0127"/>
    <w:rsid w:val="28E76A0C"/>
    <w:rsid w:val="28FB61EA"/>
    <w:rsid w:val="28FE2577"/>
    <w:rsid w:val="28FE4325"/>
    <w:rsid w:val="29231FDE"/>
    <w:rsid w:val="29282EA6"/>
    <w:rsid w:val="295766AF"/>
    <w:rsid w:val="295F1A78"/>
    <w:rsid w:val="296E31CA"/>
    <w:rsid w:val="296F6FD1"/>
    <w:rsid w:val="297168A5"/>
    <w:rsid w:val="297D19D8"/>
    <w:rsid w:val="298567F4"/>
    <w:rsid w:val="298C33D3"/>
    <w:rsid w:val="29934A6D"/>
    <w:rsid w:val="29A97796"/>
    <w:rsid w:val="29BA649E"/>
    <w:rsid w:val="29BF3AB4"/>
    <w:rsid w:val="29E81883"/>
    <w:rsid w:val="29EE6148"/>
    <w:rsid w:val="29FF7828"/>
    <w:rsid w:val="2A047719"/>
    <w:rsid w:val="2A056366"/>
    <w:rsid w:val="2A124435"/>
    <w:rsid w:val="2A19370C"/>
    <w:rsid w:val="2A4915D0"/>
    <w:rsid w:val="2A4B5348"/>
    <w:rsid w:val="2A500BB0"/>
    <w:rsid w:val="2A517E24"/>
    <w:rsid w:val="2A7A398C"/>
    <w:rsid w:val="2A7A783B"/>
    <w:rsid w:val="2A7C19A5"/>
    <w:rsid w:val="2A7F5A59"/>
    <w:rsid w:val="2A8A4FC1"/>
    <w:rsid w:val="2A975202"/>
    <w:rsid w:val="2AB7478C"/>
    <w:rsid w:val="2AC24A46"/>
    <w:rsid w:val="2AD70A5F"/>
    <w:rsid w:val="2ADE440E"/>
    <w:rsid w:val="2AE00453"/>
    <w:rsid w:val="2AEF2ABE"/>
    <w:rsid w:val="2AFD4616"/>
    <w:rsid w:val="2B204A27"/>
    <w:rsid w:val="2B35362F"/>
    <w:rsid w:val="2B3808A6"/>
    <w:rsid w:val="2B514BE0"/>
    <w:rsid w:val="2B7725EC"/>
    <w:rsid w:val="2B780AE8"/>
    <w:rsid w:val="2B82123D"/>
    <w:rsid w:val="2B8666DA"/>
    <w:rsid w:val="2B8A1EA0"/>
    <w:rsid w:val="2B9351F9"/>
    <w:rsid w:val="2BC54A05"/>
    <w:rsid w:val="2BD65C90"/>
    <w:rsid w:val="2BDF4577"/>
    <w:rsid w:val="2BEB6DE3"/>
    <w:rsid w:val="2BEC2B5B"/>
    <w:rsid w:val="2BF03C28"/>
    <w:rsid w:val="2BF04321"/>
    <w:rsid w:val="2C3B1B1B"/>
    <w:rsid w:val="2C42245D"/>
    <w:rsid w:val="2C427BE6"/>
    <w:rsid w:val="2C4464F3"/>
    <w:rsid w:val="2C5030EA"/>
    <w:rsid w:val="2C552CCF"/>
    <w:rsid w:val="2C5D65F6"/>
    <w:rsid w:val="2C78619D"/>
    <w:rsid w:val="2C8174BC"/>
    <w:rsid w:val="2C82408F"/>
    <w:rsid w:val="2C83526D"/>
    <w:rsid w:val="2C932FD6"/>
    <w:rsid w:val="2C9B7B5C"/>
    <w:rsid w:val="2CB63198"/>
    <w:rsid w:val="2CD63D6C"/>
    <w:rsid w:val="2CFD3A7F"/>
    <w:rsid w:val="2D1F67AE"/>
    <w:rsid w:val="2D314CC9"/>
    <w:rsid w:val="2D485B6F"/>
    <w:rsid w:val="2D4C1B03"/>
    <w:rsid w:val="2D5F6728"/>
    <w:rsid w:val="2D7A5B83"/>
    <w:rsid w:val="2D7E6051"/>
    <w:rsid w:val="2D9442BD"/>
    <w:rsid w:val="2D947862"/>
    <w:rsid w:val="2DA27975"/>
    <w:rsid w:val="2DAD1E76"/>
    <w:rsid w:val="2DBF7CFA"/>
    <w:rsid w:val="2DCA7580"/>
    <w:rsid w:val="2DCE076A"/>
    <w:rsid w:val="2DE0224B"/>
    <w:rsid w:val="2DF06DBF"/>
    <w:rsid w:val="2E075A4E"/>
    <w:rsid w:val="2E0979F4"/>
    <w:rsid w:val="2E182CFF"/>
    <w:rsid w:val="2E1F560E"/>
    <w:rsid w:val="2E220AB6"/>
    <w:rsid w:val="2E225BDE"/>
    <w:rsid w:val="2E275674"/>
    <w:rsid w:val="2E2831E8"/>
    <w:rsid w:val="2E440A2C"/>
    <w:rsid w:val="2E474078"/>
    <w:rsid w:val="2E53443E"/>
    <w:rsid w:val="2E597D96"/>
    <w:rsid w:val="2E6764C9"/>
    <w:rsid w:val="2E8F76EA"/>
    <w:rsid w:val="2E982DBF"/>
    <w:rsid w:val="2E9A7907"/>
    <w:rsid w:val="2EA27501"/>
    <w:rsid w:val="2EA85955"/>
    <w:rsid w:val="2EAC037F"/>
    <w:rsid w:val="2EB15996"/>
    <w:rsid w:val="2EBE16CE"/>
    <w:rsid w:val="2ED15799"/>
    <w:rsid w:val="2ED516AC"/>
    <w:rsid w:val="2EE43EE4"/>
    <w:rsid w:val="2F034443"/>
    <w:rsid w:val="2F0A069B"/>
    <w:rsid w:val="2F1253D6"/>
    <w:rsid w:val="2F1A79DF"/>
    <w:rsid w:val="2F266384"/>
    <w:rsid w:val="2F2720EA"/>
    <w:rsid w:val="2F4F511B"/>
    <w:rsid w:val="2F527179"/>
    <w:rsid w:val="2F6E0892"/>
    <w:rsid w:val="2F713AA3"/>
    <w:rsid w:val="2F7A6DF0"/>
    <w:rsid w:val="2F7D0FB0"/>
    <w:rsid w:val="2F9B28CE"/>
    <w:rsid w:val="2F9F4BBB"/>
    <w:rsid w:val="2FB04947"/>
    <w:rsid w:val="2FB153C0"/>
    <w:rsid w:val="2FE34275"/>
    <w:rsid w:val="2FED0C50"/>
    <w:rsid w:val="2FED60E9"/>
    <w:rsid w:val="2FF34C20"/>
    <w:rsid w:val="2FF6557D"/>
    <w:rsid w:val="2FFC7007"/>
    <w:rsid w:val="30113336"/>
    <w:rsid w:val="30191A45"/>
    <w:rsid w:val="30273B58"/>
    <w:rsid w:val="302C636E"/>
    <w:rsid w:val="303E00CC"/>
    <w:rsid w:val="304539F4"/>
    <w:rsid w:val="304D454B"/>
    <w:rsid w:val="30534F57"/>
    <w:rsid w:val="305A1FAD"/>
    <w:rsid w:val="30600618"/>
    <w:rsid w:val="306E6455"/>
    <w:rsid w:val="30751371"/>
    <w:rsid w:val="30847806"/>
    <w:rsid w:val="309C68FD"/>
    <w:rsid w:val="30A84981"/>
    <w:rsid w:val="30C34927"/>
    <w:rsid w:val="30D760F0"/>
    <w:rsid w:val="30EA3CD2"/>
    <w:rsid w:val="30F3182E"/>
    <w:rsid w:val="312237C1"/>
    <w:rsid w:val="312B1F96"/>
    <w:rsid w:val="312D39F9"/>
    <w:rsid w:val="31413001"/>
    <w:rsid w:val="31413B7F"/>
    <w:rsid w:val="314D3E18"/>
    <w:rsid w:val="3172523C"/>
    <w:rsid w:val="31802E9D"/>
    <w:rsid w:val="31A976E9"/>
    <w:rsid w:val="31D60522"/>
    <w:rsid w:val="31E0281A"/>
    <w:rsid w:val="31ED35C3"/>
    <w:rsid w:val="31FC33CC"/>
    <w:rsid w:val="31FD02B8"/>
    <w:rsid w:val="32004C6A"/>
    <w:rsid w:val="32157CE1"/>
    <w:rsid w:val="321C4825"/>
    <w:rsid w:val="321F5D40"/>
    <w:rsid w:val="322A69E6"/>
    <w:rsid w:val="322F554F"/>
    <w:rsid w:val="324808F5"/>
    <w:rsid w:val="325E7BE3"/>
    <w:rsid w:val="32690A61"/>
    <w:rsid w:val="326962EB"/>
    <w:rsid w:val="32751AE4"/>
    <w:rsid w:val="327613D0"/>
    <w:rsid w:val="328B4E7C"/>
    <w:rsid w:val="32A40559"/>
    <w:rsid w:val="32B048E2"/>
    <w:rsid w:val="32EA0830"/>
    <w:rsid w:val="32F046A2"/>
    <w:rsid w:val="33224582"/>
    <w:rsid w:val="33356B95"/>
    <w:rsid w:val="333E525C"/>
    <w:rsid w:val="33492641"/>
    <w:rsid w:val="33616DEA"/>
    <w:rsid w:val="33753436"/>
    <w:rsid w:val="339678DA"/>
    <w:rsid w:val="33972B2C"/>
    <w:rsid w:val="33B73A4E"/>
    <w:rsid w:val="33C00B55"/>
    <w:rsid w:val="33CA01DB"/>
    <w:rsid w:val="34013F08"/>
    <w:rsid w:val="342804A8"/>
    <w:rsid w:val="342E1E02"/>
    <w:rsid w:val="343B2752"/>
    <w:rsid w:val="345968B4"/>
    <w:rsid w:val="345D17BF"/>
    <w:rsid w:val="345E211C"/>
    <w:rsid w:val="346720E8"/>
    <w:rsid w:val="34687A3C"/>
    <w:rsid w:val="34757858"/>
    <w:rsid w:val="347817A7"/>
    <w:rsid w:val="347C26E3"/>
    <w:rsid w:val="34937AB1"/>
    <w:rsid w:val="34964A34"/>
    <w:rsid w:val="349B59CE"/>
    <w:rsid w:val="34D33033"/>
    <w:rsid w:val="34D4081D"/>
    <w:rsid w:val="34D46371"/>
    <w:rsid w:val="350A662E"/>
    <w:rsid w:val="35134CB4"/>
    <w:rsid w:val="353A4937"/>
    <w:rsid w:val="353D7F83"/>
    <w:rsid w:val="355D5442"/>
    <w:rsid w:val="3578720D"/>
    <w:rsid w:val="357D65D2"/>
    <w:rsid w:val="359107D8"/>
    <w:rsid w:val="35A10512"/>
    <w:rsid w:val="35B70C3F"/>
    <w:rsid w:val="35B80919"/>
    <w:rsid w:val="35BA4170"/>
    <w:rsid w:val="35BE2E72"/>
    <w:rsid w:val="35C470FB"/>
    <w:rsid w:val="35CC40AE"/>
    <w:rsid w:val="35D30719"/>
    <w:rsid w:val="35DF103A"/>
    <w:rsid w:val="35E540A6"/>
    <w:rsid w:val="36015455"/>
    <w:rsid w:val="36251019"/>
    <w:rsid w:val="362F388D"/>
    <w:rsid w:val="3642045F"/>
    <w:rsid w:val="3677586A"/>
    <w:rsid w:val="367900AF"/>
    <w:rsid w:val="368F4996"/>
    <w:rsid w:val="369A12F2"/>
    <w:rsid w:val="36A0160A"/>
    <w:rsid w:val="36C4095C"/>
    <w:rsid w:val="36C56482"/>
    <w:rsid w:val="36CF10AF"/>
    <w:rsid w:val="36E42DAC"/>
    <w:rsid w:val="36E67791"/>
    <w:rsid w:val="36E91DE6"/>
    <w:rsid w:val="36F90F37"/>
    <w:rsid w:val="37040B5C"/>
    <w:rsid w:val="37040CD0"/>
    <w:rsid w:val="37070849"/>
    <w:rsid w:val="371D5B51"/>
    <w:rsid w:val="376079F3"/>
    <w:rsid w:val="37643EED"/>
    <w:rsid w:val="3787198A"/>
    <w:rsid w:val="37A24824"/>
    <w:rsid w:val="37AB46D2"/>
    <w:rsid w:val="37B87D95"/>
    <w:rsid w:val="37CE1367"/>
    <w:rsid w:val="37CE75B8"/>
    <w:rsid w:val="37E31666"/>
    <w:rsid w:val="37E82428"/>
    <w:rsid w:val="38060B00"/>
    <w:rsid w:val="381C11C1"/>
    <w:rsid w:val="382C22E7"/>
    <w:rsid w:val="38360AF9"/>
    <w:rsid w:val="38593326"/>
    <w:rsid w:val="38610C69"/>
    <w:rsid w:val="3865426E"/>
    <w:rsid w:val="38AE0341"/>
    <w:rsid w:val="38BC7C26"/>
    <w:rsid w:val="38C22C79"/>
    <w:rsid w:val="38E3046C"/>
    <w:rsid w:val="38F1355F"/>
    <w:rsid w:val="38FD63A7"/>
    <w:rsid w:val="392C4597"/>
    <w:rsid w:val="394107D3"/>
    <w:rsid w:val="394D3539"/>
    <w:rsid w:val="395A1981"/>
    <w:rsid w:val="39627FB8"/>
    <w:rsid w:val="3967002F"/>
    <w:rsid w:val="396A549B"/>
    <w:rsid w:val="396C100C"/>
    <w:rsid w:val="398248AB"/>
    <w:rsid w:val="39A57F58"/>
    <w:rsid w:val="39B14C69"/>
    <w:rsid w:val="39B72A6D"/>
    <w:rsid w:val="39C26CA9"/>
    <w:rsid w:val="39D52E80"/>
    <w:rsid w:val="3A050B93"/>
    <w:rsid w:val="3A0B619D"/>
    <w:rsid w:val="3A0D3962"/>
    <w:rsid w:val="3A0E0140"/>
    <w:rsid w:val="3A197F6C"/>
    <w:rsid w:val="3A231E3E"/>
    <w:rsid w:val="3A2F24EB"/>
    <w:rsid w:val="3A4D3D87"/>
    <w:rsid w:val="3A5E3A01"/>
    <w:rsid w:val="3A6845EA"/>
    <w:rsid w:val="3A6F6FB5"/>
    <w:rsid w:val="3A745BAF"/>
    <w:rsid w:val="3A7461F5"/>
    <w:rsid w:val="3A857B51"/>
    <w:rsid w:val="3A9B7B32"/>
    <w:rsid w:val="3AA1560F"/>
    <w:rsid w:val="3AAC3BE1"/>
    <w:rsid w:val="3AC21656"/>
    <w:rsid w:val="3ADA09C7"/>
    <w:rsid w:val="3ADA78F5"/>
    <w:rsid w:val="3AEA6AD2"/>
    <w:rsid w:val="3AED3684"/>
    <w:rsid w:val="3AF143FE"/>
    <w:rsid w:val="3AF94C7B"/>
    <w:rsid w:val="3AFE6791"/>
    <w:rsid w:val="3B1061ED"/>
    <w:rsid w:val="3B243D56"/>
    <w:rsid w:val="3B272C06"/>
    <w:rsid w:val="3B3D09CA"/>
    <w:rsid w:val="3B3F3957"/>
    <w:rsid w:val="3B674AED"/>
    <w:rsid w:val="3B6F0FCC"/>
    <w:rsid w:val="3B8D5106"/>
    <w:rsid w:val="3B934DA1"/>
    <w:rsid w:val="3B983AC9"/>
    <w:rsid w:val="3BB371F1"/>
    <w:rsid w:val="3BB9597F"/>
    <w:rsid w:val="3BBD597A"/>
    <w:rsid w:val="3BC304E1"/>
    <w:rsid w:val="3BD97804"/>
    <w:rsid w:val="3BDA477E"/>
    <w:rsid w:val="3BFB3B3A"/>
    <w:rsid w:val="3C0504D3"/>
    <w:rsid w:val="3C1D40E0"/>
    <w:rsid w:val="3C252937"/>
    <w:rsid w:val="3C29300F"/>
    <w:rsid w:val="3C2D6FA3"/>
    <w:rsid w:val="3C3D521D"/>
    <w:rsid w:val="3C4936B2"/>
    <w:rsid w:val="3C4D6CFE"/>
    <w:rsid w:val="3C5F7D6F"/>
    <w:rsid w:val="3C633A10"/>
    <w:rsid w:val="3C7E4D7D"/>
    <w:rsid w:val="3C9B6C5B"/>
    <w:rsid w:val="3CB62885"/>
    <w:rsid w:val="3CB964A5"/>
    <w:rsid w:val="3CCF1E09"/>
    <w:rsid w:val="3CDB69FF"/>
    <w:rsid w:val="3CE3784A"/>
    <w:rsid w:val="3CE60F00"/>
    <w:rsid w:val="3D047A16"/>
    <w:rsid w:val="3D23052A"/>
    <w:rsid w:val="3D245DAE"/>
    <w:rsid w:val="3D2C1009"/>
    <w:rsid w:val="3D3D6D72"/>
    <w:rsid w:val="3D4F2F4A"/>
    <w:rsid w:val="3D532A3A"/>
    <w:rsid w:val="3D5B0BAC"/>
    <w:rsid w:val="3D5D7415"/>
    <w:rsid w:val="3D6E271C"/>
    <w:rsid w:val="3D7C61F2"/>
    <w:rsid w:val="3D7D7AB7"/>
    <w:rsid w:val="3D803103"/>
    <w:rsid w:val="3DA9184E"/>
    <w:rsid w:val="3DBB413B"/>
    <w:rsid w:val="3E0F0532"/>
    <w:rsid w:val="3E2B12C1"/>
    <w:rsid w:val="3E50516A"/>
    <w:rsid w:val="3E547D41"/>
    <w:rsid w:val="3E622809"/>
    <w:rsid w:val="3E6D18D9"/>
    <w:rsid w:val="3E773C13"/>
    <w:rsid w:val="3EA766CA"/>
    <w:rsid w:val="3EB017C6"/>
    <w:rsid w:val="3EBD5A23"/>
    <w:rsid w:val="3F0D4E6A"/>
    <w:rsid w:val="3F185CE9"/>
    <w:rsid w:val="3F220916"/>
    <w:rsid w:val="3F374DC4"/>
    <w:rsid w:val="3F4846B7"/>
    <w:rsid w:val="3F4C124A"/>
    <w:rsid w:val="3F5B5BD6"/>
    <w:rsid w:val="3F5F045A"/>
    <w:rsid w:val="3F772EB6"/>
    <w:rsid w:val="3F7C496E"/>
    <w:rsid w:val="3F7E3672"/>
    <w:rsid w:val="3F8033DB"/>
    <w:rsid w:val="3F8844F1"/>
    <w:rsid w:val="3F8A1761"/>
    <w:rsid w:val="3F8D77CD"/>
    <w:rsid w:val="3F965041"/>
    <w:rsid w:val="3F9C20DF"/>
    <w:rsid w:val="3FAA090B"/>
    <w:rsid w:val="3FD95BBB"/>
    <w:rsid w:val="3FE31B96"/>
    <w:rsid w:val="400A28A0"/>
    <w:rsid w:val="402E431D"/>
    <w:rsid w:val="404228F2"/>
    <w:rsid w:val="40506A6D"/>
    <w:rsid w:val="40553BE5"/>
    <w:rsid w:val="40580367"/>
    <w:rsid w:val="405C6911"/>
    <w:rsid w:val="406D3E12"/>
    <w:rsid w:val="4076728E"/>
    <w:rsid w:val="40907B01"/>
    <w:rsid w:val="40B76E3C"/>
    <w:rsid w:val="40BA4B7E"/>
    <w:rsid w:val="40D52D12"/>
    <w:rsid w:val="40DD3817"/>
    <w:rsid w:val="40E66544"/>
    <w:rsid w:val="40E90FBF"/>
    <w:rsid w:val="40ED1A87"/>
    <w:rsid w:val="40FC085C"/>
    <w:rsid w:val="41016CF9"/>
    <w:rsid w:val="41180BF1"/>
    <w:rsid w:val="41202A9C"/>
    <w:rsid w:val="412F7387"/>
    <w:rsid w:val="41313092"/>
    <w:rsid w:val="413228D8"/>
    <w:rsid w:val="413737FC"/>
    <w:rsid w:val="416E3246"/>
    <w:rsid w:val="41820198"/>
    <w:rsid w:val="418A712A"/>
    <w:rsid w:val="419510BE"/>
    <w:rsid w:val="419B050B"/>
    <w:rsid w:val="419F2972"/>
    <w:rsid w:val="41A41AB6"/>
    <w:rsid w:val="41AB7846"/>
    <w:rsid w:val="41D91034"/>
    <w:rsid w:val="41DB1250"/>
    <w:rsid w:val="42044303"/>
    <w:rsid w:val="42053613"/>
    <w:rsid w:val="42336996"/>
    <w:rsid w:val="42470693"/>
    <w:rsid w:val="425B6967"/>
    <w:rsid w:val="42664FBD"/>
    <w:rsid w:val="4269380A"/>
    <w:rsid w:val="427A624B"/>
    <w:rsid w:val="42AB11F0"/>
    <w:rsid w:val="42B724FA"/>
    <w:rsid w:val="42C972FA"/>
    <w:rsid w:val="42DA0D6D"/>
    <w:rsid w:val="42DF267A"/>
    <w:rsid w:val="42EF6D61"/>
    <w:rsid w:val="42F02AD9"/>
    <w:rsid w:val="43022B82"/>
    <w:rsid w:val="43036368"/>
    <w:rsid w:val="430640AA"/>
    <w:rsid w:val="430C30C1"/>
    <w:rsid w:val="431C0DEE"/>
    <w:rsid w:val="431E31A2"/>
    <w:rsid w:val="43217136"/>
    <w:rsid w:val="43235EA7"/>
    <w:rsid w:val="4326474D"/>
    <w:rsid w:val="433220AC"/>
    <w:rsid w:val="436D20D5"/>
    <w:rsid w:val="43874B59"/>
    <w:rsid w:val="438E21FE"/>
    <w:rsid w:val="438F5E4E"/>
    <w:rsid w:val="439012D9"/>
    <w:rsid w:val="43C318D9"/>
    <w:rsid w:val="43D95B62"/>
    <w:rsid w:val="43F263DD"/>
    <w:rsid w:val="43F32881"/>
    <w:rsid w:val="44052598"/>
    <w:rsid w:val="440F49AF"/>
    <w:rsid w:val="44126E13"/>
    <w:rsid w:val="441373AC"/>
    <w:rsid w:val="44143923"/>
    <w:rsid w:val="44150A49"/>
    <w:rsid w:val="441A6B4D"/>
    <w:rsid w:val="443864E5"/>
    <w:rsid w:val="44481E68"/>
    <w:rsid w:val="444E06D9"/>
    <w:rsid w:val="44557097"/>
    <w:rsid w:val="44832A4B"/>
    <w:rsid w:val="448336CE"/>
    <w:rsid w:val="449D0A3E"/>
    <w:rsid w:val="44C0340D"/>
    <w:rsid w:val="44C51C3D"/>
    <w:rsid w:val="44D73F50"/>
    <w:rsid w:val="44DE708D"/>
    <w:rsid w:val="44E43C4A"/>
    <w:rsid w:val="44F34843"/>
    <w:rsid w:val="44F763A1"/>
    <w:rsid w:val="45091C30"/>
    <w:rsid w:val="451508BD"/>
    <w:rsid w:val="451D0320"/>
    <w:rsid w:val="45246FAE"/>
    <w:rsid w:val="453070F4"/>
    <w:rsid w:val="453A6EC5"/>
    <w:rsid w:val="4554487E"/>
    <w:rsid w:val="4567582F"/>
    <w:rsid w:val="45701392"/>
    <w:rsid w:val="457336AC"/>
    <w:rsid w:val="458B264A"/>
    <w:rsid w:val="4594578D"/>
    <w:rsid w:val="459566FB"/>
    <w:rsid w:val="459C4852"/>
    <w:rsid w:val="45A1535D"/>
    <w:rsid w:val="45A55DFD"/>
    <w:rsid w:val="45AB1B76"/>
    <w:rsid w:val="45AB5BB1"/>
    <w:rsid w:val="45D154AB"/>
    <w:rsid w:val="45D25D77"/>
    <w:rsid w:val="45D67D64"/>
    <w:rsid w:val="45DB2524"/>
    <w:rsid w:val="45ED2A6A"/>
    <w:rsid w:val="4611146D"/>
    <w:rsid w:val="461B0756"/>
    <w:rsid w:val="46445AA3"/>
    <w:rsid w:val="46456C98"/>
    <w:rsid w:val="466709DA"/>
    <w:rsid w:val="467517CD"/>
    <w:rsid w:val="467711CD"/>
    <w:rsid w:val="46832F2A"/>
    <w:rsid w:val="468504C1"/>
    <w:rsid w:val="468E6EDA"/>
    <w:rsid w:val="46956BB4"/>
    <w:rsid w:val="46965745"/>
    <w:rsid w:val="46AB233E"/>
    <w:rsid w:val="46B1432D"/>
    <w:rsid w:val="46BE7000"/>
    <w:rsid w:val="46E762DF"/>
    <w:rsid w:val="47054205"/>
    <w:rsid w:val="472227AF"/>
    <w:rsid w:val="47517680"/>
    <w:rsid w:val="475F022D"/>
    <w:rsid w:val="47814D2D"/>
    <w:rsid w:val="478D5C82"/>
    <w:rsid w:val="479B1265"/>
    <w:rsid w:val="479E7246"/>
    <w:rsid w:val="47A67C0A"/>
    <w:rsid w:val="47B90677"/>
    <w:rsid w:val="47D209FF"/>
    <w:rsid w:val="47D91D8D"/>
    <w:rsid w:val="47F13323"/>
    <w:rsid w:val="47F24BFD"/>
    <w:rsid w:val="48057A4B"/>
    <w:rsid w:val="481F02A1"/>
    <w:rsid w:val="482754D9"/>
    <w:rsid w:val="483418AC"/>
    <w:rsid w:val="485247A6"/>
    <w:rsid w:val="485853A8"/>
    <w:rsid w:val="486356C4"/>
    <w:rsid w:val="48661ECB"/>
    <w:rsid w:val="486F705F"/>
    <w:rsid w:val="487D2952"/>
    <w:rsid w:val="488A12DA"/>
    <w:rsid w:val="488C11E1"/>
    <w:rsid w:val="488E0DCA"/>
    <w:rsid w:val="489C7870"/>
    <w:rsid w:val="48A73C3A"/>
    <w:rsid w:val="48B366B6"/>
    <w:rsid w:val="48C12F4D"/>
    <w:rsid w:val="48E05181"/>
    <w:rsid w:val="48F771DF"/>
    <w:rsid w:val="4900334A"/>
    <w:rsid w:val="490324DE"/>
    <w:rsid w:val="491A7B19"/>
    <w:rsid w:val="495A4BCE"/>
    <w:rsid w:val="495E69EE"/>
    <w:rsid w:val="495F09B4"/>
    <w:rsid w:val="49613907"/>
    <w:rsid w:val="496433E0"/>
    <w:rsid w:val="49645EAB"/>
    <w:rsid w:val="49706721"/>
    <w:rsid w:val="49794E63"/>
    <w:rsid w:val="49836455"/>
    <w:rsid w:val="498521CD"/>
    <w:rsid w:val="498E6BA8"/>
    <w:rsid w:val="49932704"/>
    <w:rsid w:val="49955166"/>
    <w:rsid w:val="49A202EF"/>
    <w:rsid w:val="49A42C8D"/>
    <w:rsid w:val="49C5081B"/>
    <w:rsid w:val="49D33E49"/>
    <w:rsid w:val="49FC3A1D"/>
    <w:rsid w:val="4A02381D"/>
    <w:rsid w:val="4A0254AE"/>
    <w:rsid w:val="4A1167AA"/>
    <w:rsid w:val="4A290409"/>
    <w:rsid w:val="4A3C4454"/>
    <w:rsid w:val="4A513F1C"/>
    <w:rsid w:val="4A5971B6"/>
    <w:rsid w:val="4A617FA1"/>
    <w:rsid w:val="4A667D77"/>
    <w:rsid w:val="4A7933B4"/>
    <w:rsid w:val="4A7E24D3"/>
    <w:rsid w:val="4A8E0A03"/>
    <w:rsid w:val="4A970A83"/>
    <w:rsid w:val="4AB16FF2"/>
    <w:rsid w:val="4ACD4C9A"/>
    <w:rsid w:val="4ACF4107"/>
    <w:rsid w:val="4AD07D07"/>
    <w:rsid w:val="4AE21B57"/>
    <w:rsid w:val="4AEC627C"/>
    <w:rsid w:val="4B1135EE"/>
    <w:rsid w:val="4B306CF7"/>
    <w:rsid w:val="4B436EF4"/>
    <w:rsid w:val="4B4B11F4"/>
    <w:rsid w:val="4B555BCF"/>
    <w:rsid w:val="4B5A4F93"/>
    <w:rsid w:val="4BB23F23"/>
    <w:rsid w:val="4BD20808"/>
    <w:rsid w:val="4BD42AD2"/>
    <w:rsid w:val="4BE60F1D"/>
    <w:rsid w:val="4C0751FB"/>
    <w:rsid w:val="4C1B6CD1"/>
    <w:rsid w:val="4C2630C7"/>
    <w:rsid w:val="4C4D3A2F"/>
    <w:rsid w:val="4C4E112E"/>
    <w:rsid w:val="4C515130"/>
    <w:rsid w:val="4C710F14"/>
    <w:rsid w:val="4C7A0FC8"/>
    <w:rsid w:val="4C972D09"/>
    <w:rsid w:val="4C981916"/>
    <w:rsid w:val="4CA754DF"/>
    <w:rsid w:val="4CAD5597"/>
    <w:rsid w:val="4CB37051"/>
    <w:rsid w:val="4CB94B39"/>
    <w:rsid w:val="4CBB1306"/>
    <w:rsid w:val="4CD36E33"/>
    <w:rsid w:val="4D27007F"/>
    <w:rsid w:val="4D27359B"/>
    <w:rsid w:val="4D2910C1"/>
    <w:rsid w:val="4D3C6BA3"/>
    <w:rsid w:val="4D4209E2"/>
    <w:rsid w:val="4D4D1254"/>
    <w:rsid w:val="4D4F1A4B"/>
    <w:rsid w:val="4D531FD5"/>
    <w:rsid w:val="4D6A061E"/>
    <w:rsid w:val="4D717010"/>
    <w:rsid w:val="4D745A74"/>
    <w:rsid w:val="4D7465DE"/>
    <w:rsid w:val="4D812949"/>
    <w:rsid w:val="4D814A59"/>
    <w:rsid w:val="4D98679D"/>
    <w:rsid w:val="4DA75CF8"/>
    <w:rsid w:val="4DB56DF9"/>
    <w:rsid w:val="4DBD72DE"/>
    <w:rsid w:val="4DCB5897"/>
    <w:rsid w:val="4DDF1AE9"/>
    <w:rsid w:val="4DE40EC2"/>
    <w:rsid w:val="4DE94D7F"/>
    <w:rsid w:val="4DF1343E"/>
    <w:rsid w:val="4DFF7C4C"/>
    <w:rsid w:val="4E200716"/>
    <w:rsid w:val="4E291FA6"/>
    <w:rsid w:val="4E396C72"/>
    <w:rsid w:val="4E427B70"/>
    <w:rsid w:val="4E447D32"/>
    <w:rsid w:val="4E4C2278"/>
    <w:rsid w:val="4E4E50A9"/>
    <w:rsid w:val="4E5A3C62"/>
    <w:rsid w:val="4E953B44"/>
    <w:rsid w:val="4EA209E3"/>
    <w:rsid w:val="4EA764DA"/>
    <w:rsid w:val="4EB90223"/>
    <w:rsid w:val="4ED908C5"/>
    <w:rsid w:val="4EED0A0D"/>
    <w:rsid w:val="4EEF00E8"/>
    <w:rsid w:val="4EF851EF"/>
    <w:rsid w:val="4F0A1B73"/>
    <w:rsid w:val="4F0B45BF"/>
    <w:rsid w:val="4F1556BF"/>
    <w:rsid w:val="4F392255"/>
    <w:rsid w:val="4F3C5F78"/>
    <w:rsid w:val="4F512CF1"/>
    <w:rsid w:val="4F5E64DE"/>
    <w:rsid w:val="4F683249"/>
    <w:rsid w:val="4F8C780A"/>
    <w:rsid w:val="4F9608F3"/>
    <w:rsid w:val="4F9861A1"/>
    <w:rsid w:val="4FB34134"/>
    <w:rsid w:val="4FBF7ABB"/>
    <w:rsid w:val="4FDA5DB2"/>
    <w:rsid w:val="4FE70DC0"/>
    <w:rsid w:val="4FEA2694"/>
    <w:rsid w:val="4FF05EC6"/>
    <w:rsid w:val="500B2D00"/>
    <w:rsid w:val="50152D26"/>
    <w:rsid w:val="5023629C"/>
    <w:rsid w:val="502B6EFE"/>
    <w:rsid w:val="503E1327"/>
    <w:rsid w:val="50574197"/>
    <w:rsid w:val="506B7C43"/>
    <w:rsid w:val="506D426A"/>
    <w:rsid w:val="507A7283"/>
    <w:rsid w:val="50801B9C"/>
    <w:rsid w:val="508A6680"/>
    <w:rsid w:val="508B5BEF"/>
    <w:rsid w:val="5097397B"/>
    <w:rsid w:val="509B13F7"/>
    <w:rsid w:val="50A01365"/>
    <w:rsid w:val="50A622E4"/>
    <w:rsid w:val="50B97E38"/>
    <w:rsid w:val="50BD63F4"/>
    <w:rsid w:val="50CD27E9"/>
    <w:rsid w:val="50DA1752"/>
    <w:rsid w:val="50EA500B"/>
    <w:rsid w:val="50F62834"/>
    <w:rsid w:val="50FE2865"/>
    <w:rsid w:val="50FE45BD"/>
    <w:rsid w:val="51416068"/>
    <w:rsid w:val="5144296E"/>
    <w:rsid w:val="51452242"/>
    <w:rsid w:val="51494C6C"/>
    <w:rsid w:val="514C5ED8"/>
    <w:rsid w:val="51603644"/>
    <w:rsid w:val="5181771E"/>
    <w:rsid w:val="51890380"/>
    <w:rsid w:val="5199413A"/>
    <w:rsid w:val="519E78AE"/>
    <w:rsid w:val="51A568E5"/>
    <w:rsid w:val="51B44247"/>
    <w:rsid w:val="51BD30DD"/>
    <w:rsid w:val="51C3612D"/>
    <w:rsid w:val="51E076A7"/>
    <w:rsid w:val="520B2115"/>
    <w:rsid w:val="520B5239"/>
    <w:rsid w:val="52110930"/>
    <w:rsid w:val="52157E66"/>
    <w:rsid w:val="522B77E3"/>
    <w:rsid w:val="52301B23"/>
    <w:rsid w:val="52397523"/>
    <w:rsid w:val="524C4E04"/>
    <w:rsid w:val="52633210"/>
    <w:rsid w:val="528307A6"/>
    <w:rsid w:val="528B0128"/>
    <w:rsid w:val="529573B7"/>
    <w:rsid w:val="529B480F"/>
    <w:rsid w:val="52AE239F"/>
    <w:rsid w:val="52B103F9"/>
    <w:rsid w:val="52BB5BF9"/>
    <w:rsid w:val="52C00B4A"/>
    <w:rsid w:val="52C10B13"/>
    <w:rsid w:val="52E83ED8"/>
    <w:rsid w:val="52EB0BC7"/>
    <w:rsid w:val="53430CE6"/>
    <w:rsid w:val="53447C3A"/>
    <w:rsid w:val="537520C9"/>
    <w:rsid w:val="53890B0C"/>
    <w:rsid w:val="53915C12"/>
    <w:rsid w:val="539F20DD"/>
    <w:rsid w:val="539F5E69"/>
    <w:rsid w:val="53AC6C07"/>
    <w:rsid w:val="53E576E2"/>
    <w:rsid w:val="54290643"/>
    <w:rsid w:val="542E3461"/>
    <w:rsid w:val="54305BDF"/>
    <w:rsid w:val="54616FB9"/>
    <w:rsid w:val="546557E5"/>
    <w:rsid w:val="549C03CB"/>
    <w:rsid w:val="54A53B80"/>
    <w:rsid w:val="54A7764A"/>
    <w:rsid w:val="54B4254B"/>
    <w:rsid w:val="54C379FA"/>
    <w:rsid w:val="54C87412"/>
    <w:rsid w:val="54CD3CE0"/>
    <w:rsid w:val="54D44008"/>
    <w:rsid w:val="54D77655"/>
    <w:rsid w:val="54DF1662"/>
    <w:rsid w:val="54F00BE7"/>
    <w:rsid w:val="54F42FF7"/>
    <w:rsid w:val="54F76F2A"/>
    <w:rsid w:val="54FF558F"/>
    <w:rsid w:val="55083A02"/>
    <w:rsid w:val="55261718"/>
    <w:rsid w:val="552F450E"/>
    <w:rsid w:val="554F7B33"/>
    <w:rsid w:val="557842D8"/>
    <w:rsid w:val="558A2919"/>
    <w:rsid w:val="5594384D"/>
    <w:rsid w:val="55974CD8"/>
    <w:rsid w:val="55A27C63"/>
    <w:rsid w:val="55FE3238"/>
    <w:rsid w:val="56233D1B"/>
    <w:rsid w:val="56334D5F"/>
    <w:rsid w:val="563C005A"/>
    <w:rsid w:val="565076BF"/>
    <w:rsid w:val="565A0158"/>
    <w:rsid w:val="565B0D7C"/>
    <w:rsid w:val="565D0CF3"/>
    <w:rsid w:val="56963736"/>
    <w:rsid w:val="569A622B"/>
    <w:rsid w:val="56A31858"/>
    <w:rsid w:val="56A41AA1"/>
    <w:rsid w:val="56B23ED5"/>
    <w:rsid w:val="56CE4FCE"/>
    <w:rsid w:val="57182D07"/>
    <w:rsid w:val="57263F03"/>
    <w:rsid w:val="57327275"/>
    <w:rsid w:val="57355AC5"/>
    <w:rsid w:val="5737087F"/>
    <w:rsid w:val="573C7663"/>
    <w:rsid w:val="5750595B"/>
    <w:rsid w:val="575D6B63"/>
    <w:rsid w:val="57664CC0"/>
    <w:rsid w:val="57743881"/>
    <w:rsid w:val="5788472F"/>
    <w:rsid w:val="578D049F"/>
    <w:rsid w:val="5794182D"/>
    <w:rsid w:val="57945090"/>
    <w:rsid w:val="579F658D"/>
    <w:rsid w:val="57A75A04"/>
    <w:rsid w:val="57AA104B"/>
    <w:rsid w:val="57B277DD"/>
    <w:rsid w:val="57B343A9"/>
    <w:rsid w:val="57C213B1"/>
    <w:rsid w:val="57EC78BB"/>
    <w:rsid w:val="58070251"/>
    <w:rsid w:val="581A7F84"/>
    <w:rsid w:val="58300EF1"/>
    <w:rsid w:val="58306639"/>
    <w:rsid w:val="58307A4F"/>
    <w:rsid w:val="58424D7D"/>
    <w:rsid w:val="584C43A0"/>
    <w:rsid w:val="588009D6"/>
    <w:rsid w:val="588F6E1D"/>
    <w:rsid w:val="589046EA"/>
    <w:rsid w:val="58AF4E0E"/>
    <w:rsid w:val="58C425E6"/>
    <w:rsid w:val="58C61EBA"/>
    <w:rsid w:val="58D1539D"/>
    <w:rsid w:val="590E5874"/>
    <w:rsid w:val="59282B75"/>
    <w:rsid w:val="592D48EA"/>
    <w:rsid w:val="59305BCB"/>
    <w:rsid w:val="59401C6C"/>
    <w:rsid w:val="59412B2A"/>
    <w:rsid w:val="595474C6"/>
    <w:rsid w:val="59566DEA"/>
    <w:rsid w:val="59817ABA"/>
    <w:rsid w:val="59AB4BCB"/>
    <w:rsid w:val="59B14918"/>
    <w:rsid w:val="59D475B9"/>
    <w:rsid w:val="59D800F7"/>
    <w:rsid w:val="59E41CDB"/>
    <w:rsid w:val="5A0278A1"/>
    <w:rsid w:val="5A0C7DA1"/>
    <w:rsid w:val="5A3918EF"/>
    <w:rsid w:val="5A4A4CDF"/>
    <w:rsid w:val="5A5A4C99"/>
    <w:rsid w:val="5A64493B"/>
    <w:rsid w:val="5A673229"/>
    <w:rsid w:val="5A7218F8"/>
    <w:rsid w:val="5A7438F9"/>
    <w:rsid w:val="5A7457BE"/>
    <w:rsid w:val="5A80367D"/>
    <w:rsid w:val="5A83409A"/>
    <w:rsid w:val="5A855465"/>
    <w:rsid w:val="5A9E3E33"/>
    <w:rsid w:val="5A9E7735"/>
    <w:rsid w:val="5AA1498D"/>
    <w:rsid w:val="5AA7702D"/>
    <w:rsid w:val="5AA923EF"/>
    <w:rsid w:val="5AB75F5E"/>
    <w:rsid w:val="5ACC12DE"/>
    <w:rsid w:val="5AD25BBD"/>
    <w:rsid w:val="5ADC59C5"/>
    <w:rsid w:val="5AE66844"/>
    <w:rsid w:val="5AF2412D"/>
    <w:rsid w:val="5B004E5E"/>
    <w:rsid w:val="5B0C4EBF"/>
    <w:rsid w:val="5B101B12"/>
    <w:rsid w:val="5B164E85"/>
    <w:rsid w:val="5B266C40"/>
    <w:rsid w:val="5B2F01EA"/>
    <w:rsid w:val="5B40356C"/>
    <w:rsid w:val="5B497165"/>
    <w:rsid w:val="5B525C87"/>
    <w:rsid w:val="5B56316E"/>
    <w:rsid w:val="5B631C42"/>
    <w:rsid w:val="5B6D2AC1"/>
    <w:rsid w:val="5B7449C9"/>
    <w:rsid w:val="5B7E766A"/>
    <w:rsid w:val="5B971BDC"/>
    <w:rsid w:val="5B995664"/>
    <w:rsid w:val="5BB0053E"/>
    <w:rsid w:val="5BB22BCA"/>
    <w:rsid w:val="5BB64468"/>
    <w:rsid w:val="5BCC45D6"/>
    <w:rsid w:val="5BCF1086"/>
    <w:rsid w:val="5BE56AFB"/>
    <w:rsid w:val="5BE72373"/>
    <w:rsid w:val="5C010618"/>
    <w:rsid w:val="5C0E535C"/>
    <w:rsid w:val="5C1E6D45"/>
    <w:rsid w:val="5C241D7E"/>
    <w:rsid w:val="5C2F76E2"/>
    <w:rsid w:val="5C30790C"/>
    <w:rsid w:val="5C3364E2"/>
    <w:rsid w:val="5C5F46DC"/>
    <w:rsid w:val="5C602626"/>
    <w:rsid w:val="5C770065"/>
    <w:rsid w:val="5C7D31D8"/>
    <w:rsid w:val="5C807D9E"/>
    <w:rsid w:val="5C877BB2"/>
    <w:rsid w:val="5C9847C7"/>
    <w:rsid w:val="5CAA595E"/>
    <w:rsid w:val="5CB33805"/>
    <w:rsid w:val="5CBA7B0A"/>
    <w:rsid w:val="5CCB3F43"/>
    <w:rsid w:val="5CD3791D"/>
    <w:rsid w:val="5CE779D0"/>
    <w:rsid w:val="5CF83562"/>
    <w:rsid w:val="5CFE32A1"/>
    <w:rsid w:val="5D290C69"/>
    <w:rsid w:val="5D2C4FF5"/>
    <w:rsid w:val="5D42117F"/>
    <w:rsid w:val="5D573A29"/>
    <w:rsid w:val="5D57663D"/>
    <w:rsid w:val="5D5A7E7E"/>
    <w:rsid w:val="5D617C8F"/>
    <w:rsid w:val="5D6A453D"/>
    <w:rsid w:val="5D812854"/>
    <w:rsid w:val="5D922C54"/>
    <w:rsid w:val="5D9862E9"/>
    <w:rsid w:val="5DAD189A"/>
    <w:rsid w:val="5DAF1748"/>
    <w:rsid w:val="5DBD5713"/>
    <w:rsid w:val="5DC91FC1"/>
    <w:rsid w:val="5DD72473"/>
    <w:rsid w:val="5DF405C5"/>
    <w:rsid w:val="5DF81275"/>
    <w:rsid w:val="5E170E10"/>
    <w:rsid w:val="5E2F49A3"/>
    <w:rsid w:val="5E385608"/>
    <w:rsid w:val="5E516DB1"/>
    <w:rsid w:val="5E713497"/>
    <w:rsid w:val="5E781BA7"/>
    <w:rsid w:val="5E86502C"/>
    <w:rsid w:val="5E8D3D9E"/>
    <w:rsid w:val="5E8F59C9"/>
    <w:rsid w:val="5E9B5B97"/>
    <w:rsid w:val="5EA56506"/>
    <w:rsid w:val="5EAF519E"/>
    <w:rsid w:val="5EB07003"/>
    <w:rsid w:val="5EB66350"/>
    <w:rsid w:val="5EBD78BB"/>
    <w:rsid w:val="5EC2079C"/>
    <w:rsid w:val="5EC40C4A"/>
    <w:rsid w:val="5EC7698C"/>
    <w:rsid w:val="5ED72593"/>
    <w:rsid w:val="5ED91246"/>
    <w:rsid w:val="5ED91A29"/>
    <w:rsid w:val="5EDD78DB"/>
    <w:rsid w:val="5EEA61D6"/>
    <w:rsid w:val="5EEE3F19"/>
    <w:rsid w:val="5EF50BB9"/>
    <w:rsid w:val="5EFF2E29"/>
    <w:rsid w:val="5EFF6126"/>
    <w:rsid w:val="5F046F6D"/>
    <w:rsid w:val="5F055292"/>
    <w:rsid w:val="5F094FCC"/>
    <w:rsid w:val="5F13666F"/>
    <w:rsid w:val="5F144150"/>
    <w:rsid w:val="5F15112E"/>
    <w:rsid w:val="5F36141C"/>
    <w:rsid w:val="5F6D1AAD"/>
    <w:rsid w:val="5F702B80"/>
    <w:rsid w:val="5F73441E"/>
    <w:rsid w:val="5FB40CBE"/>
    <w:rsid w:val="5FB46F10"/>
    <w:rsid w:val="5FBA324B"/>
    <w:rsid w:val="5FC058B5"/>
    <w:rsid w:val="5FE93021"/>
    <w:rsid w:val="5FEA2932"/>
    <w:rsid w:val="5FF904C5"/>
    <w:rsid w:val="5FF90DC7"/>
    <w:rsid w:val="5FF91EB0"/>
    <w:rsid w:val="5FFB4413"/>
    <w:rsid w:val="5FFE5B5E"/>
    <w:rsid w:val="5FFF5CB2"/>
    <w:rsid w:val="60013CD9"/>
    <w:rsid w:val="60146A42"/>
    <w:rsid w:val="601E2B26"/>
    <w:rsid w:val="60261490"/>
    <w:rsid w:val="6028345A"/>
    <w:rsid w:val="60370F4B"/>
    <w:rsid w:val="604F2B4C"/>
    <w:rsid w:val="607E0E0E"/>
    <w:rsid w:val="60835442"/>
    <w:rsid w:val="60874625"/>
    <w:rsid w:val="608C39E9"/>
    <w:rsid w:val="60982C38"/>
    <w:rsid w:val="60995190"/>
    <w:rsid w:val="60A72129"/>
    <w:rsid w:val="60AE1BB1"/>
    <w:rsid w:val="60C05441"/>
    <w:rsid w:val="60CC2038"/>
    <w:rsid w:val="60F247D9"/>
    <w:rsid w:val="611371D2"/>
    <w:rsid w:val="611F057D"/>
    <w:rsid w:val="612154EC"/>
    <w:rsid w:val="61273712"/>
    <w:rsid w:val="61274963"/>
    <w:rsid w:val="612E605A"/>
    <w:rsid w:val="613B47D0"/>
    <w:rsid w:val="61412A26"/>
    <w:rsid w:val="61421595"/>
    <w:rsid w:val="614E0C9F"/>
    <w:rsid w:val="6160417E"/>
    <w:rsid w:val="617F61C0"/>
    <w:rsid w:val="61940A18"/>
    <w:rsid w:val="61A600AF"/>
    <w:rsid w:val="61AB60F1"/>
    <w:rsid w:val="61BC02FE"/>
    <w:rsid w:val="61F15891"/>
    <w:rsid w:val="62005942"/>
    <w:rsid w:val="620B4DE2"/>
    <w:rsid w:val="621903A0"/>
    <w:rsid w:val="622D3390"/>
    <w:rsid w:val="62473DBD"/>
    <w:rsid w:val="62483940"/>
    <w:rsid w:val="624C78D4"/>
    <w:rsid w:val="624D53FA"/>
    <w:rsid w:val="625C563D"/>
    <w:rsid w:val="628232F6"/>
    <w:rsid w:val="6286794D"/>
    <w:rsid w:val="628A03FC"/>
    <w:rsid w:val="628D27F1"/>
    <w:rsid w:val="62AC3ECF"/>
    <w:rsid w:val="62B44C73"/>
    <w:rsid w:val="62B9483E"/>
    <w:rsid w:val="62BD432E"/>
    <w:rsid w:val="62C109B8"/>
    <w:rsid w:val="62D17B5D"/>
    <w:rsid w:val="62E278F0"/>
    <w:rsid w:val="62FB63FC"/>
    <w:rsid w:val="630C0E11"/>
    <w:rsid w:val="63181EED"/>
    <w:rsid w:val="63191289"/>
    <w:rsid w:val="632A0FBA"/>
    <w:rsid w:val="633B75E8"/>
    <w:rsid w:val="634B5AB0"/>
    <w:rsid w:val="634C2935"/>
    <w:rsid w:val="6354633D"/>
    <w:rsid w:val="636D667E"/>
    <w:rsid w:val="636E387A"/>
    <w:rsid w:val="63910A14"/>
    <w:rsid w:val="63915E1B"/>
    <w:rsid w:val="639F0F22"/>
    <w:rsid w:val="63A63014"/>
    <w:rsid w:val="63B41C25"/>
    <w:rsid w:val="63C04058"/>
    <w:rsid w:val="63CF6ACD"/>
    <w:rsid w:val="63D81651"/>
    <w:rsid w:val="63F57673"/>
    <w:rsid w:val="63FF3559"/>
    <w:rsid w:val="641461CF"/>
    <w:rsid w:val="64151F48"/>
    <w:rsid w:val="642D3C78"/>
    <w:rsid w:val="64355C74"/>
    <w:rsid w:val="644B5969"/>
    <w:rsid w:val="64504D2E"/>
    <w:rsid w:val="6461003F"/>
    <w:rsid w:val="64623B5D"/>
    <w:rsid w:val="64646BA1"/>
    <w:rsid w:val="646709F5"/>
    <w:rsid w:val="6488213F"/>
    <w:rsid w:val="648E13C9"/>
    <w:rsid w:val="649515A5"/>
    <w:rsid w:val="64B948E2"/>
    <w:rsid w:val="64BE25DF"/>
    <w:rsid w:val="64C64273"/>
    <w:rsid w:val="64CF0141"/>
    <w:rsid w:val="64D23DC0"/>
    <w:rsid w:val="64EC0A1F"/>
    <w:rsid w:val="64F53FC7"/>
    <w:rsid w:val="65135C21"/>
    <w:rsid w:val="652A1A23"/>
    <w:rsid w:val="652E1181"/>
    <w:rsid w:val="653B6436"/>
    <w:rsid w:val="654D4C62"/>
    <w:rsid w:val="655077CE"/>
    <w:rsid w:val="65534217"/>
    <w:rsid w:val="655868C8"/>
    <w:rsid w:val="655C2B7E"/>
    <w:rsid w:val="657C5A6D"/>
    <w:rsid w:val="657F58CB"/>
    <w:rsid w:val="65953BDE"/>
    <w:rsid w:val="65A71D3B"/>
    <w:rsid w:val="65E13721"/>
    <w:rsid w:val="65EB14DF"/>
    <w:rsid w:val="65EE2A50"/>
    <w:rsid w:val="65FA4111"/>
    <w:rsid w:val="661F2C0A"/>
    <w:rsid w:val="66212904"/>
    <w:rsid w:val="66326DE1"/>
    <w:rsid w:val="66381021"/>
    <w:rsid w:val="66443934"/>
    <w:rsid w:val="66630D48"/>
    <w:rsid w:val="666A657B"/>
    <w:rsid w:val="66791DD4"/>
    <w:rsid w:val="667C2D5C"/>
    <w:rsid w:val="667F18FA"/>
    <w:rsid w:val="66AF1A56"/>
    <w:rsid w:val="66BC7DB0"/>
    <w:rsid w:val="66C537B1"/>
    <w:rsid w:val="66C82ABE"/>
    <w:rsid w:val="66D9725C"/>
    <w:rsid w:val="66E31E89"/>
    <w:rsid w:val="670B22F0"/>
    <w:rsid w:val="67553E23"/>
    <w:rsid w:val="678418BE"/>
    <w:rsid w:val="67876CB8"/>
    <w:rsid w:val="67BA6A40"/>
    <w:rsid w:val="67BB4BB4"/>
    <w:rsid w:val="67CA2631"/>
    <w:rsid w:val="67D40A94"/>
    <w:rsid w:val="67DD5801"/>
    <w:rsid w:val="67E1461B"/>
    <w:rsid w:val="67E66FD5"/>
    <w:rsid w:val="68093B71"/>
    <w:rsid w:val="68224CA6"/>
    <w:rsid w:val="682D7860"/>
    <w:rsid w:val="684D4007"/>
    <w:rsid w:val="6870620A"/>
    <w:rsid w:val="688A2F04"/>
    <w:rsid w:val="689169DB"/>
    <w:rsid w:val="689313DC"/>
    <w:rsid w:val="68A044D6"/>
    <w:rsid w:val="68AF289B"/>
    <w:rsid w:val="68B00491"/>
    <w:rsid w:val="68B65AA7"/>
    <w:rsid w:val="68C53F3C"/>
    <w:rsid w:val="68E50ABA"/>
    <w:rsid w:val="68FD5BC1"/>
    <w:rsid w:val="692173DE"/>
    <w:rsid w:val="692E7D33"/>
    <w:rsid w:val="69370AFF"/>
    <w:rsid w:val="694D1762"/>
    <w:rsid w:val="695161B2"/>
    <w:rsid w:val="69746A38"/>
    <w:rsid w:val="69833DCE"/>
    <w:rsid w:val="69A022B3"/>
    <w:rsid w:val="69A061F9"/>
    <w:rsid w:val="69C34110"/>
    <w:rsid w:val="69C9180A"/>
    <w:rsid w:val="69DD5F7A"/>
    <w:rsid w:val="69F766A1"/>
    <w:rsid w:val="6A303637"/>
    <w:rsid w:val="6A343CCB"/>
    <w:rsid w:val="6A386990"/>
    <w:rsid w:val="6A420630"/>
    <w:rsid w:val="6A487D38"/>
    <w:rsid w:val="6A674B7F"/>
    <w:rsid w:val="6A684AC4"/>
    <w:rsid w:val="6A694D9B"/>
    <w:rsid w:val="6A721EA2"/>
    <w:rsid w:val="6A8B6054"/>
    <w:rsid w:val="6A8C79C7"/>
    <w:rsid w:val="6A977C84"/>
    <w:rsid w:val="6A984704"/>
    <w:rsid w:val="6AB75B07"/>
    <w:rsid w:val="6AB87A04"/>
    <w:rsid w:val="6ABE0873"/>
    <w:rsid w:val="6AD011A8"/>
    <w:rsid w:val="6AE213BA"/>
    <w:rsid w:val="6B077705"/>
    <w:rsid w:val="6B1431A2"/>
    <w:rsid w:val="6B182A49"/>
    <w:rsid w:val="6B1C57A4"/>
    <w:rsid w:val="6B1E16E2"/>
    <w:rsid w:val="6B1E5828"/>
    <w:rsid w:val="6B2018FE"/>
    <w:rsid w:val="6B2D56B7"/>
    <w:rsid w:val="6B321631"/>
    <w:rsid w:val="6B3E641A"/>
    <w:rsid w:val="6B5B53E9"/>
    <w:rsid w:val="6B600130"/>
    <w:rsid w:val="6B7A3154"/>
    <w:rsid w:val="6B7B6B34"/>
    <w:rsid w:val="6B99520C"/>
    <w:rsid w:val="6B9D39BF"/>
    <w:rsid w:val="6BB47BB0"/>
    <w:rsid w:val="6BC53E7E"/>
    <w:rsid w:val="6BD12BF8"/>
    <w:rsid w:val="6BD915C1"/>
    <w:rsid w:val="6BDF70C3"/>
    <w:rsid w:val="6BE741CA"/>
    <w:rsid w:val="6BE80BBF"/>
    <w:rsid w:val="6BFC7EF8"/>
    <w:rsid w:val="6C1F5F5E"/>
    <w:rsid w:val="6C281BF9"/>
    <w:rsid w:val="6C3619B2"/>
    <w:rsid w:val="6C363D37"/>
    <w:rsid w:val="6C393549"/>
    <w:rsid w:val="6C496A5C"/>
    <w:rsid w:val="6C507FC1"/>
    <w:rsid w:val="6C6A1606"/>
    <w:rsid w:val="6C7D2816"/>
    <w:rsid w:val="6C847C6A"/>
    <w:rsid w:val="6C8859AD"/>
    <w:rsid w:val="6CBB5A9F"/>
    <w:rsid w:val="6CC62031"/>
    <w:rsid w:val="6CD209D6"/>
    <w:rsid w:val="6CD22B79"/>
    <w:rsid w:val="6CD33D13"/>
    <w:rsid w:val="6CD56718"/>
    <w:rsid w:val="6CDF3370"/>
    <w:rsid w:val="6CE8644B"/>
    <w:rsid w:val="6D121828"/>
    <w:rsid w:val="6D2E0F9A"/>
    <w:rsid w:val="6D396CA7"/>
    <w:rsid w:val="6D405F56"/>
    <w:rsid w:val="6D415AF3"/>
    <w:rsid w:val="6D486EEA"/>
    <w:rsid w:val="6D5718B0"/>
    <w:rsid w:val="6D5E670D"/>
    <w:rsid w:val="6D672DFB"/>
    <w:rsid w:val="6D8930ED"/>
    <w:rsid w:val="6D964977"/>
    <w:rsid w:val="6DAF6898"/>
    <w:rsid w:val="6DB602F7"/>
    <w:rsid w:val="6DB97DE8"/>
    <w:rsid w:val="6DF64B98"/>
    <w:rsid w:val="6E055E4A"/>
    <w:rsid w:val="6E1663CE"/>
    <w:rsid w:val="6E2039C3"/>
    <w:rsid w:val="6E367779"/>
    <w:rsid w:val="6E5B399A"/>
    <w:rsid w:val="6E68002F"/>
    <w:rsid w:val="6E9907C3"/>
    <w:rsid w:val="6EA168B2"/>
    <w:rsid w:val="6EBC6B96"/>
    <w:rsid w:val="6EBE6636"/>
    <w:rsid w:val="6EBF591F"/>
    <w:rsid w:val="6EBF6D7A"/>
    <w:rsid w:val="6EFA06B8"/>
    <w:rsid w:val="6F0038B1"/>
    <w:rsid w:val="6F0137F4"/>
    <w:rsid w:val="6F060E0B"/>
    <w:rsid w:val="6F092BA0"/>
    <w:rsid w:val="6F1305D3"/>
    <w:rsid w:val="6F3239AE"/>
    <w:rsid w:val="6F324ACE"/>
    <w:rsid w:val="6F4638FD"/>
    <w:rsid w:val="6F4B0F13"/>
    <w:rsid w:val="6F5558EE"/>
    <w:rsid w:val="6F5D35C6"/>
    <w:rsid w:val="6F616041"/>
    <w:rsid w:val="6F653D83"/>
    <w:rsid w:val="6F6D49E6"/>
    <w:rsid w:val="6F781EEE"/>
    <w:rsid w:val="6F787BE9"/>
    <w:rsid w:val="6F924B18"/>
    <w:rsid w:val="6F9C4C0A"/>
    <w:rsid w:val="6FA709EC"/>
    <w:rsid w:val="6FA83C70"/>
    <w:rsid w:val="6FA861AA"/>
    <w:rsid w:val="6FAA0194"/>
    <w:rsid w:val="6FAD7DCF"/>
    <w:rsid w:val="6FC860C0"/>
    <w:rsid w:val="6FCF3CB7"/>
    <w:rsid w:val="6FDB2F5C"/>
    <w:rsid w:val="6FE34A1C"/>
    <w:rsid w:val="6FEC1DAE"/>
    <w:rsid w:val="6FEC4340"/>
    <w:rsid w:val="6FF15617"/>
    <w:rsid w:val="700A0D4E"/>
    <w:rsid w:val="70147557"/>
    <w:rsid w:val="70152E99"/>
    <w:rsid w:val="70156C2F"/>
    <w:rsid w:val="70231548"/>
    <w:rsid w:val="702F613F"/>
    <w:rsid w:val="70653E44"/>
    <w:rsid w:val="70671D7D"/>
    <w:rsid w:val="707B3132"/>
    <w:rsid w:val="70871AD7"/>
    <w:rsid w:val="70882A3D"/>
    <w:rsid w:val="70CD0D49"/>
    <w:rsid w:val="70FB334B"/>
    <w:rsid w:val="710031D9"/>
    <w:rsid w:val="710E21F8"/>
    <w:rsid w:val="71153587"/>
    <w:rsid w:val="71261A4B"/>
    <w:rsid w:val="71436346"/>
    <w:rsid w:val="71716AEB"/>
    <w:rsid w:val="719162B4"/>
    <w:rsid w:val="719520E0"/>
    <w:rsid w:val="71996C3F"/>
    <w:rsid w:val="71A36DE5"/>
    <w:rsid w:val="71B7463E"/>
    <w:rsid w:val="71C76C8E"/>
    <w:rsid w:val="71EA367F"/>
    <w:rsid w:val="71F94C57"/>
    <w:rsid w:val="72027359"/>
    <w:rsid w:val="7205470F"/>
    <w:rsid w:val="72111FA0"/>
    <w:rsid w:val="723D615D"/>
    <w:rsid w:val="723E7FDC"/>
    <w:rsid w:val="72401DE3"/>
    <w:rsid w:val="72416C8A"/>
    <w:rsid w:val="725325B9"/>
    <w:rsid w:val="7290761C"/>
    <w:rsid w:val="72A246F9"/>
    <w:rsid w:val="72C33C8E"/>
    <w:rsid w:val="72C94629"/>
    <w:rsid w:val="72DC25AE"/>
    <w:rsid w:val="72EC7AAF"/>
    <w:rsid w:val="72FD6764"/>
    <w:rsid w:val="73211962"/>
    <w:rsid w:val="7321328D"/>
    <w:rsid w:val="73224B3F"/>
    <w:rsid w:val="732B7092"/>
    <w:rsid w:val="733F6699"/>
    <w:rsid w:val="73517DDA"/>
    <w:rsid w:val="735760D9"/>
    <w:rsid w:val="735C36EF"/>
    <w:rsid w:val="73667E4A"/>
    <w:rsid w:val="73753E35"/>
    <w:rsid w:val="73884CA8"/>
    <w:rsid w:val="73957A98"/>
    <w:rsid w:val="73B7180D"/>
    <w:rsid w:val="73BC4178"/>
    <w:rsid w:val="73BC5F3C"/>
    <w:rsid w:val="740610E5"/>
    <w:rsid w:val="74253AE1"/>
    <w:rsid w:val="74315E33"/>
    <w:rsid w:val="74634609"/>
    <w:rsid w:val="74681C20"/>
    <w:rsid w:val="746B4E07"/>
    <w:rsid w:val="747B2B41"/>
    <w:rsid w:val="748202E9"/>
    <w:rsid w:val="749761DB"/>
    <w:rsid w:val="749B1FF5"/>
    <w:rsid w:val="74A31EF7"/>
    <w:rsid w:val="74A83C63"/>
    <w:rsid w:val="74AA7569"/>
    <w:rsid w:val="74C21678"/>
    <w:rsid w:val="74C341AC"/>
    <w:rsid w:val="74CB6584"/>
    <w:rsid w:val="74DD510F"/>
    <w:rsid w:val="74DF1EE2"/>
    <w:rsid w:val="74F4415E"/>
    <w:rsid w:val="75034E86"/>
    <w:rsid w:val="750771D7"/>
    <w:rsid w:val="751C330D"/>
    <w:rsid w:val="751F49D4"/>
    <w:rsid w:val="7545744E"/>
    <w:rsid w:val="756A6B09"/>
    <w:rsid w:val="75731E4E"/>
    <w:rsid w:val="75752F8D"/>
    <w:rsid w:val="757C6343"/>
    <w:rsid w:val="7590480A"/>
    <w:rsid w:val="75C46A85"/>
    <w:rsid w:val="75DC08B7"/>
    <w:rsid w:val="75DE03EB"/>
    <w:rsid w:val="75EA77B8"/>
    <w:rsid w:val="75EB0D5A"/>
    <w:rsid w:val="75F11D4D"/>
    <w:rsid w:val="75F1356E"/>
    <w:rsid w:val="762D4ECF"/>
    <w:rsid w:val="762F46D0"/>
    <w:rsid w:val="763C256B"/>
    <w:rsid w:val="763F235F"/>
    <w:rsid w:val="76490B84"/>
    <w:rsid w:val="76935D1A"/>
    <w:rsid w:val="76A1074A"/>
    <w:rsid w:val="76BF5C97"/>
    <w:rsid w:val="76C47493"/>
    <w:rsid w:val="76EC2FDC"/>
    <w:rsid w:val="76F425EF"/>
    <w:rsid w:val="77022DEF"/>
    <w:rsid w:val="771A5C18"/>
    <w:rsid w:val="77224259"/>
    <w:rsid w:val="773A34FC"/>
    <w:rsid w:val="7755292F"/>
    <w:rsid w:val="778356EE"/>
    <w:rsid w:val="778A2D4A"/>
    <w:rsid w:val="7790081C"/>
    <w:rsid w:val="779F7AB9"/>
    <w:rsid w:val="77A60685"/>
    <w:rsid w:val="77AE3DED"/>
    <w:rsid w:val="77B07ED5"/>
    <w:rsid w:val="77B444A1"/>
    <w:rsid w:val="77C35AEB"/>
    <w:rsid w:val="77C90C27"/>
    <w:rsid w:val="77E218CA"/>
    <w:rsid w:val="78137124"/>
    <w:rsid w:val="781906BF"/>
    <w:rsid w:val="7819395D"/>
    <w:rsid w:val="781E440A"/>
    <w:rsid w:val="78213109"/>
    <w:rsid w:val="78300AFF"/>
    <w:rsid w:val="78307524"/>
    <w:rsid w:val="78564BB1"/>
    <w:rsid w:val="785B5D23"/>
    <w:rsid w:val="78657FA9"/>
    <w:rsid w:val="78760DAF"/>
    <w:rsid w:val="78812890"/>
    <w:rsid w:val="78C31B1A"/>
    <w:rsid w:val="78CC37D6"/>
    <w:rsid w:val="78D4073A"/>
    <w:rsid w:val="78D930EC"/>
    <w:rsid w:val="78E079FD"/>
    <w:rsid w:val="78E42DFC"/>
    <w:rsid w:val="79322A31"/>
    <w:rsid w:val="79440EAD"/>
    <w:rsid w:val="79444A09"/>
    <w:rsid w:val="79542C28"/>
    <w:rsid w:val="79607369"/>
    <w:rsid w:val="796F75E5"/>
    <w:rsid w:val="797057FE"/>
    <w:rsid w:val="79815C5D"/>
    <w:rsid w:val="798346A1"/>
    <w:rsid w:val="79A17A3F"/>
    <w:rsid w:val="79A6217C"/>
    <w:rsid w:val="79A656C4"/>
    <w:rsid w:val="79C142AC"/>
    <w:rsid w:val="79D35D8D"/>
    <w:rsid w:val="79EB1962"/>
    <w:rsid w:val="79F418F0"/>
    <w:rsid w:val="79F85706"/>
    <w:rsid w:val="7A0C5BE6"/>
    <w:rsid w:val="7A1D2AB6"/>
    <w:rsid w:val="7A1E465B"/>
    <w:rsid w:val="7A232871"/>
    <w:rsid w:val="7A330110"/>
    <w:rsid w:val="7A365C8F"/>
    <w:rsid w:val="7A454EDD"/>
    <w:rsid w:val="7A532C8C"/>
    <w:rsid w:val="7A6861C1"/>
    <w:rsid w:val="7A6F3D08"/>
    <w:rsid w:val="7A726F30"/>
    <w:rsid w:val="7A777060"/>
    <w:rsid w:val="7A7A0605"/>
    <w:rsid w:val="7A9325F7"/>
    <w:rsid w:val="7A9D4194"/>
    <w:rsid w:val="7AD350DF"/>
    <w:rsid w:val="7B05466C"/>
    <w:rsid w:val="7B05641A"/>
    <w:rsid w:val="7B3C654E"/>
    <w:rsid w:val="7B503B39"/>
    <w:rsid w:val="7B5C1154"/>
    <w:rsid w:val="7B7B6206"/>
    <w:rsid w:val="7B8721B4"/>
    <w:rsid w:val="7B987F84"/>
    <w:rsid w:val="7BAE0860"/>
    <w:rsid w:val="7BB0282A"/>
    <w:rsid w:val="7BB045D8"/>
    <w:rsid w:val="7BBC11CF"/>
    <w:rsid w:val="7BC4153D"/>
    <w:rsid w:val="7BCD1B08"/>
    <w:rsid w:val="7BCF0242"/>
    <w:rsid w:val="7BD007D6"/>
    <w:rsid w:val="7BD04F09"/>
    <w:rsid w:val="7BD91DC6"/>
    <w:rsid w:val="7BE06D02"/>
    <w:rsid w:val="7BED71D8"/>
    <w:rsid w:val="7BF31168"/>
    <w:rsid w:val="7BFD7CAE"/>
    <w:rsid w:val="7C0C1A0E"/>
    <w:rsid w:val="7C1E1DF8"/>
    <w:rsid w:val="7C2E3F7F"/>
    <w:rsid w:val="7C3D3992"/>
    <w:rsid w:val="7C4F6F5B"/>
    <w:rsid w:val="7C507B9A"/>
    <w:rsid w:val="7C5238E1"/>
    <w:rsid w:val="7C5C4FAC"/>
    <w:rsid w:val="7C6A6C95"/>
    <w:rsid w:val="7C7028A1"/>
    <w:rsid w:val="7C76542B"/>
    <w:rsid w:val="7C7D2DBE"/>
    <w:rsid w:val="7C7E0232"/>
    <w:rsid w:val="7C955E36"/>
    <w:rsid w:val="7CA35EEB"/>
    <w:rsid w:val="7CB50EE6"/>
    <w:rsid w:val="7CB75A1F"/>
    <w:rsid w:val="7CBA64E2"/>
    <w:rsid w:val="7CBC6FAC"/>
    <w:rsid w:val="7CD213CD"/>
    <w:rsid w:val="7CE65DD7"/>
    <w:rsid w:val="7CEB7BEB"/>
    <w:rsid w:val="7CF36E72"/>
    <w:rsid w:val="7CF96730"/>
    <w:rsid w:val="7CFC4B68"/>
    <w:rsid w:val="7D0A7D18"/>
    <w:rsid w:val="7D0D15B6"/>
    <w:rsid w:val="7D0E594C"/>
    <w:rsid w:val="7D0E6C30"/>
    <w:rsid w:val="7D19439F"/>
    <w:rsid w:val="7D4836C0"/>
    <w:rsid w:val="7D5B5BD9"/>
    <w:rsid w:val="7D67516A"/>
    <w:rsid w:val="7D6F4641"/>
    <w:rsid w:val="7D770817"/>
    <w:rsid w:val="7D8555F0"/>
    <w:rsid w:val="7DB14637"/>
    <w:rsid w:val="7DB732BA"/>
    <w:rsid w:val="7DE908CD"/>
    <w:rsid w:val="7DEC1DDE"/>
    <w:rsid w:val="7DEE4FF8"/>
    <w:rsid w:val="7DF06F0E"/>
    <w:rsid w:val="7E0D57CE"/>
    <w:rsid w:val="7E140D4C"/>
    <w:rsid w:val="7E146B55"/>
    <w:rsid w:val="7E1C41A7"/>
    <w:rsid w:val="7E1F5A45"/>
    <w:rsid w:val="7E277393"/>
    <w:rsid w:val="7E372D8F"/>
    <w:rsid w:val="7E412766"/>
    <w:rsid w:val="7E457663"/>
    <w:rsid w:val="7E5216E4"/>
    <w:rsid w:val="7E5751DF"/>
    <w:rsid w:val="7E5763FC"/>
    <w:rsid w:val="7E7044F2"/>
    <w:rsid w:val="7E716F1A"/>
    <w:rsid w:val="7EA146AC"/>
    <w:rsid w:val="7EA36676"/>
    <w:rsid w:val="7EA667AD"/>
    <w:rsid w:val="7EB10D93"/>
    <w:rsid w:val="7EB41D47"/>
    <w:rsid w:val="7EB608B2"/>
    <w:rsid w:val="7EC2646F"/>
    <w:rsid w:val="7ED76320"/>
    <w:rsid w:val="7EE051D4"/>
    <w:rsid w:val="7EE72B87"/>
    <w:rsid w:val="7EEB5927"/>
    <w:rsid w:val="7EED169F"/>
    <w:rsid w:val="7EFD472C"/>
    <w:rsid w:val="7F272E03"/>
    <w:rsid w:val="7F2E23E3"/>
    <w:rsid w:val="7F3D06A0"/>
    <w:rsid w:val="7F7115CB"/>
    <w:rsid w:val="7F7B314F"/>
    <w:rsid w:val="7F7D2A23"/>
    <w:rsid w:val="7F89408F"/>
    <w:rsid w:val="7F9E186F"/>
    <w:rsid w:val="7F9E2695"/>
    <w:rsid w:val="7FBB6B94"/>
    <w:rsid w:val="7FCE6DA9"/>
    <w:rsid w:val="7FE42AA2"/>
    <w:rsid w:val="7FE9483A"/>
    <w:rsid w:val="7FFE7B7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qFormat="1" w:unhideWhenUsed="0" w:uiPriority="0" w:semiHidden="0" w:name="index 3"/>
    <w:lsdException w:qFormat="1" w:unhideWhenUsed="0" w:uiPriority="0" w:semiHidden="0" w:name="index 4"/>
    <w:lsdException w:uiPriority="0" w:name="index 5"/>
    <w:lsdException w:uiPriority="0" w:name="index 6"/>
    <w:lsdException w:uiPriority="0" w:name="index 7"/>
    <w:lsdException w:qFormat="1" w:unhideWhenUsed="0" w:uiPriority="0" w:semiHidden="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iPriority="0" w:name="macro"/>
    <w:lsdException w:uiPriority="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qFormat="1" w:unhideWhenUsed="0"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宋体"/>
      <w:sz w:val="22"/>
      <w:szCs w:val="22"/>
      <w:lang w:val="en-US" w:eastAsia="zh-CN" w:bidi="ar-SA"/>
    </w:rPr>
  </w:style>
  <w:style w:type="paragraph" w:styleId="2">
    <w:name w:val="heading 1"/>
    <w:basedOn w:val="1"/>
    <w:next w:val="1"/>
    <w:link w:val="81"/>
    <w:qFormat/>
    <w:uiPriority w:val="0"/>
    <w:pPr>
      <w:keepNext/>
      <w:keepLines/>
      <w:widowControl w:val="0"/>
      <w:adjustRightInd/>
      <w:snapToGrid/>
      <w:spacing w:after="0" w:line="360" w:lineRule="auto"/>
      <w:jc w:val="both"/>
      <w:outlineLvl w:val="0"/>
    </w:pPr>
    <w:rPr>
      <w:rFonts w:ascii="Times New Roman" w:hAnsi="Times New Roman" w:eastAsia="宋体" w:cs="Times New Roman"/>
      <w:b/>
      <w:bCs/>
      <w:kern w:val="44"/>
      <w:sz w:val="32"/>
      <w:szCs w:val="44"/>
    </w:rPr>
  </w:style>
  <w:style w:type="paragraph" w:styleId="3">
    <w:name w:val="heading 2"/>
    <w:basedOn w:val="1"/>
    <w:next w:val="1"/>
    <w:link w:val="82"/>
    <w:qFormat/>
    <w:uiPriority w:val="0"/>
    <w:pPr>
      <w:keepNext/>
      <w:keepLines/>
      <w:widowControl w:val="0"/>
      <w:adjustRightInd/>
      <w:snapToGrid/>
      <w:spacing w:before="260" w:after="260" w:line="413" w:lineRule="auto"/>
      <w:jc w:val="both"/>
      <w:outlineLvl w:val="1"/>
    </w:pPr>
    <w:rPr>
      <w:rFonts w:ascii="Arial" w:hAnsi="Arial" w:eastAsia="黑体" w:cs="Times New Roman"/>
      <w:b/>
      <w:bCs/>
      <w:kern w:val="2"/>
      <w:sz w:val="32"/>
      <w:szCs w:val="32"/>
    </w:rPr>
  </w:style>
  <w:style w:type="paragraph" w:styleId="4">
    <w:name w:val="heading 3"/>
    <w:basedOn w:val="1"/>
    <w:next w:val="1"/>
    <w:link w:val="83"/>
    <w:qFormat/>
    <w:uiPriority w:val="0"/>
    <w:pPr>
      <w:keepNext/>
      <w:keepLines/>
      <w:widowControl w:val="0"/>
      <w:adjustRightInd/>
      <w:snapToGrid/>
      <w:spacing w:after="0" w:line="360" w:lineRule="auto"/>
      <w:jc w:val="both"/>
      <w:outlineLvl w:val="2"/>
    </w:pPr>
    <w:rPr>
      <w:rFonts w:ascii="Times New Roman" w:hAnsi="Times New Roman" w:eastAsia="宋体" w:cs="Times New Roman"/>
      <w:b/>
      <w:bCs/>
      <w:kern w:val="2"/>
      <w:sz w:val="24"/>
      <w:szCs w:val="32"/>
    </w:rPr>
  </w:style>
  <w:style w:type="paragraph" w:styleId="5">
    <w:name w:val="heading 4"/>
    <w:basedOn w:val="1"/>
    <w:next w:val="1"/>
    <w:link w:val="84"/>
    <w:qFormat/>
    <w:uiPriority w:val="0"/>
    <w:pPr>
      <w:keepNext/>
      <w:keepLines/>
      <w:widowControl w:val="0"/>
      <w:adjustRightInd/>
      <w:snapToGrid/>
      <w:spacing w:after="0" w:line="360" w:lineRule="auto"/>
      <w:jc w:val="both"/>
      <w:outlineLvl w:val="3"/>
    </w:pPr>
    <w:rPr>
      <w:rFonts w:ascii="Arial" w:hAnsi="Arial" w:eastAsia="宋体" w:cs="Times New Roman"/>
      <w:b/>
      <w:bCs/>
      <w:kern w:val="2"/>
      <w:sz w:val="21"/>
      <w:szCs w:val="28"/>
    </w:rPr>
  </w:style>
  <w:style w:type="paragraph" w:styleId="6">
    <w:name w:val="heading 5"/>
    <w:basedOn w:val="1"/>
    <w:next w:val="1"/>
    <w:link w:val="85"/>
    <w:qFormat/>
    <w:uiPriority w:val="0"/>
    <w:pPr>
      <w:keepNext/>
      <w:keepLines/>
      <w:widowControl w:val="0"/>
      <w:adjustRightInd/>
      <w:snapToGrid/>
      <w:spacing w:before="280" w:after="290" w:line="372" w:lineRule="auto"/>
      <w:jc w:val="both"/>
      <w:outlineLvl w:val="4"/>
    </w:pPr>
    <w:rPr>
      <w:rFonts w:ascii="Times New Roman" w:hAnsi="Times New Roman" w:eastAsia="宋体" w:cs="Times New Roman"/>
      <w:b/>
      <w:bCs/>
      <w:kern w:val="2"/>
      <w:sz w:val="28"/>
      <w:szCs w:val="28"/>
    </w:rPr>
  </w:style>
  <w:style w:type="paragraph" w:styleId="7">
    <w:name w:val="heading 6"/>
    <w:basedOn w:val="1"/>
    <w:next w:val="1"/>
    <w:link w:val="136"/>
    <w:qFormat/>
    <w:uiPriority w:val="0"/>
    <w:pPr>
      <w:keepNext/>
      <w:keepLines/>
      <w:widowControl w:val="0"/>
      <w:adjustRightInd/>
      <w:snapToGrid/>
      <w:spacing w:before="240" w:after="64" w:line="317" w:lineRule="auto"/>
      <w:jc w:val="both"/>
      <w:outlineLvl w:val="5"/>
    </w:pPr>
    <w:rPr>
      <w:rFonts w:ascii="Cambria" w:hAnsi="Cambria" w:eastAsia="宋体" w:cs="Times New Roman"/>
      <w:b/>
      <w:bCs/>
      <w:kern w:val="2"/>
      <w:sz w:val="24"/>
      <w:szCs w:val="24"/>
    </w:rPr>
  </w:style>
  <w:style w:type="paragraph" w:styleId="8">
    <w:name w:val="heading 7"/>
    <w:basedOn w:val="1"/>
    <w:next w:val="1"/>
    <w:link w:val="137"/>
    <w:qFormat/>
    <w:uiPriority w:val="0"/>
    <w:pPr>
      <w:keepNext/>
      <w:keepLines/>
      <w:widowControl w:val="0"/>
      <w:adjustRightInd/>
      <w:snapToGrid/>
      <w:spacing w:before="240" w:after="64" w:line="317" w:lineRule="auto"/>
      <w:jc w:val="both"/>
      <w:outlineLvl w:val="6"/>
    </w:pPr>
    <w:rPr>
      <w:rFonts w:ascii="Calibri" w:hAnsi="Calibri" w:eastAsia="宋体" w:cs="Times New Roman"/>
      <w:b/>
      <w:bCs/>
      <w:kern w:val="2"/>
      <w:sz w:val="24"/>
      <w:szCs w:val="24"/>
    </w:rPr>
  </w:style>
  <w:style w:type="paragraph" w:styleId="9">
    <w:name w:val="heading 8"/>
    <w:basedOn w:val="1"/>
    <w:next w:val="1"/>
    <w:link w:val="138"/>
    <w:qFormat/>
    <w:uiPriority w:val="0"/>
    <w:pPr>
      <w:keepNext/>
      <w:keepLines/>
      <w:widowControl w:val="0"/>
      <w:adjustRightInd/>
      <w:snapToGrid/>
      <w:spacing w:before="240" w:after="64" w:line="317" w:lineRule="auto"/>
      <w:jc w:val="both"/>
      <w:outlineLvl w:val="7"/>
    </w:pPr>
    <w:rPr>
      <w:rFonts w:ascii="Cambria" w:hAnsi="Cambria" w:eastAsia="宋体" w:cs="Times New Roman"/>
      <w:kern w:val="2"/>
      <w:sz w:val="24"/>
      <w:szCs w:val="24"/>
    </w:rPr>
  </w:style>
  <w:style w:type="paragraph" w:styleId="10">
    <w:name w:val="heading 9"/>
    <w:basedOn w:val="1"/>
    <w:next w:val="1"/>
    <w:link w:val="139"/>
    <w:qFormat/>
    <w:uiPriority w:val="0"/>
    <w:pPr>
      <w:keepNext/>
      <w:keepLines/>
      <w:widowControl w:val="0"/>
      <w:adjustRightInd/>
      <w:snapToGrid/>
      <w:spacing w:before="240" w:after="64" w:line="317" w:lineRule="auto"/>
      <w:jc w:val="both"/>
      <w:outlineLvl w:val="8"/>
    </w:pPr>
    <w:rPr>
      <w:rFonts w:ascii="Cambria" w:hAnsi="Cambria" w:eastAsia="宋体" w:cs="Times New Roman"/>
      <w:kern w:val="2"/>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widowControl w:val="0"/>
      <w:adjustRightInd/>
      <w:snapToGrid/>
      <w:spacing w:after="0"/>
      <w:ind w:left="2520" w:leftChars="1200"/>
      <w:jc w:val="both"/>
    </w:pPr>
    <w:rPr>
      <w:rFonts w:ascii="Calibri" w:hAnsi="Calibri" w:eastAsia="宋体"/>
      <w:kern w:val="2"/>
      <w:sz w:val="21"/>
    </w:rPr>
  </w:style>
  <w:style w:type="paragraph" w:styleId="12">
    <w:name w:val="List Number 2"/>
    <w:basedOn w:val="13"/>
    <w:qFormat/>
    <w:uiPriority w:val="0"/>
    <w:pPr>
      <w:tabs>
        <w:tab w:val="left" w:pos="360"/>
        <w:tab w:val="left" w:pos="851"/>
      </w:tabs>
      <w:spacing w:before="120"/>
    </w:pPr>
  </w:style>
  <w:style w:type="paragraph" w:styleId="13">
    <w:name w:val="List Number"/>
    <w:basedOn w:val="14"/>
    <w:qFormat/>
    <w:uiPriority w:val="0"/>
    <w:pPr>
      <w:keepLines/>
      <w:widowControl/>
      <w:tabs>
        <w:tab w:val="left" w:pos="851"/>
      </w:tabs>
      <w:spacing w:before="50" w:after="0" w:line="280" w:lineRule="atLeast"/>
      <w:ind w:left="851" w:hanging="426"/>
    </w:pPr>
    <w:rPr>
      <w:rFonts w:ascii="Calibri" w:hAnsi="Calibri"/>
      <w:kern w:val="0"/>
      <w:sz w:val="22"/>
      <w:szCs w:val="20"/>
      <w:lang w:val="en-GB"/>
    </w:rPr>
  </w:style>
  <w:style w:type="paragraph" w:styleId="14">
    <w:name w:val="Body Text"/>
    <w:basedOn w:val="1"/>
    <w:link w:val="94"/>
    <w:qFormat/>
    <w:uiPriority w:val="0"/>
    <w:pPr>
      <w:widowControl w:val="0"/>
      <w:adjustRightInd/>
      <w:snapToGrid/>
      <w:spacing w:after="120"/>
      <w:jc w:val="both"/>
    </w:pPr>
    <w:rPr>
      <w:rFonts w:ascii="Times New Roman" w:hAnsi="Times New Roman" w:eastAsia="宋体" w:cs="Times New Roman"/>
      <w:kern w:val="2"/>
      <w:sz w:val="21"/>
      <w:szCs w:val="24"/>
    </w:rPr>
  </w:style>
  <w:style w:type="paragraph" w:styleId="15">
    <w:name w:val="table of authorities"/>
    <w:basedOn w:val="1"/>
    <w:next w:val="1"/>
    <w:qFormat/>
    <w:uiPriority w:val="0"/>
    <w:pPr>
      <w:widowControl w:val="0"/>
      <w:adjustRightInd/>
      <w:snapToGrid/>
      <w:spacing w:after="0"/>
      <w:ind w:left="420" w:leftChars="200"/>
      <w:jc w:val="both"/>
    </w:pPr>
    <w:rPr>
      <w:rFonts w:ascii="Times New Roman" w:hAnsi="Times New Roman" w:eastAsia="宋体" w:cs="Times New Roman"/>
      <w:kern w:val="2"/>
      <w:sz w:val="21"/>
      <w:szCs w:val="24"/>
    </w:rPr>
  </w:style>
  <w:style w:type="paragraph" w:styleId="16">
    <w:name w:val="index 8"/>
    <w:basedOn w:val="1"/>
    <w:next w:val="1"/>
    <w:qFormat/>
    <w:uiPriority w:val="0"/>
    <w:pPr>
      <w:ind w:left="1400" w:leftChars="1400"/>
    </w:pPr>
  </w:style>
  <w:style w:type="paragraph" w:styleId="17">
    <w:name w:val="Normal Indent"/>
    <w:basedOn w:val="1"/>
    <w:link w:val="105"/>
    <w:qFormat/>
    <w:uiPriority w:val="0"/>
    <w:pPr>
      <w:adjustRightInd/>
      <w:snapToGrid/>
      <w:spacing w:after="0"/>
      <w:ind w:firstLine="420"/>
    </w:pPr>
    <w:rPr>
      <w:rFonts w:ascii="Times New Roman" w:hAnsi="Times New Roman" w:eastAsia="宋体" w:cs="Times New Roman"/>
      <w:sz w:val="20"/>
      <w:szCs w:val="20"/>
    </w:rPr>
  </w:style>
  <w:style w:type="paragraph" w:styleId="18">
    <w:name w:val="caption"/>
    <w:basedOn w:val="1"/>
    <w:next w:val="1"/>
    <w:qFormat/>
    <w:uiPriority w:val="0"/>
    <w:pPr>
      <w:widowControl w:val="0"/>
      <w:adjustRightInd/>
      <w:snapToGrid/>
      <w:spacing w:after="0"/>
      <w:jc w:val="both"/>
    </w:pPr>
    <w:rPr>
      <w:rFonts w:ascii="Cambria" w:hAnsi="Cambria" w:eastAsia="黑体" w:cs="Times New Roman"/>
      <w:kern w:val="2"/>
      <w:sz w:val="20"/>
      <w:szCs w:val="20"/>
    </w:rPr>
  </w:style>
  <w:style w:type="paragraph" w:styleId="19">
    <w:name w:val="List Bullet"/>
    <w:basedOn w:val="14"/>
    <w:qFormat/>
    <w:uiPriority w:val="0"/>
    <w:pPr>
      <w:keepLines/>
      <w:widowControl/>
      <w:spacing w:after="0" w:line="360" w:lineRule="auto"/>
    </w:pPr>
    <w:rPr>
      <w:rFonts w:ascii="Calibri" w:hAnsi="Calibri"/>
      <w:color w:val="000000"/>
      <w:kern w:val="0"/>
      <w:sz w:val="20"/>
      <w:szCs w:val="20"/>
      <w:lang w:val="en-GB"/>
    </w:rPr>
  </w:style>
  <w:style w:type="paragraph" w:styleId="20">
    <w:name w:val="Document Map"/>
    <w:basedOn w:val="1"/>
    <w:link w:val="110"/>
    <w:qFormat/>
    <w:uiPriority w:val="0"/>
    <w:rPr>
      <w:rFonts w:ascii="宋体" w:eastAsia="宋体"/>
      <w:sz w:val="18"/>
      <w:szCs w:val="18"/>
    </w:rPr>
  </w:style>
  <w:style w:type="paragraph" w:styleId="21">
    <w:name w:val="annotation text"/>
    <w:basedOn w:val="1"/>
    <w:link w:val="263"/>
    <w:qFormat/>
    <w:uiPriority w:val="0"/>
  </w:style>
  <w:style w:type="paragraph" w:styleId="22">
    <w:name w:val="Body Text 3"/>
    <w:basedOn w:val="1"/>
    <w:link w:val="96"/>
    <w:qFormat/>
    <w:uiPriority w:val="0"/>
    <w:pPr>
      <w:widowControl w:val="0"/>
      <w:adjustRightInd/>
      <w:snapToGrid/>
      <w:spacing w:after="120"/>
      <w:jc w:val="both"/>
    </w:pPr>
    <w:rPr>
      <w:rFonts w:ascii="Times New Roman" w:hAnsi="Times New Roman" w:eastAsia="宋体" w:cs="Times New Roman"/>
      <w:kern w:val="2"/>
      <w:sz w:val="16"/>
      <w:szCs w:val="16"/>
    </w:rPr>
  </w:style>
  <w:style w:type="paragraph" w:styleId="23">
    <w:name w:val="List Bullet 3"/>
    <w:basedOn w:val="14"/>
    <w:qFormat/>
    <w:uiPriority w:val="0"/>
    <w:pPr>
      <w:widowControl/>
      <w:tabs>
        <w:tab w:val="left" w:pos="1276"/>
      </w:tabs>
      <w:spacing w:line="280" w:lineRule="atLeast"/>
      <w:ind w:left="1276" w:hanging="425"/>
    </w:pPr>
    <w:rPr>
      <w:rFonts w:ascii="Calibri" w:hAnsi="Calibri"/>
      <w:kern w:val="0"/>
      <w:sz w:val="22"/>
      <w:szCs w:val="20"/>
      <w:lang w:val="en-GB"/>
    </w:rPr>
  </w:style>
  <w:style w:type="paragraph" w:styleId="24">
    <w:name w:val="Body Text Indent"/>
    <w:basedOn w:val="25"/>
    <w:link w:val="95"/>
    <w:qFormat/>
    <w:uiPriority w:val="0"/>
    <w:pPr>
      <w:widowControl w:val="0"/>
      <w:adjustRightInd/>
      <w:snapToGrid/>
      <w:spacing w:after="0"/>
      <w:ind w:firstLine="420" w:firstLineChars="200"/>
      <w:jc w:val="both"/>
    </w:pPr>
    <w:rPr>
      <w:rFonts w:ascii="Times New Roman" w:hAnsi="Times New Roman" w:eastAsia="宋体" w:cs="Times New Roman"/>
      <w:kern w:val="2"/>
      <w:sz w:val="21"/>
      <w:szCs w:val="24"/>
    </w:rPr>
  </w:style>
  <w:style w:type="paragraph" w:customStyle="1" w:styleId="25">
    <w:name w:val="正文_4"/>
    <w:next w:val="26"/>
    <w:qFormat/>
    <w:uiPriority w:val="0"/>
    <w:pPr>
      <w:widowControl w:val="0"/>
      <w:jc w:val="both"/>
    </w:pPr>
    <w:rPr>
      <w:rFonts w:ascii="Times New Roman" w:hAnsi="Times New Roman" w:eastAsia="宋体" w:cs="Times New Roman"/>
      <w:kern w:val="2"/>
      <w:sz w:val="21"/>
    </w:rPr>
  </w:style>
  <w:style w:type="paragraph" w:styleId="26">
    <w:name w:val="Body Text First Indent 2"/>
    <w:basedOn w:val="24"/>
    <w:qFormat/>
    <w:uiPriority w:val="99"/>
  </w:style>
  <w:style w:type="paragraph" w:styleId="27">
    <w:name w:val="List 2"/>
    <w:basedOn w:val="1"/>
    <w:qFormat/>
    <w:uiPriority w:val="0"/>
    <w:pPr>
      <w:widowControl w:val="0"/>
      <w:adjustRightInd/>
      <w:snapToGrid/>
      <w:spacing w:after="0"/>
      <w:ind w:left="200" w:leftChars="200" w:hanging="200" w:hangingChars="200"/>
      <w:jc w:val="both"/>
    </w:pPr>
    <w:rPr>
      <w:rFonts w:ascii="Times New Roman" w:hAnsi="Times New Roman" w:eastAsia="宋体" w:cs="Times New Roman"/>
      <w:kern w:val="2"/>
      <w:sz w:val="21"/>
      <w:szCs w:val="24"/>
    </w:rPr>
  </w:style>
  <w:style w:type="paragraph" w:styleId="28">
    <w:name w:val="Block Text"/>
    <w:basedOn w:val="1"/>
    <w:next w:val="1"/>
    <w:qFormat/>
    <w:uiPriority w:val="0"/>
    <w:pPr>
      <w:widowControl w:val="0"/>
      <w:tabs>
        <w:tab w:val="left" w:pos="900"/>
      </w:tabs>
      <w:spacing w:beforeLines="50" w:afterLines="50" w:line="400" w:lineRule="atLeast"/>
      <w:ind w:left="901" w:leftChars="428" w:right="32" w:hanging="2"/>
      <w:jc w:val="both"/>
    </w:pPr>
    <w:rPr>
      <w:rFonts w:ascii="Times New Roman" w:hAnsi="Times New Roman" w:eastAsia="宋体" w:cs="Times New Roman"/>
      <w:kern w:val="2"/>
      <w:sz w:val="24"/>
      <w:szCs w:val="24"/>
    </w:rPr>
  </w:style>
  <w:style w:type="paragraph" w:styleId="29">
    <w:name w:val="List Bullet 2"/>
    <w:basedOn w:val="19"/>
    <w:qFormat/>
    <w:uiPriority w:val="0"/>
    <w:pPr>
      <w:tabs>
        <w:tab w:val="left" w:pos="780"/>
      </w:tabs>
      <w:spacing w:before="120"/>
      <w:ind w:left="780" w:hanging="360"/>
    </w:pPr>
  </w:style>
  <w:style w:type="paragraph" w:styleId="30">
    <w:name w:val="index 4"/>
    <w:basedOn w:val="1"/>
    <w:next w:val="1"/>
    <w:qFormat/>
    <w:uiPriority w:val="0"/>
    <w:pPr>
      <w:widowControl w:val="0"/>
      <w:adjustRightInd/>
      <w:snapToGrid/>
      <w:spacing w:after="0"/>
      <w:ind w:left="600" w:leftChars="600"/>
      <w:jc w:val="both"/>
    </w:pPr>
    <w:rPr>
      <w:rFonts w:ascii="Times New Roman" w:hAnsi="Times New Roman" w:eastAsia="宋体" w:cs="Times New Roman"/>
      <w:kern w:val="2"/>
      <w:sz w:val="21"/>
      <w:szCs w:val="24"/>
    </w:rPr>
  </w:style>
  <w:style w:type="paragraph" w:styleId="31">
    <w:name w:val="toc 5"/>
    <w:basedOn w:val="1"/>
    <w:next w:val="1"/>
    <w:qFormat/>
    <w:uiPriority w:val="39"/>
    <w:pPr>
      <w:widowControl w:val="0"/>
      <w:adjustRightInd/>
      <w:snapToGrid/>
      <w:spacing w:after="0"/>
      <w:ind w:left="1680" w:leftChars="800"/>
      <w:jc w:val="both"/>
    </w:pPr>
    <w:rPr>
      <w:rFonts w:ascii="Calibri" w:hAnsi="Calibri" w:eastAsia="宋体"/>
      <w:kern w:val="2"/>
      <w:sz w:val="21"/>
    </w:rPr>
  </w:style>
  <w:style w:type="paragraph" w:styleId="32">
    <w:name w:val="toc 3"/>
    <w:basedOn w:val="1"/>
    <w:next w:val="1"/>
    <w:qFormat/>
    <w:uiPriority w:val="39"/>
    <w:pPr>
      <w:widowControl w:val="0"/>
      <w:adjustRightInd/>
      <w:snapToGrid/>
      <w:spacing w:after="0"/>
      <w:ind w:left="420"/>
    </w:pPr>
    <w:rPr>
      <w:rFonts w:ascii="Times New Roman" w:hAnsi="Times New Roman" w:eastAsia="宋体" w:cs="Times New Roman"/>
      <w:i/>
      <w:iCs/>
      <w:kern w:val="2"/>
      <w:sz w:val="20"/>
      <w:szCs w:val="20"/>
    </w:rPr>
  </w:style>
  <w:style w:type="paragraph" w:styleId="33">
    <w:name w:val="Plain Text"/>
    <w:basedOn w:val="1"/>
    <w:next w:val="34"/>
    <w:link w:val="132"/>
    <w:qFormat/>
    <w:uiPriority w:val="0"/>
    <w:pPr>
      <w:widowControl w:val="0"/>
      <w:adjustRightInd/>
      <w:snapToGrid/>
      <w:spacing w:after="0"/>
      <w:jc w:val="both"/>
    </w:pPr>
    <w:rPr>
      <w:rFonts w:ascii="宋体" w:hAnsi="Courier New" w:eastAsia="宋体" w:cs="Times New Roman"/>
      <w:kern w:val="2"/>
      <w:sz w:val="21"/>
      <w:szCs w:val="20"/>
    </w:rPr>
  </w:style>
  <w:style w:type="paragraph" w:customStyle="1" w:styleId="34">
    <w:name w:val="Default"/>
    <w:qFormat/>
    <w:uiPriority w:val="0"/>
    <w:pPr>
      <w:widowControl w:val="0"/>
      <w:autoSpaceDE w:val="0"/>
      <w:autoSpaceDN w:val="0"/>
      <w:adjustRightInd w:val="0"/>
    </w:pPr>
    <w:rPr>
      <w:rFonts w:ascii="Sim Sun+ 2" w:hAnsi="Times New Roman" w:eastAsia="Sim Sun+ 2" w:cs="Times New Roman"/>
      <w:color w:val="000000"/>
      <w:sz w:val="24"/>
      <w:szCs w:val="24"/>
      <w:lang w:val="en-US" w:eastAsia="zh-CN" w:bidi="ar-SA"/>
    </w:rPr>
  </w:style>
  <w:style w:type="paragraph" w:styleId="35">
    <w:name w:val="toc 8"/>
    <w:basedOn w:val="1"/>
    <w:next w:val="1"/>
    <w:qFormat/>
    <w:uiPriority w:val="39"/>
    <w:pPr>
      <w:widowControl w:val="0"/>
      <w:adjustRightInd/>
      <w:snapToGrid/>
      <w:spacing w:after="0"/>
      <w:ind w:left="2940" w:leftChars="1400"/>
      <w:jc w:val="both"/>
    </w:pPr>
    <w:rPr>
      <w:rFonts w:ascii="Calibri" w:hAnsi="Calibri" w:eastAsia="宋体"/>
      <w:kern w:val="2"/>
      <w:sz w:val="21"/>
    </w:rPr>
  </w:style>
  <w:style w:type="paragraph" w:styleId="36">
    <w:name w:val="index 3"/>
    <w:basedOn w:val="1"/>
    <w:next w:val="1"/>
    <w:qFormat/>
    <w:uiPriority w:val="0"/>
    <w:pPr>
      <w:widowControl w:val="0"/>
      <w:adjustRightInd/>
      <w:snapToGrid/>
      <w:spacing w:after="0"/>
      <w:ind w:left="400" w:leftChars="400"/>
      <w:jc w:val="both"/>
    </w:pPr>
    <w:rPr>
      <w:rFonts w:ascii="Times New Roman" w:hAnsi="Times New Roman" w:eastAsia="宋体" w:cs="Times New Roman"/>
      <w:kern w:val="2"/>
      <w:sz w:val="21"/>
      <w:szCs w:val="24"/>
    </w:rPr>
  </w:style>
  <w:style w:type="paragraph" w:styleId="37">
    <w:name w:val="Date"/>
    <w:basedOn w:val="1"/>
    <w:next w:val="1"/>
    <w:link w:val="93"/>
    <w:qFormat/>
    <w:uiPriority w:val="0"/>
    <w:pPr>
      <w:widowControl w:val="0"/>
      <w:adjustRightInd/>
      <w:snapToGrid/>
      <w:spacing w:after="0"/>
      <w:ind w:left="100" w:leftChars="2500"/>
      <w:jc w:val="both"/>
    </w:pPr>
    <w:rPr>
      <w:rFonts w:ascii="Times New Roman" w:hAnsi="Times New Roman" w:eastAsia="宋体" w:cs="Times New Roman"/>
      <w:kern w:val="2"/>
      <w:sz w:val="21"/>
      <w:szCs w:val="24"/>
    </w:rPr>
  </w:style>
  <w:style w:type="paragraph" w:styleId="38">
    <w:name w:val="Body Text Indent 2"/>
    <w:basedOn w:val="1"/>
    <w:link w:val="166"/>
    <w:qFormat/>
    <w:uiPriority w:val="0"/>
    <w:pPr>
      <w:widowControl w:val="0"/>
      <w:adjustRightInd/>
      <w:snapToGrid/>
      <w:spacing w:after="120" w:line="480" w:lineRule="auto"/>
      <w:ind w:left="420" w:leftChars="200"/>
      <w:jc w:val="both"/>
    </w:pPr>
    <w:rPr>
      <w:rFonts w:ascii="Times New Roman" w:hAnsi="Times New Roman" w:eastAsia="宋体" w:cs="Times New Roman"/>
      <w:sz w:val="20"/>
      <w:szCs w:val="24"/>
    </w:rPr>
  </w:style>
  <w:style w:type="paragraph" w:styleId="39">
    <w:name w:val="endnote text"/>
    <w:basedOn w:val="1"/>
    <w:link w:val="247"/>
    <w:qFormat/>
    <w:uiPriority w:val="0"/>
    <w:pPr>
      <w:widowControl w:val="0"/>
      <w:adjustRightInd/>
      <w:spacing w:after="0"/>
    </w:pPr>
    <w:rPr>
      <w:rFonts w:ascii="Times New Roman" w:hAnsi="Times New Roman" w:eastAsia="宋体" w:cs="Times New Roman"/>
      <w:kern w:val="2"/>
      <w:sz w:val="21"/>
      <w:szCs w:val="24"/>
    </w:rPr>
  </w:style>
  <w:style w:type="paragraph" w:styleId="40">
    <w:name w:val="Balloon Text"/>
    <w:basedOn w:val="1"/>
    <w:link w:val="92"/>
    <w:qFormat/>
    <w:uiPriority w:val="0"/>
    <w:pPr>
      <w:widowControl w:val="0"/>
      <w:adjustRightInd/>
      <w:snapToGrid/>
      <w:spacing w:after="0"/>
      <w:jc w:val="both"/>
    </w:pPr>
    <w:rPr>
      <w:rFonts w:ascii="Times New Roman" w:hAnsi="Times New Roman" w:eastAsia="宋体" w:cs="Times New Roman"/>
      <w:kern w:val="2"/>
      <w:sz w:val="18"/>
      <w:szCs w:val="18"/>
    </w:rPr>
  </w:style>
  <w:style w:type="paragraph" w:styleId="41">
    <w:name w:val="footer"/>
    <w:basedOn w:val="1"/>
    <w:link w:val="87"/>
    <w:qFormat/>
    <w:uiPriority w:val="99"/>
    <w:pPr>
      <w:tabs>
        <w:tab w:val="center" w:pos="4153"/>
        <w:tab w:val="right" w:pos="8306"/>
      </w:tabs>
    </w:pPr>
    <w:rPr>
      <w:sz w:val="18"/>
      <w:szCs w:val="18"/>
    </w:rPr>
  </w:style>
  <w:style w:type="paragraph" w:styleId="42">
    <w:name w:val="envelope return"/>
    <w:basedOn w:val="1"/>
    <w:qFormat/>
    <w:uiPriority w:val="0"/>
    <w:rPr>
      <w:rFonts w:ascii="Arial" w:hAnsi="Arial"/>
    </w:rPr>
  </w:style>
  <w:style w:type="paragraph" w:styleId="43">
    <w:name w:val="header"/>
    <w:basedOn w:val="1"/>
    <w:link w:val="86"/>
    <w:qFormat/>
    <w:uiPriority w:val="99"/>
    <w:pPr>
      <w:pBdr>
        <w:bottom w:val="single" w:color="auto" w:sz="6" w:space="1"/>
      </w:pBdr>
      <w:tabs>
        <w:tab w:val="center" w:pos="4153"/>
        <w:tab w:val="right" w:pos="8306"/>
      </w:tabs>
      <w:jc w:val="center"/>
    </w:pPr>
    <w:rPr>
      <w:sz w:val="18"/>
      <w:szCs w:val="18"/>
    </w:rPr>
  </w:style>
  <w:style w:type="paragraph" w:styleId="44">
    <w:name w:val="toc 1"/>
    <w:basedOn w:val="1"/>
    <w:next w:val="1"/>
    <w:qFormat/>
    <w:uiPriority w:val="39"/>
    <w:pPr>
      <w:widowControl w:val="0"/>
      <w:tabs>
        <w:tab w:val="right" w:leader="dot" w:pos="9540"/>
      </w:tabs>
      <w:adjustRightInd/>
      <w:snapToGrid/>
      <w:spacing w:before="120" w:after="120"/>
    </w:pPr>
    <w:rPr>
      <w:rFonts w:ascii="黑体" w:hAnsi="黑体" w:eastAsia="黑体" w:cs="Times New Roman"/>
      <w:bCs/>
      <w:caps/>
      <w:kern w:val="2"/>
      <w:sz w:val="20"/>
      <w:szCs w:val="20"/>
    </w:rPr>
  </w:style>
  <w:style w:type="paragraph" w:styleId="45">
    <w:name w:val="toc 4"/>
    <w:basedOn w:val="1"/>
    <w:next w:val="1"/>
    <w:qFormat/>
    <w:uiPriority w:val="39"/>
    <w:pPr>
      <w:widowControl w:val="0"/>
      <w:adjustRightInd/>
      <w:snapToGrid/>
      <w:spacing w:after="0"/>
      <w:ind w:left="1260" w:leftChars="600"/>
      <w:jc w:val="both"/>
    </w:pPr>
    <w:rPr>
      <w:rFonts w:ascii="Calibri" w:hAnsi="Calibri" w:eastAsia="宋体"/>
      <w:kern w:val="2"/>
      <w:sz w:val="21"/>
    </w:rPr>
  </w:style>
  <w:style w:type="paragraph" w:styleId="46">
    <w:name w:val="Subtitle"/>
    <w:basedOn w:val="1"/>
    <w:next w:val="1"/>
    <w:link w:val="206"/>
    <w:qFormat/>
    <w:uiPriority w:val="0"/>
    <w:pPr>
      <w:widowControl w:val="0"/>
      <w:adjustRightInd/>
      <w:snapToGrid/>
      <w:spacing w:before="240" w:after="60" w:line="312" w:lineRule="auto"/>
      <w:jc w:val="center"/>
      <w:outlineLvl w:val="1"/>
    </w:pPr>
    <w:rPr>
      <w:rFonts w:ascii="Cambria" w:hAnsi="Cambria" w:eastAsia="宋体" w:cs="Times New Roman"/>
      <w:b/>
      <w:bCs/>
      <w:kern w:val="28"/>
      <w:sz w:val="32"/>
      <w:szCs w:val="32"/>
    </w:rPr>
  </w:style>
  <w:style w:type="paragraph" w:styleId="47">
    <w:name w:val="List"/>
    <w:basedOn w:val="1"/>
    <w:qFormat/>
    <w:uiPriority w:val="0"/>
    <w:pPr>
      <w:widowControl w:val="0"/>
      <w:adjustRightInd/>
      <w:snapToGrid/>
      <w:spacing w:before="120" w:after="120" w:line="360" w:lineRule="exact"/>
      <w:ind w:firstLine="454"/>
      <w:jc w:val="center"/>
    </w:pPr>
    <w:rPr>
      <w:rFonts w:ascii="Times New Roman" w:hAnsi="Times New Roman" w:eastAsia="宋体" w:cs="Times New Roman"/>
      <w:b/>
      <w:kern w:val="2"/>
      <w:sz w:val="24"/>
      <w:szCs w:val="20"/>
    </w:rPr>
  </w:style>
  <w:style w:type="paragraph" w:styleId="48">
    <w:name w:val="footnote text"/>
    <w:basedOn w:val="1"/>
    <w:link w:val="199"/>
    <w:qFormat/>
    <w:uiPriority w:val="0"/>
    <w:pPr>
      <w:widowControl w:val="0"/>
      <w:adjustRightInd/>
      <w:spacing w:after="0"/>
    </w:pPr>
    <w:rPr>
      <w:rFonts w:ascii="Times New Roman" w:hAnsi="Times New Roman" w:eastAsia="宋体" w:cs="Times New Roman"/>
      <w:kern w:val="2"/>
      <w:sz w:val="18"/>
      <w:szCs w:val="18"/>
    </w:rPr>
  </w:style>
  <w:style w:type="paragraph" w:styleId="49">
    <w:name w:val="toc 6"/>
    <w:basedOn w:val="1"/>
    <w:next w:val="1"/>
    <w:qFormat/>
    <w:uiPriority w:val="39"/>
    <w:pPr>
      <w:widowControl w:val="0"/>
      <w:adjustRightInd/>
      <w:snapToGrid/>
      <w:spacing w:after="0"/>
      <w:ind w:left="2100" w:leftChars="1000"/>
      <w:jc w:val="both"/>
    </w:pPr>
    <w:rPr>
      <w:rFonts w:ascii="Calibri" w:hAnsi="Calibri" w:eastAsia="宋体"/>
      <w:kern w:val="2"/>
      <w:sz w:val="21"/>
    </w:rPr>
  </w:style>
  <w:style w:type="paragraph" w:styleId="50">
    <w:name w:val="List 5"/>
    <w:basedOn w:val="1"/>
    <w:qFormat/>
    <w:uiPriority w:val="0"/>
    <w:pPr>
      <w:widowControl w:val="0"/>
      <w:adjustRightInd/>
      <w:snapToGrid/>
      <w:spacing w:after="0"/>
      <w:ind w:left="2100" w:hanging="420"/>
      <w:jc w:val="both"/>
    </w:pPr>
    <w:rPr>
      <w:rFonts w:ascii="Times New Roman" w:hAnsi="Times New Roman" w:eastAsia="宋体" w:cs="Times New Roman"/>
      <w:kern w:val="2"/>
      <w:sz w:val="21"/>
      <w:szCs w:val="20"/>
    </w:rPr>
  </w:style>
  <w:style w:type="paragraph" w:styleId="51">
    <w:name w:val="Body Text Indent 3"/>
    <w:basedOn w:val="1"/>
    <w:link w:val="131"/>
    <w:qFormat/>
    <w:uiPriority w:val="0"/>
    <w:pPr>
      <w:spacing w:after="120"/>
      <w:ind w:left="420" w:leftChars="200"/>
    </w:pPr>
    <w:rPr>
      <w:sz w:val="16"/>
      <w:szCs w:val="16"/>
    </w:rPr>
  </w:style>
  <w:style w:type="paragraph" w:styleId="52">
    <w:name w:val="toc 2"/>
    <w:basedOn w:val="1"/>
    <w:next w:val="1"/>
    <w:qFormat/>
    <w:uiPriority w:val="39"/>
    <w:pPr>
      <w:widowControl w:val="0"/>
      <w:adjustRightInd/>
      <w:snapToGrid/>
      <w:spacing w:after="0"/>
      <w:ind w:left="210"/>
    </w:pPr>
    <w:rPr>
      <w:rFonts w:ascii="Times New Roman" w:hAnsi="Times New Roman" w:eastAsia="宋体" w:cs="Times New Roman"/>
      <w:smallCaps/>
      <w:kern w:val="2"/>
      <w:sz w:val="20"/>
      <w:szCs w:val="20"/>
    </w:rPr>
  </w:style>
  <w:style w:type="paragraph" w:styleId="53">
    <w:name w:val="toc 9"/>
    <w:basedOn w:val="1"/>
    <w:next w:val="1"/>
    <w:qFormat/>
    <w:uiPriority w:val="39"/>
    <w:pPr>
      <w:widowControl w:val="0"/>
      <w:adjustRightInd/>
      <w:snapToGrid/>
      <w:spacing w:after="0"/>
      <w:ind w:left="3360" w:leftChars="1600"/>
      <w:jc w:val="both"/>
    </w:pPr>
    <w:rPr>
      <w:rFonts w:ascii="Calibri" w:hAnsi="Calibri" w:eastAsia="宋体"/>
      <w:kern w:val="2"/>
      <w:sz w:val="21"/>
    </w:rPr>
  </w:style>
  <w:style w:type="paragraph" w:styleId="54">
    <w:name w:val="Body Text 2"/>
    <w:basedOn w:val="1"/>
    <w:link w:val="250"/>
    <w:qFormat/>
    <w:uiPriority w:val="0"/>
    <w:pPr>
      <w:widowControl w:val="0"/>
      <w:adjustRightInd/>
      <w:snapToGrid/>
      <w:spacing w:after="120" w:line="480" w:lineRule="auto"/>
      <w:jc w:val="both"/>
    </w:pPr>
    <w:rPr>
      <w:rFonts w:ascii="Times New Roman" w:hAnsi="Times New Roman" w:eastAsia="宋体" w:cs="Times New Roman"/>
      <w:sz w:val="20"/>
      <w:szCs w:val="20"/>
    </w:rPr>
  </w:style>
  <w:style w:type="paragraph" w:styleId="55">
    <w:name w:val="List 4"/>
    <w:basedOn w:val="1"/>
    <w:qFormat/>
    <w:uiPriority w:val="0"/>
    <w:pPr>
      <w:widowControl w:val="0"/>
      <w:tabs>
        <w:tab w:val="left" w:pos="420"/>
      </w:tabs>
      <w:adjustRightInd/>
      <w:snapToGrid/>
      <w:spacing w:after="0" w:line="420" w:lineRule="exact"/>
      <w:ind w:left="100" w:leftChars="600" w:hanging="200" w:hangingChars="200"/>
      <w:jc w:val="both"/>
    </w:pPr>
    <w:rPr>
      <w:rFonts w:ascii="Times New Roman" w:hAnsi="Times New Roman" w:eastAsia="宋体" w:cs="Times New Roman"/>
      <w:kern w:val="2"/>
      <w:sz w:val="24"/>
      <w:szCs w:val="24"/>
    </w:rPr>
  </w:style>
  <w:style w:type="paragraph" w:styleId="56">
    <w:name w:val="List Continue 2"/>
    <w:basedOn w:val="1"/>
    <w:qFormat/>
    <w:uiPriority w:val="0"/>
    <w:pPr>
      <w:widowControl w:val="0"/>
      <w:adjustRightInd/>
      <w:snapToGrid/>
      <w:spacing w:after="120"/>
      <w:ind w:left="840" w:leftChars="400"/>
      <w:jc w:val="both"/>
    </w:pPr>
    <w:rPr>
      <w:rFonts w:ascii="Times New Roman" w:hAnsi="Times New Roman" w:eastAsia="宋体" w:cs="Times New Roman"/>
      <w:kern w:val="2"/>
      <w:sz w:val="21"/>
      <w:szCs w:val="24"/>
    </w:rPr>
  </w:style>
  <w:style w:type="paragraph" w:styleId="57">
    <w:name w:val="HTML Preformatted"/>
    <w:basedOn w:val="1"/>
    <w:link w:val="203"/>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after="0"/>
    </w:pPr>
    <w:rPr>
      <w:rFonts w:ascii="宋体" w:hAnsi="宋体" w:eastAsia="宋体"/>
      <w:sz w:val="24"/>
      <w:szCs w:val="24"/>
    </w:rPr>
  </w:style>
  <w:style w:type="paragraph" w:styleId="58">
    <w:name w:val="Normal (Web)"/>
    <w:basedOn w:val="1"/>
    <w:link w:val="109"/>
    <w:qFormat/>
    <w:uiPriority w:val="0"/>
    <w:pPr>
      <w:adjustRightInd/>
      <w:snapToGrid/>
      <w:spacing w:before="100" w:beforeAutospacing="1" w:after="100" w:afterAutospacing="1"/>
    </w:pPr>
    <w:rPr>
      <w:rFonts w:ascii="宋体" w:hAnsi="宋体" w:eastAsia="宋体"/>
      <w:sz w:val="24"/>
      <w:szCs w:val="24"/>
    </w:rPr>
  </w:style>
  <w:style w:type="paragraph" w:styleId="59">
    <w:name w:val="index 1"/>
    <w:basedOn w:val="1"/>
    <w:next w:val="1"/>
    <w:qFormat/>
    <w:uiPriority w:val="0"/>
    <w:pPr>
      <w:widowControl w:val="0"/>
      <w:adjustRightInd/>
      <w:snapToGrid/>
      <w:spacing w:after="0"/>
      <w:jc w:val="both"/>
    </w:pPr>
    <w:rPr>
      <w:rFonts w:ascii="Times New Roman" w:hAnsi="Times New Roman" w:eastAsia="宋体" w:cs="Times New Roman"/>
      <w:kern w:val="2"/>
      <w:sz w:val="21"/>
      <w:szCs w:val="24"/>
    </w:rPr>
  </w:style>
  <w:style w:type="paragraph" w:styleId="60">
    <w:name w:val="Title"/>
    <w:basedOn w:val="1"/>
    <w:next w:val="1"/>
    <w:link w:val="128"/>
    <w:qFormat/>
    <w:uiPriority w:val="0"/>
    <w:pPr>
      <w:widowControl w:val="0"/>
      <w:adjustRightInd/>
      <w:snapToGrid/>
      <w:spacing w:before="240" w:after="60"/>
      <w:jc w:val="center"/>
      <w:outlineLvl w:val="0"/>
    </w:pPr>
    <w:rPr>
      <w:rFonts w:ascii="Cambria" w:hAnsi="Cambria" w:eastAsia="宋体" w:cs="Cambria"/>
      <w:b/>
      <w:bCs/>
      <w:kern w:val="2"/>
      <w:sz w:val="32"/>
      <w:szCs w:val="32"/>
    </w:rPr>
  </w:style>
  <w:style w:type="paragraph" w:styleId="61">
    <w:name w:val="annotation subject"/>
    <w:basedOn w:val="21"/>
    <w:next w:val="21"/>
    <w:link w:val="227"/>
    <w:qFormat/>
    <w:uiPriority w:val="0"/>
    <w:pPr>
      <w:widowControl w:val="0"/>
      <w:adjustRightInd/>
      <w:snapToGrid/>
      <w:spacing w:after="0"/>
    </w:pPr>
    <w:rPr>
      <w:rFonts w:ascii="Times New Roman" w:hAnsi="Times New Roman" w:eastAsia="宋体" w:cs="Times New Roman"/>
      <w:b/>
      <w:bCs/>
      <w:sz w:val="20"/>
      <w:szCs w:val="24"/>
    </w:rPr>
  </w:style>
  <w:style w:type="table" w:styleId="63">
    <w:name w:val="Table Grid"/>
    <w:basedOn w:val="6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basedOn w:val="64"/>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rPr>
      <w:rFonts w:hint="default" w:ascii="Times New Roman" w:hAnsi="Times New Roman" w:cs="Times New Roman"/>
    </w:rPr>
  </w:style>
  <w:style w:type="character" w:styleId="68">
    <w:name w:val="FollowedHyperlink"/>
    <w:basedOn w:val="64"/>
    <w:qFormat/>
    <w:uiPriority w:val="0"/>
    <w:rPr>
      <w:color w:val="337AB7"/>
      <w:u w:val="single"/>
    </w:rPr>
  </w:style>
  <w:style w:type="character" w:styleId="69">
    <w:name w:val="Emphasis"/>
    <w:qFormat/>
    <w:uiPriority w:val="0"/>
    <w:rPr>
      <w:i/>
      <w:iCs/>
    </w:rPr>
  </w:style>
  <w:style w:type="character" w:styleId="70">
    <w:name w:val="HTML Definition"/>
    <w:basedOn w:val="64"/>
    <w:qFormat/>
    <w:uiPriority w:val="99"/>
    <w:rPr>
      <w:i/>
    </w:rPr>
  </w:style>
  <w:style w:type="character" w:styleId="71">
    <w:name w:val="Hyperlink"/>
    <w:basedOn w:val="64"/>
    <w:qFormat/>
    <w:uiPriority w:val="99"/>
    <w:rPr>
      <w:rFonts w:hint="eastAsia" w:ascii="宋体" w:hAnsi="宋体" w:eastAsia="宋体" w:cs="宋体"/>
      <w:color w:val="0033CC"/>
      <w:sz w:val="18"/>
      <w:szCs w:val="18"/>
      <w:u w:val="none"/>
    </w:rPr>
  </w:style>
  <w:style w:type="character" w:styleId="72">
    <w:name w:val="HTML Code"/>
    <w:basedOn w:val="64"/>
    <w:qFormat/>
    <w:uiPriority w:val="99"/>
    <w:rPr>
      <w:rFonts w:ascii="Consolas" w:hAnsi="Consolas" w:eastAsia="Consolas" w:cs="Consolas"/>
      <w:color w:val="C7254E"/>
      <w:sz w:val="21"/>
      <w:szCs w:val="21"/>
      <w:shd w:val="clear" w:color="auto" w:fill="F9F2F4"/>
    </w:rPr>
  </w:style>
  <w:style w:type="character" w:styleId="73">
    <w:name w:val="annotation reference"/>
    <w:qFormat/>
    <w:uiPriority w:val="0"/>
    <w:rPr>
      <w:sz w:val="21"/>
      <w:szCs w:val="21"/>
    </w:rPr>
  </w:style>
  <w:style w:type="character" w:styleId="74">
    <w:name w:val="footnote reference"/>
    <w:qFormat/>
    <w:uiPriority w:val="0"/>
    <w:rPr>
      <w:vertAlign w:val="superscript"/>
    </w:rPr>
  </w:style>
  <w:style w:type="character" w:styleId="75">
    <w:name w:val="HTML Keyboard"/>
    <w:basedOn w:val="64"/>
    <w:qFormat/>
    <w:uiPriority w:val="99"/>
    <w:rPr>
      <w:rFonts w:hint="default" w:ascii="Consolas" w:hAnsi="Consolas" w:eastAsia="Consolas" w:cs="Consolas"/>
      <w:color w:val="FFFFFF"/>
      <w:sz w:val="21"/>
      <w:szCs w:val="21"/>
      <w:shd w:val="clear" w:color="auto" w:fill="333333"/>
    </w:rPr>
  </w:style>
  <w:style w:type="character" w:styleId="76">
    <w:name w:val="HTML Sample"/>
    <w:basedOn w:val="64"/>
    <w:qFormat/>
    <w:uiPriority w:val="99"/>
    <w:rPr>
      <w:rFonts w:hint="default" w:ascii="Consolas" w:hAnsi="Consolas" w:eastAsia="Consolas" w:cs="Consolas"/>
      <w:sz w:val="21"/>
      <w:szCs w:val="21"/>
    </w:rPr>
  </w:style>
  <w:style w:type="paragraph" w:customStyle="1" w:styleId="77">
    <w:name w:val="table of figures1"/>
    <w:basedOn w:val="78"/>
    <w:next w:val="78"/>
    <w:qFormat/>
    <w:uiPriority w:val="0"/>
    <w:pPr>
      <w:spacing w:before="100" w:beforeAutospacing="1" w:after="100" w:afterAutospacing="1"/>
      <w:ind w:left="200" w:leftChars="200" w:hanging="200" w:hangingChars="200"/>
    </w:pPr>
    <w:rPr>
      <w:rFonts w:ascii="Times New Roman" w:hAnsi="Times New Roman"/>
    </w:rPr>
  </w:style>
  <w:style w:type="paragraph" w:customStyle="1" w:styleId="78">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next w:val="77"/>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79">
    <w:name w:val="正文内容"/>
    <w:basedOn w:val="1"/>
    <w:qFormat/>
    <w:uiPriority w:val="0"/>
    <w:pPr>
      <w:ind w:firstLine="200" w:firstLineChars="200"/>
    </w:pPr>
    <w:rPr>
      <w:rFonts w:eastAsia="仿宋_GB2312"/>
      <w:sz w:val="24"/>
    </w:rPr>
  </w:style>
  <w:style w:type="paragraph" w:customStyle="1" w:styleId="80">
    <w:name w:val="正文（标准）"/>
    <w:basedOn w:val="1"/>
    <w:next w:val="1"/>
    <w:semiHidden/>
    <w:qFormat/>
    <w:uiPriority w:val="0"/>
    <w:pPr>
      <w:spacing w:line="560" w:lineRule="exact"/>
      <w:ind w:firstLine="525" w:firstLineChars="200"/>
    </w:pPr>
    <w:rPr>
      <w:rFonts w:ascii="宋体" w:hAnsi="宋体" w:eastAsia="仿宋_GB2312" w:cs="宋体"/>
      <w:sz w:val="28"/>
      <w:szCs w:val="28"/>
    </w:rPr>
  </w:style>
  <w:style w:type="character" w:customStyle="1" w:styleId="81">
    <w:name w:val="标题 1 Char"/>
    <w:basedOn w:val="64"/>
    <w:link w:val="2"/>
    <w:qFormat/>
    <w:uiPriority w:val="1"/>
    <w:rPr>
      <w:rFonts w:ascii="Times New Roman" w:hAnsi="Times New Roman" w:eastAsia="宋体" w:cs="Times New Roman"/>
      <w:b/>
      <w:bCs/>
      <w:kern w:val="44"/>
      <w:sz w:val="32"/>
      <w:szCs w:val="44"/>
    </w:rPr>
  </w:style>
  <w:style w:type="character" w:customStyle="1" w:styleId="82">
    <w:name w:val="标题 2 Char"/>
    <w:basedOn w:val="64"/>
    <w:link w:val="3"/>
    <w:qFormat/>
    <w:uiPriority w:val="0"/>
    <w:rPr>
      <w:rFonts w:ascii="Arial" w:hAnsi="Arial" w:eastAsia="黑体" w:cs="Times New Roman"/>
      <w:b/>
      <w:bCs/>
      <w:kern w:val="2"/>
      <w:sz w:val="32"/>
      <w:szCs w:val="32"/>
    </w:rPr>
  </w:style>
  <w:style w:type="character" w:customStyle="1" w:styleId="83">
    <w:name w:val="标题 3 Char"/>
    <w:basedOn w:val="64"/>
    <w:link w:val="4"/>
    <w:qFormat/>
    <w:uiPriority w:val="0"/>
    <w:rPr>
      <w:rFonts w:ascii="Times New Roman" w:hAnsi="Times New Roman" w:eastAsia="宋体" w:cs="Times New Roman"/>
      <w:b/>
      <w:bCs/>
      <w:kern w:val="2"/>
      <w:sz w:val="24"/>
      <w:szCs w:val="32"/>
    </w:rPr>
  </w:style>
  <w:style w:type="character" w:customStyle="1" w:styleId="84">
    <w:name w:val="标题 4 Char"/>
    <w:basedOn w:val="64"/>
    <w:link w:val="5"/>
    <w:qFormat/>
    <w:uiPriority w:val="0"/>
    <w:rPr>
      <w:rFonts w:ascii="Arial" w:hAnsi="Arial" w:eastAsia="宋体" w:cs="Times New Roman"/>
      <w:b/>
      <w:bCs/>
      <w:kern w:val="2"/>
      <w:sz w:val="21"/>
      <w:szCs w:val="28"/>
    </w:rPr>
  </w:style>
  <w:style w:type="character" w:customStyle="1" w:styleId="85">
    <w:name w:val="标题 5 Char"/>
    <w:basedOn w:val="64"/>
    <w:link w:val="6"/>
    <w:qFormat/>
    <w:uiPriority w:val="0"/>
    <w:rPr>
      <w:rFonts w:ascii="Times New Roman" w:hAnsi="Times New Roman" w:eastAsia="宋体" w:cs="Times New Roman"/>
      <w:b/>
      <w:bCs/>
      <w:kern w:val="2"/>
      <w:sz w:val="28"/>
      <w:szCs w:val="28"/>
    </w:rPr>
  </w:style>
  <w:style w:type="character" w:customStyle="1" w:styleId="86">
    <w:name w:val="页眉 Char"/>
    <w:basedOn w:val="64"/>
    <w:link w:val="43"/>
    <w:qFormat/>
    <w:uiPriority w:val="99"/>
    <w:rPr>
      <w:rFonts w:ascii="Tahoma" w:hAnsi="Tahoma"/>
      <w:sz w:val="18"/>
      <w:szCs w:val="18"/>
    </w:rPr>
  </w:style>
  <w:style w:type="character" w:customStyle="1" w:styleId="87">
    <w:name w:val="页脚 Char"/>
    <w:basedOn w:val="64"/>
    <w:link w:val="41"/>
    <w:qFormat/>
    <w:uiPriority w:val="99"/>
    <w:rPr>
      <w:rFonts w:ascii="Tahoma" w:hAnsi="Tahoma"/>
      <w:sz w:val="18"/>
      <w:szCs w:val="18"/>
    </w:rPr>
  </w:style>
  <w:style w:type="character" w:customStyle="1" w:styleId="88">
    <w:name w:val="black1"/>
    <w:basedOn w:val="64"/>
    <w:qFormat/>
    <w:uiPriority w:val="0"/>
    <w:rPr>
      <w:rFonts w:hint="eastAsia" w:ascii="宋体" w:hAnsi="宋体" w:eastAsia="宋体" w:cs="宋体"/>
      <w:color w:val="333333"/>
      <w:sz w:val="18"/>
      <w:szCs w:val="18"/>
      <w:u w:val="none"/>
    </w:rPr>
  </w:style>
  <w:style w:type="character" w:customStyle="1" w:styleId="89">
    <w:name w:val="正文文本缩进 Char1 Char"/>
    <w:basedOn w:val="64"/>
    <w:qFormat/>
    <w:uiPriority w:val="0"/>
    <w:rPr>
      <w:rFonts w:eastAsia="宋体"/>
      <w:kern w:val="2"/>
      <w:sz w:val="28"/>
      <w:szCs w:val="24"/>
      <w:lang w:val="en-US" w:eastAsia="zh-CN" w:bidi="ar-SA"/>
    </w:rPr>
  </w:style>
  <w:style w:type="character" w:customStyle="1" w:styleId="90">
    <w:name w:val="无间隔 Char"/>
    <w:basedOn w:val="64"/>
    <w:link w:val="91"/>
    <w:qFormat/>
    <w:uiPriority w:val="0"/>
    <w:rPr>
      <w:rFonts w:ascii="Calibri" w:hAnsi="Calibri"/>
    </w:rPr>
  </w:style>
  <w:style w:type="paragraph" w:customStyle="1" w:styleId="91">
    <w:name w:val="无间隔1"/>
    <w:next w:val="1"/>
    <w:link w:val="90"/>
    <w:qFormat/>
    <w:uiPriority w:val="0"/>
    <w:rPr>
      <w:rFonts w:ascii="Calibri" w:hAnsi="Calibri" w:eastAsia="微软雅黑" w:cs="宋体"/>
      <w:sz w:val="22"/>
      <w:szCs w:val="22"/>
      <w:lang w:val="en-US" w:eastAsia="zh-CN" w:bidi="ar-SA"/>
    </w:rPr>
  </w:style>
  <w:style w:type="character" w:customStyle="1" w:styleId="92">
    <w:name w:val="批注框文本 Char"/>
    <w:basedOn w:val="64"/>
    <w:link w:val="40"/>
    <w:qFormat/>
    <w:uiPriority w:val="0"/>
    <w:rPr>
      <w:rFonts w:ascii="Times New Roman" w:hAnsi="Times New Roman" w:eastAsia="宋体" w:cs="Times New Roman"/>
      <w:kern w:val="2"/>
      <w:sz w:val="18"/>
      <w:szCs w:val="18"/>
    </w:rPr>
  </w:style>
  <w:style w:type="character" w:customStyle="1" w:styleId="93">
    <w:name w:val="日期 Char"/>
    <w:basedOn w:val="64"/>
    <w:link w:val="37"/>
    <w:qFormat/>
    <w:uiPriority w:val="0"/>
    <w:rPr>
      <w:rFonts w:ascii="Times New Roman" w:hAnsi="Times New Roman" w:eastAsia="宋体" w:cs="Times New Roman"/>
      <w:kern w:val="2"/>
      <w:sz w:val="21"/>
      <w:szCs w:val="24"/>
    </w:rPr>
  </w:style>
  <w:style w:type="character" w:customStyle="1" w:styleId="94">
    <w:name w:val="正文文本 Char"/>
    <w:basedOn w:val="64"/>
    <w:link w:val="14"/>
    <w:qFormat/>
    <w:uiPriority w:val="0"/>
    <w:rPr>
      <w:rFonts w:ascii="Times New Roman" w:hAnsi="Times New Roman" w:eastAsia="宋体" w:cs="Times New Roman"/>
      <w:kern w:val="2"/>
      <w:sz w:val="21"/>
      <w:szCs w:val="24"/>
    </w:rPr>
  </w:style>
  <w:style w:type="character" w:customStyle="1" w:styleId="95">
    <w:name w:val="正文文本缩进 Char"/>
    <w:basedOn w:val="64"/>
    <w:link w:val="24"/>
    <w:qFormat/>
    <w:uiPriority w:val="0"/>
    <w:rPr>
      <w:rFonts w:ascii="Times New Roman" w:hAnsi="Times New Roman" w:eastAsia="宋体" w:cs="Times New Roman"/>
      <w:kern w:val="2"/>
      <w:sz w:val="21"/>
      <w:szCs w:val="24"/>
    </w:rPr>
  </w:style>
  <w:style w:type="character" w:customStyle="1" w:styleId="96">
    <w:name w:val="正文文本 3 Char"/>
    <w:basedOn w:val="64"/>
    <w:link w:val="22"/>
    <w:qFormat/>
    <w:uiPriority w:val="0"/>
    <w:rPr>
      <w:rFonts w:ascii="Times New Roman" w:hAnsi="Times New Roman" w:eastAsia="宋体" w:cs="Times New Roman"/>
      <w:kern w:val="2"/>
      <w:sz w:val="16"/>
      <w:szCs w:val="16"/>
    </w:rPr>
  </w:style>
  <w:style w:type="paragraph" w:customStyle="1" w:styleId="97">
    <w:name w:val="Char Char Char Char"/>
    <w:basedOn w:val="1"/>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98">
    <w:name w:val="Char"/>
    <w:basedOn w:val="1"/>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99">
    <w:name w:val="Char Char Char"/>
    <w:basedOn w:val="1"/>
    <w:qFormat/>
    <w:uiPriority w:val="0"/>
    <w:pPr>
      <w:widowControl w:val="0"/>
      <w:adjustRightInd/>
      <w:snapToGrid/>
      <w:spacing w:after="0"/>
      <w:jc w:val="both"/>
    </w:pPr>
    <w:rPr>
      <w:rFonts w:eastAsia="宋体" w:cs="Times New Roman"/>
      <w:kern w:val="2"/>
      <w:sz w:val="24"/>
      <w:szCs w:val="20"/>
    </w:rPr>
  </w:style>
  <w:style w:type="paragraph" w:customStyle="1" w:styleId="10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01">
    <w:name w:val="Char1"/>
    <w:basedOn w:val="1"/>
    <w:qFormat/>
    <w:uiPriority w:val="0"/>
    <w:pPr>
      <w:widowControl w:val="0"/>
      <w:adjustRightInd/>
      <w:snapToGrid/>
      <w:spacing w:after="0"/>
      <w:jc w:val="both"/>
    </w:pPr>
    <w:rPr>
      <w:rFonts w:eastAsia="宋体" w:cs="Times New Roman"/>
      <w:kern w:val="2"/>
      <w:sz w:val="24"/>
      <w:szCs w:val="20"/>
    </w:rPr>
  </w:style>
  <w:style w:type="paragraph" w:customStyle="1" w:styleId="102">
    <w:name w:val="标题 2 + 黑体"/>
    <w:basedOn w:val="1"/>
    <w:qFormat/>
    <w:uiPriority w:val="0"/>
    <w:pPr>
      <w:widowControl w:val="0"/>
      <w:adjustRightInd/>
      <w:snapToGrid/>
      <w:spacing w:afterLines="50" w:line="460" w:lineRule="exact"/>
      <w:jc w:val="both"/>
    </w:pPr>
    <w:rPr>
      <w:rFonts w:ascii="黑体" w:hAnsi="宋体" w:eastAsia="黑体" w:cs="Times New Roman"/>
      <w:kern w:val="2"/>
      <w:sz w:val="36"/>
      <w:szCs w:val="32"/>
    </w:rPr>
  </w:style>
  <w:style w:type="paragraph" w:customStyle="1" w:styleId="103">
    <w:name w:val="样式 标题 3 + (中文) 黑体 小四 非加粗 段前: 7.8 磅 段后: 0 磅 行距: 固定值 20 磅"/>
    <w:basedOn w:val="4"/>
    <w:qFormat/>
    <w:uiPriority w:val="0"/>
    <w:pPr>
      <w:spacing w:line="400" w:lineRule="exact"/>
    </w:pPr>
    <w:rPr>
      <w:rFonts w:eastAsia="黑体" w:cs="宋体"/>
      <w:b w:val="0"/>
      <w:bCs w:val="0"/>
      <w:szCs w:val="20"/>
    </w:rPr>
  </w:style>
  <w:style w:type="paragraph" w:customStyle="1" w:styleId="104">
    <w:name w:val="Char Char Char1"/>
    <w:basedOn w:val="1"/>
    <w:qFormat/>
    <w:uiPriority w:val="0"/>
    <w:pPr>
      <w:widowControl w:val="0"/>
      <w:adjustRightInd/>
      <w:snapToGrid/>
      <w:spacing w:after="0"/>
      <w:jc w:val="both"/>
    </w:pPr>
    <w:rPr>
      <w:rFonts w:eastAsia="宋体" w:cs="Times New Roman"/>
      <w:kern w:val="2"/>
      <w:sz w:val="24"/>
      <w:szCs w:val="20"/>
    </w:rPr>
  </w:style>
  <w:style w:type="character" w:customStyle="1" w:styleId="105">
    <w:name w:val="正文缩进 Char"/>
    <w:link w:val="17"/>
    <w:qFormat/>
    <w:uiPriority w:val="0"/>
    <w:rPr>
      <w:rFonts w:ascii="Times New Roman" w:hAnsi="Times New Roman" w:eastAsia="宋体" w:cs="Times New Roman"/>
      <w:sz w:val="20"/>
      <w:szCs w:val="20"/>
    </w:rPr>
  </w:style>
  <w:style w:type="paragraph" w:customStyle="1" w:styleId="106">
    <w:name w:val="TOC 标题1"/>
    <w:basedOn w:val="2"/>
    <w:next w:val="1"/>
    <w:qFormat/>
    <w:uiPriority w:val="39"/>
    <w:pPr>
      <w:widowControl/>
      <w:spacing w:before="480" w:line="276" w:lineRule="auto"/>
      <w:jc w:val="left"/>
      <w:outlineLvl w:val="9"/>
    </w:pPr>
    <w:rPr>
      <w:rFonts w:ascii="Cambria" w:hAnsi="Cambria" w:cs="宋体"/>
      <w:color w:val="376092"/>
      <w:kern w:val="0"/>
      <w:sz w:val="28"/>
      <w:szCs w:val="28"/>
    </w:rPr>
  </w:style>
  <w:style w:type="character" w:customStyle="1" w:styleId="107">
    <w:name w:val="apple-converted-space"/>
    <w:basedOn w:val="64"/>
    <w:qFormat/>
    <w:uiPriority w:val="0"/>
  </w:style>
  <w:style w:type="paragraph" w:customStyle="1" w:styleId="108">
    <w:name w:val="列出段落1"/>
    <w:basedOn w:val="1"/>
    <w:qFormat/>
    <w:uiPriority w:val="34"/>
    <w:pPr>
      <w:ind w:firstLine="420" w:firstLineChars="200"/>
    </w:pPr>
  </w:style>
  <w:style w:type="character" w:customStyle="1" w:styleId="109">
    <w:name w:val="普通(网站) Char"/>
    <w:link w:val="58"/>
    <w:qFormat/>
    <w:uiPriority w:val="0"/>
    <w:rPr>
      <w:rFonts w:ascii="宋体" w:hAnsi="宋体" w:eastAsia="宋体" w:cs="宋体"/>
      <w:sz w:val="24"/>
      <w:szCs w:val="24"/>
    </w:rPr>
  </w:style>
  <w:style w:type="character" w:customStyle="1" w:styleId="110">
    <w:name w:val="文档结构图 Char"/>
    <w:basedOn w:val="64"/>
    <w:link w:val="20"/>
    <w:qFormat/>
    <w:uiPriority w:val="0"/>
    <w:rPr>
      <w:rFonts w:ascii="宋体" w:hAnsi="Tahoma" w:eastAsia="宋体"/>
      <w:sz w:val="18"/>
      <w:szCs w:val="18"/>
    </w:rPr>
  </w:style>
  <w:style w:type="paragraph" w:customStyle="1" w:styleId="111">
    <w:name w:val="TOC 标题2"/>
    <w:basedOn w:val="2"/>
    <w:next w:val="1"/>
    <w:qFormat/>
    <w:uiPriority w:val="39"/>
    <w:pPr>
      <w:widowControl/>
      <w:spacing w:before="480" w:line="276" w:lineRule="auto"/>
      <w:jc w:val="left"/>
      <w:outlineLvl w:val="9"/>
    </w:pPr>
    <w:rPr>
      <w:rFonts w:ascii="Cambria" w:hAnsi="Cambria" w:cs="宋体"/>
      <w:color w:val="376092"/>
      <w:kern w:val="0"/>
      <w:sz w:val="28"/>
      <w:szCs w:val="28"/>
    </w:rPr>
  </w:style>
  <w:style w:type="paragraph" w:customStyle="1" w:styleId="112">
    <w:name w:val="列出段落2"/>
    <w:basedOn w:val="1"/>
    <w:qFormat/>
    <w:uiPriority w:val="34"/>
    <w:pPr>
      <w:widowControl w:val="0"/>
      <w:autoSpaceDE w:val="0"/>
      <w:autoSpaceDN w:val="0"/>
      <w:adjustRightInd/>
      <w:snapToGrid/>
      <w:spacing w:after="0"/>
      <w:ind w:left="761" w:hanging="424"/>
    </w:pPr>
    <w:rPr>
      <w:rFonts w:ascii="宋体" w:hAnsi="宋体" w:eastAsia="宋体"/>
      <w:lang w:val="zh-CN" w:bidi="zh-CN"/>
    </w:rPr>
  </w:style>
  <w:style w:type="table" w:customStyle="1" w:styleId="113">
    <w:name w:val="Table Normal"/>
    <w:qFormat/>
    <w:uiPriority w:val="2"/>
    <w:tblPr>
      <w:tblCellMar>
        <w:top w:w="0" w:type="dxa"/>
        <w:left w:w="0" w:type="dxa"/>
        <w:bottom w:w="0" w:type="dxa"/>
        <w:right w:w="0" w:type="dxa"/>
      </w:tblCellMar>
    </w:tblPr>
  </w:style>
  <w:style w:type="paragraph" w:customStyle="1" w:styleId="114">
    <w:name w:val="Table Paragraph"/>
    <w:basedOn w:val="1"/>
    <w:qFormat/>
    <w:uiPriority w:val="1"/>
    <w:pPr>
      <w:widowControl w:val="0"/>
      <w:autoSpaceDE w:val="0"/>
      <w:autoSpaceDN w:val="0"/>
      <w:adjustRightInd/>
      <w:snapToGrid/>
      <w:spacing w:after="0"/>
    </w:pPr>
    <w:rPr>
      <w:rFonts w:ascii="宋体" w:hAnsi="宋体" w:eastAsia="宋体"/>
      <w:lang w:val="zh-CN" w:bidi="zh-CN"/>
    </w:rPr>
  </w:style>
  <w:style w:type="character" w:customStyle="1" w:styleId="115">
    <w:name w:val="hour_pm"/>
    <w:basedOn w:val="64"/>
    <w:qFormat/>
    <w:uiPriority w:val="0"/>
  </w:style>
  <w:style w:type="character" w:customStyle="1" w:styleId="116">
    <w:name w:val="old"/>
    <w:basedOn w:val="64"/>
    <w:qFormat/>
    <w:uiPriority w:val="0"/>
    <w:rPr>
      <w:color w:val="999999"/>
    </w:rPr>
  </w:style>
  <w:style w:type="character" w:customStyle="1" w:styleId="117">
    <w:name w:val="hover1"/>
    <w:basedOn w:val="64"/>
    <w:qFormat/>
    <w:uiPriority w:val="0"/>
    <w:rPr>
      <w:shd w:val="clear" w:color="auto" w:fill="EEEEEE"/>
    </w:rPr>
  </w:style>
  <w:style w:type="character" w:customStyle="1" w:styleId="118">
    <w:name w:val="glyphicon6"/>
    <w:basedOn w:val="64"/>
    <w:qFormat/>
    <w:uiPriority w:val="0"/>
  </w:style>
  <w:style w:type="character" w:customStyle="1" w:styleId="119">
    <w:name w:val="hour_am"/>
    <w:basedOn w:val="64"/>
    <w:qFormat/>
    <w:uiPriority w:val="0"/>
  </w:style>
  <w:style w:type="character" w:customStyle="1" w:styleId="120">
    <w:name w:val="indent"/>
    <w:basedOn w:val="64"/>
    <w:qFormat/>
    <w:uiPriority w:val="0"/>
  </w:style>
  <w:style w:type="character" w:customStyle="1" w:styleId="121">
    <w:name w:val="icon"/>
    <w:basedOn w:val="64"/>
    <w:qFormat/>
    <w:uiPriority w:val="0"/>
  </w:style>
  <w:style w:type="paragraph" w:customStyle="1" w:styleId="122">
    <w:name w:val="_Style 79"/>
    <w:basedOn w:val="1"/>
    <w:next w:val="1"/>
    <w:qFormat/>
    <w:uiPriority w:val="0"/>
    <w:pPr>
      <w:pBdr>
        <w:bottom w:val="single" w:color="auto" w:sz="6" w:space="1"/>
      </w:pBdr>
      <w:jc w:val="center"/>
    </w:pPr>
    <w:rPr>
      <w:rFonts w:ascii="Arial" w:eastAsia="宋体"/>
      <w:vanish/>
      <w:sz w:val="16"/>
    </w:rPr>
  </w:style>
  <w:style w:type="paragraph" w:customStyle="1" w:styleId="123">
    <w:name w:val="_Style 80"/>
    <w:basedOn w:val="1"/>
    <w:next w:val="1"/>
    <w:qFormat/>
    <w:uiPriority w:val="0"/>
    <w:pPr>
      <w:pBdr>
        <w:top w:val="single" w:color="auto" w:sz="6" w:space="1"/>
      </w:pBdr>
      <w:jc w:val="center"/>
    </w:pPr>
    <w:rPr>
      <w:rFonts w:ascii="Arial" w:eastAsia="宋体"/>
      <w:vanish/>
      <w:sz w:val="16"/>
    </w:rPr>
  </w:style>
  <w:style w:type="character" w:customStyle="1" w:styleId="124">
    <w:name w:val="glyphicon"/>
    <w:basedOn w:val="64"/>
    <w:qFormat/>
    <w:uiPriority w:val="0"/>
  </w:style>
  <w:style w:type="character" w:customStyle="1" w:styleId="125">
    <w:name w:val="hover"/>
    <w:basedOn w:val="64"/>
    <w:qFormat/>
    <w:uiPriority w:val="0"/>
    <w:rPr>
      <w:shd w:val="clear" w:color="auto" w:fill="EEEEEE"/>
    </w:rPr>
  </w:style>
  <w:style w:type="paragraph" w:customStyle="1" w:styleId="126">
    <w:name w:val="_Style 1"/>
    <w:basedOn w:val="1"/>
    <w:next w:val="1"/>
    <w:qFormat/>
    <w:uiPriority w:val="0"/>
    <w:pPr>
      <w:pBdr>
        <w:bottom w:val="single" w:color="auto" w:sz="6" w:space="1"/>
      </w:pBdr>
      <w:jc w:val="center"/>
    </w:pPr>
    <w:rPr>
      <w:rFonts w:ascii="Arial" w:eastAsia="宋体"/>
      <w:vanish/>
      <w:sz w:val="16"/>
    </w:rPr>
  </w:style>
  <w:style w:type="character" w:customStyle="1" w:styleId="127">
    <w:name w:val="标题 Char"/>
    <w:basedOn w:val="64"/>
    <w:qFormat/>
    <w:uiPriority w:val="0"/>
    <w:rPr>
      <w:rFonts w:ascii="Cambria" w:hAnsi="Cambria" w:cs="宋体"/>
      <w:b/>
      <w:bCs/>
      <w:sz w:val="32"/>
      <w:szCs w:val="32"/>
    </w:rPr>
  </w:style>
  <w:style w:type="character" w:customStyle="1" w:styleId="128">
    <w:name w:val="标题 Char1"/>
    <w:basedOn w:val="64"/>
    <w:link w:val="60"/>
    <w:qFormat/>
    <w:uiPriority w:val="0"/>
    <w:rPr>
      <w:rFonts w:ascii="Cambria" w:hAnsi="Cambria" w:cs="Cambria"/>
      <w:b/>
      <w:bCs/>
      <w:kern w:val="2"/>
      <w:sz w:val="32"/>
      <w:szCs w:val="32"/>
    </w:rPr>
  </w:style>
  <w:style w:type="character" w:customStyle="1" w:styleId="129">
    <w:name w:val="font31"/>
    <w:basedOn w:val="64"/>
    <w:qFormat/>
    <w:uiPriority w:val="0"/>
    <w:rPr>
      <w:rFonts w:hint="eastAsia" w:ascii="宋体" w:hAnsi="宋体" w:eastAsia="宋体" w:cs="宋体"/>
      <w:color w:val="000000"/>
      <w:sz w:val="18"/>
      <w:szCs w:val="18"/>
      <w:u w:val="none"/>
    </w:rPr>
  </w:style>
  <w:style w:type="character" w:customStyle="1" w:styleId="130">
    <w:name w:val="font41"/>
    <w:qFormat/>
    <w:uiPriority w:val="0"/>
    <w:rPr>
      <w:rFonts w:hint="eastAsia" w:ascii="宋体" w:hAnsi="宋体" w:eastAsia="宋体" w:cs="宋体"/>
      <w:b/>
      <w:color w:val="000000"/>
      <w:sz w:val="18"/>
      <w:szCs w:val="18"/>
      <w:u w:val="none"/>
    </w:rPr>
  </w:style>
  <w:style w:type="character" w:customStyle="1" w:styleId="131">
    <w:name w:val="正文文本缩进 3 Char"/>
    <w:basedOn w:val="64"/>
    <w:link w:val="51"/>
    <w:qFormat/>
    <w:uiPriority w:val="0"/>
    <w:rPr>
      <w:rFonts w:ascii="Tahoma" w:hAnsi="Tahoma" w:eastAsia="微软雅黑" w:cs="宋体"/>
      <w:sz w:val="16"/>
      <w:szCs w:val="16"/>
    </w:rPr>
  </w:style>
  <w:style w:type="character" w:customStyle="1" w:styleId="132">
    <w:name w:val="纯文本 Char"/>
    <w:link w:val="33"/>
    <w:qFormat/>
    <w:uiPriority w:val="0"/>
    <w:rPr>
      <w:rFonts w:ascii="宋体" w:hAnsi="Courier New"/>
      <w:kern w:val="2"/>
      <w:sz w:val="21"/>
    </w:rPr>
  </w:style>
  <w:style w:type="character" w:customStyle="1" w:styleId="133">
    <w:name w:val="纯文本 Char1"/>
    <w:basedOn w:val="64"/>
    <w:qFormat/>
    <w:uiPriority w:val="0"/>
    <w:rPr>
      <w:rFonts w:ascii="宋体" w:hAnsi="Courier New" w:cs="Courier New"/>
      <w:sz w:val="21"/>
      <w:szCs w:val="21"/>
    </w:rPr>
  </w:style>
  <w:style w:type="paragraph" w:customStyle="1" w:styleId="134">
    <w:name w:val="Body text|21"/>
    <w:basedOn w:val="1"/>
    <w:link w:val="135"/>
    <w:qFormat/>
    <w:uiPriority w:val="0"/>
    <w:pPr>
      <w:widowControl w:val="0"/>
      <w:shd w:val="clear" w:color="auto" w:fill="FFFFFF"/>
      <w:snapToGrid/>
      <w:spacing w:after="1000" w:line="300" w:lineRule="exact"/>
      <w:jc w:val="center"/>
      <w:textAlignment w:val="baseline"/>
    </w:pPr>
    <w:rPr>
      <w:rFonts w:ascii="PMingLiU" w:hAnsi="PMingLiU" w:eastAsia="PMingLiU" w:cs="PMingLiU"/>
      <w:spacing w:val="30"/>
      <w:sz w:val="30"/>
      <w:szCs w:val="30"/>
    </w:rPr>
  </w:style>
  <w:style w:type="character" w:customStyle="1" w:styleId="135">
    <w:name w:val="Body text|2_"/>
    <w:basedOn w:val="64"/>
    <w:link w:val="134"/>
    <w:qFormat/>
    <w:uiPriority w:val="0"/>
    <w:rPr>
      <w:rFonts w:ascii="PMingLiU" w:hAnsi="PMingLiU" w:eastAsia="PMingLiU" w:cs="PMingLiU"/>
      <w:spacing w:val="30"/>
      <w:sz w:val="30"/>
      <w:szCs w:val="30"/>
      <w:shd w:val="clear" w:color="auto" w:fill="FFFFFF"/>
    </w:rPr>
  </w:style>
  <w:style w:type="character" w:customStyle="1" w:styleId="136">
    <w:name w:val="标题 6 Char"/>
    <w:basedOn w:val="64"/>
    <w:link w:val="7"/>
    <w:qFormat/>
    <w:uiPriority w:val="0"/>
    <w:rPr>
      <w:rFonts w:ascii="Cambria" w:hAnsi="Cambria"/>
      <w:b/>
      <w:bCs/>
      <w:kern w:val="2"/>
      <w:sz w:val="24"/>
      <w:szCs w:val="24"/>
    </w:rPr>
  </w:style>
  <w:style w:type="character" w:customStyle="1" w:styleId="137">
    <w:name w:val="标题 7 Char"/>
    <w:basedOn w:val="64"/>
    <w:link w:val="8"/>
    <w:qFormat/>
    <w:uiPriority w:val="0"/>
    <w:rPr>
      <w:rFonts w:ascii="Calibri" w:hAnsi="Calibri"/>
      <w:b/>
      <w:bCs/>
      <w:kern w:val="2"/>
      <w:sz w:val="24"/>
      <w:szCs w:val="24"/>
    </w:rPr>
  </w:style>
  <w:style w:type="character" w:customStyle="1" w:styleId="138">
    <w:name w:val="标题 8 Char"/>
    <w:basedOn w:val="64"/>
    <w:link w:val="9"/>
    <w:qFormat/>
    <w:uiPriority w:val="0"/>
    <w:rPr>
      <w:rFonts w:ascii="Cambria" w:hAnsi="Cambria"/>
      <w:kern w:val="2"/>
      <w:sz w:val="24"/>
      <w:szCs w:val="24"/>
    </w:rPr>
  </w:style>
  <w:style w:type="character" w:customStyle="1" w:styleId="139">
    <w:name w:val="标题 9 Char"/>
    <w:basedOn w:val="64"/>
    <w:link w:val="10"/>
    <w:qFormat/>
    <w:uiPriority w:val="0"/>
    <w:rPr>
      <w:rFonts w:ascii="Cambria" w:hAnsi="Cambria"/>
      <w:kern w:val="2"/>
      <w:sz w:val="21"/>
      <w:szCs w:val="21"/>
    </w:rPr>
  </w:style>
  <w:style w:type="character" w:customStyle="1" w:styleId="140">
    <w:name w:val="正文文本缩进 Char1"/>
    <w:basedOn w:val="64"/>
    <w:qFormat/>
    <w:uiPriority w:val="99"/>
  </w:style>
  <w:style w:type="character" w:customStyle="1" w:styleId="141">
    <w:name w:val="书籍标题1"/>
    <w:qFormat/>
    <w:uiPriority w:val="0"/>
    <w:rPr>
      <w:b/>
      <w:bCs/>
      <w:smallCaps/>
      <w:spacing w:val="5"/>
    </w:rPr>
  </w:style>
  <w:style w:type="character" w:customStyle="1" w:styleId="142">
    <w:name w:val="H29 Char"/>
    <w:qFormat/>
    <w:uiPriority w:val="0"/>
    <w:rPr>
      <w:rFonts w:ascii="宋体" w:hAnsi="宋体" w:eastAsia="宋体"/>
      <w:b/>
      <w:kern w:val="2"/>
      <w:sz w:val="28"/>
      <w:szCs w:val="28"/>
      <w:lang w:val="en-US" w:eastAsia="zh-CN" w:bidi="ar-SA"/>
    </w:rPr>
  </w:style>
  <w:style w:type="character" w:customStyle="1" w:styleId="143">
    <w:name w:val="正文文本缩进 2 Char1"/>
    <w:basedOn w:val="64"/>
    <w:qFormat/>
    <w:uiPriority w:val="99"/>
  </w:style>
  <w:style w:type="character" w:customStyle="1" w:styleId="144">
    <w:name w:val="Í· Char"/>
    <w:qFormat/>
    <w:uiPriority w:val="0"/>
    <w:rPr>
      <w:rFonts w:ascii="宋体" w:hAnsi="宋体" w:eastAsia="宋体"/>
      <w:b/>
      <w:kern w:val="2"/>
      <w:sz w:val="24"/>
      <w:szCs w:val="24"/>
      <w:lang w:val="en-US" w:eastAsia="zh-CN" w:bidi="ar-SA"/>
    </w:rPr>
  </w:style>
  <w:style w:type="character" w:customStyle="1" w:styleId="145">
    <w:name w:val="Char Char5"/>
    <w:qFormat/>
    <w:uiPriority w:val="0"/>
    <w:rPr>
      <w:rFonts w:ascii="宋体" w:hAnsi="宋体" w:eastAsia="宋体"/>
      <w:kern w:val="2"/>
      <w:sz w:val="28"/>
      <w:szCs w:val="24"/>
      <w:lang w:val="en-US" w:eastAsia="zh-CN" w:bidi="ar-SA"/>
    </w:rPr>
  </w:style>
  <w:style w:type="character" w:customStyle="1" w:styleId="146">
    <w:name w:val="Char Char9"/>
    <w:qFormat/>
    <w:uiPriority w:val="0"/>
    <w:rPr>
      <w:rFonts w:eastAsia="宋体"/>
      <w:color w:val="000000"/>
      <w:sz w:val="21"/>
      <w:u w:color="000000"/>
      <w:lang w:val="en-US" w:eastAsia="zh-CN" w:bidi="ar-SA"/>
    </w:rPr>
  </w:style>
  <w:style w:type="character" w:customStyle="1" w:styleId="147">
    <w:name w:val="标题 3 Char Char Char"/>
    <w:qFormat/>
    <w:uiPriority w:val="0"/>
    <w:rPr>
      <w:rFonts w:ascii="宋体" w:hAnsi="宋体" w:eastAsia="宋体"/>
      <w:b/>
      <w:kern w:val="2"/>
      <w:sz w:val="24"/>
      <w:szCs w:val="24"/>
      <w:lang w:val="en-US" w:eastAsia="zh-CN" w:bidi="ar-SA"/>
    </w:rPr>
  </w:style>
  <w:style w:type="character" w:customStyle="1" w:styleId="148">
    <w:name w:val="正文文本缩进 3 Char1"/>
    <w:qFormat/>
    <w:uiPriority w:val="99"/>
    <w:rPr>
      <w:sz w:val="16"/>
      <w:szCs w:val="16"/>
    </w:rPr>
  </w:style>
  <w:style w:type="character" w:customStyle="1" w:styleId="149">
    <w:name w:val="Blockquote Char"/>
    <w:link w:val="150"/>
    <w:qFormat/>
    <w:uiPriority w:val="0"/>
    <w:rPr>
      <w:sz w:val="24"/>
    </w:rPr>
  </w:style>
  <w:style w:type="paragraph" w:customStyle="1" w:styleId="150">
    <w:name w:val="Blockquote"/>
    <w:basedOn w:val="1"/>
    <w:link w:val="149"/>
    <w:qFormat/>
    <w:uiPriority w:val="0"/>
    <w:pPr>
      <w:widowControl w:val="0"/>
      <w:autoSpaceDE w:val="0"/>
      <w:autoSpaceDN w:val="0"/>
      <w:snapToGrid/>
      <w:spacing w:before="100" w:after="100"/>
      <w:ind w:left="360" w:right="360"/>
    </w:pPr>
    <w:rPr>
      <w:rFonts w:ascii="Times New Roman" w:hAnsi="Times New Roman" w:eastAsia="宋体" w:cs="Times New Roman"/>
      <w:sz w:val="24"/>
      <w:szCs w:val="20"/>
    </w:rPr>
  </w:style>
  <w:style w:type="character" w:customStyle="1" w:styleId="151">
    <w:name w:val="+正文 Char Char3 Char Char Char Char Char Char Char Char"/>
    <w:link w:val="152"/>
    <w:qFormat/>
    <w:uiPriority w:val="0"/>
    <w:rPr>
      <w:sz w:val="24"/>
      <w:szCs w:val="24"/>
    </w:rPr>
  </w:style>
  <w:style w:type="paragraph" w:customStyle="1" w:styleId="152">
    <w:name w:val="+正文 Char Char3 Char Char Char Char Char Char"/>
    <w:basedOn w:val="1"/>
    <w:link w:val="151"/>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53">
    <w:name w:val="+正文 Char Char Char Char Char Char Char Char Char"/>
    <w:link w:val="154"/>
    <w:qFormat/>
    <w:uiPriority w:val="0"/>
    <w:rPr>
      <w:sz w:val="24"/>
      <w:szCs w:val="28"/>
    </w:rPr>
  </w:style>
  <w:style w:type="paragraph" w:customStyle="1" w:styleId="154">
    <w:name w:val="+正文 Char Char Char Char Char Char Char"/>
    <w:basedOn w:val="1"/>
    <w:link w:val="153"/>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8"/>
    </w:rPr>
  </w:style>
  <w:style w:type="character" w:customStyle="1" w:styleId="155">
    <w:name w:val="正文文本 3 Char1"/>
    <w:qFormat/>
    <w:uiPriority w:val="99"/>
    <w:rPr>
      <w:sz w:val="16"/>
      <w:szCs w:val="16"/>
    </w:rPr>
  </w:style>
  <w:style w:type="character" w:customStyle="1" w:styleId="156">
    <w:name w:val="四1"/>
    <w:qFormat/>
    <w:uiPriority w:val="0"/>
    <w:rPr>
      <w:rFonts w:eastAsia="宋体"/>
      <w:b/>
      <w:kern w:val="2"/>
      <w:sz w:val="24"/>
      <w:szCs w:val="24"/>
      <w:lang w:val="en-US" w:eastAsia="zh-CN" w:bidi="ar-SA"/>
    </w:rPr>
  </w:style>
  <w:style w:type="character" w:customStyle="1" w:styleId="157">
    <w:name w:val="Í Char"/>
    <w:qFormat/>
    <w:uiPriority w:val="0"/>
    <w:rPr>
      <w:rFonts w:ascii="宋体" w:hAnsi="宋体"/>
      <w:b/>
      <w:kern w:val="2"/>
      <w:sz w:val="24"/>
      <w:szCs w:val="24"/>
    </w:rPr>
  </w:style>
  <w:style w:type="character" w:customStyle="1" w:styleId="158">
    <w:name w:val="+列表编号 Char Char"/>
    <w:qFormat/>
    <w:uiPriority w:val="0"/>
    <w:rPr>
      <w:rFonts w:eastAsia="宋体"/>
      <w:b/>
      <w:kern w:val="2"/>
      <w:sz w:val="24"/>
      <w:szCs w:val="28"/>
      <w:lang w:val="en-US" w:eastAsia="zh-CN" w:bidi="ar-SA"/>
    </w:rPr>
  </w:style>
  <w:style w:type="character" w:customStyle="1" w:styleId="159">
    <w:name w:val="+正文 Char Char2 Char Char Char Char Char Char Char Char"/>
    <w:link w:val="160"/>
    <w:qFormat/>
    <w:uiPriority w:val="0"/>
    <w:rPr>
      <w:sz w:val="24"/>
      <w:szCs w:val="28"/>
    </w:rPr>
  </w:style>
  <w:style w:type="paragraph" w:customStyle="1" w:styleId="160">
    <w:name w:val="+正文 Char Char2 Char Char Char Char Char Char"/>
    <w:basedOn w:val="1"/>
    <w:link w:val="159"/>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8"/>
    </w:rPr>
  </w:style>
  <w:style w:type="character" w:customStyle="1" w:styleId="161">
    <w:name w:val="文档结构图 Char2"/>
    <w:qFormat/>
    <w:uiPriority w:val="99"/>
    <w:rPr>
      <w:rFonts w:ascii="宋体" w:eastAsia="宋体"/>
      <w:sz w:val="18"/>
      <w:szCs w:val="18"/>
    </w:rPr>
  </w:style>
  <w:style w:type="character" w:customStyle="1" w:styleId="162">
    <w:name w:val="+正文 Char Char Char4"/>
    <w:qFormat/>
    <w:uiPriority w:val="0"/>
    <w:rPr>
      <w:rFonts w:eastAsia="宋体"/>
      <w:kern w:val="2"/>
      <w:sz w:val="24"/>
      <w:szCs w:val="24"/>
      <w:lang w:val="en-US" w:eastAsia="zh-CN" w:bidi="ar-SA"/>
    </w:rPr>
  </w:style>
  <w:style w:type="character" w:customStyle="1" w:styleId="163">
    <w:name w:val="H210 Char"/>
    <w:qFormat/>
    <w:uiPriority w:val="0"/>
    <w:rPr>
      <w:rFonts w:ascii="宋体" w:hAnsi="宋体" w:eastAsia="宋体"/>
      <w:b/>
      <w:kern w:val="2"/>
      <w:sz w:val="28"/>
      <w:szCs w:val="28"/>
      <w:lang w:val="en-US" w:eastAsia="zh-CN" w:bidi="ar-SA"/>
    </w:rPr>
  </w:style>
  <w:style w:type="character" w:customStyle="1" w:styleId="164">
    <w:name w:val="标题5 Char Char"/>
    <w:link w:val="165"/>
    <w:qFormat/>
    <w:uiPriority w:val="0"/>
    <w:rPr>
      <w:rFonts w:ascii="Arial" w:hAnsi="Arial"/>
      <w:b/>
      <w:bCs/>
      <w:sz w:val="24"/>
      <w:szCs w:val="32"/>
    </w:rPr>
  </w:style>
  <w:style w:type="paragraph" w:customStyle="1" w:styleId="165">
    <w:name w:val="标题5"/>
    <w:basedOn w:val="4"/>
    <w:link w:val="164"/>
    <w:qFormat/>
    <w:uiPriority w:val="0"/>
    <w:pPr>
      <w:spacing w:before="260" w:after="260" w:line="413" w:lineRule="auto"/>
    </w:pPr>
    <w:rPr>
      <w:rFonts w:ascii="Arial" w:hAnsi="Arial"/>
      <w:kern w:val="0"/>
    </w:rPr>
  </w:style>
  <w:style w:type="character" w:customStyle="1" w:styleId="166">
    <w:name w:val="正文文本缩进 2 Char"/>
    <w:link w:val="38"/>
    <w:qFormat/>
    <w:uiPriority w:val="0"/>
    <w:rPr>
      <w:szCs w:val="24"/>
    </w:rPr>
  </w:style>
  <w:style w:type="character" w:customStyle="1" w:styleId="167">
    <w:name w:val="Ü5 + Nr1"/>
    <w:qFormat/>
    <w:uiPriority w:val="0"/>
    <w:rPr>
      <w:rFonts w:eastAsia="宋体"/>
      <w:b/>
      <w:bCs/>
      <w:kern w:val="2"/>
      <w:sz w:val="28"/>
      <w:szCs w:val="28"/>
      <w:lang w:val="en-US" w:eastAsia="zh-CN" w:bidi="ar-SA"/>
    </w:rPr>
  </w:style>
  <w:style w:type="character" w:customStyle="1" w:styleId="168">
    <w:name w:val="+正文 Char Char1 Char Char Char Char Char Char Char"/>
    <w:link w:val="169"/>
    <w:qFormat/>
    <w:uiPriority w:val="0"/>
    <w:rPr>
      <w:sz w:val="24"/>
      <w:szCs w:val="24"/>
    </w:rPr>
  </w:style>
  <w:style w:type="paragraph" w:customStyle="1" w:styleId="169">
    <w:name w:val="+正文 Char Char1 Char Char Char Char Char"/>
    <w:basedOn w:val="1"/>
    <w:link w:val="168"/>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70">
    <w:name w:val="Char Char20"/>
    <w:qFormat/>
    <w:uiPriority w:val="0"/>
    <w:rPr>
      <w:rFonts w:ascii="宋体" w:hAnsi="宋体" w:eastAsia="宋体"/>
      <w:b/>
      <w:kern w:val="2"/>
      <w:sz w:val="28"/>
      <w:szCs w:val="28"/>
      <w:lang w:val="en-US" w:eastAsia="zh-CN" w:bidi="ar-SA"/>
    </w:rPr>
  </w:style>
  <w:style w:type="character" w:customStyle="1" w:styleId="171">
    <w:name w:val="引用 Char1"/>
    <w:qFormat/>
    <w:uiPriority w:val="29"/>
    <w:rPr>
      <w:i/>
      <w:iCs/>
      <w:color w:val="000000"/>
    </w:rPr>
  </w:style>
  <w:style w:type="character" w:customStyle="1" w:styleId="172">
    <w:name w:val="不明显强调1"/>
    <w:qFormat/>
    <w:uiPriority w:val="0"/>
    <w:rPr>
      <w:i/>
      <w:iCs/>
      <w:color w:val="808080"/>
    </w:rPr>
  </w:style>
  <w:style w:type="character" w:customStyle="1" w:styleId="173">
    <w:name w:val="样式 样式 宋体 四号 + Times New Roman 小三 加粗"/>
    <w:qFormat/>
    <w:uiPriority w:val="0"/>
    <w:rPr>
      <w:rFonts w:ascii="Times New Roman" w:hAnsi="Times New Roman" w:eastAsia="黑体"/>
      <w:bCs/>
      <w:spacing w:val="2"/>
      <w:sz w:val="28"/>
      <w:szCs w:val="28"/>
    </w:rPr>
  </w:style>
  <w:style w:type="character" w:customStyle="1" w:styleId="174">
    <w:name w:val="标准正文 Char Char Char Char Char Char Char Char Char"/>
    <w:link w:val="175"/>
    <w:qFormat/>
    <w:uiPriority w:val="0"/>
    <w:rPr>
      <w:rFonts w:cs="宋体"/>
      <w:sz w:val="24"/>
      <w:szCs w:val="24"/>
    </w:rPr>
  </w:style>
  <w:style w:type="paragraph" w:customStyle="1" w:styleId="175">
    <w:name w:val="标准正文 Char Char Char Char Char Char Char"/>
    <w:basedOn w:val="1"/>
    <w:link w:val="174"/>
    <w:qFormat/>
    <w:uiPriority w:val="0"/>
    <w:pPr>
      <w:widowControl w:val="0"/>
      <w:adjustRightInd/>
      <w:snapToGrid/>
      <w:spacing w:after="0" w:line="360" w:lineRule="auto"/>
      <w:ind w:left="840" w:leftChars="400" w:firstLine="480" w:firstLineChars="200"/>
      <w:jc w:val="both"/>
    </w:pPr>
    <w:rPr>
      <w:rFonts w:ascii="Times New Roman" w:hAnsi="Times New Roman" w:eastAsia="宋体"/>
      <w:sz w:val="24"/>
      <w:szCs w:val="24"/>
    </w:rPr>
  </w:style>
  <w:style w:type="character" w:customStyle="1" w:styleId="176">
    <w:name w:val="正文文本 2 Char1"/>
    <w:basedOn w:val="64"/>
    <w:qFormat/>
    <w:uiPriority w:val="99"/>
  </w:style>
  <w:style w:type="character" w:customStyle="1" w:styleId="177">
    <w:name w:val="Char Char6"/>
    <w:qFormat/>
    <w:uiPriority w:val="0"/>
    <w:rPr>
      <w:rFonts w:eastAsia="宋体"/>
      <w:b/>
      <w:bCs/>
      <w:kern w:val="2"/>
      <w:sz w:val="24"/>
      <w:szCs w:val="32"/>
      <w:lang w:val="en-US" w:eastAsia="zh-CN" w:bidi="ar-SA"/>
    </w:rPr>
  </w:style>
  <w:style w:type="character" w:customStyle="1" w:styleId="178">
    <w:name w:val="+正文 Char4"/>
    <w:qFormat/>
    <w:uiPriority w:val="0"/>
    <w:rPr>
      <w:rFonts w:eastAsia="宋体"/>
      <w:kern w:val="2"/>
      <w:sz w:val="24"/>
      <w:szCs w:val="28"/>
      <w:lang w:val="en-US" w:eastAsia="zh-CN" w:bidi="ar-SA"/>
    </w:rPr>
  </w:style>
  <w:style w:type="character" w:customStyle="1" w:styleId="179">
    <w:name w:val="H210 Char1"/>
    <w:qFormat/>
    <w:uiPriority w:val="0"/>
    <w:rPr>
      <w:rFonts w:ascii="宋体" w:hAnsi="宋体" w:eastAsia="宋体"/>
      <w:b/>
      <w:kern w:val="2"/>
      <w:sz w:val="28"/>
      <w:szCs w:val="28"/>
      <w:lang w:val="en-US" w:eastAsia="zh-CN" w:bidi="ar-SA"/>
    </w:rPr>
  </w:style>
  <w:style w:type="character" w:customStyle="1" w:styleId="180">
    <w:name w:val="Char Char18"/>
    <w:qFormat/>
    <w:uiPriority w:val="0"/>
    <w:rPr>
      <w:b/>
      <w:bCs/>
      <w:kern w:val="44"/>
      <w:sz w:val="44"/>
      <w:szCs w:val="44"/>
    </w:rPr>
  </w:style>
  <w:style w:type="character" w:customStyle="1" w:styleId="181">
    <w:name w:val="明显引用 Char1"/>
    <w:qFormat/>
    <w:uiPriority w:val="30"/>
    <w:rPr>
      <w:b/>
      <w:bCs/>
      <w:i/>
      <w:iCs/>
      <w:color w:val="4F81BD"/>
    </w:rPr>
  </w:style>
  <w:style w:type="character" w:customStyle="1" w:styleId="182">
    <w:name w:val="标题4 Char Char"/>
    <w:link w:val="183"/>
    <w:qFormat/>
    <w:uiPriority w:val="0"/>
    <w:rPr>
      <w:rFonts w:ascii="Arial" w:hAnsi="Arial"/>
      <w:b/>
      <w:bCs/>
      <w:sz w:val="24"/>
      <w:szCs w:val="32"/>
    </w:rPr>
  </w:style>
  <w:style w:type="paragraph" w:customStyle="1" w:styleId="183">
    <w:name w:val="标题4"/>
    <w:basedOn w:val="3"/>
    <w:next w:val="30"/>
    <w:link w:val="182"/>
    <w:qFormat/>
    <w:uiPriority w:val="0"/>
    <w:rPr>
      <w:rFonts w:eastAsia="宋体"/>
      <w:kern w:val="0"/>
      <w:sz w:val="24"/>
    </w:rPr>
  </w:style>
  <w:style w:type="character" w:customStyle="1" w:styleId="184">
    <w:name w:val="副标题 Char1"/>
    <w:qFormat/>
    <w:uiPriority w:val="11"/>
    <w:rPr>
      <w:rFonts w:ascii="Cambria" w:hAnsi="Cambria" w:eastAsia="宋体" w:cs="Times New Roman"/>
      <w:b/>
      <w:bCs/>
      <w:kern w:val="28"/>
      <w:sz w:val="32"/>
      <w:szCs w:val="32"/>
    </w:rPr>
  </w:style>
  <w:style w:type="character" w:customStyle="1" w:styleId="185">
    <w:name w:val="+正文 Char Char Char Char Char Char"/>
    <w:qFormat/>
    <w:uiPriority w:val="0"/>
    <w:rPr>
      <w:rFonts w:ascii="楷体_GB2312" w:eastAsia="宋体"/>
      <w:kern w:val="2"/>
      <w:sz w:val="24"/>
      <w:szCs w:val="28"/>
      <w:lang w:val="en-US" w:eastAsia="zh-CN" w:bidi="ar-SA"/>
    </w:rPr>
  </w:style>
  <w:style w:type="character" w:customStyle="1" w:styleId="186">
    <w:name w:val="头1"/>
    <w:qFormat/>
    <w:uiPriority w:val="0"/>
    <w:rPr>
      <w:rFonts w:ascii="宋体" w:hAnsi="宋体" w:eastAsia="宋体"/>
      <w:b/>
      <w:kern w:val="2"/>
      <w:sz w:val="24"/>
      <w:szCs w:val="24"/>
      <w:lang w:val="en-US" w:eastAsia="zh-CN" w:bidi="ar-SA"/>
    </w:rPr>
  </w:style>
  <w:style w:type="character" w:customStyle="1" w:styleId="187">
    <w:name w:val="明显引用 Char"/>
    <w:link w:val="188"/>
    <w:qFormat/>
    <w:uiPriority w:val="0"/>
    <w:rPr>
      <w:b/>
      <w:bCs/>
      <w:i/>
      <w:iCs/>
      <w:color w:val="4F81BD"/>
    </w:rPr>
  </w:style>
  <w:style w:type="paragraph" w:customStyle="1" w:styleId="188">
    <w:name w:val="明显引用1"/>
    <w:basedOn w:val="1"/>
    <w:next w:val="1"/>
    <w:link w:val="187"/>
    <w:qFormat/>
    <w:uiPriority w:val="0"/>
    <w:pPr>
      <w:widowControl w:val="0"/>
      <w:pBdr>
        <w:bottom w:val="single" w:color="4F81BD" w:sz="4" w:space="4"/>
      </w:pBdr>
      <w:adjustRightInd/>
      <w:snapToGrid/>
      <w:spacing w:before="200" w:after="280"/>
      <w:ind w:left="936" w:right="936"/>
      <w:jc w:val="both"/>
    </w:pPr>
    <w:rPr>
      <w:rFonts w:ascii="Times New Roman" w:hAnsi="Times New Roman" w:eastAsia="宋体" w:cs="Times New Roman"/>
      <w:b/>
      <w:bCs/>
      <w:i/>
      <w:iCs/>
      <w:color w:val="4F81BD"/>
      <w:sz w:val="20"/>
      <w:szCs w:val="20"/>
    </w:rPr>
  </w:style>
  <w:style w:type="character" w:customStyle="1" w:styleId="189">
    <w:name w:val="m2"/>
    <w:qFormat/>
    <w:uiPriority w:val="0"/>
    <w:rPr>
      <w:rFonts w:hint="default" w:ascii="ˎ̥" w:hAnsi="ˎ̥"/>
      <w:sz w:val="21"/>
      <w:szCs w:val="21"/>
    </w:rPr>
  </w:style>
  <w:style w:type="character" w:customStyle="1" w:styleId="190">
    <w:name w:val="样式 样式 样式 标题 3 + 首行缩进:  2 字符 + 首行缩进:  2 字符 + 首行缩进:  2 字符 Char Char Char Char Char Char"/>
    <w:qFormat/>
    <w:uiPriority w:val="0"/>
    <w:rPr>
      <w:rFonts w:eastAsia="黑体" w:cs="宋体"/>
      <w:kern w:val="2"/>
      <w:sz w:val="24"/>
      <w:szCs w:val="24"/>
      <w:lang w:val="en-US" w:eastAsia="zh-CN" w:bidi="ar-SA"/>
    </w:rPr>
  </w:style>
  <w:style w:type="character" w:customStyle="1" w:styleId="191">
    <w:name w:val="标准正文 Char Char Char Char"/>
    <w:link w:val="192"/>
    <w:qFormat/>
    <w:uiPriority w:val="0"/>
    <w:rPr>
      <w:rFonts w:cs="宋体"/>
      <w:sz w:val="24"/>
      <w:szCs w:val="24"/>
    </w:rPr>
  </w:style>
  <w:style w:type="paragraph" w:customStyle="1" w:styleId="192">
    <w:name w:val="标准正文 Char"/>
    <w:basedOn w:val="1"/>
    <w:link w:val="191"/>
    <w:qFormat/>
    <w:uiPriority w:val="0"/>
    <w:pPr>
      <w:widowControl w:val="0"/>
      <w:adjustRightInd/>
      <w:snapToGrid/>
      <w:spacing w:after="0" w:line="360" w:lineRule="auto"/>
      <w:ind w:left="840" w:leftChars="400" w:firstLine="480" w:firstLineChars="200"/>
      <w:jc w:val="both"/>
    </w:pPr>
    <w:rPr>
      <w:rFonts w:ascii="Times New Roman" w:hAnsi="Times New Roman" w:eastAsia="宋体"/>
      <w:sz w:val="24"/>
      <w:szCs w:val="24"/>
    </w:rPr>
  </w:style>
  <w:style w:type="character" w:customStyle="1" w:styleId="193">
    <w:name w:val="+正文 Char Char5 Char Char Char Char Char Char"/>
    <w:link w:val="194"/>
    <w:qFormat/>
    <w:uiPriority w:val="0"/>
    <w:rPr>
      <w:sz w:val="24"/>
      <w:szCs w:val="24"/>
    </w:rPr>
  </w:style>
  <w:style w:type="paragraph" w:customStyle="1" w:styleId="194">
    <w:name w:val="+正文 Char Char5 Char Char Char Char"/>
    <w:basedOn w:val="1"/>
    <w:link w:val="193"/>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95">
    <w:name w:val="标题 6 Char Char Char"/>
    <w:qFormat/>
    <w:uiPriority w:val="0"/>
    <w:rPr>
      <w:rFonts w:ascii="Arial" w:hAnsi="Arial" w:eastAsia="宋体"/>
      <w:b/>
      <w:snapToGrid w:val="0"/>
      <w:sz w:val="26"/>
      <w:lang w:val="en-GB" w:eastAsia="zh-CN" w:bidi="ar-SA"/>
    </w:rPr>
  </w:style>
  <w:style w:type="character" w:customStyle="1" w:styleId="196">
    <w:name w:val="批注框文本 Char1"/>
    <w:qFormat/>
    <w:uiPriority w:val="0"/>
    <w:rPr>
      <w:kern w:val="2"/>
      <w:sz w:val="18"/>
      <w:szCs w:val="18"/>
    </w:rPr>
  </w:style>
  <w:style w:type="character" w:customStyle="1" w:styleId="197">
    <w:name w:val="textorange"/>
    <w:qFormat/>
    <w:uiPriority w:val="0"/>
    <w:rPr>
      <w:rFonts w:eastAsia="宋体"/>
      <w:kern w:val="2"/>
      <w:sz w:val="21"/>
      <w:szCs w:val="24"/>
      <w:lang w:val="en-US" w:eastAsia="zh-CN" w:bidi="ar-SA"/>
    </w:rPr>
  </w:style>
  <w:style w:type="character" w:customStyle="1" w:styleId="198">
    <w:name w:val="themebody1"/>
    <w:qFormat/>
    <w:uiPriority w:val="0"/>
    <w:rPr>
      <w:color w:val="FFFFFF"/>
    </w:rPr>
  </w:style>
  <w:style w:type="character" w:customStyle="1" w:styleId="199">
    <w:name w:val="脚注文本 Char"/>
    <w:link w:val="48"/>
    <w:qFormat/>
    <w:uiPriority w:val="0"/>
    <w:rPr>
      <w:kern w:val="2"/>
      <w:sz w:val="18"/>
      <w:szCs w:val="18"/>
    </w:rPr>
  </w:style>
  <w:style w:type="character" w:customStyle="1" w:styleId="200">
    <w:name w:val="批注文字 Char"/>
    <w:qFormat/>
    <w:uiPriority w:val="0"/>
    <w:rPr>
      <w:rFonts w:eastAsia="宋体"/>
      <w:color w:val="000000"/>
      <w:sz w:val="21"/>
      <w:u w:color="000000"/>
      <w:lang w:val="en-US" w:eastAsia="zh-CN" w:bidi="ar-SA"/>
    </w:rPr>
  </w:style>
  <w:style w:type="character" w:customStyle="1" w:styleId="201">
    <w:name w:val="批注文字 Char Char"/>
    <w:qFormat/>
    <w:uiPriority w:val="0"/>
    <w:rPr>
      <w:rFonts w:ascii="宋体" w:hAnsi="Times New Roman" w:eastAsia="宋体" w:cs="Times New Roman"/>
      <w:sz w:val="28"/>
      <w:szCs w:val="20"/>
    </w:rPr>
  </w:style>
  <w:style w:type="character" w:customStyle="1" w:styleId="202">
    <w:name w:val="标题 9 Char Char Char"/>
    <w:qFormat/>
    <w:uiPriority w:val="0"/>
    <w:rPr>
      <w:rFonts w:ascii="Arial" w:hAnsi="Arial" w:eastAsia="宋体"/>
      <w:b/>
      <w:sz w:val="22"/>
      <w:lang w:val="en-GB" w:eastAsia="zh-CN" w:bidi="ar-SA"/>
    </w:rPr>
  </w:style>
  <w:style w:type="character" w:customStyle="1" w:styleId="203">
    <w:name w:val="HTML 预设格式 Char"/>
    <w:link w:val="57"/>
    <w:qFormat/>
    <w:uiPriority w:val="0"/>
    <w:rPr>
      <w:rFonts w:ascii="宋体" w:hAnsi="宋体" w:cs="宋体"/>
      <w:sz w:val="24"/>
      <w:szCs w:val="24"/>
    </w:rPr>
  </w:style>
  <w:style w:type="character" w:customStyle="1" w:styleId="204">
    <w:name w:val="引用 Char"/>
    <w:link w:val="205"/>
    <w:qFormat/>
    <w:uiPriority w:val="0"/>
    <w:rPr>
      <w:i/>
      <w:iCs/>
      <w:color w:val="000000"/>
    </w:rPr>
  </w:style>
  <w:style w:type="paragraph" w:customStyle="1" w:styleId="205">
    <w:name w:val="引用1"/>
    <w:basedOn w:val="1"/>
    <w:next w:val="1"/>
    <w:link w:val="204"/>
    <w:qFormat/>
    <w:uiPriority w:val="0"/>
    <w:pPr>
      <w:widowControl w:val="0"/>
      <w:adjustRightInd/>
      <w:snapToGrid/>
      <w:spacing w:after="0"/>
      <w:jc w:val="both"/>
    </w:pPr>
    <w:rPr>
      <w:rFonts w:ascii="Times New Roman" w:hAnsi="Times New Roman" w:eastAsia="宋体" w:cs="Times New Roman"/>
      <w:i/>
      <w:iCs/>
      <w:color w:val="000000"/>
      <w:sz w:val="20"/>
      <w:szCs w:val="20"/>
    </w:rPr>
  </w:style>
  <w:style w:type="character" w:customStyle="1" w:styleId="206">
    <w:name w:val="副标题 Char"/>
    <w:link w:val="46"/>
    <w:qFormat/>
    <w:uiPriority w:val="0"/>
    <w:rPr>
      <w:rFonts w:ascii="Cambria" w:hAnsi="Cambria"/>
      <w:b/>
      <w:bCs/>
      <w:kern w:val="28"/>
      <w:sz w:val="32"/>
      <w:szCs w:val="32"/>
    </w:rPr>
  </w:style>
  <w:style w:type="character" w:customStyle="1" w:styleId="207">
    <w:name w:val="明显强调1"/>
    <w:qFormat/>
    <w:uiPriority w:val="0"/>
    <w:rPr>
      <w:b/>
      <w:bCs/>
      <w:i/>
      <w:iCs/>
      <w:color w:val="4F81BD"/>
    </w:rPr>
  </w:style>
  <w:style w:type="character" w:customStyle="1" w:styleId="208">
    <w:name w:val="正文文本 Char2"/>
    <w:basedOn w:val="64"/>
    <w:qFormat/>
    <w:uiPriority w:val="99"/>
  </w:style>
  <w:style w:type="character" w:customStyle="1" w:styleId="209">
    <w:name w:val="标题 7 Char Char Char"/>
    <w:qFormat/>
    <w:uiPriority w:val="0"/>
    <w:rPr>
      <w:rFonts w:ascii="Arial" w:hAnsi="Arial" w:eastAsia="宋体"/>
      <w:b/>
      <w:sz w:val="22"/>
      <w:lang w:val="en-GB" w:eastAsia="zh-CN" w:bidi="ar-SA"/>
    </w:rPr>
  </w:style>
  <w:style w:type="character" w:customStyle="1" w:styleId="210">
    <w:name w:val="Blockquote Char Char"/>
    <w:qFormat/>
    <w:uiPriority w:val="0"/>
    <w:rPr>
      <w:rFonts w:eastAsia="宋体"/>
      <w:sz w:val="24"/>
      <w:lang w:val="en-US" w:eastAsia="zh-CN" w:bidi="ar-SA"/>
    </w:rPr>
  </w:style>
  <w:style w:type="character" w:customStyle="1" w:styleId="211">
    <w:name w:val="Heading 1 Char_f306e33e-e0f1-4de0-bb8b-e2deed7dc861"/>
    <w:qFormat/>
    <w:uiPriority w:val="0"/>
    <w:rPr>
      <w:rFonts w:cs="Times New Roman"/>
      <w:b/>
      <w:bCs/>
      <w:kern w:val="44"/>
      <w:sz w:val="44"/>
      <w:szCs w:val="44"/>
    </w:rPr>
  </w:style>
  <w:style w:type="character" w:customStyle="1" w:styleId="212">
    <w:name w:val="正文文本 Char1"/>
    <w:qFormat/>
    <w:uiPriority w:val="0"/>
    <w:rPr>
      <w:kern w:val="2"/>
      <w:sz w:val="21"/>
      <w:szCs w:val="22"/>
    </w:rPr>
  </w:style>
  <w:style w:type="character" w:customStyle="1" w:styleId="213">
    <w:name w:val="Ü6 + Nr1"/>
    <w:qFormat/>
    <w:uiPriority w:val="0"/>
    <w:rPr>
      <w:rFonts w:ascii="Arial" w:hAnsi="Arial" w:eastAsia="宋体"/>
      <w:b/>
      <w:snapToGrid w:val="0"/>
      <w:kern w:val="2"/>
      <w:sz w:val="26"/>
      <w:szCs w:val="24"/>
      <w:lang w:val="en-GB" w:eastAsia="zh-CN" w:bidi="ar-SA"/>
    </w:rPr>
  </w:style>
  <w:style w:type="character" w:customStyle="1" w:styleId="214">
    <w:name w:val="heading 42 Char"/>
    <w:qFormat/>
    <w:uiPriority w:val="0"/>
    <w:rPr>
      <w:b/>
      <w:kern w:val="2"/>
      <w:sz w:val="24"/>
    </w:rPr>
  </w:style>
  <w:style w:type="character" w:customStyle="1" w:styleId="215">
    <w:name w:val="正文文本 Char Char Char"/>
    <w:qFormat/>
    <w:uiPriority w:val="0"/>
    <w:rPr>
      <w:rFonts w:eastAsia="宋体"/>
      <w:kern w:val="2"/>
      <w:sz w:val="21"/>
      <w:szCs w:val="24"/>
      <w:lang w:val="en-US" w:eastAsia="zh-CN" w:bidi="ar-SA"/>
    </w:rPr>
  </w:style>
  <w:style w:type="character" w:customStyle="1" w:styleId="216">
    <w:name w:val="标题 2 Char Char Char"/>
    <w:qFormat/>
    <w:uiPriority w:val="0"/>
    <w:rPr>
      <w:rFonts w:ascii="宋体" w:hAnsi="宋体" w:eastAsia="宋体"/>
      <w:b/>
      <w:kern w:val="2"/>
      <w:sz w:val="28"/>
      <w:szCs w:val="28"/>
      <w:lang w:val="en-US" w:eastAsia="zh-CN" w:bidi="ar-SA"/>
    </w:rPr>
  </w:style>
  <w:style w:type="character" w:customStyle="1" w:styleId="217">
    <w:name w:val="textcontents"/>
    <w:qFormat/>
    <w:uiPriority w:val="0"/>
    <w:rPr>
      <w:rFonts w:cs="Times New Roman"/>
    </w:rPr>
  </w:style>
  <w:style w:type="character" w:customStyle="1" w:styleId="218">
    <w:name w:val="Gerenal"/>
    <w:qFormat/>
    <w:uiPriority w:val="0"/>
    <w:rPr>
      <w:rFonts w:ascii="RomanD" w:hAnsi="RomanD" w:eastAsia="宋体"/>
      <w:b/>
      <w:i/>
      <w:sz w:val="24"/>
      <w:szCs w:val="24"/>
      <w:u w:val="none"/>
    </w:rPr>
  </w:style>
  <w:style w:type="character" w:customStyle="1" w:styleId="219">
    <w:name w:val="font161"/>
    <w:qFormat/>
    <w:uiPriority w:val="0"/>
    <w:rPr>
      <w:b/>
      <w:bCs/>
      <w:sz w:val="32"/>
      <w:szCs w:val="32"/>
    </w:rPr>
  </w:style>
  <w:style w:type="character" w:customStyle="1" w:styleId="220">
    <w:name w:val="+列表编号 Char1"/>
    <w:qFormat/>
    <w:uiPriority w:val="0"/>
    <w:rPr>
      <w:rFonts w:eastAsia="宋体"/>
      <w:b/>
      <w:kern w:val="2"/>
      <w:sz w:val="24"/>
      <w:szCs w:val="28"/>
      <w:lang w:val="en-US" w:eastAsia="zh-CN" w:bidi="ar-SA"/>
    </w:rPr>
  </w:style>
  <w:style w:type="character" w:customStyle="1" w:styleId="221">
    <w:name w:val="批注主题 Char1"/>
    <w:qFormat/>
    <w:uiPriority w:val="0"/>
    <w:rPr>
      <w:b/>
      <w:bCs/>
      <w:kern w:val="2"/>
      <w:sz w:val="21"/>
      <w:szCs w:val="22"/>
    </w:rPr>
  </w:style>
  <w:style w:type="character" w:customStyle="1" w:styleId="222">
    <w:name w:val="文档结构图 Char1"/>
    <w:qFormat/>
    <w:uiPriority w:val="0"/>
    <w:rPr>
      <w:rFonts w:ascii="宋体"/>
      <w:kern w:val="2"/>
      <w:sz w:val="18"/>
      <w:szCs w:val="18"/>
    </w:rPr>
  </w:style>
  <w:style w:type="character" w:customStyle="1" w:styleId="223">
    <w:name w:val="标题 1 Char1"/>
    <w:qFormat/>
    <w:uiPriority w:val="0"/>
    <w:rPr>
      <w:rFonts w:eastAsia="宋体"/>
      <w:b/>
      <w:bCs/>
      <w:kern w:val="44"/>
      <w:sz w:val="32"/>
      <w:szCs w:val="44"/>
      <w:lang w:val="en-US" w:eastAsia="zh-CN" w:bidi="ar-SA"/>
    </w:rPr>
  </w:style>
  <w:style w:type="character" w:customStyle="1" w:styleId="224">
    <w:name w:val="Char Char17"/>
    <w:qFormat/>
    <w:uiPriority w:val="0"/>
    <w:rPr>
      <w:rFonts w:ascii="Cambria" w:hAnsi="Cambria" w:eastAsia="宋体" w:cs="Times New Roman"/>
      <w:b/>
      <w:bCs/>
      <w:kern w:val="2"/>
      <w:sz w:val="32"/>
      <w:szCs w:val="32"/>
    </w:rPr>
  </w:style>
  <w:style w:type="character" w:customStyle="1" w:styleId="225">
    <w:name w:val="批注文字 Char1"/>
    <w:basedOn w:val="64"/>
    <w:qFormat/>
    <w:uiPriority w:val="99"/>
  </w:style>
  <w:style w:type="character" w:customStyle="1" w:styleId="226">
    <w:name w:val="text4"/>
    <w:qFormat/>
    <w:uiPriority w:val="0"/>
    <w:rPr>
      <w:rFonts w:eastAsia="宋体"/>
      <w:kern w:val="2"/>
      <w:sz w:val="21"/>
      <w:szCs w:val="24"/>
      <w:lang w:val="en-US" w:eastAsia="zh-CN" w:bidi="ar-SA"/>
    </w:rPr>
  </w:style>
  <w:style w:type="character" w:customStyle="1" w:styleId="227">
    <w:name w:val="批注主题 Char"/>
    <w:link w:val="61"/>
    <w:qFormat/>
    <w:uiPriority w:val="0"/>
    <w:rPr>
      <w:b/>
      <w:bCs/>
      <w:szCs w:val="24"/>
    </w:rPr>
  </w:style>
  <w:style w:type="character" w:customStyle="1" w:styleId="228">
    <w:name w:val="标题 8 Char Char Char"/>
    <w:qFormat/>
    <w:uiPriority w:val="0"/>
    <w:rPr>
      <w:rFonts w:ascii="Arial" w:hAnsi="Arial" w:eastAsia="宋体"/>
      <w:b/>
      <w:sz w:val="22"/>
      <w:lang w:val="en-GB" w:eastAsia="zh-CN" w:bidi="ar-SA"/>
    </w:rPr>
  </w:style>
  <w:style w:type="character" w:customStyle="1" w:styleId="229">
    <w:name w:val="+正文 Char Char7 Char Char Char Char"/>
    <w:link w:val="230"/>
    <w:qFormat/>
    <w:uiPriority w:val="0"/>
    <w:rPr>
      <w:sz w:val="24"/>
      <w:szCs w:val="24"/>
    </w:rPr>
  </w:style>
  <w:style w:type="paragraph" w:customStyle="1" w:styleId="230">
    <w:name w:val="+正文 Char Char7 Char"/>
    <w:basedOn w:val="1"/>
    <w:link w:val="229"/>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231">
    <w:name w:val="标题 4 Char Char Char"/>
    <w:qFormat/>
    <w:uiPriority w:val="0"/>
    <w:rPr>
      <w:rFonts w:eastAsia="宋体"/>
      <w:b/>
      <w:kern w:val="2"/>
      <w:sz w:val="24"/>
      <w:lang w:val="en-US" w:eastAsia="zh-CN" w:bidi="ar-SA"/>
    </w:rPr>
  </w:style>
  <w:style w:type="character" w:customStyle="1" w:styleId="232">
    <w:name w:val="样式 宋体 四号"/>
    <w:qFormat/>
    <w:uiPriority w:val="0"/>
    <w:rPr>
      <w:rFonts w:ascii="Times New Roman" w:hAnsi="Times New Roman" w:eastAsia="黑体"/>
      <w:spacing w:val="2"/>
      <w:sz w:val="28"/>
      <w:szCs w:val="28"/>
    </w:rPr>
  </w:style>
  <w:style w:type="character" w:customStyle="1" w:styleId="233">
    <w:name w:val="正文1 Char"/>
    <w:qFormat/>
    <w:uiPriority w:val="0"/>
    <w:rPr>
      <w:rFonts w:ascii="Arial" w:hAnsi="Arial"/>
      <w:b/>
      <w:snapToGrid w:val="0"/>
      <w:sz w:val="26"/>
      <w:lang w:val="en-GB"/>
    </w:rPr>
  </w:style>
  <w:style w:type="character" w:customStyle="1" w:styleId="234">
    <w:name w:val="样式 样式 标题 2 + 小二 Char + (中文) 黑体 非加粗"/>
    <w:qFormat/>
    <w:uiPriority w:val="0"/>
    <w:rPr>
      <w:rFonts w:eastAsia="黑体"/>
      <w:b/>
      <w:bCs/>
      <w:kern w:val="2"/>
      <w:sz w:val="28"/>
      <w:szCs w:val="32"/>
      <w:lang w:val="en-US" w:eastAsia="zh-CN" w:bidi="ar-SA"/>
    </w:rPr>
  </w:style>
  <w:style w:type="character" w:customStyle="1" w:styleId="235">
    <w:name w:val="批注框文本 Char Char Char"/>
    <w:qFormat/>
    <w:uiPriority w:val="0"/>
    <w:rPr>
      <w:rFonts w:ascii="宋体" w:hAnsi="Courier New" w:eastAsia="宋体" w:cs="Courier New"/>
      <w:kern w:val="2"/>
      <w:sz w:val="21"/>
      <w:szCs w:val="21"/>
      <w:lang w:val="en-US" w:eastAsia="zh-CN" w:bidi="ar-SA"/>
    </w:rPr>
  </w:style>
  <w:style w:type="character" w:customStyle="1" w:styleId="236">
    <w:name w:val="Char Char8"/>
    <w:qFormat/>
    <w:uiPriority w:val="0"/>
    <w:rPr>
      <w:rFonts w:eastAsia="宋体"/>
      <w:b/>
      <w:bCs/>
      <w:kern w:val="44"/>
      <w:sz w:val="32"/>
      <w:szCs w:val="44"/>
      <w:lang w:val="en-US" w:eastAsia="zh-CN" w:bidi="ar-SA"/>
    </w:rPr>
  </w:style>
  <w:style w:type="character" w:customStyle="1" w:styleId="237">
    <w:name w:val="日期 Char1"/>
    <w:qFormat/>
    <w:uiPriority w:val="0"/>
    <w:rPr>
      <w:kern w:val="2"/>
      <w:sz w:val="21"/>
      <w:szCs w:val="22"/>
    </w:rPr>
  </w:style>
  <w:style w:type="character" w:customStyle="1" w:styleId="238">
    <w:name w:val="表格内文字 Char1"/>
    <w:link w:val="239"/>
    <w:qFormat/>
    <w:uiPriority w:val="0"/>
    <w:rPr>
      <w:rFonts w:ascii="宋体" w:hAnsi="宋体"/>
      <w:snapToGrid w:val="0"/>
      <w:sz w:val="24"/>
      <w:szCs w:val="24"/>
    </w:rPr>
  </w:style>
  <w:style w:type="paragraph" w:customStyle="1" w:styleId="239">
    <w:name w:val="表格内文字"/>
    <w:basedOn w:val="1"/>
    <w:link w:val="238"/>
    <w:qFormat/>
    <w:uiPriority w:val="0"/>
    <w:pPr>
      <w:widowControl w:val="0"/>
      <w:spacing w:after="0" w:line="320" w:lineRule="exact"/>
      <w:ind w:firstLine="200" w:firstLineChars="200"/>
      <w:jc w:val="center"/>
    </w:pPr>
    <w:rPr>
      <w:rFonts w:ascii="宋体" w:hAnsi="宋体" w:eastAsia="宋体" w:cs="Times New Roman"/>
      <w:snapToGrid w:val="0"/>
      <w:sz w:val="24"/>
      <w:szCs w:val="24"/>
    </w:rPr>
  </w:style>
  <w:style w:type="character" w:customStyle="1" w:styleId="240">
    <w:name w:val="日期 Char2"/>
    <w:basedOn w:val="64"/>
    <w:qFormat/>
    <w:uiPriority w:val="99"/>
  </w:style>
  <w:style w:type="character" w:customStyle="1" w:styleId="241">
    <w:name w:val="正文文本缩进 2 Char Char Char"/>
    <w:qFormat/>
    <w:uiPriority w:val="0"/>
    <w:rPr>
      <w:rFonts w:eastAsia="宋体"/>
      <w:kern w:val="2"/>
      <w:sz w:val="21"/>
      <w:szCs w:val="24"/>
      <w:lang w:val="en-US" w:eastAsia="zh-CN" w:bidi="ar-SA"/>
    </w:rPr>
  </w:style>
  <w:style w:type="character" w:customStyle="1" w:styleId="242">
    <w:name w:val="明显参考1"/>
    <w:qFormat/>
    <w:uiPriority w:val="0"/>
    <w:rPr>
      <w:b/>
      <w:bCs/>
      <w:smallCaps/>
      <w:color w:val="C0504D"/>
      <w:spacing w:val="5"/>
      <w:u w:val="single"/>
    </w:rPr>
  </w:style>
  <w:style w:type="character" w:customStyle="1" w:styleId="243">
    <w:name w:val="链接"/>
    <w:qFormat/>
    <w:uiPriority w:val="0"/>
    <w:rPr>
      <w:rFonts w:ascii="Times New Roman" w:eastAsia="宋体"/>
      <w:color w:val="0000FF"/>
      <w:sz w:val="21"/>
      <w:u w:val="single" w:color="0000FF"/>
      <w:vertAlign w:val="baseline"/>
      <w:lang w:val="en-US" w:eastAsia="zh-CN"/>
    </w:rPr>
  </w:style>
  <w:style w:type="character" w:customStyle="1" w:styleId="244">
    <w:name w:val="样式4 Char Char Char Char Char Char Char"/>
    <w:link w:val="245"/>
    <w:qFormat/>
    <w:uiPriority w:val="0"/>
    <w:rPr>
      <w:spacing w:val="-10"/>
      <w:sz w:val="28"/>
      <w:szCs w:val="24"/>
    </w:rPr>
  </w:style>
  <w:style w:type="paragraph" w:customStyle="1" w:styleId="245">
    <w:name w:val="样式4 Char Char Char Char Char"/>
    <w:basedOn w:val="1"/>
    <w:next w:val="1"/>
    <w:link w:val="244"/>
    <w:qFormat/>
    <w:uiPriority w:val="0"/>
    <w:pPr>
      <w:widowControl w:val="0"/>
      <w:tabs>
        <w:tab w:val="left" w:pos="1784"/>
      </w:tabs>
      <w:adjustRightInd/>
      <w:spacing w:after="0" w:line="360" w:lineRule="auto"/>
      <w:ind w:left="1784" w:hanging="1260"/>
      <w:jc w:val="both"/>
    </w:pPr>
    <w:rPr>
      <w:rFonts w:ascii="Times New Roman" w:hAnsi="Times New Roman" w:eastAsia="宋体" w:cs="Times New Roman"/>
      <w:spacing w:val="-10"/>
      <w:sz w:val="28"/>
      <w:szCs w:val="24"/>
    </w:rPr>
  </w:style>
  <w:style w:type="character" w:customStyle="1" w:styleId="246">
    <w:name w:val="标题 5 Char Char Char"/>
    <w:qFormat/>
    <w:uiPriority w:val="0"/>
    <w:rPr>
      <w:rFonts w:eastAsia="宋体"/>
      <w:b/>
      <w:bCs/>
      <w:kern w:val="2"/>
      <w:sz w:val="28"/>
      <w:szCs w:val="28"/>
      <w:lang w:val="en-US" w:eastAsia="zh-CN" w:bidi="ar-SA"/>
    </w:rPr>
  </w:style>
  <w:style w:type="character" w:customStyle="1" w:styleId="247">
    <w:name w:val="尾注文本 Char"/>
    <w:link w:val="39"/>
    <w:qFormat/>
    <w:uiPriority w:val="0"/>
    <w:rPr>
      <w:kern w:val="2"/>
      <w:sz w:val="21"/>
      <w:szCs w:val="24"/>
    </w:rPr>
  </w:style>
  <w:style w:type="character" w:customStyle="1" w:styleId="248">
    <w:name w:val="不明显参考1"/>
    <w:qFormat/>
    <w:uiPriority w:val="0"/>
    <w:rPr>
      <w:smallCaps/>
      <w:color w:val="C0504D"/>
      <w:u w:val="single"/>
    </w:rPr>
  </w:style>
  <w:style w:type="character" w:customStyle="1" w:styleId="249">
    <w:name w:val="Í Char1"/>
    <w:qFormat/>
    <w:uiPriority w:val="0"/>
    <w:rPr>
      <w:rFonts w:ascii="宋体" w:hAnsi="宋体"/>
      <w:b/>
      <w:kern w:val="2"/>
      <w:sz w:val="24"/>
      <w:szCs w:val="24"/>
    </w:rPr>
  </w:style>
  <w:style w:type="character" w:customStyle="1" w:styleId="250">
    <w:name w:val="正文文本 2 Char"/>
    <w:link w:val="54"/>
    <w:qFormat/>
    <w:uiPriority w:val="0"/>
  </w:style>
  <w:style w:type="character" w:customStyle="1" w:styleId="251">
    <w:name w:val="正文文本缩进 2 Char2"/>
    <w:basedOn w:val="64"/>
    <w:qFormat/>
    <w:uiPriority w:val="99"/>
    <w:rPr>
      <w:rFonts w:ascii="Tahoma" w:hAnsi="Tahoma" w:eastAsia="微软雅黑" w:cs="宋体"/>
      <w:sz w:val="22"/>
      <w:szCs w:val="22"/>
    </w:rPr>
  </w:style>
  <w:style w:type="paragraph" w:customStyle="1" w:styleId="252">
    <w:name w:val="Char Char Char11"/>
    <w:basedOn w:val="1"/>
    <w:qFormat/>
    <w:uiPriority w:val="0"/>
    <w:pPr>
      <w:widowControl w:val="0"/>
      <w:adjustRightInd/>
      <w:snapToGrid/>
      <w:spacing w:after="0"/>
      <w:jc w:val="both"/>
    </w:pPr>
    <w:rPr>
      <w:rFonts w:eastAsia="宋体" w:cs="Times New Roman"/>
      <w:kern w:val="2"/>
      <w:sz w:val="24"/>
      <w:szCs w:val="20"/>
    </w:rPr>
  </w:style>
  <w:style w:type="paragraph" w:customStyle="1" w:styleId="253">
    <w:name w:val="样式 标题 1标题 1 Char Char标题 1 Char章 + 小三 居中1"/>
    <w:basedOn w:val="1"/>
    <w:qFormat/>
    <w:uiPriority w:val="0"/>
    <w:pPr>
      <w:widowControl w:val="0"/>
      <w:tabs>
        <w:tab w:val="left" w:pos="420"/>
      </w:tabs>
      <w:adjustRightInd/>
      <w:spacing w:after="0" w:line="360" w:lineRule="auto"/>
      <w:ind w:left="420" w:hanging="420"/>
      <w:jc w:val="both"/>
    </w:pPr>
    <w:rPr>
      <w:rFonts w:ascii="Times New Roman" w:hAnsi="Times New Roman" w:eastAsia="宋体" w:cs="Times New Roman"/>
      <w:spacing w:val="-10"/>
      <w:kern w:val="2"/>
      <w:sz w:val="21"/>
      <w:szCs w:val="24"/>
    </w:rPr>
  </w:style>
  <w:style w:type="paragraph" w:customStyle="1" w:styleId="254">
    <w:name w:val="节标题"/>
    <w:basedOn w:val="1"/>
    <w:next w:val="255"/>
    <w:qFormat/>
    <w:uiPriority w:val="0"/>
    <w:pPr>
      <w:adjustRightInd/>
      <w:snapToGrid/>
      <w:spacing w:after="0" w:line="289" w:lineRule="atLeast"/>
      <w:jc w:val="center"/>
      <w:textAlignment w:val="baseline"/>
    </w:pPr>
    <w:rPr>
      <w:rFonts w:ascii="Times New Roman" w:hAnsi="Times New Roman" w:eastAsia="宋体" w:cs="Times New Roman"/>
      <w:color w:val="000000"/>
      <w:sz w:val="28"/>
      <w:szCs w:val="20"/>
      <w:u w:color="000000"/>
    </w:rPr>
  </w:style>
  <w:style w:type="paragraph" w:customStyle="1" w:styleId="255">
    <w:name w:val="小节标题"/>
    <w:basedOn w:val="1"/>
    <w:next w:val="1"/>
    <w:qFormat/>
    <w:uiPriority w:val="0"/>
    <w:pPr>
      <w:adjustRightInd/>
      <w:snapToGrid/>
      <w:spacing w:before="175" w:after="102" w:line="351" w:lineRule="atLeast"/>
      <w:jc w:val="both"/>
      <w:textAlignment w:val="baseline"/>
    </w:pPr>
    <w:rPr>
      <w:rFonts w:ascii="Times New Roman" w:hAnsi="Times New Roman" w:eastAsia="黑体" w:cs="Times New Roman"/>
      <w:color w:val="000000"/>
      <w:sz w:val="21"/>
      <w:szCs w:val="20"/>
      <w:u w:color="000000"/>
    </w:rPr>
  </w:style>
  <w:style w:type="character" w:customStyle="1" w:styleId="256">
    <w:name w:val="脚注文本 Char1"/>
    <w:basedOn w:val="64"/>
    <w:qFormat/>
    <w:uiPriority w:val="99"/>
    <w:rPr>
      <w:rFonts w:ascii="Tahoma" w:hAnsi="Tahoma" w:eastAsia="微软雅黑" w:cs="宋体"/>
      <w:sz w:val="18"/>
      <w:szCs w:val="18"/>
    </w:rPr>
  </w:style>
  <w:style w:type="paragraph" w:customStyle="1" w:styleId="257">
    <w:name w:val="用户标题2"/>
    <w:basedOn w:val="3"/>
    <w:qFormat/>
    <w:uiPriority w:val="0"/>
    <w:pPr>
      <w:adjustRightInd w:val="0"/>
      <w:spacing w:before="240" w:after="120" w:line="400" w:lineRule="atLeast"/>
      <w:ind w:left="150" w:leftChars="50" w:right="150"/>
      <w:jc w:val="left"/>
      <w:textAlignment w:val="baseline"/>
      <w:outlineLvl w:val="9"/>
    </w:pPr>
    <w:rPr>
      <w:rFonts w:ascii="Times New Roman" w:hAnsi="Times New Roman" w:eastAsia="宋体"/>
      <w:kern w:val="0"/>
      <w:szCs w:val="20"/>
    </w:rPr>
  </w:style>
  <w:style w:type="paragraph" w:customStyle="1" w:styleId="258">
    <w:name w:val="Char Char Char Char1"/>
    <w:basedOn w:val="1"/>
    <w:qFormat/>
    <w:uiPriority w:val="0"/>
    <w:pPr>
      <w:widowControl w:val="0"/>
      <w:adjustRightInd/>
      <w:snapToGrid/>
      <w:spacing w:after="0"/>
      <w:jc w:val="both"/>
    </w:pPr>
    <w:rPr>
      <w:rFonts w:eastAsia="宋体" w:cs="Times New Roman"/>
      <w:kern w:val="2"/>
      <w:sz w:val="24"/>
      <w:szCs w:val="20"/>
    </w:rPr>
  </w:style>
  <w:style w:type="paragraph" w:customStyle="1" w:styleId="259">
    <w:name w:val="！正文 Alt+0"/>
    <w:basedOn w:val="1"/>
    <w:qFormat/>
    <w:uiPriority w:val="0"/>
    <w:pPr>
      <w:widowControl w:val="0"/>
      <w:adjustRightInd/>
      <w:snapToGrid/>
      <w:spacing w:beforeLines="50" w:after="0" w:line="360" w:lineRule="auto"/>
      <w:ind w:firstLine="200" w:firstLineChars="200"/>
      <w:jc w:val="both"/>
    </w:pPr>
    <w:rPr>
      <w:rFonts w:ascii="Times New Roman" w:hAnsi="Times New Roman" w:eastAsia="宋体" w:cs="Times New Roman"/>
      <w:kern w:val="2"/>
      <w:sz w:val="28"/>
      <w:szCs w:val="28"/>
    </w:rPr>
  </w:style>
  <w:style w:type="paragraph" w:customStyle="1" w:styleId="260">
    <w:name w:val="样式 样式 标题 + 段前: 1 行 段后: 0.5 行"/>
    <w:basedOn w:val="261"/>
    <w:qFormat/>
    <w:uiPriority w:val="0"/>
    <w:pPr>
      <w:spacing w:beforeLines="200"/>
    </w:pPr>
    <w:rPr>
      <w:bCs w:val="0"/>
      <w:szCs w:val="20"/>
    </w:rPr>
  </w:style>
  <w:style w:type="paragraph" w:customStyle="1" w:styleId="261">
    <w:name w:val="样式 标题"/>
    <w:basedOn w:val="1"/>
    <w:qFormat/>
    <w:uiPriority w:val="0"/>
    <w:pPr>
      <w:widowControl w:val="0"/>
      <w:autoSpaceDE w:val="0"/>
      <w:autoSpaceDN w:val="0"/>
      <w:spacing w:beforeLines="100" w:afterLines="50" w:line="360" w:lineRule="auto"/>
      <w:jc w:val="center"/>
      <w:outlineLvl w:val="0"/>
    </w:pPr>
    <w:rPr>
      <w:rFonts w:ascii="黑体" w:hAnsi="Times New Roman" w:eastAsia="黑体"/>
      <w:bCs/>
      <w:kern w:val="2"/>
      <w:sz w:val="32"/>
      <w:szCs w:val="32"/>
    </w:rPr>
  </w:style>
  <w:style w:type="paragraph" w:customStyle="1" w:styleId="262">
    <w:name w:val="样式3"/>
    <w:basedOn w:val="3"/>
    <w:qFormat/>
    <w:uiPriority w:val="0"/>
    <w:pPr>
      <w:keepNext w:val="0"/>
      <w:keepLines w:val="0"/>
      <w:widowControl/>
      <w:tabs>
        <w:tab w:val="left" w:pos="576"/>
      </w:tabs>
      <w:spacing w:before="200" w:after="60" w:line="460" w:lineRule="exact"/>
      <w:ind w:left="576" w:hanging="576"/>
      <w:contextualSpacing/>
      <w:jc w:val="left"/>
    </w:pPr>
    <w:rPr>
      <w:rFonts w:ascii="Times New Roman" w:hAnsi="Times New Roman"/>
      <w:b w:val="0"/>
      <w:bCs w:val="0"/>
      <w:kern w:val="0"/>
      <w:sz w:val="24"/>
      <w:szCs w:val="24"/>
    </w:rPr>
  </w:style>
  <w:style w:type="character" w:customStyle="1" w:styleId="263">
    <w:name w:val="批注文字 Char2"/>
    <w:basedOn w:val="64"/>
    <w:link w:val="21"/>
    <w:qFormat/>
    <w:uiPriority w:val="99"/>
    <w:rPr>
      <w:rFonts w:ascii="Tahoma" w:hAnsi="Tahoma" w:eastAsia="微软雅黑" w:cs="宋体"/>
      <w:sz w:val="22"/>
      <w:szCs w:val="22"/>
    </w:rPr>
  </w:style>
  <w:style w:type="character" w:customStyle="1" w:styleId="264">
    <w:name w:val="批注主题 Char2"/>
    <w:basedOn w:val="263"/>
    <w:qFormat/>
    <w:uiPriority w:val="99"/>
    <w:rPr>
      <w:rFonts w:ascii="Tahoma" w:hAnsi="Tahoma" w:eastAsia="微软雅黑" w:cs="宋体"/>
      <w:b/>
      <w:bCs/>
      <w:sz w:val="22"/>
      <w:szCs w:val="22"/>
    </w:rPr>
  </w:style>
  <w:style w:type="paragraph" w:customStyle="1" w:styleId="265">
    <w:name w:val="正文1"/>
    <w:qFormat/>
    <w:uiPriority w:val="0"/>
    <w:pPr>
      <w:widowControl w:val="0"/>
      <w:adjustRightInd w:val="0"/>
      <w:spacing w:line="312" w:lineRule="atLeast"/>
      <w:jc w:val="both"/>
      <w:textAlignment w:val="baseline"/>
    </w:pPr>
    <w:rPr>
      <w:rFonts w:ascii="Times New Roman" w:hAnsi="Times New Roman" w:eastAsia="宋体" w:cs="Times New Roman"/>
      <w:sz w:val="24"/>
      <w:lang w:val="en-US" w:eastAsia="zh-CN" w:bidi="ar-SA"/>
    </w:rPr>
  </w:style>
  <w:style w:type="character" w:customStyle="1" w:styleId="266">
    <w:name w:val="HTML 预设格式 Char1"/>
    <w:basedOn w:val="64"/>
    <w:qFormat/>
    <w:uiPriority w:val="99"/>
    <w:rPr>
      <w:rFonts w:ascii="Courier New" w:hAnsi="Courier New" w:eastAsia="微软雅黑" w:cs="Courier New"/>
    </w:rPr>
  </w:style>
  <w:style w:type="paragraph" w:customStyle="1" w:styleId="267">
    <w:name w:val="目录1"/>
    <w:basedOn w:val="1"/>
    <w:next w:val="1"/>
    <w:qFormat/>
    <w:uiPriority w:val="0"/>
    <w:pPr>
      <w:tabs>
        <w:tab w:val="left" w:leader="dot" w:pos="8503"/>
      </w:tabs>
      <w:adjustRightInd/>
      <w:snapToGrid/>
      <w:spacing w:after="102" w:line="215" w:lineRule="atLeast"/>
      <w:ind w:firstLine="419"/>
      <w:textAlignment w:val="baseline"/>
    </w:pPr>
    <w:rPr>
      <w:rFonts w:ascii="Times New Roman" w:hAnsi="Times New Roman" w:eastAsia="宋体" w:cs="Times New Roman"/>
      <w:color w:val="000000"/>
      <w:sz w:val="21"/>
      <w:szCs w:val="20"/>
      <w:u w:color="000000"/>
    </w:rPr>
  </w:style>
  <w:style w:type="character" w:customStyle="1" w:styleId="268">
    <w:name w:val="正文文本 2 Char2"/>
    <w:basedOn w:val="64"/>
    <w:qFormat/>
    <w:uiPriority w:val="99"/>
    <w:rPr>
      <w:rFonts w:ascii="Tahoma" w:hAnsi="Tahoma" w:eastAsia="微软雅黑" w:cs="宋体"/>
      <w:sz w:val="22"/>
      <w:szCs w:val="22"/>
    </w:rPr>
  </w:style>
  <w:style w:type="paragraph" w:customStyle="1" w:styleId="269">
    <w:name w:val="样式 加粗 行距: 单倍行距"/>
    <w:basedOn w:val="1"/>
    <w:qFormat/>
    <w:uiPriority w:val="0"/>
    <w:pPr>
      <w:widowControl w:val="0"/>
      <w:adjustRightInd/>
      <w:snapToGrid/>
      <w:spacing w:after="0"/>
      <w:ind w:firstLine="200" w:firstLineChars="200"/>
      <w:jc w:val="both"/>
      <w:outlineLvl w:val="3"/>
    </w:pPr>
    <w:rPr>
      <w:rFonts w:ascii="Arial" w:hAnsi="Arial" w:eastAsia="宋体" w:cs="Times New Roman"/>
      <w:b/>
      <w:bCs/>
      <w:kern w:val="2"/>
      <w:sz w:val="24"/>
      <w:szCs w:val="20"/>
    </w:rPr>
  </w:style>
  <w:style w:type="character" w:customStyle="1" w:styleId="270">
    <w:name w:val="副标题 Char2"/>
    <w:basedOn w:val="64"/>
    <w:qFormat/>
    <w:uiPriority w:val="11"/>
    <w:rPr>
      <w:rFonts w:ascii="Cambria" w:hAnsi="Cambria" w:cs="宋体"/>
      <w:b/>
      <w:bCs/>
      <w:kern w:val="28"/>
      <w:sz w:val="32"/>
      <w:szCs w:val="32"/>
    </w:rPr>
  </w:style>
  <w:style w:type="character" w:customStyle="1" w:styleId="271">
    <w:name w:val="尾注文本 Char1"/>
    <w:basedOn w:val="64"/>
    <w:qFormat/>
    <w:uiPriority w:val="99"/>
    <w:rPr>
      <w:rFonts w:ascii="Tahoma" w:hAnsi="Tahoma" w:eastAsia="微软雅黑" w:cs="宋体"/>
      <w:sz w:val="22"/>
      <w:szCs w:val="22"/>
    </w:rPr>
  </w:style>
  <w:style w:type="paragraph" w:customStyle="1" w:styleId="272">
    <w:name w:val="_Style 21"/>
    <w:basedOn w:val="1"/>
    <w:next w:val="33"/>
    <w:qFormat/>
    <w:uiPriority w:val="0"/>
    <w:pPr>
      <w:widowControl w:val="0"/>
      <w:adjustRightInd/>
      <w:snapToGrid/>
      <w:spacing w:after="0"/>
      <w:jc w:val="both"/>
    </w:pPr>
    <w:rPr>
      <w:rFonts w:ascii="宋体" w:hAnsi="Courier New" w:eastAsia="宋体" w:cs="华文中宋"/>
      <w:kern w:val="2"/>
      <w:sz w:val="24"/>
      <w:szCs w:val="21"/>
    </w:rPr>
  </w:style>
  <w:style w:type="paragraph" w:customStyle="1" w:styleId="273">
    <w:name w:val="z-窗体顶端1"/>
    <w:basedOn w:val="1"/>
    <w:next w:val="1"/>
    <w:link w:val="274"/>
    <w:qFormat/>
    <w:uiPriority w:val="0"/>
    <w:pPr>
      <w:widowControl w:val="0"/>
      <w:pBdr>
        <w:bottom w:val="single" w:color="auto" w:sz="6" w:space="1"/>
      </w:pBdr>
      <w:adjustRightInd/>
      <w:snapToGrid/>
      <w:spacing w:after="0"/>
      <w:jc w:val="center"/>
    </w:pPr>
    <w:rPr>
      <w:rFonts w:ascii="Arial" w:hAnsi="Calibri" w:eastAsia="宋体" w:cs="Times New Roman"/>
      <w:vanish/>
      <w:kern w:val="2"/>
      <w:sz w:val="16"/>
    </w:rPr>
  </w:style>
  <w:style w:type="character" w:customStyle="1" w:styleId="274">
    <w:name w:val="z-窗体顶端 Char"/>
    <w:basedOn w:val="64"/>
    <w:link w:val="273"/>
    <w:qFormat/>
    <w:uiPriority w:val="0"/>
    <w:rPr>
      <w:rFonts w:ascii="Arial" w:hAnsi="Calibri"/>
      <w:vanish/>
      <w:kern w:val="2"/>
      <w:sz w:val="16"/>
      <w:szCs w:val="22"/>
    </w:rPr>
  </w:style>
  <w:style w:type="paragraph" w:customStyle="1" w:styleId="275">
    <w:name w:val="段落编号new"/>
    <w:basedOn w:val="1"/>
    <w:qFormat/>
    <w:uiPriority w:val="0"/>
    <w:pPr>
      <w:widowControl w:val="0"/>
      <w:tabs>
        <w:tab w:val="left" w:pos="840"/>
      </w:tabs>
      <w:adjustRightInd/>
      <w:snapToGrid/>
      <w:spacing w:before="120" w:after="120"/>
      <w:jc w:val="center"/>
      <w:outlineLvl w:val="8"/>
    </w:pPr>
    <w:rPr>
      <w:rFonts w:ascii="Times New Roman" w:hAnsi="Times New Roman" w:eastAsia="宋体" w:cs="Times New Roman"/>
      <w:b/>
      <w:kern w:val="2"/>
      <w:sz w:val="24"/>
      <w:szCs w:val="24"/>
    </w:rPr>
  </w:style>
  <w:style w:type="paragraph" w:customStyle="1" w:styleId="276">
    <w:name w:val="12"/>
    <w:basedOn w:val="1"/>
    <w:next w:val="33"/>
    <w:qFormat/>
    <w:uiPriority w:val="0"/>
    <w:pPr>
      <w:widowControl w:val="0"/>
      <w:adjustRightInd/>
      <w:snapToGrid/>
      <w:spacing w:after="0"/>
      <w:jc w:val="both"/>
    </w:pPr>
    <w:rPr>
      <w:rFonts w:ascii="宋体" w:hAnsi="Courier New" w:eastAsia="宋体" w:cs="华文中宋"/>
      <w:kern w:val="2"/>
      <w:sz w:val="24"/>
      <w:szCs w:val="21"/>
    </w:rPr>
  </w:style>
  <w:style w:type="paragraph" w:customStyle="1" w:styleId="277">
    <w:name w:val="_Style 141"/>
    <w:basedOn w:val="1"/>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278">
    <w:name w:val="样式4 Char Char Char"/>
    <w:basedOn w:val="1"/>
    <w:next w:val="1"/>
    <w:qFormat/>
    <w:uiPriority w:val="0"/>
    <w:pPr>
      <w:widowControl w:val="0"/>
      <w:tabs>
        <w:tab w:val="left" w:pos="1784"/>
      </w:tabs>
      <w:adjustRightInd/>
      <w:spacing w:after="0" w:line="360" w:lineRule="auto"/>
      <w:ind w:left="1784" w:hanging="1260"/>
      <w:jc w:val="both"/>
    </w:pPr>
    <w:rPr>
      <w:rFonts w:ascii="Times New Roman" w:hAnsi="Times New Roman" w:eastAsia="宋体" w:cs="Times New Roman"/>
      <w:spacing w:val="-10"/>
      <w:kern w:val="2"/>
      <w:sz w:val="28"/>
      <w:szCs w:val="24"/>
    </w:rPr>
  </w:style>
  <w:style w:type="paragraph" w:customStyle="1" w:styleId="279">
    <w:name w:val="T0105"/>
    <w:basedOn w:val="1"/>
    <w:qFormat/>
    <w:uiPriority w:val="0"/>
    <w:pPr>
      <w:widowControl w:val="0"/>
      <w:adjustRightInd/>
      <w:snapToGrid/>
      <w:spacing w:before="120" w:after="0" w:line="340" w:lineRule="atLeast"/>
      <w:ind w:firstLine="480"/>
      <w:jc w:val="both"/>
    </w:pPr>
    <w:rPr>
      <w:rFonts w:ascii="Times New Roman" w:hAnsi="Times New Roman" w:eastAsia="仿宋_GB2312" w:cs="Times New Roman"/>
      <w:kern w:val="2"/>
      <w:sz w:val="24"/>
      <w:szCs w:val="20"/>
    </w:rPr>
  </w:style>
  <w:style w:type="paragraph" w:customStyle="1" w:styleId="280">
    <w:name w:val="标准正文 Char Char Char Char Char"/>
    <w:basedOn w:val="1"/>
    <w:qFormat/>
    <w:uiPriority w:val="0"/>
    <w:pPr>
      <w:widowControl w:val="0"/>
      <w:adjustRightInd/>
      <w:snapToGrid/>
      <w:spacing w:after="0" w:line="360" w:lineRule="auto"/>
      <w:ind w:left="840" w:leftChars="400" w:firstLine="480" w:firstLineChars="200"/>
      <w:jc w:val="both"/>
    </w:pPr>
    <w:rPr>
      <w:rFonts w:ascii="Times New Roman" w:hAnsi="Times New Roman" w:eastAsia="宋体"/>
      <w:kern w:val="2"/>
      <w:sz w:val="24"/>
      <w:szCs w:val="24"/>
    </w:rPr>
  </w:style>
  <w:style w:type="paragraph" w:customStyle="1" w:styleId="281">
    <w:name w:val="文章附标题"/>
    <w:basedOn w:val="1"/>
    <w:next w:val="282"/>
    <w:qFormat/>
    <w:uiPriority w:val="0"/>
    <w:pPr>
      <w:adjustRightInd/>
      <w:snapToGrid/>
      <w:spacing w:before="187" w:after="175" w:line="374" w:lineRule="atLeast"/>
      <w:jc w:val="center"/>
      <w:textAlignment w:val="baseline"/>
    </w:pPr>
    <w:rPr>
      <w:rFonts w:ascii="Times New Roman" w:hAnsi="Times New Roman" w:eastAsia="宋体" w:cs="Times New Roman"/>
      <w:color w:val="000000"/>
      <w:sz w:val="36"/>
      <w:szCs w:val="20"/>
      <w:u w:color="000000"/>
    </w:rPr>
  </w:style>
  <w:style w:type="paragraph" w:customStyle="1" w:styleId="282">
    <w:name w:val="章标题"/>
    <w:basedOn w:val="1"/>
    <w:next w:val="283"/>
    <w:qFormat/>
    <w:uiPriority w:val="0"/>
    <w:pPr>
      <w:adjustRightInd/>
      <w:snapToGrid/>
      <w:spacing w:before="158" w:after="153" w:line="323" w:lineRule="atLeast"/>
      <w:jc w:val="center"/>
      <w:textAlignment w:val="baseline"/>
    </w:pPr>
    <w:rPr>
      <w:rFonts w:ascii="Arial" w:hAnsi="Times New Roman" w:eastAsia="黑体" w:cs="Times New Roman"/>
      <w:color w:val="000000"/>
      <w:sz w:val="31"/>
      <w:szCs w:val="20"/>
      <w:u w:color="000000"/>
    </w:rPr>
  </w:style>
  <w:style w:type="paragraph" w:customStyle="1" w:styleId="283">
    <w:name w:val="段"/>
    <w:qFormat/>
    <w:uiPriority w:val="0"/>
    <w:pPr>
      <w:autoSpaceDE w:val="0"/>
      <w:autoSpaceDN w:val="0"/>
      <w:ind w:firstLine="200" w:firstLineChars="200"/>
      <w:jc w:val="both"/>
    </w:pPr>
    <w:rPr>
      <w:rFonts w:ascii="宋体" w:hAnsi="宋体" w:eastAsia="Times New Roman" w:cs="Times New Roman"/>
      <w:sz w:val="21"/>
      <w:lang w:val="en-US" w:eastAsia="zh-CN" w:bidi="ar-SA"/>
    </w:rPr>
  </w:style>
  <w:style w:type="paragraph" w:customStyle="1" w:styleId="284">
    <w:name w:val="+正文 Char Char7"/>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85">
    <w:name w:val="1.1.1.1"/>
    <w:basedOn w:val="1"/>
    <w:qFormat/>
    <w:uiPriority w:val="0"/>
    <w:pPr>
      <w:widowControl w:val="0"/>
      <w:tabs>
        <w:tab w:val="left" w:pos="900"/>
        <w:tab w:val="left" w:pos="1134"/>
      </w:tabs>
      <w:spacing w:beforeLines="50" w:afterLines="50" w:line="400" w:lineRule="atLeast"/>
      <w:ind w:left="869" w:leftChars="50" w:right="200" w:rightChars="200"/>
      <w:jc w:val="both"/>
      <w:textAlignment w:val="baseline"/>
    </w:pPr>
    <w:rPr>
      <w:rFonts w:ascii="Arial" w:hAnsi="Arial" w:eastAsia="宋体" w:cs="Times New Roman"/>
      <w:sz w:val="24"/>
      <w:szCs w:val="20"/>
    </w:rPr>
  </w:style>
  <w:style w:type="paragraph" w:customStyle="1" w:styleId="286">
    <w:name w:val="正文4 Char"/>
    <w:basedOn w:val="1"/>
    <w:qFormat/>
    <w:uiPriority w:val="0"/>
    <w:pPr>
      <w:widowControl w:val="0"/>
      <w:adjustRightInd/>
      <w:snapToGrid/>
      <w:spacing w:after="0" w:line="360" w:lineRule="auto"/>
      <w:ind w:left="400" w:leftChars="400"/>
      <w:jc w:val="both"/>
    </w:pPr>
    <w:rPr>
      <w:rFonts w:ascii="宋体" w:hAnsi="Times New Roman" w:eastAsia="宋体" w:cs="Times New Roman"/>
      <w:kern w:val="2"/>
      <w:sz w:val="24"/>
      <w:szCs w:val="24"/>
    </w:rPr>
  </w:style>
  <w:style w:type="paragraph" w:customStyle="1" w:styleId="287">
    <w:name w:val="xl24"/>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28"/>
      <w:szCs w:val="28"/>
    </w:rPr>
  </w:style>
  <w:style w:type="paragraph" w:customStyle="1" w:styleId="288">
    <w:name w:val="Text"/>
    <w:basedOn w:val="1"/>
    <w:qFormat/>
    <w:uiPriority w:val="0"/>
    <w:pPr>
      <w:adjustRightInd/>
      <w:snapToGrid/>
      <w:spacing w:after="0" w:line="288" w:lineRule="auto"/>
      <w:ind w:left="2552"/>
    </w:pPr>
    <w:rPr>
      <w:rFonts w:ascii="Univers" w:hAnsi="Univers" w:eastAsia="宋体" w:cs="Times New Roman"/>
      <w:szCs w:val="20"/>
      <w:lang w:val="en-GB"/>
    </w:rPr>
  </w:style>
  <w:style w:type="paragraph" w:customStyle="1" w:styleId="289">
    <w:name w:val="10"/>
    <w:basedOn w:val="1"/>
    <w:next w:val="58"/>
    <w:qFormat/>
    <w:uiPriority w:val="0"/>
    <w:pPr>
      <w:adjustRightInd/>
      <w:snapToGrid/>
      <w:spacing w:before="100" w:beforeAutospacing="1" w:after="100" w:afterAutospacing="1"/>
    </w:pPr>
    <w:rPr>
      <w:rFonts w:ascii="宋体" w:hAnsi="宋体" w:eastAsia="宋体" w:cs="Times New Roman"/>
      <w:sz w:val="24"/>
      <w:szCs w:val="24"/>
    </w:rPr>
  </w:style>
  <w:style w:type="character" w:customStyle="1" w:styleId="290">
    <w:name w:val="引用 Char2"/>
    <w:basedOn w:val="64"/>
    <w:qFormat/>
    <w:uiPriority w:val="99"/>
    <w:rPr>
      <w:rFonts w:ascii="Tahoma" w:hAnsi="Tahoma" w:eastAsia="微软雅黑" w:cs="宋体"/>
      <w:i/>
      <w:iCs/>
      <w:color w:val="000000"/>
      <w:sz w:val="22"/>
      <w:szCs w:val="22"/>
    </w:rPr>
  </w:style>
  <w:style w:type="paragraph" w:customStyle="1" w:styleId="291">
    <w:name w:val="SuepSubHead"/>
    <w:basedOn w:val="1"/>
    <w:qFormat/>
    <w:uiPriority w:val="0"/>
    <w:pPr>
      <w:tabs>
        <w:tab w:val="left" w:pos="720"/>
      </w:tabs>
      <w:adjustRightInd/>
      <w:snapToGrid/>
      <w:spacing w:after="0"/>
      <w:ind w:left="720" w:hanging="720"/>
    </w:pPr>
    <w:rPr>
      <w:rFonts w:ascii="Times New Roman" w:hAnsi="Times New Roman" w:eastAsia="宋体" w:cs="Times New Roman"/>
      <w:b/>
      <w:szCs w:val="20"/>
    </w:rPr>
  </w:style>
  <w:style w:type="paragraph" w:customStyle="1" w:styleId="292">
    <w:name w:val="_Style 234"/>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3">
    <w:name w:val="+正文 Char Char5 Char Char"/>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94">
    <w:name w:val="SuepHeading"/>
    <w:basedOn w:val="1"/>
    <w:qFormat/>
    <w:uiPriority w:val="0"/>
    <w:pPr>
      <w:tabs>
        <w:tab w:val="left" w:pos="720"/>
        <w:tab w:val="left" w:pos="828"/>
        <w:tab w:val="left" w:pos="1394"/>
        <w:tab w:val="left" w:pos="2245"/>
        <w:tab w:val="left" w:pos="3094"/>
        <w:tab w:val="left" w:pos="3945"/>
        <w:tab w:val="left" w:pos="5079"/>
        <w:tab w:val="left" w:pos="6496"/>
        <w:tab w:val="left" w:pos="7630"/>
      </w:tabs>
      <w:suppressAutoHyphens/>
      <w:adjustRightInd/>
      <w:snapToGrid/>
      <w:spacing w:after="0"/>
      <w:ind w:left="720" w:hanging="720"/>
      <w:jc w:val="both"/>
    </w:pPr>
    <w:rPr>
      <w:rFonts w:ascii="Times New Roman" w:hAnsi="Times New Roman" w:eastAsia="宋体" w:cs="Times New Roman"/>
      <w:b/>
      <w:spacing w:val="-2"/>
      <w:szCs w:val="20"/>
      <w:lang w:val="en-GB"/>
    </w:rPr>
  </w:style>
  <w:style w:type="paragraph" w:customStyle="1" w:styleId="295">
    <w:name w:val="样式 样式 普通文字表格文字 + 四号 居中 行距: 固定值 12 磅 + (中文) 黑体 小四 首行缩进:  2 字符"/>
    <w:basedOn w:val="1"/>
    <w:qFormat/>
    <w:uiPriority w:val="0"/>
    <w:pPr>
      <w:widowControl w:val="0"/>
      <w:adjustRightInd/>
      <w:snapToGrid/>
      <w:spacing w:beforeLines="150" w:after="0" w:line="300" w:lineRule="exact"/>
      <w:jc w:val="center"/>
    </w:pPr>
    <w:rPr>
      <w:rFonts w:ascii="Times New Roman" w:hAnsi="Times New Roman" w:eastAsia="黑体"/>
      <w:sz w:val="24"/>
      <w:szCs w:val="24"/>
    </w:rPr>
  </w:style>
  <w:style w:type="paragraph" w:customStyle="1" w:styleId="296">
    <w:name w:val="+正文 Char Char1 Char Char Char"/>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97">
    <w:name w:val="TabC"/>
    <w:basedOn w:val="1"/>
    <w:qFormat/>
    <w:uiPriority w:val="0"/>
    <w:pPr>
      <w:keepLines/>
      <w:adjustRightInd/>
      <w:snapToGrid/>
      <w:spacing w:before="120" w:after="120"/>
      <w:jc w:val="center"/>
    </w:pPr>
    <w:rPr>
      <w:rFonts w:ascii="Times New Roman" w:hAnsi="Times New Roman" w:eastAsia="宋体" w:cs="Times New Roman"/>
      <w:sz w:val="24"/>
      <w:szCs w:val="20"/>
      <w:lang w:val="fr-FR"/>
    </w:rPr>
  </w:style>
  <w:style w:type="paragraph" w:customStyle="1" w:styleId="298">
    <w:name w:val="！表格"/>
    <w:basedOn w:val="1"/>
    <w:qFormat/>
    <w:uiPriority w:val="0"/>
    <w:pPr>
      <w:widowControl w:val="0"/>
      <w:adjustRightInd/>
      <w:snapToGrid/>
      <w:spacing w:after="0"/>
      <w:jc w:val="center"/>
    </w:pPr>
    <w:rPr>
      <w:rFonts w:ascii="Times New Roman" w:hAnsi="Times New Roman" w:eastAsia="楷体_GB2312" w:cs="Times New Roman"/>
      <w:kern w:val="2"/>
      <w:sz w:val="24"/>
      <w:szCs w:val="24"/>
    </w:rPr>
  </w:style>
  <w:style w:type="paragraph" w:customStyle="1" w:styleId="299">
    <w:name w:val="Char Char Char Char1 Char Char Char"/>
    <w:basedOn w:val="1"/>
    <w:qFormat/>
    <w:uiPriority w:val="0"/>
    <w:pPr>
      <w:widowControl w:val="0"/>
      <w:adjustRightInd/>
      <w:snapToGrid/>
      <w:spacing w:after="0" w:line="240" w:lineRule="atLeast"/>
      <w:ind w:left="420" w:firstLine="420"/>
      <w:jc w:val="both"/>
    </w:pPr>
    <w:rPr>
      <w:rFonts w:ascii="Times New Roman" w:hAnsi="Times New Roman" w:eastAsia="宋体" w:cs="Times New Roman"/>
      <w:sz w:val="21"/>
      <w:szCs w:val="21"/>
    </w:rPr>
  </w:style>
  <w:style w:type="paragraph" w:customStyle="1" w:styleId="300">
    <w:name w:val="+列表编号"/>
    <w:basedOn w:val="1"/>
    <w:qFormat/>
    <w:uiPriority w:val="0"/>
    <w:pPr>
      <w:widowControl w:val="0"/>
      <w:tabs>
        <w:tab w:val="center" w:pos="4200"/>
        <w:tab w:val="right" w:pos="8400"/>
      </w:tabs>
      <w:adjustRightInd/>
      <w:snapToGrid/>
      <w:spacing w:before="120" w:after="120"/>
      <w:jc w:val="center"/>
    </w:pPr>
    <w:rPr>
      <w:rFonts w:ascii="Times New Roman" w:hAnsi="Times New Roman" w:eastAsia="宋体" w:cs="Times New Roman"/>
      <w:b/>
      <w:kern w:val="2"/>
      <w:sz w:val="24"/>
      <w:szCs w:val="28"/>
    </w:rPr>
  </w:style>
  <w:style w:type="paragraph" w:customStyle="1" w:styleId="301">
    <w:name w:val="样式 样式3 + 首行缩进:  2 字符"/>
    <w:basedOn w:val="1"/>
    <w:qFormat/>
    <w:uiPriority w:val="0"/>
    <w:pPr>
      <w:widowControl w:val="0"/>
      <w:adjustRightInd/>
      <w:snapToGrid/>
      <w:spacing w:after="0" w:line="360" w:lineRule="auto"/>
      <w:ind w:firstLine="360" w:firstLineChars="200"/>
      <w:jc w:val="both"/>
    </w:pPr>
    <w:rPr>
      <w:rFonts w:ascii="Times New Roman" w:hAnsi="Times New Roman" w:eastAsia="黑体"/>
      <w:kern w:val="2"/>
      <w:sz w:val="28"/>
      <w:szCs w:val="28"/>
    </w:rPr>
  </w:style>
  <w:style w:type="paragraph" w:customStyle="1" w:styleId="302">
    <w:name w:val="text"/>
    <w:basedOn w:val="1"/>
    <w:qFormat/>
    <w:uiPriority w:val="0"/>
    <w:pPr>
      <w:tabs>
        <w:tab w:val="left" w:pos="1050"/>
      </w:tabs>
      <w:overflowPunct w:val="0"/>
      <w:autoSpaceDE w:val="0"/>
      <w:autoSpaceDN w:val="0"/>
      <w:snapToGrid/>
      <w:spacing w:before="240" w:after="0"/>
      <w:ind w:left="1049"/>
      <w:jc w:val="both"/>
      <w:textAlignment w:val="baseline"/>
    </w:pPr>
    <w:rPr>
      <w:rFonts w:ascii="Times New Roman" w:hAnsi="Times New Roman" w:eastAsia="宋体" w:cs="Times New Roman"/>
      <w:sz w:val="24"/>
      <w:szCs w:val="20"/>
    </w:rPr>
  </w:style>
  <w:style w:type="paragraph" w:customStyle="1" w:styleId="303">
    <w:name w:val="样式1"/>
    <w:basedOn w:val="1"/>
    <w:next w:val="5"/>
    <w:qFormat/>
    <w:uiPriority w:val="0"/>
    <w:pPr>
      <w:widowControl w:val="0"/>
      <w:adjustRightInd/>
      <w:snapToGrid/>
      <w:spacing w:after="0" w:line="360" w:lineRule="auto"/>
      <w:ind w:firstLine="420" w:firstLineChars="200"/>
      <w:jc w:val="both"/>
    </w:pPr>
    <w:rPr>
      <w:rFonts w:ascii="宋体" w:hAnsi="宋体" w:eastAsia="宋体" w:cs="Times New Roman"/>
      <w:kern w:val="2"/>
      <w:sz w:val="21"/>
      <w:szCs w:val="21"/>
    </w:rPr>
  </w:style>
  <w:style w:type="paragraph" w:customStyle="1" w:styleId="304">
    <w:name w:val="+A."/>
    <w:basedOn w:val="305"/>
    <w:qFormat/>
    <w:uiPriority w:val="0"/>
    <w:pPr>
      <w:tabs>
        <w:tab w:val="left" w:pos="3827"/>
      </w:tabs>
      <w:ind w:left="3402" w:firstLine="0" w:firstLineChars="0"/>
    </w:pPr>
  </w:style>
  <w:style w:type="paragraph" w:customStyle="1" w:styleId="305">
    <w:name w:val="+正文"/>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8"/>
    </w:rPr>
  </w:style>
  <w:style w:type="paragraph" w:customStyle="1" w:styleId="306">
    <w:name w:val="样式 宋体 行距: 固定值 18 磅"/>
    <w:basedOn w:val="1"/>
    <w:qFormat/>
    <w:uiPriority w:val="0"/>
    <w:pPr>
      <w:widowControl w:val="0"/>
      <w:adjustRightInd/>
      <w:snapToGrid/>
      <w:spacing w:beforeLines="30" w:after="0" w:line="360" w:lineRule="exact"/>
      <w:jc w:val="both"/>
    </w:pPr>
    <w:rPr>
      <w:rFonts w:ascii="宋体" w:hAnsi="宋体" w:eastAsia="宋体" w:cs="Times New Roman"/>
      <w:kern w:val="2"/>
      <w:sz w:val="21"/>
      <w:szCs w:val="20"/>
    </w:rPr>
  </w:style>
  <w:style w:type="paragraph" w:customStyle="1" w:styleId="307">
    <w:name w:val="中文正文1"/>
    <w:basedOn w:val="1"/>
    <w:qFormat/>
    <w:uiPriority w:val="0"/>
    <w:pPr>
      <w:widowControl w:val="0"/>
      <w:tabs>
        <w:tab w:val="left" w:pos="735"/>
      </w:tabs>
      <w:snapToGrid/>
      <w:spacing w:after="0" w:line="312" w:lineRule="atLeast"/>
      <w:ind w:left="735" w:firstLine="525"/>
      <w:jc w:val="both"/>
      <w:textAlignment w:val="baseline"/>
    </w:pPr>
    <w:rPr>
      <w:rFonts w:ascii="宋体" w:hAnsi="Arial" w:eastAsia="宋体" w:cs="Times New Roman"/>
      <w:sz w:val="24"/>
      <w:szCs w:val="20"/>
    </w:rPr>
  </w:style>
  <w:style w:type="paragraph" w:customStyle="1" w:styleId="308">
    <w:name w:val="正文1.2"/>
    <w:basedOn w:val="1"/>
    <w:qFormat/>
    <w:uiPriority w:val="0"/>
    <w:pPr>
      <w:widowControl w:val="0"/>
      <w:adjustRightInd/>
      <w:snapToGrid/>
      <w:spacing w:after="0" w:line="288" w:lineRule="auto"/>
    </w:pPr>
    <w:rPr>
      <w:rFonts w:ascii="宋体" w:hAnsi="Times New Roman" w:eastAsia="宋体" w:cs="Times New Roman"/>
      <w:sz w:val="28"/>
      <w:szCs w:val="20"/>
      <w:lang w:eastAsia="en-US"/>
    </w:rPr>
  </w:style>
  <w:style w:type="paragraph" w:customStyle="1" w:styleId="309">
    <w:name w:val="flNote"/>
    <w:basedOn w:val="1"/>
    <w:qFormat/>
    <w:uiPriority w:val="0"/>
    <w:pPr>
      <w:widowControl w:val="0"/>
      <w:snapToGrid/>
      <w:spacing w:before="320" w:after="160" w:line="360" w:lineRule="atLeast"/>
      <w:jc w:val="center"/>
      <w:textAlignment w:val="baseline"/>
    </w:pPr>
    <w:rPr>
      <w:rFonts w:ascii="Arial" w:hAnsi="Times New Roman" w:eastAsia="黑体" w:cs="Times New Roman"/>
      <w:sz w:val="30"/>
      <w:szCs w:val="20"/>
    </w:rPr>
  </w:style>
  <w:style w:type="paragraph" w:customStyle="1" w:styleId="310">
    <w:name w:val="B"/>
    <w:basedOn w:val="1"/>
    <w:qFormat/>
    <w:uiPriority w:val="0"/>
    <w:pPr>
      <w:tabs>
        <w:tab w:val="left" w:pos="1200"/>
      </w:tabs>
      <w:adjustRightInd/>
      <w:snapToGrid/>
      <w:spacing w:before="240" w:after="0" w:line="240" w:lineRule="atLeast"/>
      <w:jc w:val="both"/>
    </w:pPr>
    <w:rPr>
      <w:rFonts w:ascii="Times New Roman" w:hAnsi="Times New Roman" w:eastAsia="宋体" w:cs="Times New Roman"/>
      <w:kern w:val="2"/>
      <w:sz w:val="24"/>
      <w:szCs w:val="24"/>
    </w:rPr>
  </w:style>
  <w:style w:type="paragraph" w:customStyle="1" w:styleId="311">
    <w:name w:val="ST20_12"/>
    <w:basedOn w:val="1"/>
    <w:qFormat/>
    <w:uiPriority w:val="0"/>
    <w:pPr>
      <w:widowControl w:val="0"/>
      <w:autoSpaceDE w:val="0"/>
      <w:autoSpaceDN w:val="0"/>
      <w:snapToGrid/>
      <w:spacing w:after="120"/>
      <w:ind w:left="426" w:firstLine="425"/>
      <w:jc w:val="both"/>
    </w:pPr>
    <w:rPr>
      <w:rFonts w:ascii="宋体" w:hAnsi="Tms Rmn" w:eastAsia="宋体" w:cs="Times New Roman"/>
      <w:sz w:val="24"/>
      <w:szCs w:val="20"/>
    </w:rPr>
  </w:style>
  <w:style w:type="paragraph" w:customStyle="1" w:styleId="312">
    <w:name w:val="1"/>
    <w:basedOn w:val="1"/>
    <w:next w:val="1"/>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313">
    <w:name w:val="font6"/>
    <w:basedOn w:val="1"/>
    <w:qFormat/>
    <w:uiPriority w:val="0"/>
    <w:pPr>
      <w:adjustRightInd/>
      <w:snapToGrid/>
      <w:spacing w:before="100" w:beforeAutospacing="1" w:after="100" w:afterAutospacing="1"/>
    </w:pPr>
    <w:rPr>
      <w:rFonts w:hint="eastAsia" w:ascii="宋体" w:hAnsi="宋体" w:eastAsia="宋体" w:cs="Arial Unicode MS"/>
    </w:rPr>
  </w:style>
  <w:style w:type="paragraph" w:customStyle="1" w:styleId="314">
    <w:name w:val="样式 样式 样式 样式 标题 3 + + 段前: 1.5 行 段后: 1.5 行 + 段前: 1.5 行 段后: 1.5 行 +..."/>
    <w:basedOn w:val="315"/>
    <w:qFormat/>
    <w:uiPriority w:val="0"/>
    <w:pPr>
      <w:spacing w:afterLines="80"/>
    </w:pPr>
  </w:style>
  <w:style w:type="paragraph" w:customStyle="1" w:styleId="315">
    <w:name w:val="样式 样式 样式 标题 3 + + 段前: 1.5 行 段后: 1.5 行 + 段前: 1.5 行 段后: 1.5 行"/>
    <w:basedOn w:val="316"/>
    <w:qFormat/>
    <w:uiPriority w:val="0"/>
    <w:rPr>
      <w:bCs w:val="0"/>
      <w:szCs w:val="20"/>
    </w:rPr>
  </w:style>
  <w:style w:type="paragraph" w:customStyle="1" w:styleId="316">
    <w:name w:val="样式 样式 标题 3 + + 段前: 1.5 行 段后: 1.5 行"/>
    <w:basedOn w:val="1"/>
    <w:qFormat/>
    <w:uiPriority w:val="0"/>
    <w:pPr>
      <w:keepNext/>
      <w:keepLines/>
      <w:widowControl w:val="0"/>
      <w:adjustRightInd/>
      <w:snapToGrid/>
      <w:spacing w:beforeLines="150" w:afterLines="150" w:line="360" w:lineRule="auto"/>
      <w:jc w:val="both"/>
      <w:outlineLvl w:val="2"/>
    </w:pPr>
    <w:rPr>
      <w:rFonts w:ascii="Times New Roman" w:hAnsi="Times New Roman" w:eastAsia="黑体"/>
      <w:bCs/>
      <w:kern w:val="2"/>
      <w:sz w:val="28"/>
      <w:szCs w:val="28"/>
    </w:rPr>
  </w:style>
  <w:style w:type="paragraph" w:customStyle="1" w:styleId="317">
    <w:name w:val="标题３"/>
    <w:basedOn w:val="4"/>
    <w:qFormat/>
    <w:uiPriority w:val="0"/>
    <w:pPr>
      <w:keepNext w:val="0"/>
      <w:keepLines w:val="0"/>
      <w:tabs>
        <w:tab w:val="left" w:pos="1054"/>
      </w:tabs>
      <w:autoSpaceDE w:val="0"/>
      <w:autoSpaceDN w:val="0"/>
      <w:adjustRightInd w:val="0"/>
      <w:snapToGrid w:val="0"/>
      <w:spacing w:beforeLines="10" w:afterLines="10" w:line="240" w:lineRule="auto"/>
      <w:outlineLvl w:val="9"/>
    </w:pPr>
    <w:rPr>
      <w:rFonts w:ascii="宋体" w:hAnsi="宋体"/>
      <w:b w:val="0"/>
      <w:bCs w:val="0"/>
      <w:szCs w:val="24"/>
    </w:rPr>
  </w:style>
  <w:style w:type="paragraph" w:customStyle="1" w:styleId="318">
    <w:name w:val="样式 首行缩进:  2 字符"/>
    <w:basedOn w:val="1"/>
    <w:qFormat/>
    <w:uiPriority w:val="0"/>
    <w:pPr>
      <w:widowControl w:val="0"/>
      <w:adjustRightInd/>
      <w:snapToGrid/>
      <w:spacing w:after="0" w:line="500" w:lineRule="exact"/>
      <w:ind w:firstLine="480" w:firstLineChars="200"/>
      <w:jc w:val="both"/>
    </w:pPr>
    <w:rPr>
      <w:rFonts w:ascii="宋体" w:hAnsi="宋体" w:eastAsia="宋体"/>
      <w:color w:val="000000"/>
      <w:kern w:val="2"/>
      <w:sz w:val="24"/>
      <w:szCs w:val="24"/>
    </w:rPr>
  </w:style>
  <w:style w:type="paragraph" w:customStyle="1" w:styleId="319">
    <w:name w:val="xl25"/>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eastAsia="Arial Unicode MS" w:cs="Times New Roman"/>
    </w:rPr>
  </w:style>
  <w:style w:type="paragraph" w:customStyle="1" w:styleId="320">
    <w:name w:val="1.1.1"/>
    <w:basedOn w:val="1"/>
    <w:qFormat/>
    <w:uiPriority w:val="0"/>
    <w:pPr>
      <w:widowControl w:val="0"/>
      <w:tabs>
        <w:tab w:val="left" w:pos="0"/>
        <w:tab w:val="left" w:pos="900"/>
        <w:tab w:val="left" w:pos="1134"/>
        <w:tab w:val="left" w:pos="8505"/>
      </w:tabs>
      <w:spacing w:beforeLines="50" w:afterLines="50" w:line="360" w:lineRule="atLeast"/>
      <w:ind w:left="869" w:leftChars="50" w:right="200" w:rightChars="200"/>
      <w:jc w:val="both"/>
      <w:textAlignment w:val="baseline"/>
    </w:pPr>
    <w:rPr>
      <w:rFonts w:ascii="Times New Roman" w:hAnsi="Arial" w:eastAsia="宋体" w:cs="Times New Roman"/>
      <w:b/>
      <w:sz w:val="28"/>
      <w:szCs w:val="20"/>
    </w:rPr>
  </w:style>
  <w:style w:type="paragraph" w:customStyle="1" w:styleId="321">
    <w:name w:val="表格"/>
    <w:basedOn w:val="1"/>
    <w:qFormat/>
    <w:uiPriority w:val="0"/>
    <w:pPr>
      <w:widowControl w:val="0"/>
      <w:snapToGrid/>
      <w:spacing w:after="0" w:line="264" w:lineRule="auto"/>
      <w:jc w:val="center"/>
      <w:textAlignment w:val="baseline"/>
    </w:pPr>
    <w:rPr>
      <w:rFonts w:ascii="宋体" w:hAnsi="宋体" w:eastAsia="宋体" w:cs="Times New Roman"/>
      <w:sz w:val="24"/>
      <w:szCs w:val="20"/>
    </w:rPr>
  </w:style>
  <w:style w:type="paragraph" w:customStyle="1" w:styleId="322">
    <w:name w:val="+注："/>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1"/>
      <w:szCs w:val="21"/>
    </w:rPr>
  </w:style>
  <w:style w:type="paragraph" w:customStyle="1" w:styleId="323">
    <w:name w:val="Char2 Char Char Char Char Char Char Char"/>
    <w:basedOn w:val="1"/>
    <w:qFormat/>
    <w:uiPriority w:val="0"/>
    <w:pPr>
      <w:widowControl w:val="0"/>
      <w:tabs>
        <w:tab w:val="left" w:pos="360"/>
      </w:tabs>
      <w:adjustRightInd/>
      <w:snapToGrid/>
      <w:spacing w:after="0" w:line="360" w:lineRule="auto"/>
      <w:ind w:left="482" w:firstLine="200" w:firstLineChars="200"/>
      <w:jc w:val="both"/>
    </w:pPr>
    <w:rPr>
      <w:rFonts w:ascii="宋体" w:hAnsi="Times New Roman" w:eastAsia="宋体" w:cs="Times New Roman"/>
      <w:kern w:val="2"/>
      <w:sz w:val="24"/>
      <w:szCs w:val="24"/>
    </w:rPr>
  </w:style>
  <w:style w:type="paragraph" w:customStyle="1" w:styleId="324">
    <w:name w:val="1.1"/>
    <w:basedOn w:val="1"/>
    <w:qFormat/>
    <w:uiPriority w:val="0"/>
    <w:pPr>
      <w:keepNext/>
      <w:widowControl w:val="0"/>
      <w:overflowPunct w:val="0"/>
      <w:autoSpaceDE w:val="0"/>
      <w:autoSpaceDN w:val="0"/>
      <w:snapToGrid/>
      <w:spacing w:before="240" w:after="0"/>
      <w:textAlignment w:val="baseline"/>
    </w:pPr>
    <w:rPr>
      <w:rFonts w:ascii="宋体" w:hAnsi="Times New Roman" w:eastAsia="宋体" w:cs="Times New Roman"/>
      <w:b/>
      <w:sz w:val="24"/>
      <w:szCs w:val="20"/>
    </w:rPr>
  </w:style>
  <w:style w:type="paragraph" w:customStyle="1" w:styleId="325">
    <w:name w:val="注1"/>
    <w:basedOn w:val="1"/>
    <w:qFormat/>
    <w:uiPriority w:val="0"/>
    <w:pPr>
      <w:widowControl w:val="0"/>
      <w:adjustRightInd/>
      <w:snapToGrid/>
      <w:spacing w:after="0" w:line="360" w:lineRule="auto"/>
      <w:jc w:val="both"/>
    </w:pPr>
    <w:rPr>
      <w:rFonts w:ascii="宋体" w:hAnsi="Times New Roman" w:eastAsia="宋体" w:cs="Times New Roman"/>
      <w:bCs/>
      <w:kern w:val="2"/>
      <w:sz w:val="21"/>
      <w:szCs w:val="21"/>
    </w:rPr>
  </w:style>
  <w:style w:type="paragraph" w:customStyle="1" w:styleId="326">
    <w:name w:val="正文21"/>
    <w:basedOn w:val="1"/>
    <w:next w:val="327"/>
    <w:qFormat/>
    <w:uiPriority w:val="0"/>
    <w:pPr>
      <w:adjustRightInd/>
      <w:snapToGrid/>
      <w:spacing w:after="0" w:line="500" w:lineRule="exact"/>
      <w:ind w:firstLine="480" w:firstLineChars="200"/>
      <w:jc w:val="both"/>
    </w:pPr>
    <w:rPr>
      <w:rFonts w:ascii="Times New Roman" w:hAnsi="Times New Roman" w:eastAsia="宋体" w:cs="Times New Roman"/>
      <w:sz w:val="24"/>
      <w:szCs w:val="24"/>
      <w:lang w:eastAsia="en-US"/>
    </w:rPr>
  </w:style>
  <w:style w:type="paragraph" w:customStyle="1" w:styleId="327">
    <w:name w:val="正文2"/>
    <w:basedOn w:val="1"/>
    <w:qFormat/>
    <w:uiPriority w:val="0"/>
    <w:pPr>
      <w:adjustRightInd/>
      <w:snapToGrid/>
      <w:spacing w:after="0" w:line="500" w:lineRule="exact"/>
      <w:ind w:firstLine="482" w:firstLineChars="200"/>
    </w:pPr>
    <w:rPr>
      <w:rFonts w:ascii="Times New Roman" w:hAnsi="Times New Roman" w:eastAsia="宋体" w:cs="Times New Roman"/>
      <w:b/>
      <w:sz w:val="24"/>
      <w:szCs w:val="24"/>
    </w:rPr>
  </w:style>
  <w:style w:type="paragraph" w:customStyle="1" w:styleId="328">
    <w:name w:val="项目符号_“-”"/>
    <w:basedOn w:val="1"/>
    <w:qFormat/>
    <w:uiPriority w:val="0"/>
    <w:pPr>
      <w:widowControl w:val="0"/>
      <w:tabs>
        <w:tab w:val="left" w:pos="420"/>
      </w:tabs>
      <w:adjustRightInd/>
      <w:snapToGrid/>
      <w:spacing w:before="78" w:after="0"/>
      <w:ind w:left="820" w:leftChars="400" w:hanging="420"/>
      <w:jc w:val="both"/>
    </w:pPr>
    <w:rPr>
      <w:rFonts w:ascii="Times New Roman" w:hAnsi="Times New Roman" w:eastAsia="宋体" w:cs="Times New Roman"/>
      <w:kern w:val="2"/>
      <w:sz w:val="21"/>
      <w:szCs w:val="20"/>
    </w:rPr>
  </w:style>
  <w:style w:type="paragraph" w:customStyle="1" w:styleId="329">
    <w:name w:val="Char Char Char Char Char Char"/>
    <w:basedOn w:val="1"/>
    <w:qFormat/>
    <w:uiPriority w:val="0"/>
    <w:pPr>
      <w:widowControl w:val="0"/>
      <w:adjustRightInd/>
      <w:snapToGrid/>
      <w:spacing w:after="0"/>
      <w:jc w:val="both"/>
    </w:pPr>
    <w:rPr>
      <w:rFonts w:eastAsia="宋体" w:cs="Times New Roman"/>
      <w:kern w:val="2"/>
      <w:sz w:val="24"/>
      <w:szCs w:val="20"/>
    </w:rPr>
  </w:style>
  <w:style w:type="paragraph" w:customStyle="1" w:styleId="330">
    <w:name w:val="列表项目编号"/>
    <w:basedOn w:val="1"/>
    <w:qFormat/>
    <w:uiPriority w:val="0"/>
    <w:pPr>
      <w:widowControl w:val="0"/>
      <w:snapToGrid/>
      <w:spacing w:after="0" w:line="360" w:lineRule="auto"/>
      <w:jc w:val="both"/>
    </w:pPr>
    <w:rPr>
      <w:rFonts w:ascii="Times New Roman" w:hAnsi="Times New Roman" w:eastAsia="宋体" w:cs="Times New Roman"/>
      <w:sz w:val="28"/>
      <w:szCs w:val="20"/>
    </w:rPr>
  </w:style>
  <w:style w:type="paragraph" w:customStyle="1" w:styleId="331">
    <w:name w:val="xl27"/>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332">
    <w:name w:val="样式 样式 样式 样式 标题 3 + + 段前: 1.5 行 段后: 1.5 行 + 段前: 1.5 行 段后: 1.5 行 +...1"/>
    <w:basedOn w:val="315"/>
    <w:qFormat/>
    <w:uiPriority w:val="0"/>
    <w:pPr>
      <w:spacing w:afterLines="80"/>
    </w:pPr>
  </w:style>
  <w:style w:type="paragraph" w:customStyle="1" w:styleId="333">
    <w:name w:val="样式 样式 样式3 + 首行缩进:  2 字符 + 首行缩进:  2 字符"/>
    <w:basedOn w:val="301"/>
    <w:qFormat/>
    <w:uiPriority w:val="0"/>
    <w:pPr>
      <w:spacing w:before="360" w:after="240"/>
      <w:ind w:firstLine="0" w:firstLineChars="0"/>
      <w:outlineLvl w:val="2"/>
    </w:pPr>
    <w:rPr>
      <w:szCs w:val="20"/>
    </w:rPr>
  </w:style>
  <w:style w:type="paragraph" w:customStyle="1" w:styleId="334">
    <w:name w:val="表格文字居中"/>
    <w:basedOn w:val="1"/>
    <w:next w:val="1"/>
    <w:qFormat/>
    <w:uiPriority w:val="0"/>
    <w:pPr>
      <w:widowControl w:val="0"/>
      <w:tabs>
        <w:tab w:val="left" w:pos="720"/>
        <w:tab w:val="left" w:pos="900"/>
      </w:tabs>
      <w:spacing w:beforeLines="20" w:afterLines="20" w:line="360" w:lineRule="auto"/>
      <w:jc w:val="center"/>
    </w:pPr>
    <w:rPr>
      <w:rFonts w:ascii="宋体" w:hAnsi="Arial" w:eastAsia="宋体" w:cs="Times New Roman"/>
      <w:sz w:val="18"/>
      <w:szCs w:val="20"/>
    </w:rPr>
  </w:style>
  <w:style w:type="paragraph" w:customStyle="1" w:styleId="335">
    <w:name w:val="11"/>
    <w:basedOn w:val="1"/>
    <w:next w:val="33"/>
    <w:qFormat/>
    <w:uiPriority w:val="0"/>
    <w:pPr>
      <w:widowControl w:val="0"/>
      <w:adjustRightInd/>
      <w:snapToGrid/>
      <w:spacing w:after="0"/>
      <w:jc w:val="both"/>
    </w:pPr>
    <w:rPr>
      <w:rFonts w:ascii="宋体" w:hAnsi="Courier New" w:eastAsia="宋体" w:cs="Courier New"/>
      <w:kern w:val="2"/>
      <w:sz w:val="21"/>
      <w:szCs w:val="21"/>
    </w:rPr>
  </w:style>
  <w:style w:type="paragraph" w:customStyle="1" w:styleId="336">
    <w:name w:val="用户标题3"/>
    <w:basedOn w:val="4"/>
    <w:qFormat/>
    <w:uiPriority w:val="0"/>
    <w:pPr>
      <w:tabs>
        <w:tab w:val="left" w:pos="284"/>
        <w:tab w:val="left" w:pos="567"/>
      </w:tabs>
      <w:adjustRightInd w:val="0"/>
      <w:spacing w:before="360" w:after="120" w:line="400" w:lineRule="atLeast"/>
      <w:ind w:left="300" w:firstLine="142"/>
      <w:jc w:val="left"/>
      <w:textAlignment w:val="baseline"/>
      <w:outlineLvl w:val="9"/>
    </w:pPr>
    <w:rPr>
      <w:kern w:val="0"/>
      <w:sz w:val="30"/>
      <w:szCs w:val="20"/>
    </w:rPr>
  </w:style>
  <w:style w:type="paragraph" w:customStyle="1" w:styleId="337">
    <w:name w:val="标书正文"/>
    <w:basedOn w:val="14"/>
    <w:qFormat/>
    <w:uiPriority w:val="0"/>
    <w:pPr>
      <w:snapToGrid w:val="0"/>
      <w:spacing w:before="50" w:after="0" w:line="460" w:lineRule="exact"/>
      <w:ind w:firstLine="360" w:firstLineChars="150"/>
    </w:pPr>
    <w:rPr>
      <w:rFonts w:ascii="Calibri" w:hAnsi="Calibri"/>
      <w:kern w:val="0"/>
      <w:sz w:val="24"/>
      <w:szCs w:val="20"/>
      <w:lang w:eastAsia="en-US"/>
    </w:rPr>
  </w:style>
  <w:style w:type="paragraph" w:customStyle="1" w:styleId="338">
    <w:name w:val="样式 样式 样式 标题 3 + + 段前: 1.5 行 段后: 1.5 行 + 段前: 1.5 行 段后: 1.5 行1"/>
    <w:basedOn w:val="316"/>
    <w:qFormat/>
    <w:uiPriority w:val="0"/>
    <w:rPr>
      <w:bCs w:val="0"/>
    </w:rPr>
  </w:style>
  <w:style w:type="paragraph" w:customStyle="1" w:styleId="339">
    <w:name w:val="样式 (西文) 仿宋_GB2312 (中文) 仿宋_GB2312 小四 黑色 行距: 固定值 18 磅"/>
    <w:basedOn w:val="1"/>
    <w:qFormat/>
    <w:uiPriority w:val="0"/>
    <w:pPr>
      <w:widowControl w:val="0"/>
      <w:adjustRightInd/>
      <w:snapToGrid/>
      <w:spacing w:beforeLines="30" w:after="0" w:line="360" w:lineRule="exact"/>
      <w:jc w:val="both"/>
    </w:pPr>
    <w:rPr>
      <w:rFonts w:ascii="宋体" w:hAnsi="Times New Roman" w:eastAsia="宋体" w:cs="Times New Roman"/>
      <w:color w:val="000000"/>
      <w:kern w:val="2"/>
      <w:sz w:val="24"/>
      <w:szCs w:val="21"/>
    </w:rPr>
  </w:style>
  <w:style w:type="paragraph" w:customStyle="1" w:styleId="340">
    <w:name w:val="肖正"/>
    <w:basedOn w:val="1"/>
    <w:qFormat/>
    <w:uiPriority w:val="0"/>
    <w:pPr>
      <w:widowControl w:val="0"/>
      <w:adjustRightInd/>
      <w:snapToGrid/>
      <w:spacing w:after="0"/>
      <w:ind w:firstLine="567"/>
      <w:jc w:val="both"/>
    </w:pPr>
    <w:rPr>
      <w:rFonts w:ascii="Times New Roman" w:hAnsi="Times New Roman" w:eastAsia="宋体" w:cs="Times New Roman"/>
      <w:kern w:val="2"/>
      <w:sz w:val="24"/>
      <w:szCs w:val="18"/>
    </w:rPr>
  </w:style>
  <w:style w:type="paragraph" w:customStyle="1" w:styleId="341">
    <w:name w:val="样式 样式 样式 样式 首行缩进:  0.74 厘米 行距: 固定值 29 磅 + 首行缩进:  2 字符 + (西文) Ari..."/>
    <w:basedOn w:val="1"/>
    <w:qFormat/>
    <w:uiPriority w:val="0"/>
    <w:pPr>
      <w:widowControl w:val="0"/>
      <w:tabs>
        <w:tab w:val="left" w:pos="1320"/>
      </w:tabs>
      <w:adjustRightInd/>
      <w:snapToGrid/>
      <w:spacing w:after="0" w:line="360" w:lineRule="auto"/>
      <w:ind w:firstLine="200" w:firstLineChars="200"/>
      <w:jc w:val="both"/>
    </w:pPr>
    <w:rPr>
      <w:rFonts w:ascii="Times New Roman" w:hAnsi="Times New Roman" w:eastAsia="宋体" w:cs="Times New Roman"/>
      <w:spacing w:val="2"/>
      <w:kern w:val="2"/>
      <w:sz w:val="24"/>
      <w:szCs w:val="24"/>
    </w:rPr>
  </w:style>
  <w:style w:type="paragraph" w:customStyle="1" w:styleId="342">
    <w:name w:val="6'"/>
    <w:basedOn w:val="1"/>
    <w:qFormat/>
    <w:uiPriority w:val="0"/>
    <w:pPr>
      <w:widowControl w:val="0"/>
      <w:autoSpaceDE w:val="0"/>
      <w:autoSpaceDN w:val="0"/>
      <w:spacing w:after="0" w:line="320" w:lineRule="exact"/>
      <w:jc w:val="center"/>
      <w:textAlignment w:val="baseline"/>
    </w:pPr>
    <w:rPr>
      <w:rFonts w:ascii="Times New Roman" w:hAnsi="Times New Roman" w:eastAsia="宋体" w:cs="Times New Roman"/>
      <w:spacing w:val="20"/>
      <w:kern w:val="28"/>
      <w:sz w:val="21"/>
      <w:szCs w:val="20"/>
    </w:rPr>
  </w:style>
  <w:style w:type="paragraph" w:customStyle="1" w:styleId="343">
    <w:name w:val="font5"/>
    <w:basedOn w:val="1"/>
    <w:qFormat/>
    <w:uiPriority w:val="0"/>
    <w:pPr>
      <w:adjustRightInd/>
      <w:snapToGrid/>
      <w:spacing w:before="100" w:beforeAutospacing="1" w:after="100" w:afterAutospacing="1"/>
    </w:pPr>
    <w:rPr>
      <w:rFonts w:hint="eastAsia" w:ascii="宋体" w:hAnsi="宋体" w:eastAsia="宋体" w:cs="Arial Unicode MS"/>
      <w:sz w:val="18"/>
      <w:szCs w:val="18"/>
    </w:rPr>
  </w:style>
  <w:style w:type="paragraph" w:customStyle="1" w:styleId="344">
    <w:name w:val="font7"/>
    <w:basedOn w:val="1"/>
    <w:qFormat/>
    <w:uiPriority w:val="0"/>
    <w:pPr>
      <w:adjustRightInd/>
      <w:snapToGrid/>
      <w:spacing w:before="100" w:beforeAutospacing="1" w:after="100" w:afterAutospacing="1"/>
    </w:pPr>
    <w:rPr>
      <w:rFonts w:ascii="Times New Roman" w:hAnsi="Times New Roman" w:eastAsia="Arial Unicode MS" w:cs="Times New Roman"/>
    </w:rPr>
  </w:style>
  <w:style w:type="paragraph" w:customStyle="1" w:styleId="345">
    <w:name w:val="+正文 Char Char Char Char"/>
    <w:basedOn w:val="1"/>
    <w:qFormat/>
    <w:uiPriority w:val="0"/>
    <w:pPr>
      <w:widowControl w:val="0"/>
      <w:adjustRightInd/>
      <w:snapToGrid/>
      <w:spacing w:after="0" w:line="360" w:lineRule="auto"/>
      <w:ind w:firstLine="200" w:firstLineChars="200"/>
      <w:jc w:val="both"/>
    </w:pPr>
    <w:rPr>
      <w:rFonts w:ascii="楷体_GB2312" w:hAnsi="Times New Roman" w:eastAsia="宋体" w:cs="Times New Roman"/>
      <w:kern w:val="2"/>
      <w:sz w:val="24"/>
      <w:szCs w:val="24"/>
    </w:rPr>
  </w:style>
  <w:style w:type="paragraph" w:customStyle="1" w:styleId="346">
    <w:name w:val="Char2 Char Char"/>
    <w:basedOn w:val="1"/>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347">
    <w:name w:val="样式 样式 样式 样式 样式 标题 3 + + 段前: 1.5 行 段后: 1.5 行 + 段前: 1.5 行 段后: 1.5 ..."/>
    <w:basedOn w:val="314"/>
    <w:qFormat/>
    <w:uiPriority w:val="0"/>
  </w:style>
  <w:style w:type="paragraph" w:customStyle="1" w:styleId="348">
    <w:name w:val="Char Char Char Char Char Char1 Char"/>
    <w:basedOn w:val="1"/>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349">
    <w:name w:val="样式 样式 样式 样式 首行缩进:  2 字符 + 首行缩进:  2 字符 + 首行缩进:  2 字符 + 首行缩进:  2 字..."/>
    <w:basedOn w:val="1"/>
    <w:qFormat/>
    <w:uiPriority w:val="0"/>
    <w:pPr>
      <w:widowControl w:val="0"/>
      <w:adjustRightInd/>
      <w:snapToGrid/>
      <w:spacing w:beforeLines="25" w:afterLines="25" w:line="360" w:lineRule="auto"/>
      <w:ind w:firstLine="200" w:firstLineChars="200"/>
      <w:jc w:val="both"/>
    </w:pPr>
    <w:rPr>
      <w:rFonts w:ascii="Times New Roman" w:hAnsi="Times New Roman" w:eastAsia="宋体"/>
      <w:spacing w:val="6"/>
      <w:kern w:val="2"/>
      <w:sz w:val="28"/>
      <w:szCs w:val="20"/>
    </w:rPr>
  </w:style>
  <w:style w:type="paragraph" w:customStyle="1" w:styleId="350">
    <w:name w:val="Char Char Char Char Char Char Char Char Char Char"/>
    <w:basedOn w:val="1"/>
    <w:qFormat/>
    <w:uiPriority w:val="0"/>
    <w:pPr>
      <w:widowControl w:val="0"/>
      <w:adjustRightInd/>
      <w:snapToGrid/>
      <w:spacing w:after="0"/>
      <w:jc w:val="both"/>
    </w:pPr>
    <w:rPr>
      <w:rFonts w:eastAsia="宋体" w:cs="Times New Roman"/>
      <w:kern w:val="2"/>
      <w:sz w:val="24"/>
      <w:szCs w:val="20"/>
    </w:rPr>
  </w:style>
  <w:style w:type="paragraph" w:customStyle="1" w:styleId="351">
    <w:name w:val="+▲"/>
    <w:basedOn w:val="305"/>
    <w:qFormat/>
    <w:uiPriority w:val="0"/>
    <w:pPr>
      <w:tabs>
        <w:tab w:val="left" w:pos="900"/>
      </w:tabs>
      <w:ind w:left="1080" w:firstLine="0" w:firstLineChars="0"/>
    </w:pPr>
  </w:style>
  <w:style w:type="paragraph" w:customStyle="1" w:styleId="352">
    <w:name w:val="_Style 100"/>
    <w:basedOn w:val="1"/>
    <w:next w:val="58"/>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353">
    <w:name w:val="+正文 Char Char3 Char Char Char Char"/>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354">
    <w:name w:val="样式 样式 样式 标题 3 + 首行缩进:  2 字符 + 首行缩进:  2 字符 + 首行缩进:  2 字符 Char Char"/>
    <w:basedOn w:val="1"/>
    <w:qFormat/>
    <w:uiPriority w:val="0"/>
    <w:pPr>
      <w:keepNext/>
      <w:keepLines/>
      <w:widowControl w:val="0"/>
      <w:tabs>
        <w:tab w:val="left" w:pos="600"/>
      </w:tabs>
      <w:spacing w:before="160" w:after="120" w:line="520" w:lineRule="exact"/>
      <w:ind w:left="300"/>
      <w:jc w:val="both"/>
      <w:textAlignment w:val="baseline"/>
      <w:outlineLvl w:val="2"/>
    </w:pPr>
    <w:rPr>
      <w:rFonts w:ascii="Times New Roman" w:hAnsi="Times New Roman" w:eastAsia="黑体"/>
      <w:sz w:val="24"/>
      <w:szCs w:val="24"/>
    </w:rPr>
  </w:style>
  <w:style w:type="paragraph" w:customStyle="1" w:styleId="355">
    <w:name w:val="标题1.1"/>
    <w:basedOn w:val="7"/>
    <w:qFormat/>
    <w:uiPriority w:val="0"/>
    <w:pPr>
      <w:tabs>
        <w:tab w:val="left" w:pos="1701"/>
      </w:tabs>
      <w:spacing w:line="320" w:lineRule="auto"/>
      <w:ind w:left="360" w:hanging="360"/>
    </w:pPr>
    <w:rPr>
      <w:rFonts w:ascii="Arial" w:hAnsi="Arial" w:eastAsia="黑体"/>
      <w:bCs w:val="0"/>
      <w:szCs w:val="20"/>
    </w:rPr>
  </w:style>
  <w:style w:type="paragraph" w:customStyle="1" w:styleId="356">
    <w:name w:val="样式 标题 1 + 两端对齐 左侧:  0 厘米"/>
    <w:basedOn w:val="2"/>
    <w:qFormat/>
    <w:uiPriority w:val="0"/>
    <w:pPr>
      <w:tabs>
        <w:tab w:val="left" w:pos="660"/>
        <w:tab w:val="left" w:pos="3575"/>
      </w:tabs>
      <w:adjustRightInd w:val="0"/>
      <w:spacing w:before="240" w:after="240" w:line="240" w:lineRule="auto"/>
      <w:jc w:val="center"/>
      <w:textAlignment w:val="baseline"/>
    </w:pPr>
    <w:rPr>
      <w:rFonts w:ascii="宋体" w:hAnsi="宋体" w:eastAsia="黑体" w:cs="宋体"/>
      <w:b w:val="0"/>
      <w:bCs w:val="0"/>
      <w:sz w:val="30"/>
      <w:szCs w:val="30"/>
    </w:rPr>
  </w:style>
  <w:style w:type="paragraph" w:customStyle="1" w:styleId="357">
    <w:name w:val="正文首缩"/>
    <w:basedOn w:val="1"/>
    <w:next w:val="5"/>
    <w:qFormat/>
    <w:uiPriority w:val="0"/>
    <w:pPr>
      <w:widowControl w:val="0"/>
      <w:snapToGrid/>
      <w:spacing w:after="0" w:line="324" w:lineRule="auto"/>
      <w:ind w:firstLine="425"/>
      <w:jc w:val="both"/>
      <w:textAlignment w:val="baseline"/>
    </w:pPr>
    <w:rPr>
      <w:rFonts w:ascii="Times New Roman" w:hAnsi="Times New Roman" w:eastAsia="宋体" w:cs="Times New Roman"/>
      <w:sz w:val="28"/>
      <w:szCs w:val="20"/>
    </w:rPr>
  </w:style>
  <w:style w:type="paragraph" w:customStyle="1" w:styleId="358">
    <w:name w:val="TOC 标题3"/>
    <w:basedOn w:val="2"/>
    <w:next w:val="1"/>
    <w:qFormat/>
    <w:uiPriority w:val="39"/>
    <w:pPr>
      <w:spacing w:before="340" w:after="330" w:line="576" w:lineRule="auto"/>
      <w:outlineLvl w:val="9"/>
    </w:pPr>
    <w:rPr>
      <w:rFonts w:ascii="Calibri" w:hAnsi="Calibri"/>
      <w:sz w:val="44"/>
    </w:rPr>
  </w:style>
  <w:style w:type="paragraph" w:customStyle="1" w:styleId="359">
    <w:name w:val="目录标题"/>
    <w:basedOn w:val="1"/>
    <w:next w:val="1"/>
    <w:qFormat/>
    <w:uiPriority w:val="0"/>
    <w:pPr>
      <w:adjustRightInd/>
      <w:snapToGrid/>
      <w:spacing w:before="215" w:after="419" w:line="436" w:lineRule="atLeast"/>
      <w:ind w:firstLine="419"/>
      <w:jc w:val="center"/>
      <w:textAlignment w:val="baseline"/>
    </w:pPr>
    <w:rPr>
      <w:rFonts w:ascii="Arial" w:hAnsi="Times New Roman" w:eastAsia="黑体" w:cs="Times New Roman"/>
      <w:color w:val="000000"/>
      <w:spacing w:val="283"/>
      <w:sz w:val="42"/>
      <w:szCs w:val="20"/>
      <w:u w:color="000000"/>
    </w:rPr>
  </w:style>
  <w:style w:type="paragraph" w:customStyle="1" w:styleId="360">
    <w:name w:val="用户标题4"/>
    <w:basedOn w:val="5"/>
    <w:qFormat/>
    <w:uiPriority w:val="0"/>
    <w:pPr>
      <w:adjustRightInd w:val="0"/>
      <w:spacing w:before="240" w:after="120" w:line="376" w:lineRule="atLeast"/>
      <w:ind w:left="450" w:leftChars="150" w:firstLine="284"/>
      <w:jc w:val="left"/>
      <w:textAlignment w:val="baseline"/>
      <w:outlineLvl w:val="9"/>
    </w:pPr>
    <w:rPr>
      <w:rFonts w:ascii="Times New Roman" w:hAnsi="Times New Roman"/>
      <w:bCs w:val="0"/>
      <w:kern w:val="0"/>
      <w:sz w:val="28"/>
      <w:szCs w:val="20"/>
    </w:rPr>
  </w:style>
  <w:style w:type="paragraph" w:customStyle="1" w:styleId="361">
    <w:name w:val="+标题3"/>
    <w:basedOn w:val="4"/>
    <w:qFormat/>
    <w:uiPriority w:val="0"/>
    <w:pPr>
      <w:tabs>
        <w:tab w:val="left" w:pos="1260"/>
      </w:tabs>
      <w:spacing w:before="120" w:after="120"/>
      <w:ind w:left="1260" w:hanging="420"/>
    </w:pPr>
    <w:rPr>
      <w:szCs w:val="28"/>
    </w:rPr>
  </w:style>
  <w:style w:type="paragraph" w:customStyle="1" w:styleId="362">
    <w:name w:val="Char Char1 Char Char Char Char Char Char Char Char Char Char Char Char Char Char Char"/>
    <w:basedOn w:val="1"/>
    <w:qFormat/>
    <w:uiPriority w:val="0"/>
    <w:pPr>
      <w:adjustRightInd/>
      <w:snapToGrid/>
      <w:spacing w:after="160" w:line="240" w:lineRule="exact"/>
    </w:pPr>
    <w:rPr>
      <w:rFonts w:ascii="Verdana" w:hAnsi="Verdana" w:eastAsia="宋体" w:cs="Times New Roman"/>
      <w:sz w:val="20"/>
      <w:szCs w:val="20"/>
      <w:lang w:eastAsia="en-US"/>
    </w:rPr>
  </w:style>
  <w:style w:type="paragraph" w:customStyle="1" w:styleId="363">
    <w:name w:val="文章总标题"/>
    <w:basedOn w:val="1"/>
    <w:next w:val="281"/>
    <w:qFormat/>
    <w:uiPriority w:val="0"/>
    <w:pPr>
      <w:adjustRightInd/>
      <w:snapToGrid/>
      <w:spacing w:before="566" w:after="544" w:line="566" w:lineRule="atLeast"/>
      <w:jc w:val="center"/>
      <w:textAlignment w:val="baseline"/>
    </w:pPr>
    <w:rPr>
      <w:rFonts w:ascii="Arial" w:hAnsi="Times New Roman" w:eastAsia="黑体" w:cs="Times New Roman"/>
      <w:color w:val="000000"/>
      <w:sz w:val="54"/>
      <w:szCs w:val="20"/>
      <w:u w:color="000000"/>
    </w:rPr>
  </w:style>
  <w:style w:type="paragraph" w:customStyle="1" w:styleId="364">
    <w:name w:val="Style1"/>
    <w:basedOn w:val="1"/>
    <w:qFormat/>
    <w:uiPriority w:val="0"/>
    <w:pPr>
      <w:overflowPunct w:val="0"/>
      <w:autoSpaceDE w:val="0"/>
      <w:autoSpaceDN w:val="0"/>
      <w:snapToGrid/>
      <w:spacing w:before="240" w:after="0"/>
      <w:ind w:left="851"/>
      <w:jc w:val="both"/>
      <w:textAlignment w:val="baseline"/>
    </w:pPr>
    <w:rPr>
      <w:rFonts w:ascii="Times New Roman" w:hAnsi="Times New Roman" w:eastAsia="宋体" w:cs="Times New Roman"/>
      <w:b/>
      <w:bCs/>
      <w:sz w:val="24"/>
      <w:szCs w:val="20"/>
    </w:rPr>
  </w:style>
  <w:style w:type="paragraph" w:customStyle="1" w:styleId="365">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Cs w:val="20"/>
    </w:rPr>
  </w:style>
  <w:style w:type="paragraph" w:customStyle="1" w:styleId="366">
    <w:name w:val="ST20_2"/>
    <w:basedOn w:val="1"/>
    <w:qFormat/>
    <w:uiPriority w:val="0"/>
    <w:pPr>
      <w:widowControl w:val="0"/>
      <w:autoSpaceDE w:val="0"/>
      <w:autoSpaceDN w:val="0"/>
      <w:snapToGrid/>
      <w:spacing w:after="0"/>
      <w:ind w:left="840" w:hanging="420"/>
    </w:pPr>
    <w:rPr>
      <w:rFonts w:ascii="宋体" w:hAnsi="Tms Rmn" w:eastAsia="宋体" w:cs="Times New Roman"/>
      <w:sz w:val="24"/>
      <w:szCs w:val="20"/>
    </w:rPr>
  </w:style>
  <w:style w:type="paragraph" w:customStyle="1" w:styleId="367">
    <w:name w:val="样式 样式 行距: 1.5 倍行距 + 首行缩进:  2 字符"/>
    <w:basedOn w:val="1"/>
    <w:qFormat/>
    <w:uiPriority w:val="0"/>
    <w:pPr>
      <w:widowControl w:val="0"/>
      <w:adjustRightInd/>
      <w:snapToGrid/>
      <w:spacing w:after="0" w:line="500" w:lineRule="exact"/>
      <w:ind w:firstLine="480" w:firstLineChars="200"/>
      <w:jc w:val="both"/>
    </w:pPr>
    <w:rPr>
      <w:rFonts w:ascii="Times New Roman" w:hAnsi="Times New Roman" w:eastAsia="宋体"/>
      <w:kern w:val="2"/>
      <w:sz w:val="24"/>
      <w:szCs w:val="20"/>
    </w:rPr>
  </w:style>
  <w:style w:type="paragraph" w:customStyle="1" w:styleId="368">
    <w:name w:val="用户段落(标书)"/>
    <w:basedOn w:val="1"/>
    <w:qFormat/>
    <w:uiPriority w:val="0"/>
    <w:pPr>
      <w:widowControl w:val="0"/>
      <w:snapToGrid/>
      <w:spacing w:after="0" w:line="420" w:lineRule="exact"/>
      <w:ind w:firstLine="482"/>
      <w:textAlignment w:val="baseline"/>
    </w:pPr>
    <w:rPr>
      <w:rFonts w:ascii="Times New Roman" w:hAnsi="Times New Roman" w:eastAsia="宋体" w:cs="Times New Roman"/>
      <w:sz w:val="24"/>
      <w:szCs w:val="20"/>
    </w:rPr>
  </w:style>
  <w:style w:type="paragraph" w:customStyle="1" w:styleId="369">
    <w:name w:val="目录3"/>
    <w:basedOn w:val="1"/>
    <w:next w:val="1"/>
    <w:qFormat/>
    <w:uiPriority w:val="0"/>
    <w:pPr>
      <w:tabs>
        <w:tab w:val="left" w:leader="dot" w:pos="8503"/>
      </w:tabs>
      <w:adjustRightInd/>
      <w:snapToGrid/>
      <w:spacing w:after="0" w:line="317" w:lineRule="atLeast"/>
      <w:ind w:left="419" w:firstLine="419"/>
      <w:jc w:val="both"/>
      <w:textAlignment w:val="baseline"/>
    </w:pPr>
    <w:rPr>
      <w:rFonts w:ascii="Times New Roman" w:hAnsi="Times New Roman" w:eastAsia="宋体" w:cs="Times New Roman"/>
      <w:color w:val="000000"/>
      <w:sz w:val="21"/>
      <w:szCs w:val="20"/>
      <w:u w:color="000000"/>
    </w:rPr>
  </w:style>
  <w:style w:type="paragraph" w:customStyle="1" w:styleId="370">
    <w:name w:val="样式 样式 样式 标题 2 + 段前: 1 行 段后: 0.5 行 + 段前: 1 行 段后: 0.5 行 + 段前: 1 行..."/>
    <w:basedOn w:val="1"/>
    <w:qFormat/>
    <w:uiPriority w:val="0"/>
    <w:pPr>
      <w:keepNext/>
      <w:keepLines/>
      <w:widowControl w:val="0"/>
      <w:tabs>
        <w:tab w:val="left" w:pos="567"/>
      </w:tabs>
      <w:adjustRightInd/>
      <w:snapToGrid/>
      <w:spacing w:beforeLines="50" w:afterLines="30" w:line="500" w:lineRule="exact"/>
      <w:ind w:left="567" w:hanging="567"/>
      <w:jc w:val="both"/>
      <w:outlineLvl w:val="1"/>
    </w:pPr>
    <w:rPr>
      <w:rFonts w:ascii="宋体" w:hAnsi="宋体" w:eastAsia="黑体"/>
      <w:kern w:val="2"/>
      <w:sz w:val="30"/>
      <w:szCs w:val="30"/>
    </w:rPr>
  </w:style>
  <w:style w:type="paragraph" w:customStyle="1" w:styleId="371">
    <w:name w:val="1."/>
    <w:basedOn w:val="1"/>
    <w:qFormat/>
    <w:uiPriority w:val="0"/>
    <w:pPr>
      <w:tabs>
        <w:tab w:val="left" w:pos="1134"/>
        <w:tab w:val="left" w:pos="1200"/>
      </w:tabs>
      <w:adjustRightInd/>
      <w:snapToGrid/>
      <w:spacing w:before="240" w:after="0"/>
      <w:ind w:left="1134" w:hanging="454"/>
      <w:jc w:val="both"/>
    </w:pPr>
    <w:rPr>
      <w:rFonts w:ascii="Times New Roman" w:hAnsi="Times New Roman" w:eastAsia="宋体" w:cs="Times New Roman"/>
      <w:kern w:val="2"/>
      <w:sz w:val="24"/>
      <w:szCs w:val="20"/>
    </w:rPr>
  </w:style>
  <w:style w:type="paragraph" w:customStyle="1" w:styleId="372">
    <w:name w:val="样式 样式 样式 标题 3 + 段前: 0.5 行 段后: 0.5 行 + 段前: 0.5 行 段后: 0.25 行 + 段前:..."/>
    <w:basedOn w:val="1"/>
    <w:qFormat/>
    <w:uiPriority w:val="0"/>
    <w:pPr>
      <w:keepNext/>
      <w:keepLines/>
      <w:widowControl w:val="0"/>
      <w:tabs>
        <w:tab w:val="left" w:pos="1260"/>
      </w:tabs>
      <w:adjustRightInd/>
      <w:snapToGrid/>
      <w:spacing w:beforeLines="60" w:afterLines="50" w:line="520" w:lineRule="exact"/>
      <w:ind w:left="889" w:hanging="709"/>
      <w:jc w:val="both"/>
      <w:outlineLvl w:val="2"/>
    </w:pPr>
    <w:rPr>
      <w:rFonts w:ascii="宋体" w:hAnsi="宋体" w:eastAsia="黑体"/>
      <w:color w:val="000000"/>
      <w:kern w:val="2"/>
      <w:sz w:val="28"/>
      <w:szCs w:val="28"/>
    </w:rPr>
  </w:style>
  <w:style w:type="paragraph" w:customStyle="1" w:styleId="373">
    <w:name w:val="xl26"/>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20"/>
      <w:szCs w:val="20"/>
    </w:rPr>
  </w:style>
  <w:style w:type="paragraph" w:customStyle="1" w:styleId="374">
    <w:name w:val="_Style 96"/>
    <w:basedOn w:val="1"/>
    <w:next w:val="58"/>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375">
    <w:name w:val="Fließtext"/>
    <w:basedOn w:val="1"/>
    <w:qFormat/>
    <w:uiPriority w:val="0"/>
    <w:pPr>
      <w:shd w:val="clear" w:color="auto" w:fill="FFFFFF"/>
      <w:tabs>
        <w:tab w:val="left" w:pos="567"/>
        <w:tab w:val="left" w:pos="851"/>
        <w:tab w:val="left" w:pos="1134"/>
      </w:tabs>
      <w:adjustRightInd/>
      <w:snapToGrid/>
      <w:spacing w:before="120" w:after="60" w:line="276" w:lineRule="auto"/>
      <w:ind w:left="567" w:right="284"/>
      <w:jc w:val="both"/>
    </w:pPr>
    <w:rPr>
      <w:rFonts w:ascii="Arial" w:hAnsi="Arial" w:eastAsia="宋体" w:cs="Arial"/>
      <w:color w:val="000000"/>
      <w:szCs w:val="20"/>
      <w:lang w:val="en-GB" w:eastAsia="de-DE"/>
    </w:rPr>
  </w:style>
  <w:style w:type="paragraph" w:customStyle="1" w:styleId="376">
    <w:name w:val="+列表1"/>
    <w:basedOn w:val="1"/>
    <w:qFormat/>
    <w:uiPriority w:val="0"/>
    <w:pPr>
      <w:widowControl w:val="0"/>
      <w:adjustRightInd/>
      <w:snapToGrid/>
      <w:spacing w:after="0"/>
      <w:jc w:val="center"/>
    </w:pPr>
    <w:rPr>
      <w:rFonts w:ascii="Times New Roman" w:hAnsi="Times New Roman" w:eastAsia="宋体" w:cs="Times New Roman"/>
      <w:kern w:val="2"/>
      <w:sz w:val="21"/>
      <w:szCs w:val="24"/>
    </w:rPr>
  </w:style>
  <w:style w:type="paragraph" w:customStyle="1" w:styleId="377">
    <w:name w:val="-正文 Char"/>
    <w:basedOn w:val="1"/>
    <w:qFormat/>
    <w:uiPriority w:val="0"/>
    <w:pPr>
      <w:overflowPunct w:val="0"/>
      <w:autoSpaceDE w:val="0"/>
      <w:autoSpaceDN w:val="0"/>
      <w:snapToGrid/>
      <w:spacing w:after="0" w:line="360" w:lineRule="auto"/>
      <w:ind w:firstLine="200" w:firstLineChars="200"/>
      <w:textAlignment w:val="baseline"/>
    </w:pPr>
    <w:rPr>
      <w:rFonts w:ascii="Arial" w:hAnsi="Arial" w:eastAsia="宋体" w:cs="Times New Roman"/>
      <w:sz w:val="24"/>
      <w:szCs w:val="24"/>
    </w:rPr>
  </w:style>
  <w:style w:type="paragraph" w:customStyle="1" w:styleId="378">
    <w:name w:val="经典样式正文"/>
    <w:basedOn w:val="54"/>
    <w:next w:val="54"/>
    <w:qFormat/>
    <w:uiPriority w:val="0"/>
    <w:pPr>
      <w:spacing w:line="360" w:lineRule="auto"/>
    </w:pPr>
  </w:style>
  <w:style w:type="paragraph" w:customStyle="1" w:styleId="379">
    <w:name w:val="项目符号_圆点"/>
    <w:basedOn w:val="1"/>
    <w:qFormat/>
    <w:uiPriority w:val="0"/>
    <w:pPr>
      <w:widowControl w:val="0"/>
      <w:tabs>
        <w:tab w:val="left" w:pos="900"/>
      </w:tabs>
      <w:adjustRightInd/>
      <w:snapToGrid/>
      <w:spacing w:before="78" w:after="0"/>
      <w:ind w:left="900" w:hanging="420"/>
      <w:jc w:val="both"/>
    </w:pPr>
    <w:rPr>
      <w:rFonts w:ascii="Times New Roman" w:hAnsi="Times New Roman" w:eastAsia="宋体" w:cs="Times New Roman"/>
      <w:kern w:val="2"/>
      <w:sz w:val="24"/>
      <w:szCs w:val="20"/>
    </w:rPr>
  </w:style>
  <w:style w:type="character" w:customStyle="1" w:styleId="380">
    <w:name w:val="明显引用 Char2"/>
    <w:basedOn w:val="64"/>
    <w:qFormat/>
    <w:uiPriority w:val="99"/>
    <w:rPr>
      <w:rFonts w:ascii="Tahoma" w:hAnsi="Tahoma" w:eastAsia="微软雅黑" w:cs="宋体"/>
      <w:b/>
      <w:bCs/>
      <w:i/>
      <w:iCs/>
      <w:color w:val="4F81BD"/>
      <w:sz w:val="22"/>
      <w:szCs w:val="22"/>
    </w:rPr>
  </w:style>
  <w:style w:type="paragraph" w:customStyle="1" w:styleId="381">
    <w:name w:val="样式 标题 2 + 行距: 固定值 23 磅"/>
    <w:basedOn w:val="3"/>
    <w:qFormat/>
    <w:uiPriority w:val="0"/>
    <w:pPr>
      <w:spacing w:before="0" w:after="0" w:line="460" w:lineRule="exact"/>
    </w:pPr>
    <w:rPr>
      <w:rFonts w:ascii="宋体" w:hAnsi="宋体" w:eastAsia="宋体" w:cs="宋体"/>
      <w:sz w:val="28"/>
      <w:szCs w:val="20"/>
    </w:rPr>
  </w:style>
  <w:style w:type="paragraph" w:customStyle="1" w:styleId="382">
    <w:name w:val="样式 标题 3 + 小四 行距: 固定值 23 磅1"/>
    <w:basedOn w:val="4"/>
    <w:next w:val="383"/>
    <w:qFormat/>
    <w:uiPriority w:val="0"/>
    <w:pPr>
      <w:spacing w:line="460" w:lineRule="exact"/>
    </w:pPr>
    <w:rPr>
      <w:rFonts w:cs="宋体"/>
      <w:szCs w:val="20"/>
    </w:rPr>
  </w:style>
  <w:style w:type="paragraph" w:customStyle="1" w:styleId="383">
    <w:name w:val="样式 标题 3 + 小四 行距: 固定值 23 磅"/>
    <w:basedOn w:val="4"/>
    <w:qFormat/>
    <w:uiPriority w:val="0"/>
    <w:pPr>
      <w:spacing w:line="460" w:lineRule="exact"/>
      <w:ind w:left="210" w:leftChars="100" w:right="100" w:rightChars="100"/>
    </w:pPr>
    <w:rPr>
      <w:rFonts w:cs="宋体"/>
      <w:szCs w:val="20"/>
    </w:rPr>
  </w:style>
  <w:style w:type="paragraph" w:customStyle="1" w:styleId="384">
    <w:name w:val="sma."/>
    <w:basedOn w:val="1"/>
    <w:qFormat/>
    <w:uiPriority w:val="0"/>
    <w:pPr>
      <w:tabs>
        <w:tab w:val="left" w:pos="1588"/>
      </w:tabs>
      <w:adjustRightInd/>
      <w:snapToGrid/>
      <w:spacing w:before="240" w:after="0" w:line="0" w:lineRule="atLeast"/>
      <w:ind w:left="1588" w:hanging="454"/>
      <w:jc w:val="both"/>
    </w:pPr>
    <w:rPr>
      <w:rFonts w:ascii="Times New Roman" w:hAnsi="Times New Roman" w:eastAsia="宋体" w:cs="Times New Roman"/>
      <w:kern w:val="2"/>
      <w:sz w:val="24"/>
      <w:szCs w:val="20"/>
    </w:rPr>
  </w:style>
  <w:style w:type="paragraph" w:customStyle="1" w:styleId="385">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6">
    <w:name w:val="+标题4"/>
    <w:basedOn w:val="5"/>
    <w:qFormat/>
    <w:uiPriority w:val="0"/>
    <w:pPr>
      <w:tabs>
        <w:tab w:val="left" w:pos="1894"/>
      </w:tabs>
      <w:spacing w:before="120" w:after="120"/>
      <w:ind w:left="1680" w:hanging="420"/>
    </w:pPr>
    <w:rPr>
      <w:rFonts w:ascii="Times New Roman" w:hAnsi="Times New Roman"/>
      <w:sz w:val="24"/>
    </w:rPr>
  </w:style>
  <w:style w:type="paragraph" w:customStyle="1" w:styleId="387">
    <w:name w:val="默认段落字体 Para Char Char Char Char"/>
    <w:basedOn w:val="1"/>
    <w:qFormat/>
    <w:uiPriority w:val="0"/>
    <w:pPr>
      <w:widowControl w:val="0"/>
      <w:tabs>
        <w:tab w:val="left" w:pos="425"/>
      </w:tabs>
      <w:adjustRightInd/>
      <w:snapToGrid/>
      <w:spacing w:after="0"/>
      <w:ind w:left="425" w:hanging="425"/>
      <w:jc w:val="both"/>
    </w:pPr>
    <w:rPr>
      <w:rFonts w:ascii="Times New Roman" w:hAnsi="Times New Roman" w:eastAsia="宋体" w:cs="Times New Roman"/>
      <w:kern w:val="2"/>
      <w:sz w:val="21"/>
      <w:szCs w:val="24"/>
    </w:rPr>
  </w:style>
  <w:style w:type="paragraph" w:customStyle="1" w:styleId="388">
    <w:name w:val="表格文字"/>
    <w:basedOn w:val="1"/>
    <w:qFormat/>
    <w:uiPriority w:val="0"/>
    <w:pPr>
      <w:widowControl w:val="0"/>
      <w:snapToGrid/>
      <w:spacing w:after="0" w:line="420" w:lineRule="atLeast"/>
      <w:textAlignment w:val="baseline"/>
    </w:pPr>
    <w:rPr>
      <w:rFonts w:ascii="Times New Roman" w:hAnsi="Times New Roman" w:eastAsia="宋体" w:cs="Times New Roman"/>
      <w:sz w:val="21"/>
      <w:szCs w:val="20"/>
    </w:rPr>
  </w:style>
  <w:style w:type="paragraph" w:customStyle="1" w:styleId="389">
    <w:name w:val="_Style 95"/>
    <w:basedOn w:val="1"/>
    <w:next w:val="33"/>
    <w:qFormat/>
    <w:uiPriority w:val="0"/>
    <w:pPr>
      <w:widowControl w:val="0"/>
      <w:adjustRightInd/>
      <w:snapToGrid/>
      <w:spacing w:after="0"/>
      <w:jc w:val="both"/>
    </w:pPr>
    <w:rPr>
      <w:rFonts w:ascii="宋体" w:hAnsi="Courier New" w:eastAsia="宋体" w:cs="Courier New"/>
      <w:kern w:val="2"/>
      <w:sz w:val="21"/>
      <w:szCs w:val="21"/>
    </w:rPr>
  </w:style>
  <w:style w:type="paragraph" w:customStyle="1" w:styleId="390">
    <w:name w:val="_Style 231"/>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1">
    <w:name w:val="Char Char Char Char Char Char Char"/>
    <w:basedOn w:val="1"/>
    <w:qFormat/>
    <w:uiPriority w:val="0"/>
    <w:pPr>
      <w:widowControl w:val="0"/>
      <w:adjustRightInd/>
      <w:snapToGrid/>
      <w:spacing w:after="0" w:line="360" w:lineRule="auto"/>
      <w:ind w:left="420" w:firstLine="420"/>
      <w:jc w:val="both"/>
    </w:pPr>
    <w:rPr>
      <w:rFonts w:ascii="Times New Roman" w:hAnsi="Times New Roman" w:eastAsia="宋体" w:cs="Times New Roman"/>
      <w:sz w:val="24"/>
      <w:szCs w:val="21"/>
    </w:rPr>
  </w:style>
  <w:style w:type="paragraph" w:customStyle="1" w:styleId="392">
    <w:name w:val="z-窗体底端1"/>
    <w:basedOn w:val="1"/>
    <w:next w:val="1"/>
    <w:link w:val="393"/>
    <w:qFormat/>
    <w:uiPriority w:val="0"/>
    <w:pPr>
      <w:widowControl w:val="0"/>
      <w:pBdr>
        <w:top w:val="single" w:color="auto" w:sz="6" w:space="1"/>
      </w:pBdr>
      <w:adjustRightInd/>
      <w:snapToGrid/>
      <w:spacing w:after="0"/>
      <w:jc w:val="center"/>
    </w:pPr>
    <w:rPr>
      <w:rFonts w:ascii="Arial" w:hAnsi="Calibri" w:eastAsia="宋体" w:cs="Times New Roman"/>
      <w:vanish/>
      <w:kern w:val="2"/>
      <w:sz w:val="16"/>
    </w:rPr>
  </w:style>
  <w:style w:type="character" w:customStyle="1" w:styleId="393">
    <w:name w:val="z-窗体底端 Char"/>
    <w:basedOn w:val="64"/>
    <w:link w:val="392"/>
    <w:qFormat/>
    <w:uiPriority w:val="0"/>
    <w:rPr>
      <w:rFonts w:ascii="Arial" w:hAnsi="Calibri"/>
      <w:vanish/>
      <w:kern w:val="2"/>
      <w:sz w:val="16"/>
      <w:szCs w:val="22"/>
    </w:rPr>
  </w:style>
  <w:style w:type="paragraph" w:customStyle="1" w:styleId="394">
    <w:name w:val="+正文标题"/>
    <w:basedOn w:val="1"/>
    <w:qFormat/>
    <w:uiPriority w:val="0"/>
    <w:pPr>
      <w:widowControl w:val="0"/>
      <w:adjustRightInd/>
      <w:snapToGrid/>
      <w:spacing w:beforeLines="100" w:afterLines="100" w:line="360" w:lineRule="auto"/>
      <w:jc w:val="center"/>
    </w:pPr>
    <w:rPr>
      <w:rFonts w:ascii="Times New Roman" w:hAnsi="Times New Roman" w:eastAsia="黑体" w:cs="Times New Roman"/>
      <w:b/>
      <w:kern w:val="2"/>
      <w:sz w:val="32"/>
      <w:szCs w:val="32"/>
    </w:rPr>
  </w:style>
  <w:style w:type="paragraph" w:customStyle="1" w:styleId="395">
    <w:name w:val="Char Char Char Char Char Char Char Char Char Char Char Char Char Char Char Char"/>
    <w:basedOn w:val="1"/>
    <w:qFormat/>
    <w:uiPriority w:val="0"/>
    <w:pPr>
      <w:widowControl w:val="0"/>
      <w:tabs>
        <w:tab w:val="left" w:pos="360"/>
      </w:tabs>
      <w:adjustRightInd/>
      <w:snapToGrid/>
      <w:spacing w:after="0" w:line="360" w:lineRule="auto"/>
      <w:ind w:left="482" w:firstLine="200" w:firstLineChars="200"/>
      <w:jc w:val="both"/>
    </w:pPr>
    <w:rPr>
      <w:rFonts w:ascii="宋体" w:hAnsi="Times New Roman" w:eastAsia="宋体" w:cs="Times New Roman"/>
      <w:kern w:val="2"/>
      <w:sz w:val="24"/>
      <w:szCs w:val="24"/>
    </w:rPr>
  </w:style>
  <w:style w:type="paragraph" w:customStyle="1" w:styleId="396">
    <w:name w:val="+正文 Char Char2 Char Char Char Char"/>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8"/>
    </w:rPr>
  </w:style>
  <w:style w:type="paragraph" w:customStyle="1" w:styleId="397">
    <w:name w:val="Char2 Char Char Char Char Char"/>
    <w:basedOn w:val="1"/>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398">
    <w:name w:val="标准正文"/>
    <w:basedOn w:val="1"/>
    <w:qFormat/>
    <w:uiPriority w:val="0"/>
    <w:pPr>
      <w:widowControl w:val="0"/>
      <w:adjustRightInd/>
      <w:snapToGrid/>
      <w:spacing w:after="0" w:line="360" w:lineRule="auto"/>
      <w:ind w:left="840" w:leftChars="400" w:firstLine="480" w:firstLineChars="200"/>
      <w:jc w:val="both"/>
    </w:pPr>
    <w:rPr>
      <w:rFonts w:ascii="Times New Roman" w:hAnsi="Times New Roman" w:eastAsia="宋体"/>
      <w:kern w:val="2"/>
      <w:sz w:val="24"/>
      <w:szCs w:val="20"/>
    </w:rPr>
  </w:style>
  <w:style w:type="paragraph" w:customStyle="1" w:styleId="399">
    <w:name w:val="插图"/>
    <w:next w:val="1"/>
    <w:qFormat/>
    <w:uiPriority w:val="0"/>
    <w:pPr>
      <w:tabs>
        <w:tab w:val="left" w:pos="1080"/>
      </w:tabs>
      <w:spacing w:after="360"/>
      <w:ind w:left="0" w:firstLine="0"/>
      <w:jc w:val="center"/>
    </w:pPr>
    <w:rPr>
      <w:rFonts w:ascii="仿宋_GB2312" w:hAnsi="Times New Roman" w:eastAsia="仿宋_GB2312" w:cs="Times New Roman"/>
    </w:rPr>
  </w:style>
  <w:style w:type="paragraph" w:customStyle="1" w:styleId="400">
    <w:name w:val="样式 样式 样式 正文文本缩进 + 首行缩进:  2 字符 + 首行缩进:  2 字符 + 首行缩进:  2 字符"/>
    <w:basedOn w:val="1"/>
    <w:qFormat/>
    <w:uiPriority w:val="0"/>
    <w:pPr>
      <w:widowControl w:val="0"/>
      <w:tabs>
        <w:tab w:val="left" w:pos="9016"/>
      </w:tabs>
      <w:adjustRightInd/>
      <w:snapToGrid/>
      <w:spacing w:after="0" w:line="460" w:lineRule="exact"/>
      <w:ind w:firstLine="200" w:firstLineChars="200"/>
    </w:pPr>
    <w:rPr>
      <w:rFonts w:ascii="Times New Roman" w:hAnsi="Times New Roman" w:eastAsia="宋体"/>
      <w:sz w:val="24"/>
      <w:szCs w:val="20"/>
    </w:rPr>
  </w:style>
  <w:style w:type="paragraph" w:customStyle="1" w:styleId="401">
    <w:name w:val="经典标题"/>
    <w:basedOn w:val="2"/>
    <w:next w:val="378"/>
    <w:qFormat/>
    <w:uiPriority w:val="0"/>
    <w:pPr>
      <w:spacing w:beforeLines="100" w:afterLines="100" w:line="240" w:lineRule="auto"/>
      <w:jc w:val="center"/>
      <w:outlineLvl w:val="9"/>
    </w:pPr>
    <w:rPr>
      <w:rFonts w:eastAsia="黑体"/>
      <w:bCs w:val="0"/>
      <w:sz w:val="36"/>
      <w:szCs w:val="20"/>
    </w:rPr>
  </w:style>
  <w:style w:type="paragraph" w:customStyle="1" w:styleId="402">
    <w:name w:val="+标题2"/>
    <w:basedOn w:val="3"/>
    <w:qFormat/>
    <w:uiPriority w:val="0"/>
    <w:pPr>
      <w:tabs>
        <w:tab w:val="left" w:pos="840"/>
      </w:tabs>
      <w:spacing w:before="120" w:after="120" w:line="360" w:lineRule="auto"/>
      <w:ind w:left="840" w:hanging="420"/>
    </w:pPr>
    <w:rPr>
      <w:rFonts w:ascii="Times New Roman" w:hAnsi="Times New Roman" w:eastAsia="宋体"/>
      <w:sz w:val="24"/>
      <w:szCs w:val="28"/>
    </w:rPr>
  </w:style>
  <w:style w:type="paragraph" w:customStyle="1" w:styleId="403">
    <w:name w:val="font8"/>
    <w:basedOn w:val="1"/>
    <w:qFormat/>
    <w:uiPriority w:val="0"/>
    <w:pPr>
      <w:adjustRightInd/>
      <w:snapToGrid/>
      <w:spacing w:before="100" w:beforeAutospacing="1" w:after="100" w:afterAutospacing="1"/>
    </w:pPr>
    <w:rPr>
      <w:rFonts w:hint="eastAsia" w:ascii="宋体" w:hAnsi="宋体" w:eastAsia="宋体" w:cs="Arial Unicode MS"/>
    </w:rPr>
  </w:style>
  <w:style w:type="paragraph" w:customStyle="1" w:styleId="404">
    <w:name w:val="样式 样式 正文文本缩进正文文字( 首段缩进两字） + 段前: 0.5 行 行距: 单倍行距 + 段前: 0.5 行"/>
    <w:basedOn w:val="1"/>
    <w:qFormat/>
    <w:uiPriority w:val="0"/>
    <w:pPr>
      <w:widowControl w:val="0"/>
      <w:adjustRightInd/>
      <w:snapToGrid/>
      <w:spacing w:after="0"/>
      <w:ind w:firstLine="480" w:firstLineChars="200"/>
      <w:jc w:val="both"/>
    </w:pPr>
    <w:rPr>
      <w:rFonts w:ascii="Times New Roman" w:hAnsi="Times New Roman" w:eastAsia="宋体" w:cs="Times New Roman"/>
      <w:sz w:val="24"/>
      <w:szCs w:val="24"/>
    </w:rPr>
  </w:style>
  <w:style w:type="paragraph" w:customStyle="1" w:styleId="405">
    <w:name w:val="+标题1"/>
    <w:basedOn w:val="2"/>
    <w:qFormat/>
    <w:uiPriority w:val="0"/>
    <w:pPr>
      <w:pageBreakBefore/>
      <w:tabs>
        <w:tab w:val="left" w:pos="420"/>
      </w:tabs>
      <w:spacing w:before="240" w:after="240"/>
      <w:ind w:left="720" w:hanging="720"/>
      <w:jc w:val="center"/>
    </w:pPr>
    <w:rPr>
      <w:rFonts w:eastAsia="黑体"/>
      <w:kern w:val="32"/>
      <w:szCs w:val="32"/>
    </w:rPr>
  </w:style>
  <w:style w:type="paragraph" w:customStyle="1" w:styleId="406">
    <w:name w:val="8"/>
    <w:basedOn w:val="1"/>
    <w:next w:val="58"/>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407">
    <w:name w:val="SuepChapter"/>
    <w:basedOn w:val="1"/>
    <w:qFormat/>
    <w:uiPriority w:val="0"/>
    <w:pPr>
      <w:tabs>
        <w:tab w:val="left" w:pos="720"/>
        <w:tab w:val="center" w:pos="4513"/>
      </w:tabs>
      <w:suppressAutoHyphens/>
      <w:adjustRightInd/>
      <w:snapToGrid/>
      <w:spacing w:after="0"/>
      <w:ind w:left="720" w:hanging="720"/>
      <w:jc w:val="center"/>
    </w:pPr>
    <w:rPr>
      <w:rFonts w:ascii="Times New Roman" w:hAnsi="Times New Roman" w:eastAsia="宋体" w:cs="Times New Roman"/>
      <w:b/>
      <w:spacing w:val="-2"/>
      <w:szCs w:val="20"/>
      <w:lang w:val="en-GB"/>
    </w:rPr>
  </w:style>
  <w:style w:type="paragraph" w:customStyle="1" w:styleId="408">
    <w:name w:val="修订1"/>
    <w:qFormat/>
    <w:uiPriority w:val="0"/>
    <w:rPr>
      <w:rFonts w:ascii="Times New Roman" w:hAnsi="Times New Roman" w:eastAsia="宋体" w:cs="Times New Roman"/>
      <w:kern w:val="2"/>
      <w:sz w:val="21"/>
      <w:szCs w:val="24"/>
      <w:lang w:val="en-US" w:eastAsia="zh-CN" w:bidi="ar-SA"/>
    </w:rPr>
  </w:style>
  <w:style w:type="paragraph" w:customStyle="1" w:styleId="409">
    <w:name w:val="A."/>
    <w:basedOn w:val="1"/>
    <w:qFormat/>
    <w:uiPriority w:val="0"/>
    <w:pPr>
      <w:tabs>
        <w:tab w:val="left" w:pos="1134"/>
        <w:tab w:val="left" w:pos="1200"/>
      </w:tabs>
      <w:adjustRightInd/>
      <w:snapToGrid/>
      <w:spacing w:before="240" w:after="0" w:line="0" w:lineRule="atLeast"/>
      <w:ind w:left="1134" w:hanging="567"/>
      <w:jc w:val="both"/>
    </w:pPr>
    <w:rPr>
      <w:rFonts w:ascii="Times New Roman" w:hAnsi="Times New Roman" w:eastAsia="宋体" w:cs="Times New Roman"/>
      <w:kern w:val="2"/>
      <w:sz w:val="24"/>
      <w:szCs w:val="20"/>
    </w:rPr>
  </w:style>
  <w:style w:type="paragraph" w:customStyle="1" w:styleId="410">
    <w:name w:val="标准中文版式_正文"/>
    <w:basedOn w:val="1"/>
    <w:qFormat/>
    <w:uiPriority w:val="0"/>
    <w:pPr>
      <w:widowControl w:val="0"/>
      <w:adjustRightInd/>
      <w:snapToGrid/>
      <w:spacing w:beforeLines="30" w:after="0"/>
      <w:jc w:val="both"/>
    </w:pPr>
    <w:rPr>
      <w:rFonts w:ascii="Times New Roman" w:hAnsi="Times New Roman" w:eastAsia="宋体" w:cs="Times New Roman"/>
      <w:kern w:val="2"/>
      <w:sz w:val="21"/>
      <w:szCs w:val="21"/>
    </w:rPr>
  </w:style>
  <w:style w:type="paragraph" w:customStyle="1" w:styleId="411">
    <w:name w:val="目录2"/>
    <w:basedOn w:val="1"/>
    <w:next w:val="1"/>
    <w:qFormat/>
    <w:uiPriority w:val="0"/>
    <w:pPr>
      <w:tabs>
        <w:tab w:val="left" w:leader="dot" w:pos="8503"/>
      </w:tabs>
      <w:adjustRightInd/>
      <w:snapToGrid/>
      <w:spacing w:after="0" w:line="317" w:lineRule="atLeast"/>
      <w:ind w:left="419" w:firstLine="419"/>
      <w:jc w:val="both"/>
      <w:textAlignment w:val="baseline"/>
    </w:pPr>
    <w:rPr>
      <w:rFonts w:ascii="Times New Roman" w:hAnsi="Times New Roman" w:eastAsia="宋体" w:cs="Times New Roman"/>
      <w:color w:val="000000"/>
      <w:sz w:val="21"/>
      <w:szCs w:val="20"/>
      <w:u w:color="000000"/>
    </w:rPr>
  </w:style>
  <w:style w:type="paragraph" w:customStyle="1" w:styleId="412">
    <w:name w:val="Headings Font"/>
    <w:basedOn w:val="1"/>
    <w:next w:val="14"/>
    <w:qFormat/>
    <w:uiPriority w:val="0"/>
    <w:pPr>
      <w:keepNext/>
      <w:widowControl w:val="0"/>
      <w:adjustRightInd/>
      <w:snapToGrid/>
      <w:spacing w:after="0" w:line="280" w:lineRule="atLeast"/>
    </w:pPr>
    <w:rPr>
      <w:rFonts w:ascii="Arial" w:hAnsi="Arial" w:eastAsia="宋体" w:cs="Times New Roman"/>
      <w:szCs w:val="20"/>
      <w:lang w:val="en-GB"/>
    </w:rPr>
  </w:style>
  <w:style w:type="paragraph" w:customStyle="1" w:styleId="413">
    <w:name w:val="样式 样式 标题 2 + 左侧:  0 厘米 首行缩进:  0 厘米 + 蓝色"/>
    <w:basedOn w:val="1"/>
    <w:qFormat/>
    <w:uiPriority w:val="0"/>
    <w:pPr>
      <w:keepNext/>
      <w:keepLines/>
      <w:widowControl w:val="0"/>
      <w:tabs>
        <w:tab w:val="left" w:pos="450"/>
        <w:tab w:val="left" w:pos="567"/>
      </w:tabs>
      <w:spacing w:before="240" w:after="120" w:line="520" w:lineRule="exact"/>
      <w:textAlignment w:val="baseline"/>
      <w:outlineLvl w:val="1"/>
    </w:pPr>
    <w:rPr>
      <w:rFonts w:ascii="Times New Roman" w:hAnsi="Times New Roman" w:eastAsia="黑体"/>
      <w:spacing w:val="4"/>
      <w:sz w:val="28"/>
      <w:szCs w:val="28"/>
    </w:rPr>
  </w:style>
  <w:style w:type="paragraph" w:customStyle="1" w:styleId="414">
    <w:name w:val="point"/>
    <w:basedOn w:val="1"/>
    <w:next w:val="1"/>
    <w:qFormat/>
    <w:uiPriority w:val="0"/>
    <w:pPr>
      <w:widowControl w:val="0"/>
      <w:adjustRightInd/>
      <w:snapToGrid/>
      <w:spacing w:after="0" w:line="460" w:lineRule="exact"/>
      <w:jc w:val="both"/>
    </w:pPr>
    <w:rPr>
      <w:rFonts w:ascii="Times New Roman" w:hAnsi="Times New Roman" w:eastAsia="宋体" w:cs="Times New Roman"/>
      <w:kern w:val="2"/>
      <w:sz w:val="24"/>
      <w:szCs w:val="24"/>
    </w:rPr>
  </w:style>
  <w:style w:type="paragraph" w:customStyle="1" w:styleId="415">
    <w:name w:val="空半行"/>
    <w:basedOn w:val="1"/>
    <w:qFormat/>
    <w:uiPriority w:val="0"/>
    <w:pPr>
      <w:widowControl w:val="0"/>
      <w:snapToGrid/>
      <w:spacing w:after="0" w:line="120" w:lineRule="exact"/>
      <w:jc w:val="both"/>
      <w:textAlignment w:val="baseline"/>
    </w:pPr>
    <w:rPr>
      <w:rFonts w:ascii="Times New Roman" w:hAnsi="Times New Roman" w:eastAsia="仿宋_GB2312" w:cs="Times New Roman"/>
      <w:color w:val="FFFFFF"/>
      <w:sz w:val="30"/>
      <w:szCs w:val="20"/>
    </w:rPr>
  </w:style>
  <w:style w:type="paragraph" w:customStyle="1" w:styleId="416">
    <w:name w:val="Char2"/>
    <w:basedOn w:val="1"/>
    <w:qFormat/>
    <w:uiPriority w:val="0"/>
    <w:pPr>
      <w:widowControl w:val="0"/>
      <w:adjustRightInd/>
      <w:snapToGrid/>
      <w:spacing w:after="0"/>
      <w:ind w:left="432" w:hanging="432"/>
      <w:jc w:val="both"/>
    </w:pPr>
    <w:rPr>
      <w:rFonts w:ascii="Times New Roman" w:hAnsi="Times New Roman" w:eastAsia="宋体" w:cs="Times New Roman"/>
      <w:kern w:val="2"/>
      <w:sz w:val="24"/>
      <w:szCs w:val="24"/>
    </w:rPr>
  </w:style>
  <w:style w:type="paragraph" w:customStyle="1" w:styleId="417">
    <w:name w:val="目录4"/>
    <w:basedOn w:val="1"/>
    <w:next w:val="1"/>
    <w:qFormat/>
    <w:uiPriority w:val="0"/>
    <w:pPr>
      <w:tabs>
        <w:tab w:val="left" w:leader="dot" w:pos="8503"/>
      </w:tabs>
      <w:adjustRightInd/>
      <w:snapToGrid/>
      <w:spacing w:after="0" w:line="317" w:lineRule="atLeast"/>
      <w:ind w:left="419" w:firstLine="629"/>
      <w:jc w:val="both"/>
      <w:textAlignment w:val="baseline"/>
    </w:pPr>
    <w:rPr>
      <w:rFonts w:ascii="Times New Roman" w:hAnsi="Times New Roman" w:eastAsia="宋体" w:cs="Times New Roman"/>
      <w:color w:val="000000"/>
      <w:sz w:val="21"/>
      <w:szCs w:val="20"/>
      <w:u w:color="000000"/>
    </w:rPr>
  </w:style>
  <w:style w:type="paragraph" w:customStyle="1" w:styleId="418">
    <w:name w:val="09正文_wh"/>
    <w:qFormat/>
    <w:uiPriority w:val="0"/>
    <w:pPr>
      <w:spacing w:line="300" w:lineRule="auto"/>
      <w:ind w:firstLine="200" w:firstLineChars="200"/>
      <w:jc w:val="both"/>
    </w:pPr>
    <w:rPr>
      <w:rFonts w:ascii="Times New Roman" w:hAnsi="Times New Roman" w:eastAsia="宋体" w:cs="Times New Roman"/>
      <w:sz w:val="28"/>
      <w:szCs w:val="28"/>
      <w:lang w:val="en-US" w:eastAsia="zh-CN" w:bidi="ar-SA"/>
    </w:rPr>
  </w:style>
  <w:style w:type="paragraph" w:customStyle="1" w:styleId="419">
    <w:name w:val="样式2"/>
    <w:basedOn w:val="1"/>
    <w:qFormat/>
    <w:uiPriority w:val="0"/>
    <w:pPr>
      <w:widowControl w:val="0"/>
      <w:tabs>
        <w:tab w:val="left" w:pos="600"/>
      </w:tabs>
      <w:spacing w:after="0" w:line="360" w:lineRule="auto"/>
      <w:ind w:left="420" w:hanging="420"/>
      <w:jc w:val="both"/>
    </w:pPr>
    <w:rPr>
      <w:rFonts w:ascii="Times New Roman" w:hAnsi="Times New Roman" w:eastAsia="宋体" w:cs="Times New Roman"/>
      <w:kern w:val="2"/>
      <w:sz w:val="28"/>
      <w:szCs w:val="24"/>
    </w:rPr>
  </w:style>
  <w:style w:type="paragraph" w:customStyle="1" w:styleId="420">
    <w:name w:val="TOC 标题4"/>
    <w:basedOn w:val="2"/>
    <w:next w:val="1"/>
    <w:qFormat/>
    <w:uiPriority w:val="39"/>
    <w:pPr>
      <w:widowControl/>
      <w:spacing w:before="480" w:line="276" w:lineRule="auto"/>
      <w:jc w:val="left"/>
      <w:outlineLvl w:val="9"/>
    </w:pPr>
    <w:rPr>
      <w:rFonts w:ascii="Cambria" w:hAnsi="Cambria" w:cs="宋体"/>
      <w:color w:val="376092"/>
      <w:kern w:val="0"/>
      <w:sz w:val="28"/>
      <w:szCs w:val="28"/>
    </w:rPr>
  </w:style>
  <w:style w:type="paragraph" w:customStyle="1" w:styleId="421">
    <w:name w:val="_Style 412"/>
    <w:basedOn w:val="1"/>
    <w:next w:val="1"/>
    <w:qFormat/>
    <w:uiPriority w:val="0"/>
    <w:pPr>
      <w:pBdr>
        <w:bottom w:val="single" w:color="auto" w:sz="6" w:space="1"/>
      </w:pBdr>
      <w:jc w:val="center"/>
    </w:pPr>
    <w:rPr>
      <w:rFonts w:ascii="Arial" w:eastAsia="宋体"/>
      <w:vanish/>
      <w:sz w:val="16"/>
    </w:rPr>
  </w:style>
  <w:style w:type="paragraph" w:customStyle="1" w:styleId="422">
    <w:name w:val="_Style 413"/>
    <w:basedOn w:val="1"/>
    <w:next w:val="1"/>
    <w:qFormat/>
    <w:uiPriority w:val="0"/>
    <w:pPr>
      <w:pBdr>
        <w:top w:val="single" w:color="auto" w:sz="6" w:space="1"/>
      </w:pBdr>
      <w:jc w:val="center"/>
    </w:pPr>
    <w:rPr>
      <w:rFonts w:ascii="Arial" w:eastAsia="宋体"/>
      <w:vanish/>
      <w:sz w:val="16"/>
    </w:rPr>
  </w:style>
  <w:style w:type="paragraph" w:customStyle="1" w:styleId="423">
    <w:name w:val="列出段落3"/>
    <w:basedOn w:val="1"/>
    <w:qFormat/>
    <w:uiPriority w:val="99"/>
    <w:pPr>
      <w:ind w:firstLine="420" w:firstLineChars="200"/>
    </w:pPr>
  </w:style>
  <w:style w:type="paragraph" w:customStyle="1" w:styleId="424">
    <w:name w:val="TOC 标题5"/>
    <w:basedOn w:val="2"/>
    <w:next w:val="1"/>
    <w:qFormat/>
    <w:uiPriority w:val="0"/>
    <w:pPr>
      <w:widowControl/>
      <w:adjustRightInd w:val="0"/>
      <w:snapToGrid w:val="0"/>
      <w:spacing w:before="340" w:after="330" w:line="578" w:lineRule="auto"/>
      <w:jc w:val="left"/>
      <w:outlineLvl w:val="9"/>
    </w:pPr>
    <w:rPr>
      <w:rFonts w:ascii="Tahoma" w:hAnsi="Tahoma" w:eastAsia="微软雅黑" w:cs="宋体"/>
      <w:sz w:val="44"/>
    </w:rPr>
  </w:style>
  <w:style w:type="paragraph" w:customStyle="1" w:styleId="425">
    <w:name w:val="TOC 标题6"/>
    <w:basedOn w:val="2"/>
    <w:next w:val="1"/>
    <w:qFormat/>
    <w:uiPriority w:val="0"/>
    <w:pPr>
      <w:widowControl/>
      <w:adjustRightInd w:val="0"/>
      <w:snapToGrid w:val="0"/>
      <w:spacing w:before="340" w:after="330" w:line="578" w:lineRule="auto"/>
      <w:jc w:val="left"/>
      <w:outlineLvl w:val="9"/>
    </w:pPr>
    <w:rPr>
      <w:rFonts w:ascii="Tahoma" w:hAnsi="Tahoma" w:eastAsia="微软雅黑" w:cs="宋体"/>
      <w:sz w:val="44"/>
    </w:rPr>
  </w:style>
  <w:style w:type="paragraph" w:customStyle="1" w:styleId="426">
    <w:name w:val="Normal_1"/>
    <w:qFormat/>
    <w:uiPriority w:val="0"/>
    <w:rPr>
      <w:rFonts w:ascii="Times New Roman" w:hAnsi="Times New Roman" w:eastAsia="Times New Roman" w:cs="Times New Roman"/>
      <w:sz w:val="24"/>
      <w:szCs w:val="24"/>
      <w:lang w:val="en-US" w:eastAsia="zh-CN" w:bidi="ar-SA"/>
    </w:rPr>
  </w:style>
  <w:style w:type="character" w:customStyle="1" w:styleId="427">
    <w:name w:val="font51"/>
    <w:basedOn w:val="64"/>
    <w:qFormat/>
    <w:uiPriority w:val="0"/>
    <w:rPr>
      <w:rFonts w:hint="eastAsia" w:ascii="宋体" w:hAnsi="宋体" w:eastAsia="宋体" w:cs="宋体"/>
      <w:color w:val="000000"/>
      <w:sz w:val="18"/>
      <w:szCs w:val="18"/>
      <w:u w:val="none"/>
    </w:rPr>
  </w:style>
  <w:style w:type="character" w:customStyle="1" w:styleId="428">
    <w:name w:val="font21"/>
    <w:basedOn w:val="64"/>
    <w:qFormat/>
    <w:uiPriority w:val="0"/>
    <w:rPr>
      <w:rFonts w:ascii="等线" w:hAnsi="等线" w:eastAsia="等线" w:cs="等线"/>
      <w:color w:val="000000"/>
      <w:sz w:val="22"/>
      <w:szCs w:val="22"/>
      <w:u w:val="none"/>
    </w:rPr>
  </w:style>
  <w:style w:type="paragraph" w:customStyle="1" w:styleId="429">
    <w:name w:val="正文首行缩进（绿盟科技）"/>
    <w:basedOn w:val="430"/>
    <w:qFormat/>
    <w:uiPriority w:val="0"/>
    <w:pPr>
      <w:spacing w:after="50"/>
      <w:ind w:firstLine="200" w:firstLineChars="200"/>
    </w:pPr>
  </w:style>
  <w:style w:type="paragraph" w:customStyle="1" w:styleId="430">
    <w:name w:val="正文（绿盟科技）"/>
    <w:qFormat/>
    <w:uiPriority w:val="0"/>
    <w:pPr>
      <w:spacing w:line="300" w:lineRule="auto"/>
    </w:pPr>
    <w:rPr>
      <w:rFonts w:ascii="Arial" w:hAnsi="Arial" w:eastAsia="宋体" w:cs="Times New Roman"/>
      <w:sz w:val="21"/>
      <w:szCs w:val="21"/>
      <w:lang w:val="en-US" w:eastAsia="zh-CN" w:bidi="ar-SA"/>
    </w:rPr>
  </w:style>
  <w:style w:type="paragraph" w:styleId="431">
    <w:name w:val="List Paragraph"/>
    <w:basedOn w:val="1"/>
    <w:unhideWhenUsed/>
    <w:qFormat/>
    <w:uiPriority w:val="0"/>
    <w:pPr>
      <w:ind w:firstLine="420" w:firstLineChars="200"/>
    </w:pPr>
  </w:style>
  <w:style w:type="character" w:customStyle="1" w:styleId="432">
    <w:name w:val="font01"/>
    <w:basedOn w:val="64"/>
    <w:qFormat/>
    <w:uiPriority w:val="0"/>
    <w:rPr>
      <w:rFonts w:hint="default" w:ascii="Arial" w:hAnsi="Arial" w:cs="Arial"/>
      <w:color w:val="000000"/>
      <w:sz w:val="20"/>
      <w:szCs w:val="20"/>
      <w:u w:val="none"/>
    </w:rPr>
  </w:style>
  <w:style w:type="paragraph" w:customStyle="1" w:styleId="433">
    <w:name w:val="总标题"/>
    <w:basedOn w:val="1"/>
    <w:qFormat/>
    <w:uiPriority w:val="0"/>
    <w:pPr>
      <w:spacing w:line="560" w:lineRule="exact"/>
      <w:ind w:firstLine="880" w:firstLineChars="200"/>
    </w:pPr>
    <w:rPr>
      <w:rFonts w:ascii="Tahoma" w:hAnsi="Tahoma" w:eastAsia="方正小标宋_GBK"/>
      <w:kern w:val="0"/>
      <w:sz w:val="44"/>
      <w:szCs w:val="20"/>
    </w:rPr>
  </w:style>
  <w:style w:type="paragraph" w:customStyle="1" w:styleId="434">
    <w:name w:val="Body text|1"/>
    <w:basedOn w:val="1"/>
    <w:qFormat/>
    <w:uiPriority w:val="0"/>
    <w:pPr>
      <w:widowControl w:val="0"/>
      <w:shd w:val="clear" w:color="auto" w:fill="auto"/>
      <w:spacing w:line="480" w:lineRule="auto"/>
      <w:ind w:firstLine="400"/>
    </w:pPr>
    <w:rPr>
      <w:rFonts w:ascii="宋体" w:hAnsi="宋体" w:eastAsia="宋体" w:cs="宋体"/>
      <w:sz w:val="22"/>
      <w:szCs w:val="22"/>
      <w:u w:val="none"/>
      <w:shd w:val="clear" w:color="auto" w:fill="auto"/>
      <w:lang w:val="zh-TW" w:eastAsia="zh-TW" w:bidi="zh-TW"/>
    </w:rPr>
  </w:style>
  <w:style w:type="paragraph" w:customStyle="1" w:styleId="435">
    <w:name w:val="Other|1"/>
    <w:basedOn w:val="1"/>
    <w:qFormat/>
    <w:uiPriority w:val="0"/>
    <w:pPr>
      <w:widowControl w:val="0"/>
      <w:shd w:val="clear" w:color="auto" w:fill="auto"/>
    </w:pPr>
    <w:rPr>
      <w:rFonts w:ascii="宋体" w:hAnsi="宋体" w:eastAsia="宋体" w:cs="宋体"/>
      <w:sz w:val="22"/>
      <w:szCs w:val="22"/>
      <w:u w:val="none"/>
      <w:shd w:val="clear" w:color="auto" w:fill="auto"/>
      <w:lang w:val="zh-TW" w:eastAsia="zh-TW" w:bidi="zh-TW"/>
    </w:rPr>
  </w:style>
  <w:style w:type="paragraph" w:customStyle="1" w:styleId="436">
    <w:name w:val="Table caption|1"/>
    <w:basedOn w:val="1"/>
    <w:qFormat/>
    <w:uiPriority w:val="0"/>
    <w:pPr>
      <w:widowControl w:val="0"/>
      <w:shd w:val="clear" w:color="auto" w:fill="auto"/>
    </w:pPr>
    <w:rPr>
      <w:rFonts w:ascii="宋体" w:hAnsi="宋体" w:eastAsia="宋体" w:cs="宋体"/>
      <w:sz w:val="22"/>
      <w:szCs w:val="22"/>
      <w:u w:val="none"/>
      <w:shd w:val="clear" w:color="auto" w:fill="auto"/>
      <w:lang w:val="zh-TW" w:eastAsia="zh-TW" w:bidi="zh-TW"/>
    </w:rPr>
  </w:style>
  <w:style w:type="paragraph" w:customStyle="1" w:styleId="437">
    <w:name w:val="图表目录1"/>
    <w:basedOn w:val="438"/>
    <w:next w:val="438"/>
    <w:qFormat/>
    <w:uiPriority w:val="0"/>
    <w:pPr>
      <w:spacing w:beforeAutospacing="1" w:afterAutospacing="1"/>
      <w:ind w:left="200" w:leftChars="200" w:hanging="200" w:hangingChars="200"/>
    </w:pPr>
  </w:style>
  <w:style w:type="paragraph" w:customStyle="1" w:styleId="438">
    <w:name w:val="正文 New New New New New New New New New New New New New New New New New New New New New New New New New New New New New New New New New New New New New New New New New New New New New New New New New New New New New New New New New New New New New New Ne"/>
    <w:next w:val="437"/>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439">
    <w:name w:val="正文文本首行缩进 2"/>
    <w:basedOn w:val="24"/>
    <w:qFormat/>
    <w:uiPriority w:val="99"/>
    <w:pPr>
      <w:spacing w:line="200" w:lineRule="atLeast"/>
      <w:ind w:firstLine="420"/>
    </w:pPr>
    <w:rPr>
      <w:rFonts w:ascii="宋体" w:hAnsi="Courier New"/>
      <w:spacing w:val="-4"/>
      <w:sz w:val="18"/>
    </w:rPr>
  </w:style>
  <w:style w:type="paragraph" w:customStyle="1" w:styleId="440">
    <w:name w:val="正文（自定义）"/>
    <w:basedOn w:val="1"/>
    <w:qFormat/>
    <w:uiPriority w:val="0"/>
    <w:pPr>
      <w:ind w:firstLine="200" w:firstLineChars="200"/>
    </w:pPr>
    <w:rPr>
      <w:rFonts w:ascii="仿宋_GB2312" w:hAnsi="仿宋_GB2312" w:eastAsia="仿宋_GB2312"/>
      <w:sz w:val="32"/>
    </w:rPr>
  </w:style>
  <w:style w:type="paragraph" w:customStyle="1" w:styleId="441">
    <w:name w:val="一级条标题"/>
    <w:basedOn w:val="282"/>
    <w:next w:val="1"/>
    <w:qFormat/>
    <w:uiPriority w:val="99"/>
    <w:pPr>
      <w:widowControl/>
      <w:ind w:left="420"/>
      <w:outlineLvl w:val="2"/>
    </w:pPr>
    <w:rPr>
      <w:rFonts w:ascii="黑体" w:eastAsia="黑体" w:cs="黑体"/>
    </w:rPr>
  </w:style>
  <w:style w:type="paragraph" w:customStyle="1" w:styleId="442">
    <w:name w:val="Heading 1"/>
    <w:basedOn w:val="1"/>
    <w:qFormat/>
    <w:uiPriority w:val="0"/>
    <w:pPr>
      <w:autoSpaceDE w:val="0"/>
      <w:autoSpaceDN w:val="0"/>
      <w:spacing w:before="38"/>
      <w:ind w:left="1482" w:right="1677"/>
      <w:jc w:val="center"/>
      <w:outlineLvl w:val="1"/>
    </w:pPr>
    <w:rPr>
      <w:rFonts w:ascii="Times New Roman" w:hAnsi="宋体" w:eastAsia="宋体" w:cs="宋体"/>
      <w:b/>
      <w:bCs/>
      <w:kern w:val="0"/>
      <w:sz w:val="36"/>
      <w:szCs w:val="36"/>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3.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Tuan</Company>
  <Pages>96</Pages>
  <Words>40952</Words>
  <Characters>43727</Characters>
  <Lines>341</Lines>
  <Paragraphs>96</Paragraphs>
  <TotalTime>60</TotalTime>
  <ScaleCrop>false</ScaleCrop>
  <LinksUpToDate>false</LinksUpToDate>
  <CharactersWithSpaces>48001</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2023-02-08T02:12:00Z</dcterms:created>
  <dc:creator>Administrator.0CTUZ2DMAQRV522</dc:creator>
  <cp:lastModifiedBy>王东林</cp:lastModifiedBy>
  <cp:lastPrinted>2024-02-21T01:00:00Z</cp:lastPrinted>
  <dcterms:modified xsi:type="dcterms:W3CDTF">2026-06-02T06:40:28Z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0737E97441C74A68AAD8D1F56FAD043E_13</vt:lpwstr>
  </property>
  <property fmtid="{D5CDD505-2E9C-101B-9397-08002B2CF9AE}" pid="4" name="KSOTemplateDocerSaveRecord">
    <vt:lpwstr>eyJoZGlkIjoiYTJhMzRlYTI4ZmFhNjM4YzE2YzkzYWZhNmE0ODVkMmIiLCJ1c2VySWQiOiIxNTEyNjYyOTY4In0=</vt:lpwstr>
  </property>
</Properties>
</file>