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B26E3">
      <w:pPr>
        <w:keepNext/>
        <w:keepLines/>
        <w:spacing w:before="260" w:after="260" w:line="240" w:lineRule="auto"/>
        <w:jc w:val="center"/>
        <w:outlineLvl w:val="1"/>
        <w:rPr>
          <w:rFonts w:hint="eastAsia" w:eastAsia="宋体"/>
          <w:color w:val="auto"/>
          <w:lang w:eastAsia="zh-CN"/>
        </w:rPr>
      </w:pPr>
      <w:r>
        <w:rPr>
          <w:rFonts w:hint="eastAsia" w:ascii="宋体" w:hAnsi="宋体" w:cs="宋体"/>
          <w:b/>
          <w:bCs/>
          <w:sz w:val="30"/>
          <w:szCs w:val="30"/>
        </w:rPr>
        <w:t>报价</w:t>
      </w:r>
      <w:r>
        <w:rPr>
          <w:rFonts w:hint="eastAsia" w:ascii="宋体" w:hAnsi="宋体" w:cs="宋体"/>
          <w:b/>
          <w:bCs/>
          <w:sz w:val="30"/>
          <w:szCs w:val="30"/>
          <w:lang w:val="en-US" w:eastAsia="zh-CN"/>
        </w:rPr>
        <w:t>明细</w:t>
      </w:r>
      <w:r>
        <w:rPr>
          <w:rFonts w:hint="eastAsia" w:ascii="宋体" w:hAnsi="宋体" w:cs="宋体"/>
          <w:b/>
          <w:bCs/>
          <w:sz w:val="30"/>
          <w:szCs w:val="30"/>
        </w:rPr>
        <w:t>表</w:t>
      </w:r>
    </w:p>
    <w:tbl>
      <w:tblPr>
        <w:tblStyle w:val="6"/>
        <w:tblpPr w:leftFromText="180" w:rightFromText="180" w:vertAnchor="text" w:horzAnchor="margin" w:tblpY="196"/>
        <w:tblOverlap w:val="never"/>
        <w:tblW w:w="9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272"/>
        <w:gridCol w:w="2404"/>
        <w:gridCol w:w="1852"/>
        <w:gridCol w:w="1733"/>
        <w:gridCol w:w="1248"/>
      </w:tblGrid>
      <w:tr w14:paraId="6C7AE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4" w:hRule="atLeast"/>
        </w:trPr>
        <w:tc>
          <w:tcPr>
            <w:tcW w:w="1490" w:type="dxa"/>
            <w:noWrap w:val="0"/>
            <w:vAlign w:val="center"/>
          </w:tcPr>
          <w:p w14:paraId="7D2DCD00">
            <w:pPr>
              <w:widowControl/>
              <w:spacing w:line="360" w:lineRule="auto"/>
              <w:ind w:left="12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8509" w:type="dxa"/>
            <w:gridSpan w:val="5"/>
            <w:noWrap w:val="0"/>
            <w:vAlign w:val="center"/>
          </w:tcPr>
          <w:p w14:paraId="23F14FE3">
            <w:pPr>
              <w:widowControl/>
              <w:spacing w:line="360" w:lineRule="auto"/>
              <w:ind w:left="120"/>
              <w:rPr>
                <w:rFonts w:hint="eastAsia" w:ascii="宋体" w:hAnsi="宋体" w:eastAsia="宋体" w:cs="宋体"/>
                <w:sz w:val="24"/>
                <w:szCs w:val="24"/>
              </w:rPr>
            </w:pPr>
          </w:p>
        </w:tc>
      </w:tr>
      <w:tr w14:paraId="0B50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490" w:type="dxa"/>
            <w:noWrap w:val="0"/>
            <w:vAlign w:val="center"/>
          </w:tcPr>
          <w:p w14:paraId="4A68DAE3">
            <w:pPr>
              <w:widowControl/>
              <w:spacing w:line="360" w:lineRule="auto"/>
              <w:ind w:left="120"/>
              <w:jc w:val="center"/>
              <w:rPr>
                <w:rFonts w:hint="eastAsia" w:ascii="宋体" w:hAnsi="宋体" w:eastAsia="宋体" w:cs="宋体"/>
                <w:sz w:val="24"/>
                <w:szCs w:val="24"/>
              </w:rPr>
            </w:pPr>
            <w:r>
              <w:rPr>
                <w:rFonts w:hint="eastAsia" w:ascii="宋体" w:hAnsi="宋体" w:eastAsia="宋体" w:cs="宋体"/>
                <w:sz w:val="24"/>
                <w:szCs w:val="24"/>
              </w:rPr>
              <w:t>项目编号</w:t>
            </w:r>
          </w:p>
        </w:tc>
        <w:tc>
          <w:tcPr>
            <w:tcW w:w="8509" w:type="dxa"/>
            <w:gridSpan w:val="5"/>
            <w:noWrap w:val="0"/>
            <w:vAlign w:val="center"/>
          </w:tcPr>
          <w:p w14:paraId="7E598474">
            <w:pPr>
              <w:widowControl/>
              <w:spacing w:line="360" w:lineRule="auto"/>
              <w:ind w:left="120"/>
              <w:rPr>
                <w:rFonts w:hint="eastAsia" w:ascii="宋体" w:hAnsi="宋体" w:eastAsia="宋体" w:cs="宋体"/>
                <w:sz w:val="24"/>
                <w:szCs w:val="24"/>
              </w:rPr>
            </w:pPr>
          </w:p>
        </w:tc>
      </w:tr>
      <w:tr w14:paraId="16B3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490" w:type="dxa"/>
            <w:noWrap w:val="0"/>
            <w:vAlign w:val="center"/>
          </w:tcPr>
          <w:p w14:paraId="50DCB46C">
            <w:pPr>
              <w:widowControl/>
              <w:spacing w:line="360" w:lineRule="auto"/>
              <w:ind w:left="12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采购包</w:t>
            </w:r>
          </w:p>
        </w:tc>
        <w:tc>
          <w:tcPr>
            <w:tcW w:w="8509" w:type="dxa"/>
            <w:gridSpan w:val="5"/>
            <w:noWrap w:val="0"/>
            <w:vAlign w:val="center"/>
          </w:tcPr>
          <w:p w14:paraId="686F48E8">
            <w:pPr>
              <w:widowControl/>
              <w:spacing w:line="360" w:lineRule="auto"/>
              <w:ind w:left="120"/>
              <w:rPr>
                <w:rFonts w:hint="eastAsia" w:ascii="宋体" w:hAnsi="宋体" w:eastAsia="宋体" w:cs="宋体"/>
                <w:sz w:val="24"/>
                <w:szCs w:val="24"/>
              </w:rPr>
            </w:pPr>
          </w:p>
        </w:tc>
      </w:tr>
      <w:tr w14:paraId="009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490" w:type="dxa"/>
            <w:vMerge w:val="restart"/>
            <w:noWrap w:val="0"/>
            <w:vAlign w:val="center"/>
          </w:tcPr>
          <w:p w14:paraId="329A06AD">
            <w:pPr>
              <w:widowControl/>
              <w:spacing w:line="360" w:lineRule="auto"/>
              <w:ind w:left="120"/>
              <w:jc w:val="center"/>
              <w:rPr>
                <w:rFonts w:hint="eastAsia" w:ascii="宋体" w:hAnsi="宋体" w:eastAsia="宋体" w:cs="宋体"/>
                <w:sz w:val="24"/>
                <w:szCs w:val="24"/>
              </w:rPr>
            </w:pPr>
            <w:bookmarkStart w:id="2" w:name="_GoBack" w:colFirst="1" w:colLast="5"/>
            <w:r>
              <w:rPr>
                <w:rFonts w:hint="eastAsia" w:ascii="宋体" w:hAnsi="宋体" w:eastAsia="宋体" w:cs="宋体"/>
                <w:sz w:val="24"/>
                <w:szCs w:val="24"/>
              </w:rPr>
              <w:t>报价</w:t>
            </w:r>
          </w:p>
        </w:tc>
        <w:tc>
          <w:tcPr>
            <w:tcW w:w="1272" w:type="dxa"/>
            <w:noWrap w:val="0"/>
            <w:vAlign w:val="center"/>
          </w:tcPr>
          <w:p w14:paraId="664DD44F">
            <w:pPr>
              <w:widowControl/>
              <w:spacing w:line="360" w:lineRule="auto"/>
              <w:ind w:left="12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名称</w:t>
            </w:r>
          </w:p>
        </w:tc>
        <w:tc>
          <w:tcPr>
            <w:tcW w:w="2404" w:type="dxa"/>
            <w:noWrap w:val="0"/>
            <w:vAlign w:val="center"/>
          </w:tcPr>
          <w:p w14:paraId="23B6ACDD">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服务内容</w:t>
            </w:r>
          </w:p>
        </w:tc>
        <w:tc>
          <w:tcPr>
            <w:tcW w:w="1852" w:type="dxa"/>
            <w:noWrap w:val="0"/>
            <w:vAlign w:val="center"/>
          </w:tcPr>
          <w:p w14:paraId="7CD8B5FF">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报价</w:t>
            </w:r>
          </w:p>
        </w:tc>
        <w:tc>
          <w:tcPr>
            <w:tcW w:w="1733" w:type="dxa"/>
            <w:noWrap w:val="0"/>
            <w:vAlign w:val="center"/>
          </w:tcPr>
          <w:p w14:paraId="0EB40718">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数量</w:t>
            </w:r>
          </w:p>
        </w:tc>
        <w:tc>
          <w:tcPr>
            <w:tcW w:w="1248" w:type="dxa"/>
            <w:noWrap w:val="0"/>
            <w:vAlign w:val="center"/>
          </w:tcPr>
          <w:p w14:paraId="1B0AA462">
            <w:pPr>
              <w:widowControl/>
              <w:spacing w:line="360" w:lineRule="auto"/>
              <w:ind w:left="12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单项合计（元）</w:t>
            </w:r>
          </w:p>
        </w:tc>
      </w:tr>
      <w:tr w14:paraId="3AC0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490" w:type="dxa"/>
            <w:vMerge w:val="continue"/>
            <w:noWrap w:val="0"/>
            <w:vAlign w:val="center"/>
          </w:tcPr>
          <w:p w14:paraId="256338DF">
            <w:pPr>
              <w:widowControl/>
              <w:spacing w:line="360" w:lineRule="auto"/>
              <w:ind w:left="120"/>
              <w:jc w:val="center"/>
              <w:rPr>
                <w:rFonts w:hint="eastAsia" w:ascii="宋体" w:hAnsi="宋体" w:eastAsia="宋体" w:cs="宋体"/>
                <w:sz w:val="24"/>
                <w:szCs w:val="24"/>
              </w:rPr>
            </w:pPr>
          </w:p>
        </w:tc>
        <w:tc>
          <w:tcPr>
            <w:tcW w:w="1272" w:type="dxa"/>
            <w:vMerge w:val="restart"/>
            <w:noWrap w:val="0"/>
            <w:vAlign w:val="center"/>
          </w:tcPr>
          <w:p w14:paraId="0719B478">
            <w:pPr>
              <w:widowControl/>
              <w:spacing w:line="360" w:lineRule="auto"/>
              <w:ind w:left="12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（1）日常运维</w:t>
            </w:r>
          </w:p>
        </w:tc>
        <w:tc>
          <w:tcPr>
            <w:tcW w:w="2404" w:type="dxa"/>
            <w:noWrap w:val="0"/>
            <w:vAlign w:val="center"/>
          </w:tcPr>
          <w:p w14:paraId="5BAEA2A0">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6台气溶胶雷达</w:t>
            </w:r>
          </w:p>
        </w:tc>
        <w:tc>
          <w:tcPr>
            <w:tcW w:w="1852" w:type="dxa"/>
            <w:noWrap w:val="0"/>
            <w:vAlign w:val="center"/>
          </w:tcPr>
          <w:p w14:paraId="40483CC2">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元/台</w:t>
            </w:r>
          </w:p>
        </w:tc>
        <w:tc>
          <w:tcPr>
            <w:tcW w:w="1733" w:type="dxa"/>
            <w:noWrap w:val="0"/>
            <w:vAlign w:val="center"/>
          </w:tcPr>
          <w:p w14:paraId="5C8EA663">
            <w:pPr>
              <w:widowControl/>
              <w:spacing w:line="360" w:lineRule="auto"/>
              <w:jc w:val="center"/>
              <w:rPr>
                <w:rFonts w:hint="eastAsia"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lang w:val="en-US" w:eastAsia="zh-CN" w:bidi="ar"/>
              </w:rPr>
              <w:t>6台</w:t>
            </w:r>
          </w:p>
        </w:tc>
        <w:tc>
          <w:tcPr>
            <w:tcW w:w="1248" w:type="dxa"/>
            <w:vMerge w:val="restart"/>
            <w:noWrap w:val="0"/>
            <w:vAlign w:val="center"/>
          </w:tcPr>
          <w:p w14:paraId="6E255B9E">
            <w:pPr>
              <w:widowControl/>
              <w:spacing w:line="360" w:lineRule="auto"/>
              <w:ind w:left="120"/>
              <w:jc w:val="center"/>
              <w:rPr>
                <w:rFonts w:hint="eastAsia" w:ascii="宋体" w:hAnsi="宋体" w:eastAsia="宋体" w:cs="宋体"/>
                <w:color w:val="000000"/>
                <w:kern w:val="0"/>
                <w:sz w:val="24"/>
                <w:szCs w:val="24"/>
                <w:lang w:val="en-US" w:eastAsia="zh-CN" w:bidi="ar"/>
              </w:rPr>
            </w:pPr>
          </w:p>
        </w:tc>
      </w:tr>
      <w:tr w14:paraId="192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490" w:type="dxa"/>
            <w:vMerge w:val="continue"/>
            <w:noWrap w:val="0"/>
            <w:vAlign w:val="center"/>
          </w:tcPr>
          <w:p w14:paraId="149FE8BA">
            <w:pPr>
              <w:widowControl/>
              <w:spacing w:line="360" w:lineRule="auto"/>
              <w:ind w:left="120"/>
              <w:jc w:val="center"/>
              <w:rPr>
                <w:rFonts w:hint="eastAsia" w:ascii="宋体" w:hAnsi="宋体" w:eastAsia="宋体" w:cs="宋体"/>
                <w:sz w:val="24"/>
                <w:szCs w:val="24"/>
              </w:rPr>
            </w:pPr>
          </w:p>
        </w:tc>
        <w:tc>
          <w:tcPr>
            <w:tcW w:w="1272" w:type="dxa"/>
            <w:vMerge w:val="continue"/>
            <w:noWrap w:val="0"/>
            <w:vAlign w:val="center"/>
          </w:tcPr>
          <w:p w14:paraId="24FB4423">
            <w:pPr>
              <w:widowControl/>
              <w:spacing w:line="360" w:lineRule="auto"/>
              <w:ind w:left="120"/>
              <w:jc w:val="left"/>
              <w:rPr>
                <w:rFonts w:hint="eastAsia" w:ascii="宋体" w:hAnsi="宋体" w:eastAsia="宋体" w:cs="宋体"/>
                <w:sz w:val="24"/>
                <w:szCs w:val="24"/>
              </w:rPr>
            </w:pPr>
          </w:p>
        </w:tc>
        <w:tc>
          <w:tcPr>
            <w:tcW w:w="2404" w:type="dxa"/>
            <w:noWrap w:val="0"/>
            <w:vAlign w:val="center"/>
          </w:tcPr>
          <w:p w14:paraId="31718BBC">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1台臭氧激光雷达</w:t>
            </w:r>
          </w:p>
        </w:tc>
        <w:tc>
          <w:tcPr>
            <w:tcW w:w="1852" w:type="dxa"/>
            <w:noWrap w:val="0"/>
            <w:vAlign w:val="center"/>
          </w:tcPr>
          <w:p w14:paraId="73C222FE">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元/台</w:t>
            </w:r>
          </w:p>
        </w:tc>
        <w:tc>
          <w:tcPr>
            <w:tcW w:w="1733" w:type="dxa"/>
            <w:noWrap w:val="0"/>
            <w:vAlign w:val="center"/>
          </w:tcPr>
          <w:p w14:paraId="2E3A2040">
            <w:pPr>
              <w:widowControl/>
              <w:spacing w:line="360" w:lineRule="auto"/>
              <w:jc w:val="center"/>
              <w:rPr>
                <w:rFonts w:hint="eastAsia"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lang w:val="en-US" w:eastAsia="zh-CN" w:bidi="ar"/>
              </w:rPr>
              <w:t>1台</w:t>
            </w:r>
          </w:p>
        </w:tc>
        <w:tc>
          <w:tcPr>
            <w:tcW w:w="1248" w:type="dxa"/>
            <w:vMerge w:val="continue"/>
            <w:noWrap w:val="0"/>
            <w:vAlign w:val="center"/>
          </w:tcPr>
          <w:p w14:paraId="67CD6FF0">
            <w:pPr>
              <w:widowControl/>
              <w:spacing w:line="360" w:lineRule="auto"/>
              <w:ind w:left="120"/>
              <w:jc w:val="center"/>
              <w:rPr>
                <w:rFonts w:hint="eastAsia" w:ascii="宋体" w:hAnsi="宋体" w:eastAsia="宋体" w:cs="宋体"/>
                <w:color w:val="000000"/>
                <w:kern w:val="0"/>
                <w:sz w:val="24"/>
                <w:szCs w:val="24"/>
                <w:lang w:val="en-US" w:eastAsia="zh-CN" w:bidi="ar"/>
              </w:rPr>
            </w:pPr>
          </w:p>
        </w:tc>
      </w:tr>
      <w:tr w14:paraId="3F6E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490" w:type="dxa"/>
            <w:vMerge w:val="continue"/>
            <w:noWrap w:val="0"/>
            <w:vAlign w:val="center"/>
          </w:tcPr>
          <w:p w14:paraId="5277DC6F">
            <w:pPr>
              <w:widowControl/>
              <w:spacing w:line="360" w:lineRule="auto"/>
              <w:ind w:left="120"/>
              <w:jc w:val="center"/>
              <w:rPr>
                <w:rFonts w:hint="eastAsia" w:ascii="宋体" w:hAnsi="宋体" w:eastAsia="宋体" w:cs="宋体"/>
                <w:color w:val="000000"/>
                <w:kern w:val="0"/>
                <w:sz w:val="24"/>
                <w:szCs w:val="24"/>
                <w:lang w:val="en-US" w:eastAsia="zh-CN" w:bidi="ar"/>
              </w:rPr>
            </w:pPr>
          </w:p>
        </w:tc>
        <w:tc>
          <w:tcPr>
            <w:tcW w:w="1272" w:type="dxa"/>
            <w:vMerge w:val="continue"/>
            <w:noWrap w:val="0"/>
            <w:vAlign w:val="center"/>
          </w:tcPr>
          <w:p w14:paraId="101C8A4D">
            <w:pPr>
              <w:widowControl/>
              <w:spacing w:line="360" w:lineRule="auto"/>
              <w:ind w:left="120"/>
              <w:jc w:val="left"/>
              <w:rPr>
                <w:rFonts w:hint="eastAsia" w:ascii="宋体" w:hAnsi="宋体" w:eastAsia="宋体" w:cs="宋体"/>
                <w:color w:val="000000"/>
                <w:kern w:val="0"/>
                <w:sz w:val="24"/>
                <w:szCs w:val="24"/>
                <w:lang w:val="en-US" w:eastAsia="zh-CN" w:bidi="ar"/>
              </w:rPr>
            </w:pPr>
          </w:p>
        </w:tc>
        <w:tc>
          <w:tcPr>
            <w:tcW w:w="2404" w:type="dxa"/>
            <w:noWrap w:val="0"/>
            <w:vAlign w:val="center"/>
          </w:tcPr>
          <w:p w14:paraId="5E7ADEC9">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6台黑炭分析仪</w:t>
            </w:r>
          </w:p>
        </w:tc>
        <w:tc>
          <w:tcPr>
            <w:tcW w:w="1852" w:type="dxa"/>
            <w:noWrap w:val="0"/>
            <w:vAlign w:val="center"/>
          </w:tcPr>
          <w:p w14:paraId="3974DD33">
            <w:pPr>
              <w:widowControl/>
              <w:spacing w:line="360" w:lineRule="auto"/>
              <w:jc w:val="center"/>
              <w:rPr>
                <w:rFonts w:hint="eastAsia" w:ascii="宋体" w:hAnsi="宋体" w:eastAsia="宋体" w:cs="宋体"/>
                <w:color w:val="000000"/>
                <w:kern w:val="0"/>
                <w:sz w:val="24"/>
                <w:szCs w:val="24"/>
                <w:lang w:val="en-US" w:eastAsia="zh-CN" w:bidi="ar"/>
              </w:rPr>
            </w:pPr>
            <w:bookmarkStart w:id="0" w:name="OLE_LINK1"/>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w:t>
            </w:r>
            <w:bookmarkEnd w:id="0"/>
            <w:r>
              <w:rPr>
                <w:rFonts w:hint="eastAsia" w:ascii="宋体" w:hAnsi="宋体" w:eastAsia="宋体" w:cs="宋体"/>
                <w:color w:val="000000"/>
                <w:kern w:val="0"/>
                <w:sz w:val="24"/>
                <w:szCs w:val="24"/>
                <w:lang w:val="en-US" w:eastAsia="zh-CN" w:bidi="ar"/>
              </w:rPr>
              <w:t>台</w:t>
            </w:r>
          </w:p>
        </w:tc>
        <w:tc>
          <w:tcPr>
            <w:tcW w:w="1733" w:type="dxa"/>
            <w:noWrap w:val="0"/>
            <w:vAlign w:val="center"/>
          </w:tcPr>
          <w:p w14:paraId="3DA7C2EB">
            <w:pPr>
              <w:widowControl/>
              <w:spacing w:line="360" w:lineRule="auto"/>
              <w:jc w:val="center"/>
              <w:rPr>
                <w:rFonts w:hint="eastAsia"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lang w:val="en-US" w:eastAsia="zh-CN" w:bidi="ar"/>
              </w:rPr>
              <w:t>6台</w:t>
            </w:r>
          </w:p>
        </w:tc>
        <w:tc>
          <w:tcPr>
            <w:tcW w:w="1248" w:type="dxa"/>
            <w:vMerge w:val="continue"/>
            <w:noWrap w:val="0"/>
            <w:vAlign w:val="center"/>
          </w:tcPr>
          <w:p w14:paraId="1956F175">
            <w:pPr>
              <w:widowControl/>
              <w:spacing w:line="360" w:lineRule="auto"/>
              <w:ind w:left="120"/>
              <w:jc w:val="center"/>
              <w:rPr>
                <w:rFonts w:hint="eastAsia" w:ascii="宋体" w:hAnsi="宋体" w:eastAsia="宋体" w:cs="宋体"/>
                <w:color w:val="000000"/>
                <w:kern w:val="0"/>
                <w:sz w:val="24"/>
                <w:szCs w:val="24"/>
                <w:lang w:val="en-US" w:eastAsia="zh-CN" w:bidi="ar"/>
              </w:rPr>
            </w:pPr>
          </w:p>
        </w:tc>
      </w:tr>
      <w:tr w14:paraId="30F1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490" w:type="dxa"/>
            <w:vMerge w:val="continue"/>
            <w:noWrap w:val="0"/>
            <w:vAlign w:val="center"/>
          </w:tcPr>
          <w:p w14:paraId="22A7FC7E">
            <w:pPr>
              <w:widowControl/>
              <w:spacing w:line="360" w:lineRule="auto"/>
              <w:ind w:left="120"/>
              <w:jc w:val="center"/>
              <w:rPr>
                <w:rFonts w:hint="eastAsia" w:ascii="宋体" w:hAnsi="宋体" w:eastAsia="宋体" w:cs="宋体"/>
                <w:sz w:val="24"/>
                <w:szCs w:val="24"/>
              </w:rPr>
            </w:pPr>
          </w:p>
        </w:tc>
        <w:tc>
          <w:tcPr>
            <w:tcW w:w="1272" w:type="dxa"/>
            <w:vMerge w:val="restart"/>
            <w:noWrap w:val="0"/>
            <w:vAlign w:val="center"/>
          </w:tcPr>
          <w:p w14:paraId="639803F3">
            <w:pPr>
              <w:widowControl/>
              <w:spacing w:line="360" w:lineRule="auto"/>
              <w:ind w:left="120"/>
              <w:jc w:val="left"/>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（2）质控检查</w:t>
            </w:r>
          </w:p>
        </w:tc>
        <w:tc>
          <w:tcPr>
            <w:tcW w:w="2404" w:type="dxa"/>
            <w:vMerge w:val="restart"/>
            <w:noWrap w:val="0"/>
            <w:vAlign w:val="center"/>
          </w:tcPr>
          <w:p w14:paraId="71C226C0">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开展地基激光雷达现场质控检查</w:t>
            </w:r>
          </w:p>
        </w:tc>
        <w:tc>
          <w:tcPr>
            <w:tcW w:w="1852" w:type="dxa"/>
            <w:noWrap w:val="0"/>
            <w:vAlign w:val="center"/>
          </w:tcPr>
          <w:p w14:paraId="6C6F6C85">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元/次</w:t>
            </w:r>
          </w:p>
        </w:tc>
        <w:tc>
          <w:tcPr>
            <w:tcW w:w="1733" w:type="dxa"/>
            <w:noWrap w:val="0"/>
            <w:vAlign w:val="center"/>
          </w:tcPr>
          <w:p w14:paraId="518E0991">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深度校准10次</w:t>
            </w:r>
          </w:p>
        </w:tc>
        <w:tc>
          <w:tcPr>
            <w:tcW w:w="1248" w:type="dxa"/>
            <w:vMerge w:val="restart"/>
            <w:noWrap w:val="0"/>
            <w:vAlign w:val="center"/>
          </w:tcPr>
          <w:p w14:paraId="4180340B">
            <w:pPr>
              <w:widowControl/>
              <w:spacing w:line="360" w:lineRule="auto"/>
              <w:jc w:val="center"/>
              <w:rPr>
                <w:rFonts w:hint="eastAsia" w:ascii="宋体" w:hAnsi="宋体" w:eastAsia="宋体" w:cs="宋体"/>
                <w:color w:val="000000"/>
                <w:kern w:val="0"/>
                <w:sz w:val="24"/>
                <w:szCs w:val="24"/>
                <w:lang w:val="en-US" w:eastAsia="zh-CN" w:bidi="ar"/>
              </w:rPr>
            </w:pPr>
          </w:p>
        </w:tc>
      </w:tr>
      <w:tr w14:paraId="289D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490" w:type="dxa"/>
            <w:vMerge w:val="continue"/>
            <w:noWrap w:val="0"/>
            <w:vAlign w:val="center"/>
          </w:tcPr>
          <w:p w14:paraId="4069A075">
            <w:pPr>
              <w:widowControl/>
              <w:spacing w:line="360" w:lineRule="auto"/>
              <w:jc w:val="center"/>
            </w:pPr>
          </w:p>
        </w:tc>
        <w:tc>
          <w:tcPr>
            <w:tcW w:w="1272" w:type="dxa"/>
            <w:vMerge w:val="continue"/>
            <w:noWrap w:val="0"/>
            <w:vAlign w:val="center"/>
          </w:tcPr>
          <w:p w14:paraId="2AD90639">
            <w:pPr>
              <w:widowControl/>
              <w:spacing w:line="360" w:lineRule="auto"/>
              <w:jc w:val="center"/>
            </w:pPr>
          </w:p>
        </w:tc>
        <w:tc>
          <w:tcPr>
            <w:tcW w:w="2404" w:type="dxa"/>
            <w:vMerge w:val="continue"/>
            <w:noWrap w:val="0"/>
            <w:vAlign w:val="center"/>
          </w:tcPr>
          <w:p w14:paraId="7E2D3864">
            <w:pPr>
              <w:widowControl/>
              <w:spacing w:line="360" w:lineRule="auto"/>
              <w:jc w:val="center"/>
            </w:pPr>
          </w:p>
        </w:tc>
        <w:tc>
          <w:tcPr>
            <w:tcW w:w="1852" w:type="dxa"/>
            <w:noWrap w:val="0"/>
            <w:vAlign w:val="center"/>
          </w:tcPr>
          <w:p w14:paraId="16B47B73">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元/次</w:t>
            </w:r>
          </w:p>
        </w:tc>
        <w:tc>
          <w:tcPr>
            <w:tcW w:w="1733" w:type="dxa"/>
            <w:noWrap w:val="0"/>
            <w:vAlign w:val="center"/>
          </w:tcPr>
          <w:p w14:paraId="1328684C">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常规质控检查62次</w:t>
            </w:r>
          </w:p>
        </w:tc>
        <w:tc>
          <w:tcPr>
            <w:tcW w:w="1248" w:type="dxa"/>
            <w:vMerge w:val="continue"/>
            <w:noWrap w:val="0"/>
            <w:vAlign w:val="center"/>
          </w:tcPr>
          <w:p w14:paraId="509B0F53">
            <w:pPr>
              <w:widowControl/>
              <w:spacing w:line="360" w:lineRule="auto"/>
              <w:jc w:val="center"/>
              <w:rPr>
                <w:rFonts w:hint="default" w:ascii="宋体" w:hAnsi="宋体" w:eastAsia="宋体" w:cs="宋体"/>
                <w:color w:val="000000"/>
                <w:kern w:val="0"/>
                <w:sz w:val="24"/>
                <w:szCs w:val="24"/>
                <w:lang w:val="en-US" w:eastAsia="zh-CN" w:bidi="ar"/>
              </w:rPr>
            </w:pPr>
          </w:p>
        </w:tc>
      </w:tr>
      <w:tr w14:paraId="2779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1490" w:type="dxa"/>
            <w:vMerge w:val="continue"/>
            <w:noWrap w:val="0"/>
            <w:vAlign w:val="center"/>
          </w:tcPr>
          <w:p w14:paraId="31889CB4">
            <w:pPr>
              <w:widowControl/>
              <w:spacing w:line="360" w:lineRule="auto"/>
              <w:ind w:left="120"/>
              <w:jc w:val="center"/>
              <w:rPr>
                <w:rFonts w:hint="eastAsia" w:ascii="宋体" w:hAnsi="宋体" w:eastAsia="宋体" w:cs="宋体"/>
                <w:sz w:val="24"/>
                <w:szCs w:val="24"/>
              </w:rPr>
            </w:pPr>
          </w:p>
        </w:tc>
        <w:tc>
          <w:tcPr>
            <w:tcW w:w="1272" w:type="dxa"/>
            <w:noWrap w:val="0"/>
            <w:vAlign w:val="center"/>
          </w:tcPr>
          <w:p w14:paraId="478D0C35">
            <w:pPr>
              <w:widowControl/>
              <w:spacing w:line="360" w:lineRule="auto"/>
              <w:ind w:left="120"/>
              <w:jc w:val="left"/>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（3）综合应用服务</w:t>
            </w:r>
          </w:p>
        </w:tc>
        <w:tc>
          <w:tcPr>
            <w:tcW w:w="2404" w:type="dxa"/>
            <w:noWrap w:val="0"/>
            <w:vAlign w:val="center"/>
          </w:tcPr>
          <w:p w14:paraId="4556E4A9">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组网激光雷达数据综合应用服务</w:t>
            </w:r>
          </w:p>
        </w:tc>
        <w:tc>
          <w:tcPr>
            <w:tcW w:w="1852" w:type="dxa"/>
            <w:noWrap w:val="0"/>
            <w:vAlign w:val="center"/>
          </w:tcPr>
          <w:p w14:paraId="1AC505DD">
            <w:pPr>
              <w:widowControl/>
              <w:spacing w:line="360" w:lineRule="auto"/>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w:t>
            </w:r>
          </w:p>
        </w:tc>
        <w:tc>
          <w:tcPr>
            <w:tcW w:w="1733" w:type="dxa"/>
            <w:noWrap w:val="0"/>
            <w:vAlign w:val="center"/>
          </w:tcPr>
          <w:p w14:paraId="58C3093C">
            <w:pPr>
              <w:widowControl/>
              <w:spacing w:line="360" w:lineRule="auto"/>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p>
        </w:tc>
        <w:tc>
          <w:tcPr>
            <w:tcW w:w="1248" w:type="dxa"/>
            <w:noWrap w:val="0"/>
            <w:vAlign w:val="center"/>
          </w:tcPr>
          <w:p w14:paraId="60F6F27C">
            <w:pPr>
              <w:widowControl/>
              <w:spacing w:line="360" w:lineRule="auto"/>
              <w:jc w:val="center"/>
              <w:rPr>
                <w:rFonts w:hint="eastAsia" w:ascii="宋体" w:hAnsi="宋体" w:eastAsia="宋体" w:cs="宋体"/>
                <w:color w:val="000000"/>
                <w:kern w:val="0"/>
                <w:sz w:val="24"/>
                <w:szCs w:val="24"/>
                <w:lang w:val="en-US" w:eastAsia="zh-CN" w:bidi="ar"/>
              </w:rPr>
            </w:pPr>
          </w:p>
        </w:tc>
      </w:tr>
      <w:bookmarkEnd w:id="2"/>
      <w:tr w14:paraId="067DF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490" w:type="dxa"/>
            <w:noWrap w:val="0"/>
            <w:vAlign w:val="center"/>
          </w:tcPr>
          <w:p w14:paraId="5FCEB8F9">
            <w:pPr>
              <w:widowControl/>
              <w:spacing w:line="360" w:lineRule="auto"/>
              <w:ind w:left="12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投标总价</w:t>
            </w:r>
          </w:p>
        </w:tc>
        <w:tc>
          <w:tcPr>
            <w:tcW w:w="8509" w:type="dxa"/>
            <w:gridSpan w:val="5"/>
            <w:noWrap w:val="0"/>
            <w:vAlign w:val="center"/>
          </w:tcPr>
          <w:p w14:paraId="1FC8BEEE">
            <w:pPr>
              <w:widowControl/>
              <w:spacing w:line="360" w:lineRule="auto"/>
              <w:ind w:left="12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小写：          元（大写：                       ）</w:t>
            </w:r>
          </w:p>
        </w:tc>
      </w:tr>
    </w:tbl>
    <w:p w14:paraId="63BB4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rPr>
        <w:t>注</w:t>
      </w:r>
      <w:r>
        <w:rPr>
          <w:rFonts w:hint="eastAsia" w:ascii="宋体" w:hAnsi="宋体" w:eastAsia="宋体" w:cs="宋体"/>
          <w:snapToGrid w:val="0"/>
          <w:sz w:val="24"/>
          <w:szCs w:val="24"/>
          <w:lang w:eastAsia="zh-CN"/>
        </w:rPr>
        <w:t>：</w:t>
      </w:r>
    </w:p>
    <w:p w14:paraId="548B1E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每部分报价是供应商完成此部分服务内容与要求的全部工作内容的价格体现，包括但不限于人工费、差旅费用、咨询、管理费、保险、利润、税费等全部费用。采购人不再支付其他任何费用。</w:t>
      </w:r>
    </w:p>
    <w:p w14:paraId="6E891E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2.本项目为固定总价合同，但供应商须在响应文件中分别填报（1）6台气溶胶雷达，1台臭氧激光雷达、6台黑炭分析仪日常运维（</w:t>
      </w:r>
      <w:bookmarkStart w:id="1" w:name="OLE_LINK23"/>
      <w:r>
        <w:rPr>
          <w:rFonts w:hint="eastAsia" w:ascii="宋体" w:hAnsi="宋体" w:eastAsia="宋体" w:cs="宋体"/>
          <w:color w:val="000000"/>
          <w:kern w:val="0"/>
          <w:sz w:val="24"/>
          <w:szCs w:val="24"/>
          <w:lang w:val="en-US" w:eastAsia="zh-CN" w:bidi="ar"/>
        </w:rPr>
        <w:t>最高</w:t>
      </w:r>
      <w:bookmarkEnd w:id="1"/>
      <w:r>
        <w:rPr>
          <w:rFonts w:hint="eastAsia" w:ascii="宋体" w:hAnsi="宋体" w:eastAsia="宋体" w:cs="宋体"/>
          <w:color w:val="000000"/>
          <w:kern w:val="0"/>
          <w:sz w:val="24"/>
          <w:szCs w:val="24"/>
          <w:lang w:val="en-US" w:eastAsia="zh-CN" w:bidi="ar"/>
        </w:rPr>
        <w:t>限价：64.6万元，且应明确每台设备的年维保费用）；（2）开展地基激光雷达现场质控检查（最高限价：30.72万元）；（3）组网激光雷达数据综合应用服务（最高限价：77.6万元）的报价，三项汇总金额应与投标总价一致，各项报价中有超过限价或不符合前述要求的将视为无效响应。</w:t>
      </w:r>
    </w:p>
    <w:p w14:paraId="3B1A05DA">
      <w:pPr>
        <w:rPr>
          <w:rFonts w:hint="eastAsia" w:ascii="宋体" w:hAnsi="宋体" w:eastAsia="宋体" w:cs="宋体"/>
          <w:sz w:val="24"/>
          <w:szCs w:val="24"/>
          <w:lang w:val="en-US" w:eastAsia="zh-CN"/>
        </w:rPr>
      </w:pPr>
    </w:p>
    <w:p w14:paraId="4C61E35A">
      <w:pPr>
        <w:adjustRightInd w:val="0"/>
        <w:spacing w:line="400" w:lineRule="exact"/>
        <w:ind w:left="120" w:firstLine="600" w:firstLineChars="250"/>
        <w:jc w:val="left"/>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名称：XXX（盖单位公章）</w:t>
      </w:r>
    </w:p>
    <w:p w14:paraId="7ACCBDE8">
      <w:pPr>
        <w:ind w:left="120" w:firstLine="616" w:firstLineChars="257"/>
        <w:rPr>
          <w:rFonts w:hint="eastAsia" w:ascii="宋体" w:hAnsi="宋体" w:eastAsia="宋体" w:cs="宋体"/>
          <w:sz w:val="24"/>
          <w:szCs w:val="24"/>
        </w:rPr>
      </w:pPr>
      <w:r>
        <w:rPr>
          <w:rFonts w:hint="eastAsia" w:ascii="宋体" w:hAnsi="宋体" w:eastAsia="宋体" w:cs="宋体"/>
          <w:sz w:val="24"/>
          <w:szCs w:val="24"/>
        </w:rPr>
        <w:t>日      期：XXX年XXX月XXX日</w:t>
      </w:r>
    </w:p>
    <w:p w14:paraId="7CB8C23F">
      <w:pPr>
        <w:rPr>
          <w:rFonts w:hint="eastAsia" w:ascii="宋体" w:hAnsi="宋体" w:eastAsia="宋体" w:cs="宋体"/>
          <w:sz w:val="24"/>
          <w:szCs w:val="24"/>
        </w:rPr>
      </w:pP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113"/>
        </w:tabs>
        <w:ind w:left="425" w:hanging="425"/>
      </w:pPr>
      <w:rPr>
        <w:rFonts w:hint="eastAsia"/>
      </w:rPr>
    </w:lvl>
    <w:lvl w:ilvl="1" w:tentative="0">
      <w:start w:val="1"/>
      <w:numFmt w:val="decimal"/>
      <w:pStyle w:val="9"/>
      <w:lvlText w:val="%1.%2"/>
      <w:lvlJc w:val="left"/>
      <w:pPr>
        <w:tabs>
          <w:tab w:val="left" w:pos="227"/>
        </w:tabs>
        <w:ind w:left="567" w:hanging="567"/>
      </w:pPr>
      <w:rPr>
        <w:rFonts w:hint="eastAsia"/>
      </w:rPr>
    </w:lvl>
    <w:lvl w:ilvl="2" w:tentative="0">
      <w:start w:val="1"/>
      <w:numFmt w:val="decimal"/>
      <w:lvlText w:val="%1.%2.%3"/>
      <w:lvlJc w:val="left"/>
      <w:pPr>
        <w:tabs>
          <w:tab w:val="left" w:pos="340"/>
        </w:tabs>
        <w:ind w:left="709" w:hanging="709"/>
      </w:pPr>
      <w:rPr>
        <w:rFonts w:hint="eastAsia"/>
      </w:rPr>
    </w:lvl>
    <w:lvl w:ilvl="3" w:tentative="0">
      <w:start w:val="1"/>
      <w:numFmt w:val="decimal"/>
      <w:lvlText w:val="%1.%2.%3.%4"/>
      <w:lvlJc w:val="left"/>
      <w:pPr>
        <w:tabs>
          <w:tab w:val="left" w:pos="454"/>
        </w:tabs>
        <w:ind w:left="851" w:hanging="851"/>
      </w:pPr>
      <w:rPr>
        <w:rFonts w:hint="eastAsia"/>
      </w:rPr>
    </w:lvl>
    <w:lvl w:ilvl="4" w:tentative="0">
      <w:start w:val="1"/>
      <w:numFmt w:val="decimal"/>
      <w:lvlText w:val="%1.%2.%3.%4.%5"/>
      <w:lvlJc w:val="left"/>
      <w:pPr>
        <w:tabs>
          <w:tab w:val="left" w:pos="567"/>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4C6403"/>
    <w:rsid w:val="02BF7789"/>
    <w:rsid w:val="10030D22"/>
    <w:rsid w:val="25E74091"/>
    <w:rsid w:val="28B5297E"/>
    <w:rsid w:val="29B23B9F"/>
    <w:rsid w:val="2F4C6403"/>
    <w:rsid w:val="2FEB573F"/>
    <w:rsid w:val="34E117B9"/>
    <w:rsid w:val="39E95D6E"/>
    <w:rsid w:val="518A40F8"/>
    <w:rsid w:val="556962E9"/>
    <w:rsid w:val="593928F1"/>
    <w:rsid w:val="5F45454F"/>
    <w:rsid w:val="632155EF"/>
    <w:rsid w:val="6543133E"/>
    <w:rsid w:val="74C17F9E"/>
    <w:rsid w:val="765C57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unhideWhenUsed/>
    <w:qFormat/>
    <w:uiPriority w:val="9"/>
    <w:pPr>
      <w:keepNext/>
      <w:keepLines/>
      <w:spacing w:before="40" w:after="50"/>
      <w:jc w:val="left"/>
      <w:outlineLvl w:val="3"/>
    </w:pPr>
    <w:rPr>
      <w:rFonts w:ascii="Calibri Light" w:hAnsi="Calibri Light" w:eastAsia="宋体" w:cs="Times New Roman"/>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rFonts w:ascii="Calibri" w:hAnsi="Calibri"/>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宋体" w:hAnsi="宋体" w:eastAsia="宋体" w:cs="宋体"/>
      <w:sz w:val="24"/>
      <w:szCs w:val="24"/>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
    <w:name w:val="标书2-二级标题"/>
    <w:basedOn w:val="3"/>
    <w:next w:val="10"/>
    <w:qFormat/>
    <w:uiPriority w:val="0"/>
    <w:pPr>
      <w:numPr>
        <w:ilvl w:val="1"/>
        <w:numId w:val="1"/>
      </w:numPr>
      <w:tabs>
        <w:tab w:val="left" w:pos="630"/>
        <w:tab w:val="left" w:pos="848"/>
        <w:tab w:val="clear" w:pos="227"/>
      </w:tabs>
      <w:outlineLvl w:val="1"/>
    </w:pPr>
    <w:rPr>
      <w:color w:val="000000"/>
      <w:szCs w:val="24"/>
    </w:rPr>
  </w:style>
  <w:style w:type="paragraph" w:customStyle="1" w:styleId="10">
    <w:name w:val="标书6-正文"/>
    <w:basedOn w:val="11"/>
    <w:qFormat/>
    <w:uiPriority w:val="0"/>
    <w:pPr>
      <w:tabs>
        <w:tab w:val="left" w:pos="420"/>
      </w:tabs>
    </w:pPr>
  </w:style>
  <w:style w:type="paragraph" w:customStyle="1" w:styleId="11">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453</Words>
  <Characters>475</Characters>
  <Lines>0</Lines>
  <Paragraphs>0</Paragraphs>
  <TotalTime>0</TotalTime>
  <ScaleCrop>false</ScaleCrop>
  <LinksUpToDate>false</LinksUpToDate>
  <CharactersWithSpaces>538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2026-06-29T06:16:00Z</dcterms:created>
  <dc:creator>S</dc:creator>
  <cp:lastModifiedBy>S</cp:lastModifiedBy>
  <dcterms:modified xsi:type="dcterms:W3CDTF">2026-08-18T02:59:19Z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0D7B56E9E3B34E0FA315A9B17611EAC0_13</vt:lpwstr>
  </property>
  <property fmtid="{D5CDD505-2E9C-101B-9397-08002B2CF9AE}" pid="4" name="KSOTemplateDocerSaveRecord">
    <vt:lpwstr>eyJoZGlkIjoiMDZjMWQ1NzIwNWE3YjVlZDJjYzQ3YmVhMDIxYjI3OWIiLCJ1c2VySWQiOiI0MDQ5Mjg4NDkifQ==</vt:lpwstr>
  </property>
</Properties>
</file>