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B3CF9">
      <w:pPr>
        <w:spacing w:line="360" w:lineRule="auto"/>
        <w:rPr>
          <w:rFonts w:ascii="宋体" w:hAnsi="宋体" w:eastAsia="宋体" w:cs="Times New Roman"/>
          <w:color w:val="000000" w:themeColor="text1"/>
          <w:sz w:val="28"/>
          <w:szCs w:val="28"/>
          <w14:textFill>
            <w14:solidFill>
              <w14:schemeClr w14:val="tx1"/>
            </w14:solidFill>
          </w14:textFill>
        </w:rPr>
      </w:pPr>
    </w:p>
    <w:p w14:paraId="4ACEDED8">
      <w:pPr>
        <w:spacing w:line="360" w:lineRule="auto"/>
        <w:jc w:val="center"/>
        <w:rPr>
          <w:rFonts w:ascii="宋体" w:hAnsi="宋体" w:eastAsia="宋体" w:cs="Times New Roman"/>
          <w:b/>
          <w:bCs/>
          <w:color w:val="000000" w:themeColor="text1"/>
          <w:sz w:val="48"/>
          <w:szCs w:val="48"/>
          <w14:textFill>
            <w14:solidFill>
              <w14:schemeClr w14:val="tx1"/>
            </w14:solidFill>
          </w14:textFill>
        </w:rPr>
      </w:pPr>
      <w:r>
        <w:rPr>
          <w:rFonts w:hint="eastAsia" w:ascii="黑体" w:eastAsia="黑体" w:cs="黑体"/>
          <w:color w:val="000000" w:themeColor="text1"/>
          <w:sz w:val="60"/>
          <w:szCs w:val="60"/>
          <w:lang w:eastAsia="zh-CN"/>
          <w14:textFill>
            <w14:solidFill>
              <w14:schemeClr w14:val="tx1"/>
            </w14:solidFill>
          </w14:textFill>
        </w:rPr>
        <w:t>威信县中医医院信息化系统升级改造项目</w:t>
      </w:r>
    </w:p>
    <w:p w14:paraId="7D47DBC2">
      <w:pPr>
        <w:spacing w:line="360" w:lineRule="auto"/>
        <w:jc w:val="center"/>
        <w:rPr>
          <w:rFonts w:hint="default" w:ascii="黑体" w:hAnsi="宋体" w:eastAsia="黑体" w:cs="黑体"/>
          <w:color w:val="000000" w:themeColor="text1"/>
          <w:sz w:val="28"/>
          <w:szCs w:val="28"/>
          <w:lang w:val="en-US" w:eastAsia="zh-CN"/>
          <w14:textFill>
            <w14:solidFill>
              <w14:schemeClr w14:val="tx1"/>
            </w14:solidFill>
          </w14:textFill>
        </w:rPr>
      </w:pPr>
      <w:r>
        <w:rPr>
          <w:rFonts w:hint="eastAsia" w:ascii="黑体" w:hAnsi="宋体" w:eastAsia="黑体" w:cs="黑体"/>
          <w:color w:val="000000" w:themeColor="text1"/>
          <w:sz w:val="28"/>
          <w:szCs w:val="28"/>
          <w:lang w:val="en-US" w:eastAsia="zh-CN"/>
          <w14:textFill>
            <w14:solidFill>
              <w14:schemeClr w14:val="tx1"/>
            </w14:solidFill>
          </w14:textFill>
        </w:rPr>
        <w:t>公开招标</w:t>
      </w:r>
    </w:p>
    <w:p w14:paraId="48C692C5">
      <w:pPr>
        <w:spacing w:line="360" w:lineRule="auto"/>
        <w:rPr>
          <w:rFonts w:ascii="宋体" w:hAnsi="宋体" w:eastAsia="宋体" w:cs="Times New Roman"/>
          <w:color w:val="000000" w:themeColor="text1"/>
          <w:sz w:val="32"/>
          <w:szCs w:val="32"/>
          <w14:textFill>
            <w14:solidFill>
              <w14:schemeClr w14:val="tx1"/>
            </w14:solidFill>
          </w14:textFill>
        </w:rPr>
      </w:pPr>
    </w:p>
    <w:p w14:paraId="04F95B9F">
      <w:pPr>
        <w:pStyle w:val="16"/>
        <w:ind w:left="63" w:right="63"/>
        <w:rPr>
          <w:rFonts w:ascii="宋体" w:hAnsi="宋体"/>
          <w:color w:val="000000" w:themeColor="text1"/>
          <w:sz w:val="32"/>
          <w:szCs w:val="32"/>
          <w14:textFill>
            <w14:solidFill>
              <w14:schemeClr w14:val="tx1"/>
            </w14:solidFill>
          </w14:textFill>
        </w:rPr>
      </w:pPr>
    </w:p>
    <w:p w14:paraId="6D3CA43F">
      <w:pPr>
        <w:rPr>
          <w:rFonts w:ascii="宋体" w:hAnsi="宋体" w:eastAsia="宋体" w:cs="Times New Roman"/>
          <w:color w:val="000000" w:themeColor="text1"/>
          <w:sz w:val="32"/>
          <w:szCs w:val="32"/>
          <w14:textFill>
            <w14:solidFill>
              <w14:schemeClr w14:val="tx1"/>
            </w14:solidFill>
          </w14:textFill>
        </w:rPr>
      </w:pPr>
    </w:p>
    <w:p w14:paraId="4A75FBA6">
      <w:pPr>
        <w:pStyle w:val="16"/>
        <w:ind w:left="63" w:right="63"/>
        <w:rPr>
          <w:rFonts w:ascii="宋体" w:hAnsi="宋体"/>
          <w:color w:val="000000" w:themeColor="text1"/>
          <w:sz w:val="32"/>
          <w:szCs w:val="32"/>
          <w14:textFill>
            <w14:solidFill>
              <w14:schemeClr w14:val="tx1"/>
            </w14:solidFill>
          </w14:textFill>
        </w:rPr>
      </w:pPr>
    </w:p>
    <w:p w14:paraId="2B43E566">
      <w:pPr>
        <w:rPr>
          <w:color w:val="000000" w:themeColor="text1"/>
          <w:sz w:val="20"/>
          <w:szCs w:val="20"/>
          <w14:textFill>
            <w14:solidFill>
              <w14:schemeClr w14:val="tx1"/>
            </w14:solidFill>
          </w14:textFill>
        </w:rPr>
      </w:pPr>
    </w:p>
    <w:p w14:paraId="5CF71873">
      <w:pPr>
        <w:spacing w:line="360" w:lineRule="auto"/>
        <w:jc w:val="center"/>
        <w:rPr>
          <w:rFonts w:hint="eastAsia" w:ascii="宋体" w:hAnsi="宋体" w:eastAsia="宋体" w:cs="宋体"/>
          <w:b/>
          <w:bCs/>
          <w:color w:val="000000" w:themeColor="text1"/>
          <w:sz w:val="72"/>
          <w:szCs w:val="72"/>
          <w14:textFill>
            <w14:solidFill>
              <w14:schemeClr w14:val="tx1"/>
            </w14:solidFill>
          </w14:textFill>
        </w:rPr>
      </w:pPr>
      <w:r>
        <w:rPr>
          <w:rFonts w:hint="eastAsia" w:ascii="宋体" w:hAnsi="宋体" w:eastAsia="宋体" w:cs="宋体"/>
          <w:b/>
          <w:bCs/>
          <w:color w:val="000000" w:themeColor="text1"/>
          <w:sz w:val="72"/>
          <w:szCs w:val="72"/>
          <w14:textFill>
            <w14:solidFill>
              <w14:schemeClr w14:val="tx1"/>
            </w14:solidFill>
          </w14:textFill>
        </w:rPr>
        <w:t>招</w:t>
      </w:r>
      <w:r>
        <w:rPr>
          <w:rFonts w:ascii="宋体" w:hAnsi="宋体" w:eastAsia="宋体" w:cs="宋体"/>
          <w:b/>
          <w:bCs/>
          <w:color w:val="000000" w:themeColor="text1"/>
          <w:sz w:val="72"/>
          <w:szCs w:val="72"/>
          <w14:textFill>
            <w14:solidFill>
              <w14:schemeClr w14:val="tx1"/>
            </w14:solidFill>
          </w14:textFill>
        </w:rPr>
        <w:t xml:space="preserve"> </w:t>
      </w:r>
      <w:r>
        <w:rPr>
          <w:rFonts w:hint="eastAsia" w:ascii="宋体" w:hAnsi="宋体" w:eastAsia="宋体" w:cs="宋体"/>
          <w:b/>
          <w:bCs/>
          <w:color w:val="000000" w:themeColor="text1"/>
          <w:sz w:val="72"/>
          <w:szCs w:val="72"/>
          <w14:textFill>
            <w14:solidFill>
              <w14:schemeClr w14:val="tx1"/>
            </w14:solidFill>
          </w14:textFill>
        </w:rPr>
        <w:t>标</w:t>
      </w:r>
      <w:r>
        <w:rPr>
          <w:rFonts w:ascii="宋体" w:hAnsi="宋体" w:eastAsia="宋体" w:cs="宋体"/>
          <w:b/>
          <w:bCs/>
          <w:color w:val="000000" w:themeColor="text1"/>
          <w:sz w:val="72"/>
          <w:szCs w:val="72"/>
          <w14:textFill>
            <w14:solidFill>
              <w14:schemeClr w14:val="tx1"/>
            </w14:solidFill>
          </w14:textFill>
        </w:rPr>
        <w:t xml:space="preserve"> </w:t>
      </w:r>
      <w:r>
        <w:rPr>
          <w:rFonts w:hint="eastAsia" w:ascii="宋体" w:hAnsi="宋体" w:eastAsia="宋体" w:cs="宋体"/>
          <w:b/>
          <w:bCs/>
          <w:color w:val="000000" w:themeColor="text1"/>
          <w:sz w:val="72"/>
          <w:szCs w:val="72"/>
          <w14:textFill>
            <w14:solidFill>
              <w14:schemeClr w14:val="tx1"/>
            </w14:solidFill>
          </w14:textFill>
        </w:rPr>
        <w:t>文</w:t>
      </w:r>
      <w:r>
        <w:rPr>
          <w:rFonts w:ascii="宋体" w:hAnsi="宋体" w:eastAsia="宋体" w:cs="宋体"/>
          <w:b/>
          <w:bCs/>
          <w:color w:val="000000" w:themeColor="text1"/>
          <w:sz w:val="72"/>
          <w:szCs w:val="72"/>
          <w14:textFill>
            <w14:solidFill>
              <w14:schemeClr w14:val="tx1"/>
            </w14:solidFill>
          </w14:textFill>
        </w:rPr>
        <w:t xml:space="preserve"> </w:t>
      </w:r>
      <w:r>
        <w:rPr>
          <w:rFonts w:hint="eastAsia" w:ascii="宋体" w:hAnsi="宋体" w:eastAsia="宋体" w:cs="宋体"/>
          <w:b/>
          <w:bCs/>
          <w:color w:val="000000" w:themeColor="text1"/>
          <w:sz w:val="72"/>
          <w:szCs w:val="72"/>
          <w14:textFill>
            <w14:solidFill>
              <w14:schemeClr w14:val="tx1"/>
            </w14:solidFill>
          </w14:textFill>
        </w:rPr>
        <w:t>件</w:t>
      </w:r>
    </w:p>
    <w:p w14:paraId="13213D65">
      <w:pPr>
        <w:spacing w:line="360" w:lineRule="auto"/>
        <w:jc w:val="center"/>
        <w:rPr>
          <w:rFonts w:hint="eastAsia" w:ascii="黑体" w:hAnsi="宋体" w:eastAsia="黑体" w:cs="黑体"/>
          <w:color w:val="000000" w:themeColor="text1"/>
          <w:sz w:val="28"/>
          <w:szCs w:val="28"/>
          <w14:textFill>
            <w14:solidFill>
              <w14:schemeClr w14:val="tx1"/>
            </w14:solidFill>
          </w14:textFill>
        </w:rPr>
      </w:pPr>
      <w:r>
        <w:rPr>
          <w:rFonts w:hint="eastAsia" w:ascii="黑体" w:hAnsi="宋体" w:eastAsia="黑体" w:cs="黑体"/>
          <w:color w:val="000000" w:themeColor="text1"/>
          <w:sz w:val="28"/>
          <w:szCs w:val="28"/>
          <w:lang w:eastAsia="zh-CN"/>
          <w14:textFill>
            <w14:solidFill>
              <w14:schemeClr w14:val="tx1"/>
            </w14:solidFill>
          </w14:textFill>
        </w:rPr>
        <w:t>（</w:t>
      </w:r>
      <w:r>
        <w:rPr>
          <w:rFonts w:hint="eastAsia" w:ascii="黑体" w:hAnsi="宋体" w:eastAsia="黑体" w:cs="黑体"/>
          <w:color w:val="000000" w:themeColor="text1"/>
          <w:sz w:val="28"/>
          <w:szCs w:val="28"/>
          <w14:textFill>
            <w14:solidFill>
              <w14:schemeClr w14:val="tx1"/>
            </w14:solidFill>
          </w14:textFill>
        </w:rPr>
        <w:t>项目编号： ZTZC2025-G1-01069-QSGL-0015</w:t>
      </w:r>
      <w:r>
        <w:rPr>
          <w:rFonts w:hint="eastAsia" w:ascii="黑体" w:hAnsi="宋体" w:eastAsia="黑体" w:cs="黑体"/>
          <w:color w:val="000000" w:themeColor="text1"/>
          <w:sz w:val="28"/>
          <w:szCs w:val="28"/>
          <w:lang w:eastAsia="zh-CN"/>
          <w14:textFill>
            <w14:solidFill>
              <w14:schemeClr w14:val="tx1"/>
            </w14:solidFill>
          </w14:textFill>
        </w:rPr>
        <w:t>）</w:t>
      </w:r>
    </w:p>
    <w:p w14:paraId="7D3D072E">
      <w:pPr>
        <w:spacing w:line="360" w:lineRule="auto"/>
        <w:rPr>
          <w:rFonts w:ascii="宋体" w:hAnsi="宋体" w:eastAsia="宋体" w:cs="Times New Roman"/>
          <w:color w:val="000000" w:themeColor="text1"/>
          <w:sz w:val="32"/>
          <w:szCs w:val="32"/>
          <w14:textFill>
            <w14:solidFill>
              <w14:schemeClr w14:val="tx1"/>
            </w14:solidFill>
          </w14:textFill>
        </w:rPr>
      </w:pPr>
    </w:p>
    <w:p w14:paraId="29497875">
      <w:pPr>
        <w:spacing w:line="360" w:lineRule="auto"/>
        <w:rPr>
          <w:rFonts w:ascii="宋体" w:hAnsi="宋体" w:eastAsia="宋体" w:cs="Times New Roman"/>
          <w:color w:val="000000" w:themeColor="text1"/>
          <w:sz w:val="32"/>
          <w:szCs w:val="32"/>
          <w14:textFill>
            <w14:solidFill>
              <w14:schemeClr w14:val="tx1"/>
            </w14:solidFill>
          </w14:textFill>
        </w:rPr>
      </w:pPr>
    </w:p>
    <w:p w14:paraId="25113502">
      <w:pPr>
        <w:spacing w:line="360" w:lineRule="auto"/>
        <w:rPr>
          <w:rFonts w:ascii="宋体" w:hAnsi="宋体" w:eastAsia="宋体" w:cs="Times New Roman"/>
          <w:color w:val="000000" w:themeColor="text1"/>
          <w:sz w:val="32"/>
          <w:szCs w:val="32"/>
          <w14:textFill>
            <w14:solidFill>
              <w14:schemeClr w14:val="tx1"/>
            </w14:solidFill>
          </w14:textFill>
        </w:rPr>
      </w:pPr>
    </w:p>
    <w:p w14:paraId="202B5C2E">
      <w:pPr>
        <w:spacing w:line="360" w:lineRule="auto"/>
        <w:rPr>
          <w:rFonts w:ascii="宋体" w:hAnsi="宋体" w:eastAsia="宋体" w:cs="Times New Roman"/>
          <w:color w:val="000000" w:themeColor="text1"/>
          <w:sz w:val="32"/>
          <w:szCs w:val="32"/>
          <w14:textFill>
            <w14:solidFill>
              <w14:schemeClr w14:val="tx1"/>
            </w14:solidFill>
          </w14:textFill>
        </w:rPr>
      </w:pPr>
    </w:p>
    <w:p w14:paraId="3A7C2202">
      <w:pPr>
        <w:spacing w:line="360" w:lineRule="auto"/>
        <w:rPr>
          <w:rFonts w:ascii="宋体" w:hAnsi="宋体" w:eastAsia="宋体" w:cs="Times New Roman"/>
          <w:color w:val="000000" w:themeColor="text1"/>
          <w:sz w:val="32"/>
          <w:szCs w:val="32"/>
          <w14:textFill>
            <w14:solidFill>
              <w14:schemeClr w14:val="tx1"/>
            </w14:solidFill>
          </w14:textFill>
        </w:rPr>
      </w:pPr>
    </w:p>
    <w:p w14:paraId="473183A3">
      <w:pPr>
        <w:spacing w:line="360" w:lineRule="auto"/>
        <w:rPr>
          <w:rFonts w:hint="eastAsia" w:asciiTheme="majorEastAsia" w:hAnsiTheme="majorEastAsia" w:eastAsiaTheme="majorEastAsia" w:cstheme="majorEastAsia"/>
          <w:b/>
          <w:bCs/>
          <w:color w:val="000000" w:themeColor="text1"/>
          <w:sz w:val="32"/>
          <w:szCs w:val="32"/>
          <w:u w:val="singl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32"/>
          <w:szCs w:val="32"/>
          <w:lang w:val="en-US" w:eastAsia="zh-CN"/>
          <w14:textFill>
            <w14:solidFill>
              <w14:schemeClr w14:val="tx1"/>
            </w14:solidFill>
          </w14:textFill>
        </w:rPr>
        <w:t>招标人/</w:t>
      </w:r>
      <w:r>
        <w:rPr>
          <w:rFonts w:hint="eastAsia" w:asciiTheme="majorEastAsia" w:hAnsiTheme="majorEastAsia" w:eastAsiaTheme="majorEastAsia" w:cstheme="majorEastAsia"/>
          <w:b/>
          <w:bCs/>
          <w:color w:val="000000" w:themeColor="text1"/>
          <w:sz w:val="32"/>
          <w:szCs w:val="32"/>
          <w14:textFill>
            <w14:solidFill>
              <w14:schemeClr w14:val="tx1"/>
            </w14:solidFill>
          </w14:textFill>
        </w:rPr>
        <w:t>采购人：</w:t>
      </w:r>
      <w:r>
        <w:rPr>
          <w:rFonts w:hint="eastAsia" w:asciiTheme="majorEastAsia" w:hAnsiTheme="majorEastAsia" w:eastAsiaTheme="majorEastAsia" w:cstheme="majorEastAsia"/>
          <w:b/>
          <w:bCs/>
          <w:color w:val="000000" w:themeColor="text1"/>
          <w:sz w:val="32"/>
          <w:szCs w:val="32"/>
          <w:u w:val="single"/>
          <w:lang w:eastAsia="zh-CN"/>
          <w14:textFill>
            <w14:solidFill>
              <w14:schemeClr w14:val="tx1"/>
            </w14:solidFill>
          </w14:textFill>
        </w:rPr>
        <w:t>威信县中医医院</w:t>
      </w:r>
    </w:p>
    <w:p w14:paraId="5193E70B">
      <w:pPr>
        <w:spacing w:line="360" w:lineRule="auto"/>
        <w:rPr>
          <w:rFonts w:asciiTheme="majorEastAsia" w:hAnsiTheme="majorEastAsia" w:eastAsiaTheme="majorEastAsia" w:cstheme="majorEastAsia"/>
          <w:b/>
          <w:bCs/>
          <w:color w:val="000000" w:themeColor="text1"/>
          <w:sz w:val="32"/>
          <w:szCs w:val="32"/>
          <w14:textFill>
            <w14:solidFill>
              <w14:schemeClr w14:val="tx1"/>
            </w14:solidFill>
          </w14:textFill>
        </w:rPr>
      </w:pPr>
    </w:p>
    <w:p w14:paraId="3213813D">
      <w:pPr>
        <w:spacing w:line="360" w:lineRule="auto"/>
        <w:rPr>
          <w:rFonts w:hint="eastAsia" w:asciiTheme="majorEastAsia" w:hAnsiTheme="majorEastAsia" w:eastAsiaTheme="majorEastAsia" w:cstheme="majorEastAsia"/>
          <w:b/>
          <w:bCs/>
          <w:color w:val="000000" w:themeColor="text1"/>
          <w:sz w:val="32"/>
          <w:szCs w:val="32"/>
          <w:u w:val="singl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32"/>
          <w:szCs w:val="32"/>
          <w14:textFill>
            <w14:solidFill>
              <w14:schemeClr w14:val="tx1"/>
            </w14:solidFill>
          </w14:textFill>
        </w:rPr>
        <w:t>代理机构：</w:t>
      </w:r>
      <w:r>
        <w:rPr>
          <w:rFonts w:hint="eastAsia" w:asciiTheme="majorEastAsia" w:hAnsiTheme="majorEastAsia" w:eastAsiaTheme="majorEastAsia" w:cstheme="majorEastAsia"/>
          <w:b/>
          <w:bCs/>
          <w:color w:val="000000" w:themeColor="text1"/>
          <w:sz w:val="32"/>
          <w:szCs w:val="32"/>
          <w:u w:val="single"/>
          <w:lang w:eastAsia="zh-CN"/>
          <w14:textFill>
            <w14:solidFill>
              <w14:schemeClr w14:val="tx1"/>
            </w14:solidFill>
          </w14:textFill>
        </w:rPr>
        <w:t>祺山项目管理咨询（云南）有限公司</w:t>
      </w:r>
    </w:p>
    <w:p w14:paraId="3151DEBF">
      <w:pPr>
        <w:spacing w:line="360" w:lineRule="auto"/>
        <w:rPr>
          <w:rFonts w:asciiTheme="majorEastAsia" w:hAnsiTheme="majorEastAsia" w:eastAsiaTheme="majorEastAsia" w:cstheme="majorEastAsia"/>
          <w:b/>
          <w:bCs/>
          <w:color w:val="000000" w:themeColor="text1"/>
          <w:sz w:val="32"/>
          <w:szCs w:val="32"/>
          <w14:textFill>
            <w14:solidFill>
              <w14:schemeClr w14:val="tx1"/>
            </w14:solidFill>
          </w14:textFill>
        </w:rPr>
      </w:pPr>
    </w:p>
    <w:p w14:paraId="2CDB1A35">
      <w:pPr>
        <w:spacing w:line="360" w:lineRule="auto"/>
        <w:jc w:val="center"/>
        <w:rPr>
          <w:rFonts w:asciiTheme="majorEastAsia" w:hAnsiTheme="majorEastAsia" w:eastAsiaTheme="majorEastAsia" w:cstheme="majorEastAsia"/>
          <w:b/>
          <w:bCs/>
          <w:color w:val="000000" w:themeColor="text1"/>
          <w:sz w:val="32"/>
          <w:szCs w:val="32"/>
          <w14:textFill>
            <w14:solidFill>
              <w14:schemeClr w14:val="tx1"/>
            </w14:solidFill>
          </w14:textFill>
        </w:rPr>
      </w:pPr>
      <w:r>
        <w:rPr>
          <w:rFonts w:hint="eastAsia" w:asciiTheme="majorEastAsia" w:hAnsiTheme="majorEastAsia" w:eastAsiaTheme="majorEastAsia" w:cstheme="majorEastAsia"/>
          <w:b/>
          <w:bCs/>
          <w:color w:val="000000" w:themeColor="text1"/>
          <w:sz w:val="32"/>
          <w:szCs w:val="32"/>
          <w14:textFill>
            <w14:solidFill>
              <w14:schemeClr w14:val="tx1"/>
            </w14:solidFill>
          </w14:textFill>
        </w:rPr>
        <w:t>202</w:t>
      </w:r>
      <w:r>
        <w:rPr>
          <w:rFonts w:hint="eastAsia" w:asciiTheme="majorEastAsia" w:hAnsiTheme="majorEastAsia" w:eastAsiaTheme="majorEastAsia" w:cstheme="majorEastAsia"/>
          <w:b/>
          <w:bCs/>
          <w:color w:val="000000" w:themeColor="text1"/>
          <w:sz w:val="32"/>
          <w:szCs w:val="32"/>
          <w:lang w:val="en-US" w:eastAsia="zh-CN"/>
          <w14:textFill>
            <w14:solidFill>
              <w14:schemeClr w14:val="tx1"/>
            </w14:solidFill>
          </w14:textFill>
        </w:rPr>
        <w:t>5</w:t>
      </w:r>
      <w:r>
        <w:rPr>
          <w:rFonts w:hint="eastAsia" w:asciiTheme="majorEastAsia" w:hAnsiTheme="majorEastAsia" w:eastAsiaTheme="majorEastAsia" w:cstheme="majorEastAsia"/>
          <w:b/>
          <w:bCs/>
          <w:color w:val="000000" w:themeColor="text1"/>
          <w:sz w:val="32"/>
          <w:szCs w:val="32"/>
          <w14:textFill>
            <w14:solidFill>
              <w14:schemeClr w14:val="tx1"/>
            </w14:solidFill>
          </w14:textFill>
        </w:rPr>
        <w:t>年</w:t>
      </w:r>
      <w:r>
        <w:rPr>
          <w:rFonts w:hint="eastAsia" w:asciiTheme="majorEastAsia" w:hAnsiTheme="majorEastAsia" w:eastAsiaTheme="majorEastAsia" w:cstheme="majorEastAsia"/>
          <w:b/>
          <w:bCs/>
          <w:color w:val="000000" w:themeColor="text1"/>
          <w:sz w:val="32"/>
          <w:szCs w:val="32"/>
          <w:lang w:val="en-US" w:eastAsia="zh-CN"/>
          <w14:textFill>
            <w14:solidFill>
              <w14:schemeClr w14:val="tx1"/>
            </w14:solidFill>
          </w14:textFill>
        </w:rPr>
        <w:t>9</w:t>
      </w:r>
      <w:r>
        <w:rPr>
          <w:rFonts w:hint="eastAsia" w:asciiTheme="majorEastAsia" w:hAnsiTheme="majorEastAsia" w:eastAsiaTheme="majorEastAsia" w:cstheme="majorEastAsia"/>
          <w:b/>
          <w:bCs/>
          <w:color w:val="000000" w:themeColor="text1"/>
          <w:sz w:val="32"/>
          <w:szCs w:val="32"/>
          <w14:textFill>
            <w14:solidFill>
              <w14:schemeClr w14:val="tx1"/>
            </w14:solidFill>
          </w14:textFill>
        </w:rPr>
        <w:t>月</w:t>
      </w:r>
    </w:p>
    <w:p w14:paraId="1150D41D">
      <w:pPr>
        <w:rPr>
          <w:rFonts w:asciiTheme="majorEastAsia" w:hAnsiTheme="majorEastAsia" w:eastAsiaTheme="majorEastAsia" w:cstheme="majorEastAsia"/>
          <w:b/>
          <w:bCs/>
          <w:color w:val="000000" w:themeColor="text1"/>
          <w14:textFill>
            <w14:solidFill>
              <w14:schemeClr w14:val="tx1"/>
            </w14:solidFill>
          </w14:textFill>
        </w:rPr>
        <w:sectPr>
          <w:headerReference r:id="rId4" w:type="default"/>
          <w:footerReference r:id="rId6" w:type="default"/>
          <w:headerReference r:id="rId5" w:type="even"/>
          <w:footerReference r:id="rId7" w:type="even"/>
          <w:pgSz w:w="11906" w:h="16838"/>
          <w:pgMar w:top="1418" w:right="1418" w:bottom="1418" w:left="1418" w:header="851" w:footer="992" w:gutter="0"/>
          <w:cols w:space="720" w:num="1"/>
          <w:docGrid w:linePitch="326" w:charSpace="48333"/>
        </w:sectPr>
      </w:pPr>
    </w:p>
    <w:p w14:paraId="65C62CBD">
      <w:pPr>
        <w:spacing w:line="600" w:lineRule="auto"/>
        <w:jc w:val="center"/>
        <w:rPr>
          <w:rFonts w:ascii="宋体" w:hAnsi="宋体" w:eastAsia="宋体" w:cs="Times New Roman"/>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目</w:t>
      </w:r>
      <w:r>
        <w:rPr>
          <w:rFonts w:ascii="宋体" w:hAnsi="宋体" w:eastAsia="宋体" w:cs="宋体"/>
          <w:b/>
          <w:bCs/>
          <w:color w:val="000000" w:themeColor="text1"/>
          <w:sz w:val="32"/>
          <w:szCs w:val="32"/>
          <w:lang w:val="zh-CN"/>
          <w14:textFill>
            <w14:solidFill>
              <w14:schemeClr w14:val="tx1"/>
            </w14:solidFill>
          </w14:textFill>
        </w:rPr>
        <w:t xml:space="preserve">  </w:t>
      </w:r>
      <w:r>
        <w:rPr>
          <w:rFonts w:hint="eastAsia" w:ascii="宋体" w:hAnsi="宋体" w:eastAsia="宋体" w:cs="宋体"/>
          <w:b/>
          <w:bCs/>
          <w:color w:val="000000" w:themeColor="text1"/>
          <w:sz w:val="32"/>
          <w:szCs w:val="32"/>
          <w:lang w:val="zh-CN"/>
          <w14:textFill>
            <w14:solidFill>
              <w14:schemeClr w14:val="tx1"/>
            </w14:solidFill>
          </w14:textFill>
        </w:rPr>
        <w:t>录</w:t>
      </w:r>
    </w:p>
    <w:p w14:paraId="7EAF2A4B">
      <w:pPr>
        <w:pStyle w:val="29"/>
        <w:rPr>
          <w:rFonts w:ascii="宋体" w:hAnsi="宋体" w:eastAsia="宋体" w:cstheme="minorBidi"/>
          <w:color w:val="000000" w:themeColor="text1"/>
          <w:sz w:val="24"/>
          <w:szCs w:val="28"/>
          <w14:textFill>
            <w14:solidFill>
              <w14:schemeClr w14:val="tx1"/>
            </w14:solidFill>
          </w14:textFill>
          <w14:ligatures w14:val="standardContextual"/>
        </w:rPr>
      </w:pPr>
      <w:r>
        <w:rPr>
          <w:rFonts w:ascii="黑体" w:hAnsi="黑体" w:eastAsia="黑体" w:cs="黑体"/>
          <w:color w:val="000000" w:themeColor="text1"/>
          <w:sz w:val="22"/>
          <w:szCs w:val="22"/>
          <w14:textFill>
            <w14:solidFill>
              <w14:schemeClr w14:val="tx1"/>
            </w14:solidFill>
          </w14:textFill>
        </w:rPr>
        <w:fldChar w:fldCharType="begin"/>
      </w:r>
      <w:r>
        <w:rPr>
          <w:rFonts w:ascii="黑体" w:hAnsi="黑体" w:eastAsia="黑体" w:cs="黑体"/>
          <w:color w:val="000000" w:themeColor="text1"/>
          <w:sz w:val="22"/>
          <w:szCs w:val="22"/>
          <w14:textFill>
            <w14:solidFill>
              <w14:schemeClr w14:val="tx1"/>
            </w14:solidFill>
          </w14:textFill>
        </w:rPr>
        <w:instrText xml:space="preserve"> TOC \o "1-3" \h \z \u </w:instrText>
      </w:r>
      <w:r>
        <w:rPr>
          <w:rFonts w:ascii="黑体" w:hAnsi="黑体" w:eastAsia="黑体" w:cs="黑体"/>
          <w:color w:val="000000" w:themeColor="text1"/>
          <w:sz w:val="22"/>
          <w:szCs w:val="22"/>
          <w14:textFill>
            <w14:solidFill>
              <w14:schemeClr w14:val="tx1"/>
            </w14:solidFill>
          </w14:textFill>
        </w:rPr>
        <w:fldChar w:fldCharType="separate"/>
      </w:r>
      <w:r>
        <w:fldChar w:fldCharType="begin"/>
      </w:r>
      <w:r>
        <w:instrText xml:space="preserve"> HYPERLINK \l "_Toc164432879" </w:instrText>
      </w:r>
      <w:r>
        <w:fldChar w:fldCharType="separate"/>
      </w:r>
      <w:r>
        <w:rPr>
          <w:rStyle w:val="50"/>
          <w:rFonts w:ascii="宋体" w:hAnsi="宋体" w:eastAsia="宋体" w:cs="宋体"/>
          <w:color w:val="000000" w:themeColor="text1"/>
          <w:sz w:val="24"/>
          <w:szCs w:val="24"/>
          <w14:textFill>
            <w14:solidFill>
              <w14:schemeClr w14:val="tx1"/>
            </w14:solidFill>
          </w14:textFill>
        </w:rPr>
        <w:t>第一章 招标公告</w:t>
      </w:r>
      <w:r>
        <w:rPr>
          <w:rFonts w:ascii="宋体" w:hAnsi="宋体" w:eastAsia="宋体"/>
          <w:color w:val="000000" w:themeColor="text1"/>
          <w:sz w:val="24"/>
          <w:szCs w:val="24"/>
          <w14:textFill>
            <w14:solidFill>
              <w14:schemeClr w14:val="tx1"/>
            </w14:solidFill>
          </w14:textFill>
        </w:rPr>
        <w:tab/>
      </w:r>
      <w:r>
        <w:rPr>
          <w:rFonts w:hint="eastAsia" w:ascii="宋体" w:hAnsi="宋体" w:eastAsia="宋体"/>
          <w:color w:val="000000" w:themeColor="text1"/>
          <w:sz w:val="24"/>
          <w:szCs w:val="24"/>
          <w:lang w:val="en-US" w:eastAsia="zh-CN"/>
          <w14:textFill>
            <w14:solidFill>
              <w14:schemeClr w14:val="tx1"/>
            </w14:solidFill>
          </w14:textFill>
        </w:rPr>
        <w:t>1</w:t>
      </w:r>
      <w:r>
        <w:rPr>
          <w:rFonts w:ascii="宋体" w:hAnsi="宋体" w:eastAsia="宋体"/>
          <w:color w:val="000000" w:themeColor="text1"/>
          <w:sz w:val="24"/>
          <w:szCs w:val="24"/>
          <w14:textFill>
            <w14:solidFill>
              <w14:schemeClr w14:val="tx1"/>
            </w14:solidFill>
          </w14:textFill>
        </w:rPr>
        <w:fldChar w:fldCharType="end"/>
      </w:r>
    </w:p>
    <w:p w14:paraId="20F68512">
      <w:pPr>
        <w:pStyle w:val="29"/>
        <w:rPr>
          <w:rFonts w:ascii="宋体" w:hAnsi="宋体" w:eastAsia="宋体" w:cstheme="minorBidi"/>
          <w:color w:val="000000" w:themeColor="text1"/>
          <w:sz w:val="24"/>
          <w:szCs w:val="28"/>
          <w14:textFill>
            <w14:solidFill>
              <w14:schemeClr w14:val="tx1"/>
            </w14:solidFill>
          </w14:textFill>
          <w14:ligatures w14:val="standardContextual"/>
        </w:rPr>
      </w:pPr>
      <w:r>
        <w:fldChar w:fldCharType="begin"/>
      </w:r>
      <w:r>
        <w:instrText xml:space="preserve"> HYPERLINK \l "_Toc164432887" </w:instrText>
      </w:r>
      <w:r>
        <w:fldChar w:fldCharType="separate"/>
      </w:r>
      <w:r>
        <w:rPr>
          <w:rStyle w:val="50"/>
          <w:rFonts w:ascii="宋体" w:hAnsi="宋体" w:eastAsia="宋体" w:cs="宋体"/>
          <w:color w:val="000000" w:themeColor="text1"/>
          <w:sz w:val="24"/>
          <w:szCs w:val="24"/>
          <w14:textFill>
            <w14:solidFill>
              <w14:schemeClr w14:val="tx1"/>
            </w14:solidFill>
          </w14:textFill>
        </w:rPr>
        <w:t>第二章 投标人须知</w:t>
      </w:r>
      <w:r>
        <w:rPr>
          <w:rFonts w:ascii="宋体" w:hAnsi="宋体" w:eastAsia="宋体"/>
          <w:color w:val="000000" w:themeColor="text1"/>
          <w:sz w:val="24"/>
          <w:szCs w:val="24"/>
          <w14:textFill>
            <w14:solidFill>
              <w14:schemeClr w14:val="tx1"/>
            </w14:solidFill>
          </w14:textFill>
        </w:rPr>
        <w:tab/>
      </w:r>
      <w:r>
        <w:rPr>
          <w:rFonts w:hint="eastAsia" w:ascii="宋体" w:hAnsi="宋体" w:eastAsia="宋体"/>
          <w:color w:val="000000" w:themeColor="text1"/>
          <w:sz w:val="24"/>
          <w:szCs w:val="24"/>
          <w:lang w:val="en-US" w:eastAsia="zh-CN"/>
          <w14:textFill>
            <w14:solidFill>
              <w14:schemeClr w14:val="tx1"/>
            </w14:solidFill>
          </w14:textFill>
        </w:rPr>
        <w:t>4</w:t>
      </w:r>
      <w:r>
        <w:rPr>
          <w:rFonts w:ascii="宋体" w:hAnsi="宋体" w:eastAsia="宋体"/>
          <w:color w:val="000000" w:themeColor="text1"/>
          <w:sz w:val="24"/>
          <w:szCs w:val="24"/>
          <w14:textFill>
            <w14:solidFill>
              <w14:schemeClr w14:val="tx1"/>
            </w14:solidFill>
          </w14:textFill>
        </w:rPr>
        <w:fldChar w:fldCharType="end"/>
      </w:r>
    </w:p>
    <w:p w14:paraId="2C5BC6E7">
      <w:pPr>
        <w:pStyle w:val="29"/>
        <w:rPr>
          <w:rFonts w:hint="eastAsia" w:ascii="宋体" w:hAnsi="宋体" w:eastAsia="宋体" w:cstheme="minorBidi"/>
          <w:color w:val="000000" w:themeColor="text1"/>
          <w:sz w:val="24"/>
          <w:szCs w:val="28"/>
          <w:lang w:val="en-US" w:eastAsia="zh-CN"/>
          <w14:textFill>
            <w14:solidFill>
              <w14:schemeClr w14:val="tx1"/>
            </w14:solidFill>
          </w14:textFill>
          <w14:ligatures w14:val="standardContextual"/>
        </w:rPr>
      </w:pPr>
      <w:r>
        <w:fldChar w:fldCharType="begin"/>
      </w:r>
      <w:r>
        <w:instrText xml:space="preserve"> HYPERLINK \l "_Toc164432945" </w:instrText>
      </w:r>
      <w:r>
        <w:fldChar w:fldCharType="separate"/>
      </w:r>
      <w:r>
        <w:rPr>
          <w:rStyle w:val="50"/>
          <w:rFonts w:ascii="宋体" w:hAnsi="宋体" w:eastAsia="宋体" w:cs="宋体"/>
          <w:color w:val="000000" w:themeColor="text1"/>
          <w:sz w:val="24"/>
          <w:szCs w:val="24"/>
          <w14:textFill>
            <w14:solidFill>
              <w14:schemeClr w14:val="tx1"/>
            </w14:solidFill>
          </w14:textFill>
        </w:rPr>
        <w:t>第三章 评标办法</w:t>
      </w:r>
      <w:r>
        <w:rPr>
          <w:rFonts w:ascii="宋体" w:hAnsi="宋体" w:eastAsia="宋体"/>
          <w:color w:val="000000" w:themeColor="text1"/>
          <w:sz w:val="24"/>
          <w:szCs w:val="24"/>
          <w14:textFill>
            <w14:solidFill>
              <w14:schemeClr w14:val="tx1"/>
            </w14:solidFill>
          </w14:textFill>
        </w:rPr>
        <w:tab/>
      </w:r>
      <w:r>
        <w:rPr>
          <w:rFonts w:hint="eastAsia" w:ascii="宋体" w:hAnsi="宋体" w:eastAsia="宋体"/>
          <w:color w:val="000000" w:themeColor="text1"/>
          <w:sz w:val="24"/>
          <w:szCs w:val="24"/>
          <w:lang w:val="en-US" w:eastAsia="zh-CN"/>
          <w14:textFill>
            <w14:solidFill>
              <w14:schemeClr w14:val="tx1"/>
            </w14:solidFill>
          </w14:textFill>
        </w:rPr>
        <w:t>1</w:t>
      </w:r>
      <w:r>
        <w:rPr>
          <w:rFonts w:ascii="宋体" w:hAnsi="宋体" w:eastAsia="宋体"/>
          <w:color w:val="000000" w:themeColor="text1"/>
          <w:sz w:val="24"/>
          <w:szCs w:val="24"/>
          <w14:textFill>
            <w14:solidFill>
              <w14:schemeClr w14:val="tx1"/>
            </w14:solidFill>
          </w14:textFill>
        </w:rPr>
        <w:fldChar w:fldCharType="end"/>
      </w:r>
      <w:r>
        <w:rPr>
          <w:rFonts w:hint="eastAsia" w:ascii="宋体" w:hAnsi="宋体" w:eastAsia="宋体"/>
          <w:color w:val="000000" w:themeColor="text1"/>
          <w:sz w:val="24"/>
          <w:szCs w:val="24"/>
          <w:lang w:val="en-US" w:eastAsia="zh-CN"/>
          <w14:textFill>
            <w14:solidFill>
              <w14:schemeClr w14:val="tx1"/>
            </w14:solidFill>
          </w14:textFill>
        </w:rPr>
        <w:t>9</w:t>
      </w:r>
    </w:p>
    <w:p w14:paraId="57EA4AB5">
      <w:pPr>
        <w:pStyle w:val="29"/>
        <w:rPr>
          <w:rFonts w:hint="eastAsia" w:ascii="宋体" w:hAnsi="宋体" w:eastAsia="宋体" w:cstheme="minorBidi"/>
          <w:color w:val="000000" w:themeColor="text1"/>
          <w:sz w:val="24"/>
          <w:szCs w:val="28"/>
          <w:lang w:val="en-US" w:eastAsia="zh-CN"/>
          <w14:textFill>
            <w14:solidFill>
              <w14:schemeClr w14:val="tx1"/>
            </w14:solidFill>
          </w14:textFill>
          <w14:ligatures w14:val="standardContextual"/>
        </w:rPr>
      </w:pPr>
      <w:r>
        <w:fldChar w:fldCharType="begin"/>
      </w:r>
      <w:r>
        <w:instrText xml:space="preserve"> HYPERLINK \l "_Toc164432957" </w:instrText>
      </w:r>
      <w:r>
        <w:fldChar w:fldCharType="separate"/>
      </w:r>
      <w:r>
        <w:rPr>
          <w:rStyle w:val="50"/>
          <w:rFonts w:ascii="宋体" w:hAnsi="宋体" w:eastAsia="宋体" w:cs="宋体"/>
          <w:color w:val="000000" w:themeColor="text1"/>
          <w:sz w:val="24"/>
          <w:szCs w:val="24"/>
          <w14:textFill>
            <w14:solidFill>
              <w14:schemeClr w14:val="tx1"/>
            </w14:solidFill>
          </w14:textFill>
        </w:rPr>
        <w:t>第四章 合同草案</w:t>
      </w:r>
      <w:r>
        <w:rPr>
          <w:rFonts w:ascii="宋体" w:hAnsi="宋体" w:eastAsia="宋体"/>
          <w:color w:val="000000" w:themeColor="text1"/>
          <w:sz w:val="24"/>
          <w:szCs w:val="24"/>
          <w14:textFill>
            <w14:solidFill>
              <w14:schemeClr w14:val="tx1"/>
            </w14:solidFill>
          </w14:textFill>
        </w:rPr>
        <w:tab/>
      </w:r>
      <w:r>
        <w:rPr>
          <w:rFonts w:hint="eastAsia" w:ascii="宋体" w:hAnsi="宋体" w:eastAsia="宋体"/>
          <w:color w:val="000000" w:themeColor="text1"/>
          <w:sz w:val="24"/>
          <w:szCs w:val="24"/>
          <w:lang w:val="en-US" w:eastAsia="zh-CN"/>
          <w14:textFill>
            <w14:solidFill>
              <w14:schemeClr w14:val="tx1"/>
            </w14:solidFill>
          </w14:textFill>
        </w:rPr>
        <w:t>2</w:t>
      </w:r>
      <w:r>
        <w:rPr>
          <w:rFonts w:ascii="宋体" w:hAnsi="宋体" w:eastAsia="宋体"/>
          <w:color w:val="000000" w:themeColor="text1"/>
          <w:sz w:val="24"/>
          <w:szCs w:val="24"/>
          <w14:textFill>
            <w14:solidFill>
              <w14:schemeClr w14:val="tx1"/>
            </w14:solidFill>
          </w14:textFill>
        </w:rPr>
        <w:fldChar w:fldCharType="end"/>
      </w:r>
      <w:r>
        <w:rPr>
          <w:rFonts w:hint="eastAsia" w:ascii="宋体" w:hAnsi="宋体" w:eastAsia="宋体"/>
          <w:color w:val="000000" w:themeColor="text1"/>
          <w:sz w:val="24"/>
          <w:szCs w:val="24"/>
          <w:lang w:val="en-US" w:eastAsia="zh-CN"/>
          <w14:textFill>
            <w14:solidFill>
              <w14:schemeClr w14:val="tx1"/>
            </w14:solidFill>
          </w14:textFill>
        </w:rPr>
        <w:t>9</w:t>
      </w:r>
    </w:p>
    <w:p w14:paraId="5240E3D6">
      <w:pPr>
        <w:pStyle w:val="29"/>
        <w:rPr>
          <w:rFonts w:ascii="宋体" w:hAnsi="宋体" w:eastAsia="宋体" w:cstheme="minorBidi"/>
          <w:color w:val="000000" w:themeColor="text1"/>
          <w:sz w:val="24"/>
          <w:szCs w:val="28"/>
          <w14:textFill>
            <w14:solidFill>
              <w14:schemeClr w14:val="tx1"/>
            </w14:solidFill>
          </w14:textFill>
          <w14:ligatures w14:val="standardContextual"/>
        </w:rPr>
      </w:pPr>
      <w:r>
        <w:fldChar w:fldCharType="begin"/>
      </w:r>
      <w:r>
        <w:instrText xml:space="preserve"> HYPERLINK \l "_Toc164432958" </w:instrText>
      </w:r>
      <w:r>
        <w:fldChar w:fldCharType="separate"/>
      </w:r>
      <w:r>
        <w:rPr>
          <w:rStyle w:val="50"/>
          <w:rFonts w:ascii="宋体" w:hAnsi="宋体" w:eastAsia="宋体" w:cs="宋体"/>
          <w:color w:val="000000" w:themeColor="text1"/>
          <w:sz w:val="24"/>
          <w:szCs w:val="24"/>
          <w14:textFill>
            <w14:solidFill>
              <w14:schemeClr w14:val="tx1"/>
            </w14:solidFill>
          </w14:textFill>
        </w:rPr>
        <w:t>第五章 采购需求</w:t>
      </w:r>
      <w:r>
        <w:rPr>
          <w:rFonts w:ascii="宋体" w:hAnsi="宋体" w:eastAsia="宋体"/>
          <w:color w:val="000000" w:themeColor="text1"/>
          <w:sz w:val="24"/>
          <w:szCs w:val="24"/>
          <w14:textFill>
            <w14:solidFill>
              <w14:schemeClr w14:val="tx1"/>
            </w14:solidFill>
          </w14:textFill>
        </w:rPr>
        <w:tab/>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PAGEREF _Toc164432958 \h </w:instrText>
      </w:r>
      <w:r>
        <w:rPr>
          <w:rFonts w:ascii="宋体" w:hAnsi="宋体" w:eastAsia="宋体"/>
          <w:color w:val="000000" w:themeColor="text1"/>
          <w:sz w:val="24"/>
          <w:szCs w:val="24"/>
          <w14:textFill>
            <w14:solidFill>
              <w14:schemeClr w14:val="tx1"/>
            </w14:solidFill>
          </w14:textFill>
        </w:rPr>
        <w:fldChar w:fldCharType="separate"/>
      </w:r>
      <w:r>
        <w:rPr>
          <w:rFonts w:ascii="宋体" w:hAnsi="宋体" w:eastAsia="宋体"/>
          <w:color w:val="000000" w:themeColor="text1"/>
          <w:sz w:val="24"/>
          <w:szCs w:val="24"/>
          <w14:textFill>
            <w14:solidFill>
              <w14:schemeClr w14:val="tx1"/>
            </w14:solidFill>
          </w14:textFill>
        </w:rPr>
        <w:t>36</w:t>
      </w:r>
      <w:r>
        <w:rPr>
          <w:rFonts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fldChar w:fldCharType="end"/>
      </w:r>
    </w:p>
    <w:p w14:paraId="1E7159AB">
      <w:pPr>
        <w:pStyle w:val="29"/>
        <w:rPr>
          <w:rFonts w:hint="default" w:ascii="宋体" w:hAnsi="宋体" w:eastAsia="宋体" w:cstheme="minorBidi"/>
          <w:color w:val="000000" w:themeColor="text1"/>
          <w:sz w:val="24"/>
          <w:szCs w:val="28"/>
          <w:lang w:val="en-US" w:eastAsia="zh-CN"/>
          <w14:textFill>
            <w14:solidFill>
              <w14:schemeClr w14:val="tx1"/>
            </w14:solidFill>
          </w14:textFill>
          <w14:ligatures w14:val="standardContextual"/>
        </w:rPr>
      </w:pPr>
      <w:r>
        <w:fldChar w:fldCharType="begin"/>
      </w:r>
      <w:r>
        <w:instrText xml:space="preserve"> HYPERLINK \l "_Toc164432959" </w:instrText>
      </w:r>
      <w:r>
        <w:fldChar w:fldCharType="separate"/>
      </w:r>
      <w:r>
        <w:rPr>
          <w:rStyle w:val="50"/>
          <w:rFonts w:ascii="宋体" w:hAnsi="宋体" w:eastAsia="宋体" w:cs="宋体"/>
          <w:color w:val="000000" w:themeColor="text1"/>
          <w:sz w:val="24"/>
          <w:szCs w:val="24"/>
          <w14:textFill>
            <w14:solidFill>
              <w14:schemeClr w14:val="tx1"/>
            </w14:solidFill>
          </w14:textFill>
        </w:rPr>
        <w:t>第六章 投标文件格式</w:t>
      </w:r>
      <w:r>
        <w:rPr>
          <w:rFonts w:ascii="宋体" w:hAnsi="宋体" w:eastAsia="宋体"/>
          <w:color w:val="000000" w:themeColor="text1"/>
          <w:sz w:val="24"/>
          <w:szCs w:val="24"/>
          <w14:textFill>
            <w14:solidFill>
              <w14:schemeClr w14:val="tx1"/>
            </w14:solidFill>
          </w14:textFill>
        </w:rPr>
        <w:tab/>
      </w:r>
      <w:r>
        <w:rPr>
          <w:rFonts w:hint="eastAsia" w:ascii="宋体" w:hAnsi="宋体" w:eastAsia="宋体"/>
          <w:color w:val="000000" w:themeColor="text1"/>
          <w:sz w:val="24"/>
          <w:szCs w:val="24"/>
          <w:lang w:val="en-US" w:eastAsia="zh-CN"/>
          <w14:textFill>
            <w14:solidFill>
              <w14:schemeClr w14:val="tx1"/>
            </w14:solidFill>
          </w14:textFill>
        </w:rPr>
        <w:t>1</w:t>
      </w:r>
      <w:r>
        <w:rPr>
          <w:rFonts w:ascii="宋体" w:hAnsi="宋体" w:eastAsia="宋体"/>
          <w:color w:val="000000" w:themeColor="text1"/>
          <w:sz w:val="24"/>
          <w:szCs w:val="24"/>
          <w14:textFill>
            <w14:solidFill>
              <w14:schemeClr w14:val="tx1"/>
            </w14:solidFill>
          </w14:textFill>
        </w:rPr>
        <w:fldChar w:fldCharType="end"/>
      </w:r>
      <w:r>
        <w:rPr>
          <w:rFonts w:hint="eastAsia" w:ascii="宋体" w:hAnsi="宋体" w:eastAsia="宋体"/>
          <w:color w:val="000000" w:themeColor="text1"/>
          <w:sz w:val="24"/>
          <w:szCs w:val="24"/>
          <w:lang w:val="en-US" w:eastAsia="zh-CN"/>
          <w14:textFill>
            <w14:solidFill>
              <w14:schemeClr w14:val="tx1"/>
            </w14:solidFill>
          </w14:textFill>
        </w:rPr>
        <w:t>94</w:t>
      </w:r>
    </w:p>
    <w:p w14:paraId="1F0A5C7B">
      <w:pPr>
        <w:spacing w:line="600" w:lineRule="auto"/>
        <w:rPr>
          <w:rFonts w:ascii="宋体" w:hAnsi="宋体" w:eastAsia="宋体" w:cs="Times New Roman"/>
          <w:color w:val="000000" w:themeColor="text1"/>
          <w14:textFill>
            <w14:solidFill>
              <w14:schemeClr w14:val="tx1"/>
            </w14:solidFill>
          </w14:textFill>
        </w:rPr>
        <w:sectPr>
          <w:headerReference r:id="rId8" w:type="default"/>
          <w:footerReference r:id="rId10" w:type="default"/>
          <w:headerReference r:id="rId9" w:type="even"/>
          <w:footerReference r:id="rId11" w:type="even"/>
          <w:pgSz w:w="11906" w:h="16838"/>
          <w:pgMar w:top="1418" w:right="1134" w:bottom="1418" w:left="1134" w:header="851" w:footer="992" w:gutter="0"/>
          <w:pgNumType w:fmt="lowerRoman" w:start="1"/>
          <w:cols w:space="720" w:num="1"/>
          <w:docGrid w:linePitch="326" w:charSpace="48333"/>
        </w:sectPr>
      </w:pPr>
      <w:r>
        <w:rPr>
          <w:rFonts w:ascii="黑体" w:hAnsi="黑体" w:eastAsia="黑体" w:cs="黑体"/>
          <w:color w:val="000000" w:themeColor="text1"/>
          <w:sz w:val="22"/>
          <w:szCs w:val="22"/>
          <w14:textFill>
            <w14:solidFill>
              <w14:schemeClr w14:val="tx1"/>
            </w14:solidFill>
          </w14:textFill>
        </w:rPr>
        <w:fldChar w:fldCharType="end"/>
      </w:r>
    </w:p>
    <w:p w14:paraId="2612BBE0">
      <w:pPr>
        <w:pStyle w:val="3"/>
        <w:spacing w:before="0" w:after="0" w:line="360" w:lineRule="auto"/>
        <w:jc w:val="center"/>
        <w:rPr>
          <w:rFonts w:ascii="宋体"/>
          <w:color w:val="000000" w:themeColor="text1"/>
          <w:sz w:val="36"/>
          <w:szCs w:val="36"/>
          <w14:textFill>
            <w14:solidFill>
              <w14:schemeClr w14:val="tx1"/>
            </w14:solidFill>
          </w14:textFill>
        </w:rPr>
      </w:pPr>
      <w:bookmarkStart w:id="0" w:name="_Toc164432879"/>
      <w:r>
        <w:rPr>
          <w:rFonts w:hint="eastAsia" w:ascii="宋体" w:hAnsi="宋体" w:cs="宋体"/>
          <w:color w:val="000000" w:themeColor="text1"/>
          <w:sz w:val="36"/>
          <w:szCs w:val="36"/>
          <w14:textFill>
            <w14:solidFill>
              <w14:schemeClr w14:val="tx1"/>
            </w14:solidFill>
          </w14:textFill>
        </w:rPr>
        <w:t>第一章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招标公告</w:t>
      </w:r>
      <w:bookmarkEnd w:id="0"/>
    </w:p>
    <w:p w14:paraId="19F1602D">
      <w:pPr>
        <w:spacing w:line="360" w:lineRule="auto"/>
        <w:jc w:val="center"/>
        <w:rPr>
          <w:rFonts w:ascii="宋体" w:hAnsi="宋体" w:eastAsia="宋体" w:cs="Times New Roman"/>
          <w:b/>
          <w:bCs/>
          <w:color w:val="000000" w:themeColor="text1"/>
          <w:sz w:val="28"/>
          <w:szCs w:val="28"/>
          <w14:textFill>
            <w14:solidFill>
              <w14:schemeClr w14:val="tx1"/>
            </w14:solidFill>
          </w14:textFill>
        </w:rPr>
      </w:pPr>
      <w:bookmarkStart w:id="1" w:name="_Hlk77342518"/>
      <w:r>
        <w:rPr>
          <w:rFonts w:hint="eastAsia" w:ascii="宋体" w:hAnsi="宋体" w:eastAsia="宋体" w:cs="宋体"/>
          <w:b/>
          <w:bCs/>
          <w:color w:val="000000" w:themeColor="text1"/>
          <w:sz w:val="28"/>
          <w:szCs w:val="28"/>
          <w:lang w:eastAsia="zh-CN"/>
          <w14:textFill>
            <w14:solidFill>
              <w14:schemeClr w14:val="tx1"/>
            </w14:solidFill>
          </w14:textFill>
        </w:rPr>
        <w:t>威信县中医医院信息化系统升级改造项目</w:t>
      </w:r>
      <w:r>
        <w:rPr>
          <w:rFonts w:hint="eastAsia" w:ascii="宋体" w:hAnsi="宋体" w:eastAsia="宋体" w:cs="宋体"/>
          <w:b/>
          <w:bCs/>
          <w:color w:val="000000" w:themeColor="text1"/>
          <w:sz w:val="28"/>
          <w:szCs w:val="28"/>
          <w:lang w:val="en-US" w:eastAsia="zh-CN"/>
          <w14:textFill>
            <w14:solidFill>
              <w14:schemeClr w14:val="tx1"/>
            </w14:solidFill>
          </w14:textFill>
        </w:rPr>
        <w:t>公开</w:t>
      </w:r>
      <w:r>
        <w:rPr>
          <w:rFonts w:hint="eastAsia" w:ascii="宋体" w:hAnsi="宋体" w:eastAsia="宋体" w:cs="宋体"/>
          <w:b/>
          <w:bCs/>
          <w:color w:val="000000" w:themeColor="text1"/>
          <w:sz w:val="28"/>
          <w:szCs w:val="28"/>
          <w14:textFill>
            <w14:solidFill>
              <w14:schemeClr w14:val="tx1"/>
            </w14:solidFill>
          </w14:textFill>
        </w:rPr>
        <w:t>招标公告</w:t>
      </w:r>
    </w:p>
    <w:p w14:paraId="27218B85">
      <w:pPr>
        <w:keepNext/>
        <w:keepLines/>
        <w:spacing w:line="360" w:lineRule="auto"/>
        <w:outlineLvl w:val="1"/>
        <w:rPr>
          <w:rFonts w:ascii="宋体" w:hAnsi="宋体" w:eastAsia="宋体" w:cs="Times New Roman"/>
          <w:b/>
          <w:bCs/>
          <w:color w:val="000000" w:themeColor="text1"/>
          <w:kern w:val="0"/>
          <w14:textFill>
            <w14:solidFill>
              <w14:schemeClr w14:val="tx1"/>
            </w14:solidFill>
          </w14:textFill>
        </w:rPr>
      </w:pPr>
      <w:bookmarkStart w:id="2" w:name="_Toc3786"/>
      <w:bookmarkStart w:id="3" w:name="_Toc164432880"/>
      <w:bookmarkStart w:id="4" w:name="_Toc77658035"/>
      <w:bookmarkStart w:id="5" w:name="_Toc77116636"/>
      <w:bookmarkStart w:id="6" w:name="_Toc77504025"/>
      <w:bookmarkStart w:id="7" w:name="_Toc120282391"/>
      <w:bookmarkStart w:id="8" w:name="_Toc107396163"/>
      <w:r>
        <w:rPr>
          <w:rFonts w:hint="eastAsia" w:ascii="宋体" w:hAnsi="宋体" w:eastAsia="宋体" w:cs="宋体"/>
          <w:b/>
          <w:bCs/>
          <w:color w:val="000000" w:themeColor="text1"/>
          <w:kern w:val="0"/>
          <w14:textFill>
            <w14:solidFill>
              <w14:schemeClr w14:val="tx1"/>
            </w14:solidFill>
          </w14:textFill>
        </w:rPr>
        <w:t>一、项目基本情况</w:t>
      </w:r>
      <w:bookmarkEnd w:id="2"/>
      <w:bookmarkEnd w:id="3"/>
      <w:bookmarkEnd w:id="4"/>
      <w:bookmarkEnd w:id="5"/>
      <w:bookmarkEnd w:id="6"/>
      <w:bookmarkEnd w:id="7"/>
      <w:bookmarkEnd w:id="8"/>
    </w:p>
    <w:p w14:paraId="074E38D7">
      <w:pPr>
        <w:adjustRightInd w:val="0"/>
        <w:spacing w:line="360" w:lineRule="auto"/>
        <w:ind w:firstLine="42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项目编号： ZTZC2025-G1-01069-QSGL-0015</w:t>
      </w:r>
    </w:p>
    <w:p w14:paraId="0228632B">
      <w:pPr>
        <w:adjustRightInd w:val="0"/>
        <w:spacing w:line="360" w:lineRule="auto"/>
        <w:ind w:firstLine="420" w:firstLineChars="200"/>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项目名称：</w:t>
      </w:r>
      <w:r>
        <w:rPr>
          <w:rFonts w:hint="eastAsia" w:ascii="宋体" w:hAnsi="宋体" w:eastAsia="宋体" w:cs="宋体"/>
          <w:color w:val="000000" w:themeColor="text1"/>
          <w:lang w:eastAsia="zh-CN"/>
          <w14:textFill>
            <w14:solidFill>
              <w14:schemeClr w14:val="tx1"/>
            </w14:solidFill>
          </w14:textFill>
        </w:rPr>
        <w:t>威信县中医医院信息化系统升级改造项目；</w:t>
      </w:r>
    </w:p>
    <w:p w14:paraId="62712310">
      <w:pPr>
        <w:adjustRightInd w:val="0"/>
        <w:spacing w:line="360" w:lineRule="auto"/>
        <w:ind w:firstLine="420" w:firstLineChars="200"/>
        <w:rPr>
          <w:rFonts w:hint="default"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预算金额（万元）：</w:t>
      </w:r>
      <w:r>
        <w:rPr>
          <w:rFonts w:hint="eastAsia" w:ascii="宋体" w:hAnsi="宋体" w:eastAsia="宋体" w:cs="宋体"/>
          <w:lang w:val="en-US" w:eastAsia="zh-CN"/>
        </w:rPr>
        <w:t>600.00；</w:t>
      </w:r>
    </w:p>
    <w:p w14:paraId="295B10BB">
      <w:pPr>
        <w:adjustRightInd w:val="0"/>
        <w:spacing w:line="360" w:lineRule="auto"/>
        <w:ind w:firstLine="420" w:firstLineChars="200"/>
        <w:rPr>
          <w:rFonts w:hint="default"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最高限价（万元）：</w:t>
      </w:r>
      <w:r>
        <w:rPr>
          <w:rFonts w:hint="eastAsia" w:ascii="宋体" w:hAnsi="宋体" w:eastAsia="宋体" w:cs="宋体"/>
          <w:lang w:val="en-US" w:eastAsia="zh-CN"/>
        </w:rPr>
        <w:t>600.00；</w:t>
      </w:r>
    </w:p>
    <w:p w14:paraId="3309E3DD">
      <w:pPr>
        <w:adjustRightInd w:val="0"/>
        <w:spacing w:line="360" w:lineRule="auto"/>
        <w:ind w:firstLine="420" w:firstLineChars="200"/>
        <w:rPr>
          <w:rFonts w:hint="eastAsia" w:ascii="宋体" w:hAnsi="宋体" w:eastAsia="宋体" w:cs="宋体"/>
          <w:lang w:val="en-US" w:eastAsia="zh-CN"/>
        </w:rPr>
      </w:pPr>
      <w:r>
        <w:rPr>
          <w:rFonts w:hint="eastAsia" w:ascii="宋体" w:hAnsi="宋体" w:eastAsia="宋体" w:cs="宋体"/>
          <w:color w:val="000000" w:themeColor="text1"/>
          <w14:textFill>
            <w14:solidFill>
              <w14:schemeClr w14:val="tx1"/>
            </w14:solidFill>
          </w14:textFill>
        </w:rPr>
        <w:t>采购需求：</w:t>
      </w:r>
      <w:r>
        <w:rPr>
          <w:rFonts w:hint="eastAsia" w:ascii="宋体" w:hAnsi="宋体" w:eastAsia="宋体" w:cs="宋体"/>
          <w:color w:val="000000" w:themeColor="text1"/>
          <w:lang w:val="en-US" w:eastAsia="zh-CN"/>
          <w14:textFill>
            <w14:solidFill>
              <w14:schemeClr w14:val="tx1"/>
            </w14:solidFill>
          </w14:textFill>
        </w:rPr>
        <w:t>威信县中医医院信息化系统升级改造项目1项；</w:t>
      </w:r>
    </w:p>
    <w:p w14:paraId="445DD0B3">
      <w:pPr>
        <w:adjustRightInd w:val="0"/>
        <w:spacing w:line="360" w:lineRule="auto"/>
        <w:ind w:firstLine="420" w:firstLineChars="200"/>
        <w:rPr>
          <w:rFonts w:hint="eastAsia" w:ascii="宋体" w:hAnsi="宋体" w:eastAsia="宋体" w:cs="宋体"/>
          <w:color w:val="000000" w:themeColor="text1"/>
          <w:kern w:val="0"/>
          <w:lang w:eastAsia="zh-CN"/>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合同履行期限：</w:t>
      </w:r>
      <w:r>
        <w:rPr>
          <w:rFonts w:hint="eastAsia" w:ascii="宋体" w:hAnsi="宋体" w:eastAsia="宋体" w:cs="宋体"/>
          <w:color w:val="000000" w:themeColor="text1"/>
          <w:kern w:val="0"/>
          <w:lang w:eastAsia="zh-CN"/>
          <w14:textFill>
            <w14:solidFill>
              <w14:schemeClr w14:val="tx1"/>
            </w14:solidFill>
          </w14:textFill>
        </w:rPr>
        <w:t>自合同签订后，硬件设备2个月内完成供货安装，软件部分6个月内完成建设；</w:t>
      </w:r>
    </w:p>
    <w:p w14:paraId="5E1C2B55">
      <w:pPr>
        <w:adjustRightInd w:val="0"/>
        <w:spacing w:line="360" w:lineRule="auto"/>
        <w:ind w:firstLine="420" w:firstLineChars="200"/>
        <w:rPr>
          <w:rFonts w:ascii="宋体" w:hAnsi="宋体" w:eastAsia="宋体" w:cs="Times New Roman"/>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本项目（否）接受联合体投标。</w:t>
      </w:r>
    </w:p>
    <w:p w14:paraId="79B74094">
      <w:pPr>
        <w:keepNext/>
        <w:keepLines/>
        <w:spacing w:line="360" w:lineRule="auto"/>
        <w:outlineLvl w:val="1"/>
        <w:rPr>
          <w:rFonts w:ascii="宋体" w:hAnsi="宋体" w:eastAsia="宋体" w:cs="Times New Roman"/>
          <w:b/>
          <w:bCs/>
          <w:color w:val="000000" w:themeColor="text1"/>
          <w:kern w:val="0"/>
          <w14:textFill>
            <w14:solidFill>
              <w14:schemeClr w14:val="tx1"/>
            </w14:solidFill>
          </w14:textFill>
        </w:rPr>
      </w:pPr>
      <w:bookmarkStart w:id="9" w:name="_Toc77658036"/>
      <w:bookmarkStart w:id="10" w:name="_Toc77116637"/>
      <w:bookmarkStart w:id="11" w:name="_Toc24326"/>
      <w:bookmarkStart w:id="12" w:name="_Toc77504026"/>
      <w:bookmarkStart w:id="13" w:name="_Toc107396164"/>
      <w:bookmarkStart w:id="14" w:name="_Toc164432881"/>
      <w:bookmarkStart w:id="15" w:name="_Toc120282392"/>
      <w:r>
        <w:rPr>
          <w:rFonts w:hint="eastAsia" w:ascii="宋体" w:hAnsi="宋体" w:eastAsia="宋体" w:cs="宋体"/>
          <w:b/>
          <w:bCs/>
          <w:color w:val="000000" w:themeColor="text1"/>
          <w:kern w:val="0"/>
          <w14:textFill>
            <w14:solidFill>
              <w14:schemeClr w14:val="tx1"/>
            </w14:solidFill>
          </w14:textFill>
        </w:rPr>
        <w:t>二、申请人的资格要求：</w:t>
      </w:r>
      <w:bookmarkEnd w:id="9"/>
      <w:bookmarkEnd w:id="10"/>
      <w:bookmarkEnd w:id="11"/>
      <w:bookmarkEnd w:id="12"/>
      <w:bookmarkEnd w:id="13"/>
      <w:bookmarkEnd w:id="14"/>
      <w:bookmarkEnd w:id="15"/>
    </w:p>
    <w:p w14:paraId="063572C4">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满足《中华人民共和国政府采购法》第二十二条规定；</w:t>
      </w:r>
    </w:p>
    <w:p w14:paraId="4B808C90">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落实政府采购政策需满足的资格要求：小微企业价格扣除优惠比例10%。</w:t>
      </w:r>
    </w:p>
    <w:p w14:paraId="1D9D5578">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本项目的特定资格要求：</w:t>
      </w:r>
    </w:p>
    <w:p w14:paraId="76988FBE">
      <w:pPr>
        <w:adjustRightInd w:val="0"/>
        <w:spacing w:line="360" w:lineRule="auto"/>
        <w:ind w:firstLine="420" w:firstLineChars="200"/>
        <w:rPr>
          <w:rFonts w:hint="eastAsia" w:ascii="宋体" w:hAnsi="宋体" w:eastAsia="宋体" w:cs="宋体"/>
          <w:color w:val="000000" w:themeColor="text1"/>
          <w:lang w:eastAsia="zh-CN"/>
          <w14:textFill>
            <w14:solidFill>
              <w14:schemeClr w14:val="tx1"/>
            </w14:solidFill>
          </w14:textFill>
        </w:rPr>
      </w:pPr>
      <w:bookmarkStart w:id="16" w:name="_Toc11787"/>
      <w:bookmarkStart w:id="17" w:name="_Toc77658037"/>
      <w:bookmarkStart w:id="18" w:name="_Toc77116638"/>
      <w:bookmarkStart w:id="19" w:name="_Toc120282393"/>
      <w:bookmarkStart w:id="20" w:name="_Toc77504027"/>
      <w:bookmarkStart w:id="21" w:name="_Toc107396165"/>
      <w:bookmarkStart w:id="22" w:name="_Toc164432882"/>
      <w:r>
        <w:rPr>
          <w:rFonts w:ascii="宋体" w:hAnsi="宋体" w:eastAsia="宋体" w:cs="宋体"/>
          <w:color w:val="000000" w:themeColor="text1"/>
          <w14:textFill>
            <w14:solidFill>
              <w14:schemeClr w14:val="tx1"/>
            </w14:solidFill>
          </w14:textFill>
        </w:rPr>
        <w:t>3.1</w:t>
      </w:r>
      <w:r>
        <w:rPr>
          <w:rFonts w:hint="eastAsia" w:ascii="宋体" w:hAnsi="宋体" w:eastAsia="宋体" w:cs="宋体"/>
          <w:color w:val="000000" w:themeColor="text1"/>
          <w14:textFill>
            <w14:solidFill>
              <w14:schemeClr w14:val="tx1"/>
            </w14:solidFill>
          </w14:textFill>
        </w:rPr>
        <w:t>投标人须保证使用方在设备和软件产品使用期不受第三方提出侵犯其专利权、商标权、工业设计权、著作权或其它知识产权的起诉，提供承诺函</w:t>
      </w:r>
      <w:r>
        <w:rPr>
          <w:rFonts w:hint="eastAsia" w:ascii="宋体" w:hAnsi="宋体" w:eastAsia="宋体" w:cs="宋体"/>
          <w:color w:val="000000" w:themeColor="text1"/>
          <w:lang w:eastAsia="zh-CN"/>
          <w14:textFill>
            <w14:solidFill>
              <w14:schemeClr w14:val="tx1"/>
            </w14:solidFill>
          </w14:textFill>
        </w:rPr>
        <w:t>。</w:t>
      </w:r>
    </w:p>
    <w:p w14:paraId="33471AEE">
      <w:pPr>
        <w:wordWrap w:val="0"/>
        <w:adjustRightInd w:val="0"/>
        <w:spacing w:line="360" w:lineRule="auto"/>
        <w:ind w:firstLine="420" w:firstLineChars="200"/>
        <w:rPr>
          <w:rFonts w:ascii="宋体" w:hAnsi="宋体" w:eastAsia="宋体" w:cs="宋体"/>
        </w:rPr>
      </w:pPr>
      <w:r>
        <w:rPr>
          <w:rFonts w:ascii="宋体" w:hAnsi="宋体" w:eastAsia="宋体" w:cs="宋体"/>
        </w:rPr>
        <w:t>3.2</w:t>
      </w:r>
      <w:r>
        <w:rPr>
          <w:rFonts w:hint="eastAsia" w:ascii="宋体" w:hAnsi="宋体" w:eastAsia="宋体" w:cs="宋体"/>
        </w:rPr>
        <w:t>投标人在递交投标文件截止时间前未被列入“信用中国”网站</w:t>
      </w:r>
      <w:r>
        <w:rPr>
          <w:rFonts w:ascii="宋体" w:hAnsi="宋体" w:eastAsia="宋体" w:cs="宋体"/>
        </w:rPr>
        <w:t>(www.creditchina.gov.cn) 失信被执行人、重大税收违法</w:t>
      </w:r>
      <w:r>
        <w:rPr>
          <w:rFonts w:hint="eastAsia" w:ascii="宋体" w:hAnsi="宋体" w:eastAsia="宋体" w:cs="宋体"/>
          <w:lang w:val="en-US" w:eastAsia="zh-CN"/>
        </w:rPr>
        <w:t>失信主体名单</w:t>
      </w:r>
      <w:r>
        <w:rPr>
          <w:rFonts w:ascii="宋体" w:hAnsi="宋体" w:eastAsia="宋体" w:cs="宋体"/>
        </w:rPr>
        <w:t>，中国政府采购网(www.ccgp.gov.cn) 政府采购严重违法失信行为记录名单。</w:t>
      </w:r>
    </w:p>
    <w:p w14:paraId="4904959C">
      <w:pPr>
        <w:adjustRightInd w:val="0"/>
        <w:spacing w:line="360" w:lineRule="auto"/>
        <w:ind w:firstLine="420" w:firstLineChars="200"/>
        <w:rPr>
          <w:rFonts w:ascii="宋体" w:hAnsi="宋体" w:eastAsia="宋体" w:cs="Times New Roman"/>
        </w:rPr>
      </w:pPr>
      <w:r>
        <w:rPr>
          <w:rFonts w:ascii="宋体" w:hAnsi="宋体" w:eastAsia="宋体" w:cs="宋体"/>
        </w:rPr>
        <w:t>3.3</w:t>
      </w:r>
      <w:r>
        <w:rPr>
          <w:rFonts w:hint="eastAsia" w:ascii="宋体" w:hAnsi="宋体" w:eastAsia="宋体" w:cs="宋体"/>
        </w:rPr>
        <w:t>单位负责人为同一人或者存在控股、管理关系的不同单位，不得同时参加本采购项目投标。</w:t>
      </w:r>
    </w:p>
    <w:p w14:paraId="10638BD7">
      <w:pPr>
        <w:adjustRightInd w:val="0"/>
        <w:spacing w:line="360" w:lineRule="auto"/>
        <w:ind w:firstLine="420" w:firstLineChars="200"/>
        <w:rPr>
          <w:rFonts w:ascii="宋体" w:hAnsi="宋体" w:eastAsia="宋体" w:cs="Times New Roman"/>
        </w:rPr>
      </w:pPr>
      <w:r>
        <w:rPr>
          <w:rFonts w:ascii="宋体" w:hAnsi="宋体" w:eastAsia="宋体" w:cs="宋体"/>
        </w:rPr>
        <w:t>3.4</w:t>
      </w:r>
      <w:r>
        <w:rPr>
          <w:rFonts w:hint="eastAsia" w:ascii="宋体" w:hAnsi="宋体" w:eastAsia="宋体" w:cs="宋体"/>
        </w:rPr>
        <w:t>投标人不得存在下列情形之一：</w:t>
      </w:r>
    </w:p>
    <w:p w14:paraId="5B4765B9">
      <w:pPr>
        <w:adjustRightInd w:val="0"/>
        <w:spacing w:line="360" w:lineRule="auto"/>
        <w:ind w:firstLine="420" w:firstLineChars="200"/>
        <w:rPr>
          <w:rFonts w:ascii="宋体" w:hAnsi="宋体" w:eastAsia="宋体" w:cs="Times New Roman"/>
        </w:rPr>
      </w:pPr>
      <w:r>
        <w:rPr>
          <w:rFonts w:hint="eastAsia" w:ascii="宋体" w:hAnsi="宋体" w:eastAsia="宋体" w:cs="宋体"/>
        </w:rPr>
        <w:t>（</w:t>
      </w:r>
      <w:r>
        <w:rPr>
          <w:rFonts w:ascii="宋体" w:hAnsi="宋体" w:eastAsia="宋体" w:cs="宋体"/>
        </w:rPr>
        <w:t>1</w:t>
      </w:r>
      <w:r>
        <w:rPr>
          <w:rFonts w:hint="eastAsia" w:ascii="宋体" w:hAnsi="宋体" w:eastAsia="宋体" w:cs="宋体"/>
        </w:rPr>
        <w:t>）被暂停、取消投标或禁止参加采购活动且处于有效期内的；</w:t>
      </w:r>
    </w:p>
    <w:p w14:paraId="21EF0F21">
      <w:pPr>
        <w:adjustRightInd w:val="0"/>
        <w:spacing w:line="360" w:lineRule="auto"/>
        <w:ind w:firstLine="420" w:firstLineChars="200"/>
        <w:rPr>
          <w:rFonts w:ascii="宋体" w:hAnsi="宋体" w:eastAsia="宋体" w:cs="Times New Roman"/>
        </w:rPr>
      </w:pPr>
      <w:r>
        <w:rPr>
          <w:rFonts w:hint="eastAsia" w:ascii="宋体" w:hAnsi="宋体" w:eastAsia="宋体" w:cs="宋体"/>
        </w:rPr>
        <w:t>（</w:t>
      </w:r>
      <w:r>
        <w:rPr>
          <w:rFonts w:ascii="宋体" w:hAnsi="宋体" w:eastAsia="宋体" w:cs="宋体"/>
        </w:rPr>
        <w:t>2</w:t>
      </w:r>
      <w:r>
        <w:rPr>
          <w:rFonts w:hint="eastAsia" w:ascii="宋体" w:hAnsi="宋体" w:eastAsia="宋体" w:cs="宋体"/>
        </w:rPr>
        <w:t>）处于被责令停产停业、暂扣或者吊销执照、暂扣或者吊销许可证、吊销资质证书状态；</w:t>
      </w:r>
    </w:p>
    <w:p w14:paraId="3445638D">
      <w:pPr>
        <w:adjustRightInd w:val="0"/>
        <w:spacing w:line="360" w:lineRule="auto"/>
        <w:ind w:firstLine="420" w:firstLineChars="200"/>
        <w:rPr>
          <w:rFonts w:ascii="宋体" w:hAnsi="宋体" w:eastAsia="宋体" w:cs="Times New Roman"/>
        </w:rPr>
      </w:pPr>
      <w:r>
        <w:rPr>
          <w:rFonts w:hint="eastAsia" w:ascii="宋体" w:hAnsi="宋体" w:eastAsia="宋体" w:cs="宋体"/>
        </w:rPr>
        <w:t>（</w:t>
      </w:r>
      <w:r>
        <w:rPr>
          <w:rFonts w:ascii="宋体" w:hAnsi="宋体" w:eastAsia="宋体" w:cs="宋体"/>
        </w:rPr>
        <w:t>3</w:t>
      </w:r>
      <w:r>
        <w:rPr>
          <w:rFonts w:hint="eastAsia" w:ascii="宋体" w:hAnsi="宋体" w:eastAsia="宋体" w:cs="宋体"/>
        </w:rPr>
        <w:t>）进入清算程序，或被宣告破产，或其他丧失履约能力的情形。</w:t>
      </w:r>
    </w:p>
    <w:p w14:paraId="6A7B2ADD">
      <w:pPr>
        <w:keepNext/>
        <w:keepLines/>
        <w:spacing w:line="360" w:lineRule="auto"/>
        <w:outlineLvl w:val="1"/>
        <w:rPr>
          <w:rFonts w:ascii="宋体" w:hAnsi="宋体" w:eastAsia="宋体" w:cs="Times New Roman"/>
          <w:b/>
          <w:bCs/>
          <w:color w:val="000000" w:themeColor="text1"/>
          <w:kern w:val="0"/>
          <w14:textFill>
            <w14:solidFill>
              <w14:schemeClr w14:val="tx1"/>
            </w14:solidFill>
          </w14:textFill>
        </w:rPr>
      </w:pPr>
      <w:r>
        <w:rPr>
          <w:rFonts w:hint="eastAsia" w:ascii="宋体" w:hAnsi="宋体" w:eastAsia="宋体" w:cs="宋体"/>
          <w:b/>
          <w:bCs/>
          <w:color w:val="000000" w:themeColor="text1"/>
          <w:kern w:val="0"/>
          <w14:textFill>
            <w14:solidFill>
              <w14:schemeClr w14:val="tx1"/>
            </w14:solidFill>
          </w14:textFill>
        </w:rPr>
        <w:t>三、获取招标文件</w:t>
      </w:r>
      <w:bookmarkEnd w:id="16"/>
      <w:bookmarkEnd w:id="17"/>
      <w:bookmarkEnd w:id="18"/>
      <w:bookmarkEnd w:id="19"/>
      <w:bookmarkEnd w:id="20"/>
      <w:bookmarkEnd w:id="21"/>
      <w:bookmarkEnd w:id="22"/>
    </w:p>
    <w:p w14:paraId="12284451">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时间：</w:t>
      </w:r>
      <w:r>
        <w:rPr>
          <w:rFonts w:ascii="宋体" w:hAnsi="宋体" w:eastAsia="宋体" w:cs="宋体"/>
          <w:color w:val="000000" w:themeColor="text1"/>
          <w14:textFill>
            <w14:solidFill>
              <w14:schemeClr w14:val="tx1"/>
            </w14:solidFill>
          </w14:textFill>
        </w:rPr>
        <w:t>202</w:t>
      </w:r>
      <w:r>
        <w:rPr>
          <w:rFonts w:hint="eastAsia" w:ascii="宋体" w:hAnsi="宋体" w:eastAsia="宋体" w:cs="宋体"/>
          <w:color w:val="000000" w:themeColor="text1"/>
          <w:lang w:val="en-US" w:eastAsia="zh-CN"/>
          <w14:textFill>
            <w14:solidFill>
              <w14:schemeClr w14:val="tx1"/>
            </w14:solidFill>
          </w14:textFill>
        </w:rPr>
        <w:t>5</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09</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15</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lang w:val="en-US" w:eastAsia="zh-CN"/>
          <w14:textFill>
            <w14:solidFill>
              <w14:schemeClr w14:val="tx1"/>
            </w14:solidFill>
          </w14:textFill>
        </w:rPr>
        <w:t xml:space="preserve"> 06</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00</w:t>
      </w:r>
      <w:r>
        <w:rPr>
          <w:rFonts w:ascii="宋体" w:hAnsi="宋体" w:eastAsia="宋体" w:cs="宋体"/>
          <w:color w:val="000000" w:themeColor="text1"/>
          <w14:textFill>
            <w14:solidFill>
              <w14:schemeClr w14:val="tx1"/>
            </w14:solidFill>
          </w14:textFill>
        </w:rPr>
        <w:t>至202</w:t>
      </w:r>
      <w:r>
        <w:rPr>
          <w:rFonts w:hint="eastAsia" w:ascii="宋体" w:hAnsi="宋体" w:eastAsia="宋体" w:cs="宋体"/>
          <w:color w:val="000000" w:themeColor="text1"/>
          <w:lang w:val="en-US" w:eastAsia="zh-CN"/>
          <w14:textFill>
            <w14:solidFill>
              <w14:schemeClr w14:val="tx1"/>
            </w14:solidFill>
          </w14:textFill>
        </w:rPr>
        <w:t>5</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09</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 xml:space="preserve">22 </w:t>
      </w:r>
      <w:r>
        <w:rPr>
          <w:rFonts w:ascii="宋体" w:hAnsi="宋体" w:eastAsia="宋体" w:cs="宋体"/>
          <w:color w:val="000000" w:themeColor="text1"/>
          <w14:textFill>
            <w14:solidFill>
              <w14:schemeClr w14:val="tx1"/>
            </w14:solidFill>
          </w14:textFill>
        </w:rPr>
        <w:t xml:space="preserve"> 23:59，每天上午06:00至1</w:t>
      </w:r>
      <w:r>
        <w:rPr>
          <w:rFonts w:hint="eastAsia" w:ascii="宋体" w:hAnsi="宋体" w:eastAsia="宋体" w:cs="宋体"/>
          <w:color w:val="000000" w:themeColor="text1"/>
          <w:lang w:val="en-US" w:eastAsia="zh-CN"/>
          <w14:textFill>
            <w14:solidFill>
              <w14:schemeClr w14:val="tx1"/>
            </w14:solidFill>
          </w14:textFill>
        </w:rPr>
        <w:t>2</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00</w:t>
      </w:r>
      <w:r>
        <w:rPr>
          <w:rFonts w:ascii="宋体" w:hAnsi="宋体" w:eastAsia="宋体" w:cs="宋体"/>
          <w:color w:val="000000" w:themeColor="text1"/>
          <w14:textFill>
            <w14:solidFill>
              <w14:schemeClr w14:val="tx1"/>
            </w14:solidFill>
          </w14:textFill>
        </w:rPr>
        <w:t>，下午12:00至23:59（北京时间，法定节假日除外）</w:t>
      </w:r>
    </w:p>
    <w:p w14:paraId="2DD19DB6">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地点：政府采购云平台（网址：</w:t>
      </w:r>
      <w:r>
        <w:rPr>
          <w:rFonts w:ascii="宋体" w:hAnsi="宋体" w:eastAsia="宋体" w:cs="宋体"/>
          <w:color w:val="000000" w:themeColor="text1"/>
          <w14:textFill>
            <w14:solidFill>
              <w14:schemeClr w14:val="tx1"/>
            </w14:solidFill>
          </w14:textFill>
        </w:rPr>
        <w:t>https://www.zcygov.cn/）</w:t>
      </w:r>
    </w:p>
    <w:p w14:paraId="6C6E3C6D">
      <w:pPr>
        <w:adjustRightInd w:val="0"/>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方式：</w:t>
      </w:r>
      <w:r>
        <w:rPr>
          <w:rFonts w:ascii="宋体" w:hAnsi="宋体" w:eastAsia="宋体" w:cs="宋体"/>
          <w:color w:val="000000" w:themeColor="text1"/>
          <w14:textFill>
            <w14:solidFill>
              <w14:schemeClr w14:val="tx1"/>
            </w14:solidFill>
          </w14:textFill>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5D9C1121">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2.按上述要求获取文件的供应商视为合法获取了本项目采购文件，具备本项目的投标资格。</w:t>
      </w:r>
    </w:p>
    <w:p w14:paraId="4749F9CD">
      <w:pPr>
        <w:adjustRightInd w:val="0"/>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售价（元）：</w:t>
      </w:r>
      <w:r>
        <w:rPr>
          <w:rFonts w:ascii="宋体" w:hAnsi="宋体" w:eastAsia="宋体" w:cs="宋体"/>
          <w:color w:val="000000" w:themeColor="text1"/>
          <w14:textFill>
            <w14:solidFill>
              <w14:schemeClr w14:val="tx1"/>
            </w14:solidFill>
          </w14:textFill>
        </w:rPr>
        <w:t>0</w:t>
      </w:r>
    </w:p>
    <w:p w14:paraId="7C010D01">
      <w:pPr>
        <w:keepNext/>
        <w:keepLines/>
        <w:spacing w:line="360" w:lineRule="auto"/>
        <w:outlineLvl w:val="1"/>
        <w:rPr>
          <w:rFonts w:ascii="宋体" w:hAnsi="宋体" w:eastAsia="宋体" w:cs="Times New Roman"/>
          <w:b/>
          <w:bCs/>
          <w:color w:val="000000" w:themeColor="text1"/>
          <w:kern w:val="0"/>
          <w14:textFill>
            <w14:solidFill>
              <w14:schemeClr w14:val="tx1"/>
            </w14:solidFill>
          </w14:textFill>
        </w:rPr>
      </w:pPr>
      <w:bookmarkStart w:id="23" w:name="_Toc77504028"/>
      <w:bookmarkStart w:id="24" w:name="_Toc164432883"/>
      <w:bookmarkStart w:id="25" w:name="_Toc120282394"/>
      <w:bookmarkStart w:id="26" w:name="_Toc77116639"/>
      <w:bookmarkStart w:id="27" w:name="_Toc13054"/>
      <w:bookmarkStart w:id="28" w:name="_Toc107396166"/>
      <w:bookmarkStart w:id="29" w:name="_Toc77658038"/>
      <w:r>
        <w:rPr>
          <w:rFonts w:hint="eastAsia" w:ascii="宋体" w:hAnsi="宋体" w:eastAsia="宋体" w:cs="宋体"/>
          <w:b/>
          <w:bCs/>
          <w:color w:val="000000" w:themeColor="text1"/>
          <w:kern w:val="0"/>
          <w14:textFill>
            <w14:solidFill>
              <w14:schemeClr w14:val="tx1"/>
            </w14:solidFill>
          </w14:textFill>
        </w:rPr>
        <w:t>四、提交投标文件截止时间、开标时间和地点</w:t>
      </w:r>
      <w:bookmarkEnd w:id="23"/>
      <w:bookmarkEnd w:id="24"/>
      <w:bookmarkEnd w:id="25"/>
      <w:bookmarkEnd w:id="26"/>
      <w:bookmarkEnd w:id="27"/>
      <w:bookmarkEnd w:id="28"/>
      <w:bookmarkEnd w:id="29"/>
    </w:p>
    <w:p w14:paraId="4F5CCFE8">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bookmarkStart w:id="30" w:name="_Toc107396167"/>
      <w:bookmarkStart w:id="31" w:name="_Toc77658039"/>
      <w:bookmarkStart w:id="32" w:name="_Toc77504029"/>
      <w:bookmarkStart w:id="33" w:name="_Toc120282395"/>
      <w:bookmarkStart w:id="34" w:name="_Toc77116640"/>
      <w:bookmarkStart w:id="35" w:name="_Toc23350"/>
      <w:r>
        <w:rPr>
          <w:rFonts w:ascii="宋体" w:hAnsi="宋体" w:eastAsia="宋体" w:cs="宋体"/>
          <w:color w:val="000000" w:themeColor="text1"/>
          <w14:textFill>
            <w14:solidFill>
              <w14:schemeClr w14:val="tx1"/>
            </w14:solidFill>
          </w14:textFill>
        </w:rPr>
        <w:t>202</w:t>
      </w:r>
      <w:r>
        <w:rPr>
          <w:rFonts w:hint="eastAsia" w:ascii="宋体" w:hAnsi="宋体" w:eastAsia="宋体" w:cs="宋体"/>
          <w:color w:val="000000" w:themeColor="text1"/>
          <w:lang w:val="en-US" w:eastAsia="zh-CN"/>
          <w14:textFill>
            <w14:solidFill>
              <w14:schemeClr w14:val="tx1"/>
            </w14:solidFill>
          </w14:textFill>
        </w:rPr>
        <w:t>5</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10</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 xml:space="preserve">09 </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lang w:val="en-US" w:eastAsia="zh-CN"/>
          <w14:textFill>
            <w14:solidFill>
              <w14:schemeClr w14:val="tx1"/>
            </w14:solidFill>
          </w14:textFill>
        </w:rPr>
        <w:t>14</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30（北京时间）</w:t>
      </w:r>
    </w:p>
    <w:p w14:paraId="36A0CA87">
      <w:pPr>
        <w:adjustRightInd w:val="0"/>
        <w:spacing w:line="360" w:lineRule="auto"/>
        <w:ind w:firstLine="420" w:firstLineChars="200"/>
        <w:rPr>
          <w:rFonts w:ascii="宋体" w:hAnsi="宋体" w:eastAsia="宋体" w:cs="宋体"/>
          <w:color w:val="000000" w:themeColor="text1"/>
          <w14:textFill>
            <w14:solidFill>
              <w14:schemeClr w14:val="tx1"/>
            </w14:solidFill>
          </w14:textFill>
        </w:rPr>
      </w:pPr>
      <w:bookmarkStart w:id="36" w:name="_Toc31379"/>
      <w:r>
        <w:rPr>
          <w:rFonts w:hint="eastAsia" w:ascii="宋体" w:hAnsi="宋体" w:eastAsia="宋体" w:cs="宋体"/>
          <w:color w:val="000000" w:themeColor="text1"/>
          <w14:textFill>
            <w14:solidFill>
              <w14:schemeClr w14:val="tx1"/>
            </w14:solidFill>
          </w14:textFill>
        </w:rPr>
        <w:t>地点：</w:t>
      </w:r>
      <w:bookmarkEnd w:id="36"/>
      <w:r>
        <w:rPr>
          <w:rFonts w:hint="eastAsia" w:ascii="宋体" w:hAnsi="宋体" w:eastAsia="宋体" w:cs="宋体"/>
          <w:color w:val="000000" w:themeColor="text1"/>
          <w14:textFill>
            <w14:solidFill>
              <w14:schemeClr w14:val="tx1"/>
            </w14:solidFill>
          </w14:textFill>
        </w:rPr>
        <w:t>“政采云”平台开标大厅</w:t>
      </w:r>
    </w:p>
    <w:p w14:paraId="51866F50">
      <w:pPr>
        <w:adjustRightInd w:val="0"/>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注：供应商应按照本项目采购文件和</w:t>
      </w:r>
      <w:r>
        <w:rPr>
          <w:rFonts w:ascii="宋体" w:hAnsi="宋体" w:eastAsia="宋体" w:cs="宋体"/>
          <w:color w:val="000000" w:themeColor="text1"/>
          <w14:textFill>
            <w14:solidFill>
              <w14:schemeClr w14:val="tx1"/>
            </w14:solidFill>
          </w14:textFill>
        </w:rPr>
        <w:t>"政采云"平台的要求编制、加密后在</w:t>
      </w:r>
      <w:r>
        <w:rPr>
          <w:rFonts w:hint="eastAsia" w:ascii="宋体" w:hAnsi="宋体" w:eastAsia="宋体" w:cs="宋体"/>
          <w:color w:val="000000" w:themeColor="text1"/>
          <w14:textFill>
            <w14:solidFill>
              <w14:schemeClr w14:val="tx1"/>
            </w14:solidFill>
          </w14:textFill>
        </w:rPr>
        <w:t>投标文件</w:t>
      </w:r>
      <w:r>
        <w:rPr>
          <w:rFonts w:ascii="宋体" w:hAnsi="宋体" w:eastAsia="宋体" w:cs="宋体"/>
          <w:color w:val="000000" w:themeColor="text1"/>
          <w14:textFill>
            <w14:solidFill>
              <w14:schemeClr w14:val="tx1"/>
            </w14:solidFill>
          </w14:textFill>
        </w:rPr>
        <w:t>提交截止时间前上传至"政采云"平台，</w:t>
      </w:r>
      <w:r>
        <w:rPr>
          <w:rFonts w:hint="eastAsia" w:ascii="宋体" w:hAnsi="宋体" w:eastAsia="宋体" w:cs="宋体"/>
          <w:color w:val="000000" w:themeColor="text1"/>
          <w14:textFill>
            <w14:solidFill>
              <w14:schemeClr w14:val="tx1"/>
            </w14:solidFill>
          </w14:textFill>
        </w:rPr>
        <w:t>投标文件</w:t>
      </w:r>
      <w:r>
        <w:rPr>
          <w:rFonts w:ascii="宋体" w:hAnsi="宋体" w:eastAsia="宋体" w:cs="宋体"/>
          <w:color w:val="000000" w:themeColor="text1"/>
          <w14:textFill>
            <w14:solidFill>
              <w14:schemeClr w14:val="tx1"/>
            </w14:solidFill>
          </w14:textFill>
        </w:rPr>
        <w:t>提交截止时间前未完成</w:t>
      </w:r>
      <w:r>
        <w:rPr>
          <w:rFonts w:hint="eastAsia" w:ascii="宋体" w:hAnsi="宋体" w:eastAsia="宋体" w:cs="宋体"/>
          <w:color w:val="000000" w:themeColor="text1"/>
          <w14:textFill>
            <w14:solidFill>
              <w14:schemeClr w14:val="tx1"/>
            </w14:solidFill>
          </w14:textFill>
        </w:rPr>
        <w:t>投标文件</w:t>
      </w:r>
      <w:r>
        <w:rPr>
          <w:rFonts w:ascii="宋体" w:hAnsi="宋体" w:eastAsia="宋体" w:cs="宋体"/>
          <w:color w:val="000000" w:themeColor="text1"/>
          <w14:textFill>
            <w14:solidFill>
              <w14:schemeClr w14:val="tx1"/>
            </w14:solidFill>
          </w14:textFill>
        </w:rPr>
        <w:t>上传的，视为撤回</w:t>
      </w:r>
      <w:r>
        <w:rPr>
          <w:rFonts w:hint="eastAsia" w:ascii="宋体" w:hAnsi="宋体" w:eastAsia="宋体" w:cs="宋体"/>
          <w:color w:val="000000" w:themeColor="text1"/>
          <w14:textFill>
            <w14:solidFill>
              <w14:schemeClr w14:val="tx1"/>
            </w14:solidFill>
          </w14:textFill>
        </w:rPr>
        <w:t>投标文件</w:t>
      </w:r>
      <w:r>
        <w:rPr>
          <w:rFonts w:ascii="宋体" w:hAnsi="宋体" w:eastAsia="宋体" w:cs="宋体"/>
          <w:color w:val="000000" w:themeColor="text1"/>
          <w14:textFill>
            <w14:solidFill>
              <w14:schemeClr w14:val="tx1"/>
            </w14:solidFill>
          </w14:textFill>
        </w:rPr>
        <w:t>。供应商在"政采云"平台提交电子版</w:t>
      </w:r>
      <w:r>
        <w:rPr>
          <w:rFonts w:hint="eastAsia" w:ascii="宋体" w:hAnsi="宋体" w:eastAsia="宋体" w:cs="宋体"/>
          <w:color w:val="000000" w:themeColor="text1"/>
          <w14:textFill>
            <w14:solidFill>
              <w14:schemeClr w14:val="tx1"/>
            </w14:solidFill>
          </w14:textFill>
        </w:rPr>
        <w:t>投标文件</w:t>
      </w:r>
      <w:r>
        <w:rPr>
          <w:rFonts w:ascii="宋体" w:hAnsi="宋体" w:eastAsia="宋体" w:cs="宋体"/>
          <w:color w:val="000000" w:themeColor="text1"/>
          <w14:textFill>
            <w14:solidFill>
              <w14:schemeClr w14:val="tx1"/>
            </w14:solidFill>
          </w14:textFill>
        </w:rPr>
        <w:t>时，请填写参加远程采购活动经办人及联系方式。</w:t>
      </w:r>
    </w:p>
    <w:p w14:paraId="2D693AD6">
      <w:pPr>
        <w:keepNext/>
        <w:keepLines/>
        <w:spacing w:line="360" w:lineRule="auto"/>
        <w:outlineLvl w:val="1"/>
        <w:rPr>
          <w:rFonts w:ascii="宋体" w:hAnsi="宋体" w:eastAsia="宋体" w:cs="Times New Roman"/>
          <w:b/>
          <w:bCs/>
          <w:color w:val="000000" w:themeColor="text1"/>
          <w:kern w:val="0"/>
          <w14:textFill>
            <w14:solidFill>
              <w14:schemeClr w14:val="tx1"/>
            </w14:solidFill>
          </w14:textFill>
        </w:rPr>
      </w:pPr>
      <w:bookmarkStart w:id="37" w:name="_Toc164432884"/>
      <w:r>
        <w:rPr>
          <w:rFonts w:hint="eastAsia" w:ascii="宋体" w:hAnsi="宋体" w:eastAsia="宋体" w:cs="宋体"/>
          <w:b/>
          <w:bCs/>
          <w:color w:val="000000" w:themeColor="text1"/>
          <w:kern w:val="0"/>
          <w14:textFill>
            <w14:solidFill>
              <w14:schemeClr w14:val="tx1"/>
            </w14:solidFill>
          </w14:textFill>
        </w:rPr>
        <w:t>五、公告期限</w:t>
      </w:r>
      <w:bookmarkEnd w:id="30"/>
      <w:bookmarkEnd w:id="31"/>
      <w:bookmarkEnd w:id="32"/>
      <w:bookmarkEnd w:id="33"/>
      <w:bookmarkEnd w:id="34"/>
      <w:bookmarkEnd w:id="35"/>
      <w:bookmarkEnd w:id="37"/>
    </w:p>
    <w:p w14:paraId="3902F75D">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自本公告发布之日起</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个工作日。</w:t>
      </w:r>
    </w:p>
    <w:p w14:paraId="41D87989">
      <w:pPr>
        <w:keepNext/>
        <w:keepLines/>
        <w:spacing w:line="360" w:lineRule="auto"/>
        <w:outlineLvl w:val="1"/>
        <w:rPr>
          <w:rFonts w:ascii="宋体" w:hAnsi="宋体" w:eastAsia="宋体" w:cs="Times New Roman"/>
          <w:b/>
          <w:bCs/>
          <w:color w:val="000000" w:themeColor="text1"/>
          <w:kern w:val="0"/>
          <w14:textFill>
            <w14:solidFill>
              <w14:schemeClr w14:val="tx1"/>
            </w14:solidFill>
          </w14:textFill>
        </w:rPr>
      </w:pPr>
      <w:bookmarkStart w:id="38" w:name="_Toc164432885"/>
      <w:bookmarkStart w:id="39" w:name="_Toc8981"/>
      <w:bookmarkStart w:id="40" w:name="_Toc77658040"/>
      <w:bookmarkStart w:id="41" w:name="_Toc77116641"/>
      <w:bookmarkStart w:id="42" w:name="_Toc107396168"/>
      <w:bookmarkStart w:id="43" w:name="_Toc120282396"/>
      <w:bookmarkStart w:id="44" w:name="_Toc77504030"/>
      <w:r>
        <w:rPr>
          <w:rFonts w:hint="eastAsia" w:ascii="宋体" w:hAnsi="宋体" w:eastAsia="宋体" w:cs="宋体"/>
          <w:b/>
          <w:bCs/>
          <w:color w:val="000000" w:themeColor="text1"/>
          <w:kern w:val="0"/>
          <w14:textFill>
            <w14:solidFill>
              <w14:schemeClr w14:val="tx1"/>
            </w14:solidFill>
          </w14:textFill>
        </w:rPr>
        <w:t>六、其他补充事宜</w:t>
      </w:r>
      <w:bookmarkEnd w:id="38"/>
      <w:bookmarkEnd w:id="39"/>
      <w:bookmarkEnd w:id="40"/>
      <w:bookmarkEnd w:id="41"/>
      <w:bookmarkEnd w:id="42"/>
      <w:bookmarkEnd w:id="43"/>
      <w:bookmarkEnd w:id="44"/>
    </w:p>
    <w:p w14:paraId="28BB52F0">
      <w:pPr>
        <w:adjustRightInd w:val="0"/>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开标方式：网上开标</w:t>
      </w:r>
    </w:p>
    <w:p w14:paraId="07BC803A">
      <w:pPr>
        <w:adjustRightInd w:val="0"/>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是否需要缴纳投标保证金：否</w:t>
      </w:r>
    </w:p>
    <w:p w14:paraId="212F4D90">
      <w:pPr>
        <w:adjustRightInd w:val="0"/>
        <w:snapToGrid w:val="0"/>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w:t>
      </w:r>
    </w:p>
    <w:p w14:paraId="5C237ADA">
      <w:pPr>
        <w:adjustRightInd w:val="0"/>
        <w:snapToGrid w:val="0"/>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本项目实行网上投标，采用电子投标文件；</w:t>
      </w:r>
    </w:p>
    <w:p w14:paraId="582CD47C">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各供应商应在采购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r>
        <w:rPr>
          <w:rFonts w:hint="eastAsia" w:ascii="宋体" w:hAnsi="宋体" w:eastAsia="宋体" w:cs="宋体"/>
          <w:color w:val="000000" w:themeColor="text1"/>
          <w14:textFill>
            <w14:solidFill>
              <w14:schemeClr w14:val="tx1"/>
            </w14:solidFill>
          </w14:textFill>
        </w:rPr>
        <w:br w:type="textWrapping"/>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云南CA操作问题，请致电云南CA：4006727666；云南CA紧急联系方式：15288315056</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云南壹证通CA：0871-67276028</w:t>
      </w:r>
      <w:r>
        <w:rPr>
          <w:rFonts w:hint="eastAsia" w:ascii="宋体" w:hAnsi="宋体" w:eastAsia="宋体" w:cs="宋体"/>
          <w:color w:val="000000" w:themeColor="text1"/>
          <w14:textFill>
            <w14:solidFill>
              <w14:schemeClr w14:val="tx1"/>
            </w14:solidFill>
          </w14:textFill>
        </w:rPr>
        <w:t>。如因供应商自身原因导致在规定时间内无法正常解密的（如：浏览器故障、未安装相关驱动、网络故障、加密CA与解密CA不一致等），代理机构不予异常处理，视为供应商自动弃标。</w:t>
      </w:r>
    </w:p>
    <w:p w14:paraId="4F54CFE2">
      <w:pPr>
        <w:adjustRightInd w:val="0"/>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本次公告在</w:t>
      </w:r>
      <w:r>
        <w:rPr>
          <w:rFonts w:ascii="宋体" w:hAnsi="宋体" w:eastAsia="宋体" w:cs="宋体"/>
          <w:color w:val="000000" w:themeColor="text1"/>
          <w14:textFill>
            <w14:solidFill>
              <w14:schemeClr w14:val="tx1"/>
            </w14:solidFill>
          </w14:textFill>
        </w:rPr>
        <w:t>云南省政府采购网（网址：http://www.yngp.com/）</w:t>
      </w:r>
      <w:r>
        <w:rPr>
          <w:rFonts w:hint="eastAsia" w:ascii="宋体" w:hAnsi="宋体" w:eastAsia="宋体" w:cs="宋体"/>
          <w:color w:val="000000" w:themeColor="text1"/>
          <w14:textFill>
            <w14:solidFill>
              <w14:schemeClr w14:val="tx1"/>
            </w14:solidFill>
          </w14:textFill>
        </w:rPr>
        <w:t>上发布，我公司对其他网站或媒体转载的公告及公告内容不承担任何责任</w:t>
      </w:r>
      <w:r>
        <w:rPr>
          <w:rFonts w:ascii="宋体" w:hAnsi="宋体" w:eastAsia="宋体" w:cs="宋体"/>
          <w:color w:val="000000" w:themeColor="text1"/>
          <w14:textFill>
            <w14:solidFill>
              <w14:schemeClr w14:val="tx1"/>
            </w14:solidFill>
          </w14:textFill>
        </w:rPr>
        <w:t>。</w:t>
      </w:r>
    </w:p>
    <w:p w14:paraId="03B7E181">
      <w:pPr>
        <w:pStyle w:val="4"/>
        <w:spacing w:before="0" w:after="0" w:line="360" w:lineRule="auto"/>
        <w:rPr>
          <w:rFonts w:ascii="宋体" w:hAnsi="宋体" w:eastAsia="宋体" w:cs="Times New Roman"/>
          <w:b w:val="0"/>
          <w:bCs w:val="0"/>
          <w:color w:val="000000" w:themeColor="text1"/>
          <w:sz w:val="21"/>
          <w:szCs w:val="21"/>
          <w14:textFill>
            <w14:solidFill>
              <w14:schemeClr w14:val="tx1"/>
            </w14:solidFill>
          </w14:textFill>
        </w:rPr>
      </w:pPr>
      <w:bookmarkStart w:id="45" w:name="_Toc77504031"/>
      <w:bookmarkStart w:id="46" w:name="_Toc77658041"/>
      <w:bookmarkStart w:id="47" w:name="_Toc120282397"/>
      <w:bookmarkStart w:id="48" w:name="_Toc7764"/>
      <w:bookmarkStart w:id="49" w:name="_Toc164432886"/>
      <w:bookmarkStart w:id="50" w:name="_Toc107396169"/>
      <w:bookmarkStart w:id="51" w:name="_Toc77116642"/>
      <w:r>
        <w:rPr>
          <w:rFonts w:hint="eastAsia" w:ascii="宋体" w:hAnsi="宋体" w:eastAsia="宋体" w:cs="宋体"/>
          <w:color w:val="000000" w:themeColor="text1"/>
          <w:sz w:val="21"/>
          <w:szCs w:val="21"/>
          <w14:textFill>
            <w14:solidFill>
              <w14:schemeClr w14:val="tx1"/>
            </w14:solidFill>
          </w14:textFill>
        </w:rPr>
        <w:t>七、</w:t>
      </w:r>
      <w:r>
        <w:rPr>
          <w:rFonts w:hint="eastAsia" w:ascii="宋体" w:hAnsi="宋体" w:eastAsia="宋体" w:cs="宋体"/>
          <w:b w:val="0"/>
          <w:bCs w:val="0"/>
          <w:color w:val="000000" w:themeColor="text1"/>
          <w:sz w:val="21"/>
          <w:szCs w:val="21"/>
          <w14:textFill>
            <w14:solidFill>
              <w14:schemeClr w14:val="tx1"/>
            </w14:solidFill>
          </w14:textFill>
        </w:rPr>
        <w:t>对本次招标提出询问，请按以下方式联系。</w:t>
      </w:r>
      <w:bookmarkEnd w:id="45"/>
      <w:bookmarkEnd w:id="46"/>
      <w:bookmarkEnd w:id="47"/>
      <w:bookmarkEnd w:id="48"/>
      <w:bookmarkEnd w:id="49"/>
      <w:bookmarkEnd w:id="50"/>
      <w:bookmarkEnd w:id="51"/>
    </w:p>
    <w:p w14:paraId="4052C185">
      <w:pPr>
        <w:spacing w:line="360" w:lineRule="auto"/>
        <w:ind w:firstLine="42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采购人信息</w:t>
      </w:r>
    </w:p>
    <w:p w14:paraId="41D6D2E0">
      <w:pPr>
        <w:spacing w:line="360" w:lineRule="auto"/>
        <w:ind w:firstLine="420"/>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名称：</w:t>
      </w:r>
      <w:r>
        <w:rPr>
          <w:rFonts w:hint="eastAsia" w:ascii="宋体" w:hAnsi="宋体" w:eastAsia="宋体" w:cs="宋体"/>
          <w:color w:val="000000" w:themeColor="text1"/>
          <w:lang w:eastAsia="zh-CN"/>
          <w14:textFill>
            <w14:solidFill>
              <w14:schemeClr w14:val="tx1"/>
            </w14:solidFill>
          </w14:textFill>
        </w:rPr>
        <w:t>威信县中医医院</w:t>
      </w:r>
    </w:p>
    <w:p w14:paraId="6964A0C2">
      <w:pPr>
        <w:spacing w:line="360" w:lineRule="auto"/>
        <w:ind w:firstLine="420"/>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址：</w:t>
      </w:r>
      <w:r>
        <w:rPr>
          <w:rFonts w:hint="eastAsia" w:ascii="宋体" w:hAnsi="宋体" w:eastAsia="宋体" w:cs="宋体"/>
          <w:color w:val="000000" w:themeColor="text1"/>
          <w:lang w:eastAsia="zh-CN"/>
          <w14:textFill>
            <w14:solidFill>
              <w14:schemeClr w14:val="tx1"/>
            </w14:solidFill>
          </w14:textFill>
        </w:rPr>
        <w:t>威信县扎西镇朝阳路60号</w:t>
      </w:r>
    </w:p>
    <w:p w14:paraId="1DA283E9">
      <w:pPr>
        <w:spacing w:line="360" w:lineRule="auto"/>
        <w:ind w:firstLine="42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联系方式：</w:t>
      </w:r>
      <w:r>
        <w:rPr>
          <w:rFonts w:hint="eastAsia" w:ascii="宋体" w:hAnsi="宋体" w:eastAsia="宋体" w:cs="宋体"/>
          <w:color w:val="000000" w:themeColor="text1"/>
          <w:lang w:eastAsia="zh-CN"/>
          <w14:textFill>
            <w14:solidFill>
              <w14:schemeClr w14:val="tx1"/>
            </w14:solidFill>
          </w14:textFill>
        </w:rPr>
        <w:t>13887055169</w:t>
      </w:r>
    </w:p>
    <w:p w14:paraId="39753F5F">
      <w:pPr>
        <w:spacing w:line="360" w:lineRule="auto"/>
        <w:ind w:firstLine="420"/>
        <w:rPr>
          <w:rFonts w:hint="eastAsia" w:ascii="宋体" w:hAnsi="宋体" w:eastAsia="宋体" w:cs="宋体"/>
          <w:color w:val="000000" w:themeColor="text1"/>
          <w:lang w:val="en-US" w:eastAsia="zh-CN"/>
          <w14:textFill>
            <w14:solidFill>
              <w14:schemeClr w14:val="tx1"/>
            </w14:solidFill>
          </w14:textFill>
        </w:rPr>
      </w:pPr>
    </w:p>
    <w:p w14:paraId="426F5C1E">
      <w:pPr>
        <w:spacing w:line="360" w:lineRule="auto"/>
        <w:ind w:firstLine="42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2.监督</w:t>
      </w:r>
    </w:p>
    <w:p w14:paraId="7EEC3B13">
      <w:pPr>
        <w:spacing w:line="360" w:lineRule="auto"/>
        <w:ind w:firstLine="42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名称：威信县财政局</w:t>
      </w:r>
    </w:p>
    <w:p w14:paraId="7EBF54AF">
      <w:pPr>
        <w:spacing w:line="360" w:lineRule="auto"/>
        <w:ind w:firstLine="42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联系方式：0870-6128263</w:t>
      </w:r>
    </w:p>
    <w:p w14:paraId="73E9A666">
      <w:pPr>
        <w:spacing w:line="360" w:lineRule="auto"/>
        <w:ind w:firstLine="420"/>
        <w:rPr>
          <w:rFonts w:hint="eastAsia" w:ascii="宋体" w:hAnsi="宋体" w:eastAsia="宋体" w:cs="宋体"/>
          <w:color w:val="FF0000"/>
          <w:lang w:val="en-US" w:eastAsia="zh-CN"/>
        </w:rPr>
      </w:pPr>
    </w:p>
    <w:p w14:paraId="7EAB3651">
      <w:pPr>
        <w:spacing w:line="360" w:lineRule="auto"/>
        <w:ind w:firstLine="42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3</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采购代理机构信息</w:t>
      </w:r>
    </w:p>
    <w:p w14:paraId="094FB5DE">
      <w:pPr>
        <w:spacing w:line="360" w:lineRule="auto"/>
        <w:ind w:firstLine="420"/>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名称：</w:t>
      </w:r>
      <w:r>
        <w:rPr>
          <w:rFonts w:hint="eastAsia" w:ascii="宋体" w:hAnsi="宋体" w:eastAsia="宋体" w:cs="宋体"/>
          <w:color w:val="000000" w:themeColor="text1"/>
          <w:lang w:eastAsia="zh-CN"/>
          <w14:textFill>
            <w14:solidFill>
              <w14:schemeClr w14:val="tx1"/>
            </w14:solidFill>
          </w14:textFill>
        </w:rPr>
        <w:t>祺山项目管理咨询（云南）有限公司</w:t>
      </w:r>
    </w:p>
    <w:p w14:paraId="5200C39D">
      <w:pPr>
        <w:spacing w:line="360" w:lineRule="auto"/>
        <w:ind w:firstLine="42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址：昆明市五华区龙泉路万彩荟商业中心17幢30楼3012号</w:t>
      </w:r>
    </w:p>
    <w:p w14:paraId="4E746FB1">
      <w:pPr>
        <w:spacing w:line="360" w:lineRule="auto"/>
        <w:ind w:firstLine="42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联系方式：</w:t>
      </w:r>
      <w:r>
        <w:rPr>
          <w:rFonts w:hint="eastAsia" w:ascii="宋体" w:hAnsi="宋体" w:eastAsia="宋体" w:cs="宋体"/>
          <w:color w:val="000000" w:themeColor="text1"/>
          <w:lang w:val="en-US" w:eastAsia="zh-CN"/>
          <w14:textFill>
            <w14:solidFill>
              <w14:schemeClr w14:val="tx1"/>
            </w14:solidFill>
          </w14:textFill>
        </w:rPr>
        <w:t>0871-65116109、13888307000</w:t>
      </w:r>
    </w:p>
    <w:p w14:paraId="22479D3B">
      <w:pPr>
        <w:spacing w:line="360" w:lineRule="auto"/>
        <w:ind w:firstLine="420"/>
        <w:rPr>
          <w:rFonts w:hint="eastAsia" w:ascii="宋体" w:hAnsi="宋体" w:eastAsia="宋体" w:cs="宋体"/>
          <w:color w:val="000000" w:themeColor="text1"/>
          <w:lang w:val="en-US" w:eastAsia="zh-CN"/>
          <w14:textFill>
            <w14:solidFill>
              <w14:schemeClr w14:val="tx1"/>
            </w14:solidFill>
          </w14:textFill>
        </w:rPr>
      </w:pPr>
    </w:p>
    <w:p w14:paraId="63EDB59D">
      <w:pPr>
        <w:spacing w:line="360" w:lineRule="auto"/>
        <w:ind w:firstLine="42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4</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项目联系方式</w:t>
      </w:r>
    </w:p>
    <w:p w14:paraId="315D307D">
      <w:pPr>
        <w:spacing w:line="360" w:lineRule="auto"/>
        <w:ind w:firstLine="42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项目联系人：</w:t>
      </w:r>
      <w:r>
        <w:rPr>
          <w:rFonts w:hint="eastAsia" w:ascii="宋体" w:hAnsi="宋体" w:eastAsia="宋体" w:cs="宋体"/>
          <w:color w:val="000000" w:themeColor="text1"/>
          <w:lang w:val="en-US" w:eastAsia="zh-CN"/>
          <w14:textFill>
            <w14:solidFill>
              <w14:schemeClr w14:val="tx1"/>
            </w14:solidFill>
          </w14:textFill>
        </w:rPr>
        <w:t>周金山、龚昌银、刘思伶</w:t>
      </w:r>
    </w:p>
    <w:p w14:paraId="5F19E6D4">
      <w:pPr>
        <w:spacing w:line="360" w:lineRule="auto"/>
        <w:ind w:firstLine="42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话：</w:t>
      </w:r>
      <w:r>
        <w:rPr>
          <w:rFonts w:hint="eastAsia" w:ascii="宋体" w:hAnsi="宋体" w:eastAsia="宋体" w:cs="宋体"/>
          <w:color w:val="000000" w:themeColor="text1"/>
          <w:lang w:val="en-US" w:eastAsia="zh-CN"/>
          <w14:textFill>
            <w14:solidFill>
              <w14:schemeClr w14:val="tx1"/>
            </w14:solidFill>
          </w14:textFill>
        </w:rPr>
        <w:t>0871-65116109、13888307000</w:t>
      </w:r>
    </w:p>
    <w:p w14:paraId="7FB92E6D">
      <w:pPr>
        <w:pStyle w:val="3"/>
        <w:spacing w:before="0" w:after="0"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14:textFill>
            <w14:solidFill>
              <w14:schemeClr w14:val="tx1"/>
            </w14:solidFill>
          </w14:textFill>
        </w:rPr>
        <w:br w:type="page"/>
      </w:r>
      <w:bookmarkEnd w:id="1"/>
      <w:bookmarkStart w:id="52" w:name="_Toc164432887"/>
      <w:r>
        <w:rPr>
          <w:rFonts w:hint="eastAsia" w:ascii="宋体" w:hAnsi="宋体" w:cs="宋体"/>
          <w:color w:val="000000" w:themeColor="text1"/>
          <w:sz w:val="36"/>
          <w:szCs w:val="36"/>
          <w14:textFill>
            <w14:solidFill>
              <w14:schemeClr w14:val="tx1"/>
            </w14:solidFill>
          </w14:textFill>
        </w:rPr>
        <w:t>第二章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投标人须知</w:t>
      </w:r>
      <w:bookmarkEnd w:id="52"/>
    </w:p>
    <w:p w14:paraId="7E36FC83">
      <w:pPr>
        <w:pStyle w:val="4"/>
        <w:spacing w:before="0" w:after="0" w:line="360" w:lineRule="auto"/>
        <w:jc w:val="center"/>
        <w:rPr>
          <w:rFonts w:ascii="宋体" w:hAnsi="宋体" w:eastAsia="宋体" w:cs="Times New Roman"/>
          <w:color w:val="000000" w:themeColor="text1"/>
          <w:sz w:val="28"/>
          <w:szCs w:val="28"/>
          <w14:textFill>
            <w14:solidFill>
              <w14:schemeClr w14:val="tx1"/>
            </w14:solidFill>
          </w14:textFill>
        </w:rPr>
      </w:pPr>
      <w:bookmarkStart w:id="53" w:name="_Toc107396171"/>
      <w:bookmarkStart w:id="54" w:name="_Toc8512"/>
      <w:bookmarkStart w:id="55" w:name="_Toc120282399"/>
      <w:bookmarkStart w:id="56" w:name="_Toc77116644"/>
      <w:bookmarkStart w:id="57" w:name="_Toc77504033"/>
      <w:bookmarkStart w:id="58" w:name="_Toc70424824"/>
      <w:bookmarkStart w:id="59" w:name="_Toc77658043"/>
      <w:r>
        <w:rPr>
          <w:rFonts w:hint="eastAsia" w:ascii="宋体" w:hAnsi="宋体" w:eastAsia="宋体" w:cs="宋体"/>
          <w:color w:val="000000" w:themeColor="text1"/>
          <w:sz w:val="28"/>
          <w:szCs w:val="28"/>
          <w14:textFill>
            <w14:solidFill>
              <w14:schemeClr w14:val="tx1"/>
            </w14:solidFill>
          </w14:textFill>
        </w:rPr>
        <w:t xml:space="preserve"> </w:t>
      </w:r>
      <w:bookmarkStart w:id="60" w:name="_Toc164432888"/>
      <w:r>
        <w:rPr>
          <w:rFonts w:hint="eastAsia" w:ascii="宋体" w:hAnsi="宋体" w:eastAsia="宋体" w:cs="宋体"/>
          <w:color w:val="000000" w:themeColor="text1"/>
          <w:sz w:val="28"/>
          <w:szCs w:val="28"/>
          <w14:textFill>
            <w14:solidFill>
              <w14:schemeClr w14:val="tx1"/>
            </w14:solidFill>
          </w14:textFill>
        </w:rPr>
        <w:t>投标人须知前附表</w:t>
      </w:r>
      <w:bookmarkEnd w:id="53"/>
      <w:bookmarkEnd w:id="54"/>
      <w:bookmarkEnd w:id="55"/>
      <w:bookmarkEnd w:id="56"/>
      <w:bookmarkEnd w:id="57"/>
      <w:bookmarkEnd w:id="58"/>
      <w:bookmarkEnd w:id="59"/>
      <w:bookmarkEnd w:id="60"/>
    </w:p>
    <w:tbl>
      <w:tblPr>
        <w:tblStyle w:val="42"/>
        <w:tblW w:w="935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693"/>
        <w:gridCol w:w="5670"/>
      </w:tblGrid>
      <w:tr w14:paraId="128B86E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92" w:type="dxa"/>
            <w:tcBorders>
              <w:top w:val="thinThickSmallGap" w:color="auto" w:sz="12" w:space="0"/>
            </w:tcBorders>
            <w:vAlign w:val="center"/>
          </w:tcPr>
          <w:p w14:paraId="1E82239B">
            <w:pPr>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2693" w:type="dxa"/>
            <w:tcBorders>
              <w:top w:val="thinThickSmallGap" w:color="auto" w:sz="12" w:space="0"/>
            </w:tcBorders>
            <w:vAlign w:val="center"/>
          </w:tcPr>
          <w:p w14:paraId="019CA816">
            <w:pPr>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条款内容</w:t>
            </w:r>
          </w:p>
        </w:tc>
        <w:tc>
          <w:tcPr>
            <w:tcW w:w="5670" w:type="dxa"/>
            <w:tcBorders>
              <w:top w:val="thinThickSmallGap" w:color="auto" w:sz="12" w:space="0"/>
            </w:tcBorders>
            <w:vAlign w:val="center"/>
          </w:tcPr>
          <w:p w14:paraId="71E8FF00">
            <w:pPr>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编列内容</w:t>
            </w:r>
          </w:p>
        </w:tc>
      </w:tr>
      <w:tr w14:paraId="1878EFE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DC25011">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w:t>
            </w:r>
          </w:p>
        </w:tc>
        <w:tc>
          <w:tcPr>
            <w:tcW w:w="2693" w:type="dxa"/>
            <w:vAlign w:val="center"/>
          </w:tcPr>
          <w:p w14:paraId="728645FC">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w:t>
            </w:r>
          </w:p>
        </w:tc>
        <w:tc>
          <w:tcPr>
            <w:tcW w:w="5670" w:type="dxa"/>
            <w:vAlign w:val="center"/>
          </w:tcPr>
          <w:p w14:paraId="2437BC0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  称：</w:t>
            </w:r>
            <w:r>
              <w:rPr>
                <w:rFonts w:hint="eastAsia" w:ascii="宋体" w:hAnsi="宋体" w:eastAsia="宋体" w:cs="宋体"/>
                <w:color w:val="000000" w:themeColor="text1"/>
                <w:lang w:eastAsia="zh-CN"/>
                <w14:textFill>
                  <w14:solidFill>
                    <w14:schemeClr w14:val="tx1"/>
                  </w14:solidFill>
                </w14:textFill>
              </w:rPr>
              <w:t>威信县中医医院</w:t>
            </w:r>
          </w:p>
          <w:p w14:paraId="0935062E">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w:t>
            </w:r>
            <w:r>
              <w:rPr>
                <w:rFonts w:hint="eastAsia" w:ascii="宋体" w:hAnsi="宋体" w:eastAsia="宋体" w:cs="宋体"/>
                <w:color w:val="000000" w:themeColor="text1"/>
                <w:lang w:eastAsia="zh-CN"/>
                <w14:textFill>
                  <w14:solidFill>
                    <w14:schemeClr w14:val="tx1"/>
                  </w14:solidFill>
                </w14:textFill>
              </w:rPr>
              <w:t>威信县扎西镇朝阳路60号</w:t>
            </w:r>
          </w:p>
          <w:p w14:paraId="523AB793">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val="en-US" w:eastAsia="zh-CN"/>
                <w14:textFill>
                  <w14:solidFill>
                    <w14:schemeClr w14:val="tx1"/>
                  </w14:solidFill>
                </w14:textFill>
              </w:rPr>
              <w:t>李医生</w:t>
            </w:r>
          </w:p>
          <w:p w14:paraId="31A16A54">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r>
              <w:rPr>
                <w:rFonts w:hint="eastAsia" w:ascii="宋体" w:hAnsi="宋体" w:eastAsia="宋体" w:cs="宋体"/>
                <w:color w:val="000000" w:themeColor="text1"/>
                <w:lang w:eastAsia="zh-CN"/>
                <w14:textFill>
                  <w14:solidFill>
                    <w14:schemeClr w14:val="tx1"/>
                  </w14:solidFill>
                </w14:textFill>
              </w:rPr>
              <w:t>13887055169</w:t>
            </w:r>
          </w:p>
        </w:tc>
      </w:tr>
      <w:tr w14:paraId="4220D96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29782FF">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1.1.3</w:t>
            </w:r>
          </w:p>
        </w:tc>
        <w:tc>
          <w:tcPr>
            <w:tcW w:w="2693" w:type="dxa"/>
            <w:vAlign w:val="center"/>
          </w:tcPr>
          <w:p w14:paraId="39895EEF">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代理机构</w:t>
            </w:r>
          </w:p>
        </w:tc>
        <w:tc>
          <w:tcPr>
            <w:tcW w:w="5670" w:type="dxa"/>
            <w:vAlign w:val="center"/>
          </w:tcPr>
          <w:p w14:paraId="660BB8AF">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  称：</w:t>
            </w:r>
            <w:r>
              <w:rPr>
                <w:rFonts w:hint="eastAsia" w:ascii="宋体" w:hAnsi="宋体" w:eastAsia="宋体" w:cs="宋体"/>
                <w:color w:val="000000" w:themeColor="text1"/>
                <w:lang w:eastAsia="zh-CN"/>
                <w14:textFill>
                  <w14:solidFill>
                    <w14:schemeClr w14:val="tx1"/>
                  </w14:solidFill>
                </w14:textFill>
              </w:rPr>
              <w:t>祺山项目管理咨询（云南）有限公司</w:t>
            </w:r>
          </w:p>
          <w:p w14:paraId="6AB904D0">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址：昆明市五华区龙泉路万彩荟商业中心17幢30楼3012号</w:t>
            </w:r>
          </w:p>
          <w:p w14:paraId="56FA8756">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val="en-US" w:eastAsia="zh-CN"/>
                <w14:textFill>
                  <w14:solidFill>
                    <w14:schemeClr w14:val="tx1"/>
                  </w14:solidFill>
                </w14:textFill>
              </w:rPr>
              <w:t>周金山、龚昌银、刘思伶</w:t>
            </w:r>
          </w:p>
          <w:p w14:paraId="6426DE0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r>
              <w:rPr>
                <w:rFonts w:hint="eastAsia" w:ascii="宋体" w:hAnsi="宋体" w:eastAsia="宋体" w:cs="宋体"/>
                <w:color w:val="000000" w:themeColor="text1"/>
                <w:lang w:val="en-US" w:eastAsia="zh-CN"/>
                <w14:textFill>
                  <w14:solidFill>
                    <w14:schemeClr w14:val="tx1"/>
                  </w14:solidFill>
                </w14:textFill>
              </w:rPr>
              <w:t>0871-65116109、13888307000</w:t>
            </w:r>
          </w:p>
        </w:tc>
      </w:tr>
      <w:tr w14:paraId="40833B7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1415855">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1.1.4</w:t>
            </w:r>
          </w:p>
        </w:tc>
        <w:tc>
          <w:tcPr>
            <w:tcW w:w="2693" w:type="dxa"/>
            <w:vAlign w:val="center"/>
          </w:tcPr>
          <w:p w14:paraId="42E6576C">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招标项目名称</w:t>
            </w:r>
          </w:p>
        </w:tc>
        <w:tc>
          <w:tcPr>
            <w:tcW w:w="5670" w:type="dxa"/>
            <w:vAlign w:val="center"/>
          </w:tcPr>
          <w:p w14:paraId="19B499F6">
            <w:pPr>
              <w:spacing w:before="156" w:beforeLines="50" w:line="360" w:lineRule="auto"/>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威信县中医医院信息化系统升级改造项目</w:t>
            </w:r>
          </w:p>
        </w:tc>
      </w:tr>
      <w:tr w14:paraId="72333DA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58E5BC5">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1.1.5</w:t>
            </w:r>
          </w:p>
        </w:tc>
        <w:tc>
          <w:tcPr>
            <w:tcW w:w="2693" w:type="dxa"/>
            <w:vAlign w:val="center"/>
          </w:tcPr>
          <w:p w14:paraId="416345DF">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交货地点</w:t>
            </w:r>
          </w:p>
        </w:tc>
        <w:tc>
          <w:tcPr>
            <w:tcW w:w="5670" w:type="dxa"/>
            <w:vAlign w:val="center"/>
          </w:tcPr>
          <w:p w14:paraId="187C436C">
            <w:pPr>
              <w:spacing w:before="156" w:beforeLines="50" w:line="360" w:lineRule="auto"/>
              <w:rPr>
                <w:rFonts w:ascii="宋体" w:hAnsi="宋体" w:eastAsia="宋体" w:cs="Times New Roman"/>
                <w:color w:val="000000" w:themeColor="text1"/>
                <w14:textFill>
                  <w14:solidFill>
                    <w14:schemeClr w14:val="tx1"/>
                  </w14:solidFill>
                </w14:textFill>
              </w:rPr>
            </w:pPr>
            <w:bookmarkStart w:id="61" w:name="_Hlk167350764"/>
            <w:r>
              <w:rPr>
                <w:rFonts w:hint="eastAsia" w:ascii="宋体" w:hAnsi="宋体" w:eastAsia="宋体" w:cs="宋体"/>
                <w:color w:val="000000" w:themeColor="text1"/>
                <w:lang w:eastAsia="zh-CN"/>
                <w14:textFill>
                  <w14:solidFill>
                    <w14:schemeClr w14:val="tx1"/>
                  </w14:solidFill>
                </w14:textFill>
              </w:rPr>
              <w:t>威信县中医医院</w:t>
            </w:r>
            <w:r>
              <w:rPr>
                <w:rFonts w:hint="eastAsia" w:ascii="宋体" w:hAnsi="宋体" w:eastAsia="宋体" w:cs="宋体"/>
                <w:color w:val="000000" w:themeColor="text1"/>
                <w14:textFill>
                  <w14:solidFill>
                    <w14:schemeClr w14:val="tx1"/>
                  </w14:solidFill>
                </w14:textFill>
              </w:rPr>
              <w:t>指定地点</w:t>
            </w:r>
            <w:bookmarkEnd w:id="61"/>
          </w:p>
        </w:tc>
      </w:tr>
      <w:tr w14:paraId="67B1A6B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2D225F0">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1.2.1</w:t>
            </w:r>
          </w:p>
        </w:tc>
        <w:tc>
          <w:tcPr>
            <w:tcW w:w="2693" w:type="dxa"/>
            <w:vAlign w:val="center"/>
          </w:tcPr>
          <w:p w14:paraId="4306270D">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资金来源</w:t>
            </w:r>
          </w:p>
        </w:tc>
        <w:tc>
          <w:tcPr>
            <w:tcW w:w="5670" w:type="dxa"/>
            <w:vAlign w:val="center"/>
          </w:tcPr>
          <w:p w14:paraId="5E1506C5">
            <w:pPr>
              <w:spacing w:before="156" w:beforeLines="50" w:line="360" w:lineRule="auto"/>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Times New Roman"/>
                <w:color w:val="000000" w:themeColor="text1"/>
                <w:lang w:val="en-US" w:eastAsia="zh-CN"/>
                <w14:textFill>
                  <w14:solidFill>
                    <w14:schemeClr w14:val="tx1"/>
                  </w14:solidFill>
                </w14:textFill>
              </w:rPr>
              <w:t>国有资金</w:t>
            </w:r>
          </w:p>
        </w:tc>
      </w:tr>
      <w:tr w14:paraId="1989F37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55634BE">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1.2.2</w:t>
            </w:r>
          </w:p>
        </w:tc>
        <w:tc>
          <w:tcPr>
            <w:tcW w:w="2693" w:type="dxa"/>
            <w:vAlign w:val="center"/>
          </w:tcPr>
          <w:p w14:paraId="77322A92">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资金落实情况</w:t>
            </w:r>
          </w:p>
        </w:tc>
        <w:tc>
          <w:tcPr>
            <w:tcW w:w="5670" w:type="dxa"/>
            <w:vAlign w:val="center"/>
          </w:tcPr>
          <w:p w14:paraId="5A98232A">
            <w:pPr>
              <w:spacing w:before="156" w:beforeLines="50" w:line="360" w:lineRule="auto"/>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已落实</w:t>
            </w:r>
          </w:p>
        </w:tc>
      </w:tr>
      <w:tr w14:paraId="6D15893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C4E5467">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1.3.1</w:t>
            </w:r>
          </w:p>
        </w:tc>
        <w:tc>
          <w:tcPr>
            <w:tcW w:w="2693" w:type="dxa"/>
            <w:vAlign w:val="center"/>
          </w:tcPr>
          <w:p w14:paraId="4408DF64">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采购范围</w:t>
            </w:r>
          </w:p>
        </w:tc>
        <w:tc>
          <w:tcPr>
            <w:tcW w:w="5670" w:type="dxa"/>
            <w:vAlign w:val="center"/>
          </w:tcPr>
          <w:p w14:paraId="0E6CAA65">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威信县中医医院信息化系统升级改造项目1项</w:t>
            </w:r>
          </w:p>
        </w:tc>
      </w:tr>
      <w:tr w14:paraId="68EC0CC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E3E9EF5">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1.3.2</w:t>
            </w:r>
          </w:p>
        </w:tc>
        <w:tc>
          <w:tcPr>
            <w:tcW w:w="2693" w:type="dxa"/>
            <w:vAlign w:val="center"/>
          </w:tcPr>
          <w:p w14:paraId="73650706">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合同履行期限</w:t>
            </w:r>
          </w:p>
        </w:tc>
        <w:tc>
          <w:tcPr>
            <w:tcW w:w="5670" w:type="dxa"/>
            <w:vAlign w:val="center"/>
          </w:tcPr>
          <w:p w14:paraId="05CB7249">
            <w:pPr>
              <w:spacing w:before="156" w:beforeLines="50" w:line="360" w:lineRule="auto"/>
              <w:jc w:val="left"/>
              <w:rPr>
                <w:rFonts w:hint="eastAsia" w:ascii="宋体" w:hAnsi="宋体" w:eastAsia="宋体" w:cs="宋体"/>
                <w:color w:val="FF0000"/>
              </w:rPr>
            </w:pPr>
            <w:r>
              <w:rPr>
                <w:rFonts w:hint="eastAsia" w:ascii="宋体" w:hAnsi="宋体" w:eastAsia="宋体" w:cs="宋体"/>
                <w:color w:val="000000" w:themeColor="text1"/>
                <w:lang w:eastAsia="zh-CN"/>
                <w14:textFill>
                  <w14:solidFill>
                    <w14:schemeClr w14:val="tx1"/>
                  </w14:solidFill>
                </w14:textFill>
              </w:rPr>
              <w:t>自合同签订后，硬件设备2个月内完成供货安装，软件部分6个月内完成建设</w:t>
            </w:r>
          </w:p>
        </w:tc>
      </w:tr>
      <w:tr w14:paraId="7FFFDEF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2B3C361">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1.3.3</w:t>
            </w:r>
          </w:p>
        </w:tc>
        <w:tc>
          <w:tcPr>
            <w:tcW w:w="2693" w:type="dxa"/>
            <w:vAlign w:val="center"/>
          </w:tcPr>
          <w:p w14:paraId="055B2ED8">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质量标准</w:t>
            </w:r>
          </w:p>
        </w:tc>
        <w:tc>
          <w:tcPr>
            <w:tcW w:w="5670" w:type="dxa"/>
            <w:vAlign w:val="center"/>
          </w:tcPr>
          <w:p w14:paraId="1620B657">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全新、符合国家质量标准、国内有关部门手续完备、具有生产厂家质量保证书（或合格证明）的软硬件</w:t>
            </w:r>
            <w:r>
              <w:rPr>
                <w:rFonts w:hint="eastAsia" w:ascii="宋体" w:hAnsi="宋体" w:eastAsia="宋体" w:cs="宋体"/>
                <w:color w:val="000000" w:themeColor="text1"/>
                <w14:textFill>
                  <w14:solidFill>
                    <w14:schemeClr w14:val="tx1"/>
                  </w14:solidFill>
                </w14:textFill>
              </w:rPr>
              <w:t>，且一次性验收合格交付使用</w:t>
            </w:r>
          </w:p>
        </w:tc>
      </w:tr>
      <w:tr w14:paraId="4F094E1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619FF94">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1.4.1</w:t>
            </w:r>
          </w:p>
        </w:tc>
        <w:tc>
          <w:tcPr>
            <w:tcW w:w="2693" w:type="dxa"/>
            <w:vAlign w:val="center"/>
          </w:tcPr>
          <w:p w14:paraId="7E6E93D3">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投标人资格要求</w:t>
            </w:r>
          </w:p>
        </w:tc>
        <w:tc>
          <w:tcPr>
            <w:tcW w:w="5670" w:type="dxa"/>
            <w:vAlign w:val="center"/>
          </w:tcPr>
          <w:p w14:paraId="7329F54B">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（一）满足《中华人民共和国政府采购法》第二十二条规定：</w:t>
            </w:r>
          </w:p>
          <w:p w14:paraId="2BB430F6">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1.1具有独立承担民事责任的能力。提供法人或者其他组织的营业执照等证明文件</w:t>
            </w:r>
            <w:r>
              <w:rPr>
                <w:rFonts w:hint="eastAsia" w:ascii="宋体" w:hAnsi="宋体" w:eastAsia="宋体" w:cs="宋体"/>
                <w:color w:val="000000" w:themeColor="text1"/>
                <w:lang w:eastAsia="zh-CN"/>
                <w14:textFill>
                  <w14:solidFill>
                    <w14:schemeClr w14:val="tx1"/>
                  </w14:solidFill>
                </w14:textFill>
              </w:rPr>
              <w:t>；</w:t>
            </w:r>
          </w:p>
          <w:p w14:paraId="3AC72ACE">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1.2具有良好的商业信誉和健全的财务会计制度。供应商须提供202</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年或202</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年经审计的财务报告（包括资产负债表、利润表、现金流量表、所有者权益变动表及其附注），新成立不满1年的供应商提供自成立至今的财务报表；</w:t>
            </w:r>
          </w:p>
          <w:p w14:paraId="05C1E7B9">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1.3具有履行合同所必需的设备和专业技术能力(提供声明函或证明材料</w:t>
            </w:r>
            <w:r>
              <w:rPr>
                <w:rFonts w:hint="eastAsia" w:ascii="宋体" w:hAnsi="宋体" w:eastAsia="宋体" w:cs="宋体"/>
                <w:color w:val="000000" w:themeColor="text1"/>
                <w:lang w:eastAsia="zh-CN"/>
                <w14:textFill>
                  <w14:solidFill>
                    <w14:schemeClr w14:val="tx1"/>
                  </w14:solidFill>
                </w14:textFill>
              </w:rPr>
              <w:t>）；</w:t>
            </w:r>
          </w:p>
          <w:p w14:paraId="7AE3513C">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1.4有依法缴纳税收和社会保障资金的良好记录。提供202</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月至投标截止日期前任意月</w:t>
            </w:r>
            <w:r>
              <w:rPr>
                <w:rFonts w:hint="eastAsia" w:ascii="宋体" w:hAnsi="宋体" w:eastAsia="宋体" w:cs="宋体"/>
                <w:color w:val="000000" w:themeColor="text1"/>
                <w:lang w:val="en-US" w:eastAsia="zh-CN"/>
                <w14:textFill>
                  <w14:solidFill>
                    <w14:schemeClr w14:val="tx1"/>
                  </w14:solidFill>
                </w14:textFill>
              </w:rPr>
              <w:t>份</w:t>
            </w:r>
            <w:r>
              <w:rPr>
                <w:rFonts w:hint="eastAsia" w:ascii="宋体" w:hAnsi="宋体" w:eastAsia="宋体" w:cs="宋体"/>
                <w:color w:val="000000" w:themeColor="text1"/>
                <w14:textFill>
                  <w14:solidFill>
                    <w14:schemeClr w14:val="tx1"/>
                  </w14:solidFill>
                </w14:textFill>
              </w:rPr>
              <w:t>依法缴纳税收和缴纳社会保障资金的证明（成立未满</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个月的提供依法缴纳税收和社会保障资金的承诺书；依法免税或不需要缴纳社会保障资金的供应商，应提供相应文件证明其依法免税或不需要缴纳社会保障资金）</w:t>
            </w:r>
            <w:r>
              <w:rPr>
                <w:rFonts w:hint="eastAsia" w:ascii="宋体" w:hAnsi="宋体" w:eastAsia="宋体" w:cs="宋体"/>
                <w:color w:val="000000" w:themeColor="text1"/>
                <w:lang w:eastAsia="zh-CN"/>
                <w14:textFill>
                  <w14:solidFill>
                    <w14:schemeClr w14:val="tx1"/>
                  </w14:solidFill>
                </w14:textFill>
              </w:rPr>
              <w:t>；</w:t>
            </w:r>
          </w:p>
          <w:p w14:paraId="7DB0715D">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1.5参加政府采购活动前三年内，在经营活动中没有重大违法记录</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提供</w:t>
            </w:r>
            <w:r>
              <w:rPr>
                <w:rFonts w:hint="eastAsia" w:ascii="宋体" w:hAnsi="宋体" w:eastAsia="宋体" w:cs="宋体"/>
                <w:color w:val="000000" w:themeColor="text1"/>
                <w:lang w:eastAsia="zh-CN"/>
                <w14:textFill>
                  <w14:solidFill>
                    <w14:schemeClr w14:val="tx1"/>
                  </w14:solidFill>
                </w14:textFill>
              </w:rPr>
              <w:t>书面声明（重大违法记录，是指供应商因违法经营受到刑事处罚或者责令停产停业、吊销许可证或者执照、较大数额罚款等行政处罚）；</w:t>
            </w:r>
          </w:p>
          <w:p w14:paraId="74FA05AD">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1.6法律、行政法规规定的其他条件。</w:t>
            </w:r>
          </w:p>
          <w:p w14:paraId="36B8B8A8">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（二）落实政府采购政策需满足的资格要求：无，本项目非专门面向中小企业采购</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小微企业价格扣除优惠比例：10%。</w:t>
            </w:r>
          </w:p>
          <w:p w14:paraId="6790D3C7">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（三）特定资格要求：</w:t>
            </w:r>
          </w:p>
          <w:p w14:paraId="2ED77C38">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val="en-US" w:eastAsia="zh-CN"/>
                <w14:textFill>
                  <w14:solidFill>
                    <w14:schemeClr w14:val="tx1"/>
                  </w14:solidFill>
                </w14:textFill>
              </w:rPr>
              <w:t>.投标人须保证使用方在设备和软件产品使用期不受第三方提出侵犯其专利权、商标权、工业设计权、著作权或其它知识产权的起诉，提供承诺函</w:t>
            </w:r>
            <w:r>
              <w:rPr>
                <w:rFonts w:hint="eastAsia" w:ascii="宋体" w:hAnsi="宋体" w:eastAsia="宋体" w:cs="宋体"/>
                <w:color w:val="000000" w:themeColor="text1"/>
                <w:lang w:eastAsia="zh-CN"/>
                <w14:textFill>
                  <w14:solidFill>
                    <w14:schemeClr w14:val="tx1"/>
                  </w14:solidFill>
                </w14:textFill>
              </w:rPr>
              <w:t>；</w:t>
            </w:r>
          </w:p>
          <w:p w14:paraId="3DBE50EB">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2投标人在递交投标文件截止时间前未被列入“信用中国”网站(www.creditchina.gov.cn) 失信被执行人、重大税收违法</w:t>
            </w:r>
            <w:r>
              <w:rPr>
                <w:rFonts w:hint="eastAsia" w:ascii="宋体" w:hAnsi="宋体" w:eastAsia="宋体" w:cs="宋体"/>
                <w:color w:val="000000" w:themeColor="text1"/>
                <w:lang w:val="en-US" w:eastAsia="zh-CN"/>
                <w14:textFill>
                  <w14:solidFill>
                    <w14:schemeClr w14:val="tx1"/>
                  </w14:solidFill>
                </w14:textFill>
              </w:rPr>
              <w:t>失信主体名单</w:t>
            </w:r>
            <w:r>
              <w:rPr>
                <w:rFonts w:hint="eastAsia" w:ascii="宋体" w:hAnsi="宋体" w:eastAsia="宋体" w:cs="宋体"/>
                <w:color w:val="000000" w:themeColor="text1"/>
                <w14:textFill>
                  <w14:solidFill>
                    <w14:schemeClr w14:val="tx1"/>
                  </w14:solidFill>
                </w14:textFill>
              </w:rPr>
              <w:t>，中国政府采购网(www.ccgp.gov.cn) 政府采购严重违法失信行为记录名单</w:t>
            </w:r>
            <w:r>
              <w:rPr>
                <w:rFonts w:hint="eastAsia" w:ascii="宋体" w:hAnsi="宋体" w:eastAsia="宋体" w:cs="宋体"/>
                <w:color w:val="000000" w:themeColor="text1"/>
                <w:lang w:eastAsia="zh-CN"/>
                <w14:textFill>
                  <w14:solidFill>
                    <w14:schemeClr w14:val="tx1"/>
                  </w14:solidFill>
                </w14:textFill>
              </w:rPr>
              <w:t>；</w:t>
            </w:r>
          </w:p>
          <w:p w14:paraId="4A213972">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3.单位负责人为同一人或者存在控股、管理关系的不同单位，不得同时参加本采购项目投标</w:t>
            </w:r>
            <w:r>
              <w:rPr>
                <w:rFonts w:hint="eastAsia" w:ascii="宋体" w:hAnsi="宋体" w:eastAsia="宋体" w:cs="宋体"/>
                <w:color w:val="000000" w:themeColor="text1"/>
                <w:lang w:eastAsia="zh-CN"/>
                <w14:textFill>
                  <w14:solidFill>
                    <w14:schemeClr w14:val="tx1"/>
                  </w14:solidFill>
                </w14:textFill>
              </w:rPr>
              <w:t>；</w:t>
            </w:r>
          </w:p>
          <w:p w14:paraId="47C1F8A6">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lang w:val="en-US"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投标人不得存在下列情形之一：</w:t>
            </w:r>
          </w:p>
          <w:p w14:paraId="2684C38F">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（1）被暂停、取消投标或禁止参加采购活动且处于有效期内的；</w:t>
            </w:r>
          </w:p>
          <w:p w14:paraId="2DBC7109">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（2）处于被责令停产停业、暂扣或者吊销执照、暂扣或者吊销许可证、吊销资质证书状态；</w:t>
            </w:r>
          </w:p>
          <w:p w14:paraId="3F7FC70E">
            <w:pPr>
              <w:spacing w:before="93" w:beforeLines="30" w:line="312" w:lineRule="auto"/>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（3）进入清算程序，或被宣告破产，或其他丧失履约能力的情形。</w:t>
            </w:r>
          </w:p>
        </w:tc>
      </w:tr>
      <w:tr w14:paraId="7F7DEF1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3053C98">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1.4.2</w:t>
            </w:r>
          </w:p>
        </w:tc>
        <w:tc>
          <w:tcPr>
            <w:tcW w:w="2693" w:type="dxa"/>
            <w:vAlign w:val="center"/>
          </w:tcPr>
          <w:p w14:paraId="6AF25933">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是否接受联合体</w:t>
            </w:r>
          </w:p>
        </w:tc>
        <w:tc>
          <w:tcPr>
            <w:tcW w:w="5670" w:type="dxa"/>
            <w:vAlign w:val="center"/>
          </w:tcPr>
          <w:p w14:paraId="4AFDA3B3">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不接受</w:t>
            </w:r>
          </w:p>
        </w:tc>
      </w:tr>
      <w:tr w14:paraId="50C1401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D4AB9ED">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1.9.1</w:t>
            </w:r>
          </w:p>
        </w:tc>
        <w:tc>
          <w:tcPr>
            <w:tcW w:w="2693" w:type="dxa"/>
            <w:vAlign w:val="center"/>
          </w:tcPr>
          <w:p w14:paraId="56CB67C7">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踏勘现场</w:t>
            </w:r>
          </w:p>
        </w:tc>
        <w:tc>
          <w:tcPr>
            <w:tcW w:w="5670" w:type="dxa"/>
            <w:vAlign w:val="center"/>
          </w:tcPr>
          <w:p w14:paraId="030E2580">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不组织</w:t>
            </w:r>
          </w:p>
        </w:tc>
      </w:tr>
      <w:tr w14:paraId="4076620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0C4B316">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1.10</w:t>
            </w:r>
          </w:p>
        </w:tc>
        <w:tc>
          <w:tcPr>
            <w:tcW w:w="2693" w:type="dxa"/>
            <w:vAlign w:val="center"/>
          </w:tcPr>
          <w:p w14:paraId="35171FB8">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投标预备会</w:t>
            </w:r>
          </w:p>
        </w:tc>
        <w:tc>
          <w:tcPr>
            <w:tcW w:w="5670" w:type="dxa"/>
            <w:vAlign w:val="center"/>
          </w:tcPr>
          <w:p w14:paraId="290BB047">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不召开</w:t>
            </w:r>
          </w:p>
        </w:tc>
      </w:tr>
      <w:tr w14:paraId="53B3E97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89B2592">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1.12.2</w:t>
            </w:r>
          </w:p>
        </w:tc>
        <w:tc>
          <w:tcPr>
            <w:tcW w:w="2693" w:type="dxa"/>
            <w:vAlign w:val="center"/>
          </w:tcPr>
          <w:p w14:paraId="12FD1E05">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对非关键条款的偏差</w:t>
            </w:r>
          </w:p>
        </w:tc>
        <w:tc>
          <w:tcPr>
            <w:tcW w:w="5670" w:type="dxa"/>
            <w:vAlign w:val="center"/>
          </w:tcPr>
          <w:p w14:paraId="13756057">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允许偏差的范围：满足使用功能条件下允许细微偏差</w:t>
            </w:r>
          </w:p>
          <w:p w14:paraId="18FD97C4">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允许偏差的项数：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项</w:t>
            </w:r>
          </w:p>
        </w:tc>
      </w:tr>
      <w:tr w14:paraId="446B3F1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8110520">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2.1</w:t>
            </w:r>
          </w:p>
        </w:tc>
        <w:tc>
          <w:tcPr>
            <w:tcW w:w="2693" w:type="dxa"/>
            <w:vAlign w:val="center"/>
          </w:tcPr>
          <w:p w14:paraId="7FFE769C">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构成招标文件的其他资料</w:t>
            </w:r>
          </w:p>
        </w:tc>
        <w:tc>
          <w:tcPr>
            <w:tcW w:w="5670" w:type="dxa"/>
            <w:vAlign w:val="center"/>
          </w:tcPr>
          <w:p w14:paraId="601944A4">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资料名称：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澄清、修改等补充文件</w:t>
            </w:r>
          </w:p>
        </w:tc>
      </w:tr>
      <w:tr w14:paraId="41E9CA2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1602454">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2.2.1</w:t>
            </w:r>
          </w:p>
        </w:tc>
        <w:tc>
          <w:tcPr>
            <w:tcW w:w="2693" w:type="dxa"/>
            <w:vAlign w:val="center"/>
          </w:tcPr>
          <w:p w14:paraId="405E9597">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投标人要求澄清招标文件的时间</w:t>
            </w:r>
          </w:p>
        </w:tc>
        <w:tc>
          <w:tcPr>
            <w:tcW w:w="5670" w:type="dxa"/>
            <w:vAlign w:val="center"/>
          </w:tcPr>
          <w:p w14:paraId="079D8AFD">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截止时间：</w:t>
            </w:r>
            <w:r>
              <w:rPr>
                <w:rFonts w:hint="eastAsia" w:ascii="宋体" w:hAnsi="宋体" w:eastAsia="宋体" w:cs="宋体"/>
                <w:color w:val="000000" w:themeColor="text1"/>
                <w:u w:val="single"/>
                <w14:textFill>
                  <w14:solidFill>
                    <w14:schemeClr w14:val="tx1"/>
                  </w14:solidFill>
                </w14:textFill>
              </w:rPr>
              <w:t>获取采购文件期限届满之日起</w:t>
            </w:r>
            <w:r>
              <w:rPr>
                <w:rFonts w:ascii="宋体" w:hAnsi="宋体" w:eastAsia="宋体" w:cs="宋体"/>
                <w:color w:val="000000" w:themeColor="text1"/>
                <w:u w:val="single"/>
                <w14:textFill>
                  <w14:solidFill>
                    <w14:schemeClr w14:val="tx1"/>
                  </w14:solidFill>
                </w14:textFill>
              </w:rPr>
              <w:t>7</w:t>
            </w:r>
            <w:r>
              <w:rPr>
                <w:rFonts w:hint="eastAsia" w:ascii="宋体" w:hAnsi="宋体" w:eastAsia="宋体" w:cs="宋体"/>
                <w:color w:val="000000" w:themeColor="text1"/>
                <w:u w:val="single"/>
                <w14:textFill>
                  <w14:solidFill>
                    <w14:schemeClr w14:val="tx1"/>
                  </w14:solidFill>
                </w14:textFill>
              </w:rPr>
              <w:t>个工作日内</w:t>
            </w:r>
          </w:p>
        </w:tc>
      </w:tr>
      <w:tr w14:paraId="1C8388A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0FDF804">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3.1.1</w:t>
            </w:r>
          </w:p>
        </w:tc>
        <w:tc>
          <w:tcPr>
            <w:tcW w:w="2693" w:type="dxa"/>
            <w:vAlign w:val="center"/>
          </w:tcPr>
          <w:p w14:paraId="6A2078DC">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构成投标文件的其他资料</w:t>
            </w:r>
          </w:p>
        </w:tc>
        <w:tc>
          <w:tcPr>
            <w:tcW w:w="5670" w:type="dxa"/>
            <w:vAlign w:val="center"/>
          </w:tcPr>
          <w:p w14:paraId="7AC96DBB">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资料名称：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澄清、说明和补正</w:t>
            </w:r>
          </w:p>
        </w:tc>
      </w:tr>
      <w:tr w14:paraId="5985FC8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D1E7A42">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3.2.2</w:t>
            </w:r>
          </w:p>
        </w:tc>
        <w:tc>
          <w:tcPr>
            <w:tcW w:w="2693" w:type="dxa"/>
            <w:vAlign w:val="center"/>
          </w:tcPr>
          <w:p w14:paraId="15451F07">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采购标的数量增减幅度</w:t>
            </w:r>
          </w:p>
        </w:tc>
        <w:tc>
          <w:tcPr>
            <w:tcW w:w="5670" w:type="dxa"/>
            <w:vAlign w:val="center"/>
          </w:tcPr>
          <w:p w14:paraId="17C41C7F">
            <w:pPr>
              <w:spacing w:before="156" w:beforeLines="5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采购标的数量增减幅度：</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w:t>
            </w:r>
          </w:p>
        </w:tc>
      </w:tr>
      <w:tr w14:paraId="2D1A0EA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4353FA1">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3.2.3</w:t>
            </w:r>
          </w:p>
        </w:tc>
        <w:tc>
          <w:tcPr>
            <w:tcW w:w="2693" w:type="dxa"/>
            <w:vAlign w:val="center"/>
          </w:tcPr>
          <w:p w14:paraId="09D6B7A4">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最高限价或其计算方法</w:t>
            </w:r>
          </w:p>
        </w:tc>
        <w:tc>
          <w:tcPr>
            <w:tcW w:w="5670" w:type="dxa"/>
            <w:vAlign w:val="center"/>
          </w:tcPr>
          <w:p w14:paraId="4A4148D3">
            <w:pPr>
              <w:spacing w:before="93" w:beforeLines="30" w:line="312"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有，最高限价或其计算方法：</w:t>
            </w:r>
          </w:p>
          <w:p w14:paraId="5455BB60">
            <w:pPr>
              <w:spacing w:before="93" w:beforeLines="30" w:line="312" w:lineRule="auto"/>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最高限价：</w:t>
            </w:r>
            <w:r>
              <w:rPr>
                <w:rFonts w:hint="eastAsia" w:ascii="宋体" w:hAnsi="宋体" w:eastAsia="宋体" w:cs="宋体"/>
                <w:b/>
                <w:bCs/>
                <w:color w:val="000000" w:themeColor="text1"/>
                <w:u w:val="single"/>
                <w:lang w:val="en-US" w:eastAsia="zh-CN"/>
                <w14:textFill>
                  <w14:solidFill>
                    <w14:schemeClr w14:val="tx1"/>
                  </w14:solidFill>
                </w14:textFill>
              </w:rPr>
              <w:t>6000000.00元（大写：人民币陆佰万元整）</w:t>
            </w:r>
            <w:r>
              <w:rPr>
                <w:rFonts w:hint="eastAsia" w:ascii="宋体" w:hAnsi="宋体" w:eastAsia="宋体" w:cs="宋体"/>
                <w:b/>
                <w:bCs/>
                <w:color w:val="000000" w:themeColor="text1"/>
                <w:lang w:val="en-US" w:eastAsia="zh-CN"/>
                <w14:textFill>
                  <w14:solidFill>
                    <w14:schemeClr w14:val="tx1"/>
                  </w14:solidFill>
                </w14:textFill>
              </w:rPr>
              <w:t>。</w:t>
            </w:r>
          </w:p>
          <w:p w14:paraId="0C4779D8">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投标人投标报价应不高于最高限价，否则其投标文件将被视为无效。</w:t>
            </w:r>
          </w:p>
        </w:tc>
      </w:tr>
      <w:tr w14:paraId="321B658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BB15644">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3.2.4</w:t>
            </w:r>
          </w:p>
        </w:tc>
        <w:tc>
          <w:tcPr>
            <w:tcW w:w="2693" w:type="dxa"/>
            <w:vAlign w:val="center"/>
          </w:tcPr>
          <w:p w14:paraId="3D47459F">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投标报价的其他要求</w:t>
            </w:r>
          </w:p>
        </w:tc>
        <w:tc>
          <w:tcPr>
            <w:tcW w:w="5670" w:type="dxa"/>
            <w:vAlign w:val="center"/>
          </w:tcPr>
          <w:p w14:paraId="7246B335">
            <w:pPr>
              <w:spacing w:before="93" w:beforeLines="30" w:line="312"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1.报价应包括为完成合同范围内所有软硬件开发费、运输费、人工费、材料费、安装调试费、培训费、服务费（含质保期内售后）、管理费、利润、税金、保险、其他政策性文件规定费用等一切费用。</w:t>
            </w:r>
          </w:p>
          <w:p w14:paraId="1D55FF47">
            <w:pPr>
              <w:spacing w:before="93" w:beforeLines="30" w:line="312"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投标人应依据招标文件要求，按国家及行业现行标准及规范，结合投标人自身实力情况自行测算出满足采购需求的报价。投标人所报的各分项投标单价在合同执行期间是固定不变的，不得以任何理由予以变更。任何包含价格调整要求的投标将被认定为非实质响应招标文件而被否决。</w:t>
            </w:r>
          </w:p>
          <w:p w14:paraId="072F0690">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3.评标委员会经过对投标人的报价进行比较或基于专业经验认为某一投标人的报价过低，可能对其履约造成影响时，应当要求该投标人作出书面说明并提供相应的证明材料，如成本构成表，包含但不限于开发生产成本（如原材成本、生产设备损耗成本、安装成本等）、管理成本（人员工资、福利、社保等）、运输成本（汽油、过路费等）、税费等，并列明计算过程。投标人不能合理说明或者不能提供相应证明材料的，其投标文件将被视为无效。</w:t>
            </w:r>
          </w:p>
        </w:tc>
      </w:tr>
      <w:tr w14:paraId="050D2F8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012D41E">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3.3.1</w:t>
            </w:r>
          </w:p>
        </w:tc>
        <w:tc>
          <w:tcPr>
            <w:tcW w:w="2693" w:type="dxa"/>
            <w:vAlign w:val="center"/>
          </w:tcPr>
          <w:p w14:paraId="4D606833">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投标文件有效期</w:t>
            </w:r>
          </w:p>
        </w:tc>
        <w:tc>
          <w:tcPr>
            <w:tcW w:w="5670" w:type="dxa"/>
            <w:vAlign w:val="center"/>
          </w:tcPr>
          <w:p w14:paraId="068A5C8D">
            <w:pPr>
              <w:spacing w:before="156" w:beforeLines="50" w:line="360" w:lineRule="auto"/>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90</w:t>
            </w:r>
            <w:r>
              <w:rPr>
                <w:rFonts w:hint="eastAsia" w:ascii="宋体" w:hAnsi="宋体" w:eastAsia="宋体" w:cs="宋体"/>
                <w:color w:val="000000" w:themeColor="text1"/>
                <w14:textFill>
                  <w14:solidFill>
                    <w14:schemeClr w14:val="tx1"/>
                  </w14:solidFill>
                </w14:textFill>
              </w:rPr>
              <w:t>日历天</w:t>
            </w:r>
          </w:p>
        </w:tc>
      </w:tr>
      <w:tr w14:paraId="62EFD2C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5E5A250">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3.4.1</w:t>
            </w:r>
          </w:p>
        </w:tc>
        <w:tc>
          <w:tcPr>
            <w:tcW w:w="2693" w:type="dxa"/>
            <w:vAlign w:val="center"/>
          </w:tcPr>
          <w:p w14:paraId="3590C775">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投标保证金</w:t>
            </w:r>
          </w:p>
        </w:tc>
        <w:tc>
          <w:tcPr>
            <w:tcW w:w="5670" w:type="dxa"/>
            <w:vAlign w:val="center"/>
          </w:tcPr>
          <w:p w14:paraId="29E28D49">
            <w:pPr>
              <w:spacing w:before="93" w:beforeLines="30" w:line="312"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不要求递交</w:t>
            </w:r>
          </w:p>
        </w:tc>
      </w:tr>
      <w:tr w14:paraId="0E821C7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5752562">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3.6.2</w:t>
            </w:r>
          </w:p>
        </w:tc>
        <w:tc>
          <w:tcPr>
            <w:tcW w:w="2693" w:type="dxa"/>
            <w:vAlign w:val="center"/>
          </w:tcPr>
          <w:p w14:paraId="1A27F054">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投标方案数量</w:t>
            </w:r>
          </w:p>
        </w:tc>
        <w:tc>
          <w:tcPr>
            <w:tcW w:w="5670" w:type="dxa"/>
            <w:vAlign w:val="center"/>
          </w:tcPr>
          <w:p w14:paraId="4B4AC55B">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投标人只能提出唯一投标方案</w:t>
            </w:r>
          </w:p>
        </w:tc>
      </w:tr>
      <w:tr w14:paraId="11BC670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089A923">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3.7.1</w:t>
            </w:r>
          </w:p>
        </w:tc>
        <w:tc>
          <w:tcPr>
            <w:tcW w:w="2693" w:type="dxa"/>
            <w:vAlign w:val="center"/>
          </w:tcPr>
          <w:p w14:paraId="2C2A8340">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电子投标文件要求</w:t>
            </w:r>
          </w:p>
        </w:tc>
        <w:tc>
          <w:tcPr>
            <w:tcW w:w="5670" w:type="dxa"/>
            <w:vAlign w:val="center"/>
          </w:tcPr>
          <w:p w14:paraId="75F9F86D">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投标人应当在投标文件提交截止时间前完成电子投标文件的上传、提交，投标文件提交截止时间以后上传提交的，视为无效。</w:t>
            </w:r>
          </w:p>
        </w:tc>
      </w:tr>
      <w:tr w14:paraId="6A73799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3CA6EDD">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3.7.2</w:t>
            </w:r>
          </w:p>
        </w:tc>
        <w:tc>
          <w:tcPr>
            <w:tcW w:w="2693" w:type="dxa"/>
            <w:vAlign w:val="center"/>
          </w:tcPr>
          <w:p w14:paraId="080BC18C">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投标文件电子签章及电子签名要求</w:t>
            </w:r>
          </w:p>
        </w:tc>
        <w:tc>
          <w:tcPr>
            <w:tcW w:w="5670" w:type="dxa"/>
            <w:vAlign w:val="center"/>
          </w:tcPr>
          <w:p w14:paraId="460CC03F">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按照投标文件格式，采用单位和个人数字证书电子签章及电子签名。</w:t>
            </w:r>
          </w:p>
          <w:p w14:paraId="7238070D">
            <w:pPr>
              <w:spacing w:before="93" w:beforeLines="30" w:line="312" w:lineRule="auto"/>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注：投标文件中表述为“盖单位章”或“签字”之处，需提供加盖单位鲜章或手写签名的原件扫描件。</w:t>
            </w:r>
          </w:p>
        </w:tc>
      </w:tr>
      <w:tr w14:paraId="6F43FCF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B0C0658">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4.2.1</w:t>
            </w:r>
          </w:p>
        </w:tc>
        <w:tc>
          <w:tcPr>
            <w:tcW w:w="2693" w:type="dxa"/>
            <w:vAlign w:val="center"/>
          </w:tcPr>
          <w:p w14:paraId="475C472B">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递交投标文件截止时间</w:t>
            </w:r>
          </w:p>
        </w:tc>
        <w:tc>
          <w:tcPr>
            <w:tcW w:w="5670" w:type="dxa"/>
            <w:vAlign w:val="center"/>
          </w:tcPr>
          <w:p w14:paraId="3A23175C">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时间：</w:t>
            </w:r>
            <w:r>
              <w:rPr>
                <w:rFonts w:ascii="宋体" w:hAnsi="宋体" w:eastAsia="宋体" w:cs="宋体"/>
                <w:color w:val="000000" w:themeColor="text1"/>
                <w:u w:val="single"/>
                <w14:textFill>
                  <w14:solidFill>
                    <w14:schemeClr w14:val="tx1"/>
                  </w14:solidFill>
                </w14:textFill>
              </w:rPr>
              <w:t>202</w:t>
            </w:r>
            <w:r>
              <w:rPr>
                <w:rFonts w:hint="eastAsia" w:ascii="宋体" w:hAnsi="宋体" w:eastAsia="宋体" w:cs="宋体"/>
                <w:color w:val="000000" w:themeColor="text1"/>
                <w:u w:val="single"/>
                <w:lang w:val="en-US" w:eastAsia="zh-CN"/>
                <w14:textFill>
                  <w14:solidFill>
                    <w14:schemeClr w14:val="tx1"/>
                  </w14:solidFill>
                </w14:textFill>
              </w:rPr>
              <w:t>5</w:t>
            </w:r>
            <w:r>
              <w:rPr>
                <w:rFonts w:hint="eastAsia" w:ascii="宋体" w:hAnsi="宋体" w:eastAsia="宋体" w:cs="宋体"/>
                <w:color w:val="000000" w:themeColor="text1"/>
                <w:u w:val="single"/>
                <w14:textFill>
                  <w14:solidFill>
                    <w14:schemeClr w14:val="tx1"/>
                  </w14:solidFill>
                </w14:textFill>
              </w:rPr>
              <w:t>年</w:t>
            </w:r>
            <w:r>
              <w:rPr>
                <w:rFonts w:hint="eastAsia" w:ascii="宋体" w:hAnsi="宋体" w:eastAsia="宋体" w:cs="宋体"/>
                <w:color w:val="000000" w:themeColor="text1"/>
                <w:u w:val="single"/>
                <w:lang w:val="en-US" w:eastAsia="zh-CN"/>
                <w14:textFill>
                  <w14:solidFill>
                    <w14:schemeClr w14:val="tx1"/>
                  </w14:solidFill>
                </w14:textFill>
              </w:rPr>
              <w:t>10</w:t>
            </w:r>
            <w:r>
              <w:rPr>
                <w:rFonts w:hint="eastAsia" w:ascii="宋体" w:hAnsi="宋体" w:eastAsia="宋体" w:cs="宋体"/>
                <w:color w:val="000000" w:themeColor="text1"/>
                <w:u w:val="single"/>
                <w14:textFill>
                  <w14:solidFill>
                    <w14:schemeClr w14:val="tx1"/>
                  </w14:solidFill>
                </w14:textFill>
              </w:rPr>
              <w:t>月</w:t>
            </w:r>
            <w:r>
              <w:rPr>
                <w:rFonts w:hint="eastAsia" w:ascii="宋体" w:hAnsi="宋体" w:eastAsia="宋体" w:cs="宋体"/>
                <w:color w:val="000000" w:themeColor="text1"/>
                <w:u w:val="single"/>
                <w:lang w:val="en-US" w:eastAsia="zh-CN"/>
                <w14:textFill>
                  <w14:solidFill>
                    <w14:schemeClr w14:val="tx1"/>
                  </w14:solidFill>
                </w14:textFill>
              </w:rPr>
              <w:t>09</w:t>
            </w:r>
            <w:r>
              <w:rPr>
                <w:rFonts w:hint="eastAsia" w:ascii="宋体" w:hAnsi="宋体" w:eastAsia="宋体" w:cs="宋体"/>
                <w:color w:val="000000" w:themeColor="text1"/>
                <w:u w:val="single"/>
                <w14:textFill>
                  <w14:solidFill>
                    <w14:schemeClr w14:val="tx1"/>
                  </w14:solidFill>
                </w14:textFill>
              </w:rPr>
              <w:t>日</w:t>
            </w:r>
            <w:r>
              <w:rPr>
                <w:rFonts w:hint="eastAsia" w:ascii="宋体" w:hAnsi="宋体" w:eastAsia="宋体" w:cs="宋体"/>
                <w:color w:val="000000" w:themeColor="text1"/>
                <w:u w:val="single"/>
                <w:lang w:val="en-US" w:eastAsia="zh-CN"/>
                <w14:textFill>
                  <w14:solidFill>
                    <w14:schemeClr w14:val="tx1"/>
                  </w14:solidFill>
                </w14:textFill>
              </w:rPr>
              <w:t>14</w:t>
            </w:r>
            <w:r>
              <w:rPr>
                <w:rFonts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30时</w:t>
            </w:r>
          </w:p>
        </w:tc>
      </w:tr>
      <w:tr w14:paraId="57136BD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E4D4436">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5.1</w:t>
            </w:r>
          </w:p>
        </w:tc>
        <w:tc>
          <w:tcPr>
            <w:tcW w:w="2693" w:type="dxa"/>
            <w:vAlign w:val="center"/>
          </w:tcPr>
          <w:p w14:paraId="153E9E6A">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开标时间和地点</w:t>
            </w:r>
          </w:p>
        </w:tc>
        <w:tc>
          <w:tcPr>
            <w:tcW w:w="5670" w:type="dxa"/>
            <w:vAlign w:val="center"/>
          </w:tcPr>
          <w:p w14:paraId="1E501756">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开标时间：同递交投标文件截止时间</w:t>
            </w:r>
          </w:p>
          <w:p w14:paraId="019BF505">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开标地点：政府采购云平台（网址：https://www.zcygov.cn/）。</w:t>
            </w:r>
          </w:p>
        </w:tc>
      </w:tr>
      <w:tr w14:paraId="5D38190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F1C6189">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5.2</w:t>
            </w:r>
          </w:p>
        </w:tc>
        <w:tc>
          <w:tcPr>
            <w:tcW w:w="2693" w:type="dxa"/>
            <w:vAlign w:val="center"/>
          </w:tcPr>
          <w:p w14:paraId="1ED68895">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开标程序</w:t>
            </w:r>
          </w:p>
        </w:tc>
        <w:tc>
          <w:tcPr>
            <w:tcW w:w="5670" w:type="dxa"/>
            <w:vAlign w:val="center"/>
          </w:tcPr>
          <w:p w14:paraId="27427E5E">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至投标文件提交截止时间止，代理机构的工作人员登录政府采购云平台，按照政府采购云平台的操作流程完成开标程序。</w:t>
            </w:r>
          </w:p>
          <w:p w14:paraId="3CF6A581">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注：因供应商原因造成投标文件未解密的，视为撤销其投标文件。</w:t>
            </w:r>
          </w:p>
        </w:tc>
      </w:tr>
      <w:tr w14:paraId="327CBCD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C253992">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6.1.1</w:t>
            </w:r>
          </w:p>
        </w:tc>
        <w:tc>
          <w:tcPr>
            <w:tcW w:w="2693" w:type="dxa"/>
            <w:vAlign w:val="center"/>
          </w:tcPr>
          <w:p w14:paraId="4B1E84EF">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评标委员会的组建</w:t>
            </w:r>
          </w:p>
        </w:tc>
        <w:tc>
          <w:tcPr>
            <w:tcW w:w="5670" w:type="dxa"/>
            <w:vAlign w:val="center"/>
          </w:tcPr>
          <w:p w14:paraId="6CDE9811">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评标委员会构成：</w:t>
            </w:r>
            <w:r>
              <w:rPr>
                <w:rFonts w:hint="eastAsia" w:ascii="宋体" w:hAnsi="宋体" w:eastAsia="宋体" w:cs="宋体"/>
                <w:color w:val="000000" w:themeColor="text1"/>
                <w:u w:val="single"/>
                <w:lang w:val="en-US" w:eastAsia="zh-CN"/>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人，其中采购人代表</w:t>
            </w:r>
            <w:r>
              <w:rPr>
                <w:rFonts w:hint="eastAsia" w:ascii="宋体" w:hAnsi="宋体" w:eastAsia="宋体" w:cs="宋体"/>
                <w:color w:val="000000" w:themeColor="text1"/>
                <w:u w:val="single"/>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人，在云南省政府采购评审专家库中随机抽取</w:t>
            </w:r>
            <w:r>
              <w:rPr>
                <w:rFonts w:hint="eastAsia" w:ascii="宋体" w:hAnsi="宋体" w:eastAsia="宋体" w:cs="宋体"/>
                <w:color w:val="000000" w:themeColor="text1"/>
                <w:u w:val="single"/>
                <w:lang w:val="en-US" w:eastAsia="zh-CN"/>
                <w14:textFill>
                  <w14:solidFill>
                    <w14:schemeClr w14:val="tx1"/>
                  </w14:solidFill>
                </w14:textFill>
              </w:rPr>
              <w:t>4</w:t>
            </w:r>
            <w:r>
              <w:rPr>
                <w:rFonts w:ascii="宋体" w:hAnsi="宋体" w:eastAsia="宋体" w:cs="宋体"/>
                <w:color w:val="000000" w:themeColor="text1"/>
                <w14:textFill>
                  <w14:solidFill>
                    <w14:schemeClr w14:val="tx1"/>
                  </w14:solidFill>
                </w14:textFill>
              </w:rPr>
              <w:t>人。</w:t>
            </w:r>
            <w:r>
              <w:rPr>
                <w:rFonts w:hint="eastAsia" w:ascii="宋体" w:hAnsi="宋体" w:eastAsia="宋体" w:cs="宋体"/>
                <w:color w:val="000000" w:themeColor="text1"/>
                <w14:textFill>
                  <w14:solidFill>
                    <w14:schemeClr w14:val="tx1"/>
                  </w14:solidFill>
                </w14:textFill>
              </w:rPr>
              <w:t>评审专家不得少于成员总数的三分之二。</w:t>
            </w:r>
          </w:p>
        </w:tc>
      </w:tr>
      <w:tr w14:paraId="48FD10D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6643C1E">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6.3.2</w:t>
            </w:r>
          </w:p>
        </w:tc>
        <w:tc>
          <w:tcPr>
            <w:tcW w:w="2693" w:type="dxa"/>
            <w:vAlign w:val="center"/>
          </w:tcPr>
          <w:p w14:paraId="7E6352D1">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评标委员会推荐中标候选人的人数</w:t>
            </w:r>
          </w:p>
        </w:tc>
        <w:tc>
          <w:tcPr>
            <w:tcW w:w="5670" w:type="dxa"/>
            <w:vAlign w:val="center"/>
          </w:tcPr>
          <w:p w14:paraId="436D08F2">
            <w:pPr>
              <w:spacing w:before="156" w:beforeLines="50" w:line="360" w:lineRule="auto"/>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u w:val="single"/>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人</w:t>
            </w:r>
          </w:p>
        </w:tc>
      </w:tr>
      <w:tr w14:paraId="52797EF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F7BFBA5">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7.3</w:t>
            </w:r>
          </w:p>
        </w:tc>
        <w:tc>
          <w:tcPr>
            <w:tcW w:w="2693" w:type="dxa"/>
            <w:vAlign w:val="center"/>
          </w:tcPr>
          <w:p w14:paraId="4271C63A">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中标结果公告</w:t>
            </w:r>
          </w:p>
        </w:tc>
        <w:tc>
          <w:tcPr>
            <w:tcW w:w="5670" w:type="dxa"/>
            <w:vAlign w:val="center"/>
          </w:tcPr>
          <w:p w14:paraId="21CE7E62">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公示媒介：</w:t>
            </w:r>
            <w:r>
              <w:rPr>
                <w:rFonts w:hint="eastAsia" w:ascii="宋体" w:hAnsi="宋体" w:eastAsia="宋体" w:cs="宋体"/>
                <w:color w:val="000000" w:themeColor="text1"/>
                <w:u w:val="single"/>
                <w14:textFill>
                  <w14:solidFill>
                    <w14:schemeClr w14:val="tx1"/>
                  </w14:solidFill>
                </w14:textFill>
              </w:rPr>
              <w:t>与发布招标公告同一媒介</w:t>
            </w:r>
          </w:p>
          <w:p w14:paraId="09D32AE1">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公示期限：</w:t>
            </w:r>
            <w:r>
              <w:rPr>
                <w:rFonts w:hint="eastAsia" w:ascii="宋体" w:hAnsi="宋体" w:eastAsia="宋体" w:cs="宋体"/>
                <w:color w:val="000000" w:themeColor="text1"/>
                <w:u w:val="single"/>
                <w14:textFill>
                  <w14:solidFill>
                    <w14:schemeClr w14:val="tx1"/>
                  </w14:solidFill>
                </w14:textFill>
              </w:rPr>
              <w:t>1个工作日</w:t>
            </w:r>
            <w:r>
              <w:rPr>
                <w:rFonts w:hint="eastAsia" w:ascii="宋体" w:hAnsi="宋体" w:eastAsia="宋体" w:cs="宋体"/>
                <w:color w:val="000000" w:themeColor="text1"/>
                <w14:textFill>
                  <w14:solidFill>
                    <w14:schemeClr w14:val="tx1"/>
                  </w14:solidFill>
                </w14:textFill>
              </w:rPr>
              <w:t xml:space="preserve"> </w:t>
            </w:r>
          </w:p>
          <w:p w14:paraId="0520B2D6">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其他应公示的内容： </w:t>
            </w:r>
            <w:r>
              <w:rPr>
                <w:rFonts w:hint="eastAsia" w:ascii="宋体" w:hAnsi="宋体" w:eastAsia="宋体" w:cs="宋体"/>
                <w:color w:val="000000" w:themeColor="text1"/>
                <w:u w:val="single"/>
                <w14:textFill>
                  <w14:solidFill>
                    <w14:schemeClr w14:val="tx1"/>
                  </w14:solidFill>
                </w14:textFill>
              </w:rPr>
              <w:t>主要标的信息、评审专家名单等</w:t>
            </w:r>
          </w:p>
        </w:tc>
      </w:tr>
      <w:tr w14:paraId="1967EE3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A082DDC">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7.5</w:t>
            </w:r>
          </w:p>
        </w:tc>
        <w:tc>
          <w:tcPr>
            <w:tcW w:w="2693" w:type="dxa"/>
            <w:vAlign w:val="center"/>
          </w:tcPr>
          <w:p w14:paraId="46D414E2">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履约保证金</w:t>
            </w:r>
          </w:p>
        </w:tc>
        <w:tc>
          <w:tcPr>
            <w:tcW w:w="5670" w:type="dxa"/>
            <w:vAlign w:val="center"/>
          </w:tcPr>
          <w:p w14:paraId="5131F246">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□不要求递交</w:t>
            </w:r>
          </w:p>
          <w:p w14:paraId="61CE7D3F">
            <w:pPr>
              <w:spacing w:before="93" w:beforeLines="30" w:line="312" w:lineRule="auto"/>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■要求</w:t>
            </w:r>
            <w:r>
              <w:rPr>
                <w:rFonts w:hint="eastAsia" w:ascii="宋体" w:hAnsi="宋体" w:eastAsia="宋体" w:cs="宋体"/>
                <w:color w:val="000000" w:themeColor="text1"/>
                <w:lang w:eastAsia="zh-CN"/>
                <w14:textFill>
                  <w14:solidFill>
                    <w14:schemeClr w14:val="tx1"/>
                  </w14:solidFill>
                </w14:textFill>
              </w:rPr>
              <w:t>递交，金额为合同金额的</w:t>
            </w:r>
            <w:r>
              <w:rPr>
                <w:rFonts w:hint="eastAsia" w:ascii="宋体" w:hAnsi="宋体" w:eastAsia="宋体" w:cs="宋体"/>
                <w:color w:val="000000" w:themeColor="text1"/>
                <w:u w:val="single"/>
                <w:lang w:val="en-US" w:eastAsia="zh-CN"/>
                <w14:textFill>
                  <w14:solidFill>
                    <w14:schemeClr w14:val="tx1"/>
                  </w14:solidFill>
                </w14:textFill>
              </w:rPr>
              <w:t>5</w:t>
            </w:r>
            <w:r>
              <w:rPr>
                <w:rFonts w:hint="eastAsia" w:ascii="宋体" w:hAnsi="宋体" w:eastAsia="宋体" w:cs="宋体"/>
                <w:color w:val="000000" w:themeColor="text1"/>
                <w:lang w:eastAsia="zh-CN"/>
                <w14:textFill>
                  <w14:solidFill>
                    <w14:schemeClr w14:val="tx1"/>
                  </w14:solidFill>
                </w14:textFill>
              </w:rPr>
              <w:t>%；履约保证金形式为：网上银行转账、汇票、本票或者金融机构、担保机构出具的保函等非现金形式，履约保证金按合同约定退还</w:t>
            </w:r>
          </w:p>
        </w:tc>
      </w:tr>
      <w:tr w14:paraId="398189E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2558" w:hRule="atLeast"/>
          <w:jc w:val="center"/>
        </w:trPr>
        <w:tc>
          <w:tcPr>
            <w:tcW w:w="992" w:type="dxa"/>
            <w:vAlign w:val="center"/>
          </w:tcPr>
          <w:p w14:paraId="432A0527">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10.1</w:t>
            </w:r>
          </w:p>
        </w:tc>
        <w:tc>
          <w:tcPr>
            <w:tcW w:w="2693" w:type="dxa"/>
            <w:vAlign w:val="center"/>
          </w:tcPr>
          <w:p w14:paraId="3E146EDA">
            <w:pPr>
              <w:spacing w:before="156"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采购代理服务费</w:t>
            </w:r>
          </w:p>
        </w:tc>
        <w:tc>
          <w:tcPr>
            <w:tcW w:w="5670" w:type="dxa"/>
            <w:vAlign w:val="center"/>
          </w:tcPr>
          <w:p w14:paraId="2E631419">
            <w:pPr>
              <w:spacing w:before="93" w:beforeLines="30" w:line="312"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费用标准或金额：</w:t>
            </w:r>
            <w:r>
              <w:rPr>
                <w:rFonts w:hint="eastAsia" w:ascii="宋体" w:hAnsi="宋体" w:eastAsia="宋体" w:cs="宋体"/>
                <w:color w:val="000000" w:themeColor="text1"/>
                <w:u w:val="single"/>
                <w:lang w:val="en-US" w:eastAsia="zh-CN"/>
                <w14:textFill>
                  <w14:solidFill>
                    <w14:schemeClr w14:val="tx1"/>
                  </w14:solidFill>
                </w14:textFill>
              </w:rPr>
              <w:t>7.7万元</w:t>
            </w:r>
            <w:r>
              <w:rPr>
                <w:rFonts w:hint="eastAsia" w:ascii="宋体" w:hAnsi="宋体" w:eastAsia="宋体" w:cs="宋体"/>
                <w:color w:val="000000" w:themeColor="text1"/>
                <w:u w:val="single"/>
                <w14:textFill>
                  <w14:solidFill>
                    <w14:schemeClr w14:val="tx1"/>
                  </w14:solidFill>
                </w14:textFill>
              </w:rPr>
              <w:t>，由中标人支付</w:t>
            </w:r>
            <w:r>
              <w:rPr>
                <w:rFonts w:hint="eastAsia" w:ascii="宋体" w:hAnsi="宋体" w:eastAsia="宋体" w:cs="宋体"/>
                <w:color w:val="000000" w:themeColor="text1"/>
                <w:u w:val="single"/>
                <w:lang w:eastAsia="zh-CN"/>
                <w14:textFill>
                  <w14:solidFill>
                    <w14:schemeClr w14:val="tx1"/>
                  </w14:solidFill>
                </w14:textFill>
              </w:rPr>
              <w:t>，供应商报价</w:t>
            </w:r>
            <w:r>
              <w:rPr>
                <w:rFonts w:hint="eastAsia" w:ascii="宋体" w:hAnsi="宋体" w:eastAsia="宋体" w:cs="宋体"/>
                <w:color w:val="000000" w:themeColor="text1"/>
                <w:u w:val="single"/>
                <w:lang w:val="en-US" w:eastAsia="zh-CN"/>
                <w14:textFill>
                  <w14:solidFill>
                    <w14:schemeClr w14:val="tx1"/>
                  </w14:solidFill>
                </w14:textFill>
              </w:rPr>
              <w:t>应考虑招标</w:t>
            </w:r>
            <w:r>
              <w:rPr>
                <w:rFonts w:hint="eastAsia" w:ascii="宋体" w:hAnsi="宋体" w:eastAsia="宋体" w:cs="宋体"/>
                <w:color w:val="000000" w:themeColor="text1"/>
                <w:u w:val="single"/>
                <w:lang w:eastAsia="zh-CN"/>
                <w14:textFill>
                  <w14:solidFill>
                    <w14:schemeClr w14:val="tx1"/>
                  </w14:solidFill>
                </w14:textFill>
              </w:rPr>
              <w:t>代理费</w:t>
            </w:r>
          </w:p>
          <w:p w14:paraId="2A06C313">
            <w:pPr>
              <w:spacing w:before="93" w:beforeLines="30" w:line="312"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交费时间：</w:t>
            </w:r>
            <w:r>
              <w:rPr>
                <w:rFonts w:hint="eastAsia" w:ascii="宋体" w:hAnsi="宋体" w:eastAsia="宋体" w:cs="宋体"/>
                <w:color w:val="000000" w:themeColor="text1"/>
                <w:u w:val="single"/>
                <w14:textFill>
                  <w14:solidFill>
                    <w14:schemeClr w14:val="tx1"/>
                  </w14:solidFill>
                </w14:textFill>
              </w:rPr>
              <w:t>中标人领取中标通知书</w:t>
            </w:r>
            <w:r>
              <w:rPr>
                <w:rFonts w:hint="eastAsia" w:ascii="宋体" w:hAnsi="宋体" w:eastAsia="宋体" w:cs="宋体"/>
                <w:color w:val="000000" w:themeColor="text1"/>
                <w:u w:val="single"/>
                <w:lang w:val="en-US" w:eastAsia="zh-CN"/>
                <w14:textFill>
                  <w14:solidFill>
                    <w14:schemeClr w14:val="tx1"/>
                  </w14:solidFill>
                </w14:textFill>
              </w:rPr>
              <w:t>时</w:t>
            </w:r>
            <w:r>
              <w:rPr>
                <w:rFonts w:hint="eastAsia" w:ascii="宋体" w:hAnsi="宋体" w:eastAsia="宋体" w:cs="宋体"/>
                <w:color w:val="000000" w:themeColor="text1"/>
                <w:u w:val="single"/>
                <w14:textFill>
                  <w14:solidFill>
                    <w14:schemeClr w14:val="tx1"/>
                  </w14:solidFill>
                </w14:textFill>
              </w:rPr>
              <w:t>一次性足额支付给代理机构</w:t>
            </w:r>
          </w:p>
          <w:p w14:paraId="60766806">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交费方式：</w:t>
            </w:r>
            <w:r>
              <w:rPr>
                <w:rFonts w:hint="eastAsia" w:ascii="宋体" w:hAnsi="宋体" w:eastAsia="宋体" w:cs="宋体"/>
                <w:color w:val="000000" w:themeColor="text1"/>
                <w:u w:val="single"/>
                <w14:textFill>
                  <w14:solidFill>
                    <w14:schemeClr w14:val="tx1"/>
                  </w14:solidFill>
                </w14:textFill>
              </w:rPr>
              <w:t>现金或银行转账</w:t>
            </w:r>
            <w:r>
              <w:rPr>
                <w:rFonts w:hint="eastAsia" w:ascii="宋体" w:hAnsi="宋体" w:eastAsia="宋体" w:cs="宋体"/>
                <w:color w:val="000000" w:themeColor="text1"/>
                <w14:textFill>
                  <w14:solidFill>
                    <w14:schemeClr w14:val="tx1"/>
                  </w14:solidFill>
                </w14:textFill>
              </w:rPr>
              <w:t xml:space="preserve"> </w:t>
            </w:r>
          </w:p>
        </w:tc>
      </w:tr>
      <w:tr w14:paraId="528BA0C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993D641">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10.2</w:t>
            </w:r>
          </w:p>
        </w:tc>
        <w:tc>
          <w:tcPr>
            <w:tcW w:w="8363" w:type="dxa"/>
            <w:gridSpan w:val="2"/>
            <w:vAlign w:val="center"/>
          </w:tcPr>
          <w:p w14:paraId="778F6110">
            <w:pPr>
              <w:spacing w:before="156" w:beforeLines="5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需要补充的其他内容</w:t>
            </w:r>
          </w:p>
        </w:tc>
      </w:tr>
      <w:tr w14:paraId="6423BBA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1A36614">
            <w:pPr>
              <w:spacing w:before="156"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10.2.1</w:t>
            </w:r>
          </w:p>
        </w:tc>
        <w:tc>
          <w:tcPr>
            <w:tcW w:w="8363" w:type="dxa"/>
            <w:gridSpan w:val="2"/>
            <w:vAlign w:val="center"/>
          </w:tcPr>
          <w:p w14:paraId="048FF62B">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价格扣除</w:t>
            </w:r>
          </w:p>
          <w:p w14:paraId="21E38E7D">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1.根据《政府采购促进中小企业发展暂行办法》（财库〔2020〕46号）、《财政部 司法部关于政府采购支持监狱企业发展有关问题的通知》（财库〔2014〕68号）和《财政部 民政部 中国残疾人联合会关于促进残疾人就业政府采购政策的通知》（财库〔2017〕141号）的规定，对符合规定的小微企业（监狱企业、残疾人福利性单位）报价给予10%的扣除，用扣除后的价格参加评审。</w:t>
            </w:r>
          </w:p>
          <w:p w14:paraId="31DE1419">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2.不享受本条规定的价格扣除情形：</w:t>
            </w:r>
          </w:p>
          <w:p w14:paraId="2FB5CFE3">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（1）中小企业参加政府采购活动，未出具《中小企业声明函》的，或投标人提供的货物既有中小企业制造货物，也有大型企业制造货物的；</w:t>
            </w:r>
          </w:p>
          <w:p w14:paraId="6CF4F1E8">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（2）监狱企业未出具省级以上监狱管理局、戒毒管理局（含新疆生产建设兵团）出具的属于监狱企业的证明文件的；</w:t>
            </w:r>
          </w:p>
          <w:p w14:paraId="0BF14533">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（3）残疾人福利性单位未出具《残疾人福利性单位声明函》的。</w:t>
            </w:r>
          </w:p>
          <w:p w14:paraId="41F86901">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3.对于同时属于小微企业、监狱企业或残疾人福利性单位的，不重复享受价格扣除。</w:t>
            </w:r>
          </w:p>
          <w:p w14:paraId="71E11D08">
            <w:pPr>
              <w:spacing w:before="93" w:beforeLines="30" w:line="312"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4.投标人提供声明函内容不实的，属于提供虚假材料谋取中标、成交，依照《中华人民共和国政府采购法》等国家有关规定追究相应责任。</w:t>
            </w:r>
          </w:p>
        </w:tc>
      </w:tr>
      <w:tr w14:paraId="4F37698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9E310B2">
            <w:pPr>
              <w:spacing w:before="156" w:beforeLines="50" w:line="360" w:lineRule="auto"/>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ascii="宋体" w:hAnsi="宋体" w:eastAsia="宋体" w:cs="宋体"/>
                <w:color w:val="000000" w:themeColor="text1"/>
                <w14:textFill>
                  <w14:solidFill>
                    <w14:schemeClr w14:val="tx1"/>
                  </w14:solidFill>
                </w14:textFill>
              </w:rPr>
              <w:t>0.2.2</w:t>
            </w:r>
          </w:p>
        </w:tc>
        <w:tc>
          <w:tcPr>
            <w:tcW w:w="8363" w:type="dxa"/>
            <w:gridSpan w:val="2"/>
            <w:vAlign w:val="center"/>
          </w:tcPr>
          <w:p w14:paraId="27044F63">
            <w:pPr>
              <w:spacing w:before="93" w:beforeLines="30" w:line="312"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节能产品、环境标志产品</w:t>
            </w:r>
          </w:p>
          <w:p w14:paraId="6B6650D2">
            <w:pPr>
              <w:spacing w:before="93" w:beforeLines="30" w:line="312"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拟采购的产品属于品目清单范围的，采购人及其委托的代理机构应当依据国家确定的认证机构出具的、处于有效期之内的节能产品、环境标志产品认证证书，对获得证书的产品实施政府优先采购或强制采购。</w:t>
            </w:r>
          </w:p>
        </w:tc>
      </w:tr>
    </w:tbl>
    <w:p w14:paraId="18729CA7">
      <w:pPr>
        <w:pStyle w:val="4"/>
        <w:spacing w:before="0" w:after="0" w:line="360" w:lineRule="auto"/>
        <w:rPr>
          <w:rFonts w:ascii="宋体" w:hAnsi="宋体" w:eastAsia="宋体" w:cs="宋体"/>
          <w:color w:val="000000" w:themeColor="text1"/>
          <w:sz w:val="21"/>
          <w:szCs w:val="21"/>
          <w14:textFill>
            <w14:solidFill>
              <w14:schemeClr w14:val="tx1"/>
            </w14:solidFill>
          </w14:textFill>
        </w:rPr>
      </w:pPr>
      <w:bookmarkStart w:id="62" w:name="_Toc77116645"/>
      <w:bookmarkStart w:id="63" w:name="_Toc70424825"/>
      <w:bookmarkStart w:id="64" w:name="_Toc77504034"/>
      <w:bookmarkStart w:id="65" w:name="_Toc77658044"/>
      <w:bookmarkStart w:id="66" w:name="_Toc11087"/>
      <w:r>
        <w:rPr>
          <w:rFonts w:ascii="宋体" w:hAnsi="宋体" w:eastAsia="宋体" w:cs="Times New Roman"/>
          <w:color w:val="000000" w:themeColor="text1"/>
          <w14:textFill>
            <w14:solidFill>
              <w14:schemeClr w14:val="tx1"/>
            </w14:solidFill>
          </w14:textFill>
        </w:rPr>
        <w:br w:type="page"/>
      </w:r>
      <w:bookmarkEnd w:id="62"/>
      <w:bookmarkEnd w:id="63"/>
      <w:bookmarkEnd w:id="64"/>
      <w:bookmarkEnd w:id="65"/>
      <w:bookmarkEnd w:id="66"/>
      <w:bookmarkStart w:id="67" w:name="_Toc120282400"/>
      <w:bookmarkStart w:id="68" w:name="_Toc107396172"/>
      <w:bookmarkStart w:id="69" w:name="_Toc164432889"/>
      <w:r>
        <w:rPr>
          <w:rFonts w:ascii="宋体" w:hAnsi="宋体" w:eastAsia="宋体" w:cs="宋体"/>
          <w:color w:val="000000" w:themeColor="text1"/>
          <w:sz w:val="21"/>
          <w:szCs w:val="21"/>
          <w14:textFill>
            <w14:solidFill>
              <w14:schemeClr w14:val="tx1"/>
            </w14:solidFill>
          </w14:textFill>
        </w:rPr>
        <w:t xml:space="preserve">1. </w:t>
      </w:r>
      <w:r>
        <w:rPr>
          <w:rFonts w:hint="eastAsia" w:ascii="宋体" w:hAnsi="宋体" w:eastAsia="宋体" w:cs="宋体"/>
          <w:color w:val="000000" w:themeColor="text1"/>
          <w:sz w:val="21"/>
          <w:szCs w:val="21"/>
          <w14:textFill>
            <w14:solidFill>
              <w14:schemeClr w14:val="tx1"/>
            </w14:solidFill>
          </w14:textFill>
        </w:rPr>
        <w:t>总则</w:t>
      </w:r>
      <w:bookmarkEnd w:id="67"/>
      <w:bookmarkEnd w:id="68"/>
      <w:bookmarkEnd w:id="69"/>
    </w:p>
    <w:p w14:paraId="7FF077E6">
      <w:pPr>
        <w:pStyle w:val="5"/>
        <w:spacing w:before="0" w:after="0" w:line="360" w:lineRule="auto"/>
        <w:rPr>
          <w:rFonts w:ascii="宋体"/>
          <w:color w:val="000000" w:themeColor="text1"/>
          <w:sz w:val="21"/>
          <w:szCs w:val="21"/>
          <w14:textFill>
            <w14:solidFill>
              <w14:schemeClr w14:val="tx1"/>
            </w14:solidFill>
          </w14:textFill>
        </w:rPr>
      </w:pPr>
      <w:bookmarkStart w:id="70" w:name="_Toc77504035"/>
      <w:bookmarkStart w:id="71" w:name="_Toc77116646"/>
      <w:bookmarkStart w:id="72" w:name="_Toc164432890"/>
      <w:bookmarkStart w:id="73" w:name="_Toc70424826"/>
      <w:bookmarkStart w:id="74" w:name="_Toc77658045"/>
      <w:bookmarkStart w:id="75" w:name="_Toc107396173"/>
      <w:bookmarkStart w:id="76" w:name="_Toc16857"/>
      <w:bookmarkStart w:id="77" w:name="_Toc120282401"/>
      <w:r>
        <w:rPr>
          <w:rFonts w:ascii="宋体" w:hAnsi="宋体" w:cs="宋体"/>
          <w:color w:val="000000" w:themeColor="text1"/>
          <w:sz w:val="21"/>
          <w:szCs w:val="21"/>
          <w14:textFill>
            <w14:solidFill>
              <w14:schemeClr w14:val="tx1"/>
            </w14:solidFill>
          </w14:textFill>
        </w:rPr>
        <w:t xml:space="preserve">1.1 </w:t>
      </w:r>
      <w:r>
        <w:rPr>
          <w:rFonts w:hint="eastAsia" w:ascii="宋体" w:hAnsi="宋体" w:cs="宋体"/>
          <w:color w:val="000000" w:themeColor="text1"/>
          <w:sz w:val="21"/>
          <w:szCs w:val="21"/>
          <w14:textFill>
            <w14:solidFill>
              <w14:schemeClr w14:val="tx1"/>
            </w14:solidFill>
          </w14:textFill>
        </w:rPr>
        <w:t>项目概况</w:t>
      </w:r>
      <w:bookmarkEnd w:id="70"/>
      <w:bookmarkEnd w:id="71"/>
      <w:bookmarkEnd w:id="72"/>
      <w:bookmarkEnd w:id="73"/>
      <w:bookmarkEnd w:id="74"/>
      <w:bookmarkEnd w:id="75"/>
      <w:bookmarkEnd w:id="76"/>
      <w:bookmarkEnd w:id="77"/>
    </w:p>
    <w:p w14:paraId="4734AC7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1.1.1 </w:t>
      </w:r>
      <w:r>
        <w:rPr>
          <w:rFonts w:hint="eastAsia" w:ascii="宋体" w:hAnsi="宋体" w:eastAsia="宋体" w:cs="宋体"/>
          <w:color w:val="000000" w:themeColor="text1"/>
          <w14:textFill>
            <w14:solidFill>
              <w14:schemeClr w14:val="tx1"/>
            </w14:solidFill>
          </w14:textFill>
        </w:rPr>
        <w:t>根据《中华人民共和国政府采购法》《中华人民共和国政府采购法实施条例》《政府采购货物和服务招标投标管理办法》（财政部令第</w:t>
      </w:r>
      <w:r>
        <w:rPr>
          <w:rFonts w:ascii="宋体" w:hAnsi="宋体" w:eastAsia="宋体" w:cs="宋体"/>
          <w:color w:val="000000" w:themeColor="text1"/>
          <w14:textFill>
            <w14:solidFill>
              <w14:schemeClr w14:val="tx1"/>
            </w14:solidFill>
          </w14:textFill>
        </w:rPr>
        <w:t>87</w:t>
      </w:r>
      <w:r>
        <w:rPr>
          <w:rFonts w:hint="eastAsia" w:ascii="宋体" w:hAnsi="宋体" w:eastAsia="宋体" w:cs="宋体"/>
          <w:color w:val="000000" w:themeColor="text1"/>
          <w14:textFill>
            <w14:solidFill>
              <w14:schemeClr w14:val="tx1"/>
            </w14:solidFill>
          </w14:textFill>
        </w:rPr>
        <w:t>号）等有关法律、法规和规章的规定，本招标项目已具备招标条件，现对该项目进行公开招标。</w:t>
      </w:r>
    </w:p>
    <w:p w14:paraId="4AC9191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1.1.2 </w:t>
      </w:r>
      <w:r>
        <w:rPr>
          <w:rFonts w:hint="eastAsia" w:ascii="宋体" w:hAnsi="宋体" w:eastAsia="宋体" w:cs="宋体"/>
          <w:color w:val="000000" w:themeColor="text1"/>
          <w14:textFill>
            <w14:solidFill>
              <w14:schemeClr w14:val="tx1"/>
            </w14:solidFill>
          </w14:textFill>
        </w:rPr>
        <w:t>采购人：见投标人须知前附表。</w:t>
      </w:r>
    </w:p>
    <w:p w14:paraId="1FD4424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1.1.3 </w:t>
      </w:r>
      <w:r>
        <w:rPr>
          <w:rFonts w:hint="eastAsia" w:ascii="宋体" w:hAnsi="宋体" w:eastAsia="宋体" w:cs="宋体"/>
          <w:color w:val="000000" w:themeColor="text1"/>
          <w14:textFill>
            <w14:solidFill>
              <w14:schemeClr w14:val="tx1"/>
            </w14:solidFill>
          </w14:textFill>
        </w:rPr>
        <w:t>代理机构：见投标人须知前附表。</w:t>
      </w:r>
    </w:p>
    <w:p w14:paraId="2CFE624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1.1.4 </w:t>
      </w:r>
      <w:r>
        <w:rPr>
          <w:rFonts w:hint="eastAsia" w:ascii="宋体" w:hAnsi="宋体" w:eastAsia="宋体" w:cs="宋体"/>
          <w:color w:val="000000" w:themeColor="text1"/>
          <w14:textFill>
            <w14:solidFill>
              <w14:schemeClr w14:val="tx1"/>
            </w14:solidFill>
          </w14:textFill>
        </w:rPr>
        <w:t>招标项目名称：见投标人须知前附表。</w:t>
      </w:r>
    </w:p>
    <w:p w14:paraId="360BF24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1.1.5 </w:t>
      </w:r>
      <w:r>
        <w:rPr>
          <w:rFonts w:hint="eastAsia" w:ascii="宋体" w:hAnsi="宋体" w:eastAsia="宋体" w:cs="宋体"/>
          <w:color w:val="000000" w:themeColor="text1"/>
          <w14:textFill>
            <w14:solidFill>
              <w14:schemeClr w14:val="tx1"/>
            </w14:solidFill>
          </w14:textFill>
        </w:rPr>
        <w:t>交货地点：见投标人须知前附表。</w:t>
      </w:r>
    </w:p>
    <w:p w14:paraId="035ACDD7">
      <w:pPr>
        <w:pStyle w:val="5"/>
        <w:spacing w:before="0" w:after="0" w:line="360" w:lineRule="auto"/>
        <w:rPr>
          <w:rFonts w:ascii="宋体"/>
          <w:color w:val="000000" w:themeColor="text1"/>
          <w:sz w:val="21"/>
          <w:szCs w:val="21"/>
          <w14:textFill>
            <w14:solidFill>
              <w14:schemeClr w14:val="tx1"/>
            </w14:solidFill>
          </w14:textFill>
        </w:rPr>
      </w:pPr>
      <w:bookmarkStart w:id="78" w:name="_Toc164432891"/>
      <w:bookmarkStart w:id="79" w:name="_Toc77116647"/>
      <w:bookmarkStart w:id="80" w:name="_Toc120282402"/>
      <w:bookmarkStart w:id="81" w:name="_Toc17033"/>
      <w:bookmarkStart w:id="82" w:name="_Toc70424827"/>
      <w:bookmarkStart w:id="83" w:name="_Toc77504036"/>
      <w:bookmarkStart w:id="84" w:name="_Toc77658046"/>
      <w:bookmarkStart w:id="85" w:name="_Toc107396174"/>
      <w:r>
        <w:rPr>
          <w:rFonts w:ascii="宋体" w:hAnsi="宋体" w:cs="宋体"/>
          <w:color w:val="000000" w:themeColor="text1"/>
          <w:sz w:val="21"/>
          <w:szCs w:val="21"/>
          <w14:textFill>
            <w14:solidFill>
              <w14:schemeClr w14:val="tx1"/>
            </w14:solidFill>
          </w14:textFill>
        </w:rPr>
        <w:t xml:space="preserve">1.2 </w:t>
      </w:r>
      <w:r>
        <w:rPr>
          <w:rFonts w:hint="eastAsia" w:ascii="宋体" w:hAnsi="宋体" w:cs="宋体"/>
          <w:color w:val="000000" w:themeColor="text1"/>
          <w:sz w:val="21"/>
          <w:szCs w:val="21"/>
          <w14:textFill>
            <w14:solidFill>
              <w14:schemeClr w14:val="tx1"/>
            </w14:solidFill>
          </w14:textFill>
        </w:rPr>
        <w:t>招标项目的资金来源及落实情况</w:t>
      </w:r>
      <w:bookmarkEnd w:id="78"/>
      <w:bookmarkEnd w:id="79"/>
      <w:bookmarkEnd w:id="80"/>
      <w:bookmarkEnd w:id="81"/>
      <w:bookmarkEnd w:id="82"/>
      <w:bookmarkEnd w:id="83"/>
      <w:bookmarkEnd w:id="84"/>
      <w:bookmarkEnd w:id="85"/>
    </w:p>
    <w:p w14:paraId="4D97531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1.2.1 </w:t>
      </w:r>
      <w:r>
        <w:rPr>
          <w:rFonts w:hint="eastAsia" w:ascii="宋体" w:hAnsi="宋体" w:eastAsia="宋体" w:cs="宋体"/>
          <w:color w:val="000000" w:themeColor="text1"/>
          <w14:textFill>
            <w14:solidFill>
              <w14:schemeClr w14:val="tx1"/>
            </w14:solidFill>
          </w14:textFill>
        </w:rPr>
        <w:t>资金来源：见投标人须知前附表。</w:t>
      </w:r>
    </w:p>
    <w:p w14:paraId="415CB7E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1.2.2 </w:t>
      </w:r>
      <w:r>
        <w:rPr>
          <w:rFonts w:hint="eastAsia" w:ascii="宋体" w:hAnsi="宋体" w:eastAsia="宋体" w:cs="宋体"/>
          <w:color w:val="000000" w:themeColor="text1"/>
          <w14:textFill>
            <w14:solidFill>
              <w14:schemeClr w14:val="tx1"/>
            </w14:solidFill>
          </w14:textFill>
        </w:rPr>
        <w:t>资金落实情况：见投标人须知前附表。</w:t>
      </w:r>
    </w:p>
    <w:p w14:paraId="1D092657">
      <w:pPr>
        <w:pStyle w:val="5"/>
        <w:spacing w:before="0" w:after="0" w:line="360" w:lineRule="auto"/>
        <w:rPr>
          <w:rFonts w:ascii="宋体"/>
          <w:color w:val="000000" w:themeColor="text1"/>
          <w:sz w:val="21"/>
          <w:szCs w:val="21"/>
          <w14:textFill>
            <w14:solidFill>
              <w14:schemeClr w14:val="tx1"/>
            </w14:solidFill>
          </w14:textFill>
        </w:rPr>
      </w:pPr>
      <w:bookmarkStart w:id="86" w:name="_Toc164432892"/>
      <w:bookmarkStart w:id="87" w:name="_Toc107396175"/>
      <w:bookmarkStart w:id="88" w:name="_Toc77116648"/>
      <w:bookmarkStart w:id="89" w:name="_Toc70424828"/>
      <w:bookmarkStart w:id="90" w:name="_Toc77504037"/>
      <w:bookmarkStart w:id="91" w:name="_Toc77658047"/>
      <w:bookmarkStart w:id="92" w:name="_Toc120282403"/>
      <w:bookmarkStart w:id="93" w:name="_Toc3133"/>
      <w:r>
        <w:rPr>
          <w:rFonts w:ascii="宋体" w:hAnsi="宋体" w:cs="宋体"/>
          <w:color w:val="000000" w:themeColor="text1"/>
          <w:sz w:val="21"/>
          <w:szCs w:val="21"/>
          <w14:textFill>
            <w14:solidFill>
              <w14:schemeClr w14:val="tx1"/>
            </w14:solidFill>
          </w14:textFill>
        </w:rPr>
        <w:t xml:space="preserve">1.3 </w:t>
      </w:r>
      <w:r>
        <w:rPr>
          <w:rFonts w:hint="eastAsia" w:ascii="宋体" w:hAnsi="宋体" w:cs="宋体"/>
          <w:color w:val="000000" w:themeColor="text1"/>
          <w:sz w:val="21"/>
          <w:szCs w:val="21"/>
          <w14:textFill>
            <w14:solidFill>
              <w14:schemeClr w14:val="tx1"/>
            </w14:solidFill>
          </w14:textFill>
        </w:rPr>
        <w:t>采购范围、合同履行期限及质量标准</w:t>
      </w:r>
      <w:bookmarkEnd w:id="86"/>
      <w:bookmarkEnd w:id="87"/>
      <w:bookmarkEnd w:id="88"/>
      <w:bookmarkEnd w:id="89"/>
      <w:bookmarkEnd w:id="90"/>
      <w:bookmarkEnd w:id="91"/>
      <w:bookmarkEnd w:id="92"/>
      <w:bookmarkEnd w:id="93"/>
    </w:p>
    <w:p w14:paraId="03109B4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1.3.1 </w:t>
      </w:r>
      <w:r>
        <w:rPr>
          <w:rFonts w:hint="eastAsia" w:ascii="宋体" w:hAnsi="宋体" w:eastAsia="宋体" w:cs="宋体"/>
          <w:color w:val="000000" w:themeColor="text1"/>
          <w14:textFill>
            <w14:solidFill>
              <w14:schemeClr w14:val="tx1"/>
            </w14:solidFill>
          </w14:textFill>
        </w:rPr>
        <w:t>采购范围：见投标人须知前附表。</w:t>
      </w:r>
    </w:p>
    <w:p w14:paraId="2F215A5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1.3.2 </w:t>
      </w:r>
      <w:r>
        <w:rPr>
          <w:rFonts w:hint="eastAsia" w:ascii="宋体" w:hAnsi="宋体" w:eastAsia="宋体" w:cs="宋体"/>
          <w:color w:val="000000" w:themeColor="text1"/>
          <w14:textFill>
            <w14:solidFill>
              <w14:schemeClr w14:val="tx1"/>
            </w14:solidFill>
          </w14:textFill>
        </w:rPr>
        <w:t>合同履行期限：见投标人须知前附表。</w:t>
      </w:r>
    </w:p>
    <w:p w14:paraId="2D9499C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1.3.3 </w:t>
      </w:r>
      <w:r>
        <w:rPr>
          <w:rFonts w:hint="eastAsia" w:ascii="宋体" w:hAnsi="宋体" w:eastAsia="宋体" w:cs="宋体"/>
          <w:color w:val="000000" w:themeColor="text1"/>
          <w14:textFill>
            <w14:solidFill>
              <w14:schemeClr w14:val="tx1"/>
            </w14:solidFill>
          </w14:textFill>
        </w:rPr>
        <w:t>质量标准：见投标人须知前附表。</w:t>
      </w:r>
    </w:p>
    <w:p w14:paraId="38DB1DD0">
      <w:pPr>
        <w:pStyle w:val="5"/>
        <w:spacing w:before="0" w:after="0" w:line="360" w:lineRule="auto"/>
        <w:rPr>
          <w:rFonts w:ascii="宋体"/>
          <w:color w:val="000000" w:themeColor="text1"/>
          <w:sz w:val="21"/>
          <w:szCs w:val="21"/>
          <w14:textFill>
            <w14:solidFill>
              <w14:schemeClr w14:val="tx1"/>
            </w14:solidFill>
          </w14:textFill>
        </w:rPr>
      </w:pPr>
      <w:bookmarkStart w:id="94" w:name="_Toc164432893"/>
      <w:bookmarkStart w:id="95" w:name="_Toc107396176"/>
      <w:bookmarkStart w:id="96" w:name="_Toc120282404"/>
      <w:bookmarkStart w:id="97" w:name="_Toc16836"/>
      <w:bookmarkStart w:id="98" w:name="_Toc77658048"/>
      <w:bookmarkStart w:id="99" w:name="_Toc77116649"/>
      <w:bookmarkStart w:id="100" w:name="_Toc77504038"/>
      <w:bookmarkStart w:id="101" w:name="_Toc70424829"/>
      <w:r>
        <w:rPr>
          <w:rFonts w:ascii="宋体" w:hAnsi="宋体" w:cs="宋体"/>
          <w:color w:val="000000" w:themeColor="text1"/>
          <w:sz w:val="21"/>
          <w:szCs w:val="21"/>
          <w14:textFill>
            <w14:solidFill>
              <w14:schemeClr w14:val="tx1"/>
            </w14:solidFill>
          </w14:textFill>
        </w:rPr>
        <w:t xml:space="preserve">1.4 </w:t>
      </w:r>
      <w:r>
        <w:rPr>
          <w:rFonts w:hint="eastAsia" w:ascii="宋体" w:hAnsi="宋体" w:cs="宋体"/>
          <w:color w:val="000000" w:themeColor="text1"/>
          <w:sz w:val="21"/>
          <w:szCs w:val="21"/>
          <w14:textFill>
            <w14:solidFill>
              <w14:schemeClr w14:val="tx1"/>
            </w14:solidFill>
          </w14:textFill>
        </w:rPr>
        <w:t>投标人资格要求</w:t>
      </w:r>
      <w:bookmarkEnd w:id="94"/>
      <w:bookmarkEnd w:id="95"/>
      <w:bookmarkEnd w:id="96"/>
      <w:bookmarkEnd w:id="97"/>
      <w:bookmarkEnd w:id="98"/>
      <w:bookmarkEnd w:id="99"/>
      <w:bookmarkEnd w:id="100"/>
      <w:bookmarkEnd w:id="101"/>
    </w:p>
    <w:p w14:paraId="49137DD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1.4.1 </w:t>
      </w:r>
      <w:r>
        <w:rPr>
          <w:rFonts w:hint="eastAsia" w:ascii="宋体" w:hAnsi="宋体" w:eastAsia="宋体" w:cs="宋体"/>
          <w:color w:val="000000" w:themeColor="text1"/>
          <w14:textFill>
            <w14:solidFill>
              <w14:schemeClr w14:val="tx1"/>
            </w14:solidFill>
          </w14:textFill>
        </w:rPr>
        <w:t>投标人资格要求：见投标人须知前附表。</w:t>
      </w:r>
    </w:p>
    <w:p w14:paraId="0BCF93AD">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需要提交的相关证明材料见本章第</w:t>
      </w:r>
      <w:r>
        <w:rPr>
          <w:rFonts w:ascii="宋体" w:hAnsi="宋体" w:eastAsia="宋体" w:cs="宋体"/>
          <w:color w:val="000000" w:themeColor="text1"/>
          <w14:textFill>
            <w14:solidFill>
              <w14:schemeClr w14:val="tx1"/>
            </w14:solidFill>
          </w14:textFill>
        </w:rPr>
        <w:t>3.5</w:t>
      </w:r>
      <w:r>
        <w:rPr>
          <w:rFonts w:hint="eastAsia" w:ascii="宋体" w:hAnsi="宋体" w:eastAsia="宋体" w:cs="宋体"/>
          <w:color w:val="000000" w:themeColor="text1"/>
          <w14:textFill>
            <w14:solidFill>
              <w14:schemeClr w14:val="tx1"/>
            </w14:solidFill>
          </w14:textFill>
        </w:rPr>
        <w:t>款的规定。</w:t>
      </w:r>
    </w:p>
    <w:p w14:paraId="3560FCE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1.4.2 </w:t>
      </w:r>
      <w:r>
        <w:rPr>
          <w:rFonts w:hint="eastAsia" w:ascii="宋体" w:hAnsi="宋体" w:eastAsia="宋体" w:cs="宋体"/>
          <w:color w:val="000000" w:themeColor="text1"/>
          <w14:textFill>
            <w14:solidFill>
              <w14:schemeClr w14:val="tx1"/>
            </w14:solidFill>
          </w14:textFill>
        </w:rPr>
        <w:t>投标人须知前附表规定接受联合体投标的，联合体除应符合本章第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项和投标人须知前附表的要求外，还应遵守以下规定：</w:t>
      </w:r>
    </w:p>
    <w:p w14:paraId="64D33ECC">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）联合体各方应按招标文件提供的格式签订联合体协议书，明确联合体牵头人和各方权利义务，并承诺就中标项目向采购人承担连带责任；</w:t>
      </w:r>
    </w:p>
    <w:p w14:paraId="171D153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）由同一专业的单位组成的联合体，按照资质等级较低的单位确定资质等级；</w:t>
      </w:r>
    </w:p>
    <w:p w14:paraId="51C4AC0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）联合体各方不得再以自己名义单独或参加其他联合体在本招标项目中投标，否则各相关投标均无效。</w:t>
      </w:r>
    </w:p>
    <w:p w14:paraId="0108BE2C">
      <w:pPr>
        <w:pStyle w:val="5"/>
        <w:spacing w:before="0" w:after="0" w:line="360" w:lineRule="auto"/>
        <w:rPr>
          <w:rFonts w:ascii="宋体"/>
          <w:color w:val="000000" w:themeColor="text1"/>
          <w:sz w:val="21"/>
          <w:szCs w:val="21"/>
          <w14:textFill>
            <w14:solidFill>
              <w14:schemeClr w14:val="tx1"/>
            </w14:solidFill>
          </w14:textFill>
        </w:rPr>
      </w:pPr>
      <w:bookmarkStart w:id="102" w:name="_Toc77504039"/>
      <w:bookmarkStart w:id="103" w:name="_Toc18299"/>
      <w:bookmarkStart w:id="104" w:name="_Toc77116650"/>
      <w:bookmarkStart w:id="105" w:name="_Toc77658049"/>
      <w:bookmarkStart w:id="106" w:name="_Toc120282405"/>
      <w:bookmarkStart w:id="107" w:name="_Toc70424830"/>
      <w:bookmarkStart w:id="108" w:name="_Toc107396177"/>
      <w:bookmarkStart w:id="109" w:name="_Toc164432894"/>
      <w:r>
        <w:rPr>
          <w:rFonts w:ascii="宋体" w:hAnsi="宋体" w:cs="宋体"/>
          <w:color w:val="000000" w:themeColor="text1"/>
          <w:sz w:val="21"/>
          <w:szCs w:val="21"/>
          <w14:textFill>
            <w14:solidFill>
              <w14:schemeClr w14:val="tx1"/>
            </w14:solidFill>
          </w14:textFill>
        </w:rPr>
        <w:t xml:space="preserve">1.5 </w:t>
      </w:r>
      <w:r>
        <w:rPr>
          <w:rFonts w:hint="eastAsia" w:ascii="宋体" w:hAnsi="宋体" w:cs="宋体"/>
          <w:color w:val="000000" w:themeColor="text1"/>
          <w:sz w:val="21"/>
          <w:szCs w:val="21"/>
          <w14:textFill>
            <w14:solidFill>
              <w14:schemeClr w14:val="tx1"/>
            </w14:solidFill>
          </w14:textFill>
        </w:rPr>
        <w:t>费用承担</w:t>
      </w:r>
      <w:bookmarkEnd w:id="102"/>
      <w:bookmarkEnd w:id="103"/>
      <w:bookmarkEnd w:id="104"/>
      <w:bookmarkEnd w:id="105"/>
      <w:bookmarkEnd w:id="106"/>
      <w:bookmarkEnd w:id="107"/>
      <w:bookmarkEnd w:id="108"/>
      <w:bookmarkEnd w:id="109"/>
    </w:p>
    <w:p w14:paraId="47745CD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投标人准备和参加投标活动所发生的各种费用由投标人自行承担。</w:t>
      </w:r>
    </w:p>
    <w:p w14:paraId="561AD9E2">
      <w:pPr>
        <w:pStyle w:val="5"/>
        <w:spacing w:before="0" w:after="0" w:line="360" w:lineRule="auto"/>
        <w:rPr>
          <w:rFonts w:ascii="宋体"/>
          <w:color w:val="000000" w:themeColor="text1"/>
          <w:sz w:val="21"/>
          <w:szCs w:val="21"/>
          <w14:textFill>
            <w14:solidFill>
              <w14:schemeClr w14:val="tx1"/>
            </w14:solidFill>
          </w14:textFill>
        </w:rPr>
      </w:pPr>
      <w:bookmarkStart w:id="110" w:name="_Toc107396178"/>
      <w:bookmarkStart w:id="111" w:name="_Toc164432895"/>
      <w:bookmarkStart w:id="112" w:name="_Toc26853"/>
      <w:bookmarkStart w:id="113" w:name="_Toc77504040"/>
      <w:bookmarkStart w:id="114" w:name="_Toc77116651"/>
      <w:bookmarkStart w:id="115" w:name="_Toc77658050"/>
      <w:bookmarkStart w:id="116" w:name="_Toc70424831"/>
      <w:bookmarkStart w:id="117" w:name="_Toc120282406"/>
      <w:r>
        <w:rPr>
          <w:rFonts w:ascii="宋体" w:hAnsi="宋体" w:cs="宋体"/>
          <w:color w:val="000000" w:themeColor="text1"/>
          <w:sz w:val="21"/>
          <w:szCs w:val="21"/>
          <w14:textFill>
            <w14:solidFill>
              <w14:schemeClr w14:val="tx1"/>
            </w14:solidFill>
          </w14:textFill>
        </w:rPr>
        <w:t xml:space="preserve">1.6 </w:t>
      </w:r>
      <w:r>
        <w:rPr>
          <w:rFonts w:hint="eastAsia" w:ascii="宋体" w:hAnsi="宋体" w:cs="宋体"/>
          <w:color w:val="000000" w:themeColor="text1"/>
          <w:sz w:val="21"/>
          <w:szCs w:val="21"/>
          <w14:textFill>
            <w14:solidFill>
              <w14:schemeClr w14:val="tx1"/>
            </w14:solidFill>
          </w14:textFill>
        </w:rPr>
        <w:t>保密</w:t>
      </w:r>
      <w:bookmarkEnd w:id="110"/>
      <w:bookmarkEnd w:id="111"/>
      <w:bookmarkEnd w:id="112"/>
      <w:bookmarkEnd w:id="113"/>
      <w:bookmarkEnd w:id="114"/>
      <w:bookmarkEnd w:id="115"/>
      <w:bookmarkEnd w:id="116"/>
      <w:bookmarkEnd w:id="117"/>
    </w:p>
    <w:p w14:paraId="5F258B5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参加招标投标活动的各方应对招标文件和投标文件中的商业和技术等秘密保密，否则应承担相应的法律责任。</w:t>
      </w:r>
    </w:p>
    <w:p w14:paraId="3E606DF0">
      <w:pPr>
        <w:pStyle w:val="5"/>
        <w:spacing w:before="0" w:after="0" w:line="360" w:lineRule="auto"/>
        <w:rPr>
          <w:rFonts w:ascii="宋体"/>
          <w:color w:val="000000" w:themeColor="text1"/>
          <w:sz w:val="21"/>
          <w:szCs w:val="21"/>
          <w14:textFill>
            <w14:solidFill>
              <w14:schemeClr w14:val="tx1"/>
            </w14:solidFill>
          </w14:textFill>
        </w:rPr>
      </w:pPr>
      <w:bookmarkStart w:id="118" w:name="_Toc15525"/>
      <w:bookmarkStart w:id="119" w:name="_Toc70424832"/>
      <w:bookmarkStart w:id="120" w:name="_Toc120282407"/>
      <w:bookmarkStart w:id="121" w:name="_Toc77504041"/>
      <w:bookmarkStart w:id="122" w:name="_Toc107396179"/>
      <w:bookmarkStart w:id="123" w:name="_Toc77658051"/>
      <w:bookmarkStart w:id="124" w:name="_Toc164432896"/>
      <w:bookmarkStart w:id="125" w:name="_Toc77116652"/>
      <w:r>
        <w:rPr>
          <w:rFonts w:ascii="宋体" w:hAnsi="宋体" w:cs="宋体"/>
          <w:color w:val="000000" w:themeColor="text1"/>
          <w:sz w:val="21"/>
          <w:szCs w:val="21"/>
          <w14:textFill>
            <w14:solidFill>
              <w14:schemeClr w14:val="tx1"/>
            </w14:solidFill>
          </w14:textFill>
        </w:rPr>
        <w:t xml:space="preserve">1.7 </w:t>
      </w:r>
      <w:r>
        <w:rPr>
          <w:rFonts w:hint="eastAsia" w:ascii="宋体" w:hAnsi="宋体" w:cs="宋体"/>
          <w:color w:val="000000" w:themeColor="text1"/>
          <w:sz w:val="21"/>
          <w:szCs w:val="21"/>
          <w14:textFill>
            <w14:solidFill>
              <w14:schemeClr w14:val="tx1"/>
            </w14:solidFill>
          </w14:textFill>
        </w:rPr>
        <w:t>语言文字</w:t>
      </w:r>
      <w:bookmarkEnd w:id="118"/>
      <w:bookmarkEnd w:id="119"/>
      <w:bookmarkEnd w:id="120"/>
      <w:bookmarkEnd w:id="121"/>
      <w:bookmarkEnd w:id="122"/>
      <w:bookmarkEnd w:id="123"/>
      <w:bookmarkEnd w:id="124"/>
      <w:bookmarkEnd w:id="125"/>
    </w:p>
    <w:p w14:paraId="1466736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招标投标文件使用的语言文字为中文。专用术语使用外文的，应附有中文注释。</w:t>
      </w:r>
    </w:p>
    <w:p w14:paraId="3965B00D">
      <w:pPr>
        <w:pStyle w:val="5"/>
        <w:spacing w:before="0" w:after="0" w:line="360" w:lineRule="auto"/>
        <w:rPr>
          <w:rFonts w:ascii="宋体"/>
          <w:color w:val="000000" w:themeColor="text1"/>
          <w:sz w:val="21"/>
          <w:szCs w:val="21"/>
          <w14:textFill>
            <w14:solidFill>
              <w14:schemeClr w14:val="tx1"/>
            </w14:solidFill>
          </w14:textFill>
        </w:rPr>
      </w:pPr>
      <w:bookmarkStart w:id="126" w:name="_Toc77504042"/>
      <w:bookmarkStart w:id="127" w:name="_Toc164432897"/>
      <w:bookmarkStart w:id="128" w:name="_Toc77116653"/>
      <w:bookmarkStart w:id="129" w:name="_Toc120282408"/>
      <w:bookmarkStart w:id="130" w:name="_Toc70424833"/>
      <w:bookmarkStart w:id="131" w:name="_Toc27224"/>
      <w:bookmarkStart w:id="132" w:name="_Toc77658052"/>
      <w:bookmarkStart w:id="133" w:name="_Toc107396180"/>
      <w:r>
        <w:rPr>
          <w:rFonts w:ascii="宋体" w:hAnsi="宋体" w:cs="宋体"/>
          <w:color w:val="000000" w:themeColor="text1"/>
          <w:sz w:val="21"/>
          <w:szCs w:val="21"/>
          <w14:textFill>
            <w14:solidFill>
              <w14:schemeClr w14:val="tx1"/>
            </w14:solidFill>
          </w14:textFill>
        </w:rPr>
        <w:t xml:space="preserve">1.8 </w:t>
      </w:r>
      <w:r>
        <w:rPr>
          <w:rFonts w:hint="eastAsia" w:ascii="宋体" w:hAnsi="宋体" w:cs="宋体"/>
          <w:color w:val="000000" w:themeColor="text1"/>
          <w:sz w:val="21"/>
          <w:szCs w:val="21"/>
          <w14:textFill>
            <w14:solidFill>
              <w14:schemeClr w14:val="tx1"/>
            </w14:solidFill>
          </w14:textFill>
        </w:rPr>
        <w:t>计量单位</w:t>
      </w:r>
      <w:bookmarkEnd w:id="126"/>
      <w:bookmarkEnd w:id="127"/>
      <w:bookmarkEnd w:id="128"/>
      <w:bookmarkEnd w:id="129"/>
      <w:bookmarkEnd w:id="130"/>
      <w:bookmarkEnd w:id="131"/>
      <w:bookmarkEnd w:id="132"/>
      <w:bookmarkEnd w:id="133"/>
    </w:p>
    <w:p w14:paraId="0D1FABB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所有计量均采用中华人民共和国法定计量单位。</w:t>
      </w:r>
    </w:p>
    <w:p w14:paraId="130AEF16">
      <w:pPr>
        <w:pStyle w:val="5"/>
        <w:spacing w:before="0" w:after="0" w:line="360" w:lineRule="auto"/>
        <w:rPr>
          <w:rFonts w:ascii="宋体"/>
          <w:color w:val="000000" w:themeColor="text1"/>
          <w:sz w:val="21"/>
          <w:szCs w:val="21"/>
          <w14:textFill>
            <w14:solidFill>
              <w14:schemeClr w14:val="tx1"/>
            </w14:solidFill>
          </w14:textFill>
        </w:rPr>
      </w:pPr>
      <w:bookmarkStart w:id="134" w:name="_Toc77658053"/>
      <w:bookmarkStart w:id="135" w:name="_Toc107396181"/>
      <w:bookmarkStart w:id="136" w:name="_Toc164432898"/>
      <w:bookmarkStart w:id="137" w:name="_Toc77504043"/>
      <w:bookmarkStart w:id="138" w:name="_Toc13211"/>
      <w:bookmarkStart w:id="139" w:name="_Toc77116654"/>
      <w:bookmarkStart w:id="140" w:name="_Toc120282409"/>
      <w:bookmarkStart w:id="141" w:name="_Toc70424834"/>
      <w:r>
        <w:rPr>
          <w:rFonts w:ascii="宋体" w:hAnsi="宋体" w:cs="宋体"/>
          <w:color w:val="000000" w:themeColor="text1"/>
          <w:sz w:val="21"/>
          <w:szCs w:val="21"/>
          <w14:textFill>
            <w14:solidFill>
              <w14:schemeClr w14:val="tx1"/>
            </w14:solidFill>
          </w14:textFill>
        </w:rPr>
        <w:t xml:space="preserve">1.9 </w:t>
      </w:r>
      <w:r>
        <w:rPr>
          <w:rFonts w:hint="eastAsia" w:ascii="宋体" w:hAnsi="宋体" w:cs="宋体"/>
          <w:color w:val="000000" w:themeColor="text1"/>
          <w:sz w:val="21"/>
          <w:szCs w:val="21"/>
          <w14:textFill>
            <w14:solidFill>
              <w14:schemeClr w14:val="tx1"/>
            </w14:solidFill>
          </w14:textFill>
        </w:rPr>
        <w:t>踏勘现场</w:t>
      </w:r>
      <w:bookmarkEnd w:id="134"/>
      <w:bookmarkEnd w:id="135"/>
      <w:bookmarkEnd w:id="136"/>
      <w:bookmarkEnd w:id="137"/>
      <w:bookmarkEnd w:id="138"/>
      <w:bookmarkEnd w:id="139"/>
      <w:bookmarkEnd w:id="140"/>
      <w:bookmarkEnd w:id="141"/>
    </w:p>
    <w:p w14:paraId="2582D88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1.9.1 </w:t>
      </w:r>
      <w:r>
        <w:rPr>
          <w:rFonts w:hint="eastAsia" w:ascii="宋体" w:hAnsi="宋体" w:eastAsia="宋体" w:cs="宋体"/>
          <w:color w:val="000000" w:themeColor="text1"/>
          <w14:textFill>
            <w14:solidFill>
              <w14:schemeClr w14:val="tx1"/>
            </w14:solidFill>
          </w14:textFill>
        </w:rPr>
        <w:t>投标人须知前附表规定组织踏勘现场的，采购人按投标人须知前附表规定的时间、地点组织投标人踏勘项目现场。部分投标人未按时参加踏勘现场的，不影响踏勘现场的正常进行。</w:t>
      </w:r>
    </w:p>
    <w:p w14:paraId="27B9ECC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1.9.2 </w:t>
      </w:r>
      <w:r>
        <w:rPr>
          <w:rFonts w:hint="eastAsia" w:ascii="宋体" w:hAnsi="宋体" w:eastAsia="宋体" w:cs="宋体"/>
          <w:color w:val="000000" w:themeColor="text1"/>
          <w14:textFill>
            <w14:solidFill>
              <w14:schemeClr w14:val="tx1"/>
            </w14:solidFill>
          </w14:textFill>
        </w:rPr>
        <w:t>投标人可自愿参加踏勘现场活动。除采购人的原因外，采购人对投标人参加踏勘现场中所发生的人员伤亡和财产损失不承担责任。</w:t>
      </w:r>
    </w:p>
    <w:p w14:paraId="22BDE63D">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1.9.3 </w:t>
      </w:r>
      <w:r>
        <w:rPr>
          <w:rFonts w:hint="eastAsia" w:ascii="宋体" w:hAnsi="宋体" w:eastAsia="宋体" w:cs="宋体"/>
          <w:color w:val="000000" w:themeColor="text1"/>
          <w14:textFill>
            <w14:solidFill>
              <w14:schemeClr w14:val="tx1"/>
            </w14:solidFill>
          </w14:textFill>
        </w:rPr>
        <w:t>采购人在踏勘现场中介绍的工程场地和相关的周边环境情况，仅作为投标人编制投标文件的参考，采购人不对投标人据此作出的判断和决策负责。</w:t>
      </w:r>
    </w:p>
    <w:p w14:paraId="6A36785E">
      <w:pPr>
        <w:pStyle w:val="5"/>
        <w:spacing w:before="0" w:after="0" w:line="360" w:lineRule="auto"/>
        <w:rPr>
          <w:rFonts w:ascii="宋体"/>
          <w:color w:val="000000" w:themeColor="text1"/>
          <w:sz w:val="21"/>
          <w:szCs w:val="21"/>
          <w14:textFill>
            <w14:solidFill>
              <w14:schemeClr w14:val="tx1"/>
            </w14:solidFill>
          </w14:textFill>
        </w:rPr>
      </w:pPr>
      <w:bookmarkStart w:id="142" w:name="_Toc164432899"/>
      <w:bookmarkStart w:id="143" w:name="_Toc77658054"/>
      <w:bookmarkStart w:id="144" w:name="_Toc107396182"/>
      <w:bookmarkStart w:id="145" w:name="_Toc120282410"/>
      <w:bookmarkStart w:id="146" w:name="_Toc14640"/>
      <w:bookmarkStart w:id="147" w:name="_Toc70424835"/>
      <w:bookmarkStart w:id="148" w:name="_Toc77504044"/>
      <w:bookmarkStart w:id="149" w:name="_Toc77116655"/>
      <w:r>
        <w:rPr>
          <w:rFonts w:ascii="宋体" w:hAnsi="宋体" w:cs="宋体"/>
          <w:color w:val="000000" w:themeColor="text1"/>
          <w:sz w:val="21"/>
          <w:szCs w:val="21"/>
          <w14:textFill>
            <w14:solidFill>
              <w14:schemeClr w14:val="tx1"/>
            </w14:solidFill>
          </w14:textFill>
        </w:rPr>
        <w:t xml:space="preserve">1.10 </w:t>
      </w:r>
      <w:r>
        <w:rPr>
          <w:rFonts w:hint="eastAsia" w:ascii="宋体" w:hAnsi="宋体" w:cs="宋体"/>
          <w:color w:val="000000" w:themeColor="text1"/>
          <w:sz w:val="21"/>
          <w:szCs w:val="21"/>
          <w14:textFill>
            <w14:solidFill>
              <w14:schemeClr w14:val="tx1"/>
            </w14:solidFill>
          </w14:textFill>
        </w:rPr>
        <w:t>投标预备会</w:t>
      </w:r>
      <w:bookmarkEnd w:id="142"/>
      <w:bookmarkEnd w:id="143"/>
      <w:bookmarkEnd w:id="144"/>
      <w:bookmarkEnd w:id="145"/>
      <w:bookmarkEnd w:id="146"/>
      <w:bookmarkEnd w:id="147"/>
      <w:bookmarkEnd w:id="148"/>
      <w:bookmarkEnd w:id="149"/>
    </w:p>
    <w:p w14:paraId="46B48F8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投标人须知前附表规定召开投标预备会的，采购人按投标人须知前附表规定的时间和地点召开投标预备会。</w:t>
      </w:r>
    </w:p>
    <w:p w14:paraId="17F41986">
      <w:pPr>
        <w:pStyle w:val="5"/>
        <w:spacing w:before="0" w:after="0" w:line="360" w:lineRule="auto"/>
        <w:rPr>
          <w:rFonts w:ascii="宋体"/>
          <w:color w:val="000000" w:themeColor="text1"/>
          <w:sz w:val="21"/>
          <w:szCs w:val="21"/>
          <w14:textFill>
            <w14:solidFill>
              <w14:schemeClr w14:val="tx1"/>
            </w14:solidFill>
          </w14:textFill>
        </w:rPr>
      </w:pPr>
      <w:bookmarkStart w:id="150" w:name="_Toc70424836"/>
      <w:bookmarkStart w:id="151" w:name="_Toc15111"/>
      <w:bookmarkStart w:id="152" w:name="_Toc164432900"/>
      <w:bookmarkStart w:id="153" w:name="_Toc120282411"/>
      <w:bookmarkStart w:id="154" w:name="_Toc107396183"/>
      <w:bookmarkStart w:id="155" w:name="_Toc77116656"/>
      <w:bookmarkStart w:id="156" w:name="_Toc77658055"/>
      <w:bookmarkStart w:id="157" w:name="_Toc77504045"/>
      <w:r>
        <w:rPr>
          <w:rFonts w:ascii="宋体" w:hAnsi="宋体" w:cs="宋体"/>
          <w:color w:val="000000" w:themeColor="text1"/>
          <w:sz w:val="21"/>
          <w:szCs w:val="21"/>
          <w14:textFill>
            <w14:solidFill>
              <w14:schemeClr w14:val="tx1"/>
            </w14:solidFill>
          </w14:textFill>
        </w:rPr>
        <w:t xml:space="preserve">1.11 </w:t>
      </w:r>
      <w:r>
        <w:rPr>
          <w:rFonts w:hint="eastAsia" w:ascii="宋体" w:hAnsi="宋体" w:cs="宋体"/>
          <w:color w:val="000000" w:themeColor="text1"/>
          <w:sz w:val="21"/>
          <w:szCs w:val="21"/>
          <w14:textFill>
            <w14:solidFill>
              <w14:schemeClr w14:val="tx1"/>
            </w14:solidFill>
          </w14:textFill>
        </w:rPr>
        <w:t>分包</w:t>
      </w:r>
      <w:bookmarkEnd w:id="150"/>
      <w:bookmarkEnd w:id="151"/>
      <w:bookmarkEnd w:id="152"/>
      <w:bookmarkEnd w:id="153"/>
      <w:bookmarkEnd w:id="154"/>
      <w:bookmarkEnd w:id="155"/>
      <w:bookmarkEnd w:id="156"/>
      <w:bookmarkEnd w:id="157"/>
    </w:p>
    <w:p w14:paraId="0A83E27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本项目严禁分包。</w:t>
      </w:r>
    </w:p>
    <w:p w14:paraId="00943006">
      <w:pPr>
        <w:pStyle w:val="5"/>
        <w:spacing w:before="0" w:after="0" w:line="360" w:lineRule="auto"/>
        <w:rPr>
          <w:rFonts w:ascii="宋体"/>
          <w:color w:val="000000" w:themeColor="text1"/>
          <w:sz w:val="21"/>
          <w:szCs w:val="21"/>
          <w14:textFill>
            <w14:solidFill>
              <w14:schemeClr w14:val="tx1"/>
            </w14:solidFill>
          </w14:textFill>
        </w:rPr>
      </w:pPr>
      <w:bookmarkStart w:id="158" w:name="_Toc120282412"/>
      <w:bookmarkStart w:id="159" w:name="_Toc70424837"/>
      <w:bookmarkStart w:id="160" w:name="_Toc107396184"/>
      <w:bookmarkStart w:id="161" w:name="_Toc77658056"/>
      <w:bookmarkStart w:id="162" w:name="_Toc6574"/>
      <w:bookmarkStart w:id="163" w:name="_Toc77504046"/>
      <w:bookmarkStart w:id="164" w:name="_Toc77116657"/>
      <w:bookmarkStart w:id="165" w:name="_Toc164432901"/>
      <w:r>
        <w:rPr>
          <w:rFonts w:ascii="宋体" w:hAnsi="宋体" w:cs="宋体"/>
          <w:color w:val="000000" w:themeColor="text1"/>
          <w:sz w:val="21"/>
          <w:szCs w:val="21"/>
          <w14:textFill>
            <w14:solidFill>
              <w14:schemeClr w14:val="tx1"/>
            </w14:solidFill>
          </w14:textFill>
        </w:rPr>
        <w:t xml:space="preserve">1.12 </w:t>
      </w:r>
      <w:r>
        <w:rPr>
          <w:rFonts w:hint="eastAsia" w:ascii="宋体" w:hAnsi="宋体" w:cs="宋体"/>
          <w:color w:val="000000" w:themeColor="text1"/>
          <w:sz w:val="21"/>
          <w:szCs w:val="21"/>
          <w14:textFill>
            <w14:solidFill>
              <w14:schemeClr w14:val="tx1"/>
            </w14:solidFill>
          </w14:textFill>
        </w:rPr>
        <w:t>响应和偏差</w:t>
      </w:r>
      <w:bookmarkEnd w:id="158"/>
      <w:bookmarkEnd w:id="159"/>
      <w:bookmarkEnd w:id="160"/>
      <w:bookmarkEnd w:id="161"/>
      <w:bookmarkEnd w:id="162"/>
      <w:bookmarkEnd w:id="163"/>
      <w:bookmarkEnd w:id="164"/>
      <w:bookmarkEnd w:id="165"/>
    </w:p>
    <w:p w14:paraId="5003178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1.12.1</w:t>
      </w:r>
      <w:r>
        <w:rPr>
          <w:rFonts w:hint="eastAsia" w:ascii="宋体" w:hAnsi="宋体" w:eastAsia="宋体" w:cs="宋体"/>
          <w:color w:val="000000" w:themeColor="text1"/>
          <w14:textFill>
            <w14:solidFill>
              <w14:schemeClr w14:val="tx1"/>
            </w14:solidFill>
          </w14:textFill>
        </w:rPr>
        <w:t>投标文件应当对采购需求和合同草案中的关键条款作出满足性或更有利于采购人的响应，否则，投标人的投标文件将被视为无效。</w:t>
      </w:r>
    </w:p>
    <w:p w14:paraId="21AA0BC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1.12.2 </w:t>
      </w:r>
      <w:r>
        <w:rPr>
          <w:rFonts w:hint="eastAsia" w:ascii="宋体" w:hAnsi="宋体" w:eastAsia="宋体" w:cs="宋体"/>
          <w:color w:val="000000" w:themeColor="text1"/>
          <w14:textFill>
            <w14:solidFill>
              <w14:schemeClr w14:val="tx1"/>
            </w14:solidFill>
          </w14:textFill>
        </w:rPr>
        <w:t>投标人须知前附表规定了对非关键条款允许偏差的范围和可以偏差的项数的，如投标文件存在的偏差超出上述范围或项数，将被视为无效。</w:t>
      </w:r>
    </w:p>
    <w:p w14:paraId="1392BB05">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166" w:name="_Toc77504047"/>
      <w:bookmarkStart w:id="167" w:name="_Toc77658057"/>
      <w:bookmarkStart w:id="168" w:name="_Toc15715"/>
      <w:bookmarkStart w:id="169" w:name="_Toc120282413"/>
      <w:bookmarkStart w:id="170" w:name="_Toc107396185"/>
      <w:bookmarkStart w:id="171" w:name="_Toc164432902"/>
      <w:bookmarkStart w:id="172" w:name="_Toc70424838"/>
      <w:bookmarkStart w:id="173" w:name="_Toc77116658"/>
      <w:r>
        <w:rPr>
          <w:rFonts w:ascii="宋体" w:hAnsi="宋体" w:eastAsia="宋体" w:cs="宋体"/>
          <w:color w:val="000000" w:themeColor="text1"/>
          <w:sz w:val="21"/>
          <w:szCs w:val="21"/>
          <w14:textFill>
            <w14:solidFill>
              <w14:schemeClr w14:val="tx1"/>
            </w14:solidFill>
          </w14:textFill>
        </w:rPr>
        <w:t xml:space="preserve">2. </w:t>
      </w:r>
      <w:r>
        <w:rPr>
          <w:rFonts w:hint="eastAsia" w:ascii="宋体" w:hAnsi="宋体" w:eastAsia="宋体" w:cs="宋体"/>
          <w:color w:val="000000" w:themeColor="text1"/>
          <w:sz w:val="21"/>
          <w:szCs w:val="21"/>
          <w14:textFill>
            <w14:solidFill>
              <w14:schemeClr w14:val="tx1"/>
            </w14:solidFill>
          </w14:textFill>
        </w:rPr>
        <w:t>招标文件</w:t>
      </w:r>
      <w:bookmarkEnd w:id="166"/>
      <w:bookmarkEnd w:id="167"/>
      <w:bookmarkEnd w:id="168"/>
      <w:bookmarkEnd w:id="169"/>
      <w:bookmarkEnd w:id="170"/>
      <w:bookmarkEnd w:id="171"/>
      <w:bookmarkEnd w:id="172"/>
      <w:bookmarkEnd w:id="173"/>
    </w:p>
    <w:p w14:paraId="7F1D6D9A">
      <w:pPr>
        <w:pStyle w:val="5"/>
        <w:spacing w:before="0" w:after="0" w:line="360" w:lineRule="auto"/>
        <w:rPr>
          <w:rFonts w:ascii="宋体"/>
          <w:color w:val="000000" w:themeColor="text1"/>
          <w:sz w:val="21"/>
          <w:szCs w:val="21"/>
          <w14:textFill>
            <w14:solidFill>
              <w14:schemeClr w14:val="tx1"/>
            </w14:solidFill>
          </w14:textFill>
        </w:rPr>
      </w:pPr>
      <w:bookmarkStart w:id="174" w:name="_Toc77504048"/>
      <w:bookmarkStart w:id="175" w:name="_Toc70424839"/>
      <w:bookmarkStart w:id="176" w:name="_Toc77116659"/>
      <w:bookmarkStart w:id="177" w:name="_Toc164432903"/>
      <w:bookmarkStart w:id="178" w:name="_Toc107396186"/>
      <w:bookmarkStart w:id="179" w:name="_Toc120282414"/>
      <w:bookmarkStart w:id="180" w:name="_Toc77658058"/>
      <w:bookmarkStart w:id="181" w:name="_Toc3770"/>
      <w:r>
        <w:rPr>
          <w:rFonts w:ascii="宋体" w:hAnsi="宋体" w:cs="宋体"/>
          <w:color w:val="000000" w:themeColor="text1"/>
          <w:sz w:val="21"/>
          <w:szCs w:val="21"/>
          <w14:textFill>
            <w14:solidFill>
              <w14:schemeClr w14:val="tx1"/>
            </w14:solidFill>
          </w14:textFill>
        </w:rPr>
        <w:t xml:space="preserve">2.1 </w:t>
      </w:r>
      <w:r>
        <w:rPr>
          <w:rFonts w:hint="eastAsia" w:ascii="宋体" w:hAnsi="宋体" w:cs="宋体"/>
          <w:color w:val="000000" w:themeColor="text1"/>
          <w:sz w:val="21"/>
          <w:szCs w:val="21"/>
          <w14:textFill>
            <w14:solidFill>
              <w14:schemeClr w14:val="tx1"/>
            </w14:solidFill>
          </w14:textFill>
        </w:rPr>
        <w:t>招标文件的组成</w:t>
      </w:r>
      <w:bookmarkEnd w:id="174"/>
      <w:bookmarkEnd w:id="175"/>
      <w:bookmarkEnd w:id="176"/>
      <w:bookmarkEnd w:id="177"/>
      <w:bookmarkEnd w:id="178"/>
      <w:bookmarkEnd w:id="179"/>
      <w:bookmarkEnd w:id="180"/>
      <w:bookmarkEnd w:id="181"/>
    </w:p>
    <w:p w14:paraId="2702B56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本招标文件包括：</w:t>
      </w:r>
    </w:p>
    <w:p w14:paraId="2DF58E5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）招标公告；</w:t>
      </w:r>
    </w:p>
    <w:p w14:paraId="4061ED8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）投标人须知；</w:t>
      </w:r>
    </w:p>
    <w:p w14:paraId="07E32D8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）评标办法；</w:t>
      </w:r>
    </w:p>
    <w:p w14:paraId="3156CF8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）合同草案；</w:t>
      </w:r>
    </w:p>
    <w:p w14:paraId="6A63C04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）采购需求；</w:t>
      </w:r>
    </w:p>
    <w:p w14:paraId="0FD3A4D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）投标文件格式；</w:t>
      </w:r>
    </w:p>
    <w:p w14:paraId="4568293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）投标人须知前附表规定的其他资料。</w:t>
      </w:r>
    </w:p>
    <w:p w14:paraId="4802240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采购人依照本章规定，对招标文件所作的澄清、修改，构成招标文件的组成部分。</w:t>
      </w:r>
    </w:p>
    <w:p w14:paraId="152C3254">
      <w:pPr>
        <w:pStyle w:val="5"/>
        <w:spacing w:before="0" w:after="0" w:line="360" w:lineRule="auto"/>
        <w:rPr>
          <w:rFonts w:ascii="宋体"/>
          <w:color w:val="000000" w:themeColor="text1"/>
          <w:sz w:val="21"/>
          <w:szCs w:val="21"/>
          <w14:textFill>
            <w14:solidFill>
              <w14:schemeClr w14:val="tx1"/>
            </w14:solidFill>
          </w14:textFill>
        </w:rPr>
      </w:pPr>
      <w:bookmarkStart w:id="182" w:name="_Toc120282415"/>
      <w:bookmarkStart w:id="183" w:name="_Toc107396187"/>
      <w:bookmarkStart w:id="184" w:name="_Toc21576"/>
      <w:bookmarkStart w:id="185" w:name="_Toc164432904"/>
      <w:bookmarkStart w:id="186" w:name="_Toc70424840"/>
      <w:bookmarkStart w:id="187" w:name="_Toc77658059"/>
      <w:bookmarkStart w:id="188" w:name="_Toc77116660"/>
      <w:bookmarkStart w:id="189" w:name="_Toc77504049"/>
      <w:r>
        <w:rPr>
          <w:rFonts w:ascii="宋体" w:hAnsi="宋体" w:cs="宋体"/>
          <w:color w:val="000000" w:themeColor="text1"/>
          <w:sz w:val="21"/>
          <w:szCs w:val="21"/>
          <w14:textFill>
            <w14:solidFill>
              <w14:schemeClr w14:val="tx1"/>
            </w14:solidFill>
          </w14:textFill>
        </w:rPr>
        <w:t xml:space="preserve">2.2 </w:t>
      </w:r>
      <w:r>
        <w:rPr>
          <w:rFonts w:hint="eastAsia" w:ascii="宋体" w:hAnsi="宋体" w:cs="宋体"/>
          <w:color w:val="000000" w:themeColor="text1"/>
          <w:sz w:val="21"/>
          <w:szCs w:val="21"/>
          <w14:textFill>
            <w14:solidFill>
              <w14:schemeClr w14:val="tx1"/>
            </w14:solidFill>
          </w14:textFill>
        </w:rPr>
        <w:t>招标文件的澄清和修改</w:t>
      </w:r>
      <w:bookmarkEnd w:id="182"/>
      <w:bookmarkEnd w:id="183"/>
      <w:bookmarkEnd w:id="184"/>
      <w:bookmarkEnd w:id="185"/>
      <w:bookmarkEnd w:id="186"/>
      <w:bookmarkEnd w:id="187"/>
      <w:bookmarkEnd w:id="188"/>
      <w:bookmarkEnd w:id="189"/>
    </w:p>
    <w:p w14:paraId="5B936C92">
      <w:pPr>
        <w:spacing w:line="360" w:lineRule="auto"/>
        <w:ind w:firstLine="420" w:firstLineChars="200"/>
        <w:rPr>
          <w:rFonts w:cs="宋体" w:asciiTheme="minorEastAsia" w:hAnsiTheme="minorEastAsia" w:eastAsiaTheme="minorEastAsia"/>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2.2.1</w:t>
      </w:r>
      <w:r>
        <w:rPr>
          <w:rFonts w:hint="eastAsia" w:cs="宋体" w:asciiTheme="minorEastAsia" w:hAnsiTheme="minorEastAsia" w:eastAsiaTheme="minorEastAsia"/>
          <w:color w:val="000000" w:themeColor="text1"/>
          <w14:textFill>
            <w14:solidFill>
              <w14:schemeClr w14:val="tx1"/>
            </w14:solidFill>
          </w14:textFill>
        </w:rPr>
        <w:t>供应商应仔细阅读和检查采购文件的全部内容。如发现缺页或附件不全，应及时向代理机构提出，以便补齐。</w:t>
      </w:r>
    </w:p>
    <w:p w14:paraId="41B915C0">
      <w:pPr>
        <w:spacing w:line="360" w:lineRule="auto"/>
        <w:ind w:firstLine="420" w:firstLineChars="200"/>
        <w:rPr>
          <w:rFonts w:cs="宋体" w:asciiTheme="minorEastAsia" w:hAnsiTheme="minorEastAsia" w:eastAsiaTheme="minorEastAsia"/>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2.2.2 </w:t>
      </w:r>
      <w:r>
        <w:rPr>
          <w:rFonts w:hint="eastAsia" w:cs="宋体" w:asciiTheme="minorEastAsia" w:hAnsiTheme="minorEastAsia" w:eastAsiaTheme="minorEastAsia"/>
          <w:color w:val="000000" w:themeColor="text1"/>
          <w14:textFill>
            <w14:solidFill>
              <w14:schemeClr w14:val="tx1"/>
            </w14:solidFill>
          </w14:textFill>
        </w:rPr>
        <w:t>采购文件的澄清将在供应商须知前附表规定的招标截止时间前，在政府采购云平台通知所有获取采购文件的供应商，但不指明澄清问题的来源。澄清发出的时间距投标文件提交截止时间不足5日的，并且澄清内容影响投标文件编制的，将相应延长投标文件提交截止时间。</w:t>
      </w:r>
    </w:p>
    <w:p w14:paraId="7484322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2.2.3 </w:t>
      </w:r>
      <w:r>
        <w:rPr>
          <w:rFonts w:hint="eastAsia" w:ascii="宋体" w:hAnsi="宋体" w:eastAsia="宋体" w:cs="宋体"/>
          <w:color w:val="000000" w:themeColor="text1"/>
          <w14:textFill>
            <w14:solidFill>
              <w14:schemeClr w14:val="tx1"/>
            </w14:solidFill>
          </w14:textFill>
        </w:rPr>
        <w:t>供应商在收到澄清通知后，应按供应商须知前附表规定的时间和形式通知采购人，确认已收到该澄清。</w:t>
      </w:r>
    </w:p>
    <w:p w14:paraId="0E83EB7E">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190" w:name="_Toc164432905"/>
      <w:bookmarkStart w:id="191" w:name="_Toc70424841"/>
      <w:bookmarkStart w:id="192" w:name="_Toc120282416"/>
      <w:bookmarkStart w:id="193" w:name="_Toc346"/>
      <w:bookmarkStart w:id="194" w:name="_Toc77116661"/>
      <w:bookmarkStart w:id="195" w:name="_Toc77504050"/>
      <w:bookmarkStart w:id="196" w:name="_Toc77658060"/>
      <w:bookmarkStart w:id="197" w:name="_Toc107396188"/>
      <w:r>
        <w:rPr>
          <w:rFonts w:ascii="宋体" w:hAnsi="宋体" w:eastAsia="宋体" w:cs="宋体"/>
          <w:color w:val="000000" w:themeColor="text1"/>
          <w:sz w:val="21"/>
          <w:szCs w:val="21"/>
          <w14:textFill>
            <w14:solidFill>
              <w14:schemeClr w14:val="tx1"/>
            </w14:solidFill>
          </w14:textFill>
        </w:rPr>
        <w:t xml:space="preserve">3. </w:t>
      </w:r>
      <w:r>
        <w:rPr>
          <w:rFonts w:hint="eastAsia" w:ascii="宋体" w:hAnsi="宋体" w:eastAsia="宋体" w:cs="宋体"/>
          <w:color w:val="000000" w:themeColor="text1"/>
          <w:sz w:val="21"/>
          <w:szCs w:val="21"/>
          <w14:textFill>
            <w14:solidFill>
              <w14:schemeClr w14:val="tx1"/>
            </w14:solidFill>
          </w14:textFill>
        </w:rPr>
        <w:t>投标文件</w:t>
      </w:r>
      <w:bookmarkEnd w:id="190"/>
      <w:bookmarkEnd w:id="191"/>
      <w:bookmarkEnd w:id="192"/>
      <w:bookmarkEnd w:id="193"/>
      <w:bookmarkEnd w:id="194"/>
      <w:bookmarkEnd w:id="195"/>
      <w:bookmarkEnd w:id="196"/>
      <w:bookmarkEnd w:id="197"/>
    </w:p>
    <w:p w14:paraId="75EDE99B">
      <w:pPr>
        <w:pStyle w:val="5"/>
        <w:spacing w:before="0" w:after="0" w:line="360" w:lineRule="auto"/>
        <w:rPr>
          <w:rFonts w:ascii="宋体"/>
          <w:color w:val="000000" w:themeColor="text1"/>
          <w:sz w:val="21"/>
          <w:szCs w:val="21"/>
          <w14:textFill>
            <w14:solidFill>
              <w14:schemeClr w14:val="tx1"/>
            </w14:solidFill>
          </w14:textFill>
        </w:rPr>
      </w:pPr>
      <w:bookmarkStart w:id="198" w:name="_Toc77658061"/>
      <w:bookmarkStart w:id="199" w:name="_Toc21955"/>
      <w:bookmarkStart w:id="200" w:name="_Toc70424842"/>
      <w:bookmarkStart w:id="201" w:name="_Toc77116662"/>
      <w:bookmarkStart w:id="202" w:name="_Toc164432906"/>
      <w:bookmarkStart w:id="203" w:name="_Toc77504051"/>
      <w:bookmarkStart w:id="204" w:name="_Toc107396189"/>
      <w:bookmarkStart w:id="205" w:name="_Toc120282417"/>
      <w:r>
        <w:rPr>
          <w:rFonts w:ascii="宋体" w:hAnsi="宋体" w:cs="宋体"/>
          <w:color w:val="000000" w:themeColor="text1"/>
          <w:sz w:val="21"/>
          <w:szCs w:val="21"/>
          <w14:textFill>
            <w14:solidFill>
              <w14:schemeClr w14:val="tx1"/>
            </w14:solidFill>
          </w14:textFill>
        </w:rPr>
        <w:t xml:space="preserve">3.1 </w:t>
      </w:r>
      <w:r>
        <w:rPr>
          <w:rFonts w:hint="eastAsia" w:ascii="宋体" w:hAnsi="宋体" w:cs="宋体"/>
          <w:color w:val="000000" w:themeColor="text1"/>
          <w:sz w:val="21"/>
          <w:szCs w:val="21"/>
          <w14:textFill>
            <w14:solidFill>
              <w14:schemeClr w14:val="tx1"/>
            </w14:solidFill>
          </w14:textFill>
        </w:rPr>
        <w:t>投标文件的组成</w:t>
      </w:r>
      <w:bookmarkEnd w:id="198"/>
      <w:bookmarkEnd w:id="199"/>
      <w:bookmarkEnd w:id="200"/>
      <w:bookmarkEnd w:id="201"/>
      <w:bookmarkEnd w:id="202"/>
      <w:bookmarkEnd w:id="203"/>
      <w:bookmarkEnd w:id="204"/>
      <w:bookmarkEnd w:id="205"/>
    </w:p>
    <w:p w14:paraId="4327DF49">
      <w:pPr>
        <w:spacing w:line="360" w:lineRule="auto"/>
        <w:ind w:firstLine="420" w:firstLineChars="200"/>
        <w:rPr>
          <w:rFonts w:ascii="宋体" w:hAnsi="宋体" w:eastAsia="宋体"/>
          <w:color w:val="000000" w:themeColor="text1"/>
          <w14:textFill>
            <w14:solidFill>
              <w14:schemeClr w14:val="tx1"/>
            </w14:solidFill>
          </w14:textFill>
        </w:rPr>
      </w:pPr>
      <w:bookmarkStart w:id="206" w:name="_Toc107396190"/>
      <w:bookmarkStart w:id="207" w:name="_Toc70424843"/>
      <w:bookmarkStart w:id="208" w:name="_Toc77658062"/>
      <w:bookmarkStart w:id="209" w:name="_Toc120282418"/>
      <w:bookmarkStart w:id="210" w:name="_Toc77116663"/>
      <w:bookmarkStart w:id="211" w:name="_Toc77504052"/>
      <w:bookmarkStart w:id="212" w:name="_Toc23136"/>
      <w:r>
        <w:rPr>
          <w:rFonts w:hint="eastAsia" w:ascii="宋体" w:hAnsi="宋体" w:eastAsia="宋体"/>
          <w:color w:val="000000" w:themeColor="text1"/>
          <w14:textFill>
            <w14:solidFill>
              <w14:schemeClr w14:val="tx1"/>
            </w14:solidFill>
          </w14:textFill>
        </w:rPr>
        <w:t>3.1.1 投标文件资格审查部分详见第六章“投标文件格式”资格审查部分中的内容。</w:t>
      </w:r>
    </w:p>
    <w:p w14:paraId="6BADD6A6">
      <w:pPr>
        <w:spacing w:line="360" w:lineRule="auto"/>
        <w:ind w:firstLine="420" w:firstLineChars="200"/>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3.1.2 投标文件商务技术部分详见第六章“投标文件格式”商务技术部分中的内容。</w:t>
      </w:r>
    </w:p>
    <w:p w14:paraId="07108410">
      <w:pPr>
        <w:spacing w:line="360" w:lineRule="auto"/>
        <w:ind w:firstLine="420" w:firstLineChars="200"/>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供应商在评审过程中作出的符合法律法规和招标文件规定的澄清确认，构成投标文件的组成部分。</w:t>
      </w:r>
    </w:p>
    <w:p w14:paraId="1FA700B4">
      <w:pPr>
        <w:spacing w:line="360" w:lineRule="auto"/>
        <w:ind w:firstLine="420" w:firstLineChars="200"/>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3.1.3 供应商须知前附表未要求提交投标保证金的，投标文件不包括第六章“投标文件格式”商务技术部分中所指的投标保证金。</w:t>
      </w:r>
    </w:p>
    <w:p w14:paraId="64D2B748">
      <w:pPr>
        <w:pStyle w:val="5"/>
        <w:spacing w:before="0" w:after="0" w:line="360" w:lineRule="auto"/>
        <w:rPr>
          <w:rFonts w:ascii="宋体"/>
          <w:color w:val="000000" w:themeColor="text1"/>
          <w:sz w:val="21"/>
          <w:szCs w:val="21"/>
          <w14:textFill>
            <w14:solidFill>
              <w14:schemeClr w14:val="tx1"/>
            </w14:solidFill>
          </w14:textFill>
        </w:rPr>
      </w:pPr>
      <w:bookmarkStart w:id="213" w:name="_Toc164432907"/>
      <w:r>
        <w:rPr>
          <w:rFonts w:ascii="宋体" w:hAnsi="宋体" w:cs="宋体"/>
          <w:color w:val="000000" w:themeColor="text1"/>
          <w:sz w:val="21"/>
          <w:szCs w:val="21"/>
          <w14:textFill>
            <w14:solidFill>
              <w14:schemeClr w14:val="tx1"/>
            </w14:solidFill>
          </w14:textFill>
        </w:rPr>
        <w:t xml:space="preserve">3.2 </w:t>
      </w:r>
      <w:r>
        <w:rPr>
          <w:rFonts w:hint="eastAsia" w:ascii="宋体" w:hAnsi="宋体" w:cs="宋体"/>
          <w:color w:val="000000" w:themeColor="text1"/>
          <w:sz w:val="21"/>
          <w:szCs w:val="21"/>
          <w14:textFill>
            <w14:solidFill>
              <w14:schemeClr w14:val="tx1"/>
            </w14:solidFill>
          </w14:textFill>
        </w:rPr>
        <w:t>投标报价</w:t>
      </w:r>
      <w:bookmarkEnd w:id="206"/>
      <w:bookmarkEnd w:id="207"/>
      <w:bookmarkEnd w:id="208"/>
      <w:bookmarkEnd w:id="209"/>
      <w:bookmarkEnd w:id="210"/>
      <w:bookmarkEnd w:id="211"/>
      <w:bookmarkEnd w:id="212"/>
      <w:bookmarkEnd w:id="213"/>
    </w:p>
    <w:p w14:paraId="02CE205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3.2.1 </w:t>
      </w:r>
      <w:r>
        <w:rPr>
          <w:rFonts w:hint="eastAsia" w:ascii="宋体" w:hAnsi="宋体" w:eastAsia="宋体" w:cs="宋体"/>
          <w:color w:val="000000" w:themeColor="text1"/>
          <w14:textFill>
            <w14:solidFill>
              <w14:schemeClr w14:val="tx1"/>
            </w14:solidFill>
          </w14:textFill>
        </w:rPr>
        <w:t>投标人应按招标文件提供的格式（见第六章“投标文件格式”）在投标函和报价一览表中进行报价。投标函中报价应为包含国家规定的增值税在内的含税价格，同时应列明增值税税率。采购人将根据项目情况，在第三章“评标办法”第</w:t>
      </w:r>
      <w:r>
        <w:rPr>
          <w:rFonts w:ascii="宋体" w:hAnsi="宋体" w:eastAsia="宋体" w:cs="宋体"/>
          <w:color w:val="000000" w:themeColor="text1"/>
          <w14:textFill>
            <w14:solidFill>
              <w14:schemeClr w14:val="tx1"/>
            </w14:solidFill>
          </w14:textFill>
        </w:rPr>
        <w:t>3.1.1</w:t>
      </w:r>
      <w:r>
        <w:rPr>
          <w:rFonts w:hint="eastAsia" w:ascii="宋体" w:hAnsi="宋体" w:eastAsia="宋体" w:cs="宋体"/>
          <w:color w:val="000000" w:themeColor="text1"/>
          <w14:textFill>
            <w14:solidFill>
              <w14:schemeClr w14:val="tx1"/>
            </w14:solidFill>
          </w14:textFill>
        </w:rPr>
        <w:t>项中选择按含税价格或不含税价格对投标人进行价格评审。</w:t>
      </w:r>
    </w:p>
    <w:p w14:paraId="38BBABF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3.2.2 </w:t>
      </w:r>
      <w:r>
        <w:rPr>
          <w:rFonts w:hint="eastAsia" w:ascii="宋体" w:hAnsi="宋体" w:eastAsia="宋体" w:cs="宋体"/>
          <w:color w:val="000000" w:themeColor="text1"/>
          <w14:textFill>
            <w14:solidFill>
              <w14:schemeClr w14:val="tx1"/>
            </w14:solidFill>
          </w14:textFill>
        </w:rPr>
        <w:t>投标人应充分了解招标项目的总体情况以及影响报价的其他因素。对于货物和服务招标项目，采购人在签署采购合同时及合同履行过程中，有权在投标人须知前附表规定的幅度内对采购标的的数量进行增加或减少。</w:t>
      </w:r>
    </w:p>
    <w:p w14:paraId="12C1982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3.2.3 </w:t>
      </w:r>
      <w:r>
        <w:rPr>
          <w:rFonts w:hint="eastAsia" w:ascii="宋体" w:hAnsi="宋体" w:eastAsia="宋体" w:cs="宋体"/>
          <w:color w:val="000000" w:themeColor="text1"/>
          <w14:textFill>
            <w14:solidFill>
              <w14:schemeClr w14:val="tx1"/>
            </w14:solidFill>
          </w14:textFill>
        </w:rPr>
        <w:t>采购人设有最高限价的，投标人的投标报价不得超过最高限价。最高限价或最高限价计算方法在投标人须知前附表中载明。</w:t>
      </w:r>
    </w:p>
    <w:p w14:paraId="27F5C93C">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3.2.4 </w:t>
      </w:r>
      <w:r>
        <w:rPr>
          <w:rFonts w:hint="eastAsia" w:ascii="宋体" w:hAnsi="宋体" w:eastAsia="宋体" w:cs="宋体"/>
          <w:color w:val="000000" w:themeColor="text1"/>
          <w14:textFill>
            <w14:solidFill>
              <w14:schemeClr w14:val="tx1"/>
            </w14:solidFill>
          </w14:textFill>
        </w:rPr>
        <w:t>投标报价的其他要求见投标人须知前附表。</w:t>
      </w:r>
    </w:p>
    <w:p w14:paraId="1B35D2D3">
      <w:pPr>
        <w:pStyle w:val="5"/>
        <w:spacing w:before="0" w:after="0" w:line="360" w:lineRule="auto"/>
        <w:rPr>
          <w:rFonts w:ascii="宋体"/>
          <w:color w:val="000000" w:themeColor="text1"/>
          <w:sz w:val="21"/>
          <w:szCs w:val="21"/>
          <w14:textFill>
            <w14:solidFill>
              <w14:schemeClr w14:val="tx1"/>
            </w14:solidFill>
          </w14:textFill>
        </w:rPr>
      </w:pPr>
      <w:bookmarkStart w:id="214" w:name="_Toc164432908"/>
      <w:bookmarkStart w:id="215" w:name="_Toc77658063"/>
      <w:bookmarkStart w:id="216" w:name="_Toc107396191"/>
      <w:bookmarkStart w:id="217" w:name="_Toc77116664"/>
      <w:bookmarkStart w:id="218" w:name="_Toc120282419"/>
      <w:bookmarkStart w:id="219" w:name="_Toc77504053"/>
      <w:bookmarkStart w:id="220" w:name="_Toc18672"/>
      <w:bookmarkStart w:id="221" w:name="_Toc70424844"/>
      <w:r>
        <w:rPr>
          <w:rFonts w:ascii="宋体" w:hAnsi="宋体" w:cs="宋体"/>
          <w:color w:val="000000" w:themeColor="text1"/>
          <w:sz w:val="21"/>
          <w:szCs w:val="21"/>
          <w14:textFill>
            <w14:solidFill>
              <w14:schemeClr w14:val="tx1"/>
            </w14:solidFill>
          </w14:textFill>
        </w:rPr>
        <w:t xml:space="preserve">3.3 </w:t>
      </w:r>
      <w:r>
        <w:rPr>
          <w:rFonts w:hint="eastAsia" w:ascii="宋体" w:hAnsi="宋体" w:cs="宋体"/>
          <w:color w:val="000000" w:themeColor="text1"/>
          <w:sz w:val="21"/>
          <w:szCs w:val="21"/>
          <w14:textFill>
            <w14:solidFill>
              <w14:schemeClr w14:val="tx1"/>
            </w14:solidFill>
          </w14:textFill>
        </w:rPr>
        <w:t>投标文件有效期</w:t>
      </w:r>
      <w:bookmarkEnd w:id="214"/>
      <w:bookmarkEnd w:id="215"/>
      <w:bookmarkEnd w:id="216"/>
      <w:bookmarkEnd w:id="217"/>
      <w:bookmarkEnd w:id="218"/>
      <w:bookmarkEnd w:id="219"/>
      <w:bookmarkEnd w:id="220"/>
      <w:bookmarkEnd w:id="221"/>
    </w:p>
    <w:p w14:paraId="7AE59BD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3.3.1 </w:t>
      </w:r>
      <w:r>
        <w:rPr>
          <w:rFonts w:hint="eastAsia" w:ascii="宋体" w:hAnsi="宋体" w:eastAsia="宋体" w:cs="宋体"/>
          <w:color w:val="000000" w:themeColor="text1"/>
          <w14:textFill>
            <w14:solidFill>
              <w14:schemeClr w14:val="tx1"/>
            </w14:solidFill>
          </w14:textFill>
        </w:rPr>
        <w:t>除投标人须知前附表另有规定外，投标文件有效期应为</w:t>
      </w:r>
      <w:r>
        <w:rPr>
          <w:rFonts w:ascii="宋体" w:hAnsi="宋体" w:eastAsia="宋体" w:cs="宋体"/>
          <w:color w:val="000000" w:themeColor="text1"/>
          <w14:textFill>
            <w14:solidFill>
              <w14:schemeClr w14:val="tx1"/>
            </w14:solidFill>
          </w14:textFill>
        </w:rPr>
        <w:t>90</w:t>
      </w:r>
      <w:r>
        <w:rPr>
          <w:rFonts w:hint="eastAsia" w:ascii="宋体" w:hAnsi="宋体" w:eastAsia="宋体" w:cs="宋体"/>
          <w:color w:val="000000" w:themeColor="text1"/>
          <w14:textFill>
            <w14:solidFill>
              <w14:schemeClr w14:val="tx1"/>
            </w14:solidFill>
          </w14:textFill>
        </w:rPr>
        <w:t>日，从招标文件规定的递交投标文件的截止时间开始计算。</w:t>
      </w:r>
    </w:p>
    <w:p w14:paraId="5597F02D">
      <w:pPr>
        <w:spacing w:line="360" w:lineRule="auto"/>
        <w:ind w:firstLine="420" w:firstLineChars="20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3.3.2 </w:t>
      </w:r>
      <w:bookmarkStart w:id="222" w:name="_Toc107396192"/>
      <w:bookmarkStart w:id="223" w:name="_Toc70424845"/>
      <w:bookmarkStart w:id="224" w:name="_Toc77658064"/>
      <w:bookmarkStart w:id="225" w:name="_Toc120282420"/>
      <w:bookmarkStart w:id="226" w:name="_Toc16949"/>
      <w:bookmarkStart w:id="227" w:name="_Toc77116665"/>
      <w:bookmarkStart w:id="228" w:name="_Toc77504054"/>
      <w:r>
        <w:rPr>
          <w:rFonts w:hint="eastAsia" w:ascii="宋体" w:hAnsi="宋体" w:eastAsia="宋体" w:cs="宋体"/>
          <w:color w:val="000000" w:themeColor="text1"/>
          <w14:textFill>
            <w14:solidFill>
              <w14:schemeClr w14:val="tx1"/>
            </w14:solidFill>
          </w14:textFill>
        </w:rPr>
        <w:t>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40E5D85F">
      <w:pPr>
        <w:pStyle w:val="5"/>
        <w:spacing w:before="0" w:after="0" w:line="360" w:lineRule="auto"/>
        <w:rPr>
          <w:rFonts w:hint="eastAsia" w:ascii="宋体" w:hAnsi="宋体" w:eastAsia="宋体" w:cs="宋体"/>
          <w:b w:val="0"/>
          <w:bCs w:val="0"/>
          <w:color w:val="000000" w:themeColor="text1"/>
          <w:sz w:val="21"/>
          <w:szCs w:val="21"/>
          <w:lang w:eastAsia="zh-CN"/>
          <w14:textFill>
            <w14:solidFill>
              <w14:schemeClr w14:val="tx1"/>
            </w14:solidFill>
          </w14:textFill>
        </w:rPr>
      </w:pPr>
      <w:bookmarkStart w:id="229" w:name="_Toc164432909"/>
      <w:r>
        <w:rPr>
          <w:rFonts w:ascii="宋体" w:hAnsi="宋体" w:cs="宋体"/>
          <w:color w:val="000000" w:themeColor="text1"/>
          <w:sz w:val="21"/>
          <w:szCs w:val="21"/>
          <w14:textFill>
            <w14:solidFill>
              <w14:schemeClr w14:val="tx1"/>
            </w14:solidFill>
          </w14:textFill>
        </w:rPr>
        <w:t xml:space="preserve">3.4 </w:t>
      </w:r>
      <w:r>
        <w:rPr>
          <w:rFonts w:hint="eastAsia" w:ascii="宋体" w:hAnsi="宋体" w:cs="宋体"/>
          <w:color w:val="000000" w:themeColor="text1"/>
          <w:sz w:val="21"/>
          <w:szCs w:val="21"/>
          <w14:textFill>
            <w14:solidFill>
              <w14:schemeClr w14:val="tx1"/>
            </w14:solidFill>
          </w14:textFill>
        </w:rPr>
        <w:t>投标保证金</w:t>
      </w:r>
      <w:bookmarkEnd w:id="222"/>
      <w:bookmarkEnd w:id="223"/>
      <w:bookmarkEnd w:id="224"/>
      <w:bookmarkEnd w:id="225"/>
      <w:bookmarkEnd w:id="226"/>
      <w:bookmarkEnd w:id="227"/>
      <w:bookmarkEnd w:id="228"/>
      <w:bookmarkEnd w:id="229"/>
    </w:p>
    <w:p w14:paraId="4CAA8F2D">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3.4.1 </w:t>
      </w:r>
      <w:r>
        <w:rPr>
          <w:rFonts w:hint="eastAsia" w:ascii="宋体" w:hAnsi="宋体" w:eastAsia="宋体" w:cs="宋体"/>
          <w:color w:val="000000" w:themeColor="text1"/>
          <w14:textFill>
            <w14:solidFill>
              <w14:schemeClr w14:val="tx1"/>
            </w14:solidFill>
          </w14:textFill>
        </w:rPr>
        <w:t>投标人须知前附表规定要求递交投标保证金的，投标人在递交投标文件的同时，应按投标人须知前附表规定的金额、形式和第六章“投标文件格式”规定的投标保证金格式递交投标保证金，并作为其投标文件的组成部分。投标人不按要求递交投标保证金的，其投标文件将被视为无效。</w:t>
      </w:r>
    </w:p>
    <w:p w14:paraId="464382F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3.4.2 </w:t>
      </w:r>
      <w:r>
        <w:rPr>
          <w:rFonts w:hint="eastAsia" w:ascii="宋体" w:hAnsi="宋体" w:eastAsia="宋体" w:cs="宋体"/>
          <w:color w:val="000000" w:themeColor="text1"/>
          <w14:textFill>
            <w14:solidFill>
              <w14:schemeClr w14:val="tx1"/>
            </w14:solidFill>
          </w14:textFill>
        </w:rPr>
        <w:t>除投标人须知前附表另有规定外，采购人最迟将在与中标人签订采购合同后</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日内，向未中标的投标人和中标人原额退还投标保证金。</w:t>
      </w:r>
    </w:p>
    <w:p w14:paraId="2703505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3.4.3 </w:t>
      </w:r>
      <w:r>
        <w:rPr>
          <w:rFonts w:hint="eastAsia" w:ascii="宋体" w:hAnsi="宋体" w:eastAsia="宋体" w:cs="宋体"/>
          <w:color w:val="000000" w:themeColor="text1"/>
          <w14:textFill>
            <w14:solidFill>
              <w14:schemeClr w14:val="tx1"/>
            </w14:solidFill>
          </w14:textFill>
        </w:rPr>
        <w:t>有下列情形之一的，投标保证金将不予退还：</w:t>
      </w:r>
    </w:p>
    <w:p w14:paraId="452DC59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）投标人在投标文件有效期内撤销投标文件；</w:t>
      </w:r>
    </w:p>
    <w:p w14:paraId="0801FD3D">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）中标人在收到中标通知书后，无正当理由不与采购人订立合同，在签订合同时向采购人提出附加条件，或者不按照招标文件要求递交履约保证金；</w:t>
      </w:r>
    </w:p>
    <w:p w14:paraId="4F5CB64C">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）发生投标人须知前附表规定的其他不予退还投标保证金的情形。</w:t>
      </w:r>
    </w:p>
    <w:p w14:paraId="32CA50BC">
      <w:pPr>
        <w:pStyle w:val="5"/>
        <w:spacing w:before="0" w:after="0" w:line="360" w:lineRule="auto"/>
        <w:rPr>
          <w:rFonts w:ascii="宋体"/>
          <w:color w:val="000000" w:themeColor="text1"/>
          <w:sz w:val="21"/>
          <w:szCs w:val="21"/>
          <w14:textFill>
            <w14:solidFill>
              <w14:schemeClr w14:val="tx1"/>
            </w14:solidFill>
          </w14:textFill>
        </w:rPr>
      </w:pPr>
      <w:bookmarkStart w:id="230" w:name="_Toc107396193"/>
      <w:bookmarkStart w:id="231" w:name="_Toc77504055"/>
      <w:bookmarkStart w:id="232" w:name="_Toc77116666"/>
      <w:bookmarkStart w:id="233" w:name="_Toc6389"/>
      <w:bookmarkStart w:id="234" w:name="_Toc120282421"/>
      <w:bookmarkStart w:id="235" w:name="_Toc77658065"/>
      <w:bookmarkStart w:id="236" w:name="_Toc164432910"/>
      <w:bookmarkStart w:id="237" w:name="_Toc70424846"/>
      <w:r>
        <w:rPr>
          <w:rFonts w:ascii="宋体" w:hAnsi="宋体" w:cs="宋体"/>
          <w:color w:val="000000" w:themeColor="text1"/>
          <w:sz w:val="21"/>
          <w:szCs w:val="21"/>
          <w14:textFill>
            <w14:solidFill>
              <w14:schemeClr w14:val="tx1"/>
            </w14:solidFill>
          </w14:textFill>
        </w:rPr>
        <w:t xml:space="preserve">3.5 </w:t>
      </w:r>
      <w:r>
        <w:rPr>
          <w:rFonts w:hint="eastAsia" w:ascii="宋体" w:hAnsi="宋体" w:cs="宋体"/>
          <w:color w:val="000000" w:themeColor="text1"/>
          <w:sz w:val="21"/>
          <w:szCs w:val="21"/>
          <w14:textFill>
            <w14:solidFill>
              <w14:schemeClr w14:val="tx1"/>
            </w14:solidFill>
          </w14:textFill>
        </w:rPr>
        <w:t>资格审查资料</w:t>
      </w:r>
      <w:bookmarkEnd w:id="230"/>
      <w:bookmarkEnd w:id="231"/>
      <w:bookmarkEnd w:id="232"/>
      <w:bookmarkEnd w:id="233"/>
      <w:bookmarkEnd w:id="234"/>
      <w:bookmarkEnd w:id="235"/>
      <w:bookmarkEnd w:id="236"/>
      <w:bookmarkEnd w:id="237"/>
    </w:p>
    <w:p w14:paraId="16880EF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除投标人须知前附表另有规定外，投标人应按下列规定提供资格审查资料，以证明其满足本章第</w:t>
      </w:r>
      <w:r>
        <w:rPr>
          <w:rFonts w:ascii="宋体" w:hAnsi="宋体" w:eastAsia="宋体" w:cs="宋体"/>
          <w:color w:val="000000" w:themeColor="text1"/>
          <w14:textFill>
            <w14:solidFill>
              <w14:schemeClr w14:val="tx1"/>
            </w14:solidFill>
          </w14:textFill>
        </w:rPr>
        <w:t>1.4</w:t>
      </w:r>
      <w:r>
        <w:rPr>
          <w:rFonts w:hint="eastAsia" w:ascii="宋体" w:hAnsi="宋体" w:eastAsia="宋体" w:cs="宋体"/>
          <w:color w:val="000000" w:themeColor="text1"/>
          <w14:textFill>
            <w14:solidFill>
              <w14:schemeClr w14:val="tx1"/>
            </w14:solidFill>
          </w14:textFill>
        </w:rPr>
        <w:t>款规定的各项资格要求。</w:t>
      </w:r>
    </w:p>
    <w:p w14:paraId="7CB21ACC">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3.5.1 </w:t>
      </w:r>
      <w:r>
        <w:rPr>
          <w:rFonts w:hint="eastAsia" w:ascii="宋体" w:hAnsi="宋体" w:eastAsia="宋体" w:cs="宋体"/>
          <w:color w:val="000000" w:themeColor="text1"/>
          <w14:textFill>
            <w14:solidFill>
              <w14:schemeClr w14:val="tx1"/>
            </w14:solidFill>
          </w14:textFill>
        </w:rPr>
        <w:t>满足《中华人民共和国政府采购法》第二十二条规定：见投标人须知前附表第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w:t>
      </w:r>
    </w:p>
    <w:p w14:paraId="57BB0FD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3.5.2 </w:t>
      </w:r>
      <w:r>
        <w:rPr>
          <w:rFonts w:hint="eastAsia" w:ascii="宋体" w:hAnsi="宋体" w:eastAsia="宋体" w:cs="宋体"/>
          <w:color w:val="000000" w:themeColor="text1"/>
          <w14:textFill>
            <w14:solidFill>
              <w14:schemeClr w14:val="tx1"/>
            </w14:solidFill>
          </w14:textFill>
        </w:rPr>
        <w:t>特定资格要求：见投标人须知前附表第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w:t>
      </w:r>
    </w:p>
    <w:p w14:paraId="3E5BEEE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3.5.3 </w:t>
      </w:r>
      <w:r>
        <w:rPr>
          <w:rFonts w:hint="eastAsia" w:ascii="宋体" w:hAnsi="宋体" w:eastAsia="宋体" w:cs="宋体"/>
          <w:color w:val="000000" w:themeColor="text1"/>
          <w14:textFill>
            <w14:solidFill>
              <w14:schemeClr w14:val="tx1"/>
            </w14:solidFill>
          </w14:textFill>
        </w:rPr>
        <w:t>投标人须知前附表规定接受联合体投标的，本章第</w:t>
      </w:r>
      <w:r>
        <w:rPr>
          <w:rFonts w:ascii="宋体" w:hAnsi="宋体" w:eastAsia="宋体" w:cs="宋体"/>
          <w:color w:val="000000" w:themeColor="text1"/>
          <w14:textFill>
            <w14:solidFill>
              <w14:schemeClr w14:val="tx1"/>
            </w14:solidFill>
          </w14:textFill>
        </w:rPr>
        <w:t>3.5.1</w:t>
      </w:r>
      <w:r>
        <w:rPr>
          <w:rFonts w:hint="eastAsia" w:ascii="宋体" w:hAnsi="宋体" w:eastAsia="宋体" w:cs="宋体"/>
          <w:color w:val="000000" w:themeColor="text1"/>
          <w14:textFill>
            <w14:solidFill>
              <w14:schemeClr w14:val="tx1"/>
            </w14:solidFill>
          </w14:textFill>
        </w:rPr>
        <w:t>项至第</w:t>
      </w:r>
      <w:r>
        <w:rPr>
          <w:rFonts w:ascii="宋体" w:hAnsi="宋体" w:eastAsia="宋体" w:cs="宋体"/>
          <w:color w:val="000000" w:themeColor="text1"/>
          <w14:textFill>
            <w14:solidFill>
              <w14:schemeClr w14:val="tx1"/>
            </w14:solidFill>
          </w14:textFill>
        </w:rPr>
        <w:t>3.5.2</w:t>
      </w:r>
      <w:r>
        <w:rPr>
          <w:rFonts w:hint="eastAsia" w:ascii="宋体" w:hAnsi="宋体" w:eastAsia="宋体" w:cs="宋体"/>
          <w:color w:val="000000" w:themeColor="text1"/>
          <w14:textFill>
            <w14:solidFill>
              <w14:schemeClr w14:val="tx1"/>
            </w14:solidFill>
          </w14:textFill>
        </w:rPr>
        <w:t>项规定的表格和资料应包括联合体各方相关情况。</w:t>
      </w:r>
    </w:p>
    <w:p w14:paraId="67E892B8">
      <w:pPr>
        <w:pStyle w:val="5"/>
        <w:spacing w:before="0" w:after="0" w:line="360" w:lineRule="auto"/>
        <w:rPr>
          <w:rFonts w:ascii="宋体"/>
          <w:color w:val="000000" w:themeColor="text1"/>
          <w:sz w:val="21"/>
          <w:szCs w:val="21"/>
          <w14:textFill>
            <w14:solidFill>
              <w14:schemeClr w14:val="tx1"/>
            </w14:solidFill>
          </w14:textFill>
        </w:rPr>
      </w:pPr>
      <w:bookmarkStart w:id="238" w:name="_Toc77504056"/>
      <w:bookmarkStart w:id="239" w:name="_Toc70424847"/>
      <w:bookmarkStart w:id="240" w:name="_Toc77658066"/>
      <w:bookmarkStart w:id="241" w:name="_Toc22712"/>
      <w:bookmarkStart w:id="242" w:name="_Toc120282422"/>
      <w:bookmarkStart w:id="243" w:name="_Toc77116667"/>
      <w:bookmarkStart w:id="244" w:name="_Toc164432911"/>
      <w:bookmarkStart w:id="245" w:name="_Toc107396194"/>
      <w:r>
        <w:rPr>
          <w:rFonts w:ascii="宋体" w:hAnsi="宋体" w:cs="宋体"/>
          <w:color w:val="000000" w:themeColor="text1"/>
          <w:sz w:val="21"/>
          <w:szCs w:val="21"/>
          <w14:textFill>
            <w14:solidFill>
              <w14:schemeClr w14:val="tx1"/>
            </w14:solidFill>
          </w14:textFill>
        </w:rPr>
        <w:t xml:space="preserve">3.6 </w:t>
      </w:r>
      <w:r>
        <w:rPr>
          <w:rFonts w:hint="eastAsia" w:ascii="宋体" w:hAnsi="宋体" w:cs="宋体"/>
          <w:color w:val="000000" w:themeColor="text1"/>
          <w:sz w:val="21"/>
          <w:szCs w:val="21"/>
          <w14:textFill>
            <w14:solidFill>
              <w14:schemeClr w14:val="tx1"/>
            </w14:solidFill>
          </w14:textFill>
        </w:rPr>
        <w:t>投标方案</w:t>
      </w:r>
      <w:bookmarkEnd w:id="238"/>
      <w:bookmarkEnd w:id="239"/>
      <w:bookmarkEnd w:id="240"/>
      <w:bookmarkEnd w:id="241"/>
      <w:bookmarkEnd w:id="242"/>
      <w:bookmarkEnd w:id="243"/>
      <w:bookmarkEnd w:id="244"/>
      <w:bookmarkEnd w:id="245"/>
    </w:p>
    <w:p w14:paraId="60517A4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3.6.1 </w:t>
      </w:r>
      <w:r>
        <w:rPr>
          <w:rFonts w:hint="eastAsia" w:ascii="宋体" w:hAnsi="宋体" w:eastAsia="宋体" w:cs="宋体"/>
          <w:color w:val="000000" w:themeColor="text1"/>
          <w14:textFill>
            <w14:solidFill>
              <w14:schemeClr w14:val="tx1"/>
            </w14:solidFill>
          </w14:textFill>
        </w:rPr>
        <w:t>投标文件应当对招标文件中的实质性内容作出响应。</w:t>
      </w:r>
    </w:p>
    <w:p w14:paraId="30CCE30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3.6.2 </w:t>
      </w:r>
      <w:r>
        <w:rPr>
          <w:rFonts w:hint="eastAsia" w:ascii="宋体" w:hAnsi="宋体" w:eastAsia="宋体" w:cs="宋体"/>
          <w:color w:val="000000" w:themeColor="text1"/>
          <w14:textFill>
            <w14:solidFill>
              <w14:schemeClr w14:val="tx1"/>
            </w14:solidFill>
          </w14:textFill>
        </w:rPr>
        <w:t>除投标人须知前附表规定投标人只能提出唯一投标方案外，投标人可在递交的投标文件中提出多个投标方案。评标委员会认为中标人的备选投标方案优于其按照招标文件要求编制的投标方案的，采购人可以接受该备选投标方案。</w:t>
      </w:r>
    </w:p>
    <w:p w14:paraId="3F2ECA0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3.6.3 </w:t>
      </w:r>
      <w:r>
        <w:rPr>
          <w:rFonts w:hint="eastAsia" w:ascii="宋体" w:hAnsi="宋体" w:eastAsia="宋体" w:cs="宋体"/>
          <w:color w:val="000000" w:themeColor="text1"/>
          <w14:textFill>
            <w14:solidFill>
              <w14:schemeClr w14:val="tx1"/>
            </w14:solidFill>
          </w14:textFill>
        </w:rPr>
        <w:t>投标文件对招标文件的全部偏差，均应在投标文件的商务偏差表中列明。投标文件偏差表中未列明的内容，将视为响应招标文件的要求；但如发现投标文件的其他部分与商务偏差表的描述不一致或投标人的响应缺乏支持性文件，则评标委员会有权要求投标人对相关问题进行澄清，并根据澄清结果对投标人的投标文件进行评审。</w:t>
      </w:r>
    </w:p>
    <w:p w14:paraId="01094EC1">
      <w:pPr>
        <w:pStyle w:val="5"/>
        <w:spacing w:before="0" w:after="0" w:line="360" w:lineRule="auto"/>
        <w:rPr>
          <w:rFonts w:ascii="宋体"/>
          <w:color w:val="000000" w:themeColor="text1"/>
          <w:sz w:val="21"/>
          <w:szCs w:val="21"/>
          <w14:textFill>
            <w14:solidFill>
              <w14:schemeClr w14:val="tx1"/>
            </w14:solidFill>
          </w14:textFill>
        </w:rPr>
      </w:pPr>
      <w:bookmarkStart w:id="246" w:name="_Toc107396195"/>
      <w:bookmarkStart w:id="247" w:name="_Toc164432912"/>
      <w:bookmarkStart w:id="248" w:name="_Toc77658067"/>
      <w:bookmarkStart w:id="249" w:name="_Toc77504057"/>
      <w:bookmarkStart w:id="250" w:name="_Toc27223"/>
      <w:bookmarkStart w:id="251" w:name="_Toc77116668"/>
      <w:bookmarkStart w:id="252" w:name="_Toc120282423"/>
      <w:bookmarkStart w:id="253" w:name="_Toc70424848"/>
      <w:r>
        <w:rPr>
          <w:rFonts w:ascii="宋体" w:hAnsi="宋体" w:cs="宋体"/>
          <w:color w:val="000000" w:themeColor="text1"/>
          <w:sz w:val="21"/>
          <w:szCs w:val="21"/>
          <w14:textFill>
            <w14:solidFill>
              <w14:schemeClr w14:val="tx1"/>
            </w14:solidFill>
          </w14:textFill>
        </w:rPr>
        <w:t xml:space="preserve">3.7 </w:t>
      </w:r>
      <w:r>
        <w:rPr>
          <w:rFonts w:hint="eastAsia" w:ascii="宋体" w:hAnsi="宋体" w:cs="宋体"/>
          <w:color w:val="000000" w:themeColor="text1"/>
          <w:sz w:val="21"/>
          <w:szCs w:val="21"/>
          <w14:textFill>
            <w14:solidFill>
              <w14:schemeClr w14:val="tx1"/>
            </w14:solidFill>
          </w14:textFill>
        </w:rPr>
        <w:t>投标文件的编制</w:t>
      </w:r>
      <w:bookmarkEnd w:id="246"/>
      <w:bookmarkEnd w:id="247"/>
      <w:bookmarkEnd w:id="248"/>
      <w:bookmarkEnd w:id="249"/>
      <w:bookmarkEnd w:id="250"/>
      <w:bookmarkEnd w:id="251"/>
      <w:bookmarkEnd w:id="252"/>
      <w:bookmarkEnd w:id="253"/>
    </w:p>
    <w:p w14:paraId="5D1EFE4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3.7.1 </w:t>
      </w:r>
      <w:r>
        <w:rPr>
          <w:rFonts w:hint="eastAsia" w:ascii="宋体" w:hAnsi="宋体" w:eastAsia="宋体" w:cs="宋体"/>
          <w:color w:val="000000" w:themeColor="text1"/>
          <w14:textFill>
            <w14:solidFill>
              <w14:schemeClr w14:val="tx1"/>
            </w14:solidFill>
          </w14:textFill>
        </w:rPr>
        <w:t>投标文件应按第六章“投标文件格式”进行编写，如有必要，可以增加附页，作为投标文件的组成部分。</w:t>
      </w:r>
    </w:p>
    <w:p w14:paraId="090DE48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3.7.2 </w:t>
      </w:r>
      <w:r>
        <w:rPr>
          <w:rFonts w:hint="eastAsia" w:ascii="宋体" w:hAnsi="宋体" w:eastAsia="宋体" w:cs="宋体"/>
          <w:color w:val="000000" w:themeColor="text1"/>
          <w14:textFill>
            <w14:solidFill>
              <w14:schemeClr w14:val="tx1"/>
            </w14:solidFill>
          </w14:textFill>
        </w:rPr>
        <w:t>投标文件电子签章及电子签名要求：见投标人须知前附表。</w:t>
      </w:r>
    </w:p>
    <w:p w14:paraId="7504E236">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254" w:name="_Toc11249"/>
      <w:bookmarkStart w:id="255" w:name="_Toc70424849"/>
      <w:bookmarkStart w:id="256" w:name="_Toc107396196"/>
      <w:bookmarkStart w:id="257" w:name="_Toc77504058"/>
      <w:bookmarkStart w:id="258" w:name="_Toc164432913"/>
      <w:bookmarkStart w:id="259" w:name="_Toc77116669"/>
      <w:bookmarkStart w:id="260" w:name="_Toc120282424"/>
      <w:bookmarkStart w:id="261" w:name="_Toc77658068"/>
      <w:r>
        <w:rPr>
          <w:rFonts w:ascii="宋体" w:hAnsi="宋体" w:eastAsia="宋体" w:cs="宋体"/>
          <w:color w:val="000000" w:themeColor="text1"/>
          <w:sz w:val="21"/>
          <w:szCs w:val="21"/>
          <w14:textFill>
            <w14:solidFill>
              <w14:schemeClr w14:val="tx1"/>
            </w14:solidFill>
          </w14:textFill>
        </w:rPr>
        <w:t xml:space="preserve">4. </w:t>
      </w:r>
      <w:r>
        <w:rPr>
          <w:rFonts w:hint="eastAsia" w:ascii="宋体" w:hAnsi="宋体" w:eastAsia="宋体" w:cs="宋体"/>
          <w:color w:val="000000" w:themeColor="text1"/>
          <w:sz w:val="21"/>
          <w:szCs w:val="21"/>
          <w14:textFill>
            <w14:solidFill>
              <w14:schemeClr w14:val="tx1"/>
            </w14:solidFill>
          </w14:textFill>
        </w:rPr>
        <w:t>投标文件的递交</w:t>
      </w:r>
      <w:bookmarkEnd w:id="254"/>
      <w:bookmarkEnd w:id="255"/>
      <w:bookmarkEnd w:id="256"/>
      <w:bookmarkEnd w:id="257"/>
      <w:bookmarkEnd w:id="258"/>
      <w:bookmarkEnd w:id="259"/>
      <w:bookmarkEnd w:id="260"/>
      <w:bookmarkEnd w:id="261"/>
    </w:p>
    <w:p w14:paraId="57672348">
      <w:pPr>
        <w:pStyle w:val="5"/>
        <w:spacing w:before="0" w:after="0" w:line="360" w:lineRule="auto"/>
        <w:rPr>
          <w:rFonts w:ascii="宋体"/>
          <w:color w:val="000000" w:themeColor="text1"/>
          <w:sz w:val="21"/>
          <w:szCs w:val="21"/>
          <w14:textFill>
            <w14:solidFill>
              <w14:schemeClr w14:val="tx1"/>
            </w14:solidFill>
          </w14:textFill>
        </w:rPr>
      </w:pPr>
      <w:bookmarkStart w:id="262" w:name="_Toc70424850"/>
      <w:bookmarkStart w:id="263" w:name="_Toc77504059"/>
      <w:bookmarkStart w:id="264" w:name="_Toc107396197"/>
      <w:bookmarkStart w:id="265" w:name="_Toc77658069"/>
      <w:bookmarkStart w:id="266" w:name="_Toc120282425"/>
      <w:bookmarkStart w:id="267" w:name="_Toc2098"/>
      <w:bookmarkStart w:id="268" w:name="_Toc164432914"/>
      <w:bookmarkStart w:id="269" w:name="_Toc77116670"/>
      <w:r>
        <w:rPr>
          <w:rFonts w:ascii="宋体" w:hAnsi="宋体" w:cs="宋体"/>
          <w:color w:val="000000" w:themeColor="text1"/>
          <w:sz w:val="21"/>
          <w:szCs w:val="21"/>
          <w14:textFill>
            <w14:solidFill>
              <w14:schemeClr w14:val="tx1"/>
            </w14:solidFill>
          </w14:textFill>
        </w:rPr>
        <w:t xml:space="preserve">4.1 </w:t>
      </w:r>
      <w:r>
        <w:rPr>
          <w:rFonts w:hint="eastAsia" w:ascii="宋体" w:hAnsi="宋体" w:cs="宋体"/>
          <w:color w:val="000000" w:themeColor="text1"/>
          <w:sz w:val="21"/>
          <w:szCs w:val="21"/>
          <w14:textFill>
            <w14:solidFill>
              <w14:schemeClr w14:val="tx1"/>
            </w14:solidFill>
          </w14:textFill>
        </w:rPr>
        <w:t>投标文件的</w:t>
      </w:r>
      <w:bookmarkEnd w:id="262"/>
      <w:r>
        <w:rPr>
          <w:rFonts w:hint="eastAsia" w:ascii="宋体" w:hAnsi="宋体" w:cs="宋体"/>
          <w:color w:val="000000" w:themeColor="text1"/>
          <w:sz w:val="21"/>
          <w:szCs w:val="21"/>
          <w14:textFill>
            <w14:solidFill>
              <w14:schemeClr w14:val="tx1"/>
            </w14:solidFill>
          </w14:textFill>
        </w:rPr>
        <w:t>加密</w:t>
      </w:r>
      <w:bookmarkEnd w:id="263"/>
      <w:bookmarkEnd w:id="264"/>
      <w:bookmarkEnd w:id="265"/>
      <w:bookmarkEnd w:id="266"/>
      <w:bookmarkEnd w:id="267"/>
      <w:bookmarkEnd w:id="268"/>
      <w:bookmarkEnd w:id="269"/>
    </w:p>
    <w:p w14:paraId="2AC1702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投标人对网上递交的投标文件应</w:t>
      </w:r>
      <w:r>
        <w:rPr>
          <w:rFonts w:hint="eastAsia" w:ascii="宋体" w:hAnsi="宋体" w:eastAsia="宋体" w:cs="宋体"/>
          <w:color w:val="000000" w:themeColor="text1"/>
          <w:lang w:val="zh-CN"/>
          <w14:textFill>
            <w14:solidFill>
              <w14:schemeClr w14:val="tx1"/>
            </w14:solidFill>
          </w14:textFill>
        </w:rPr>
        <w:t>使用数字证书进行</w:t>
      </w:r>
      <w:r>
        <w:rPr>
          <w:rFonts w:hint="eastAsia" w:ascii="宋体" w:hAnsi="宋体" w:eastAsia="宋体" w:cs="宋体"/>
          <w:color w:val="000000" w:themeColor="text1"/>
          <w14:textFill>
            <w14:solidFill>
              <w14:schemeClr w14:val="tx1"/>
            </w14:solidFill>
          </w14:textFill>
        </w:rPr>
        <w:t>加密。</w:t>
      </w:r>
    </w:p>
    <w:p w14:paraId="59F755D6">
      <w:pPr>
        <w:pStyle w:val="5"/>
        <w:spacing w:before="0" w:after="0" w:line="360" w:lineRule="auto"/>
        <w:rPr>
          <w:rFonts w:ascii="宋体"/>
          <w:color w:val="000000" w:themeColor="text1"/>
          <w:sz w:val="21"/>
          <w:szCs w:val="21"/>
          <w14:textFill>
            <w14:solidFill>
              <w14:schemeClr w14:val="tx1"/>
            </w14:solidFill>
          </w14:textFill>
        </w:rPr>
      </w:pPr>
      <w:bookmarkStart w:id="270" w:name="_Toc120282426"/>
      <w:bookmarkStart w:id="271" w:name="_Toc77116671"/>
      <w:bookmarkStart w:id="272" w:name="_Toc77658070"/>
      <w:bookmarkStart w:id="273" w:name="_Toc17143"/>
      <w:bookmarkStart w:id="274" w:name="_Toc77504060"/>
      <w:bookmarkStart w:id="275" w:name="_Toc70424851"/>
      <w:bookmarkStart w:id="276" w:name="_Toc107396198"/>
      <w:bookmarkStart w:id="277" w:name="_Toc164432915"/>
      <w:r>
        <w:rPr>
          <w:rFonts w:ascii="宋体" w:hAnsi="宋体" w:cs="宋体"/>
          <w:color w:val="000000" w:themeColor="text1"/>
          <w:sz w:val="21"/>
          <w:szCs w:val="21"/>
          <w14:textFill>
            <w14:solidFill>
              <w14:schemeClr w14:val="tx1"/>
            </w14:solidFill>
          </w14:textFill>
        </w:rPr>
        <w:t xml:space="preserve">4.2 </w:t>
      </w:r>
      <w:r>
        <w:rPr>
          <w:rFonts w:hint="eastAsia" w:ascii="宋体" w:hAnsi="宋体" w:cs="宋体"/>
          <w:color w:val="000000" w:themeColor="text1"/>
          <w:sz w:val="21"/>
          <w:szCs w:val="21"/>
          <w14:textFill>
            <w14:solidFill>
              <w14:schemeClr w14:val="tx1"/>
            </w14:solidFill>
          </w14:textFill>
        </w:rPr>
        <w:t>投标文件的递交</w:t>
      </w:r>
      <w:bookmarkEnd w:id="270"/>
      <w:bookmarkEnd w:id="271"/>
      <w:bookmarkEnd w:id="272"/>
      <w:bookmarkEnd w:id="273"/>
      <w:bookmarkEnd w:id="274"/>
      <w:bookmarkEnd w:id="275"/>
      <w:bookmarkEnd w:id="276"/>
      <w:bookmarkStart w:id="278" w:name="_Toc70424852"/>
      <w:bookmarkStart w:id="279" w:name="_Toc19453"/>
      <w:bookmarkStart w:id="280" w:name="_Toc77658071"/>
      <w:bookmarkStart w:id="281" w:name="_Toc120282427"/>
      <w:bookmarkStart w:id="282" w:name="_Toc77504061"/>
      <w:bookmarkStart w:id="283" w:name="_Toc107396199"/>
      <w:bookmarkStart w:id="284" w:name="_Toc77116672"/>
      <w:r>
        <w:rPr>
          <w:rFonts w:hint="eastAsia" w:ascii="宋体"/>
          <w:color w:val="000000" w:themeColor="text1"/>
          <w:sz w:val="21"/>
          <w:szCs w:val="21"/>
          <w14:textFill>
            <w14:solidFill>
              <w14:schemeClr w14:val="tx1"/>
            </w14:solidFill>
          </w14:textFill>
        </w:rPr>
        <w:t>：</w:t>
      </w:r>
      <w:r>
        <w:rPr>
          <w:rFonts w:hint="eastAsia" w:ascii="宋体" w:hAnsi="宋体" w:cs="宋体"/>
          <w:b w:val="0"/>
          <w:bCs w:val="0"/>
          <w:color w:val="000000" w:themeColor="text1"/>
          <w:kern w:val="2"/>
          <w:sz w:val="21"/>
          <w:szCs w:val="21"/>
          <w14:textFill>
            <w14:solidFill>
              <w14:schemeClr w14:val="tx1"/>
            </w14:solidFill>
          </w14:textFill>
        </w:rPr>
        <w:t>见投标人须知前附表。</w:t>
      </w:r>
      <w:bookmarkEnd w:id="277"/>
    </w:p>
    <w:p w14:paraId="00A4E743">
      <w:pPr>
        <w:pStyle w:val="5"/>
        <w:spacing w:before="0" w:after="0" w:line="360" w:lineRule="auto"/>
        <w:rPr>
          <w:rFonts w:ascii="宋体"/>
          <w:color w:val="000000" w:themeColor="text1"/>
          <w:sz w:val="21"/>
          <w:szCs w:val="21"/>
          <w14:textFill>
            <w14:solidFill>
              <w14:schemeClr w14:val="tx1"/>
            </w14:solidFill>
          </w14:textFill>
        </w:rPr>
      </w:pPr>
      <w:bookmarkStart w:id="285" w:name="_Toc164432916"/>
      <w:r>
        <w:rPr>
          <w:rFonts w:ascii="宋体" w:hAnsi="宋体" w:cs="宋体"/>
          <w:color w:val="000000" w:themeColor="text1"/>
          <w:sz w:val="21"/>
          <w:szCs w:val="21"/>
          <w14:textFill>
            <w14:solidFill>
              <w14:schemeClr w14:val="tx1"/>
            </w14:solidFill>
          </w14:textFill>
        </w:rPr>
        <w:t xml:space="preserve">4.3 </w:t>
      </w:r>
      <w:r>
        <w:rPr>
          <w:rFonts w:hint="eastAsia" w:ascii="宋体" w:hAnsi="宋体" w:cs="宋体"/>
          <w:color w:val="000000" w:themeColor="text1"/>
          <w:sz w:val="21"/>
          <w:szCs w:val="21"/>
          <w14:textFill>
            <w14:solidFill>
              <w14:schemeClr w14:val="tx1"/>
            </w14:solidFill>
          </w14:textFill>
        </w:rPr>
        <w:t>投标文件的修改与撤回</w:t>
      </w:r>
      <w:bookmarkEnd w:id="278"/>
      <w:bookmarkEnd w:id="279"/>
      <w:bookmarkEnd w:id="280"/>
      <w:bookmarkEnd w:id="281"/>
      <w:bookmarkEnd w:id="282"/>
      <w:bookmarkEnd w:id="283"/>
      <w:bookmarkEnd w:id="284"/>
      <w:bookmarkEnd w:id="285"/>
    </w:p>
    <w:p w14:paraId="514893C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4.3.1 </w:t>
      </w:r>
      <w:r>
        <w:rPr>
          <w:rFonts w:hint="eastAsia" w:ascii="宋体" w:hAnsi="宋体" w:eastAsia="宋体" w:cs="宋体"/>
          <w:color w:val="000000" w:themeColor="text1"/>
          <w14:textFill>
            <w14:solidFill>
              <w14:schemeClr w14:val="tx1"/>
            </w14:solidFill>
          </w14:textFill>
        </w:rPr>
        <w:t>在本章第</w:t>
      </w:r>
      <w:r>
        <w:rPr>
          <w:rFonts w:ascii="宋体" w:hAnsi="宋体" w:eastAsia="宋体" w:cs="宋体"/>
          <w:color w:val="000000" w:themeColor="text1"/>
          <w14:textFill>
            <w14:solidFill>
              <w14:schemeClr w14:val="tx1"/>
            </w14:solidFill>
          </w14:textFill>
        </w:rPr>
        <w:t>4.2.1</w:t>
      </w:r>
      <w:r>
        <w:rPr>
          <w:rFonts w:hint="eastAsia" w:ascii="宋体" w:hAnsi="宋体" w:eastAsia="宋体" w:cs="宋体"/>
          <w:color w:val="000000" w:themeColor="text1"/>
          <w14:textFill>
            <w14:solidFill>
              <w14:schemeClr w14:val="tx1"/>
            </w14:solidFill>
          </w14:textFill>
        </w:rPr>
        <w:t>项规定的递交投标文件的截止时间前，投标人可以修改或撤回已递交的投标文件。</w:t>
      </w:r>
    </w:p>
    <w:p w14:paraId="68596FF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4.3.2 </w:t>
      </w:r>
      <w:r>
        <w:rPr>
          <w:rFonts w:hint="eastAsia" w:ascii="宋体" w:hAnsi="宋体" w:eastAsia="宋体" w:cs="宋体"/>
          <w:color w:val="000000" w:themeColor="text1"/>
          <w14:textFill>
            <w14:solidFill>
              <w14:schemeClr w14:val="tx1"/>
            </w14:solidFill>
          </w14:textFill>
        </w:rPr>
        <w:t>投标人撤回投标文件的，可在规定时间内申请退还已缴纳的投标保证金。</w:t>
      </w:r>
    </w:p>
    <w:p w14:paraId="4A28362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4.3.3</w:t>
      </w:r>
      <w:r>
        <w:rPr>
          <w:rFonts w:hint="eastAsia" w:ascii="宋体" w:hAnsi="宋体" w:eastAsia="宋体" w:cs="宋体"/>
          <w:color w:val="000000" w:themeColor="text1"/>
          <w14:textFill>
            <w14:solidFill>
              <w14:schemeClr w14:val="tx1"/>
            </w14:solidFill>
          </w14:textFill>
        </w:rPr>
        <w:t>修改的投标文件应按照本章第</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条、第</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条规定进行编制和上传。</w:t>
      </w:r>
    </w:p>
    <w:p w14:paraId="03B292EC">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286" w:name="_Toc70424853"/>
      <w:bookmarkStart w:id="287" w:name="_Toc107396200"/>
      <w:bookmarkStart w:id="288" w:name="_Toc77116673"/>
      <w:bookmarkStart w:id="289" w:name="_Toc120282428"/>
      <w:bookmarkStart w:id="290" w:name="_Toc77504062"/>
      <w:bookmarkStart w:id="291" w:name="_Toc77658072"/>
      <w:bookmarkStart w:id="292" w:name="_Toc19742"/>
      <w:bookmarkStart w:id="293" w:name="_Toc164432917"/>
      <w:r>
        <w:rPr>
          <w:rFonts w:ascii="宋体" w:hAnsi="宋体" w:eastAsia="宋体" w:cs="宋体"/>
          <w:color w:val="000000" w:themeColor="text1"/>
          <w:sz w:val="21"/>
          <w:szCs w:val="21"/>
          <w14:textFill>
            <w14:solidFill>
              <w14:schemeClr w14:val="tx1"/>
            </w14:solidFill>
          </w14:textFill>
        </w:rPr>
        <w:t xml:space="preserve">5. </w:t>
      </w:r>
      <w:bookmarkEnd w:id="286"/>
      <w:r>
        <w:rPr>
          <w:rFonts w:hint="eastAsia" w:ascii="宋体" w:hAnsi="宋体" w:eastAsia="宋体" w:cs="宋体"/>
          <w:color w:val="000000" w:themeColor="text1"/>
          <w:sz w:val="21"/>
          <w:szCs w:val="21"/>
          <w14:textFill>
            <w14:solidFill>
              <w14:schemeClr w14:val="tx1"/>
            </w14:solidFill>
          </w14:textFill>
        </w:rPr>
        <w:t>开标</w:t>
      </w:r>
      <w:bookmarkEnd w:id="287"/>
      <w:bookmarkEnd w:id="288"/>
      <w:bookmarkEnd w:id="289"/>
      <w:bookmarkEnd w:id="290"/>
      <w:bookmarkEnd w:id="291"/>
      <w:bookmarkEnd w:id="292"/>
      <w:bookmarkEnd w:id="293"/>
    </w:p>
    <w:p w14:paraId="74BB1AE8">
      <w:pPr>
        <w:pStyle w:val="5"/>
        <w:spacing w:before="0" w:after="0" w:line="360" w:lineRule="auto"/>
        <w:rPr>
          <w:rFonts w:ascii="宋体"/>
          <w:color w:val="000000" w:themeColor="text1"/>
          <w:sz w:val="21"/>
          <w:szCs w:val="21"/>
          <w14:textFill>
            <w14:solidFill>
              <w14:schemeClr w14:val="tx1"/>
            </w14:solidFill>
          </w14:textFill>
        </w:rPr>
      </w:pPr>
      <w:bookmarkStart w:id="294" w:name="_Toc107396201"/>
      <w:bookmarkStart w:id="295" w:name="_Toc70424854"/>
      <w:bookmarkStart w:id="296" w:name="_Toc23696"/>
      <w:bookmarkStart w:id="297" w:name="_Toc77504063"/>
      <w:bookmarkStart w:id="298" w:name="_Toc77116674"/>
      <w:bookmarkStart w:id="299" w:name="_Toc77658073"/>
      <w:bookmarkStart w:id="300" w:name="_Toc164432918"/>
      <w:bookmarkStart w:id="301" w:name="_Toc120282429"/>
      <w:r>
        <w:rPr>
          <w:rFonts w:ascii="宋体" w:hAnsi="宋体" w:cs="宋体"/>
          <w:color w:val="000000" w:themeColor="text1"/>
          <w:sz w:val="21"/>
          <w:szCs w:val="21"/>
          <w14:textFill>
            <w14:solidFill>
              <w14:schemeClr w14:val="tx1"/>
            </w14:solidFill>
          </w14:textFill>
        </w:rPr>
        <w:t xml:space="preserve">5.1 </w:t>
      </w:r>
      <w:r>
        <w:rPr>
          <w:rFonts w:hint="eastAsia" w:ascii="宋体" w:hAnsi="宋体" w:cs="宋体"/>
          <w:color w:val="000000" w:themeColor="text1"/>
          <w:sz w:val="21"/>
          <w:szCs w:val="21"/>
          <w14:textFill>
            <w14:solidFill>
              <w14:schemeClr w14:val="tx1"/>
            </w14:solidFill>
          </w14:textFill>
        </w:rPr>
        <w:t>开标时间和地点</w:t>
      </w:r>
      <w:bookmarkEnd w:id="294"/>
      <w:bookmarkEnd w:id="295"/>
      <w:bookmarkEnd w:id="296"/>
      <w:bookmarkEnd w:id="297"/>
      <w:bookmarkEnd w:id="298"/>
      <w:bookmarkEnd w:id="299"/>
      <w:bookmarkEnd w:id="300"/>
      <w:bookmarkEnd w:id="301"/>
    </w:p>
    <w:p w14:paraId="490438C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采购人在本章第</w:t>
      </w:r>
      <w:r>
        <w:rPr>
          <w:rFonts w:ascii="宋体" w:hAnsi="宋体" w:eastAsia="宋体" w:cs="宋体"/>
          <w:color w:val="000000" w:themeColor="text1"/>
          <w14:textFill>
            <w14:solidFill>
              <w14:schemeClr w14:val="tx1"/>
            </w14:solidFill>
          </w14:textFill>
        </w:rPr>
        <w:t>4.2.1</w:t>
      </w:r>
      <w:r>
        <w:rPr>
          <w:rFonts w:hint="eastAsia" w:ascii="宋体" w:hAnsi="宋体" w:eastAsia="宋体" w:cs="宋体"/>
          <w:color w:val="000000" w:themeColor="text1"/>
          <w14:textFill>
            <w14:solidFill>
              <w14:schemeClr w14:val="tx1"/>
            </w14:solidFill>
          </w14:textFill>
        </w:rPr>
        <w:t>项规定的递交投标文件的截止时间和投标人须知前附表规定的地点公开开标，并邀请所有投标人的法定代表人（单位负责人）或其授权的代理人准时参加。投标人无须到现场开标，参加开标的投标人代表应当在网上签到以证明其出席，在投标截止时间前提前进入到“网上开标室”，并在规定时间内完成远程解密。</w:t>
      </w:r>
    </w:p>
    <w:p w14:paraId="420420DC">
      <w:pPr>
        <w:pStyle w:val="5"/>
        <w:spacing w:before="0" w:after="0" w:line="360" w:lineRule="auto"/>
        <w:rPr>
          <w:rFonts w:ascii="宋体" w:hAnsi="宋体" w:cs="宋体"/>
          <w:b w:val="0"/>
          <w:bCs w:val="0"/>
          <w:color w:val="000000" w:themeColor="text1"/>
          <w:kern w:val="2"/>
          <w:sz w:val="21"/>
          <w:szCs w:val="21"/>
          <w14:textFill>
            <w14:solidFill>
              <w14:schemeClr w14:val="tx1"/>
            </w14:solidFill>
          </w14:textFill>
        </w:rPr>
      </w:pPr>
      <w:bookmarkStart w:id="302" w:name="_Toc70424855"/>
      <w:bookmarkStart w:id="303" w:name="_Toc32614"/>
      <w:bookmarkStart w:id="304" w:name="_Toc120282430"/>
      <w:bookmarkStart w:id="305" w:name="_Toc77658074"/>
      <w:bookmarkStart w:id="306" w:name="_Toc77116675"/>
      <w:bookmarkStart w:id="307" w:name="_Toc107396202"/>
      <w:bookmarkStart w:id="308" w:name="_Toc77504064"/>
      <w:bookmarkStart w:id="309" w:name="_Toc164432919"/>
      <w:r>
        <w:rPr>
          <w:rFonts w:ascii="宋体" w:hAnsi="宋体" w:cs="宋体"/>
          <w:color w:val="000000" w:themeColor="text1"/>
          <w:sz w:val="21"/>
          <w:szCs w:val="21"/>
          <w14:textFill>
            <w14:solidFill>
              <w14:schemeClr w14:val="tx1"/>
            </w14:solidFill>
          </w14:textFill>
        </w:rPr>
        <w:t xml:space="preserve">5.2 </w:t>
      </w:r>
      <w:r>
        <w:rPr>
          <w:rFonts w:hint="eastAsia" w:ascii="宋体" w:hAnsi="宋体" w:cs="宋体"/>
          <w:color w:val="000000" w:themeColor="text1"/>
          <w:sz w:val="21"/>
          <w:szCs w:val="21"/>
          <w14:textFill>
            <w14:solidFill>
              <w14:schemeClr w14:val="tx1"/>
            </w14:solidFill>
          </w14:textFill>
        </w:rPr>
        <w:t>开标程序</w:t>
      </w:r>
      <w:bookmarkEnd w:id="302"/>
      <w:bookmarkEnd w:id="303"/>
      <w:bookmarkEnd w:id="304"/>
      <w:bookmarkEnd w:id="305"/>
      <w:bookmarkEnd w:id="306"/>
      <w:bookmarkEnd w:id="307"/>
      <w:bookmarkEnd w:id="308"/>
      <w:bookmarkStart w:id="310" w:name="_Toc77504065"/>
      <w:bookmarkStart w:id="311" w:name="_Toc107396203"/>
      <w:bookmarkStart w:id="312" w:name="_Toc18000"/>
      <w:bookmarkStart w:id="313" w:name="_Toc77116676"/>
      <w:bookmarkStart w:id="314" w:name="_Toc120282431"/>
      <w:bookmarkStart w:id="315" w:name="_Toc77658075"/>
      <w:r>
        <w:rPr>
          <w:rFonts w:hint="eastAsia" w:ascii="宋体" w:hAnsi="宋体" w:cs="宋体"/>
          <w:color w:val="000000" w:themeColor="text1"/>
          <w:sz w:val="21"/>
          <w:szCs w:val="21"/>
          <w14:textFill>
            <w14:solidFill>
              <w14:schemeClr w14:val="tx1"/>
            </w14:solidFill>
          </w14:textFill>
        </w:rPr>
        <w:t>：</w:t>
      </w:r>
      <w:r>
        <w:rPr>
          <w:rFonts w:hint="eastAsia" w:ascii="宋体" w:hAnsi="宋体" w:cs="宋体"/>
          <w:b w:val="0"/>
          <w:bCs w:val="0"/>
          <w:color w:val="000000" w:themeColor="text1"/>
          <w:kern w:val="2"/>
          <w:sz w:val="21"/>
          <w:szCs w:val="21"/>
          <w14:textFill>
            <w14:solidFill>
              <w14:schemeClr w14:val="tx1"/>
            </w14:solidFill>
          </w14:textFill>
        </w:rPr>
        <w:t>见投标人须知前附表。</w:t>
      </w:r>
      <w:bookmarkEnd w:id="309"/>
    </w:p>
    <w:p w14:paraId="336D7296">
      <w:pPr>
        <w:pStyle w:val="5"/>
        <w:spacing w:before="0" w:after="0" w:line="360" w:lineRule="auto"/>
        <w:rPr>
          <w:rFonts w:ascii="宋体"/>
          <w:color w:val="000000" w:themeColor="text1"/>
          <w:sz w:val="21"/>
          <w:szCs w:val="21"/>
          <w14:textFill>
            <w14:solidFill>
              <w14:schemeClr w14:val="tx1"/>
            </w14:solidFill>
          </w14:textFill>
        </w:rPr>
      </w:pPr>
      <w:bookmarkStart w:id="316" w:name="_Toc164432920"/>
      <w:r>
        <w:rPr>
          <w:rFonts w:ascii="宋体" w:hAnsi="宋体" w:cs="宋体"/>
          <w:color w:val="000000" w:themeColor="text1"/>
          <w:sz w:val="21"/>
          <w:szCs w:val="21"/>
          <w14:textFill>
            <w14:solidFill>
              <w14:schemeClr w14:val="tx1"/>
            </w14:solidFill>
          </w14:textFill>
        </w:rPr>
        <w:t xml:space="preserve">5.3 </w:t>
      </w:r>
      <w:r>
        <w:rPr>
          <w:rFonts w:hint="eastAsia" w:ascii="宋体" w:hAnsi="宋体" w:cs="宋体"/>
          <w:color w:val="000000" w:themeColor="text1"/>
          <w:sz w:val="21"/>
          <w:szCs w:val="21"/>
          <w14:textFill>
            <w14:solidFill>
              <w14:schemeClr w14:val="tx1"/>
            </w14:solidFill>
          </w14:textFill>
        </w:rPr>
        <w:t>开标异议</w:t>
      </w:r>
      <w:bookmarkEnd w:id="310"/>
      <w:bookmarkEnd w:id="311"/>
      <w:bookmarkEnd w:id="312"/>
      <w:bookmarkEnd w:id="313"/>
      <w:bookmarkEnd w:id="314"/>
      <w:bookmarkEnd w:id="315"/>
      <w:bookmarkEnd w:id="316"/>
    </w:p>
    <w:p w14:paraId="08D1B61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投标人对开标有异议的，应当在开标现场提出，采购人当场作出答复，并制作记录。</w:t>
      </w:r>
    </w:p>
    <w:p w14:paraId="704362C6">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317" w:name="_Toc107396204"/>
      <w:bookmarkStart w:id="318" w:name="_Toc120282432"/>
      <w:bookmarkStart w:id="319" w:name="_Toc77658076"/>
      <w:bookmarkStart w:id="320" w:name="_Toc14974"/>
      <w:bookmarkStart w:id="321" w:name="_Toc164432921"/>
      <w:bookmarkStart w:id="322" w:name="_Toc77504066"/>
      <w:bookmarkStart w:id="323" w:name="_Toc77116677"/>
      <w:bookmarkStart w:id="324" w:name="_Hlk72489868"/>
      <w:r>
        <w:rPr>
          <w:rFonts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14:textFill>
            <w14:solidFill>
              <w14:schemeClr w14:val="tx1"/>
            </w14:solidFill>
          </w14:textFill>
        </w:rPr>
        <w:t>评标</w:t>
      </w:r>
      <w:bookmarkEnd w:id="317"/>
      <w:bookmarkEnd w:id="318"/>
      <w:bookmarkEnd w:id="319"/>
      <w:bookmarkEnd w:id="320"/>
      <w:bookmarkEnd w:id="321"/>
      <w:bookmarkEnd w:id="322"/>
      <w:bookmarkEnd w:id="323"/>
    </w:p>
    <w:bookmarkEnd w:id="324"/>
    <w:p w14:paraId="64313EA3">
      <w:pPr>
        <w:pStyle w:val="5"/>
        <w:spacing w:before="0" w:after="0" w:line="360" w:lineRule="auto"/>
        <w:rPr>
          <w:rFonts w:ascii="宋体"/>
          <w:color w:val="000000" w:themeColor="text1"/>
          <w:sz w:val="21"/>
          <w:szCs w:val="21"/>
          <w14:textFill>
            <w14:solidFill>
              <w14:schemeClr w14:val="tx1"/>
            </w14:solidFill>
          </w14:textFill>
        </w:rPr>
      </w:pPr>
      <w:bookmarkStart w:id="325" w:name="_Toc120282433"/>
      <w:bookmarkStart w:id="326" w:name="_Toc15778"/>
      <w:bookmarkStart w:id="327" w:name="_Toc77658077"/>
      <w:bookmarkStart w:id="328" w:name="_Toc77116678"/>
      <w:bookmarkStart w:id="329" w:name="_Toc107396205"/>
      <w:bookmarkStart w:id="330" w:name="_Toc164432922"/>
      <w:bookmarkStart w:id="331" w:name="_Toc77504067"/>
      <w:bookmarkStart w:id="332" w:name="_Toc70424857"/>
      <w:r>
        <w:rPr>
          <w:rFonts w:ascii="宋体" w:hAnsi="宋体" w:cs="宋体"/>
          <w:color w:val="000000" w:themeColor="text1"/>
          <w:sz w:val="21"/>
          <w:szCs w:val="21"/>
          <w14:textFill>
            <w14:solidFill>
              <w14:schemeClr w14:val="tx1"/>
            </w14:solidFill>
          </w14:textFill>
        </w:rPr>
        <w:t xml:space="preserve">6.1 </w:t>
      </w:r>
      <w:r>
        <w:rPr>
          <w:rFonts w:hint="eastAsia" w:ascii="宋体" w:hAnsi="宋体" w:cs="宋体"/>
          <w:color w:val="000000" w:themeColor="text1"/>
          <w:sz w:val="21"/>
          <w:szCs w:val="21"/>
          <w14:textFill>
            <w14:solidFill>
              <w14:schemeClr w14:val="tx1"/>
            </w14:solidFill>
          </w14:textFill>
        </w:rPr>
        <w:t>评标委员会</w:t>
      </w:r>
      <w:bookmarkEnd w:id="325"/>
      <w:bookmarkEnd w:id="326"/>
      <w:bookmarkEnd w:id="327"/>
      <w:bookmarkEnd w:id="328"/>
      <w:bookmarkEnd w:id="329"/>
      <w:bookmarkEnd w:id="330"/>
      <w:bookmarkEnd w:id="331"/>
      <w:bookmarkEnd w:id="332"/>
    </w:p>
    <w:p w14:paraId="503CE50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6.1.1 </w:t>
      </w:r>
      <w:r>
        <w:rPr>
          <w:rFonts w:hint="eastAsia" w:ascii="宋体" w:hAnsi="宋体" w:eastAsia="宋体" w:cs="宋体"/>
          <w:color w:val="000000" w:themeColor="text1"/>
          <w14:textFill>
            <w14:solidFill>
              <w14:schemeClr w14:val="tx1"/>
            </w14:solidFill>
          </w14:textFill>
        </w:rPr>
        <w:t>采购人将组建评标委员会，评标委员会成员人数见投标人须知前附表。</w:t>
      </w:r>
    </w:p>
    <w:p w14:paraId="4B2B3A6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6.1.2 </w:t>
      </w:r>
      <w:r>
        <w:rPr>
          <w:rFonts w:hint="eastAsia" w:ascii="宋体" w:hAnsi="宋体" w:eastAsia="宋体" w:cs="宋体"/>
          <w:color w:val="000000" w:themeColor="text1"/>
          <w14:textFill>
            <w14:solidFill>
              <w14:schemeClr w14:val="tx1"/>
            </w14:solidFill>
          </w14:textFill>
        </w:rPr>
        <w:t>评标委员会成员有下列情形之一的，应当回避：</w:t>
      </w:r>
    </w:p>
    <w:p w14:paraId="546B3FE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）投标人主要负责人或投标人主要负责人的近亲属；</w:t>
      </w:r>
    </w:p>
    <w:p w14:paraId="317E6DC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）与投标人有经济利益关系或其他利害关系，可能影响公正评审的；</w:t>
      </w:r>
    </w:p>
    <w:p w14:paraId="5A458F3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6.1.3 </w:t>
      </w:r>
      <w:r>
        <w:rPr>
          <w:rFonts w:hint="eastAsia" w:ascii="宋体" w:hAnsi="宋体" w:eastAsia="宋体" w:cs="宋体"/>
          <w:color w:val="000000" w:themeColor="text1"/>
          <w14:textFill>
            <w14:solidFill>
              <w14:schemeClr w14:val="tx1"/>
            </w14:solidFill>
          </w14:textFill>
        </w:rPr>
        <w:t>评标委员会组建后，评标委员会成员共同推选评标委员会组长，评标委员会组长负责组织评标工作。</w:t>
      </w:r>
    </w:p>
    <w:p w14:paraId="3993B50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6.1.4 </w:t>
      </w:r>
      <w:r>
        <w:rPr>
          <w:rFonts w:hint="eastAsia" w:ascii="宋体" w:hAnsi="宋体" w:eastAsia="宋体" w:cs="宋体"/>
          <w:color w:val="000000" w:themeColor="text1"/>
          <w14:textFill>
            <w14:solidFill>
              <w14:schemeClr w14:val="tx1"/>
            </w14:solidFill>
          </w14:textFill>
        </w:rPr>
        <w:t>在评标过程中，评标委员会成员对需要共同认定的事项存在争议的，将按照少数服从多数的原则作出结论。持不同意见的评标委员会成员应当在评审报告上签署不同意见及理由，否则视为同意评审报告。</w:t>
      </w:r>
    </w:p>
    <w:p w14:paraId="7294A009">
      <w:pPr>
        <w:pStyle w:val="5"/>
        <w:spacing w:before="0" w:after="0" w:line="360" w:lineRule="auto"/>
        <w:rPr>
          <w:rFonts w:ascii="宋体"/>
          <w:color w:val="000000" w:themeColor="text1"/>
          <w:sz w:val="21"/>
          <w:szCs w:val="21"/>
          <w14:textFill>
            <w14:solidFill>
              <w14:schemeClr w14:val="tx1"/>
            </w14:solidFill>
          </w14:textFill>
        </w:rPr>
      </w:pPr>
      <w:bookmarkStart w:id="333" w:name="_Toc70424858"/>
      <w:bookmarkStart w:id="334" w:name="_Toc77658078"/>
      <w:bookmarkStart w:id="335" w:name="_Toc9695"/>
      <w:bookmarkStart w:id="336" w:name="_Toc77116679"/>
      <w:bookmarkStart w:id="337" w:name="_Toc120282434"/>
      <w:bookmarkStart w:id="338" w:name="_Toc107396206"/>
      <w:bookmarkStart w:id="339" w:name="_Toc164432923"/>
      <w:bookmarkStart w:id="340" w:name="_Toc77504068"/>
      <w:r>
        <w:rPr>
          <w:rFonts w:ascii="宋体" w:hAnsi="宋体" w:cs="宋体"/>
          <w:color w:val="000000" w:themeColor="text1"/>
          <w:sz w:val="21"/>
          <w:szCs w:val="21"/>
          <w14:textFill>
            <w14:solidFill>
              <w14:schemeClr w14:val="tx1"/>
            </w14:solidFill>
          </w14:textFill>
        </w:rPr>
        <w:t xml:space="preserve">6.2 </w:t>
      </w:r>
      <w:bookmarkEnd w:id="333"/>
      <w:r>
        <w:rPr>
          <w:rFonts w:hint="eastAsia" w:ascii="宋体" w:hAnsi="宋体" w:cs="宋体"/>
          <w:color w:val="000000" w:themeColor="text1"/>
          <w:sz w:val="21"/>
          <w:szCs w:val="21"/>
          <w14:textFill>
            <w14:solidFill>
              <w14:schemeClr w14:val="tx1"/>
            </w14:solidFill>
          </w14:textFill>
        </w:rPr>
        <w:t>评标原则</w:t>
      </w:r>
      <w:bookmarkEnd w:id="334"/>
      <w:bookmarkEnd w:id="335"/>
      <w:bookmarkEnd w:id="336"/>
      <w:bookmarkEnd w:id="337"/>
      <w:bookmarkEnd w:id="338"/>
      <w:bookmarkEnd w:id="339"/>
      <w:bookmarkEnd w:id="340"/>
    </w:p>
    <w:p w14:paraId="4ACC78F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评标活动遵循公平、公正、科学和择优的原则。</w:t>
      </w:r>
    </w:p>
    <w:p w14:paraId="2148C989">
      <w:pPr>
        <w:pStyle w:val="5"/>
        <w:spacing w:before="0" w:after="0" w:line="360" w:lineRule="auto"/>
        <w:rPr>
          <w:rFonts w:ascii="宋体"/>
          <w:color w:val="000000" w:themeColor="text1"/>
          <w:sz w:val="21"/>
          <w:szCs w:val="21"/>
          <w14:textFill>
            <w14:solidFill>
              <w14:schemeClr w14:val="tx1"/>
            </w14:solidFill>
          </w14:textFill>
        </w:rPr>
      </w:pPr>
      <w:bookmarkStart w:id="341" w:name="_Toc70424863"/>
      <w:bookmarkStart w:id="342" w:name="_Toc77658079"/>
      <w:bookmarkStart w:id="343" w:name="_Toc77116680"/>
      <w:bookmarkStart w:id="344" w:name="_Toc164432924"/>
      <w:bookmarkStart w:id="345" w:name="_Toc77504069"/>
      <w:bookmarkStart w:id="346" w:name="_Toc9752"/>
      <w:bookmarkStart w:id="347" w:name="_Toc120282435"/>
      <w:bookmarkStart w:id="348" w:name="_Toc107396207"/>
      <w:r>
        <w:rPr>
          <w:rFonts w:ascii="宋体" w:hAnsi="宋体" w:cs="宋体"/>
          <w:color w:val="000000" w:themeColor="text1"/>
          <w:sz w:val="21"/>
          <w:szCs w:val="21"/>
          <w14:textFill>
            <w14:solidFill>
              <w14:schemeClr w14:val="tx1"/>
            </w14:solidFill>
          </w14:textFill>
        </w:rPr>
        <w:t xml:space="preserve">6.3 </w:t>
      </w:r>
      <w:bookmarkEnd w:id="341"/>
      <w:r>
        <w:rPr>
          <w:rFonts w:hint="eastAsia" w:ascii="宋体" w:hAnsi="宋体" w:cs="宋体"/>
          <w:color w:val="000000" w:themeColor="text1"/>
          <w:sz w:val="21"/>
          <w:szCs w:val="21"/>
          <w14:textFill>
            <w14:solidFill>
              <w14:schemeClr w14:val="tx1"/>
            </w14:solidFill>
          </w14:textFill>
        </w:rPr>
        <w:t>评标</w:t>
      </w:r>
      <w:bookmarkEnd w:id="342"/>
      <w:bookmarkEnd w:id="343"/>
      <w:bookmarkEnd w:id="344"/>
      <w:bookmarkEnd w:id="345"/>
      <w:bookmarkEnd w:id="346"/>
      <w:bookmarkEnd w:id="347"/>
      <w:bookmarkEnd w:id="348"/>
    </w:p>
    <w:p w14:paraId="00685CA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6.3.1 </w:t>
      </w:r>
      <w:r>
        <w:rPr>
          <w:rFonts w:hint="eastAsia" w:ascii="宋体" w:hAnsi="宋体" w:eastAsia="宋体" w:cs="宋体"/>
          <w:color w:val="000000" w:themeColor="text1"/>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p>
    <w:p w14:paraId="3EB6F18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6.3.2 </w:t>
      </w:r>
      <w:r>
        <w:rPr>
          <w:rFonts w:hint="eastAsia" w:ascii="宋体" w:hAnsi="宋体" w:eastAsia="宋体" w:cs="宋体"/>
          <w:color w:val="000000" w:themeColor="text1"/>
          <w14:textFill>
            <w14:solidFill>
              <w14:schemeClr w14:val="tx1"/>
            </w14:solidFill>
          </w14:textFill>
        </w:rPr>
        <w:t>评标完成后，评标委员会应当向采购人提交书面评标报告和中标候选人名单。评标委员会推荐中标候选人的人数见投标人须知前附表。</w:t>
      </w:r>
    </w:p>
    <w:p w14:paraId="0B5D45E8">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349" w:name="_Toc107396208"/>
      <w:bookmarkStart w:id="350" w:name="_Toc70424865"/>
      <w:bookmarkStart w:id="351" w:name="_Toc77116681"/>
      <w:bookmarkStart w:id="352" w:name="_Toc120282436"/>
      <w:bookmarkStart w:id="353" w:name="_Toc77658080"/>
      <w:bookmarkStart w:id="354" w:name="_Toc77504070"/>
      <w:bookmarkStart w:id="355" w:name="_Toc164432925"/>
      <w:bookmarkStart w:id="356" w:name="_Toc4302"/>
      <w:r>
        <w:rPr>
          <w:rFonts w:ascii="宋体" w:hAnsi="宋体" w:eastAsia="宋体" w:cs="宋体"/>
          <w:color w:val="000000" w:themeColor="text1"/>
          <w:sz w:val="21"/>
          <w:szCs w:val="21"/>
          <w14:textFill>
            <w14:solidFill>
              <w14:schemeClr w14:val="tx1"/>
            </w14:solidFill>
          </w14:textFill>
        </w:rPr>
        <w:t xml:space="preserve">7. </w:t>
      </w:r>
      <w:r>
        <w:rPr>
          <w:rFonts w:hint="eastAsia" w:ascii="宋体" w:hAnsi="宋体" w:eastAsia="宋体" w:cs="宋体"/>
          <w:color w:val="000000" w:themeColor="text1"/>
          <w:sz w:val="21"/>
          <w:szCs w:val="21"/>
          <w14:textFill>
            <w14:solidFill>
              <w14:schemeClr w14:val="tx1"/>
            </w14:solidFill>
          </w14:textFill>
        </w:rPr>
        <w:t>合同授予</w:t>
      </w:r>
      <w:bookmarkEnd w:id="349"/>
      <w:bookmarkEnd w:id="350"/>
      <w:bookmarkEnd w:id="351"/>
      <w:bookmarkEnd w:id="352"/>
      <w:bookmarkEnd w:id="353"/>
      <w:bookmarkEnd w:id="354"/>
      <w:bookmarkEnd w:id="355"/>
      <w:bookmarkEnd w:id="356"/>
    </w:p>
    <w:p w14:paraId="144F8011">
      <w:pPr>
        <w:pStyle w:val="5"/>
        <w:spacing w:before="0" w:after="0" w:line="360" w:lineRule="auto"/>
        <w:rPr>
          <w:rFonts w:ascii="宋体"/>
          <w:color w:val="000000" w:themeColor="text1"/>
          <w:sz w:val="21"/>
          <w:szCs w:val="21"/>
          <w14:textFill>
            <w14:solidFill>
              <w14:schemeClr w14:val="tx1"/>
            </w14:solidFill>
          </w14:textFill>
        </w:rPr>
      </w:pPr>
      <w:bookmarkStart w:id="357" w:name="_Toc70424866"/>
      <w:bookmarkStart w:id="358" w:name="_Toc107396209"/>
      <w:bookmarkStart w:id="359" w:name="_Toc164432926"/>
      <w:bookmarkStart w:id="360" w:name="_Toc77116682"/>
      <w:bookmarkStart w:id="361" w:name="_Toc77504071"/>
      <w:bookmarkStart w:id="362" w:name="_Toc77658081"/>
      <w:bookmarkStart w:id="363" w:name="_Toc3066"/>
      <w:bookmarkStart w:id="364" w:name="_Toc120282437"/>
      <w:r>
        <w:rPr>
          <w:rFonts w:ascii="宋体" w:hAnsi="宋体" w:cs="宋体"/>
          <w:color w:val="000000" w:themeColor="text1"/>
          <w:sz w:val="21"/>
          <w:szCs w:val="21"/>
          <w14:textFill>
            <w14:solidFill>
              <w14:schemeClr w14:val="tx1"/>
            </w14:solidFill>
          </w14:textFill>
        </w:rPr>
        <w:t xml:space="preserve">7.1 </w:t>
      </w:r>
      <w:r>
        <w:rPr>
          <w:rFonts w:hint="eastAsia" w:ascii="宋体" w:hAnsi="宋体" w:cs="宋体"/>
          <w:color w:val="000000" w:themeColor="text1"/>
          <w:sz w:val="21"/>
          <w:szCs w:val="21"/>
          <w14:textFill>
            <w14:solidFill>
              <w14:schemeClr w14:val="tx1"/>
            </w14:solidFill>
          </w14:textFill>
        </w:rPr>
        <w:t>中标候选人履约能力核查</w:t>
      </w:r>
      <w:bookmarkEnd w:id="357"/>
      <w:bookmarkEnd w:id="358"/>
      <w:bookmarkEnd w:id="359"/>
      <w:bookmarkEnd w:id="360"/>
      <w:bookmarkEnd w:id="361"/>
      <w:bookmarkEnd w:id="362"/>
      <w:bookmarkEnd w:id="363"/>
      <w:bookmarkEnd w:id="364"/>
    </w:p>
    <w:p w14:paraId="48F0DB2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采购人可对中标候选人的相关证明材料原件进行核验或组织现场考察，以确认中标候选人的生产经营、财务等实际状况与投标文件是否一致以及是否存在其他可能影响投标人履约能力的情况。</w:t>
      </w:r>
    </w:p>
    <w:p w14:paraId="5B142BE0">
      <w:pPr>
        <w:pStyle w:val="5"/>
        <w:spacing w:before="0" w:after="0" w:line="360" w:lineRule="auto"/>
        <w:rPr>
          <w:rFonts w:ascii="宋体"/>
          <w:color w:val="000000" w:themeColor="text1"/>
          <w:sz w:val="21"/>
          <w:szCs w:val="21"/>
          <w14:textFill>
            <w14:solidFill>
              <w14:schemeClr w14:val="tx1"/>
            </w14:solidFill>
          </w14:textFill>
        </w:rPr>
      </w:pPr>
      <w:bookmarkStart w:id="365" w:name="_Toc120282438"/>
      <w:bookmarkStart w:id="366" w:name="_Toc164432927"/>
      <w:bookmarkStart w:id="367" w:name="_Toc107396210"/>
      <w:bookmarkStart w:id="368" w:name="_Toc12349"/>
      <w:bookmarkStart w:id="369" w:name="_Toc77658082"/>
      <w:bookmarkStart w:id="370" w:name="_Toc77504072"/>
      <w:bookmarkStart w:id="371" w:name="_Toc77116683"/>
      <w:bookmarkStart w:id="372" w:name="_Toc70424867"/>
      <w:r>
        <w:rPr>
          <w:rFonts w:ascii="宋体" w:hAnsi="宋体" w:cs="宋体"/>
          <w:color w:val="000000" w:themeColor="text1"/>
          <w:sz w:val="21"/>
          <w:szCs w:val="21"/>
          <w14:textFill>
            <w14:solidFill>
              <w14:schemeClr w14:val="tx1"/>
            </w14:solidFill>
          </w14:textFill>
        </w:rPr>
        <w:t xml:space="preserve">7.2 </w:t>
      </w:r>
      <w:r>
        <w:rPr>
          <w:rFonts w:hint="eastAsia" w:ascii="宋体" w:hAnsi="宋体" w:cs="宋体"/>
          <w:color w:val="000000" w:themeColor="text1"/>
          <w:sz w:val="21"/>
          <w:szCs w:val="21"/>
          <w14:textFill>
            <w14:solidFill>
              <w14:schemeClr w14:val="tx1"/>
            </w14:solidFill>
          </w14:textFill>
        </w:rPr>
        <w:t>确定中标人</w:t>
      </w:r>
      <w:bookmarkEnd w:id="365"/>
      <w:bookmarkEnd w:id="366"/>
      <w:bookmarkEnd w:id="367"/>
      <w:bookmarkEnd w:id="368"/>
      <w:bookmarkEnd w:id="369"/>
      <w:bookmarkEnd w:id="370"/>
      <w:bookmarkEnd w:id="371"/>
      <w:bookmarkEnd w:id="372"/>
    </w:p>
    <w:p w14:paraId="2FE41FD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采购人应当自收到评标报告之日起</w:t>
      </w:r>
      <w:r>
        <w:rPr>
          <w:rFonts w:ascii="宋体" w:hAnsi="宋体" w:eastAsia="宋体" w:cs="宋体"/>
          <w:color w:val="000000" w:themeColor="text1"/>
          <w14:textFill>
            <w14:solidFill>
              <w14:schemeClr w14:val="tx1"/>
            </w14:solidFill>
          </w14:textFill>
        </w:rPr>
        <w:t>5个工作日内在评标报告推荐的中标候选人中按顺序确定中标人</w:t>
      </w:r>
      <w:r>
        <w:rPr>
          <w:rFonts w:hint="eastAsia" w:ascii="宋体" w:hAnsi="宋体" w:eastAsia="宋体" w:cs="宋体"/>
          <w:color w:val="000000" w:themeColor="text1"/>
          <w14:textFill>
            <w14:solidFill>
              <w14:schemeClr w14:val="tx1"/>
            </w14:solidFill>
          </w14:textFill>
        </w:rPr>
        <w:t>。</w:t>
      </w:r>
    </w:p>
    <w:p w14:paraId="5DA76C47">
      <w:pPr>
        <w:pStyle w:val="5"/>
        <w:spacing w:before="0" w:after="0" w:line="360" w:lineRule="auto"/>
        <w:rPr>
          <w:rFonts w:ascii="宋体"/>
          <w:color w:val="000000" w:themeColor="text1"/>
          <w:sz w:val="21"/>
          <w:szCs w:val="21"/>
          <w14:textFill>
            <w14:solidFill>
              <w14:schemeClr w14:val="tx1"/>
            </w14:solidFill>
          </w14:textFill>
        </w:rPr>
      </w:pPr>
      <w:bookmarkStart w:id="373" w:name="_Toc70424868"/>
      <w:bookmarkStart w:id="374" w:name="_Toc77116684"/>
      <w:bookmarkStart w:id="375" w:name="_Toc77658083"/>
      <w:bookmarkStart w:id="376" w:name="_Toc120282439"/>
      <w:bookmarkStart w:id="377" w:name="_Toc77504073"/>
      <w:bookmarkStart w:id="378" w:name="_Toc27410"/>
      <w:bookmarkStart w:id="379" w:name="_Toc164432928"/>
      <w:bookmarkStart w:id="380" w:name="_Toc107396211"/>
      <w:r>
        <w:rPr>
          <w:rFonts w:ascii="宋体" w:hAnsi="宋体" w:cs="宋体"/>
          <w:color w:val="000000" w:themeColor="text1"/>
          <w:sz w:val="21"/>
          <w:szCs w:val="21"/>
          <w14:textFill>
            <w14:solidFill>
              <w14:schemeClr w14:val="tx1"/>
            </w14:solidFill>
          </w14:textFill>
        </w:rPr>
        <w:t xml:space="preserve">7.3 </w:t>
      </w:r>
      <w:r>
        <w:rPr>
          <w:rFonts w:hint="eastAsia" w:ascii="宋体" w:hAnsi="宋体" w:cs="宋体"/>
          <w:color w:val="000000" w:themeColor="text1"/>
          <w:sz w:val="21"/>
          <w:szCs w:val="21"/>
          <w14:textFill>
            <w14:solidFill>
              <w14:schemeClr w14:val="tx1"/>
            </w14:solidFill>
          </w14:textFill>
        </w:rPr>
        <w:t>发布中标结果公告</w:t>
      </w:r>
      <w:bookmarkEnd w:id="373"/>
      <w:bookmarkEnd w:id="374"/>
      <w:bookmarkEnd w:id="375"/>
      <w:bookmarkEnd w:id="376"/>
      <w:bookmarkEnd w:id="377"/>
      <w:bookmarkEnd w:id="378"/>
      <w:bookmarkEnd w:id="379"/>
      <w:bookmarkEnd w:id="380"/>
    </w:p>
    <w:p w14:paraId="7AF1B77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采购人将在投标人须知前附表规定的公告媒介发布中标结果公告，公告信息包括中标人名称、中标报价及投标人须知前附表规定的其他内容。</w:t>
      </w:r>
    </w:p>
    <w:p w14:paraId="2617F147">
      <w:pPr>
        <w:pStyle w:val="5"/>
        <w:spacing w:before="0" w:after="0" w:line="360" w:lineRule="auto"/>
        <w:rPr>
          <w:rFonts w:ascii="宋体"/>
          <w:color w:val="000000" w:themeColor="text1"/>
          <w:sz w:val="21"/>
          <w:szCs w:val="21"/>
          <w14:textFill>
            <w14:solidFill>
              <w14:schemeClr w14:val="tx1"/>
            </w14:solidFill>
          </w14:textFill>
        </w:rPr>
      </w:pPr>
      <w:bookmarkStart w:id="381" w:name="_Toc107396212"/>
      <w:bookmarkStart w:id="382" w:name="_Toc18660"/>
      <w:bookmarkStart w:id="383" w:name="_Toc120282440"/>
      <w:bookmarkStart w:id="384" w:name="_Toc77504074"/>
      <w:bookmarkStart w:id="385" w:name="_Toc77658084"/>
      <w:bookmarkStart w:id="386" w:name="_Toc77116685"/>
      <w:bookmarkStart w:id="387" w:name="_Toc70424869"/>
      <w:bookmarkStart w:id="388" w:name="_Toc164432929"/>
      <w:r>
        <w:rPr>
          <w:rFonts w:ascii="宋体" w:hAnsi="宋体" w:cs="宋体"/>
          <w:color w:val="000000" w:themeColor="text1"/>
          <w:sz w:val="21"/>
          <w:szCs w:val="21"/>
          <w14:textFill>
            <w14:solidFill>
              <w14:schemeClr w14:val="tx1"/>
            </w14:solidFill>
          </w14:textFill>
        </w:rPr>
        <w:t xml:space="preserve">7.4 </w:t>
      </w:r>
      <w:r>
        <w:rPr>
          <w:rFonts w:hint="eastAsia" w:ascii="宋体" w:hAnsi="宋体" w:cs="宋体"/>
          <w:color w:val="000000" w:themeColor="text1"/>
          <w:sz w:val="21"/>
          <w:szCs w:val="21"/>
          <w14:textFill>
            <w14:solidFill>
              <w14:schemeClr w14:val="tx1"/>
            </w14:solidFill>
          </w14:textFill>
        </w:rPr>
        <w:t>发出中标通知书</w:t>
      </w:r>
      <w:bookmarkEnd w:id="381"/>
      <w:bookmarkEnd w:id="382"/>
      <w:bookmarkEnd w:id="383"/>
      <w:bookmarkEnd w:id="384"/>
      <w:bookmarkEnd w:id="385"/>
      <w:bookmarkEnd w:id="386"/>
      <w:bookmarkEnd w:id="387"/>
      <w:bookmarkEnd w:id="388"/>
    </w:p>
    <w:p w14:paraId="7F8FE85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发布中标结果公告的同时，采购人或者代理机构以书面形式向中标人发出中标通知书。</w:t>
      </w:r>
    </w:p>
    <w:p w14:paraId="4ED035C1">
      <w:pPr>
        <w:pStyle w:val="5"/>
        <w:spacing w:before="0" w:after="0" w:line="360" w:lineRule="auto"/>
        <w:rPr>
          <w:rFonts w:hint="eastAsia" w:ascii="宋体" w:eastAsia="宋体"/>
          <w:color w:val="000000" w:themeColor="text1"/>
          <w:sz w:val="21"/>
          <w:szCs w:val="21"/>
          <w:lang w:eastAsia="zh-CN"/>
          <w14:textFill>
            <w14:solidFill>
              <w14:schemeClr w14:val="tx1"/>
            </w14:solidFill>
          </w14:textFill>
        </w:rPr>
      </w:pPr>
      <w:bookmarkStart w:id="389" w:name="_Toc77116686"/>
      <w:bookmarkStart w:id="390" w:name="_Toc77504075"/>
      <w:bookmarkStart w:id="391" w:name="_Toc120282441"/>
      <w:bookmarkStart w:id="392" w:name="_Toc77658085"/>
      <w:bookmarkStart w:id="393" w:name="_Toc13547"/>
      <w:bookmarkStart w:id="394" w:name="_Toc107396213"/>
      <w:bookmarkStart w:id="395" w:name="_Toc70424870"/>
      <w:bookmarkStart w:id="396" w:name="_Toc164432930"/>
      <w:r>
        <w:rPr>
          <w:rFonts w:ascii="宋体" w:hAnsi="宋体" w:cs="宋体"/>
          <w:color w:val="000000" w:themeColor="text1"/>
          <w:sz w:val="21"/>
          <w:szCs w:val="21"/>
          <w14:textFill>
            <w14:solidFill>
              <w14:schemeClr w14:val="tx1"/>
            </w14:solidFill>
          </w14:textFill>
        </w:rPr>
        <w:t xml:space="preserve">7.5 </w:t>
      </w:r>
      <w:r>
        <w:rPr>
          <w:rFonts w:hint="eastAsia" w:ascii="宋体" w:hAnsi="宋体" w:cs="宋体"/>
          <w:color w:val="000000" w:themeColor="text1"/>
          <w:sz w:val="21"/>
          <w:szCs w:val="21"/>
          <w14:textFill>
            <w14:solidFill>
              <w14:schemeClr w14:val="tx1"/>
            </w14:solidFill>
          </w14:textFill>
        </w:rPr>
        <w:t>履约保证金</w:t>
      </w:r>
      <w:bookmarkEnd w:id="389"/>
      <w:bookmarkEnd w:id="390"/>
      <w:bookmarkEnd w:id="391"/>
      <w:bookmarkEnd w:id="392"/>
      <w:bookmarkEnd w:id="393"/>
      <w:bookmarkEnd w:id="394"/>
      <w:bookmarkEnd w:id="395"/>
      <w:bookmarkEnd w:id="396"/>
    </w:p>
    <w:p w14:paraId="24AB0E2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投标人须知前附表规定递交履约保证金的，中标人应按投标人须知前附表规定的形式、有效期限和递交时间向采购人递交履约保证金。</w:t>
      </w:r>
    </w:p>
    <w:p w14:paraId="20A5A62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签订合同后，如中标人不按双方签订合同约定履约，则没收其全部履约保证金，履约保证金不足以赔偿损失的，按实际损失赔偿。</w:t>
      </w:r>
    </w:p>
    <w:p w14:paraId="0C908FB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履约保证金按合同约定退还。</w:t>
      </w:r>
    </w:p>
    <w:p w14:paraId="514A83E5">
      <w:pPr>
        <w:pStyle w:val="5"/>
        <w:spacing w:before="0" w:after="0" w:line="360" w:lineRule="auto"/>
        <w:rPr>
          <w:rFonts w:ascii="宋体"/>
          <w:color w:val="000000" w:themeColor="text1"/>
          <w:sz w:val="21"/>
          <w:szCs w:val="21"/>
          <w14:textFill>
            <w14:solidFill>
              <w14:schemeClr w14:val="tx1"/>
            </w14:solidFill>
          </w14:textFill>
        </w:rPr>
      </w:pPr>
      <w:bookmarkStart w:id="397" w:name="_Toc77658086"/>
      <w:bookmarkStart w:id="398" w:name="_Toc120282442"/>
      <w:bookmarkStart w:id="399" w:name="_Toc70424871"/>
      <w:bookmarkStart w:id="400" w:name="_Toc3857"/>
      <w:bookmarkStart w:id="401" w:name="_Toc164432931"/>
      <w:bookmarkStart w:id="402" w:name="_Toc107396214"/>
      <w:bookmarkStart w:id="403" w:name="_Toc77116687"/>
      <w:bookmarkStart w:id="404" w:name="_Toc77504076"/>
      <w:r>
        <w:rPr>
          <w:rFonts w:ascii="宋体" w:hAnsi="宋体" w:cs="宋体"/>
          <w:color w:val="000000" w:themeColor="text1"/>
          <w:sz w:val="21"/>
          <w:szCs w:val="21"/>
          <w14:textFill>
            <w14:solidFill>
              <w14:schemeClr w14:val="tx1"/>
            </w14:solidFill>
          </w14:textFill>
        </w:rPr>
        <w:t xml:space="preserve">7.6 </w:t>
      </w:r>
      <w:r>
        <w:rPr>
          <w:rFonts w:hint="eastAsia" w:ascii="宋体" w:hAnsi="宋体" w:cs="宋体"/>
          <w:color w:val="000000" w:themeColor="text1"/>
          <w:sz w:val="21"/>
          <w:szCs w:val="21"/>
          <w14:textFill>
            <w14:solidFill>
              <w14:schemeClr w14:val="tx1"/>
            </w14:solidFill>
          </w14:textFill>
        </w:rPr>
        <w:t>签订合同</w:t>
      </w:r>
      <w:bookmarkEnd w:id="397"/>
      <w:bookmarkEnd w:id="398"/>
      <w:bookmarkEnd w:id="399"/>
      <w:bookmarkEnd w:id="400"/>
      <w:bookmarkEnd w:id="401"/>
      <w:bookmarkEnd w:id="402"/>
      <w:bookmarkEnd w:id="403"/>
      <w:bookmarkEnd w:id="404"/>
    </w:p>
    <w:p w14:paraId="32B2DBF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7.6.1 </w:t>
      </w:r>
      <w:r>
        <w:rPr>
          <w:rFonts w:hint="eastAsia" w:ascii="宋体" w:hAnsi="宋体" w:eastAsia="宋体" w:cs="宋体"/>
          <w:color w:val="000000" w:themeColor="text1"/>
          <w14:textFill>
            <w14:solidFill>
              <w14:schemeClr w14:val="tx1"/>
            </w14:solidFill>
          </w14:textFill>
        </w:rPr>
        <w:t>采购人和中标人应当在</w:t>
      </w:r>
      <w:r>
        <w:rPr>
          <w:rFonts w:hint="eastAsia" w:ascii="宋体" w:hAnsi="宋体" w:eastAsia="宋体" w:cs="宋体"/>
          <w:color w:val="000000" w:themeColor="text1"/>
          <w:u w:val="single"/>
          <w14:textFill>
            <w14:solidFill>
              <w14:schemeClr w14:val="tx1"/>
            </w14:solidFill>
          </w14:textFill>
        </w:rPr>
        <w:t>中标通知书发出之日起三十日内</w:t>
      </w:r>
      <w:r>
        <w:rPr>
          <w:rFonts w:hint="eastAsia" w:ascii="宋体" w:hAnsi="宋体" w:eastAsia="宋体" w:cs="宋体"/>
          <w:color w:val="000000" w:themeColor="text1"/>
          <w14:textFill>
            <w14:solidFill>
              <w14:schemeClr w14:val="tx1"/>
            </w14:solidFill>
          </w14:textFill>
        </w:rPr>
        <w:t>，根据招标文件和中标人的投标文件订立书面合同。中标人无正当理由拒绝签订合同，在签订合同时向采购人提出附加条件，或者不按照招标文件要求递交履约保证金的，采购人取消其中标资格，其投标保证金不予退还；给采购人造成的损失超过投标保证金数额的，中标人还应当对超过部分予以赔偿。</w:t>
      </w:r>
    </w:p>
    <w:p w14:paraId="12AD11D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7.6.2 </w:t>
      </w:r>
      <w:r>
        <w:rPr>
          <w:rFonts w:hint="eastAsia" w:ascii="宋体" w:hAnsi="宋体" w:eastAsia="宋体" w:cs="宋体"/>
          <w:color w:val="000000" w:themeColor="text1"/>
          <w14:textFill>
            <w14:solidFill>
              <w14:schemeClr w14:val="tx1"/>
            </w14:solidFill>
          </w14:textFill>
        </w:rPr>
        <w:t>发出中标通知书后，采购人无正当理由拒绝签订合同，或者在签订合同时向中标人提出附加条件的，采购人向中标人退还投标保证金；给中标人造成损失的，还应当赔偿损失。</w:t>
      </w:r>
    </w:p>
    <w:p w14:paraId="1491EB5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7.6.3 </w:t>
      </w:r>
      <w:r>
        <w:rPr>
          <w:rFonts w:hint="eastAsia" w:ascii="宋体" w:hAnsi="宋体" w:eastAsia="宋体" w:cs="宋体"/>
          <w:color w:val="000000" w:themeColor="text1"/>
          <w14:textFill>
            <w14:solidFill>
              <w14:schemeClr w14:val="tx1"/>
            </w14:solidFill>
          </w14:textFill>
        </w:rPr>
        <w:t>联合体中标的，联合体各方应当共同与采购人签订合同，就中标项目向采购人承担连带责任。</w:t>
      </w:r>
    </w:p>
    <w:p w14:paraId="3CFDABEA">
      <w:pPr>
        <w:pStyle w:val="5"/>
        <w:spacing w:before="0" w:after="0" w:line="360" w:lineRule="auto"/>
        <w:rPr>
          <w:rFonts w:ascii="宋体"/>
          <w:color w:val="000000" w:themeColor="text1"/>
          <w:sz w:val="21"/>
          <w:szCs w:val="21"/>
          <w14:textFill>
            <w14:solidFill>
              <w14:schemeClr w14:val="tx1"/>
            </w14:solidFill>
          </w14:textFill>
        </w:rPr>
      </w:pPr>
      <w:bookmarkStart w:id="405" w:name="_Toc23003"/>
      <w:bookmarkStart w:id="406" w:name="_Toc120282443"/>
      <w:bookmarkStart w:id="407" w:name="_Toc77116688"/>
      <w:bookmarkStart w:id="408" w:name="_Toc77658087"/>
      <w:bookmarkStart w:id="409" w:name="_Toc70424872"/>
      <w:bookmarkStart w:id="410" w:name="_Toc164432932"/>
      <w:bookmarkStart w:id="411" w:name="_Toc77504077"/>
      <w:bookmarkStart w:id="412" w:name="_Toc107396215"/>
      <w:r>
        <w:rPr>
          <w:rFonts w:ascii="宋体" w:hAnsi="宋体" w:cs="宋体"/>
          <w:color w:val="000000" w:themeColor="text1"/>
          <w:sz w:val="21"/>
          <w:szCs w:val="21"/>
          <w14:textFill>
            <w14:solidFill>
              <w14:schemeClr w14:val="tx1"/>
            </w14:solidFill>
          </w14:textFill>
        </w:rPr>
        <w:t xml:space="preserve">7.7 </w:t>
      </w:r>
      <w:r>
        <w:rPr>
          <w:rFonts w:hint="eastAsia" w:ascii="宋体" w:hAnsi="宋体" w:cs="宋体"/>
          <w:color w:val="000000" w:themeColor="text1"/>
          <w:sz w:val="21"/>
          <w:szCs w:val="21"/>
          <w14:textFill>
            <w14:solidFill>
              <w14:schemeClr w14:val="tx1"/>
            </w14:solidFill>
          </w14:textFill>
        </w:rPr>
        <w:t>特殊情形处理</w:t>
      </w:r>
      <w:bookmarkEnd w:id="405"/>
      <w:bookmarkEnd w:id="406"/>
      <w:bookmarkEnd w:id="407"/>
      <w:bookmarkEnd w:id="408"/>
      <w:bookmarkEnd w:id="409"/>
      <w:bookmarkEnd w:id="410"/>
      <w:bookmarkEnd w:id="411"/>
      <w:bookmarkEnd w:id="412"/>
    </w:p>
    <w:p w14:paraId="6AB904E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因投标人对中标结果提出异议、中标人无正当理由拒绝签订合同、中标人在签订合同时向采购人提出附加条件或者不按照招标文件要求递交履约保证金等导致采购人变更中标结果的，采购人应按照本条规定的程序重新选择确定中标人并进行公告。</w:t>
      </w:r>
    </w:p>
    <w:p w14:paraId="56FDE40A">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413" w:name="_Toc70424873"/>
      <w:bookmarkStart w:id="414" w:name="_Toc77116689"/>
      <w:bookmarkStart w:id="415" w:name="_Toc164432933"/>
      <w:bookmarkStart w:id="416" w:name="_Toc4602"/>
      <w:bookmarkStart w:id="417" w:name="_Toc120282444"/>
      <w:bookmarkStart w:id="418" w:name="_Toc77658088"/>
      <w:bookmarkStart w:id="419" w:name="_Toc107396216"/>
      <w:bookmarkStart w:id="420" w:name="_Toc77504078"/>
      <w:r>
        <w:rPr>
          <w:rFonts w:ascii="宋体" w:hAnsi="宋体" w:eastAsia="宋体" w:cs="宋体"/>
          <w:color w:val="000000" w:themeColor="text1"/>
          <w:sz w:val="21"/>
          <w:szCs w:val="21"/>
          <w14:textFill>
            <w14:solidFill>
              <w14:schemeClr w14:val="tx1"/>
            </w14:solidFill>
          </w14:textFill>
        </w:rPr>
        <w:t xml:space="preserve">8. </w:t>
      </w:r>
      <w:bookmarkEnd w:id="413"/>
      <w:r>
        <w:rPr>
          <w:rFonts w:hint="eastAsia" w:ascii="宋体" w:hAnsi="宋体" w:eastAsia="宋体" w:cs="宋体"/>
          <w:color w:val="000000" w:themeColor="text1"/>
          <w:sz w:val="21"/>
          <w:szCs w:val="21"/>
          <w14:textFill>
            <w14:solidFill>
              <w14:schemeClr w14:val="tx1"/>
            </w14:solidFill>
          </w14:textFill>
        </w:rPr>
        <w:t>质疑</w:t>
      </w:r>
      <w:bookmarkEnd w:id="414"/>
      <w:r>
        <w:rPr>
          <w:rFonts w:hint="eastAsia" w:ascii="宋体" w:hAnsi="宋体" w:eastAsia="宋体" w:cs="宋体"/>
          <w:color w:val="000000" w:themeColor="text1"/>
          <w:sz w:val="21"/>
          <w:szCs w:val="21"/>
          <w14:textFill>
            <w14:solidFill>
              <w14:schemeClr w14:val="tx1"/>
            </w14:solidFill>
          </w14:textFill>
        </w:rPr>
        <w:t>和投诉</w:t>
      </w:r>
      <w:bookmarkEnd w:id="415"/>
      <w:bookmarkEnd w:id="416"/>
      <w:bookmarkEnd w:id="417"/>
      <w:bookmarkEnd w:id="418"/>
      <w:bookmarkEnd w:id="419"/>
      <w:bookmarkEnd w:id="420"/>
    </w:p>
    <w:p w14:paraId="65223078">
      <w:pPr>
        <w:pStyle w:val="5"/>
        <w:spacing w:before="0" w:after="0" w:line="360" w:lineRule="auto"/>
        <w:rPr>
          <w:rFonts w:ascii="宋体"/>
          <w:color w:val="000000" w:themeColor="text1"/>
          <w:sz w:val="21"/>
          <w:szCs w:val="21"/>
          <w14:textFill>
            <w14:solidFill>
              <w14:schemeClr w14:val="tx1"/>
            </w14:solidFill>
          </w14:textFill>
        </w:rPr>
      </w:pPr>
      <w:bookmarkStart w:id="421" w:name="_Toc70424874"/>
      <w:bookmarkStart w:id="422" w:name="_Toc77658089"/>
      <w:bookmarkStart w:id="423" w:name="_Toc107396217"/>
      <w:bookmarkStart w:id="424" w:name="_Toc164432934"/>
      <w:bookmarkStart w:id="425" w:name="_Toc29588"/>
      <w:bookmarkStart w:id="426" w:name="_Toc77116690"/>
      <w:bookmarkStart w:id="427" w:name="_Toc120282445"/>
      <w:bookmarkStart w:id="428" w:name="_Toc77504079"/>
      <w:r>
        <w:rPr>
          <w:rFonts w:ascii="宋体" w:hAnsi="宋体" w:cs="宋体"/>
          <w:color w:val="000000" w:themeColor="text1"/>
          <w:sz w:val="21"/>
          <w:szCs w:val="21"/>
          <w14:textFill>
            <w14:solidFill>
              <w14:schemeClr w14:val="tx1"/>
            </w14:solidFill>
          </w14:textFill>
        </w:rPr>
        <w:t xml:space="preserve">8.1 </w:t>
      </w:r>
      <w:r>
        <w:rPr>
          <w:rFonts w:hint="eastAsia" w:ascii="宋体" w:hAnsi="宋体" w:cs="宋体"/>
          <w:color w:val="000000" w:themeColor="text1"/>
          <w:sz w:val="21"/>
          <w:szCs w:val="21"/>
          <w14:textFill>
            <w14:solidFill>
              <w14:schemeClr w14:val="tx1"/>
            </w14:solidFill>
          </w14:textFill>
        </w:rPr>
        <w:t>提出</w:t>
      </w:r>
      <w:bookmarkEnd w:id="421"/>
      <w:r>
        <w:rPr>
          <w:rFonts w:hint="eastAsia" w:ascii="宋体" w:hAnsi="宋体" w:cs="宋体"/>
          <w:color w:val="000000" w:themeColor="text1"/>
          <w:sz w:val="21"/>
          <w:szCs w:val="21"/>
          <w14:textFill>
            <w14:solidFill>
              <w14:schemeClr w14:val="tx1"/>
            </w14:solidFill>
          </w14:textFill>
        </w:rPr>
        <w:t>质疑</w:t>
      </w:r>
      <w:bookmarkEnd w:id="422"/>
      <w:bookmarkEnd w:id="423"/>
      <w:bookmarkEnd w:id="424"/>
      <w:bookmarkEnd w:id="425"/>
      <w:bookmarkEnd w:id="426"/>
      <w:bookmarkEnd w:id="427"/>
      <w:bookmarkEnd w:id="428"/>
    </w:p>
    <w:p w14:paraId="6BAA477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投标人认为招标文件、采购过程、中标结果使自己的权益受到损害的，可以在知道或者应知其权益受到损害之日起</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个工作日内，以书面形式向采购人、代理机构提出质疑。</w:t>
      </w:r>
    </w:p>
    <w:p w14:paraId="7E84218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投标人应在法定质疑期内一次性提出针对同一招标程序环节的质疑，否则采购人、代理机构有权拒绝回复。</w:t>
      </w:r>
    </w:p>
    <w:p w14:paraId="2E062F2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提出质疑的投标人应当是参与所质疑项目采购活动的投标人。</w:t>
      </w:r>
    </w:p>
    <w:p w14:paraId="3E4BA43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潜在投标人已依法获取其可质疑的采购文件的，可以对该文件提出质疑。对采购文件提出质疑的，应当在获取采购文件或者采购文件公告期限届满之日起</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个工作日内提出。</w:t>
      </w:r>
    </w:p>
    <w:p w14:paraId="76E6A80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投标人提出质疑应当提交质疑函和必要的证明材料。质疑函应当包括下列内容：</w:t>
      </w:r>
    </w:p>
    <w:p w14:paraId="09C9895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（一）投标人的姓名或者名称、地址、邮编、联系人及联系电话；</w:t>
      </w:r>
    </w:p>
    <w:p w14:paraId="13A66BE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（二）质疑项目的名称、编号；</w:t>
      </w:r>
    </w:p>
    <w:p w14:paraId="7286579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（三）具体、明确的质疑事项和与质疑事项相关的请求；</w:t>
      </w:r>
    </w:p>
    <w:p w14:paraId="26DAC0B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（四）事实依据；</w:t>
      </w:r>
    </w:p>
    <w:p w14:paraId="3120721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（五）必要的法律依据；</w:t>
      </w:r>
    </w:p>
    <w:p w14:paraId="44C4CF7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（六）提出质疑的日期。</w:t>
      </w:r>
    </w:p>
    <w:p w14:paraId="4D58DC0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投标人为自然人的，应当由本人签字；投标人为法人或者其他组织的，应当由法定代表人、主要负责人，或者其授权代表签字或者盖章，并加盖公章。</w:t>
      </w:r>
    </w:p>
    <w:p w14:paraId="77DDE79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接收质疑函的部门：</w:t>
      </w:r>
      <w:r>
        <w:rPr>
          <w:rFonts w:hint="eastAsia" w:ascii="宋体" w:hAnsi="宋体" w:eastAsia="宋体" w:cs="宋体"/>
          <w:color w:val="000000" w:themeColor="text1"/>
          <w:lang w:eastAsia="zh-CN"/>
          <w14:textFill>
            <w14:solidFill>
              <w14:schemeClr w14:val="tx1"/>
            </w14:solidFill>
          </w14:textFill>
        </w:rPr>
        <w:t>祺山项目管理咨询（云南）有限公司</w:t>
      </w:r>
      <w:r>
        <w:rPr>
          <w:rFonts w:hint="eastAsia" w:ascii="宋体" w:hAnsi="宋体" w:eastAsia="宋体" w:cs="宋体"/>
          <w:color w:val="000000" w:themeColor="text1"/>
          <w14:textFill>
            <w14:solidFill>
              <w14:schemeClr w14:val="tx1"/>
            </w14:solidFill>
          </w14:textFill>
        </w:rPr>
        <w:t>；</w:t>
      </w:r>
    </w:p>
    <w:p w14:paraId="56C57D4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地址：</w:t>
      </w:r>
      <w:r>
        <w:rPr>
          <w:rFonts w:hint="eastAsia" w:ascii="宋体" w:hAnsi="宋体" w:eastAsia="宋体" w:cs="宋体"/>
          <w:color w:val="000000" w:themeColor="text1"/>
          <w:lang w:eastAsia="zh-CN"/>
          <w14:textFill>
            <w14:solidFill>
              <w14:schemeClr w14:val="tx1"/>
            </w14:solidFill>
          </w14:textFill>
        </w:rPr>
        <w:t>昆明市五华区龙泉路万彩荟商业中心17幢30楼3012号</w:t>
      </w:r>
      <w:r>
        <w:rPr>
          <w:rFonts w:hint="eastAsia" w:ascii="宋体" w:hAnsi="宋体" w:eastAsia="宋体" w:cs="宋体"/>
          <w:color w:val="000000" w:themeColor="text1"/>
          <w14:textFill>
            <w14:solidFill>
              <w14:schemeClr w14:val="tx1"/>
            </w14:solidFill>
          </w14:textFill>
        </w:rPr>
        <w:t>；</w:t>
      </w:r>
    </w:p>
    <w:p w14:paraId="00BB60C7">
      <w:pPr>
        <w:spacing w:line="360" w:lineRule="auto"/>
        <w:ind w:firstLine="420" w:firstLineChars="200"/>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eastAsia="zh-CN"/>
          <w14:textFill>
            <w14:solidFill>
              <w14:schemeClr w14:val="tx1"/>
            </w14:solidFill>
          </w14:textFill>
        </w:rPr>
        <w:t>周金山</w:t>
      </w:r>
      <w:r>
        <w:rPr>
          <w:rFonts w:hint="eastAsia" w:ascii="宋体" w:hAnsi="宋体" w:eastAsia="宋体" w:cs="宋体"/>
          <w:color w:val="000000" w:themeColor="text1"/>
          <w14:textFill>
            <w14:solidFill>
              <w14:schemeClr w14:val="tx1"/>
            </w14:solidFill>
          </w14:textFill>
        </w:rPr>
        <w:t>； 联系电话：</w:t>
      </w:r>
      <w:r>
        <w:rPr>
          <w:rFonts w:hint="eastAsia" w:ascii="宋体" w:hAnsi="宋体" w:eastAsia="宋体" w:cs="宋体"/>
          <w:color w:val="000000" w:themeColor="text1"/>
          <w:lang w:val="en-US" w:eastAsia="zh-CN"/>
          <w14:textFill>
            <w14:solidFill>
              <w14:schemeClr w14:val="tx1"/>
            </w14:solidFill>
          </w14:textFill>
        </w:rPr>
        <w:t>13888307000</w:t>
      </w:r>
      <w:r>
        <w:rPr>
          <w:rFonts w:hint="eastAsia" w:ascii="宋体" w:hAnsi="宋体" w:eastAsia="宋体" w:cs="宋体"/>
          <w:color w:val="000000" w:themeColor="text1"/>
          <w14:textFill>
            <w14:solidFill>
              <w14:schemeClr w14:val="tx1"/>
            </w14:solidFill>
          </w14:textFill>
        </w:rPr>
        <w:t>。</w:t>
      </w:r>
    </w:p>
    <w:p w14:paraId="64FDEEC7">
      <w:pPr>
        <w:pStyle w:val="5"/>
        <w:spacing w:before="0" w:after="0" w:line="360" w:lineRule="auto"/>
        <w:rPr>
          <w:rFonts w:ascii="宋体"/>
          <w:color w:val="000000" w:themeColor="text1"/>
          <w:sz w:val="21"/>
          <w:szCs w:val="21"/>
          <w14:textFill>
            <w14:solidFill>
              <w14:schemeClr w14:val="tx1"/>
            </w14:solidFill>
          </w14:textFill>
        </w:rPr>
      </w:pPr>
      <w:bookmarkStart w:id="429" w:name="_Toc77504080"/>
      <w:bookmarkStart w:id="430" w:name="_Toc164432935"/>
      <w:bookmarkStart w:id="431" w:name="_Toc77116691"/>
      <w:bookmarkStart w:id="432" w:name="_Toc107396218"/>
      <w:bookmarkStart w:id="433" w:name="_Toc70424875"/>
      <w:bookmarkStart w:id="434" w:name="_Toc120282446"/>
      <w:bookmarkStart w:id="435" w:name="_Toc30359"/>
      <w:bookmarkStart w:id="436" w:name="_Toc77658090"/>
      <w:r>
        <w:rPr>
          <w:rFonts w:ascii="宋体" w:hAnsi="宋体" w:cs="宋体"/>
          <w:color w:val="000000" w:themeColor="text1"/>
          <w:sz w:val="21"/>
          <w:szCs w:val="21"/>
          <w14:textFill>
            <w14:solidFill>
              <w14:schemeClr w14:val="tx1"/>
            </w14:solidFill>
          </w14:textFill>
        </w:rPr>
        <w:t xml:space="preserve">8.2 </w:t>
      </w:r>
      <w:r>
        <w:rPr>
          <w:rFonts w:hint="eastAsia" w:ascii="宋体" w:hAnsi="宋体" w:cs="宋体"/>
          <w:color w:val="000000" w:themeColor="text1"/>
          <w:sz w:val="21"/>
          <w:szCs w:val="21"/>
          <w14:textFill>
            <w14:solidFill>
              <w14:schemeClr w14:val="tx1"/>
            </w14:solidFill>
          </w14:textFill>
        </w:rPr>
        <w:t>质疑处理</w:t>
      </w:r>
      <w:bookmarkEnd w:id="429"/>
      <w:bookmarkEnd w:id="430"/>
      <w:bookmarkEnd w:id="431"/>
      <w:bookmarkEnd w:id="432"/>
      <w:bookmarkEnd w:id="433"/>
      <w:bookmarkEnd w:id="434"/>
      <w:bookmarkEnd w:id="435"/>
      <w:bookmarkEnd w:id="436"/>
    </w:p>
    <w:p w14:paraId="7CBE3A4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采购人、代理机构不得拒收质疑投标人在法定质疑期内发出的质疑函，应当在收到质疑函后</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个工作日内作出答复，并以书面形式通知质疑投标人和其他有关投标人。</w:t>
      </w:r>
    </w:p>
    <w:p w14:paraId="28CDDA6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投标人对评审过程、中标结果提出质疑的，采购人、代理机构可以组织原评标委员会协助答复质疑。</w:t>
      </w:r>
    </w:p>
    <w:p w14:paraId="7C3FA45C">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采购人、代理机构认为投标人质疑不成立，或者成立但未对中标结果构成影响的，继续开展采购活动；认为投标人质疑成立且影响或者可能影响中标结果的，按照下列情况处理：</w:t>
      </w:r>
    </w:p>
    <w:p w14:paraId="3091578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（一）对招标文件提出的质疑，依法通过澄清或者修改可以继续开展采购活动的，澄清或者修改采购文件后继续开展采购活动；否则应当修改采购文件后重新开展采购活动。</w:t>
      </w:r>
    </w:p>
    <w:p w14:paraId="52D8BF6C">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（二）对采购过程、中标结果提出的质疑，合格投标人符合法定数量时，可以从合格的中标候选人中另行确定中标人的，应当依法另行确定中标人；否则应当重新开展采购活动。</w:t>
      </w:r>
    </w:p>
    <w:p w14:paraId="60346E1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质疑答复导致中标结果改变的，采购人或者代理机构应当将有关情况书面报告本级财政部门。</w:t>
      </w:r>
    </w:p>
    <w:p w14:paraId="56708315">
      <w:pPr>
        <w:pStyle w:val="5"/>
        <w:spacing w:before="0" w:after="0" w:line="360" w:lineRule="auto"/>
        <w:rPr>
          <w:rFonts w:ascii="宋体"/>
          <w:color w:val="000000" w:themeColor="text1"/>
          <w:sz w:val="21"/>
          <w:szCs w:val="21"/>
          <w14:textFill>
            <w14:solidFill>
              <w14:schemeClr w14:val="tx1"/>
            </w14:solidFill>
          </w14:textFill>
        </w:rPr>
      </w:pPr>
      <w:bookmarkStart w:id="437" w:name="_Toc107396219"/>
      <w:bookmarkStart w:id="438" w:name="_Toc164432936"/>
      <w:bookmarkStart w:id="439" w:name="_Toc120282447"/>
      <w:bookmarkStart w:id="440" w:name="_Toc77658091"/>
      <w:bookmarkStart w:id="441" w:name="_Toc77504081"/>
      <w:bookmarkStart w:id="442" w:name="_Toc25872"/>
      <w:r>
        <w:rPr>
          <w:rFonts w:ascii="宋体" w:hAnsi="宋体" w:cs="宋体"/>
          <w:color w:val="000000" w:themeColor="text1"/>
          <w:sz w:val="21"/>
          <w:szCs w:val="21"/>
          <w14:textFill>
            <w14:solidFill>
              <w14:schemeClr w14:val="tx1"/>
            </w14:solidFill>
          </w14:textFill>
        </w:rPr>
        <w:t xml:space="preserve">8.3 </w:t>
      </w:r>
      <w:r>
        <w:rPr>
          <w:rFonts w:hint="eastAsia" w:ascii="宋体" w:hAnsi="宋体" w:cs="宋体"/>
          <w:color w:val="000000" w:themeColor="text1"/>
          <w:sz w:val="21"/>
          <w:szCs w:val="21"/>
          <w14:textFill>
            <w14:solidFill>
              <w14:schemeClr w14:val="tx1"/>
            </w14:solidFill>
          </w14:textFill>
        </w:rPr>
        <w:t>投诉</w:t>
      </w:r>
      <w:bookmarkEnd w:id="437"/>
      <w:bookmarkEnd w:id="438"/>
      <w:bookmarkEnd w:id="439"/>
      <w:bookmarkEnd w:id="440"/>
      <w:bookmarkEnd w:id="441"/>
      <w:bookmarkEnd w:id="442"/>
    </w:p>
    <w:p w14:paraId="356199D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质疑投标人对采购人、代理机构的答复不满意，或者采购人、代理机构未在规定时间内作出答复的，可以在答复期满后</w:t>
      </w:r>
      <w:r>
        <w:rPr>
          <w:rFonts w:ascii="宋体" w:hAnsi="宋体" w:eastAsia="宋体" w:cs="宋体"/>
          <w:color w:val="000000" w:themeColor="text1"/>
          <w14:textFill>
            <w14:solidFill>
              <w14:schemeClr w14:val="tx1"/>
            </w14:solidFill>
          </w14:textFill>
        </w:rPr>
        <w:t>15</w:t>
      </w:r>
      <w:r>
        <w:rPr>
          <w:rFonts w:hint="eastAsia" w:ascii="宋体" w:hAnsi="宋体" w:eastAsia="宋体" w:cs="宋体"/>
          <w:color w:val="000000" w:themeColor="text1"/>
          <w14:textFill>
            <w14:solidFill>
              <w14:schemeClr w14:val="tx1"/>
            </w14:solidFill>
          </w14:textFill>
        </w:rPr>
        <w:t>个工作日内向财政部门提起投诉。</w:t>
      </w:r>
    </w:p>
    <w:p w14:paraId="7C57A57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投标人投诉的事项不得超出已质疑事项的范围，但基于质疑答复内容提出的投诉事项除外。</w:t>
      </w:r>
    </w:p>
    <w:p w14:paraId="4972E62C">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443" w:name="_Toc107396220"/>
      <w:bookmarkStart w:id="444" w:name="_Toc70424876"/>
      <w:bookmarkStart w:id="445" w:name="_Toc77658092"/>
      <w:bookmarkStart w:id="446" w:name="_Toc77116692"/>
      <w:bookmarkStart w:id="447" w:name="_Toc120282448"/>
      <w:bookmarkStart w:id="448" w:name="_Toc77504082"/>
      <w:bookmarkStart w:id="449" w:name="_Toc9802"/>
      <w:bookmarkStart w:id="450" w:name="_Toc164432937"/>
      <w:r>
        <w:rPr>
          <w:rFonts w:ascii="宋体" w:hAnsi="宋体" w:eastAsia="宋体" w:cs="宋体"/>
          <w:color w:val="000000" w:themeColor="text1"/>
          <w:sz w:val="21"/>
          <w:szCs w:val="21"/>
          <w14:textFill>
            <w14:solidFill>
              <w14:schemeClr w14:val="tx1"/>
            </w14:solidFill>
          </w14:textFill>
        </w:rPr>
        <w:t xml:space="preserve">9. </w:t>
      </w:r>
      <w:r>
        <w:rPr>
          <w:rFonts w:hint="eastAsia" w:ascii="宋体" w:hAnsi="宋体" w:eastAsia="宋体" w:cs="宋体"/>
          <w:color w:val="000000" w:themeColor="text1"/>
          <w:sz w:val="21"/>
          <w:szCs w:val="21"/>
          <w14:textFill>
            <w14:solidFill>
              <w14:schemeClr w14:val="tx1"/>
            </w14:solidFill>
          </w14:textFill>
        </w:rPr>
        <w:t>纪律要求</w:t>
      </w:r>
      <w:bookmarkEnd w:id="443"/>
      <w:bookmarkEnd w:id="444"/>
      <w:bookmarkEnd w:id="445"/>
      <w:bookmarkEnd w:id="446"/>
      <w:bookmarkEnd w:id="447"/>
      <w:bookmarkEnd w:id="448"/>
      <w:bookmarkEnd w:id="449"/>
      <w:bookmarkEnd w:id="450"/>
    </w:p>
    <w:p w14:paraId="57F50538">
      <w:pPr>
        <w:pStyle w:val="5"/>
        <w:spacing w:before="0" w:after="0" w:line="360" w:lineRule="auto"/>
        <w:rPr>
          <w:rFonts w:ascii="宋体"/>
          <w:color w:val="000000" w:themeColor="text1"/>
          <w:sz w:val="21"/>
          <w:szCs w:val="21"/>
          <w14:textFill>
            <w14:solidFill>
              <w14:schemeClr w14:val="tx1"/>
            </w14:solidFill>
          </w14:textFill>
        </w:rPr>
      </w:pPr>
      <w:bookmarkStart w:id="451" w:name="_Toc70424877"/>
      <w:bookmarkStart w:id="452" w:name="_Toc8985"/>
      <w:bookmarkStart w:id="453" w:name="_Toc120282449"/>
      <w:bookmarkStart w:id="454" w:name="_Toc107396221"/>
      <w:bookmarkStart w:id="455" w:name="_Toc77504083"/>
      <w:bookmarkStart w:id="456" w:name="_Toc77116693"/>
      <w:bookmarkStart w:id="457" w:name="_Toc77658093"/>
      <w:bookmarkStart w:id="458" w:name="_Toc164432938"/>
      <w:r>
        <w:rPr>
          <w:rFonts w:ascii="宋体" w:hAnsi="宋体" w:cs="宋体"/>
          <w:color w:val="000000" w:themeColor="text1"/>
          <w:sz w:val="21"/>
          <w:szCs w:val="21"/>
          <w14:textFill>
            <w14:solidFill>
              <w14:schemeClr w14:val="tx1"/>
            </w14:solidFill>
          </w14:textFill>
        </w:rPr>
        <w:t xml:space="preserve">9.1 </w:t>
      </w:r>
      <w:r>
        <w:rPr>
          <w:rFonts w:hint="eastAsia" w:ascii="宋体" w:hAnsi="宋体" w:cs="宋体"/>
          <w:color w:val="000000" w:themeColor="text1"/>
          <w:sz w:val="21"/>
          <w:szCs w:val="21"/>
          <w14:textFill>
            <w14:solidFill>
              <w14:schemeClr w14:val="tx1"/>
            </w14:solidFill>
          </w14:textFill>
        </w:rPr>
        <w:t>对采购人的纪律要求</w:t>
      </w:r>
      <w:bookmarkEnd w:id="451"/>
      <w:bookmarkEnd w:id="452"/>
      <w:bookmarkEnd w:id="453"/>
      <w:bookmarkEnd w:id="454"/>
      <w:bookmarkEnd w:id="455"/>
      <w:bookmarkEnd w:id="456"/>
      <w:bookmarkEnd w:id="457"/>
      <w:bookmarkEnd w:id="458"/>
    </w:p>
    <w:p w14:paraId="6DD60A0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采购人不得泄露招标投标活动中应当保密的情况和资料，不得与投标人串通损害国家利益、社会公共利益或者他人合法利益。</w:t>
      </w:r>
    </w:p>
    <w:p w14:paraId="474AF8AB">
      <w:pPr>
        <w:pStyle w:val="5"/>
        <w:spacing w:before="0" w:after="0" w:line="360" w:lineRule="auto"/>
        <w:rPr>
          <w:rFonts w:ascii="宋体"/>
          <w:color w:val="000000" w:themeColor="text1"/>
          <w:sz w:val="21"/>
          <w:szCs w:val="21"/>
          <w14:textFill>
            <w14:solidFill>
              <w14:schemeClr w14:val="tx1"/>
            </w14:solidFill>
          </w14:textFill>
        </w:rPr>
      </w:pPr>
      <w:bookmarkStart w:id="459" w:name="_Toc77504084"/>
      <w:bookmarkStart w:id="460" w:name="_Toc77658094"/>
      <w:bookmarkStart w:id="461" w:name="_Toc30696"/>
      <w:bookmarkStart w:id="462" w:name="_Toc77116694"/>
      <w:bookmarkStart w:id="463" w:name="_Toc164432939"/>
      <w:bookmarkStart w:id="464" w:name="_Toc107396222"/>
      <w:bookmarkStart w:id="465" w:name="_Toc70424878"/>
      <w:bookmarkStart w:id="466" w:name="_Toc120282450"/>
      <w:r>
        <w:rPr>
          <w:rFonts w:ascii="宋体" w:hAnsi="宋体" w:cs="宋体"/>
          <w:color w:val="000000" w:themeColor="text1"/>
          <w:sz w:val="21"/>
          <w:szCs w:val="21"/>
          <w14:textFill>
            <w14:solidFill>
              <w14:schemeClr w14:val="tx1"/>
            </w14:solidFill>
          </w14:textFill>
        </w:rPr>
        <w:t xml:space="preserve">9.2 </w:t>
      </w:r>
      <w:r>
        <w:rPr>
          <w:rFonts w:hint="eastAsia" w:ascii="宋体" w:hAnsi="宋体" w:cs="宋体"/>
          <w:color w:val="000000" w:themeColor="text1"/>
          <w:sz w:val="21"/>
          <w:szCs w:val="21"/>
          <w14:textFill>
            <w14:solidFill>
              <w14:schemeClr w14:val="tx1"/>
            </w14:solidFill>
          </w14:textFill>
        </w:rPr>
        <w:t>对投标人的纪律要求</w:t>
      </w:r>
      <w:bookmarkEnd w:id="459"/>
      <w:bookmarkEnd w:id="460"/>
      <w:bookmarkEnd w:id="461"/>
      <w:bookmarkEnd w:id="462"/>
      <w:bookmarkEnd w:id="463"/>
      <w:bookmarkEnd w:id="464"/>
      <w:bookmarkEnd w:id="465"/>
      <w:bookmarkEnd w:id="466"/>
    </w:p>
    <w:p w14:paraId="2232A16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投标人不得相互串通或者与采购人串通，不得向采购人或者评标委员会成员行贿谋取中标，不得以他人名义投标或者以其他方式弄虚作假骗取中标；投标人不得以任何方式干扰、影响评标工作。</w:t>
      </w:r>
    </w:p>
    <w:p w14:paraId="0B668167">
      <w:pPr>
        <w:pStyle w:val="5"/>
        <w:spacing w:before="0" w:after="0" w:line="360" w:lineRule="auto"/>
        <w:rPr>
          <w:rFonts w:ascii="宋体"/>
          <w:color w:val="000000" w:themeColor="text1"/>
          <w:sz w:val="21"/>
          <w:szCs w:val="21"/>
          <w14:textFill>
            <w14:solidFill>
              <w14:schemeClr w14:val="tx1"/>
            </w14:solidFill>
          </w14:textFill>
        </w:rPr>
      </w:pPr>
      <w:bookmarkStart w:id="467" w:name="_Toc107396223"/>
      <w:bookmarkStart w:id="468" w:name="_Toc77504085"/>
      <w:bookmarkStart w:id="469" w:name="_Toc120282451"/>
      <w:bookmarkStart w:id="470" w:name="_Toc12724"/>
      <w:bookmarkStart w:id="471" w:name="_Toc77116695"/>
      <w:bookmarkStart w:id="472" w:name="_Toc164432940"/>
      <w:bookmarkStart w:id="473" w:name="_Toc77658095"/>
      <w:bookmarkStart w:id="474" w:name="_Toc70424879"/>
      <w:r>
        <w:rPr>
          <w:rFonts w:ascii="宋体" w:hAnsi="宋体" w:cs="宋体"/>
          <w:color w:val="000000" w:themeColor="text1"/>
          <w:sz w:val="21"/>
          <w:szCs w:val="21"/>
          <w14:textFill>
            <w14:solidFill>
              <w14:schemeClr w14:val="tx1"/>
            </w14:solidFill>
          </w14:textFill>
        </w:rPr>
        <w:t xml:space="preserve">9.3 </w:t>
      </w:r>
      <w:r>
        <w:rPr>
          <w:rFonts w:hint="eastAsia" w:ascii="宋体" w:hAnsi="宋体" w:cs="宋体"/>
          <w:color w:val="000000" w:themeColor="text1"/>
          <w:sz w:val="21"/>
          <w:szCs w:val="21"/>
          <w14:textFill>
            <w14:solidFill>
              <w14:schemeClr w14:val="tx1"/>
            </w14:solidFill>
          </w14:textFill>
        </w:rPr>
        <w:t>对评标委员会成员的纪律要求</w:t>
      </w:r>
      <w:bookmarkEnd w:id="467"/>
      <w:bookmarkEnd w:id="468"/>
      <w:bookmarkEnd w:id="469"/>
      <w:bookmarkEnd w:id="470"/>
      <w:bookmarkEnd w:id="471"/>
      <w:bookmarkEnd w:id="472"/>
      <w:bookmarkEnd w:id="473"/>
      <w:bookmarkEnd w:id="474"/>
    </w:p>
    <w:p w14:paraId="767EFA7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005CCF2E">
      <w:pPr>
        <w:pStyle w:val="5"/>
        <w:spacing w:before="0" w:after="0" w:line="360" w:lineRule="auto"/>
        <w:rPr>
          <w:rFonts w:ascii="宋体"/>
          <w:color w:val="000000" w:themeColor="text1"/>
          <w:sz w:val="21"/>
          <w:szCs w:val="21"/>
          <w14:textFill>
            <w14:solidFill>
              <w14:schemeClr w14:val="tx1"/>
            </w14:solidFill>
          </w14:textFill>
        </w:rPr>
      </w:pPr>
      <w:bookmarkStart w:id="475" w:name="_Toc19931"/>
      <w:bookmarkStart w:id="476" w:name="_Toc120282452"/>
      <w:bookmarkStart w:id="477" w:name="_Toc164432941"/>
      <w:bookmarkStart w:id="478" w:name="_Toc77116696"/>
      <w:bookmarkStart w:id="479" w:name="_Toc77504086"/>
      <w:bookmarkStart w:id="480" w:name="_Toc107396224"/>
      <w:bookmarkStart w:id="481" w:name="_Toc77658096"/>
      <w:bookmarkStart w:id="482" w:name="_Toc70424880"/>
      <w:r>
        <w:rPr>
          <w:rFonts w:ascii="宋体" w:hAnsi="宋体" w:cs="宋体"/>
          <w:color w:val="000000" w:themeColor="text1"/>
          <w:sz w:val="21"/>
          <w:szCs w:val="21"/>
          <w14:textFill>
            <w14:solidFill>
              <w14:schemeClr w14:val="tx1"/>
            </w14:solidFill>
          </w14:textFill>
        </w:rPr>
        <w:t xml:space="preserve">9.4 </w:t>
      </w:r>
      <w:r>
        <w:rPr>
          <w:rFonts w:hint="eastAsia" w:ascii="宋体" w:hAnsi="宋体" w:cs="宋体"/>
          <w:color w:val="000000" w:themeColor="text1"/>
          <w:sz w:val="21"/>
          <w:szCs w:val="21"/>
          <w14:textFill>
            <w14:solidFill>
              <w14:schemeClr w14:val="tx1"/>
            </w14:solidFill>
          </w14:textFill>
        </w:rPr>
        <w:t>对与评标活动有关的工作人员的纪律要求</w:t>
      </w:r>
      <w:bookmarkEnd w:id="475"/>
      <w:bookmarkEnd w:id="476"/>
      <w:bookmarkEnd w:id="477"/>
      <w:bookmarkEnd w:id="478"/>
      <w:bookmarkEnd w:id="479"/>
      <w:bookmarkEnd w:id="480"/>
      <w:bookmarkEnd w:id="481"/>
      <w:bookmarkEnd w:id="482"/>
    </w:p>
    <w:p w14:paraId="0384C0B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6E15438">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483" w:name="_Toc70424881"/>
      <w:bookmarkStart w:id="484" w:name="_Toc77116697"/>
      <w:bookmarkStart w:id="485" w:name="_Toc120282453"/>
      <w:bookmarkStart w:id="486" w:name="_Toc1588"/>
      <w:bookmarkStart w:id="487" w:name="_Toc77504087"/>
      <w:bookmarkStart w:id="488" w:name="_Toc107396225"/>
      <w:bookmarkStart w:id="489" w:name="_Toc164432942"/>
      <w:bookmarkStart w:id="490" w:name="_Toc77658097"/>
      <w:r>
        <w:rPr>
          <w:rFonts w:ascii="宋体" w:hAnsi="宋体" w:eastAsia="宋体" w:cs="宋体"/>
          <w:color w:val="000000" w:themeColor="text1"/>
          <w:sz w:val="21"/>
          <w:szCs w:val="21"/>
          <w14:textFill>
            <w14:solidFill>
              <w14:schemeClr w14:val="tx1"/>
            </w14:solidFill>
          </w14:textFill>
        </w:rPr>
        <w:t xml:space="preserve">10. </w:t>
      </w:r>
      <w:r>
        <w:rPr>
          <w:rFonts w:hint="eastAsia" w:ascii="宋体" w:hAnsi="宋体" w:eastAsia="宋体" w:cs="宋体"/>
          <w:color w:val="000000" w:themeColor="text1"/>
          <w:sz w:val="21"/>
          <w:szCs w:val="21"/>
          <w14:textFill>
            <w14:solidFill>
              <w14:schemeClr w14:val="tx1"/>
            </w14:solidFill>
          </w14:textFill>
        </w:rPr>
        <w:t>需要补充的其他内容</w:t>
      </w:r>
      <w:bookmarkEnd w:id="483"/>
      <w:bookmarkEnd w:id="484"/>
      <w:bookmarkEnd w:id="485"/>
      <w:bookmarkEnd w:id="486"/>
      <w:bookmarkEnd w:id="487"/>
      <w:bookmarkEnd w:id="488"/>
      <w:bookmarkEnd w:id="489"/>
      <w:bookmarkEnd w:id="490"/>
    </w:p>
    <w:p w14:paraId="5D68AB3D">
      <w:pPr>
        <w:pStyle w:val="5"/>
        <w:spacing w:before="0" w:after="0" w:line="360" w:lineRule="auto"/>
        <w:rPr>
          <w:rFonts w:ascii="宋体"/>
          <w:color w:val="000000" w:themeColor="text1"/>
          <w:sz w:val="21"/>
          <w:szCs w:val="21"/>
          <w14:textFill>
            <w14:solidFill>
              <w14:schemeClr w14:val="tx1"/>
            </w14:solidFill>
          </w14:textFill>
        </w:rPr>
      </w:pPr>
      <w:bookmarkStart w:id="491" w:name="_Toc77116698"/>
      <w:bookmarkStart w:id="492" w:name="_Toc107396226"/>
      <w:bookmarkStart w:id="493" w:name="_Toc120282454"/>
      <w:bookmarkStart w:id="494" w:name="_Toc70424882"/>
      <w:bookmarkStart w:id="495" w:name="_Toc77504088"/>
      <w:bookmarkStart w:id="496" w:name="_Toc164432943"/>
      <w:bookmarkStart w:id="497" w:name="_Toc14960"/>
      <w:bookmarkStart w:id="498" w:name="_Toc77658098"/>
      <w:r>
        <w:rPr>
          <w:rFonts w:ascii="宋体" w:hAnsi="宋体" w:cs="宋体"/>
          <w:color w:val="000000" w:themeColor="text1"/>
          <w:sz w:val="21"/>
          <w:szCs w:val="21"/>
          <w14:textFill>
            <w14:solidFill>
              <w14:schemeClr w14:val="tx1"/>
            </w14:solidFill>
          </w14:textFill>
        </w:rPr>
        <w:t xml:space="preserve">10.1 </w:t>
      </w:r>
      <w:r>
        <w:rPr>
          <w:rFonts w:hint="eastAsia" w:ascii="宋体" w:hAnsi="宋体" w:cs="宋体"/>
          <w:color w:val="000000" w:themeColor="text1"/>
          <w:sz w:val="21"/>
          <w:szCs w:val="21"/>
          <w14:textFill>
            <w14:solidFill>
              <w14:schemeClr w14:val="tx1"/>
            </w14:solidFill>
          </w14:textFill>
        </w:rPr>
        <w:t>采购代理服务费</w:t>
      </w:r>
      <w:bookmarkEnd w:id="491"/>
      <w:bookmarkEnd w:id="492"/>
      <w:bookmarkEnd w:id="493"/>
      <w:bookmarkEnd w:id="494"/>
      <w:bookmarkEnd w:id="495"/>
      <w:bookmarkEnd w:id="496"/>
      <w:bookmarkEnd w:id="497"/>
      <w:bookmarkEnd w:id="498"/>
    </w:p>
    <w:p w14:paraId="137E345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投标人须知前附表规定由中标人承担采购代理服务费的，中标人应按照投标人须知前附表规定的费用标准或金额、交费时间和方式向代理机构支付代理服务费。</w:t>
      </w:r>
    </w:p>
    <w:p w14:paraId="6BAAC26C">
      <w:pPr>
        <w:pStyle w:val="5"/>
        <w:spacing w:before="0" w:after="0" w:line="360" w:lineRule="auto"/>
        <w:rPr>
          <w:rFonts w:ascii="宋体"/>
          <w:color w:val="000000" w:themeColor="text1"/>
          <w:sz w:val="21"/>
          <w:szCs w:val="21"/>
          <w14:textFill>
            <w14:solidFill>
              <w14:schemeClr w14:val="tx1"/>
            </w14:solidFill>
          </w14:textFill>
        </w:rPr>
      </w:pPr>
      <w:bookmarkStart w:id="499" w:name="_Toc77504089"/>
      <w:bookmarkStart w:id="500" w:name="_Toc15058"/>
      <w:bookmarkStart w:id="501" w:name="_Toc107396227"/>
      <w:bookmarkStart w:id="502" w:name="_Toc120282455"/>
      <w:bookmarkStart w:id="503" w:name="_Toc77116699"/>
      <w:bookmarkStart w:id="504" w:name="_Toc77658099"/>
      <w:bookmarkStart w:id="505" w:name="_Toc70424883"/>
      <w:bookmarkStart w:id="506" w:name="_Toc164432944"/>
      <w:r>
        <w:rPr>
          <w:rFonts w:ascii="宋体" w:hAnsi="宋体" w:cs="宋体"/>
          <w:color w:val="000000" w:themeColor="text1"/>
          <w:sz w:val="21"/>
          <w:szCs w:val="21"/>
          <w14:textFill>
            <w14:solidFill>
              <w14:schemeClr w14:val="tx1"/>
            </w14:solidFill>
          </w14:textFill>
        </w:rPr>
        <w:t xml:space="preserve">10.2 </w:t>
      </w:r>
      <w:r>
        <w:rPr>
          <w:rFonts w:hint="eastAsia" w:ascii="宋体" w:hAnsi="宋体" w:cs="宋体"/>
          <w:color w:val="000000" w:themeColor="text1"/>
          <w:sz w:val="21"/>
          <w:szCs w:val="21"/>
          <w14:textFill>
            <w14:solidFill>
              <w14:schemeClr w14:val="tx1"/>
            </w14:solidFill>
          </w14:textFill>
        </w:rPr>
        <w:t>其他</w:t>
      </w:r>
      <w:bookmarkEnd w:id="499"/>
      <w:bookmarkEnd w:id="500"/>
      <w:bookmarkEnd w:id="501"/>
      <w:bookmarkEnd w:id="502"/>
      <w:bookmarkEnd w:id="503"/>
      <w:bookmarkEnd w:id="504"/>
      <w:bookmarkEnd w:id="505"/>
      <w:bookmarkEnd w:id="506"/>
    </w:p>
    <w:p w14:paraId="10F19AC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需要补充的其他内容：见投标人须知前附表。</w:t>
      </w:r>
    </w:p>
    <w:p w14:paraId="1FCA98C9">
      <w:pPr>
        <w:spacing w:line="360" w:lineRule="auto"/>
        <w:rPr>
          <w:rFonts w:ascii="宋体" w:hAnsi="宋体" w:eastAsia="宋体" w:cs="Times New Roman"/>
          <w:color w:val="000000" w:themeColor="text1"/>
          <w14:textFill>
            <w14:solidFill>
              <w14:schemeClr w14:val="tx1"/>
            </w14:solidFill>
          </w14:textFill>
        </w:rPr>
      </w:pPr>
    </w:p>
    <w:p w14:paraId="3A54131D">
      <w:pPr>
        <w:pStyle w:val="3"/>
        <w:spacing w:before="0" w:after="0" w:line="360" w:lineRule="auto"/>
        <w:jc w:val="center"/>
        <w:rPr>
          <w:rFonts w:ascii="宋体" w:hAnsi="宋体" w:cs="宋体"/>
          <w:color w:val="000000" w:themeColor="text1"/>
          <w:sz w:val="36"/>
          <w:szCs w:val="36"/>
          <w14:textFill>
            <w14:solidFill>
              <w14:schemeClr w14:val="tx1"/>
            </w14:solidFill>
          </w14:textFill>
        </w:rPr>
      </w:pPr>
      <w:r>
        <w:rPr>
          <w:rFonts w:ascii="宋体" w:hAnsi="宋体"/>
          <w:color w:val="000000" w:themeColor="text1"/>
          <w14:textFill>
            <w14:solidFill>
              <w14:schemeClr w14:val="tx1"/>
            </w14:solidFill>
          </w14:textFill>
        </w:rPr>
        <w:br w:type="page"/>
      </w:r>
      <w:bookmarkStart w:id="507" w:name="_Toc164432945"/>
      <w:r>
        <w:rPr>
          <w:rFonts w:hint="eastAsia" w:ascii="宋体" w:hAnsi="宋体" w:cs="宋体"/>
          <w:color w:val="000000" w:themeColor="text1"/>
          <w:sz w:val="36"/>
          <w:szCs w:val="36"/>
          <w14:textFill>
            <w14:solidFill>
              <w14:schemeClr w14:val="tx1"/>
            </w14:solidFill>
          </w14:textFill>
        </w:rPr>
        <w:t>第三章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评标办法</w:t>
      </w:r>
      <w:bookmarkEnd w:id="507"/>
    </w:p>
    <w:p w14:paraId="466E0CF0">
      <w:pPr>
        <w:pStyle w:val="4"/>
        <w:spacing w:before="0" w:after="0" w:line="360" w:lineRule="auto"/>
        <w:jc w:val="center"/>
        <w:rPr>
          <w:rFonts w:ascii="宋体" w:hAnsi="宋体" w:eastAsia="宋体" w:cs="Times New Roman"/>
          <w:color w:val="000000" w:themeColor="text1"/>
          <w:sz w:val="28"/>
          <w:szCs w:val="28"/>
          <w14:textFill>
            <w14:solidFill>
              <w14:schemeClr w14:val="tx1"/>
            </w14:solidFill>
          </w14:textFill>
        </w:rPr>
      </w:pPr>
      <w:bookmarkStart w:id="508" w:name="_Toc164432946"/>
      <w:r>
        <w:rPr>
          <w:rFonts w:hint="eastAsia" w:ascii="宋体" w:hAnsi="宋体" w:eastAsia="宋体" w:cs="宋体"/>
          <w:color w:val="000000" w:themeColor="text1"/>
          <w:sz w:val="28"/>
          <w:szCs w:val="28"/>
          <w14:textFill>
            <w14:solidFill>
              <w14:schemeClr w14:val="tx1"/>
            </w14:solidFill>
          </w14:textFill>
        </w:rPr>
        <w:t>评标办法前附表</w:t>
      </w:r>
      <w:bookmarkEnd w:id="508"/>
    </w:p>
    <w:p w14:paraId="06F31F05">
      <w:pPr>
        <w:pStyle w:val="4"/>
        <w:spacing w:before="0" w:after="0" w:line="360" w:lineRule="auto"/>
        <w:jc w:val="both"/>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资格审查部分</w:t>
      </w:r>
    </w:p>
    <w:p w14:paraId="37F9AF66">
      <w:pPr>
        <w:pStyle w:val="18"/>
        <w:widowControl/>
        <w:spacing w:line="560" w:lineRule="exact"/>
        <w:ind w:left="0" w:leftChars="0"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投标文件出现不满足下列各项评审内容及标准要求之一的，则资格评审为不合格。合格投标人不足</w:t>
      </w:r>
      <w:r>
        <w:rPr>
          <w:rFonts w:ascii="宋体" w:hAnsi="宋体"/>
          <w:color w:val="000000" w:themeColor="text1"/>
          <w14:textFill>
            <w14:solidFill>
              <w14:schemeClr w14:val="tx1"/>
            </w14:solidFill>
          </w14:textFill>
        </w:rPr>
        <w:t>3家的，不得评标。下列各项评审内容及标准均为招标文件的实质性要求，投标文件响应各款所列材料在开标后不得澄清、后补。</w:t>
      </w:r>
    </w:p>
    <w:tbl>
      <w:tblPr>
        <w:tblStyle w:val="42"/>
        <w:tblW w:w="5000" w:type="pct"/>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26"/>
        <w:gridCol w:w="1089"/>
        <w:gridCol w:w="2436"/>
        <w:gridCol w:w="5036"/>
      </w:tblGrid>
      <w:tr w14:paraId="609CF48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1062" w:type="pct"/>
            <w:gridSpan w:val="2"/>
            <w:vAlign w:val="center"/>
          </w:tcPr>
          <w:p w14:paraId="00CAB8D2">
            <w:pPr>
              <w:pStyle w:val="18"/>
              <w:spacing w:line="400" w:lineRule="exact"/>
              <w:ind w:left="0" w:leftChars="0"/>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条款号</w:t>
            </w:r>
          </w:p>
        </w:tc>
        <w:tc>
          <w:tcPr>
            <w:tcW w:w="1284" w:type="pct"/>
            <w:vAlign w:val="center"/>
          </w:tcPr>
          <w:p w14:paraId="7C20FED1">
            <w:pPr>
              <w:pStyle w:val="18"/>
              <w:spacing w:line="400" w:lineRule="exact"/>
              <w:ind w:left="0" w:leftChars="0"/>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评审因素</w:t>
            </w:r>
          </w:p>
        </w:tc>
        <w:tc>
          <w:tcPr>
            <w:tcW w:w="2654" w:type="pct"/>
            <w:vAlign w:val="center"/>
          </w:tcPr>
          <w:p w14:paraId="18DC906A">
            <w:pPr>
              <w:pStyle w:val="18"/>
              <w:spacing w:line="400" w:lineRule="exact"/>
              <w:ind w:left="0" w:leftChars="0"/>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评审标准</w:t>
            </w:r>
          </w:p>
        </w:tc>
      </w:tr>
      <w:tr w14:paraId="34708A5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Align w:val="center"/>
          </w:tcPr>
          <w:p w14:paraId="005D6D22">
            <w:pPr>
              <w:spacing w:before="124" w:beforeLines="40" w:line="360" w:lineRule="auto"/>
              <w:jc w:val="center"/>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1</w:t>
            </w:r>
          </w:p>
        </w:tc>
        <w:tc>
          <w:tcPr>
            <w:tcW w:w="574" w:type="pct"/>
            <w:vAlign w:val="center"/>
          </w:tcPr>
          <w:p w14:paraId="1B306A86">
            <w:pPr>
              <w:wordWrap w:val="0"/>
              <w:spacing w:before="124" w:beforeLines="40" w:line="360" w:lineRule="auto"/>
              <w:jc w:val="center"/>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评审方法</w:t>
            </w:r>
          </w:p>
        </w:tc>
        <w:tc>
          <w:tcPr>
            <w:tcW w:w="1284" w:type="pct"/>
            <w:vAlign w:val="center"/>
          </w:tcPr>
          <w:p w14:paraId="2B7360DD">
            <w:pPr>
              <w:spacing w:before="124" w:beforeLines="40" w:line="360" w:lineRule="auto"/>
              <w:jc w:val="center"/>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评审内容</w:t>
            </w:r>
          </w:p>
        </w:tc>
        <w:tc>
          <w:tcPr>
            <w:tcW w:w="2654" w:type="pct"/>
            <w:vAlign w:val="center"/>
          </w:tcPr>
          <w:p w14:paraId="0457B968">
            <w:pPr>
              <w:spacing w:before="124" w:beforeLines="40" w:line="360" w:lineRule="auto"/>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综合评分法</w:t>
            </w:r>
          </w:p>
        </w:tc>
      </w:tr>
      <w:tr w14:paraId="79BB8B4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restart"/>
            <w:vAlign w:val="center"/>
          </w:tcPr>
          <w:p w14:paraId="5C7746D3">
            <w:pPr>
              <w:spacing w:before="124" w:beforeLines="40" w:line="360" w:lineRule="auto"/>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2.1.1</w:t>
            </w:r>
          </w:p>
        </w:tc>
        <w:tc>
          <w:tcPr>
            <w:tcW w:w="574" w:type="pct"/>
            <w:vMerge w:val="restart"/>
            <w:vAlign w:val="center"/>
          </w:tcPr>
          <w:p w14:paraId="66E50117">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资格审查标准</w:t>
            </w:r>
          </w:p>
        </w:tc>
        <w:tc>
          <w:tcPr>
            <w:tcW w:w="1284" w:type="pct"/>
            <w:vAlign w:val="center"/>
          </w:tcPr>
          <w:p w14:paraId="7A67B388">
            <w:pPr>
              <w:wordWrap w:val="0"/>
              <w:spacing w:before="124" w:beforeLines="40" w:line="360" w:lineRule="auto"/>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满足《中华人民共和国政府采购法》第二十二条规定</w:t>
            </w:r>
          </w:p>
        </w:tc>
        <w:tc>
          <w:tcPr>
            <w:tcW w:w="2654" w:type="pct"/>
            <w:vAlign w:val="center"/>
          </w:tcPr>
          <w:p w14:paraId="7D01485C">
            <w:pPr>
              <w:adjustRightInd w:val="0"/>
              <w:spacing w:line="360" w:lineRule="auto"/>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1.1具有独立承担民事责任的能力。提供法人或者其他组织的营业执照等证明文件</w:t>
            </w:r>
            <w:r>
              <w:rPr>
                <w:rFonts w:hint="eastAsia" w:ascii="宋体" w:hAnsi="宋体" w:eastAsia="宋体" w:cs="宋体"/>
                <w:color w:val="000000" w:themeColor="text1"/>
                <w:lang w:eastAsia="zh-CN"/>
                <w14:textFill>
                  <w14:solidFill>
                    <w14:schemeClr w14:val="tx1"/>
                  </w14:solidFill>
                </w14:textFill>
              </w:rPr>
              <w:t>；</w:t>
            </w:r>
          </w:p>
          <w:p w14:paraId="3E3EC724">
            <w:pPr>
              <w:adjustRightInd w:val="0"/>
              <w:spacing w:line="360" w:lineRule="auto"/>
              <w:jc w:val="lef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1.2具有良好的商业信誉和健全的财务会计制度。供应商须提供202</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年或202</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年经审计的财务报告（包括资产负债表、利润表、现金流量表、所有者权益变动表及其附注），新成立不满1年的供应商提供自成立至今的财务报表；</w:t>
            </w:r>
          </w:p>
          <w:p w14:paraId="4258C19B">
            <w:pPr>
              <w:adjustRightInd w:val="0"/>
              <w:spacing w:line="360" w:lineRule="auto"/>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1.3具有履行合同所必需的设备和专业技术能力(提供声明函或证明材料</w:t>
            </w:r>
            <w:r>
              <w:rPr>
                <w:rFonts w:hint="eastAsia" w:ascii="宋体" w:hAnsi="宋体" w:eastAsia="宋体" w:cs="宋体"/>
                <w:color w:val="000000" w:themeColor="text1"/>
                <w:lang w:eastAsia="zh-CN"/>
                <w14:textFill>
                  <w14:solidFill>
                    <w14:schemeClr w14:val="tx1"/>
                  </w14:solidFill>
                </w14:textFill>
              </w:rPr>
              <w:t>）；</w:t>
            </w:r>
          </w:p>
          <w:p w14:paraId="78E2F992">
            <w:pPr>
              <w:adjustRightInd w:val="0"/>
              <w:spacing w:line="360" w:lineRule="auto"/>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1.4有依法缴纳税收和社会保障资金的良好记录。提供202</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月至投标截止日期前任意月</w:t>
            </w:r>
            <w:r>
              <w:rPr>
                <w:rFonts w:hint="eastAsia" w:ascii="宋体" w:hAnsi="宋体" w:eastAsia="宋体" w:cs="宋体"/>
                <w:color w:val="000000" w:themeColor="text1"/>
                <w:lang w:val="en-US" w:eastAsia="zh-CN"/>
                <w14:textFill>
                  <w14:solidFill>
                    <w14:schemeClr w14:val="tx1"/>
                  </w14:solidFill>
                </w14:textFill>
              </w:rPr>
              <w:t>份</w:t>
            </w:r>
            <w:r>
              <w:rPr>
                <w:rFonts w:hint="eastAsia" w:ascii="宋体" w:hAnsi="宋体" w:eastAsia="宋体" w:cs="宋体"/>
                <w:color w:val="000000" w:themeColor="text1"/>
                <w14:textFill>
                  <w14:solidFill>
                    <w14:schemeClr w14:val="tx1"/>
                  </w14:solidFill>
                </w14:textFill>
              </w:rPr>
              <w:t>依法缴纳税收和缴纳社会保障资金的证明（成立未满</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个月的提供依法缴纳税收和社会保障资金的承诺书；依法免税或不需要缴纳社会保障资金的供应商，应提供相应文件证明其依法免税或不需要缴纳社会保障资金）</w:t>
            </w:r>
            <w:r>
              <w:rPr>
                <w:rFonts w:hint="eastAsia" w:ascii="宋体" w:hAnsi="宋体" w:eastAsia="宋体" w:cs="宋体"/>
                <w:color w:val="000000" w:themeColor="text1"/>
                <w:lang w:eastAsia="zh-CN"/>
                <w14:textFill>
                  <w14:solidFill>
                    <w14:schemeClr w14:val="tx1"/>
                  </w14:solidFill>
                </w14:textFill>
              </w:rPr>
              <w:t>；</w:t>
            </w:r>
          </w:p>
          <w:p w14:paraId="5036BA09">
            <w:pPr>
              <w:adjustRightInd w:val="0"/>
              <w:spacing w:line="360" w:lineRule="auto"/>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1.5参加政府采购活动前三年内，在经营活动中没有重大违法记录</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提供</w:t>
            </w:r>
            <w:r>
              <w:rPr>
                <w:rFonts w:hint="eastAsia" w:ascii="宋体" w:hAnsi="宋体" w:eastAsia="宋体" w:cs="宋体"/>
                <w:color w:val="000000" w:themeColor="text1"/>
                <w:lang w:eastAsia="zh-CN"/>
                <w14:textFill>
                  <w14:solidFill>
                    <w14:schemeClr w14:val="tx1"/>
                  </w14:solidFill>
                </w14:textFill>
              </w:rPr>
              <w:t>书面声明（重大违法记录，是指供应商因违法经营受到刑事处罚或者责令停产停业、吊销许可证或者执照、较大数额罚款等行政处罚）；</w:t>
            </w:r>
          </w:p>
          <w:p w14:paraId="74E113A5">
            <w:pPr>
              <w:adjustRightInd w:val="0"/>
              <w:spacing w:line="360" w:lineRule="auto"/>
              <w:jc w:val="lef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1.6法律、行政法规规定的其他条件。</w:t>
            </w:r>
          </w:p>
        </w:tc>
      </w:tr>
      <w:tr w14:paraId="3BD6272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2ADA7FF4">
            <w:pPr>
              <w:wordWrap w:val="0"/>
              <w:spacing w:before="124" w:beforeLines="40" w:line="360" w:lineRule="auto"/>
              <w:jc w:val="left"/>
              <w:rPr>
                <w:rFonts w:ascii="宋体" w:hAnsi="宋体" w:eastAsia="宋体"/>
                <w:color w:val="000000" w:themeColor="text1"/>
                <w14:textFill>
                  <w14:solidFill>
                    <w14:schemeClr w14:val="tx1"/>
                  </w14:solidFill>
                </w14:textFill>
              </w:rPr>
            </w:pPr>
          </w:p>
        </w:tc>
        <w:tc>
          <w:tcPr>
            <w:tcW w:w="574" w:type="pct"/>
            <w:vMerge w:val="continue"/>
          </w:tcPr>
          <w:p w14:paraId="1B6B7BCD">
            <w:pPr>
              <w:wordWrap w:val="0"/>
              <w:spacing w:before="124" w:beforeLines="40" w:line="360" w:lineRule="auto"/>
              <w:jc w:val="left"/>
              <w:rPr>
                <w:rFonts w:ascii="宋体" w:hAnsi="宋体" w:eastAsia="宋体"/>
                <w:color w:val="000000" w:themeColor="text1"/>
                <w14:textFill>
                  <w14:solidFill>
                    <w14:schemeClr w14:val="tx1"/>
                  </w14:solidFill>
                </w14:textFill>
              </w:rPr>
            </w:pPr>
          </w:p>
        </w:tc>
        <w:tc>
          <w:tcPr>
            <w:tcW w:w="1284" w:type="pct"/>
            <w:vAlign w:val="center"/>
          </w:tcPr>
          <w:p w14:paraId="057917E1">
            <w:pPr>
              <w:wordWrap w:val="0"/>
              <w:spacing w:before="124" w:beforeLines="40" w:line="360" w:lineRule="auto"/>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落实政府采购政策需满足的资格要求</w:t>
            </w:r>
          </w:p>
        </w:tc>
        <w:tc>
          <w:tcPr>
            <w:tcW w:w="2654" w:type="pct"/>
            <w:vAlign w:val="center"/>
          </w:tcPr>
          <w:p w14:paraId="1195D341">
            <w:pPr>
              <w:wordWrap w:val="0"/>
              <w:spacing w:before="124" w:beforeLines="40" w:line="360" w:lineRule="auto"/>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无，本项目非专门面向中小企业采购。供应商若为中小微企业或监狱企业或残疾人福利性单位，需按要求提供《中小企业声明函》、残疾人福利性单位声明函、监狱企业证明文件，残疾人福利性单位、监狱企业视同小型或微型企业。</w:t>
            </w:r>
          </w:p>
        </w:tc>
      </w:tr>
      <w:tr w14:paraId="14932D5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21A8C209">
            <w:pPr>
              <w:wordWrap w:val="0"/>
              <w:spacing w:before="124" w:beforeLines="40" w:line="360" w:lineRule="auto"/>
              <w:jc w:val="left"/>
              <w:rPr>
                <w:rFonts w:ascii="宋体" w:hAnsi="宋体" w:eastAsia="宋体"/>
                <w:color w:val="000000" w:themeColor="text1"/>
                <w14:textFill>
                  <w14:solidFill>
                    <w14:schemeClr w14:val="tx1"/>
                  </w14:solidFill>
                </w14:textFill>
              </w:rPr>
            </w:pPr>
          </w:p>
        </w:tc>
        <w:tc>
          <w:tcPr>
            <w:tcW w:w="574" w:type="pct"/>
            <w:vMerge w:val="continue"/>
          </w:tcPr>
          <w:p w14:paraId="622895F4">
            <w:pPr>
              <w:wordWrap w:val="0"/>
              <w:spacing w:before="124" w:beforeLines="40" w:line="360" w:lineRule="auto"/>
              <w:jc w:val="left"/>
              <w:rPr>
                <w:rFonts w:ascii="宋体" w:hAnsi="宋体" w:eastAsia="宋体"/>
                <w:color w:val="000000" w:themeColor="text1"/>
                <w14:textFill>
                  <w14:solidFill>
                    <w14:schemeClr w14:val="tx1"/>
                  </w14:solidFill>
                </w14:textFill>
              </w:rPr>
            </w:pPr>
          </w:p>
        </w:tc>
        <w:tc>
          <w:tcPr>
            <w:tcW w:w="1284" w:type="pct"/>
            <w:vAlign w:val="center"/>
          </w:tcPr>
          <w:p w14:paraId="4A0DA4CE">
            <w:pPr>
              <w:wordWrap w:val="0"/>
              <w:spacing w:before="124" w:beforeLines="40" w:line="360" w:lineRule="auto"/>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本项目的特定资格要求</w:t>
            </w:r>
          </w:p>
        </w:tc>
        <w:tc>
          <w:tcPr>
            <w:tcW w:w="2654" w:type="pct"/>
            <w:vAlign w:val="center"/>
          </w:tcPr>
          <w:p w14:paraId="07400C0B">
            <w:pPr>
              <w:wordWrap w:val="0"/>
              <w:spacing w:before="124" w:beforeLines="40" w:line="360" w:lineRule="auto"/>
              <w:jc w:val="left"/>
              <w:rPr>
                <w:rFonts w:hint="eastAsia" w:ascii="宋体" w:hAnsi="宋体" w:eastAsia="宋体"/>
                <w:color w:val="000000" w:themeColor="text1"/>
                <w:lang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1.投标人须保证使用方在设备和软件产品使用期不受第三方提出侵犯其专利权、商标权、工业设计权、著作权或其它知识产权的起诉，提供承诺函</w:t>
            </w:r>
            <w:r>
              <w:rPr>
                <w:rFonts w:hint="eastAsia" w:ascii="宋体" w:hAnsi="宋体" w:eastAsia="宋体"/>
                <w:color w:val="000000" w:themeColor="text1"/>
                <w:lang w:eastAsia="zh-CN"/>
                <w14:textFill>
                  <w14:solidFill>
                    <w14:schemeClr w14:val="tx1"/>
                  </w14:solidFill>
                </w14:textFill>
              </w:rPr>
              <w:t>；</w:t>
            </w:r>
          </w:p>
          <w:p w14:paraId="2B1632F8">
            <w:pPr>
              <w:wordWrap w:val="0"/>
              <w:spacing w:before="124" w:beforeLines="40" w:line="360" w:lineRule="auto"/>
              <w:jc w:val="left"/>
              <w:rPr>
                <w:rFonts w:hint="eastAsia" w:ascii="宋体" w:hAnsi="宋体" w:eastAsia="宋体"/>
                <w:color w:val="000000" w:themeColor="text1"/>
                <w:lang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2.</w:t>
            </w:r>
            <w:r>
              <w:rPr>
                <w:rFonts w:hint="eastAsia" w:ascii="宋体" w:hAnsi="宋体" w:eastAsia="宋体"/>
                <w:color w:val="000000" w:themeColor="text1"/>
                <w14:textFill>
                  <w14:solidFill>
                    <w14:schemeClr w14:val="tx1"/>
                  </w14:solidFill>
                </w14:textFill>
              </w:rPr>
              <w:t>投标人在递交投标文件截止时间前未被列入“信用中国”网站(www.creditchina.gov.cn) 失信被执行人、重大税收违法</w:t>
            </w:r>
            <w:r>
              <w:rPr>
                <w:rFonts w:hint="eastAsia" w:ascii="宋体" w:hAnsi="宋体" w:eastAsia="宋体"/>
                <w:color w:val="000000" w:themeColor="text1"/>
                <w:lang w:val="en-US" w:eastAsia="zh-CN"/>
                <w14:textFill>
                  <w14:solidFill>
                    <w14:schemeClr w14:val="tx1"/>
                  </w14:solidFill>
                </w14:textFill>
              </w:rPr>
              <w:t>失信主体名单</w:t>
            </w:r>
            <w:r>
              <w:rPr>
                <w:rFonts w:hint="eastAsia" w:ascii="宋体" w:hAnsi="宋体" w:eastAsia="宋体"/>
                <w:color w:val="000000" w:themeColor="text1"/>
                <w14:textFill>
                  <w14:solidFill>
                    <w14:schemeClr w14:val="tx1"/>
                  </w14:solidFill>
                </w14:textFill>
              </w:rPr>
              <w:t>，中国政府采购网(www.ccgp.gov.cn) 政府采购严重违法失信行为记录名单</w:t>
            </w:r>
            <w:r>
              <w:rPr>
                <w:rFonts w:hint="eastAsia" w:ascii="宋体" w:hAnsi="宋体" w:eastAsia="宋体"/>
                <w:color w:val="000000" w:themeColor="text1"/>
                <w:lang w:eastAsia="zh-CN"/>
                <w14:textFill>
                  <w14:solidFill>
                    <w14:schemeClr w14:val="tx1"/>
                  </w14:solidFill>
                </w14:textFill>
              </w:rPr>
              <w:t>；</w:t>
            </w:r>
          </w:p>
          <w:p w14:paraId="142C647B">
            <w:pPr>
              <w:wordWrap w:val="0"/>
              <w:spacing w:before="124" w:beforeLines="40" w:line="360" w:lineRule="auto"/>
              <w:jc w:val="left"/>
              <w:rPr>
                <w:rFonts w:hint="eastAsia" w:ascii="宋体" w:hAnsi="宋体" w:eastAsia="宋体"/>
                <w:color w:val="000000" w:themeColor="text1"/>
                <w:lang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3.</w:t>
            </w:r>
            <w:r>
              <w:rPr>
                <w:rFonts w:hint="eastAsia" w:ascii="宋体" w:hAnsi="宋体" w:eastAsia="宋体"/>
                <w:color w:val="000000" w:themeColor="text1"/>
                <w14:textFill>
                  <w14:solidFill>
                    <w14:schemeClr w14:val="tx1"/>
                  </w14:solidFill>
                </w14:textFill>
              </w:rPr>
              <w:t>单位负责人为同一人或者存在控股、管理关系的不同单位，不得同时参加本采购项目投标</w:t>
            </w:r>
            <w:r>
              <w:rPr>
                <w:rFonts w:hint="eastAsia" w:ascii="宋体" w:hAnsi="宋体" w:eastAsia="宋体"/>
                <w:color w:val="000000" w:themeColor="text1"/>
                <w:lang w:eastAsia="zh-CN"/>
                <w14:textFill>
                  <w14:solidFill>
                    <w14:schemeClr w14:val="tx1"/>
                  </w14:solidFill>
                </w14:textFill>
              </w:rPr>
              <w:t>；</w:t>
            </w:r>
          </w:p>
          <w:p w14:paraId="60EFC1DB">
            <w:pPr>
              <w:wordWrap w:val="0"/>
              <w:spacing w:before="124"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4.</w:t>
            </w:r>
            <w:r>
              <w:rPr>
                <w:rFonts w:hint="eastAsia" w:ascii="宋体" w:hAnsi="宋体" w:eastAsia="宋体"/>
                <w:color w:val="000000" w:themeColor="text1"/>
                <w14:textFill>
                  <w14:solidFill>
                    <w14:schemeClr w14:val="tx1"/>
                  </w14:solidFill>
                </w14:textFill>
              </w:rPr>
              <w:t>投标人不得存在下列情形之一：</w:t>
            </w:r>
          </w:p>
          <w:p w14:paraId="7452FBDC">
            <w:pPr>
              <w:wordWrap w:val="0"/>
              <w:spacing w:before="124"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（1）被暂停、取消投标或禁止参加采购活动且处于有效期内的；</w:t>
            </w:r>
          </w:p>
          <w:p w14:paraId="63E7205D">
            <w:pPr>
              <w:wordWrap w:val="0"/>
              <w:spacing w:before="124"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（2）处于被责令停产停业、暂扣或者吊销执照、暂扣或者吊销许可证、吊销资质证书状态；</w:t>
            </w:r>
          </w:p>
          <w:p w14:paraId="2696A535">
            <w:pPr>
              <w:wordWrap w:val="0"/>
              <w:spacing w:before="124" w:beforeLines="40" w:line="360" w:lineRule="auto"/>
              <w:jc w:val="left"/>
              <w:rPr>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（3）进入清算程序，或被宣告破产，或其他丧失履约能力的情形。</w:t>
            </w:r>
          </w:p>
        </w:tc>
      </w:tr>
    </w:tbl>
    <w:p w14:paraId="6D3F4668">
      <w:pPr>
        <w:pStyle w:val="3"/>
        <w:spacing w:before="0" w:after="0"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br w:type="page"/>
      </w:r>
    </w:p>
    <w:p w14:paraId="2F7D01E3">
      <w:pPr>
        <w:pStyle w:val="4"/>
        <w:spacing w:before="0" w:after="0" w:line="360" w:lineRule="auto"/>
        <w:jc w:val="cente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符合性审查部分</w:t>
      </w:r>
    </w:p>
    <w:tbl>
      <w:tblPr>
        <w:tblStyle w:val="42"/>
        <w:tblW w:w="0" w:type="auto"/>
        <w:tblInd w:w="255"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7"/>
        <w:gridCol w:w="996"/>
        <w:gridCol w:w="2410"/>
        <w:gridCol w:w="4961"/>
      </w:tblGrid>
      <w:tr w14:paraId="1933B54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843" w:type="dxa"/>
            <w:gridSpan w:val="2"/>
            <w:vAlign w:val="center"/>
          </w:tcPr>
          <w:p w14:paraId="69BE2FEA">
            <w:pPr>
              <w:wordWrap w:val="0"/>
              <w:spacing w:before="124" w:beforeLines="40" w:line="360" w:lineRule="auto"/>
              <w:jc w:val="center"/>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条款号</w:t>
            </w:r>
          </w:p>
        </w:tc>
        <w:tc>
          <w:tcPr>
            <w:tcW w:w="2410" w:type="dxa"/>
            <w:vAlign w:val="center"/>
          </w:tcPr>
          <w:p w14:paraId="404104AA">
            <w:pPr>
              <w:wordWrap w:val="0"/>
              <w:spacing w:before="124" w:beforeLines="40" w:line="360" w:lineRule="auto"/>
              <w:jc w:val="center"/>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评审因素</w:t>
            </w:r>
          </w:p>
        </w:tc>
        <w:tc>
          <w:tcPr>
            <w:tcW w:w="4961" w:type="dxa"/>
            <w:vAlign w:val="center"/>
          </w:tcPr>
          <w:p w14:paraId="195CD3BD">
            <w:pPr>
              <w:wordWrap w:val="0"/>
              <w:spacing w:before="124" w:beforeLines="40" w:line="360" w:lineRule="auto"/>
              <w:jc w:val="center"/>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评审标准</w:t>
            </w:r>
          </w:p>
        </w:tc>
      </w:tr>
      <w:tr w14:paraId="4E8F303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restart"/>
            <w:vAlign w:val="center"/>
          </w:tcPr>
          <w:p w14:paraId="6FBF3B4A">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2</w:t>
            </w:r>
            <w:r>
              <w:rPr>
                <w:rFonts w:ascii="宋体" w:hAnsi="宋体"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.2</w:t>
            </w:r>
          </w:p>
        </w:tc>
        <w:tc>
          <w:tcPr>
            <w:tcW w:w="996" w:type="dxa"/>
            <w:vMerge w:val="restart"/>
            <w:vAlign w:val="center"/>
          </w:tcPr>
          <w:p w14:paraId="16526A71">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符合性评审标准</w:t>
            </w:r>
          </w:p>
        </w:tc>
        <w:tc>
          <w:tcPr>
            <w:tcW w:w="7371" w:type="dxa"/>
            <w:gridSpan w:val="2"/>
            <w:vAlign w:val="center"/>
          </w:tcPr>
          <w:p w14:paraId="72CA1B88">
            <w:pPr>
              <w:wordWrap w:val="0"/>
              <w:spacing w:before="124" w:beforeLines="40" w:line="360" w:lineRule="auto"/>
              <w:rPr>
                <w:rFonts w:ascii="宋体" w:hAnsi="宋体" w:eastAsia="宋体"/>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供应商不满足下列情况之一的，投标无效：</w:t>
            </w:r>
          </w:p>
        </w:tc>
      </w:tr>
      <w:tr w14:paraId="64D92AB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69BE4C85">
            <w:pPr>
              <w:wordWrap w:val="0"/>
              <w:spacing w:before="124" w:beforeLines="40" w:line="360" w:lineRule="auto"/>
              <w:jc w:val="center"/>
              <w:rPr>
                <w:rFonts w:ascii="宋体" w:hAnsi="宋体" w:eastAsia="宋体"/>
                <w:color w:val="000000" w:themeColor="text1"/>
                <w14:textFill>
                  <w14:solidFill>
                    <w14:schemeClr w14:val="tx1"/>
                  </w14:solidFill>
                </w14:textFill>
              </w:rPr>
            </w:pPr>
            <w:bookmarkStart w:id="509" w:name="OLE_LINK1" w:colFirst="3" w:colLast="3"/>
          </w:p>
        </w:tc>
        <w:tc>
          <w:tcPr>
            <w:tcW w:w="996" w:type="dxa"/>
            <w:vMerge w:val="continue"/>
            <w:vAlign w:val="center"/>
          </w:tcPr>
          <w:p w14:paraId="448A6DE5">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0DA6D365">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投标函签</w:t>
            </w:r>
            <w:r>
              <w:rPr>
                <w:rFonts w:hint="eastAsia" w:ascii="宋体" w:hAnsi="宋体" w:eastAsia="宋体"/>
                <w:color w:val="000000" w:themeColor="text1"/>
                <w14:textFill>
                  <w14:solidFill>
                    <w14:schemeClr w14:val="tx1"/>
                  </w14:solidFill>
                </w14:textFill>
              </w:rPr>
              <w:t>名</w:t>
            </w:r>
            <w:r>
              <w:rPr>
                <w:rFonts w:ascii="宋体" w:hAnsi="宋体" w:eastAsia="宋体"/>
                <w:color w:val="000000" w:themeColor="text1"/>
                <w14:textFill>
                  <w14:solidFill>
                    <w14:schemeClr w14:val="tx1"/>
                  </w14:solidFill>
                </w14:textFill>
              </w:rPr>
              <w:t>盖章</w:t>
            </w:r>
          </w:p>
        </w:tc>
        <w:tc>
          <w:tcPr>
            <w:tcW w:w="4961" w:type="dxa"/>
            <w:vAlign w:val="center"/>
          </w:tcPr>
          <w:p w14:paraId="54087E11">
            <w:pPr>
              <w:wordWrap w:val="0"/>
              <w:spacing w:before="124" w:beforeLines="40" w:line="360" w:lineRule="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有法定代表人</w:t>
            </w:r>
            <w:r>
              <w:rPr>
                <w:rFonts w:hint="eastAsia" w:ascii="宋体" w:hAnsi="宋体" w:eastAsia="宋体"/>
                <w:color w:val="000000" w:themeColor="text1"/>
                <w14:textFill>
                  <w14:solidFill>
                    <w14:schemeClr w14:val="tx1"/>
                  </w14:solidFill>
                </w14:textFill>
              </w:rPr>
              <w:t>电子签名</w:t>
            </w:r>
            <w:r>
              <w:rPr>
                <w:rFonts w:ascii="宋体" w:hAnsi="宋体" w:eastAsia="宋体"/>
                <w:color w:val="000000" w:themeColor="text1"/>
                <w14:textFill>
                  <w14:solidFill>
                    <w14:schemeClr w14:val="tx1"/>
                  </w14:solidFill>
                </w14:textFill>
              </w:rPr>
              <w:t>及加盖</w:t>
            </w:r>
            <w:r>
              <w:rPr>
                <w:rFonts w:hint="eastAsia" w:ascii="宋体" w:hAnsi="宋体" w:eastAsia="宋体"/>
                <w:color w:val="000000" w:themeColor="text1"/>
                <w14:textFill>
                  <w14:solidFill>
                    <w14:schemeClr w14:val="tx1"/>
                  </w14:solidFill>
                </w14:textFill>
              </w:rPr>
              <w:t>电子公章</w:t>
            </w:r>
          </w:p>
        </w:tc>
      </w:tr>
      <w:tr w14:paraId="56AD132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7A498952">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722607DF">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3808E43B">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投标文件格式</w:t>
            </w:r>
          </w:p>
        </w:tc>
        <w:tc>
          <w:tcPr>
            <w:tcW w:w="4961" w:type="dxa"/>
            <w:vAlign w:val="center"/>
          </w:tcPr>
          <w:p w14:paraId="48288CC4">
            <w:pPr>
              <w:wordWrap w:val="0"/>
              <w:spacing w:before="124" w:beforeLines="40" w:line="360" w:lineRule="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按“第六章 投标文件格式”填报并按要求进行签章</w:t>
            </w:r>
          </w:p>
        </w:tc>
      </w:tr>
      <w:tr w14:paraId="3D89FB8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48C53BE7">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5197DA3E">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499C67BF">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投标报价</w:t>
            </w:r>
          </w:p>
        </w:tc>
        <w:tc>
          <w:tcPr>
            <w:tcW w:w="4961" w:type="dxa"/>
            <w:vAlign w:val="center"/>
          </w:tcPr>
          <w:p w14:paraId="1044E175">
            <w:pPr>
              <w:wordWrap w:val="0"/>
              <w:spacing w:before="124" w:beforeLines="40" w:line="360" w:lineRule="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完整且只有一个有效报价</w:t>
            </w:r>
            <w:r>
              <w:rPr>
                <w:rFonts w:hint="eastAsia" w:ascii="宋体" w:hAnsi="宋体" w:eastAsia="宋体"/>
                <w:color w:val="000000" w:themeColor="text1"/>
                <w14:textFill>
                  <w14:solidFill>
                    <w14:schemeClr w14:val="tx1"/>
                  </w14:solidFill>
                </w14:textFill>
              </w:rPr>
              <w:t>，且报价不超出最高限价</w:t>
            </w:r>
          </w:p>
        </w:tc>
      </w:tr>
      <w:tr w14:paraId="2A6516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71834275">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5399693B">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3F66D779">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质量标准</w:t>
            </w:r>
          </w:p>
        </w:tc>
        <w:tc>
          <w:tcPr>
            <w:tcW w:w="4961" w:type="dxa"/>
            <w:vAlign w:val="center"/>
          </w:tcPr>
          <w:p w14:paraId="67650B08">
            <w:pPr>
              <w:wordWrap w:val="0"/>
              <w:spacing w:before="124" w:beforeLines="40" w:line="360" w:lineRule="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符合第二章“供应商须知”第1</w:t>
            </w:r>
            <w:r>
              <w:rPr>
                <w:rFonts w:ascii="宋体" w:hAnsi="宋体" w:eastAsia="宋体"/>
                <w:color w:val="000000" w:themeColor="text1"/>
                <w14:textFill>
                  <w14:solidFill>
                    <w14:schemeClr w14:val="tx1"/>
                  </w14:solidFill>
                </w14:textFill>
              </w:rPr>
              <w:t>.3.3</w:t>
            </w:r>
            <w:r>
              <w:rPr>
                <w:rFonts w:hint="eastAsia" w:ascii="宋体" w:hAnsi="宋体" w:eastAsia="宋体"/>
                <w:color w:val="000000" w:themeColor="text1"/>
                <w14:textFill>
                  <w14:solidFill>
                    <w14:schemeClr w14:val="tx1"/>
                  </w14:solidFill>
                </w14:textFill>
              </w:rPr>
              <w:t>项规定</w:t>
            </w:r>
          </w:p>
        </w:tc>
      </w:tr>
      <w:tr w14:paraId="56ECA23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030D1E37">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294CDDC0">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04E3EA52">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合同履行期限</w:t>
            </w:r>
          </w:p>
        </w:tc>
        <w:tc>
          <w:tcPr>
            <w:tcW w:w="4961" w:type="dxa"/>
            <w:vAlign w:val="center"/>
          </w:tcPr>
          <w:p w14:paraId="36A0EE8F">
            <w:pPr>
              <w:wordWrap w:val="0"/>
              <w:spacing w:before="124" w:beforeLines="40" w:line="360" w:lineRule="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符合第二章“供应商须知”第1</w:t>
            </w:r>
            <w:r>
              <w:rPr>
                <w:rFonts w:ascii="宋体" w:hAnsi="宋体" w:eastAsia="宋体"/>
                <w:color w:val="000000" w:themeColor="text1"/>
                <w14:textFill>
                  <w14:solidFill>
                    <w14:schemeClr w14:val="tx1"/>
                  </w14:solidFill>
                </w14:textFill>
              </w:rPr>
              <w:t>.3.2</w:t>
            </w:r>
            <w:r>
              <w:rPr>
                <w:rFonts w:hint="eastAsia" w:ascii="宋体" w:hAnsi="宋体" w:eastAsia="宋体"/>
                <w:color w:val="000000" w:themeColor="text1"/>
                <w14:textFill>
                  <w14:solidFill>
                    <w14:schemeClr w14:val="tx1"/>
                  </w14:solidFill>
                </w14:textFill>
              </w:rPr>
              <w:t>项规定</w:t>
            </w:r>
          </w:p>
        </w:tc>
      </w:tr>
      <w:tr w14:paraId="6E03146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4F17EFA5">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79B1340A">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77C4BBC7">
            <w:pPr>
              <w:wordWrap w:val="0"/>
              <w:spacing w:before="124" w:beforeLines="40" w:line="360" w:lineRule="auto"/>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投标保证金</w:t>
            </w:r>
          </w:p>
        </w:tc>
        <w:tc>
          <w:tcPr>
            <w:tcW w:w="4961" w:type="dxa"/>
            <w:vAlign w:val="center"/>
          </w:tcPr>
          <w:p w14:paraId="1FF4188E">
            <w:pPr>
              <w:wordWrap w:val="0"/>
              <w:spacing w:before="124" w:beforeLines="40"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符合第二章“供应商须知”第</w:t>
            </w:r>
            <w:r>
              <w:rPr>
                <w:rFonts w:hint="eastAsia" w:ascii="宋体" w:hAnsi="宋体" w:eastAsia="宋体"/>
                <w:color w:val="000000" w:themeColor="text1"/>
                <w:lang w:val="en-US" w:eastAsia="zh-CN"/>
                <w14:textFill>
                  <w14:solidFill>
                    <w14:schemeClr w14:val="tx1"/>
                  </w14:solidFill>
                </w14:textFill>
              </w:rPr>
              <w:t>3</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4</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lang w:val="en-US" w:eastAsia="zh-CN"/>
                <w14:textFill>
                  <w14:solidFill>
                    <w14:schemeClr w14:val="tx1"/>
                  </w14:solidFill>
                </w14:textFill>
              </w:rPr>
              <w:t>1</w:t>
            </w:r>
            <w:r>
              <w:rPr>
                <w:rFonts w:hint="eastAsia" w:ascii="宋体" w:hAnsi="宋体" w:eastAsia="宋体"/>
                <w:color w:val="000000" w:themeColor="text1"/>
                <w14:textFill>
                  <w14:solidFill>
                    <w14:schemeClr w14:val="tx1"/>
                  </w14:solidFill>
                </w14:textFill>
              </w:rPr>
              <w:t>项规定</w:t>
            </w:r>
          </w:p>
        </w:tc>
      </w:tr>
      <w:tr w14:paraId="6833D37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1C13E8C8">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64517AB6">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24DD75EE">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关键条款</w:t>
            </w:r>
          </w:p>
        </w:tc>
        <w:tc>
          <w:tcPr>
            <w:tcW w:w="4961" w:type="dxa"/>
            <w:vAlign w:val="center"/>
          </w:tcPr>
          <w:p w14:paraId="5F01EED2">
            <w:pPr>
              <w:wordWrap w:val="0"/>
              <w:spacing w:before="124" w:beforeLines="40" w:line="360" w:lineRule="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符合第二章“供应商须知”第1</w:t>
            </w:r>
            <w:r>
              <w:rPr>
                <w:rFonts w:ascii="宋体" w:hAnsi="宋体" w:eastAsia="宋体"/>
                <w:color w:val="000000" w:themeColor="text1"/>
                <w14:textFill>
                  <w14:solidFill>
                    <w14:schemeClr w14:val="tx1"/>
                  </w14:solidFill>
                </w14:textFill>
              </w:rPr>
              <w:t>.12.1</w:t>
            </w:r>
            <w:r>
              <w:rPr>
                <w:rFonts w:hint="eastAsia" w:ascii="宋体" w:hAnsi="宋体" w:eastAsia="宋体"/>
                <w:color w:val="000000" w:themeColor="text1"/>
                <w14:textFill>
                  <w14:solidFill>
                    <w14:schemeClr w14:val="tx1"/>
                  </w14:solidFill>
                </w14:textFill>
              </w:rPr>
              <w:t>项规定</w:t>
            </w:r>
          </w:p>
        </w:tc>
      </w:tr>
      <w:tr w14:paraId="7803EE6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27437822">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62648146">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44C03ADD">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对非关键条款的偏差</w:t>
            </w:r>
          </w:p>
        </w:tc>
        <w:tc>
          <w:tcPr>
            <w:tcW w:w="4961" w:type="dxa"/>
            <w:vAlign w:val="center"/>
          </w:tcPr>
          <w:p w14:paraId="1D9F015C">
            <w:pPr>
              <w:wordWrap w:val="0"/>
              <w:spacing w:before="124" w:beforeLines="40" w:line="360" w:lineRule="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符合第二章“供应商须知”第1</w:t>
            </w:r>
            <w:r>
              <w:rPr>
                <w:rFonts w:ascii="宋体" w:hAnsi="宋体" w:eastAsia="宋体"/>
                <w:color w:val="000000" w:themeColor="text1"/>
                <w14:textFill>
                  <w14:solidFill>
                    <w14:schemeClr w14:val="tx1"/>
                  </w14:solidFill>
                </w14:textFill>
              </w:rPr>
              <w:t>.12.2</w:t>
            </w:r>
            <w:r>
              <w:rPr>
                <w:rFonts w:hint="eastAsia" w:ascii="宋体" w:hAnsi="宋体" w:eastAsia="宋体"/>
                <w:color w:val="000000" w:themeColor="text1"/>
                <w14:textFill>
                  <w14:solidFill>
                    <w14:schemeClr w14:val="tx1"/>
                  </w14:solidFill>
                </w14:textFill>
              </w:rPr>
              <w:t>项规定</w:t>
            </w:r>
          </w:p>
        </w:tc>
      </w:tr>
      <w:tr w14:paraId="4AB93EC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7" w:type="dxa"/>
            <w:vMerge w:val="continue"/>
            <w:vAlign w:val="center"/>
          </w:tcPr>
          <w:p w14:paraId="49DEBACA">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996" w:type="dxa"/>
            <w:vMerge w:val="continue"/>
            <w:vAlign w:val="center"/>
          </w:tcPr>
          <w:p w14:paraId="00B0C681">
            <w:pPr>
              <w:wordWrap w:val="0"/>
              <w:spacing w:before="124" w:beforeLines="40" w:line="360" w:lineRule="auto"/>
              <w:jc w:val="center"/>
              <w:rPr>
                <w:rFonts w:ascii="宋体" w:hAnsi="宋体" w:eastAsia="宋体"/>
                <w:color w:val="000000" w:themeColor="text1"/>
                <w14:textFill>
                  <w14:solidFill>
                    <w14:schemeClr w14:val="tx1"/>
                  </w14:solidFill>
                </w14:textFill>
              </w:rPr>
            </w:pPr>
          </w:p>
        </w:tc>
        <w:tc>
          <w:tcPr>
            <w:tcW w:w="2410" w:type="dxa"/>
            <w:vAlign w:val="center"/>
          </w:tcPr>
          <w:p w14:paraId="18BC04A7">
            <w:pPr>
              <w:wordWrap w:val="0"/>
              <w:spacing w:before="124" w:beforeLines="40"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其他要求</w:t>
            </w:r>
          </w:p>
        </w:tc>
        <w:tc>
          <w:tcPr>
            <w:tcW w:w="4961" w:type="dxa"/>
            <w:vAlign w:val="center"/>
          </w:tcPr>
          <w:p w14:paraId="000B4095">
            <w:pPr>
              <w:wordWrap w:val="0"/>
              <w:spacing w:before="124" w:beforeLines="40" w:line="360" w:lineRule="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符合招标文件要求</w:t>
            </w:r>
          </w:p>
        </w:tc>
      </w:tr>
      <w:bookmarkEnd w:id="509"/>
    </w:tbl>
    <w:p w14:paraId="3FAB162E">
      <w:pPr>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p>
    <w:tbl>
      <w:tblPr>
        <w:tblStyle w:val="42"/>
        <w:tblW w:w="9357"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1600"/>
        <w:gridCol w:w="6425"/>
      </w:tblGrid>
      <w:tr w14:paraId="5A43A03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tcBorders>
              <w:top w:val="thinThickSmallGap" w:color="auto" w:sz="12" w:space="0"/>
            </w:tcBorders>
            <w:vAlign w:val="center"/>
          </w:tcPr>
          <w:p w14:paraId="1D07EA2D">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bookmarkStart w:id="510" w:name="_Toc107396231"/>
            <w:bookmarkStart w:id="511" w:name="_Toc77504093"/>
            <w:bookmarkStart w:id="512" w:name="_Toc77658103"/>
            <w:bookmarkStart w:id="513" w:name="_Toc77116703"/>
            <w:bookmarkStart w:id="514" w:name="_Toc120282459"/>
            <w:bookmarkStart w:id="515" w:name="_Toc22627"/>
            <w:bookmarkStart w:id="516" w:name="_Toc70424886"/>
            <w:r>
              <w:rPr>
                <w:rFonts w:hint="eastAsia" w:ascii="宋体" w:hAnsi="宋体" w:eastAsia="宋体" w:cs="宋体"/>
                <w:b/>
                <w:bCs/>
                <w:color w:val="000000" w:themeColor="text1"/>
                <w14:textFill>
                  <w14:solidFill>
                    <w14:schemeClr w14:val="tx1"/>
                  </w14:solidFill>
                </w14:textFill>
              </w:rPr>
              <w:t>条款号</w:t>
            </w:r>
          </w:p>
        </w:tc>
        <w:tc>
          <w:tcPr>
            <w:tcW w:w="1600" w:type="dxa"/>
            <w:tcBorders>
              <w:top w:val="thinThickSmallGap" w:color="auto" w:sz="12" w:space="0"/>
            </w:tcBorders>
            <w:vAlign w:val="center"/>
          </w:tcPr>
          <w:p w14:paraId="6557A482">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条款内容</w:t>
            </w:r>
          </w:p>
        </w:tc>
        <w:tc>
          <w:tcPr>
            <w:tcW w:w="6425" w:type="dxa"/>
            <w:tcBorders>
              <w:top w:val="thinThickSmallGap" w:color="auto" w:sz="12" w:space="0"/>
            </w:tcBorders>
            <w:vAlign w:val="center"/>
          </w:tcPr>
          <w:p w14:paraId="0755F21E">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编列内容</w:t>
            </w:r>
          </w:p>
        </w:tc>
      </w:tr>
      <w:tr w14:paraId="588F727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754E803D">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3.1.1</w:t>
            </w:r>
          </w:p>
        </w:tc>
        <w:tc>
          <w:tcPr>
            <w:tcW w:w="1600" w:type="dxa"/>
            <w:vAlign w:val="center"/>
          </w:tcPr>
          <w:p w14:paraId="7F0F4A8F">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评标价</w:t>
            </w:r>
          </w:p>
        </w:tc>
        <w:tc>
          <w:tcPr>
            <w:tcW w:w="6425" w:type="dxa"/>
            <w:vAlign w:val="center"/>
          </w:tcPr>
          <w:p w14:paraId="6631E4DA">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投标函中的大写含税价格。</w:t>
            </w:r>
          </w:p>
          <w:p w14:paraId="62529ED8">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小微企业（监狱企业、残疾人福利性单位）按扣除后的价格进行评审。</w:t>
            </w:r>
          </w:p>
        </w:tc>
      </w:tr>
      <w:tr w14:paraId="22614CB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6AA4DF26">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3.2.1</w:t>
            </w:r>
          </w:p>
        </w:tc>
        <w:tc>
          <w:tcPr>
            <w:tcW w:w="1600" w:type="dxa"/>
            <w:vAlign w:val="center"/>
          </w:tcPr>
          <w:p w14:paraId="4DB58209">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分值构成</w:t>
            </w:r>
          </w:p>
          <w:p w14:paraId="09AA86D7">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（总分</w:t>
            </w:r>
            <w:r>
              <w:rPr>
                <w:rFonts w:ascii="宋体" w:hAnsi="宋体" w:eastAsia="宋体" w:cs="宋体"/>
                <w:color w:val="000000" w:themeColor="text1"/>
                <w14:textFill>
                  <w14:solidFill>
                    <w14:schemeClr w14:val="tx1"/>
                  </w14:solidFill>
                </w14:textFill>
              </w:rPr>
              <w:t>100</w:t>
            </w:r>
            <w:r>
              <w:rPr>
                <w:rFonts w:hint="eastAsia" w:ascii="宋体" w:hAnsi="宋体" w:eastAsia="宋体" w:cs="宋体"/>
                <w:color w:val="000000" w:themeColor="text1"/>
                <w14:textFill>
                  <w14:solidFill>
                    <w14:schemeClr w14:val="tx1"/>
                  </w14:solidFill>
                </w14:textFill>
              </w:rPr>
              <w:t>分）</w:t>
            </w:r>
          </w:p>
        </w:tc>
        <w:tc>
          <w:tcPr>
            <w:tcW w:w="6425" w:type="dxa"/>
            <w:vAlign w:val="center"/>
          </w:tcPr>
          <w:p w14:paraId="6CF252A3">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技术</w:t>
            </w:r>
            <w:r>
              <w:rPr>
                <w:rFonts w:hint="eastAsia" w:ascii="宋体" w:hAnsi="宋体" w:eastAsia="宋体" w:cs="宋体"/>
                <w:color w:val="000000" w:themeColor="text1"/>
                <w14:textFill>
                  <w14:solidFill>
                    <w14:schemeClr w14:val="tx1"/>
                  </w14:solidFill>
                </w14:textFill>
              </w:rPr>
              <w:t>部分：</w:t>
            </w:r>
            <w:r>
              <w:rPr>
                <w:rFonts w:hint="eastAsia" w:ascii="宋体" w:hAnsi="宋体" w:eastAsia="宋体" w:cs="宋体"/>
                <w:color w:val="000000" w:themeColor="text1"/>
                <w:lang w:val="en-US" w:eastAsia="zh-CN"/>
                <w14:textFill>
                  <w14:solidFill>
                    <w14:schemeClr w14:val="tx1"/>
                  </w14:solidFill>
                </w14:textFill>
              </w:rPr>
              <w:t>55</w:t>
            </w:r>
            <w:r>
              <w:rPr>
                <w:rFonts w:hint="eastAsia" w:ascii="宋体" w:hAnsi="宋体" w:eastAsia="宋体" w:cs="宋体"/>
                <w:color w:val="000000" w:themeColor="text1"/>
                <w14:textFill>
                  <w14:solidFill>
                    <w14:schemeClr w14:val="tx1"/>
                  </w14:solidFill>
                </w14:textFill>
              </w:rPr>
              <w:t>分</w:t>
            </w:r>
          </w:p>
          <w:p w14:paraId="01D6B104">
            <w:pPr>
              <w:spacing w:before="124" w:beforeLines="40" w:line="360" w:lineRule="auto"/>
              <w:rPr>
                <w:rFonts w:hint="eastAsia" w:ascii="宋体" w:hAnsi="宋体" w:eastAsia="宋体" w:cs="Times New Roman"/>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商务</w:t>
            </w:r>
            <w:r>
              <w:rPr>
                <w:rFonts w:hint="eastAsia" w:ascii="宋体" w:hAnsi="宋体" w:eastAsia="宋体" w:cs="宋体"/>
                <w:color w:val="000000" w:themeColor="text1"/>
                <w14:textFill>
                  <w14:solidFill>
                    <w14:schemeClr w14:val="tx1"/>
                  </w14:solidFill>
                </w14:textFill>
              </w:rPr>
              <w:t>部分：</w:t>
            </w:r>
            <w:r>
              <w:rPr>
                <w:rFonts w:hint="eastAsia" w:ascii="宋体" w:hAnsi="宋体" w:eastAsia="宋体" w:cs="宋体"/>
                <w:color w:val="000000" w:themeColor="text1"/>
                <w:lang w:val="en-US" w:eastAsia="zh-CN"/>
                <w14:textFill>
                  <w14:solidFill>
                    <w14:schemeClr w14:val="tx1"/>
                  </w14:solidFill>
                </w14:textFill>
              </w:rPr>
              <w:t>15分</w:t>
            </w:r>
          </w:p>
          <w:p w14:paraId="5129D103">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）投标报价：</w:t>
            </w:r>
            <w:r>
              <w:rPr>
                <w:rFonts w:hint="eastAsia" w:ascii="宋体" w:hAnsi="宋体" w:eastAsia="宋体" w:cs="宋体"/>
                <w:color w:val="000000" w:themeColor="text1"/>
                <w:lang w:val="en-US" w:eastAsia="zh-CN"/>
                <w14:textFill>
                  <w14:solidFill>
                    <w14:schemeClr w14:val="tx1"/>
                  </w14:solidFill>
                </w14:textFill>
              </w:rPr>
              <w:t>30</w:t>
            </w:r>
            <w:r>
              <w:rPr>
                <w:rFonts w:hint="eastAsia" w:ascii="宋体" w:hAnsi="宋体" w:eastAsia="宋体" w:cs="宋体"/>
                <w:color w:val="000000" w:themeColor="text1"/>
                <w14:textFill>
                  <w14:solidFill>
                    <w14:schemeClr w14:val="tx1"/>
                  </w14:solidFill>
                </w14:textFill>
              </w:rPr>
              <w:t>分</w:t>
            </w:r>
          </w:p>
          <w:p w14:paraId="623A9500">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）其他评分因素：</w:t>
            </w:r>
            <w:r>
              <w:rPr>
                <w:rFonts w:ascii="宋体" w:hAnsi="宋体" w:eastAsia="宋体" w:cs="宋体"/>
                <w:color w:val="000000" w:themeColor="text1"/>
                <w14:textFill>
                  <w14:solidFill>
                    <w14:schemeClr w14:val="tx1"/>
                  </w14:solidFill>
                </w14:textFill>
              </w:rPr>
              <w:t>0</w:t>
            </w:r>
            <w:r>
              <w:rPr>
                <w:rFonts w:hint="eastAsia" w:ascii="宋体" w:hAnsi="宋体" w:eastAsia="宋体" w:cs="宋体"/>
                <w:color w:val="000000" w:themeColor="text1"/>
                <w14:textFill>
                  <w14:solidFill>
                    <w14:schemeClr w14:val="tx1"/>
                  </w14:solidFill>
                </w14:textFill>
              </w:rPr>
              <w:t>分</w:t>
            </w:r>
          </w:p>
        </w:tc>
      </w:tr>
      <w:tr w14:paraId="167FE66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4C2440A7">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3.2.2</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w:t>
            </w:r>
          </w:p>
        </w:tc>
        <w:tc>
          <w:tcPr>
            <w:tcW w:w="1600" w:type="dxa"/>
            <w:vAlign w:val="center"/>
          </w:tcPr>
          <w:p w14:paraId="2F0052DE">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评标基准价计算方法</w:t>
            </w:r>
          </w:p>
        </w:tc>
        <w:tc>
          <w:tcPr>
            <w:tcW w:w="6425" w:type="dxa"/>
            <w:vAlign w:val="center"/>
          </w:tcPr>
          <w:p w14:paraId="07A9D49D">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满足招标文件要求且投标价格最低的投标报价为评标基准价</w:t>
            </w:r>
          </w:p>
        </w:tc>
      </w:tr>
      <w:tr w14:paraId="745C5DD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3637EDC8">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1600" w:type="dxa"/>
            <w:vAlign w:val="center"/>
          </w:tcPr>
          <w:p w14:paraId="24E2E2EE">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评分因素</w:t>
            </w:r>
          </w:p>
        </w:tc>
        <w:tc>
          <w:tcPr>
            <w:tcW w:w="6425" w:type="dxa"/>
            <w:vAlign w:val="center"/>
          </w:tcPr>
          <w:p w14:paraId="47316033">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评分标准</w:t>
            </w:r>
          </w:p>
        </w:tc>
      </w:tr>
      <w:tr w14:paraId="30F5627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2048336E">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3.2.3</w:t>
            </w:r>
          </w:p>
          <w:p w14:paraId="7F1282C6">
            <w:pPr>
              <w:spacing w:before="124" w:beforeLines="40" w:line="360" w:lineRule="auto"/>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1600" w:type="dxa"/>
            <w:vAlign w:val="center"/>
          </w:tcPr>
          <w:p w14:paraId="6D620EE7">
            <w:pPr>
              <w:spacing w:before="124" w:beforeLines="40" w:line="360" w:lineRule="auto"/>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技术评分标准</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满分</w:t>
            </w:r>
            <w:r>
              <w:rPr>
                <w:rFonts w:hint="eastAsia" w:ascii="宋体" w:hAnsi="宋体" w:eastAsia="宋体" w:cs="宋体"/>
                <w:color w:val="000000" w:themeColor="text1"/>
                <w:lang w:val="en-US" w:eastAsia="zh-CN"/>
                <w14:textFill>
                  <w14:solidFill>
                    <w14:schemeClr w14:val="tx1"/>
                  </w14:solidFill>
                </w14:textFill>
              </w:rPr>
              <w:t>55分</w:t>
            </w:r>
            <w:r>
              <w:rPr>
                <w:rFonts w:hint="eastAsia" w:ascii="宋体" w:hAnsi="宋体" w:eastAsia="宋体" w:cs="宋体"/>
                <w:color w:val="000000" w:themeColor="text1"/>
                <w:lang w:eastAsia="zh-CN"/>
                <w14:textFill>
                  <w14:solidFill>
                    <w14:schemeClr w14:val="tx1"/>
                  </w14:solidFill>
                </w14:textFill>
              </w:rPr>
              <w:t>）</w:t>
            </w:r>
          </w:p>
        </w:tc>
        <w:tc>
          <w:tcPr>
            <w:tcW w:w="6425" w:type="dxa"/>
            <w:vAlign w:val="center"/>
          </w:tcPr>
          <w:p w14:paraId="729AEBB8">
            <w:pPr>
              <w:spacing w:before="124" w:beforeLines="40"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1</w:t>
            </w:r>
            <w:r>
              <w:rPr>
                <w:rFonts w:hint="eastAsia" w:ascii="宋体" w:hAnsi="宋体" w:eastAsia="宋体" w:cs="宋体"/>
                <w:b/>
                <w:bCs/>
                <w:color w:val="000000" w:themeColor="text1"/>
                <w14:textFill>
                  <w14:solidFill>
                    <w14:schemeClr w14:val="tx1"/>
                  </w14:solidFill>
                </w14:textFill>
              </w:rPr>
              <w:t>）项目实施方案（满分</w:t>
            </w:r>
            <w:r>
              <w:rPr>
                <w:rFonts w:hint="eastAsia" w:ascii="宋体" w:hAnsi="宋体" w:eastAsia="宋体" w:cs="宋体"/>
                <w:b/>
                <w:bCs/>
                <w:color w:val="000000" w:themeColor="text1"/>
                <w:lang w:val="en-US" w:eastAsia="zh-CN"/>
                <w14:textFill>
                  <w14:solidFill>
                    <w14:schemeClr w14:val="tx1"/>
                  </w14:solidFill>
                </w14:textFill>
              </w:rPr>
              <w:t>14</w:t>
            </w:r>
            <w:r>
              <w:rPr>
                <w:rFonts w:hint="eastAsia" w:ascii="宋体" w:hAnsi="宋体" w:eastAsia="宋体" w:cs="宋体"/>
                <w:b/>
                <w:bCs/>
                <w:color w:val="000000" w:themeColor="text1"/>
                <w14:textFill>
                  <w14:solidFill>
                    <w14:schemeClr w14:val="tx1"/>
                  </w14:solidFill>
                </w14:textFill>
              </w:rPr>
              <w:t>分）</w:t>
            </w:r>
          </w:p>
          <w:p w14:paraId="14BADF3F">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根据投标文件中</w:t>
            </w:r>
            <w:r>
              <w:rPr>
                <w:rFonts w:hint="eastAsia" w:ascii="宋体" w:hAnsi="宋体" w:eastAsia="宋体" w:cs="宋体"/>
                <w:color w:val="000000" w:themeColor="text1"/>
                <w:lang w:val="en-US" w:eastAsia="zh-CN"/>
                <w14:textFill>
                  <w14:solidFill>
                    <w14:schemeClr w14:val="tx1"/>
                  </w14:solidFill>
                </w14:textFill>
              </w:rPr>
              <w:t>基于威信县中医医院</w:t>
            </w:r>
            <w:r>
              <w:rPr>
                <w:rFonts w:hint="eastAsia" w:ascii="宋体" w:hAnsi="宋体" w:eastAsia="宋体" w:cs="宋体"/>
                <w:color w:val="000000" w:themeColor="text1"/>
                <w14:textFill>
                  <w14:solidFill>
                    <w14:schemeClr w14:val="tx1"/>
                  </w14:solidFill>
                </w14:textFill>
              </w:rPr>
              <w:t>提供的项目实施方案进行评分，至少包括：</w:t>
            </w:r>
          </w:p>
          <w:p w14:paraId="589D037A">
            <w:pPr>
              <w:spacing w:before="124" w:beforeLines="40" w:line="36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①前期准备；②软件开发；③系统部署；</w:t>
            </w:r>
            <w:r>
              <w:rPr>
                <w:rFonts w:hint="eastAsia" w:ascii="宋体" w:hAnsi="宋体" w:eastAsia="宋体" w:cs="宋体"/>
                <w:color w:val="000000" w:themeColor="text1"/>
                <w:lang w:val="en-US" w:eastAsia="zh-CN"/>
                <w14:textFill>
                  <w14:solidFill>
                    <w14:schemeClr w14:val="tx1"/>
                  </w14:solidFill>
                </w14:textFill>
              </w:rPr>
              <w:t>④调试优化；⑤集成实施；⑥</w:t>
            </w:r>
            <w:r>
              <w:rPr>
                <w:rFonts w:hint="eastAsia" w:ascii="宋体" w:hAnsi="宋体" w:eastAsia="宋体" w:cs="宋体"/>
                <w:color w:val="000000" w:themeColor="text1"/>
                <w14:textFill>
                  <w14:solidFill>
                    <w14:schemeClr w14:val="tx1"/>
                  </w14:solidFill>
                </w14:textFill>
              </w:rPr>
              <w:t>进度计划与实施步骤；</w:t>
            </w:r>
            <w:r>
              <w:rPr>
                <w:rFonts w:hint="eastAsia" w:ascii="宋体" w:hAnsi="宋体" w:eastAsia="宋体" w:cs="宋体"/>
                <w:color w:val="000000" w:themeColor="text1"/>
                <w:lang w:val="en-US" w:eastAsia="zh-CN"/>
                <w14:textFill>
                  <w14:solidFill>
                    <w14:schemeClr w14:val="tx1"/>
                  </w14:solidFill>
                </w14:textFill>
              </w:rPr>
              <w:t>⑦</w:t>
            </w:r>
            <w:r>
              <w:rPr>
                <w:rFonts w:hint="eastAsia" w:ascii="宋体" w:hAnsi="宋体" w:eastAsia="宋体" w:cs="宋体"/>
                <w:color w:val="000000" w:themeColor="text1"/>
                <w14:textFill>
                  <w14:solidFill>
                    <w14:schemeClr w14:val="tx1"/>
                  </w14:solidFill>
                </w14:textFill>
              </w:rPr>
              <w:t>测试方案与质量控制</w:t>
            </w:r>
            <w:r>
              <w:rPr>
                <w:rFonts w:hint="eastAsia" w:ascii="宋体" w:hAnsi="宋体" w:eastAsia="宋体" w:cs="宋体"/>
                <w:color w:val="000000" w:themeColor="text1"/>
                <w:lang w:eastAsia="zh-CN"/>
                <w14:textFill>
                  <w14:solidFill>
                    <w14:schemeClr w14:val="tx1"/>
                  </w14:solidFill>
                </w14:textFill>
              </w:rPr>
              <w:t>；</w:t>
            </w:r>
          </w:p>
          <w:p w14:paraId="4BF65A98">
            <w:pPr>
              <w:spacing w:before="124" w:beforeLines="4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以上</w:t>
            </w:r>
            <w:r>
              <w:rPr>
                <w:rFonts w:hint="eastAsia" w:ascii="宋体" w:hAnsi="宋体" w:eastAsia="宋体" w:cs="宋体"/>
                <w:color w:val="000000" w:themeColor="text1"/>
                <w:lang w:val="en-US" w:eastAsia="zh-CN"/>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个方面，每有1项针对性不足的扣1分，每有1项过于简略扣1分</w:t>
            </w:r>
            <w:r>
              <w:rPr>
                <w:rFonts w:hint="eastAsia" w:ascii="宋体" w:hAnsi="宋体" w:eastAsia="宋体" w:cs="宋体"/>
                <w:color w:val="000000" w:themeColor="text1"/>
                <w:lang w:eastAsia="zh-CN"/>
                <w14:textFill>
                  <w14:solidFill>
                    <w14:schemeClr w14:val="tx1"/>
                  </w14:solidFill>
                </w14:textFill>
              </w:rPr>
              <w:t>。</w:t>
            </w:r>
          </w:p>
          <w:p w14:paraId="12C7ED82">
            <w:pPr>
              <w:spacing w:before="124" w:beforeLines="40"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2</w:t>
            </w:r>
            <w:r>
              <w:rPr>
                <w:rFonts w:hint="eastAsia" w:ascii="宋体" w:hAnsi="宋体" w:eastAsia="宋体" w:cs="宋体"/>
                <w:b/>
                <w:bCs/>
                <w:color w:val="000000" w:themeColor="text1"/>
                <w14:textFill>
                  <w14:solidFill>
                    <w14:schemeClr w14:val="tx1"/>
                  </w14:solidFill>
                </w14:textFill>
              </w:rPr>
              <w:t>）总体设计方案（满分</w:t>
            </w:r>
            <w:r>
              <w:rPr>
                <w:rFonts w:ascii="宋体" w:hAnsi="宋体" w:eastAsia="宋体" w:cs="宋体"/>
                <w:b/>
                <w:bCs/>
                <w:color w:val="000000" w:themeColor="text1"/>
                <w14:textFill>
                  <w14:solidFill>
                    <w14:schemeClr w14:val="tx1"/>
                  </w14:solidFill>
                </w14:textFill>
              </w:rPr>
              <w:t>1</w:t>
            </w:r>
            <w:r>
              <w:rPr>
                <w:rFonts w:hint="eastAsia" w:ascii="宋体" w:hAnsi="宋体" w:eastAsia="宋体" w:cs="宋体"/>
                <w:b/>
                <w:bCs/>
                <w:color w:val="000000" w:themeColor="text1"/>
                <w:lang w:val="en-US" w:eastAsia="zh-CN"/>
                <w14:textFill>
                  <w14:solidFill>
                    <w14:schemeClr w14:val="tx1"/>
                  </w14:solidFill>
                </w14:textFill>
              </w:rPr>
              <w:t>2</w:t>
            </w:r>
            <w:r>
              <w:rPr>
                <w:rFonts w:hint="eastAsia" w:ascii="宋体" w:hAnsi="宋体" w:eastAsia="宋体" w:cs="宋体"/>
                <w:b/>
                <w:bCs/>
                <w:color w:val="000000" w:themeColor="text1"/>
                <w14:textFill>
                  <w14:solidFill>
                    <w14:schemeClr w14:val="tx1"/>
                  </w14:solidFill>
                </w14:textFill>
              </w:rPr>
              <w:t>分）</w:t>
            </w:r>
          </w:p>
          <w:p w14:paraId="5667D742">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根据投标文件中</w:t>
            </w:r>
            <w:r>
              <w:rPr>
                <w:rFonts w:hint="eastAsia" w:ascii="宋体" w:hAnsi="宋体" w:eastAsia="宋体" w:cs="宋体"/>
                <w:color w:val="000000" w:themeColor="text1"/>
                <w:lang w:val="en-US" w:eastAsia="zh-CN"/>
                <w14:textFill>
                  <w14:solidFill>
                    <w14:schemeClr w14:val="tx1"/>
                  </w14:solidFill>
                </w14:textFill>
              </w:rPr>
              <w:t>基于威信县中医医院</w:t>
            </w:r>
            <w:r>
              <w:rPr>
                <w:rFonts w:hint="eastAsia" w:ascii="宋体" w:hAnsi="宋体" w:eastAsia="宋体" w:cs="宋体"/>
                <w:color w:val="000000" w:themeColor="text1"/>
                <w14:textFill>
                  <w14:solidFill>
                    <w14:schemeClr w14:val="tx1"/>
                  </w14:solidFill>
                </w14:textFill>
              </w:rPr>
              <w:t>提供的总体设计方案进行评分，至少包括：</w:t>
            </w:r>
          </w:p>
          <w:p w14:paraId="68C176A8">
            <w:pPr>
              <w:spacing w:before="124" w:beforeLines="4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①</w:t>
            </w:r>
            <w:r>
              <w:rPr>
                <w:rFonts w:ascii="宋体" w:hAnsi="宋体" w:eastAsia="宋体" w:cs="宋体"/>
                <w:color w:val="000000" w:themeColor="text1"/>
                <w14:textFill>
                  <w14:solidFill>
                    <w14:schemeClr w14:val="tx1"/>
                  </w14:solidFill>
                </w14:textFill>
              </w:rPr>
              <w:t>系统设计架构</w:t>
            </w:r>
            <w:r>
              <w:rPr>
                <w:rFonts w:hint="eastAsia" w:ascii="宋体" w:hAnsi="宋体" w:eastAsia="宋体" w:cs="宋体"/>
                <w:color w:val="000000" w:themeColor="text1"/>
                <w14:textFill>
                  <w14:solidFill>
                    <w14:schemeClr w14:val="tx1"/>
                  </w14:solidFill>
                </w14:textFill>
              </w:rPr>
              <w:t>；②</w:t>
            </w:r>
            <w:r>
              <w:rPr>
                <w:rFonts w:ascii="宋体" w:hAnsi="宋体" w:eastAsia="宋体" w:cs="宋体"/>
                <w:color w:val="000000" w:themeColor="text1"/>
                <w14:textFill>
                  <w14:solidFill>
                    <w14:schemeClr w14:val="tx1"/>
                  </w14:solidFill>
                </w14:textFill>
              </w:rPr>
              <w:t>系统稳定性</w:t>
            </w:r>
            <w:r>
              <w:rPr>
                <w:rFonts w:hint="eastAsia" w:ascii="宋体" w:hAnsi="宋体" w:eastAsia="宋体" w:cs="宋体"/>
                <w:color w:val="000000" w:themeColor="text1"/>
                <w14:textFill>
                  <w14:solidFill>
                    <w14:schemeClr w14:val="tx1"/>
                  </w14:solidFill>
                </w14:textFill>
              </w:rPr>
              <w:t>；③</w:t>
            </w:r>
            <w:r>
              <w:rPr>
                <w:rFonts w:ascii="宋体" w:hAnsi="宋体" w:eastAsia="宋体" w:cs="宋体"/>
                <w:color w:val="000000" w:themeColor="text1"/>
                <w14:textFill>
                  <w14:solidFill>
                    <w14:schemeClr w14:val="tx1"/>
                  </w14:solidFill>
                </w14:textFill>
              </w:rPr>
              <w:t>系统易用性</w:t>
            </w:r>
            <w:r>
              <w:rPr>
                <w:rFonts w:hint="eastAsia" w:ascii="宋体" w:hAnsi="宋体" w:eastAsia="宋体" w:cs="宋体"/>
                <w:color w:val="000000" w:themeColor="text1"/>
                <w14:textFill>
                  <w14:solidFill>
                    <w14:schemeClr w14:val="tx1"/>
                  </w14:solidFill>
                </w14:textFill>
              </w:rPr>
              <w:t>；④</w:t>
            </w:r>
            <w:r>
              <w:rPr>
                <w:rFonts w:ascii="宋体" w:hAnsi="宋体" w:eastAsia="宋体" w:cs="宋体"/>
                <w:color w:val="000000" w:themeColor="text1"/>
                <w14:textFill>
                  <w14:solidFill>
                    <w14:schemeClr w14:val="tx1"/>
                  </w14:solidFill>
                </w14:textFill>
              </w:rPr>
              <w:t>系统安全性</w:t>
            </w:r>
            <w:r>
              <w:rPr>
                <w:rFonts w:hint="eastAsia" w:ascii="宋体" w:hAnsi="宋体" w:eastAsia="宋体" w:cs="宋体"/>
                <w:color w:val="000000" w:themeColor="text1"/>
                <w14:textFill>
                  <w14:solidFill>
                    <w14:schemeClr w14:val="tx1"/>
                  </w14:solidFill>
                </w14:textFill>
              </w:rPr>
              <w:t>；⑤</w:t>
            </w:r>
            <w:r>
              <w:rPr>
                <w:rFonts w:ascii="宋体" w:hAnsi="宋体" w:eastAsia="宋体" w:cs="宋体"/>
                <w:color w:val="000000" w:themeColor="text1"/>
                <w14:textFill>
                  <w14:solidFill>
                    <w14:schemeClr w14:val="tx1"/>
                  </w14:solidFill>
                </w14:textFill>
              </w:rPr>
              <w:t>系统可扩展性</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⑥</w:t>
            </w:r>
            <w:r>
              <w:rPr>
                <w:rFonts w:hint="eastAsia" w:ascii="宋体" w:hAnsi="宋体" w:eastAsia="宋体" w:cs="宋体"/>
                <w:color w:val="000000" w:themeColor="text1"/>
                <w14:textFill>
                  <w14:solidFill>
                    <w14:schemeClr w14:val="tx1"/>
                  </w14:solidFill>
                </w14:textFill>
              </w:rPr>
              <w:t>系统运行效率</w:t>
            </w:r>
            <w:r>
              <w:rPr>
                <w:rFonts w:hint="eastAsia" w:ascii="宋体" w:hAnsi="宋体" w:eastAsia="宋体" w:cs="宋体"/>
                <w:color w:val="000000" w:themeColor="text1"/>
                <w:lang w:eastAsia="zh-CN"/>
                <w14:textFill>
                  <w14:solidFill>
                    <w14:schemeClr w14:val="tx1"/>
                  </w14:solidFill>
                </w14:textFill>
              </w:rPr>
              <w:t>；</w:t>
            </w:r>
          </w:p>
          <w:p w14:paraId="6735DB6C">
            <w:pPr>
              <w:spacing w:before="124" w:beforeLines="40" w:line="360" w:lineRule="auto"/>
              <w:rPr>
                <w:rFonts w:hint="eastAsia"/>
                <w:lang w:eastAsia="zh-CN"/>
              </w:rPr>
            </w:pPr>
            <w:r>
              <w:rPr>
                <w:rFonts w:hint="eastAsia" w:ascii="宋体" w:hAnsi="宋体" w:eastAsia="宋体" w:cs="宋体"/>
                <w:color w:val="000000" w:themeColor="text1"/>
                <w14:textFill>
                  <w14:solidFill>
                    <w14:schemeClr w14:val="tx1"/>
                  </w14:solidFill>
                </w14:textFill>
              </w:rPr>
              <w:t>以上</w:t>
            </w:r>
            <w:r>
              <w:rPr>
                <w:rFonts w:hint="eastAsia" w:ascii="宋体" w:hAnsi="宋体" w:eastAsia="宋体"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个方面，每有1项针对性不足的扣1分，每有1项过于简略扣1分</w:t>
            </w:r>
            <w:r>
              <w:rPr>
                <w:rFonts w:hint="eastAsia" w:ascii="宋体" w:hAnsi="宋体" w:eastAsia="宋体" w:cs="宋体"/>
                <w:color w:val="000000" w:themeColor="text1"/>
                <w:lang w:eastAsia="zh-CN"/>
                <w14:textFill>
                  <w14:solidFill>
                    <w14:schemeClr w14:val="tx1"/>
                  </w14:solidFill>
                </w14:textFill>
              </w:rPr>
              <w:t>。</w:t>
            </w:r>
          </w:p>
          <w:p w14:paraId="08DF1258">
            <w:pPr>
              <w:spacing w:before="124" w:beforeLines="40"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3</w:t>
            </w:r>
            <w:r>
              <w:rPr>
                <w:rFonts w:hint="eastAsia" w:ascii="宋体" w:hAnsi="宋体" w:eastAsia="宋体" w:cs="宋体"/>
                <w:b/>
                <w:bCs/>
                <w:color w:val="000000" w:themeColor="text1"/>
                <w14:textFill>
                  <w14:solidFill>
                    <w14:schemeClr w14:val="tx1"/>
                  </w14:solidFill>
                </w14:textFill>
              </w:rPr>
              <w:t>）项目需求</w:t>
            </w:r>
            <w:r>
              <w:rPr>
                <w:rFonts w:hint="eastAsia" w:ascii="宋体" w:hAnsi="宋体" w:eastAsia="宋体" w:cs="宋体"/>
                <w:b/>
                <w:bCs/>
                <w:color w:val="000000" w:themeColor="text1"/>
                <w:lang w:val="en-US" w:eastAsia="zh-CN"/>
                <w14:textFill>
                  <w14:solidFill>
                    <w14:schemeClr w14:val="tx1"/>
                  </w14:solidFill>
                </w14:textFill>
              </w:rPr>
              <w:t>重难点</w:t>
            </w:r>
            <w:r>
              <w:rPr>
                <w:rFonts w:hint="eastAsia" w:ascii="宋体" w:hAnsi="宋体" w:eastAsia="宋体" w:cs="宋体"/>
                <w:b/>
                <w:bCs/>
                <w:color w:val="000000" w:themeColor="text1"/>
                <w14:textFill>
                  <w14:solidFill>
                    <w14:schemeClr w14:val="tx1"/>
                  </w14:solidFill>
                </w14:textFill>
              </w:rPr>
              <w:t>分析（满</w:t>
            </w:r>
            <w:r>
              <w:rPr>
                <w:rFonts w:hint="eastAsia" w:ascii="宋体" w:hAnsi="宋体" w:eastAsia="宋体" w:cs="宋体"/>
                <w:b/>
                <w:bCs/>
                <w:color w:val="000000" w:themeColor="text1"/>
                <w:lang w:val="en-US" w:eastAsia="zh-CN"/>
                <w14:textFill>
                  <w14:solidFill>
                    <w14:schemeClr w14:val="tx1"/>
                  </w14:solidFill>
                </w14:textFill>
              </w:rPr>
              <w:t>分6</w:t>
            </w:r>
            <w:r>
              <w:rPr>
                <w:rFonts w:hint="eastAsia" w:ascii="宋体" w:hAnsi="宋体" w:eastAsia="宋体" w:cs="宋体"/>
                <w:b/>
                <w:bCs/>
                <w:color w:val="000000" w:themeColor="text1"/>
                <w14:textFill>
                  <w14:solidFill>
                    <w14:schemeClr w14:val="tx1"/>
                  </w14:solidFill>
                </w14:textFill>
              </w:rPr>
              <w:t>分）</w:t>
            </w:r>
          </w:p>
          <w:p w14:paraId="6322E574">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根据投标文件中</w:t>
            </w:r>
            <w:r>
              <w:rPr>
                <w:rFonts w:hint="eastAsia" w:ascii="宋体" w:hAnsi="宋体" w:eastAsia="宋体" w:cs="宋体"/>
                <w:color w:val="000000" w:themeColor="text1"/>
                <w:lang w:val="en-US" w:eastAsia="zh-CN"/>
                <w14:textFill>
                  <w14:solidFill>
                    <w14:schemeClr w14:val="tx1"/>
                  </w14:solidFill>
                </w14:textFill>
              </w:rPr>
              <w:t>基于威信县中医医院</w:t>
            </w:r>
            <w:r>
              <w:rPr>
                <w:rFonts w:hint="eastAsia" w:ascii="宋体" w:hAnsi="宋体" w:eastAsia="宋体" w:cs="宋体"/>
                <w:color w:val="000000" w:themeColor="text1"/>
                <w14:textFill>
                  <w14:solidFill>
                    <w14:schemeClr w14:val="tx1"/>
                  </w14:solidFill>
                </w14:textFill>
              </w:rPr>
              <w:t>提供的需求分析进行评分：</w:t>
            </w:r>
          </w:p>
          <w:p w14:paraId="66981041">
            <w:pPr>
              <w:spacing w:before="124" w:beforeLines="4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①项目建设目标分析、②</w:t>
            </w:r>
            <w:r>
              <w:rPr>
                <w:rFonts w:hint="eastAsia" w:ascii="宋体" w:hAnsi="宋体" w:eastAsia="宋体" w:cs="宋体"/>
                <w:color w:val="000000" w:themeColor="text1"/>
                <w14:textFill>
                  <w14:solidFill>
                    <w14:schemeClr w14:val="tx1"/>
                  </w14:solidFill>
                </w14:textFill>
              </w:rPr>
              <w:t>项目涉及的重点、难点及风险分析；</w:t>
            </w:r>
            <w:r>
              <w:rPr>
                <w:rFonts w:hint="eastAsia" w:ascii="宋体" w:hAnsi="宋体" w:eastAsia="宋体" w:cs="宋体"/>
                <w:color w:val="000000" w:themeColor="text1"/>
                <w:lang w:val="en-US" w:eastAsia="zh-CN"/>
                <w14:textFill>
                  <w14:solidFill>
                    <w14:schemeClr w14:val="tx1"/>
                  </w14:solidFill>
                </w14:textFill>
              </w:rPr>
              <w:t>③</w:t>
            </w:r>
            <w:r>
              <w:rPr>
                <w:rFonts w:hint="eastAsia" w:ascii="宋体" w:hAnsi="宋体" w:eastAsia="宋体" w:cs="宋体"/>
                <w:color w:val="000000" w:themeColor="text1"/>
                <w14:textFill>
                  <w14:solidFill>
                    <w14:schemeClr w14:val="tx1"/>
                  </w14:solidFill>
                </w14:textFill>
              </w:rPr>
              <w:t>项目实施建议</w:t>
            </w:r>
            <w:r>
              <w:rPr>
                <w:rFonts w:hint="eastAsia" w:ascii="宋体" w:hAnsi="宋体" w:eastAsia="宋体" w:cs="宋体"/>
                <w:color w:val="000000" w:themeColor="text1"/>
                <w:lang w:eastAsia="zh-CN"/>
                <w14:textFill>
                  <w14:solidFill>
                    <w14:schemeClr w14:val="tx1"/>
                  </w14:solidFill>
                </w14:textFill>
              </w:rPr>
              <w:t>；</w:t>
            </w:r>
          </w:p>
          <w:p w14:paraId="266E90A3">
            <w:pPr>
              <w:spacing w:before="124" w:beforeLines="40" w:line="360" w:lineRule="auto"/>
              <w:rPr>
                <w:rFonts w:hint="eastAsia"/>
              </w:rPr>
            </w:pPr>
            <w:r>
              <w:rPr>
                <w:rFonts w:hint="eastAsia" w:ascii="宋体" w:hAnsi="宋体" w:eastAsia="宋体" w:cs="宋体"/>
                <w:color w:val="000000" w:themeColor="text1"/>
                <w14:textFill>
                  <w14:solidFill>
                    <w14:schemeClr w14:val="tx1"/>
                  </w14:solidFill>
                </w14:textFill>
              </w:rPr>
              <w:t>以上</w:t>
            </w:r>
            <w:r>
              <w:rPr>
                <w:rFonts w:hint="eastAsia" w:ascii="宋体" w:hAnsi="宋体" w:eastAsia="宋体" w:cs="宋体"/>
                <w:color w:val="000000" w:themeColor="text1"/>
                <w:lang w:val="en-US" w:eastAsia="zh-CN"/>
                <w14:textFill>
                  <w14:solidFill>
                    <w14:schemeClr w14:val="tx1"/>
                  </w14:solidFill>
                </w14:textFill>
              </w:rPr>
              <w:t>3个</w:t>
            </w:r>
            <w:r>
              <w:rPr>
                <w:rFonts w:hint="eastAsia" w:ascii="宋体" w:hAnsi="宋体" w:eastAsia="宋体" w:cs="宋体"/>
                <w:color w:val="000000" w:themeColor="text1"/>
                <w14:textFill>
                  <w14:solidFill>
                    <w14:schemeClr w14:val="tx1"/>
                  </w14:solidFill>
                </w14:textFill>
              </w:rPr>
              <w:t>方面，每有1项针对性不足的扣</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分，每有1项过于简略的扣</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分。</w:t>
            </w:r>
          </w:p>
          <w:p w14:paraId="6897B091">
            <w:pPr>
              <w:spacing w:before="124" w:beforeLines="40"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4</w:t>
            </w:r>
            <w:r>
              <w:rPr>
                <w:rFonts w:hint="eastAsia" w:ascii="宋体" w:hAnsi="宋体" w:eastAsia="宋体" w:cs="宋体"/>
                <w:b/>
                <w:bCs/>
                <w:color w:val="000000" w:themeColor="text1"/>
                <w14:textFill>
                  <w14:solidFill>
                    <w14:schemeClr w14:val="tx1"/>
                  </w14:solidFill>
                </w14:textFill>
              </w:rPr>
              <w:t>）系统运行维护方案（满分</w:t>
            </w:r>
            <w:r>
              <w:rPr>
                <w:rFonts w:hint="eastAsia" w:ascii="宋体" w:hAnsi="宋体" w:eastAsia="宋体" w:cs="宋体"/>
                <w:b/>
                <w:bCs/>
                <w:color w:val="000000" w:themeColor="text1"/>
                <w:lang w:val="en-US" w:eastAsia="zh-CN"/>
                <w14:textFill>
                  <w14:solidFill>
                    <w14:schemeClr w14:val="tx1"/>
                  </w14:solidFill>
                </w14:textFill>
              </w:rPr>
              <w:t>6</w:t>
            </w:r>
            <w:r>
              <w:rPr>
                <w:rFonts w:hint="eastAsia" w:ascii="宋体" w:hAnsi="宋体" w:eastAsia="宋体" w:cs="宋体"/>
                <w:b/>
                <w:bCs/>
                <w:color w:val="000000" w:themeColor="text1"/>
                <w14:textFill>
                  <w14:solidFill>
                    <w14:schemeClr w14:val="tx1"/>
                  </w14:solidFill>
                </w14:textFill>
              </w:rPr>
              <w:t>分）</w:t>
            </w:r>
          </w:p>
          <w:p w14:paraId="4C54C937">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根据投标文件中</w:t>
            </w:r>
            <w:r>
              <w:rPr>
                <w:rFonts w:hint="eastAsia" w:ascii="宋体" w:hAnsi="宋体" w:eastAsia="宋体" w:cs="宋体"/>
                <w:color w:val="000000" w:themeColor="text1"/>
                <w:lang w:val="en-US" w:eastAsia="zh-CN"/>
                <w14:textFill>
                  <w14:solidFill>
                    <w14:schemeClr w14:val="tx1"/>
                  </w14:solidFill>
                </w14:textFill>
              </w:rPr>
              <w:t>基于本项目</w:t>
            </w:r>
            <w:r>
              <w:rPr>
                <w:rFonts w:hint="eastAsia" w:ascii="宋体" w:hAnsi="宋体" w:eastAsia="宋体" w:cs="宋体"/>
                <w:color w:val="000000" w:themeColor="text1"/>
                <w14:textFill>
                  <w14:solidFill>
                    <w14:schemeClr w14:val="tx1"/>
                  </w14:solidFill>
                </w14:textFill>
              </w:rPr>
              <w:t>提供的系统运行维护方案进行评分，至少包括：</w:t>
            </w:r>
          </w:p>
          <w:p w14:paraId="56CEF59F">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①</w:t>
            </w:r>
            <w:r>
              <w:rPr>
                <w:rFonts w:ascii="宋体" w:hAnsi="宋体" w:eastAsia="宋体" w:cs="宋体"/>
                <w:color w:val="000000" w:themeColor="text1"/>
                <w14:textFill>
                  <w14:solidFill>
                    <w14:schemeClr w14:val="tx1"/>
                  </w14:solidFill>
                </w14:textFill>
              </w:rPr>
              <w:t>管理模式</w:t>
            </w:r>
            <w:r>
              <w:rPr>
                <w:rFonts w:hint="eastAsia" w:ascii="宋体" w:hAnsi="宋体" w:eastAsia="宋体" w:cs="宋体"/>
                <w:color w:val="000000" w:themeColor="text1"/>
                <w14:textFill>
                  <w14:solidFill>
                    <w14:schemeClr w14:val="tx1"/>
                  </w14:solidFill>
                </w14:textFill>
              </w:rPr>
              <w:t>及制度规范</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②</w:t>
            </w:r>
            <w:r>
              <w:rPr>
                <w:rFonts w:ascii="宋体" w:hAnsi="宋体" w:eastAsia="宋体" w:cs="宋体"/>
                <w:color w:val="000000" w:themeColor="text1"/>
                <w14:textFill>
                  <w14:solidFill>
                    <w14:schemeClr w14:val="tx1"/>
                  </w14:solidFill>
                </w14:textFill>
              </w:rPr>
              <w:t>运维服务范围</w:t>
            </w:r>
            <w:r>
              <w:rPr>
                <w:rFonts w:hint="eastAsia" w:ascii="宋体" w:hAnsi="宋体" w:eastAsia="宋体" w:cs="宋体"/>
                <w:color w:val="000000" w:themeColor="text1"/>
                <w14:textFill>
                  <w14:solidFill>
                    <w14:schemeClr w14:val="tx1"/>
                  </w14:solidFill>
                </w14:textFill>
              </w:rPr>
              <w:t>及</w:t>
            </w:r>
            <w:r>
              <w:rPr>
                <w:rFonts w:ascii="宋体" w:hAnsi="宋体" w:eastAsia="宋体" w:cs="宋体"/>
                <w:color w:val="000000" w:themeColor="text1"/>
                <w14:textFill>
                  <w14:solidFill>
                    <w14:schemeClr w14:val="tx1"/>
                  </w14:solidFill>
                </w14:textFill>
              </w:rPr>
              <w:t>响应时间</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③</w:t>
            </w:r>
            <w:r>
              <w:rPr>
                <w:rFonts w:ascii="宋体" w:hAnsi="宋体" w:eastAsia="宋体" w:cs="宋体"/>
                <w:color w:val="000000" w:themeColor="text1"/>
                <w14:textFill>
                  <w14:solidFill>
                    <w14:schemeClr w14:val="tx1"/>
                  </w14:solidFill>
                </w14:textFill>
              </w:rPr>
              <w:t>应用性能监控</w:t>
            </w:r>
            <w:r>
              <w:rPr>
                <w:rFonts w:hint="eastAsia" w:ascii="宋体" w:hAnsi="宋体" w:eastAsia="宋体" w:cs="宋体"/>
                <w:color w:val="000000" w:themeColor="text1"/>
                <w14:textFill>
                  <w14:solidFill>
                    <w14:schemeClr w14:val="tx1"/>
                  </w14:solidFill>
                </w14:textFill>
              </w:rPr>
              <w:t>及应急预案</w:t>
            </w:r>
            <w:r>
              <w:rPr>
                <w:rFonts w:hint="eastAsia" w:ascii="宋体" w:hAnsi="宋体" w:eastAsia="宋体" w:cs="宋体"/>
                <w:color w:val="000000" w:themeColor="text1"/>
                <w:lang w:eastAsia="zh-CN"/>
                <w14:textFill>
                  <w14:solidFill>
                    <w14:schemeClr w14:val="tx1"/>
                  </w14:solidFill>
                </w14:textFill>
              </w:rPr>
              <w:t>；</w:t>
            </w:r>
          </w:p>
          <w:p w14:paraId="28BA9137">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以上</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个方面，每有1项针对性不足的扣1分，每有1项</w:t>
            </w:r>
            <w:r>
              <w:rPr>
                <w:rFonts w:hint="eastAsia" w:ascii="宋体" w:hAnsi="宋体" w:eastAsia="宋体" w:cs="宋体"/>
                <w:color w:val="000000" w:themeColor="text1"/>
                <w:lang w:val="en-US" w:eastAsia="zh-CN"/>
                <w14:textFill>
                  <w14:solidFill>
                    <w14:schemeClr w14:val="tx1"/>
                  </w14:solidFill>
                </w14:textFill>
              </w:rPr>
              <w:t>合理性不足的</w:t>
            </w:r>
            <w:r>
              <w:rPr>
                <w:rFonts w:hint="eastAsia" w:ascii="宋体" w:hAnsi="宋体" w:eastAsia="宋体" w:cs="宋体"/>
                <w:color w:val="000000" w:themeColor="text1"/>
                <w14:textFill>
                  <w14:solidFill>
                    <w14:schemeClr w14:val="tx1"/>
                  </w14:solidFill>
                </w14:textFill>
              </w:rPr>
              <w:t>扣1分</w:t>
            </w:r>
            <w:r>
              <w:rPr>
                <w:rFonts w:hint="eastAsia" w:ascii="宋体" w:hAnsi="宋体" w:eastAsia="宋体" w:cs="宋体"/>
                <w:color w:val="000000" w:themeColor="text1"/>
                <w:lang w:eastAsia="zh-CN"/>
                <w14:textFill>
                  <w14:solidFill>
                    <w14:schemeClr w14:val="tx1"/>
                  </w14:solidFill>
                </w14:textFill>
              </w:rPr>
              <w:t>。</w:t>
            </w:r>
          </w:p>
          <w:p w14:paraId="189D49DF">
            <w:pPr>
              <w:spacing w:before="124" w:beforeLines="40"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5</w:t>
            </w:r>
            <w:r>
              <w:rPr>
                <w:rFonts w:hint="eastAsia" w:ascii="宋体" w:hAnsi="宋体" w:eastAsia="宋体" w:cs="宋体"/>
                <w:b/>
                <w:bCs/>
                <w:color w:val="000000" w:themeColor="text1"/>
                <w14:textFill>
                  <w14:solidFill>
                    <w14:schemeClr w14:val="tx1"/>
                  </w14:solidFill>
                </w14:textFill>
              </w:rPr>
              <w:t>）应急预案（满分</w:t>
            </w:r>
            <w:r>
              <w:rPr>
                <w:rFonts w:hint="eastAsia" w:ascii="宋体" w:hAnsi="宋体" w:eastAsia="宋体" w:cs="宋体"/>
                <w:b/>
                <w:bCs/>
                <w:color w:val="000000" w:themeColor="text1"/>
                <w:lang w:val="en-US" w:eastAsia="zh-CN"/>
                <w14:textFill>
                  <w14:solidFill>
                    <w14:schemeClr w14:val="tx1"/>
                  </w14:solidFill>
                </w14:textFill>
              </w:rPr>
              <w:t>4</w:t>
            </w:r>
            <w:r>
              <w:rPr>
                <w:rFonts w:hint="eastAsia" w:ascii="宋体" w:hAnsi="宋体" w:eastAsia="宋体" w:cs="宋体"/>
                <w:b/>
                <w:bCs/>
                <w:color w:val="000000" w:themeColor="text1"/>
                <w14:textFill>
                  <w14:solidFill>
                    <w14:schemeClr w14:val="tx1"/>
                  </w14:solidFill>
                </w14:textFill>
              </w:rPr>
              <w:t>分）</w:t>
            </w:r>
          </w:p>
          <w:p w14:paraId="56AF608D">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根据投标文件中</w:t>
            </w:r>
            <w:r>
              <w:rPr>
                <w:rFonts w:hint="eastAsia" w:ascii="宋体" w:hAnsi="宋体" w:eastAsia="宋体" w:cs="宋体"/>
                <w:color w:val="000000" w:themeColor="text1"/>
                <w:lang w:val="en-US" w:eastAsia="zh-CN"/>
                <w14:textFill>
                  <w14:solidFill>
                    <w14:schemeClr w14:val="tx1"/>
                  </w14:solidFill>
                </w14:textFill>
              </w:rPr>
              <w:t>基于本项目</w:t>
            </w:r>
            <w:r>
              <w:rPr>
                <w:rFonts w:hint="eastAsia" w:ascii="宋体" w:hAnsi="宋体" w:eastAsia="宋体" w:cs="宋体"/>
                <w:color w:val="000000" w:themeColor="text1"/>
                <w14:textFill>
                  <w14:solidFill>
                    <w14:schemeClr w14:val="tx1"/>
                  </w14:solidFill>
                </w14:textFill>
              </w:rPr>
              <w:t>提供的应急预案进行评分，至少包括：</w:t>
            </w:r>
          </w:p>
          <w:p w14:paraId="7334A747">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①应急准备</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②突发事件的响应时间、解决方案</w:t>
            </w:r>
          </w:p>
          <w:p w14:paraId="2BCBE16D">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以上</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个方面，每有1项针对性不足的扣</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分，每有1项过于简略扣1分</w:t>
            </w:r>
            <w:r>
              <w:rPr>
                <w:rFonts w:hint="eastAsia" w:ascii="宋体" w:hAnsi="宋体" w:eastAsia="宋体" w:cs="宋体"/>
                <w:color w:val="000000" w:themeColor="text1"/>
                <w:lang w:eastAsia="zh-CN"/>
                <w14:textFill>
                  <w14:solidFill>
                    <w14:schemeClr w14:val="tx1"/>
                  </w14:solidFill>
                </w14:textFill>
              </w:rPr>
              <w:t>。</w:t>
            </w:r>
          </w:p>
          <w:p w14:paraId="3B8C6CE3">
            <w:pPr>
              <w:spacing w:before="124" w:beforeLines="40"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6</w:t>
            </w:r>
            <w:r>
              <w:rPr>
                <w:rFonts w:hint="eastAsia" w:ascii="宋体" w:hAnsi="宋体" w:eastAsia="宋体" w:cs="宋体"/>
                <w:b/>
                <w:bCs/>
                <w:color w:val="000000" w:themeColor="text1"/>
                <w14:textFill>
                  <w14:solidFill>
                    <w14:schemeClr w14:val="tx1"/>
                  </w14:solidFill>
                </w14:textFill>
              </w:rPr>
              <w:t>）技术指标响应评分（满分</w:t>
            </w:r>
            <w:r>
              <w:rPr>
                <w:rFonts w:hint="eastAsia" w:ascii="宋体" w:hAnsi="宋体" w:eastAsia="宋体" w:cs="宋体"/>
                <w:b/>
                <w:bCs/>
                <w:color w:val="000000" w:themeColor="text1"/>
                <w:lang w:val="en-US" w:eastAsia="zh-CN"/>
                <w14:textFill>
                  <w14:solidFill>
                    <w14:schemeClr w14:val="tx1"/>
                  </w14:solidFill>
                </w14:textFill>
              </w:rPr>
              <w:t>13</w:t>
            </w:r>
            <w:r>
              <w:rPr>
                <w:rFonts w:hint="eastAsia" w:ascii="宋体" w:hAnsi="宋体" w:eastAsia="宋体" w:cs="宋体"/>
                <w:b/>
                <w:bCs/>
                <w:color w:val="000000" w:themeColor="text1"/>
                <w14:textFill>
                  <w14:solidFill>
                    <w14:schemeClr w14:val="tx1"/>
                  </w14:solidFill>
                </w14:textFill>
              </w:rPr>
              <w:t>分）</w:t>
            </w:r>
          </w:p>
          <w:p w14:paraId="43FC03A7">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根据投标文件对招标文件技术指标的响应程度进行评分：</w:t>
            </w:r>
          </w:p>
          <w:p w14:paraId="5E00222F">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招标文件第五章“</w:t>
            </w:r>
            <w:r>
              <w:rPr>
                <w:rFonts w:hint="eastAsia" w:ascii="宋体" w:hAnsi="宋体" w:eastAsia="宋体" w:cs="宋体"/>
                <w:color w:val="000000" w:themeColor="text1"/>
                <w:lang w:val="en-US" w:eastAsia="zh-CN"/>
                <w14:textFill>
                  <w14:solidFill>
                    <w14:schemeClr w14:val="tx1"/>
                  </w14:solidFill>
                </w14:textFill>
              </w:rPr>
              <w:t>采购</w:t>
            </w:r>
            <w:r>
              <w:rPr>
                <w:rFonts w:hint="eastAsia" w:ascii="宋体" w:hAnsi="宋体" w:eastAsia="宋体" w:cs="宋体"/>
                <w:color w:val="000000" w:themeColor="text1"/>
                <w14:textFill>
                  <w14:solidFill>
                    <w14:schemeClr w14:val="tx1"/>
                  </w14:solidFill>
                </w14:textFill>
              </w:rPr>
              <w:t>需求”的</w:t>
            </w:r>
            <w:r>
              <w:rPr>
                <w:rFonts w:hint="eastAsia" w:ascii="宋体" w:hAnsi="宋体" w:eastAsia="宋体" w:cs="宋体"/>
                <w:color w:val="000000" w:themeColor="text1"/>
                <w:lang w:val="en-US" w:eastAsia="zh-CN"/>
                <w14:textFill>
                  <w14:solidFill>
                    <w14:schemeClr w14:val="tx1"/>
                  </w14:solidFill>
                </w14:textFill>
              </w:rPr>
              <w:t>要求</w:t>
            </w:r>
            <w:r>
              <w:rPr>
                <w:rFonts w:hint="eastAsia" w:ascii="宋体" w:hAnsi="宋体" w:eastAsia="宋体" w:cs="宋体"/>
                <w:color w:val="000000" w:themeColor="text1"/>
                <w14:textFill>
                  <w14:solidFill>
                    <w14:schemeClr w14:val="tx1"/>
                  </w14:solidFill>
                </w14:textFill>
              </w:rPr>
              <w:t>共</w:t>
            </w:r>
            <w:r>
              <w:rPr>
                <w:rFonts w:hint="eastAsia" w:ascii="宋体" w:hAnsi="宋体" w:eastAsia="宋体" w:cs="宋体"/>
                <w:color w:val="000000" w:themeColor="text1"/>
                <w:lang w:val="en-US" w:eastAsia="zh-CN"/>
                <w14:textFill>
                  <w14:solidFill>
                    <w14:schemeClr w14:val="tx1"/>
                  </w14:solidFill>
                </w14:textFill>
              </w:rPr>
              <w:t>13</w:t>
            </w:r>
            <w:r>
              <w:rPr>
                <w:rFonts w:hint="eastAsia" w:ascii="宋体" w:hAnsi="宋体" w:eastAsia="宋体" w:cs="宋体"/>
                <w:color w:val="000000" w:themeColor="text1"/>
                <w14:textFill>
                  <w14:solidFill>
                    <w14:schemeClr w14:val="tx1"/>
                  </w14:solidFill>
                </w14:textFill>
              </w:rPr>
              <w:t>分，全部满足招标文件要求得</w:t>
            </w:r>
            <w:r>
              <w:rPr>
                <w:rFonts w:hint="eastAsia" w:ascii="宋体" w:hAnsi="宋体" w:eastAsia="宋体" w:cs="宋体"/>
                <w:color w:val="000000" w:themeColor="text1"/>
                <w:lang w:val="en-US" w:eastAsia="zh-CN"/>
                <w14:textFill>
                  <w14:solidFill>
                    <w14:schemeClr w14:val="tx1"/>
                  </w14:solidFill>
                </w14:textFill>
              </w:rPr>
              <w:t>13</w:t>
            </w:r>
            <w:r>
              <w:rPr>
                <w:rFonts w:hint="eastAsia" w:ascii="宋体" w:hAnsi="宋体" w:eastAsia="宋体" w:cs="宋体"/>
                <w:color w:val="000000" w:themeColor="text1"/>
                <w14:textFill>
                  <w14:solidFill>
                    <w14:schemeClr w14:val="tx1"/>
                  </w14:solidFill>
                </w14:textFill>
              </w:rPr>
              <w:t>分，否则不得分。</w:t>
            </w:r>
          </w:p>
        </w:tc>
      </w:tr>
      <w:tr w14:paraId="221EB6D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68245EF0">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3.2.3</w:t>
            </w:r>
          </w:p>
          <w:p w14:paraId="50CBD6FB">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w:t>
            </w:r>
          </w:p>
        </w:tc>
        <w:tc>
          <w:tcPr>
            <w:tcW w:w="1600" w:type="dxa"/>
            <w:vAlign w:val="center"/>
          </w:tcPr>
          <w:p w14:paraId="462CBEEE">
            <w:pPr>
              <w:spacing w:before="124" w:beforeLines="40" w:line="360" w:lineRule="auto"/>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商务</w:t>
            </w:r>
            <w:r>
              <w:rPr>
                <w:rFonts w:hint="eastAsia" w:ascii="宋体" w:hAnsi="宋体" w:eastAsia="宋体" w:cs="宋体"/>
                <w:color w:val="000000" w:themeColor="text1"/>
                <w14:textFill>
                  <w14:solidFill>
                    <w14:schemeClr w14:val="tx1"/>
                  </w14:solidFill>
                </w14:textFill>
              </w:rPr>
              <w:t>评分标准</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满分</w:t>
            </w:r>
            <w:r>
              <w:rPr>
                <w:rFonts w:hint="eastAsia" w:ascii="宋体" w:hAnsi="宋体" w:eastAsia="宋体" w:cs="宋体"/>
                <w:color w:val="000000" w:themeColor="text1"/>
                <w:lang w:val="en-US" w:eastAsia="zh-CN"/>
                <w14:textFill>
                  <w14:solidFill>
                    <w14:schemeClr w14:val="tx1"/>
                  </w14:solidFill>
                </w14:textFill>
              </w:rPr>
              <w:t>15分</w:t>
            </w:r>
            <w:r>
              <w:rPr>
                <w:rFonts w:hint="eastAsia" w:ascii="宋体" w:hAnsi="宋体" w:eastAsia="宋体" w:cs="宋体"/>
                <w:color w:val="000000" w:themeColor="text1"/>
                <w:lang w:eastAsia="zh-CN"/>
                <w14:textFill>
                  <w14:solidFill>
                    <w14:schemeClr w14:val="tx1"/>
                  </w14:solidFill>
                </w14:textFill>
              </w:rPr>
              <w:t>）</w:t>
            </w:r>
          </w:p>
        </w:tc>
        <w:tc>
          <w:tcPr>
            <w:tcW w:w="6425" w:type="dxa"/>
            <w:vAlign w:val="center"/>
          </w:tcPr>
          <w:p w14:paraId="2266FBF9">
            <w:pPr>
              <w:spacing w:before="124" w:beforeLines="40" w:line="360" w:lineRule="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1）</w:t>
            </w:r>
            <w:r>
              <w:rPr>
                <w:rFonts w:hint="eastAsia" w:ascii="宋体" w:hAnsi="宋体" w:eastAsia="宋体" w:cs="宋体"/>
                <w:b/>
                <w:bCs/>
                <w:color w:val="000000" w:themeColor="text1"/>
                <w:lang w:val="en-US" w:eastAsia="zh-CN"/>
                <w14:textFill>
                  <w14:solidFill>
                    <w14:schemeClr w14:val="tx1"/>
                  </w14:solidFill>
                </w14:textFill>
              </w:rPr>
              <w:t>售后</w:t>
            </w:r>
            <w:r>
              <w:rPr>
                <w:rFonts w:hint="eastAsia" w:ascii="宋体" w:hAnsi="宋体" w:eastAsia="宋体" w:cs="宋体"/>
                <w:b/>
                <w:bCs/>
                <w:color w:val="000000" w:themeColor="text1"/>
                <w14:textFill>
                  <w14:solidFill>
                    <w14:schemeClr w14:val="tx1"/>
                  </w14:solidFill>
                </w14:textFill>
              </w:rPr>
              <w:t>服务方案（满分</w:t>
            </w:r>
            <w:r>
              <w:rPr>
                <w:rFonts w:hint="eastAsia" w:ascii="宋体" w:hAnsi="宋体" w:eastAsia="宋体" w:cs="宋体"/>
                <w:b/>
                <w:bCs/>
                <w:color w:val="000000" w:themeColor="text1"/>
                <w:lang w:val="en-US" w:eastAsia="zh-CN"/>
                <w14:textFill>
                  <w14:solidFill>
                    <w14:schemeClr w14:val="tx1"/>
                  </w14:solidFill>
                </w14:textFill>
              </w:rPr>
              <w:t>8</w:t>
            </w:r>
            <w:r>
              <w:rPr>
                <w:rFonts w:hint="eastAsia" w:ascii="宋体" w:hAnsi="宋体" w:eastAsia="宋体" w:cs="宋体"/>
                <w:b/>
                <w:bCs/>
                <w:color w:val="000000" w:themeColor="text1"/>
                <w14:textFill>
                  <w14:solidFill>
                    <w14:schemeClr w14:val="tx1"/>
                  </w14:solidFill>
                </w14:textFill>
              </w:rPr>
              <w:t>分）</w:t>
            </w:r>
          </w:p>
          <w:p w14:paraId="100F4BC5">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根据投标文件中</w:t>
            </w:r>
            <w:r>
              <w:rPr>
                <w:rFonts w:hint="eastAsia" w:ascii="宋体" w:hAnsi="宋体" w:eastAsia="宋体" w:cs="宋体"/>
                <w:color w:val="000000" w:themeColor="text1"/>
                <w:lang w:val="en-US" w:eastAsia="zh-CN"/>
                <w14:textFill>
                  <w14:solidFill>
                    <w14:schemeClr w14:val="tx1"/>
                  </w14:solidFill>
                </w14:textFill>
              </w:rPr>
              <w:t>基于本项目</w:t>
            </w:r>
            <w:r>
              <w:rPr>
                <w:rFonts w:hint="eastAsia" w:ascii="宋体" w:hAnsi="宋体" w:eastAsia="宋体" w:cs="宋体"/>
                <w:color w:val="000000" w:themeColor="text1"/>
                <w14:textFill>
                  <w14:solidFill>
                    <w14:schemeClr w14:val="tx1"/>
                  </w14:solidFill>
                </w14:textFill>
              </w:rPr>
              <w:t>提供的项目服务方案进行评分，至少包括：</w:t>
            </w:r>
          </w:p>
          <w:p w14:paraId="7F5098D5">
            <w:pPr>
              <w:spacing w:before="124" w:beforeLines="4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①组织管理架构</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②</w:t>
            </w:r>
            <w:r>
              <w:rPr>
                <w:rFonts w:hint="eastAsia" w:ascii="宋体" w:hAnsi="宋体" w:eastAsia="宋体" w:cs="宋体"/>
                <w:color w:val="000000" w:themeColor="text1"/>
                <w:lang w:val="en-US" w:eastAsia="zh-CN"/>
                <w14:textFill>
                  <w14:solidFill>
                    <w14:schemeClr w14:val="tx1"/>
                  </w14:solidFill>
                </w14:textFill>
              </w:rPr>
              <w:t>售后服务方案及</w:t>
            </w:r>
            <w:r>
              <w:rPr>
                <w:rFonts w:hint="eastAsia" w:ascii="宋体" w:hAnsi="宋体" w:eastAsia="宋体" w:cs="宋体"/>
                <w:color w:val="000000" w:themeColor="text1"/>
                <w14:textFill>
                  <w14:solidFill>
                    <w14:schemeClr w14:val="tx1"/>
                  </w14:solidFill>
                </w14:textFill>
              </w:rPr>
              <w:t>保障措施</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③保密承诺及措施</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④违约承诺及措施</w:t>
            </w:r>
            <w:r>
              <w:rPr>
                <w:rFonts w:hint="eastAsia" w:ascii="宋体" w:hAnsi="宋体" w:eastAsia="宋体" w:cs="宋体"/>
                <w:color w:val="000000" w:themeColor="text1"/>
                <w:lang w:eastAsia="zh-CN"/>
                <w14:textFill>
                  <w14:solidFill>
                    <w14:schemeClr w14:val="tx1"/>
                  </w14:solidFill>
                </w14:textFill>
              </w:rPr>
              <w:t>；</w:t>
            </w:r>
          </w:p>
          <w:p w14:paraId="7A0B53E1">
            <w:pPr>
              <w:spacing w:before="124" w:beforeLines="4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以上</w:t>
            </w:r>
            <w:r>
              <w:rPr>
                <w:rFonts w:hint="eastAsia" w:ascii="宋体" w:hAnsi="宋体" w:eastAsia="宋体" w:cs="宋体"/>
                <w:color w:val="000000" w:themeColor="text1"/>
                <w:lang w:val="en-US" w:eastAsia="zh-CN"/>
                <w14:textFill>
                  <w14:solidFill>
                    <w14:schemeClr w14:val="tx1"/>
                  </w14:solidFill>
                </w14:textFill>
              </w:rPr>
              <w:t>4个</w:t>
            </w:r>
            <w:r>
              <w:rPr>
                <w:rFonts w:hint="eastAsia" w:ascii="宋体" w:hAnsi="宋体" w:eastAsia="宋体" w:cs="宋体"/>
                <w:color w:val="000000" w:themeColor="text1"/>
                <w14:textFill>
                  <w14:solidFill>
                    <w14:schemeClr w14:val="tx1"/>
                  </w14:solidFill>
                </w14:textFill>
              </w:rPr>
              <w:t>方面，每有1项针对性不足的扣</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分，每有1项过于简略扣</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分</w:t>
            </w:r>
            <w:r>
              <w:rPr>
                <w:rFonts w:hint="eastAsia" w:ascii="宋体" w:hAnsi="宋体" w:eastAsia="宋体" w:cs="宋体"/>
                <w:color w:val="000000" w:themeColor="text1"/>
                <w:lang w:eastAsia="zh-CN"/>
                <w14:textFill>
                  <w14:solidFill>
                    <w14:schemeClr w14:val="tx1"/>
                  </w14:solidFill>
                </w14:textFill>
              </w:rPr>
              <w:t>。</w:t>
            </w:r>
          </w:p>
          <w:p w14:paraId="31AFC364">
            <w:pPr>
              <w:spacing w:before="124" w:beforeLines="40" w:line="360" w:lineRule="auto"/>
              <w:rPr>
                <w:rFonts w:ascii="宋体" w:hAnsi="宋体" w:eastAsia="宋体" w:cs="Times New Roman"/>
                <w:b/>
                <w:bCs/>
                <w:color w:val="000000" w:themeColor="text1"/>
                <w14:textFill>
                  <w14:solidFill>
                    <w14:schemeClr w14:val="tx1"/>
                  </w14:solidFill>
                </w14:textFill>
              </w:rPr>
            </w:pPr>
            <w:r>
              <w:rPr>
                <w:rFonts w:hint="eastAsia" w:ascii="宋体" w:hAnsi="宋体" w:eastAsia="宋体" w:cs="Times New Roman"/>
                <w:b/>
                <w:bCs/>
                <w:color w:val="000000" w:themeColor="text1"/>
                <w:lang w:val="en-US" w:eastAsia="zh-CN"/>
                <w14:textFill>
                  <w14:solidFill>
                    <w14:schemeClr w14:val="tx1"/>
                  </w14:solidFill>
                </w14:textFill>
              </w:rPr>
              <w:t>2</w:t>
            </w:r>
            <w:r>
              <w:rPr>
                <w:rFonts w:hint="eastAsia" w:ascii="宋体" w:hAnsi="宋体" w:eastAsia="宋体" w:cs="Times New Roman"/>
                <w:b/>
                <w:bCs/>
                <w:color w:val="000000" w:themeColor="text1"/>
                <w14:textFill>
                  <w14:solidFill>
                    <w14:schemeClr w14:val="tx1"/>
                  </w14:solidFill>
                </w14:textFill>
              </w:rPr>
              <w:t>）培训方案评分（满分</w:t>
            </w:r>
            <w:r>
              <w:rPr>
                <w:rFonts w:hint="eastAsia" w:ascii="宋体" w:hAnsi="宋体" w:eastAsia="宋体" w:cs="Times New Roman"/>
                <w:b/>
                <w:bCs/>
                <w:color w:val="000000" w:themeColor="text1"/>
                <w:lang w:val="en-US" w:eastAsia="zh-CN"/>
                <w14:textFill>
                  <w14:solidFill>
                    <w14:schemeClr w14:val="tx1"/>
                  </w14:solidFill>
                </w14:textFill>
              </w:rPr>
              <w:t>4</w:t>
            </w:r>
            <w:r>
              <w:rPr>
                <w:rFonts w:hint="eastAsia" w:ascii="宋体" w:hAnsi="宋体" w:eastAsia="宋体" w:cs="Times New Roman"/>
                <w:b/>
                <w:bCs/>
                <w:color w:val="000000" w:themeColor="text1"/>
                <w14:textFill>
                  <w14:solidFill>
                    <w14:schemeClr w14:val="tx1"/>
                  </w14:solidFill>
                </w14:textFill>
              </w:rPr>
              <w:t>分）</w:t>
            </w:r>
          </w:p>
          <w:p w14:paraId="504BFBFD">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根据投标文件中</w:t>
            </w:r>
            <w:r>
              <w:rPr>
                <w:rFonts w:hint="eastAsia" w:ascii="宋体" w:hAnsi="宋体" w:eastAsia="宋体" w:cs="Times New Roman"/>
                <w:color w:val="000000" w:themeColor="text1"/>
                <w:lang w:val="en-US" w:eastAsia="zh-CN"/>
                <w14:textFill>
                  <w14:solidFill>
                    <w14:schemeClr w14:val="tx1"/>
                  </w14:solidFill>
                </w14:textFill>
              </w:rPr>
              <w:t>基于本项目</w:t>
            </w:r>
            <w:r>
              <w:rPr>
                <w:rFonts w:hint="eastAsia" w:ascii="宋体" w:hAnsi="宋体" w:eastAsia="宋体" w:cs="Times New Roman"/>
                <w:color w:val="000000" w:themeColor="text1"/>
                <w14:textFill>
                  <w14:solidFill>
                    <w14:schemeClr w14:val="tx1"/>
                  </w14:solidFill>
                </w14:textFill>
              </w:rPr>
              <w:t>提供的培训方案进行评分，至少包括：</w:t>
            </w:r>
          </w:p>
          <w:p w14:paraId="75DC4B54">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①培训计划及培训课程安排</w:t>
            </w:r>
            <w:r>
              <w:rPr>
                <w:rFonts w:hint="eastAsia" w:ascii="宋体" w:hAnsi="宋体" w:eastAsia="宋体" w:cs="Times New Roman"/>
                <w:color w:val="000000" w:themeColor="text1"/>
                <w:lang w:eastAsia="zh-CN"/>
                <w14:textFill>
                  <w14:solidFill>
                    <w14:schemeClr w14:val="tx1"/>
                  </w14:solidFill>
                </w14:textFill>
              </w:rPr>
              <w:t>；</w:t>
            </w:r>
            <w:r>
              <w:rPr>
                <w:rFonts w:hint="eastAsia" w:ascii="宋体" w:hAnsi="宋体" w:eastAsia="宋体" w:cs="Times New Roman"/>
                <w:color w:val="000000" w:themeColor="text1"/>
                <w14:textFill>
                  <w14:solidFill>
                    <w14:schemeClr w14:val="tx1"/>
                  </w14:solidFill>
                </w14:textFill>
              </w:rPr>
              <w:t>②培训内容、培训方式、培训师资力量配备</w:t>
            </w:r>
          </w:p>
          <w:p w14:paraId="1A334051">
            <w:pPr>
              <w:spacing w:before="124" w:beforeLines="40" w:line="360" w:lineRule="auto"/>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以上</w:t>
            </w:r>
            <w:r>
              <w:rPr>
                <w:rFonts w:hint="eastAsia" w:ascii="宋体" w:hAnsi="宋体" w:eastAsia="宋体" w:cs="Times New Roman"/>
                <w:color w:val="000000" w:themeColor="text1"/>
                <w:lang w:val="en-US" w:eastAsia="zh-CN"/>
                <w14:textFill>
                  <w14:solidFill>
                    <w14:schemeClr w14:val="tx1"/>
                  </w14:solidFill>
                </w14:textFill>
              </w:rPr>
              <w:t>2</w:t>
            </w:r>
            <w:r>
              <w:rPr>
                <w:rFonts w:hint="eastAsia" w:ascii="宋体" w:hAnsi="宋体" w:eastAsia="宋体" w:cs="Times New Roman"/>
                <w:color w:val="000000" w:themeColor="text1"/>
                <w14:textFill>
                  <w14:solidFill>
                    <w14:schemeClr w14:val="tx1"/>
                  </w14:solidFill>
                </w14:textFill>
              </w:rPr>
              <w:t>个方面，每有1项针对性不足的扣</w:t>
            </w:r>
            <w:r>
              <w:rPr>
                <w:rFonts w:hint="eastAsia" w:ascii="宋体" w:hAnsi="宋体" w:eastAsia="宋体" w:cs="Times New Roman"/>
                <w:color w:val="000000" w:themeColor="text1"/>
                <w:lang w:val="en-US" w:eastAsia="zh-CN"/>
                <w14:textFill>
                  <w14:solidFill>
                    <w14:schemeClr w14:val="tx1"/>
                  </w14:solidFill>
                </w14:textFill>
              </w:rPr>
              <w:t>1</w:t>
            </w:r>
            <w:r>
              <w:rPr>
                <w:rFonts w:hint="eastAsia" w:ascii="宋体" w:hAnsi="宋体" w:eastAsia="宋体" w:cs="Times New Roman"/>
                <w:color w:val="000000" w:themeColor="text1"/>
                <w14:textFill>
                  <w14:solidFill>
                    <w14:schemeClr w14:val="tx1"/>
                  </w14:solidFill>
                </w14:textFill>
              </w:rPr>
              <w:t>分，每有1项</w:t>
            </w:r>
            <w:r>
              <w:rPr>
                <w:rFonts w:hint="eastAsia" w:ascii="宋体" w:hAnsi="宋体" w:eastAsia="宋体" w:cs="Times New Roman"/>
                <w:color w:val="000000" w:themeColor="text1"/>
                <w:lang w:val="en-US" w:eastAsia="zh-CN"/>
                <w14:textFill>
                  <w14:solidFill>
                    <w14:schemeClr w14:val="tx1"/>
                  </w14:solidFill>
                </w14:textFill>
              </w:rPr>
              <w:t>合理性不足的</w:t>
            </w:r>
            <w:r>
              <w:rPr>
                <w:rFonts w:hint="eastAsia" w:ascii="宋体" w:hAnsi="宋体" w:eastAsia="宋体" w:cs="Times New Roman"/>
                <w:color w:val="000000" w:themeColor="text1"/>
                <w14:textFill>
                  <w14:solidFill>
                    <w14:schemeClr w14:val="tx1"/>
                  </w14:solidFill>
                </w14:textFill>
              </w:rPr>
              <w:t>扣</w:t>
            </w:r>
            <w:r>
              <w:rPr>
                <w:rFonts w:hint="eastAsia" w:ascii="宋体" w:hAnsi="宋体" w:eastAsia="宋体" w:cs="Times New Roman"/>
                <w:color w:val="000000" w:themeColor="text1"/>
                <w:lang w:val="en-US" w:eastAsia="zh-CN"/>
                <w14:textFill>
                  <w14:solidFill>
                    <w14:schemeClr w14:val="tx1"/>
                  </w14:solidFill>
                </w14:textFill>
              </w:rPr>
              <w:t>1</w:t>
            </w:r>
            <w:r>
              <w:rPr>
                <w:rFonts w:hint="eastAsia" w:ascii="宋体" w:hAnsi="宋体" w:eastAsia="宋体" w:cs="Times New Roman"/>
                <w:color w:val="000000" w:themeColor="text1"/>
                <w14:textFill>
                  <w14:solidFill>
                    <w14:schemeClr w14:val="tx1"/>
                  </w14:solidFill>
                </w14:textFill>
              </w:rPr>
              <w:t>分</w:t>
            </w:r>
            <w:r>
              <w:rPr>
                <w:rFonts w:hint="eastAsia" w:ascii="宋体" w:hAnsi="宋体" w:eastAsia="宋体" w:cs="Times New Roman"/>
                <w:color w:val="000000" w:themeColor="text1"/>
                <w:lang w:eastAsia="zh-CN"/>
                <w14:textFill>
                  <w14:solidFill>
                    <w14:schemeClr w14:val="tx1"/>
                  </w14:solidFill>
                </w14:textFill>
              </w:rPr>
              <w:t>。</w:t>
            </w:r>
          </w:p>
          <w:p w14:paraId="4E0FBD7C">
            <w:pPr>
              <w:spacing w:before="124" w:beforeLines="40" w:line="360" w:lineRule="auto"/>
              <w:rPr>
                <w:rFonts w:hint="eastAsia" w:ascii="宋体" w:hAnsi="宋体" w:eastAsia="宋体" w:cs="Times New Roman"/>
                <w:b/>
                <w:bCs/>
                <w:color w:val="000000" w:themeColor="text1"/>
                <w14:textFill>
                  <w14:solidFill>
                    <w14:schemeClr w14:val="tx1"/>
                  </w14:solidFill>
                </w14:textFill>
              </w:rPr>
            </w:pPr>
            <w:r>
              <w:rPr>
                <w:rFonts w:hint="eastAsia" w:ascii="宋体" w:hAnsi="宋体" w:eastAsia="宋体" w:cs="Times New Roman"/>
                <w:b/>
                <w:bCs/>
                <w:color w:val="000000" w:themeColor="text1"/>
                <w:lang w:val="en-US" w:eastAsia="zh-CN"/>
                <w14:textFill>
                  <w14:solidFill>
                    <w14:schemeClr w14:val="tx1"/>
                  </w14:solidFill>
                </w14:textFill>
              </w:rPr>
              <w:t>3</w:t>
            </w:r>
            <w:r>
              <w:rPr>
                <w:rFonts w:hint="eastAsia" w:ascii="宋体" w:hAnsi="宋体" w:eastAsia="宋体" w:cs="Times New Roman"/>
                <w:b/>
                <w:bCs/>
                <w:color w:val="000000" w:themeColor="text1"/>
                <w14:textFill>
                  <w14:solidFill>
                    <w14:schemeClr w14:val="tx1"/>
                  </w14:solidFill>
                </w14:textFill>
              </w:rPr>
              <w:t>）业绩评分（满分</w:t>
            </w:r>
            <w:r>
              <w:rPr>
                <w:rFonts w:hint="eastAsia" w:ascii="宋体" w:hAnsi="宋体" w:eastAsia="宋体" w:cs="Times New Roman"/>
                <w:b/>
                <w:bCs/>
                <w:color w:val="000000" w:themeColor="text1"/>
                <w:lang w:val="en-US" w:eastAsia="zh-CN"/>
                <w14:textFill>
                  <w14:solidFill>
                    <w14:schemeClr w14:val="tx1"/>
                  </w14:solidFill>
                </w14:textFill>
              </w:rPr>
              <w:t>3</w:t>
            </w:r>
            <w:r>
              <w:rPr>
                <w:rFonts w:hint="eastAsia" w:ascii="宋体" w:hAnsi="宋体" w:eastAsia="宋体" w:cs="Times New Roman"/>
                <w:b/>
                <w:bCs/>
                <w:color w:val="000000" w:themeColor="text1"/>
                <w14:textFill>
                  <w14:solidFill>
                    <w14:schemeClr w14:val="tx1"/>
                  </w14:solidFill>
                </w14:textFill>
              </w:rPr>
              <w:t>分）</w:t>
            </w:r>
          </w:p>
          <w:p w14:paraId="36293186">
            <w:pPr>
              <w:spacing w:before="124" w:beforeLines="4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投标人须提供202</w:t>
            </w:r>
            <w:r>
              <w:rPr>
                <w:rFonts w:hint="eastAsia" w:ascii="宋体" w:hAnsi="宋体" w:eastAsia="宋体" w:cs="Times New Roman"/>
                <w:color w:val="000000" w:themeColor="text1"/>
                <w:lang w:val="en-US" w:eastAsia="zh-CN"/>
                <w14:textFill>
                  <w14:solidFill>
                    <w14:schemeClr w14:val="tx1"/>
                  </w14:solidFill>
                </w14:textFill>
              </w:rPr>
              <w:t>2</w:t>
            </w:r>
            <w:r>
              <w:rPr>
                <w:rFonts w:hint="eastAsia" w:ascii="宋体" w:hAnsi="宋体" w:eastAsia="宋体" w:cs="Times New Roman"/>
                <w:color w:val="000000" w:themeColor="text1"/>
                <w14:textFill>
                  <w14:solidFill>
                    <w14:schemeClr w14:val="tx1"/>
                  </w14:solidFill>
                </w14:textFill>
              </w:rPr>
              <w:t>年1月1日至今信息系统开发</w:t>
            </w:r>
            <w:r>
              <w:rPr>
                <w:rFonts w:hint="eastAsia" w:ascii="宋体" w:hAnsi="宋体" w:eastAsia="宋体" w:cs="Times New Roman"/>
                <w:color w:val="000000" w:themeColor="text1"/>
                <w:lang w:val="en-US" w:eastAsia="zh-CN"/>
                <w14:textFill>
                  <w14:solidFill>
                    <w14:schemeClr w14:val="tx1"/>
                  </w14:solidFill>
                </w14:textFill>
              </w:rPr>
              <w:t>或</w:t>
            </w:r>
            <w:r>
              <w:rPr>
                <w:rFonts w:hint="eastAsia" w:ascii="宋体" w:hAnsi="宋体" w:eastAsia="宋体" w:cs="Times New Roman"/>
                <w:color w:val="000000" w:themeColor="text1"/>
                <w14:textFill>
                  <w14:solidFill>
                    <w14:schemeClr w14:val="tx1"/>
                  </w14:solidFill>
                </w14:textFill>
              </w:rPr>
              <w:t>建设类相关项目业绩，每提供1个业绩得</w:t>
            </w:r>
            <w:r>
              <w:rPr>
                <w:rFonts w:hint="eastAsia" w:ascii="宋体" w:hAnsi="宋体" w:eastAsia="宋体" w:cs="Times New Roman"/>
                <w:color w:val="000000" w:themeColor="text1"/>
                <w:lang w:val="en-US" w:eastAsia="zh-CN"/>
                <w14:textFill>
                  <w14:solidFill>
                    <w14:schemeClr w14:val="tx1"/>
                  </w14:solidFill>
                </w14:textFill>
              </w:rPr>
              <w:t>1</w:t>
            </w:r>
            <w:r>
              <w:rPr>
                <w:rFonts w:hint="eastAsia" w:ascii="宋体" w:hAnsi="宋体" w:eastAsia="宋体" w:cs="Times New Roman"/>
                <w:color w:val="000000" w:themeColor="text1"/>
                <w14:textFill>
                  <w14:solidFill>
                    <w14:schemeClr w14:val="tx1"/>
                  </w14:solidFill>
                </w14:textFill>
              </w:rPr>
              <w:t>分。</w:t>
            </w:r>
          </w:p>
          <w:p w14:paraId="07D2F152">
            <w:pPr>
              <w:spacing w:before="124" w:beforeLines="40" w:line="360" w:lineRule="auto"/>
              <w:rPr>
                <w:rFonts w:hint="eastAsia"/>
              </w:rPr>
            </w:pPr>
            <w:r>
              <w:rPr>
                <w:rFonts w:hint="eastAsia" w:ascii="宋体" w:hAnsi="宋体" w:eastAsia="宋体" w:cs="Times New Roman"/>
                <w:color w:val="000000" w:themeColor="text1"/>
                <w14:textFill>
                  <w14:solidFill>
                    <w14:schemeClr w14:val="tx1"/>
                  </w14:solidFill>
                </w14:textFill>
              </w:rPr>
              <w:t>注：投标文件中须提供业绩列表及相对应的业绩证明材料，业绩证明材料为合同扫描件。无证明材料或证明材料不能明确的不予认可。</w:t>
            </w:r>
          </w:p>
        </w:tc>
      </w:tr>
      <w:tr w14:paraId="1D399BA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296CC4BC">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3.2.3</w:t>
            </w:r>
          </w:p>
          <w:p w14:paraId="44CC384A">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w:t>
            </w:r>
          </w:p>
        </w:tc>
        <w:tc>
          <w:tcPr>
            <w:tcW w:w="1600" w:type="dxa"/>
            <w:vAlign w:val="center"/>
          </w:tcPr>
          <w:p w14:paraId="5382B60D">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报价评分标准（满分</w:t>
            </w:r>
            <w:r>
              <w:rPr>
                <w:rFonts w:ascii="宋体" w:hAnsi="宋体" w:eastAsia="宋体" w:cs="宋体"/>
                <w:color w:val="000000" w:themeColor="text1"/>
                <w14:textFill>
                  <w14:solidFill>
                    <w14:schemeClr w14:val="tx1"/>
                  </w14:solidFill>
                </w14:textFill>
              </w:rPr>
              <w:t>30</w:t>
            </w:r>
            <w:r>
              <w:rPr>
                <w:rFonts w:hint="eastAsia" w:ascii="宋体" w:hAnsi="宋体" w:eastAsia="宋体" w:cs="宋体"/>
                <w:color w:val="000000" w:themeColor="text1"/>
                <w14:textFill>
                  <w14:solidFill>
                    <w14:schemeClr w14:val="tx1"/>
                  </w14:solidFill>
                </w14:textFill>
              </w:rPr>
              <w:t>分）</w:t>
            </w:r>
          </w:p>
        </w:tc>
        <w:tc>
          <w:tcPr>
            <w:tcW w:w="6425" w:type="dxa"/>
            <w:vAlign w:val="center"/>
          </w:tcPr>
          <w:p w14:paraId="69EDA2FA">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报价得分</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（评标基准价</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投标报价）×</w:t>
            </w:r>
            <w:r>
              <w:rPr>
                <w:rFonts w:ascii="宋体" w:hAnsi="宋体" w:eastAsia="宋体" w:cs="宋体"/>
                <w:color w:val="000000" w:themeColor="text1"/>
                <w14:textFill>
                  <w14:solidFill>
                    <w14:schemeClr w14:val="tx1"/>
                  </w14:solidFill>
                </w14:textFill>
              </w:rPr>
              <w:t>30</w:t>
            </w:r>
          </w:p>
          <w:p w14:paraId="32CB0B01">
            <w:pPr>
              <w:spacing w:before="124" w:beforeLines="40" w:line="360" w:lineRule="auto"/>
              <w:rPr>
                <w:rFonts w:hint="default" w:ascii="宋体" w:hAnsi="宋体" w:eastAsia="宋体" w:cs="宋体"/>
                <w:color w:val="000000" w:themeColor="text1"/>
                <w:lang w:val="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即：</w:t>
            </w:r>
            <w:r>
              <w:rPr>
                <w:rFonts w:ascii="宋体" w:hAnsi="宋体" w:eastAsia="宋体" w:cs="宋体"/>
                <w:color w:val="000000" w:themeColor="text1"/>
                <w14:textFill>
                  <w14:solidFill>
                    <w14:schemeClr w14:val="tx1"/>
                  </w14:solidFill>
                </w14:textFill>
              </w:rPr>
              <w:t>F</w:t>
            </w:r>
            <w:r>
              <w:rPr>
                <w:rFonts w:hint="eastAsia" w:ascii="宋体" w:hAnsi="宋体" w:eastAsia="宋体" w:cs="宋体"/>
                <w:color w:val="000000" w:themeColor="text1"/>
                <w:lang w:val="en-US" w:eastAsia="zh-CN"/>
                <w14:textFill>
                  <w14:solidFill>
                    <w14:schemeClr w14:val="tx1"/>
                  </w14:solidFill>
                </w14:textFill>
              </w:rPr>
              <w:t>3</w:t>
            </w:r>
            <w:r>
              <w:rPr>
                <w:rFonts w:ascii="宋体" w:hAnsi="宋体" w:eastAsia="宋体" w:cs="宋体"/>
                <w:color w:val="000000" w:themeColor="text1"/>
                <w14:textFill>
                  <w14:solidFill>
                    <w14:schemeClr w14:val="tx1"/>
                  </w14:solidFill>
                </w14:textFill>
              </w:rPr>
              <w:t>=[C/（B1，B2，…</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Bn）]×</w:t>
            </w:r>
            <w:r>
              <w:rPr>
                <w:rFonts w:hint="eastAsia" w:ascii="宋体" w:hAnsi="宋体" w:eastAsia="宋体" w:cs="宋体"/>
                <w:color w:val="000000" w:themeColor="text1"/>
                <w:lang w:val="en-US" w:eastAsia="zh-CN"/>
                <w14:textFill>
                  <w14:solidFill>
                    <w14:schemeClr w14:val="tx1"/>
                  </w14:solidFill>
                </w14:textFill>
              </w:rPr>
              <w:t>30</w:t>
            </w:r>
          </w:p>
          <w:p w14:paraId="185E8B33">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w:t>
            </w:r>
            <w:r>
              <w:rPr>
                <w:rFonts w:ascii="宋体" w:hAnsi="宋体" w:eastAsia="宋体" w:cs="宋体"/>
                <w:color w:val="000000" w:themeColor="text1"/>
                <w14:textFill>
                  <w14:solidFill>
                    <w14:schemeClr w14:val="tx1"/>
                  </w14:solidFill>
                </w14:textFill>
              </w:rPr>
              <w:t>C为评标基准价，即经</w:t>
            </w:r>
            <w:r>
              <w:rPr>
                <w:rFonts w:hint="eastAsia" w:ascii="宋体" w:hAnsi="宋体" w:eastAsia="宋体" w:cs="宋体"/>
                <w:color w:val="000000" w:themeColor="text1"/>
                <w14:textFill>
                  <w14:solidFill>
                    <w14:schemeClr w14:val="tx1"/>
                  </w14:solidFill>
                </w14:textFill>
              </w:rPr>
              <w:t>符合性</w:t>
            </w:r>
            <w:r>
              <w:rPr>
                <w:rFonts w:ascii="宋体" w:hAnsi="宋体" w:eastAsia="宋体" w:cs="宋体"/>
                <w:color w:val="000000" w:themeColor="text1"/>
                <w14:textFill>
                  <w14:solidFill>
                    <w14:schemeClr w14:val="tx1"/>
                  </w14:solidFill>
                </w14:textFill>
              </w:rPr>
              <w:t>评审合格</w:t>
            </w:r>
            <w:r>
              <w:rPr>
                <w:rFonts w:hint="eastAsia" w:ascii="宋体" w:hAnsi="宋体" w:eastAsia="宋体" w:cs="宋体"/>
                <w:color w:val="000000" w:themeColor="text1"/>
                <w14:textFill>
                  <w14:solidFill>
                    <w14:schemeClr w14:val="tx1"/>
                  </w14:solidFill>
                </w14:textFill>
              </w:rPr>
              <w:t>且投标价格最低</w:t>
            </w:r>
            <w:r>
              <w:rPr>
                <w:rFonts w:ascii="宋体" w:hAnsi="宋体" w:eastAsia="宋体" w:cs="宋体"/>
                <w:color w:val="000000" w:themeColor="text1"/>
                <w14:textFill>
                  <w14:solidFill>
                    <w14:schemeClr w14:val="tx1"/>
                  </w14:solidFill>
                </w14:textFill>
              </w:rPr>
              <w:t>的投标报价；</w:t>
            </w:r>
          </w:p>
          <w:p w14:paraId="07DDB290">
            <w:pPr>
              <w:spacing w:before="124" w:beforeLines="40" w:line="360" w:lineRule="auto"/>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B1，B2，…</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Bn为第n个经</w:t>
            </w:r>
            <w:r>
              <w:rPr>
                <w:rFonts w:hint="eastAsia" w:ascii="宋体" w:hAnsi="宋体" w:eastAsia="宋体" w:cs="宋体"/>
                <w:color w:val="000000" w:themeColor="text1"/>
                <w14:textFill>
                  <w14:solidFill>
                    <w14:schemeClr w14:val="tx1"/>
                  </w14:solidFill>
                </w14:textFill>
              </w:rPr>
              <w:t>符合性评审</w:t>
            </w:r>
            <w:r>
              <w:rPr>
                <w:rFonts w:ascii="宋体" w:hAnsi="宋体" w:eastAsia="宋体" w:cs="宋体"/>
                <w:color w:val="000000" w:themeColor="text1"/>
                <w14:textFill>
                  <w14:solidFill>
                    <w14:schemeClr w14:val="tx1"/>
                  </w14:solidFill>
                </w14:textFill>
              </w:rPr>
              <w:t>合格的投标报价。</w:t>
            </w:r>
          </w:p>
          <w:p w14:paraId="024F7608">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注：1、在计算投标报价得分时，对小型或微型企业报价给予</w:t>
            </w:r>
            <w:r>
              <w:rPr>
                <w:rFonts w:ascii="宋体" w:hAnsi="宋体" w:eastAsia="宋体" w:cs="宋体"/>
                <w:color w:val="000000" w:themeColor="text1"/>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%的扣除，用扣除后的价格参加评审。</w:t>
            </w:r>
          </w:p>
          <w:p w14:paraId="43A2DE4A">
            <w:pPr>
              <w:spacing w:before="124" w:beforeLines="40" w:line="360" w:lineRule="auto"/>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、残疾人福利性单位、监狱企业视同小型、微型企业。</w:t>
            </w:r>
          </w:p>
          <w:p w14:paraId="661432DF">
            <w:pPr>
              <w:spacing w:before="124" w:beforeLines="40"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3、监狱企业或残疾人福利性单位属于小型、微型企业的，不重复计算，只进行一次价格扣除。</w:t>
            </w:r>
          </w:p>
        </w:tc>
      </w:tr>
      <w:tr w14:paraId="1CD7596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35A2BF04">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3.2.3</w:t>
            </w:r>
          </w:p>
          <w:p w14:paraId="6EA39E8A">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w:t>
            </w:r>
          </w:p>
        </w:tc>
        <w:tc>
          <w:tcPr>
            <w:tcW w:w="1600" w:type="dxa"/>
            <w:vAlign w:val="center"/>
          </w:tcPr>
          <w:p w14:paraId="651E1D20">
            <w:pPr>
              <w:spacing w:before="124" w:beforeLines="40" w:line="360" w:lineRule="auto"/>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其他因素评分标准</w:t>
            </w:r>
          </w:p>
        </w:tc>
        <w:tc>
          <w:tcPr>
            <w:tcW w:w="6425" w:type="dxa"/>
            <w:vAlign w:val="center"/>
          </w:tcPr>
          <w:p w14:paraId="2C0389B9">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w:t>
            </w:r>
          </w:p>
        </w:tc>
      </w:tr>
      <w:tr w14:paraId="53520A1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071F74EA">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1600" w:type="dxa"/>
            <w:vAlign w:val="center"/>
          </w:tcPr>
          <w:p w14:paraId="7816C6C5">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条款内容</w:t>
            </w:r>
          </w:p>
        </w:tc>
        <w:tc>
          <w:tcPr>
            <w:tcW w:w="6425" w:type="dxa"/>
            <w:vAlign w:val="center"/>
          </w:tcPr>
          <w:p w14:paraId="7EAAC5A0">
            <w:pPr>
              <w:spacing w:before="124" w:beforeLines="40" w:line="360" w:lineRule="auto"/>
              <w:jc w:val="center"/>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编列内容</w:t>
            </w:r>
          </w:p>
        </w:tc>
      </w:tr>
      <w:tr w14:paraId="3C07F5D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vAlign w:val="center"/>
          </w:tcPr>
          <w:p w14:paraId="1443ECAE">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3.2.6</w:t>
            </w:r>
          </w:p>
        </w:tc>
        <w:tc>
          <w:tcPr>
            <w:tcW w:w="1600" w:type="dxa"/>
            <w:vAlign w:val="center"/>
          </w:tcPr>
          <w:p w14:paraId="2DD8E00F">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投标人并列时确定投标人优先顺序的规则</w:t>
            </w:r>
          </w:p>
        </w:tc>
        <w:tc>
          <w:tcPr>
            <w:tcW w:w="6425" w:type="dxa"/>
            <w:vAlign w:val="center"/>
          </w:tcPr>
          <w:p w14:paraId="11053C99">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综合评分相等时，以投标报价低的优先；投标报价也相等的，以技术部分得分高的优先。</w:t>
            </w:r>
          </w:p>
        </w:tc>
      </w:tr>
      <w:tr w14:paraId="44BC9ED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332" w:type="dxa"/>
            <w:tcBorders>
              <w:bottom w:val="thickThinSmallGap" w:color="auto" w:sz="12" w:space="0"/>
            </w:tcBorders>
            <w:vAlign w:val="center"/>
          </w:tcPr>
          <w:p w14:paraId="5E0B12CD">
            <w:pPr>
              <w:spacing w:before="124" w:beforeLines="4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w:t>
            </w:r>
          </w:p>
        </w:tc>
        <w:tc>
          <w:tcPr>
            <w:tcW w:w="1600" w:type="dxa"/>
            <w:tcBorders>
              <w:bottom w:val="thickThinSmallGap" w:color="auto" w:sz="12" w:space="0"/>
            </w:tcBorders>
            <w:vAlign w:val="center"/>
          </w:tcPr>
          <w:p w14:paraId="1DE0631F">
            <w:pPr>
              <w:spacing w:before="124" w:beforeLines="4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评审得分相同时投标人推荐资格的规则</w:t>
            </w:r>
          </w:p>
        </w:tc>
        <w:tc>
          <w:tcPr>
            <w:tcW w:w="6425" w:type="dxa"/>
            <w:tcBorders>
              <w:bottom w:val="thickThinSmallGap" w:color="auto" w:sz="12" w:space="0"/>
            </w:tcBorders>
            <w:vAlign w:val="center"/>
          </w:tcPr>
          <w:p w14:paraId="6CE9A4FB">
            <w:pPr>
              <w:spacing w:before="124" w:beforeLines="40"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评审得分相同的，以技术部分得分高的投标人获得中标人推荐资格，技术部分得分相同的，投标报价得分高的投标人获得中标人推荐资格。</w:t>
            </w:r>
          </w:p>
        </w:tc>
      </w:tr>
    </w:tbl>
    <w:p w14:paraId="31086B61">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br w:type="page"/>
      </w:r>
      <w:bookmarkStart w:id="517" w:name="_Toc164432947"/>
      <w:r>
        <w:rPr>
          <w:rFonts w:ascii="宋体" w:hAnsi="宋体" w:eastAsia="宋体" w:cs="宋体"/>
          <w:color w:val="000000" w:themeColor="text1"/>
          <w:sz w:val="21"/>
          <w:szCs w:val="21"/>
          <w14:textFill>
            <w14:solidFill>
              <w14:schemeClr w14:val="tx1"/>
            </w14:solidFill>
          </w14:textFill>
        </w:rPr>
        <w:t xml:space="preserve">1. </w:t>
      </w:r>
      <w:r>
        <w:rPr>
          <w:rFonts w:hint="eastAsia" w:ascii="宋体" w:hAnsi="宋体" w:eastAsia="宋体" w:cs="宋体"/>
          <w:color w:val="000000" w:themeColor="text1"/>
          <w:sz w:val="21"/>
          <w:szCs w:val="21"/>
          <w14:textFill>
            <w14:solidFill>
              <w14:schemeClr w14:val="tx1"/>
            </w14:solidFill>
          </w14:textFill>
        </w:rPr>
        <w:t>评审方法</w:t>
      </w:r>
      <w:bookmarkEnd w:id="510"/>
      <w:bookmarkEnd w:id="511"/>
      <w:bookmarkEnd w:id="512"/>
      <w:bookmarkEnd w:id="513"/>
      <w:bookmarkEnd w:id="514"/>
      <w:bookmarkEnd w:id="515"/>
      <w:bookmarkEnd w:id="516"/>
      <w:bookmarkEnd w:id="517"/>
    </w:p>
    <w:p w14:paraId="2B0C42F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本次评审采用综合评分法。评标委员会对满足招标文件实质性要求的投标文件，按照本章第</w:t>
      </w:r>
      <w:r>
        <w:rPr>
          <w:rFonts w:ascii="宋体" w:hAnsi="宋体" w:eastAsia="宋体" w:cs="宋体"/>
          <w:color w:val="000000" w:themeColor="text1"/>
          <w14:textFill>
            <w14:solidFill>
              <w14:schemeClr w14:val="tx1"/>
            </w14:solidFill>
          </w14:textFill>
        </w:rPr>
        <w:t>3.2</w:t>
      </w:r>
      <w:r>
        <w:rPr>
          <w:rFonts w:hint="eastAsia" w:ascii="宋体" w:hAnsi="宋体" w:eastAsia="宋体" w:cs="宋体"/>
          <w:color w:val="000000" w:themeColor="text1"/>
          <w14:textFill>
            <w14:solidFill>
              <w14:schemeClr w14:val="tx1"/>
            </w14:solidFill>
          </w14:textFill>
        </w:rPr>
        <w:t>款规定的评分标准进行打分，并按得分由高到低的顺序推荐中标候选人。</w:t>
      </w:r>
    </w:p>
    <w:p w14:paraId="10724964">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518" w:name="_Toc120282460"/>
      <w:bookmarkStart w:id="519" w:name="_Toc70424887"/>
      <w:bookmarkStart w:id="520" w:name="_Toc28844"/>
      <w:bookmarkStart w:id="521" w:name="_Toc77658104"/>
      <w:bookmarkStart w:id="522" w:name="_Toc164432948"/>
      <w:bookmarkStart w:id="523" w:name="_Toc77504094"/>
      <w:bookmarkStart w:id="524" w:name="_Toc107396232"/>
      <w:bookmarkStart w:id="525" w:name="_Toc77116704"/>
      <w:r>
        <w:rPr>
          <w:rFonts w:ascii="宋体" w:hAnsi="宋体" w:eastAsia="宋体" w:cs="宋体"/>
          <w:color w:val="000000" w:themeColor="text1"/>
          <w:sz w:val="21"/>
          <w:szCs w:val="21"/>
          <w14:textFill>
            <w14:solidFill>
              <w14:schemeClr w14:val="tx1"/>
            </w14:solidFill>
          </w14:textFill>
        </w:rPr>
        <w:t xml:space="preserve">2. </w:t>
      </w:r>
      <w:r>
        <w:rPr>
          <w:rFonts w:hint="eastAsia" w:ascii="宋体" w:hAnsi="宋体" w:eastAsia="宋体" w:cs="宋体"/>
          <w:color w:val="000000" w:themeColor="text1"/>
          <w:sz w:val="21"/>
          <w:szCs w:val="21"/>
          <w14:textFill>
            <w14:solidFill>
              <w14:schemeClr w14:val="tx1"/>
            </w14:solidFill>
          </w14:textFill>
        </w:rPr>
        <w:t>初步评审标准和程序</w:t>
      </w:r>
      <w:bookmarkEnd w:id="518"/>
      <w:bookmarkEnd w:id="519"/>
      <w:bookmarkEnd w:id="520"/>
      <w:bookmarkEnd w:id="521"/>
      <w:bookmarkEnd w:id="522"/>
      <w:bookmarkEnd w:id="523"/>
      <w:bookmarkEnd w:id="524"/>
      <w:bookmarkEnd w:id="525"/>
    </w:p>
    <w:p w14:paraId="0B762945">
      <w:pPr>
        <w:pStyle w:val="5"/>
        <w:spacing w:before="0" w:after="0" w:line="360" w:lineRule="auto"/>
        <w:rPr>
          <w:rFonts w:ascii="宋体"/>
          <w:color w:val="000000" w:themeColor="text1"/>
          <w:sz w:val="21"/>
          <w:szCs w:val="21"/>
          <w14:textFill>
            <w14:solidFill>
              <w14:schemeClr w14:val="tx1"/>
            </w14:solidFill>
          </w14:textFill>
        </w:rPr>
      </w:pPr>
      <w:bookmarkStart w:id="526" w:name="_Toc120282461"/>
      <w:bookmarkStart w:id="527" w:name="_Toc77504095"/>
      <w:bookmarkStart w:id="528" w:name="_Toc107396233"/>
      <w:bookmarkStart w:id="529" w:name="_Toc77658105"/>
      <w:bookmarkStart w:id="530" w:name="_Toc14757"/>
      <w:bookmarkStart w:id="531" w:name="_Toc70424888"/>
      <w:bookmarkStart w:id="532" w:name="_Toc164432949"/>
      <w:bookmarkStart w:id="533" w:name="_Toc77116705"/>
      <w:r>
        <w:rPr>
          <w:rFonts w:ascii="宋体" w:hAnsi="宋体" w:cs="宋体"/>
          <w:color w:val="000000" w:themeColor="text1"/>
          <w:sz w:val="21"/>
          <w:szCs w:val="21"/>
          <w14:textFill>
            <w14:solidFill>
              <w14:schemeClr w14:val="tx1"/>
            </w14:solidFill>
          </w14:textFill>
        </w:rPr>
        <w:t xml:space="preserve">2.1 </w:t>
      </w:r>
      <w:r>
        <w:rPr>
          <w:rFonts w:hint="eastAsia" w:ascii="宋体" w:hAnsi="宋体" w:cs="宋体"/>
          <w:color w:val="000000" w:themeColor="text1"/>
          <w:sz w:val="21"/>
          <w:szCs w:val="21"/>
          <w14:textFill>
            <w14:solidFill>
              <w14:schemeClr w14:val="tx1"/>
            </w14:solidFill>
          </w14:textFill>
        </w:rPr>
        <w:t>初步评审标准</w:t>
      </w:r>
      <w:bookmarkEnd w:id="526"/>
      <w:bookmarkEnd w:id="527"/>
      <w:bookmarkEnd w:id="528"/>
      <w:bookmarkEnd w:id="529"/>
      <w:bookmarkEnd w:id="530"/>
      <w:bookmarkEnd w:id="531"/>
      <w:bookmarkEnd w:id="532"/>
      <w:bookmarkEnd w:id="533"/>
    </w:p>
    <w:p w14:paraId="4F19E86C">
      <w:pPr>
        <w:spacing w:line="360" w:lineRule="auto"/>
        <w:ind w:firstLine="420" w:firstLineChars="20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2.1.1</w:t>
      </w:r>
      <w:r>
        <w:rPr>
          <w:rFonts w:hint="eastAsia" w:ascii="宋体" w:hAnsi="宋体" w:eastAsia="宋体" w:cs="宋体"/>
          <w:color w:val="000000" w:themeColor="text1"/>
          <w14:textFill>
            <w14:solidFill>
              <w14:schemeClr w14:val="tx1"/>
            </w14:solidFill>
          </w14:textFill>
        </w:rPr>
        <w:t>资格评审标准：见评标办法前附表。</w:t>
      </w:r>
    </w:p>
    <w:p w14:paraId="2FF6657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2.1.2</w:t>
      </w:r>
      <w:r>
        <w:rPr>
          <w:rFonts w:hint="eastAsia" w:ascii="宋体" w:hAnsi="宋体" w:eastAsia="宋体" w:cs="宋体"/>
          <w:color w:val="000000" w:themeColor="text1"/>
          <w14:textFill>
            <w14:solidFill>
              <w14:schemeClr w14:val="tx1"/>
            </w14:solidFill>
          </w14:textFill>
        </w:rPr>
        <w:t>符合性评审标准：见评标办法前附表。</w:t>
      </w:r>
    </w:p>
    <w:p w14:paraId="1A9EF466">
      <w:pPr>
        <w:pStyle w:val="5"/>
        <w:spacing w:before="0" w:after="0" w:line="360" w:lineRule="auto"/>
        <w:rPr>
          <w:rFonts w:ascii="宋体"/>
          <w:color w:val="000000" w:themeColor="text1"/>
          <w:sz w:val="21"/>
          <w:szCs w:val="21"/>
          <w14:textFill>
            <w14:solidFill>
              <w14:schemeClr w14:val="tx1"/>
            </w14:solidFill>
          </w14:textFill>
        </w:rPr>
      </w:pPr>
      <w:bookmarkStart w:id="534" w:name="_Toc77116706"/>
      <w:bookmarkStart w:id="535" w:name="_Toc77658106"/>
      <w:bookmarkStart w:id="536" w:name="_Toc107396234"/>
      <w:bookmarkStart w:id="537" w:name="_Toc120282462"/>
      <w:bookmarkStart w:id="538" w:name="_Toc164432950"/>
      <w:bookmarkStart w:id="539" w:name="_Toc10988"/>
      <w:bookmarkStart w:id="540" w:name="_Toc70424889"/>
      <w:bookmarkStart w:id="541" w:name="_Toc77504096"/>
      <w:r>
        <w:rPr>
          <w:rFonts w:ascii="宋体" w:hAnsi="宋体" w:cs="宋体"/>
          <w:color w:val="000000" w:themeColor="text1"/>
          <w:sz w:val="21"/>
          <w:szCs w:val="21"/>
          <w14:textFill>
            <w14:solidFill>
              <w14:schemeClr w14:val="tx1"/>
            </w14:solidFill>
          </w14:textFill>
        </w:rPr>
        <w:t xml:space="preserve">2.2 </w:t>
      </w:r>
      <w:r>
        <w:rPr>
          <w:rFonts w:hint="eastAsia" w:ascii="宋体" w:hAnsi="宋体" w:cs="宋体"/>
          <w:color w:val="000000" w:themeColor="text1"/>
          <w:sz w:val="21"/>
          <w:szCs w:val="21"/>
          <w14:textFill>
            <w14:solidFill>
              <w14:schemeClr w14:val="tx1"/>
            </w14:solidFill>
          </w14:textFill>
        </w:rPr>
        <w:t>初步评审程序</w:t>
      </w:r>
      <w:bookmarkEnd w:id="534"/>
      <w:bookmarkEnd w:id="535"/>
      <w:bookmarkEnd w:id="536"/>
      <w:bookmarkEnd w:id="537"/>
      <w:bookmarkEnd w:id="538"/>
      <w:bookmarkEnd w:id="539"/>
      <w:bookmarkEnd w:id="540"/>
      <w:bookmarkEnd w:id="541"/>
    </w:p>
    <w:p w14:paraId="5F12BE0D">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2.2.1 </w:t>
      </w:r>
      <w:r>
        <w:rPr>
          <w:rFonts w:hint="eastAsia" w:ascii="宋体" w:hAnsi="宋体" w:eastAsia="宋体" w:cs="宋体"/>
          <w:color w:val="000000" w:themeColor="text1"/>
          <w14:textFill>
            <w14:solidFill>
              <w14:schemeClr w14:val="tx1"/>
            </w14:solidFill>
          </w14:textFill>
        </w:rPr>
        <w:t>评标委员会依据本章第</w:t>
      </w:r>
      <w:r>
        <w:rPr>
          <w:rFonts w:ascii="宋体" w:hAnsi="宋体" w:eastAsia="宋体" w:cs="宋体"/>
          <w:color w:val="000000" w:themeColor="text1"/>
          <w14:textFill>
            <w14:solidFill>
              <w14:schemeClr w14:val="tx1"/>
            </w14:solidFill>
          </w14:textFill>
        </w:rPr>
        <w:t>2.1</w:t>
      </w:r>
      <w:r>
        <w:rPr>
          <w:rFonts w:hint="eastAsia" w:ascii="宋体" w:hAnsi="宋体" w:eastAsia="宋体" w:cs="宋体"/>
          <w:color w:val="000000" w:themeColor="text1"/>
          <w14:textFill>
            <w14:solidFill>
              <w14:schemeClr w14:val="tx1"/>
            </w14:solidFill>
          </w14:textFill>
        </w:rPr>
        <w:t>款规定的标准对投标人递交的投标文件进行初步评审，判断投标文件的形式是否符合要求、投标人是否符合资格条件、投标文件是否实质性响应招标文件的要求。只有以上评审合格的投标文件才可通过初步评审。</w:t>
      </w:r>
    </w:p>
    <w:p w14:paraId="6D11E01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2.2.2 </w:t>
      </w:r>
      <w:r>
        <w:rPr>
          <w:rFonts w:hint="eastAsia" w:ascii="宋体" w:hAnsi="宋体" w:eastAsia="宋体" w:cs="宋体"/>
          <w:color w:val="000000" w:themeColor="text1"/>
          <w14:textFill>
            <w14:solidFill>
              <w14:schemeClr w14:val="tx1"/>
            </w14:solidFill>
          </w14:textFill>
        </w:rPr>
        <w:t>投标文件的形式或投标人资格不符合招标文件的要求、投标文件未实质性响应招标文件的要求，或投标文件中有含义不明确、同类问题表述不一致或有明细文字和计算错误的内容，评标委员会应要求投标人在规定时间内进行澄清、说明和补正。投标人澄清、说明和补正的内容应由法定代表人（单位负责人）或其授权的代理人签字或加盖单位章、澄清、说明和补正的内容作为投标文件的组成部分。</w:t>
      </w:r>
    </w:p>
    <w:p w14:paraId="61CFF89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2.2.3 </w:t>
      </w:r>
      <w:r>
        <w:rPr>
          <w:rFonts w:hint="eastAsia" w:ascii="宋体" w:hAnsi="宋体" w:eastAsia="宋体" w:cs="宋体"/>
          <w:color w:val="000000" w:themeColor="text1"/>
          <w14:textFill>
            <w14:solidFill>
              <w14:schemeClr w14:val="tx1"/>
            </w14:solidFill>
          </w14:textFill>
        </w:rPr>
        <w:t>经投标人澄清、说明和补正后仍不满足初步评审要求的投标文件（即投标文件不满足本章第</w:t>
      </w:r>
      <w:r>
        <w:rPr>
          <w:rFonts w:ascii="宋体" w:hAnsi="宋体" w:eastAsia="宋体" w:cs="宋体"/>
          <w:color w:val="000000" w:themeColor="text1"/>
          <w14:textFill>
            <w14:solidFill>
              <w14:schemeClr w14:val="tx1"/>
            </w14:solidFill>
          </w14:textFill>
        </w:rPr>
        <w:t>2.1</w:t>
      </w:r>
      <w:r>
        <w:rPr>
          <w:rFonts w:hint="eastAsia" w:ascii="宋体" w:hAnsi="宋体" w:eastAsia="宋体" w:cs="宋体"/>
          <w:color w:val="000000" w:themeColor="text1"/>
          <w14:textFill>
            <w14:solidFill>
              <w14:schemeClr w14:val="tx1"/>
            </w14:solidFill>
          </w14:textFill>
        </w:rPr>
        <w:t>款规定的任一项标准），或投标人有串通、弄虚作假、行贿等违法行为的，其投标文件将被视为无效。</w:t>
      </w:r>
    </w:p>
    <w:p w14:paraId="02800E3A">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542" w:name="_Toc164432951"/>
      <w:bookmarkStart w:id="543" w:name="_Toc77504097"/>
      <w:bookmarkStart w:id="544" w:name="_Toc107396235"/>
      <w:bookmarkStart w:id="545" w:name="_Toc70424890"/>
      <w:bookmarkStart w:id="546" w:name="_Toc77116707"/>
      <w:bookmarkStart w:id="547" w:name="_Toc120282463"/>
      <w:bookmarkStart w:id="548" w:name="_Toc77658107"/>
      <w:bookmarkStart w:id="549" w:name="_Toc11633"/>
      <w:r>
        <w:rPr>
          <w:rFonts w:ascii="宋体" w:hAnsi="宋体" w:eastAsia="宋体" w:cs="宋体"/>
          <w:color w:val="000000" w:themeColor="text1"/>
          <w:sz w:val="21"/>
          <w:szCs w:val="21"/>
          <w14:textFill>
            <w14:solidFill>
              <w14:schemeClr w14:val="tx1"/>
            </w14:solidFill>
          </w14:textFill>
        </w:rPr>
        <w:t xml:space="preserve">3. </w:t>
      </w:r>
      <w:r>
        <w:rPr>
          <w:rFonts w:hint="eastAsia" w:ascii="宋体" w:hAnsi="宋体" w:eastAsia="宋体" w:cs="宋体"/>
          <w:color w:val="000000" w:themeColor="text1"/>
          <w:sz w:val="21"/>
          <w:szCs w:val="21"/>
          <w14:textFill>
            <w14:solidFill>
              <w14:schemeClr w14:val="tx1"/>
            </w14:solidFill>
          </w14:textFill>
        </w:rPr>
        <w:t>详细评审标准和程序</w:t>
      </w:r>
      <w:bookmarkEnd w:id="542"/>
      <w:bookmarkEnd w:id="543"/>
      <w:bookmarkEnd w:id="544"/>
      <w:bookmarkEnd w:id="545"/>
      <w:bookmarkEnd w:id="546"/>
      <w:bookmarkEnd w:id="547"/>
      <w:bookmarkEnd w:id="548"/>
      <w:bookmarkEnd w:id="549"/>
    </w:p>
    <w:p w14:paraId="05AE6CFD">
      <w:pPr>
        <w:pStyle w:val="5"/>
        <w:spacing w:before="0" w:after="0" w:line="360" w:lineRule="auto"/>
        <w:rPr>
          <w:rFonts w:ascii="宋体"/>
          <w:color w:val="000000" w:themeColor="text1"/>
          <w:sz w:val="21"/>
          <w:szCs w:val="21"/>
          <w14:textFill>
            <w14:solidFill>
              <w14:schemeClr w14:val="tx1"/>
            </w14:solidFill>
          </w14:textFill>
        </w:rPr>
      </w:pPr>
      <w:bookmarkStart w:id="550" w:name="_Toc164432952"/>
      <w:bookmarkStart w:id="551" w:name="_Toc77504098"/>
      <w:bookmarkStart w:id="552" w:name="_Toc107396236"/>
      <w:bookmarkStart w:id="553" w:name="_Toc77116708"/>
      <w:bookmarkStart w:id="554" w:name="_Toc70424891"/>
      <w:bookmarkStart w:id="555" w:name="_Toc12803"/>
      <w:bookmarkStart w:id="556" w:name="_Toc77658108"/>
      <w:bookmarkStart w:id="557" w:name="_Toc120282464"/>
      <w:r>
        <w:rPr>
          <w:rFonts w:ascii="宋体" w:hAnsi="宋体" w:cs="宋体"/>
          <w:color w:val="000000" w:themeColor="text1"/>
          <w:sz w:val="21"/>
          <w:szCs w:val="21"/>
          <w14:textFill>
            <w14:solidFill>
              <w14:schemeClr w14:val="tx1"/>
            </w14:solidFill>
          </w14:textFill>
        </w:rPr>
        <w:t xml:space="preserve">3.1 </w:t>
      </w:r>
      <w:r>
        <w:rPr>
          <w:rFonts w:hint="eastAsia" w:ascii="宋体" w:hAnsi="宋体" w:cs="宋体"/>
          <w:color w:val="000000" w:themeColor="text1"/>
          <w:sz w:val="21"/>
          <w:szCs w:val="21"/>
          <w14:textFill>
            <w14:solidFill>
              <w14:schemeClr w14:val="tx1"/>
            </w14:solidFill>
          </w14:textFill>
        </w:rPr>
        <w:t>评标价确定</w:t>
      </w:r>
      <w:bookmarkEnd w:id="550"/>
      <w:bookmarkEnd w:id="551"/>
      <w:bookmarkEnd w:id="552"/>
      <w:bookmarkEnd w:id="553"/>
      <w:bookmarkEnd w:id="554"/>
      <w:bookmarkEnd w:id="555"/>
      <w:bookmarkEnd w:id="556"/>
      <w:bookmarkEnd w:id="557"/>
    </w:p>
    <w:p w14:paraId="0F97D5F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3.1.1 </w:t>
      </w:r>
      <w:r>
        <w:rPr>
          <w:rFonts w:hint="eastAsia" w:ascii="宋体" w:hAnsi="宋体" w:eastAsia="宋体" w:cs="宋体"/>
          <w:color w:val="000000" w:themeColor="text1"/>
          <w14:textFill>
            <w14:solidFill>
              <w14:schemeClr w14:val="tx1"/>
            </w14:solidFill>
          </w14:textFill>
        </w:rPr>
        <w:t>除评标办法前附表另有规定外，评标价以投标函中的大写含税价格为准。</w:t>
      </w:r>
    </w:p>
    <w:p w14:paraId="4EF7599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3.1.2 </w:t>
      </w:r>
      <w:r>
        <w:rPr>
          <w:rFonts w:hint="eastAsia" w:ascii="宋体" w:hAnsi="宋体" w:eastAsia="宋体" w:cs="宋体"/>
          <w:color w:val="000000" w:themeColor="text1"/>
          <w14:textFill>
            <w14:solidFill>
              <w14:schemeClr w14:val="tx1"/>
            </w14:solidFill>
          </w14:textFill>
        </w:rPr>
        <w:t>投标报价超过最高限价（如有）的，其投标文件将被视为无效。</w:t>
      </w:r>
    </w:p>
    <w:p w14:paraId="023467F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3.1.3 </w:t>
      </w:r>
      <w:r>
        <w:rPr>
          <w:rFonts w:hint="eastAsia" w:ascii="宋体" w:hAnsi="宋体" w:eastAsia="宋体" w:cs="宋体"/>
          <w:color w:val="000000" w:themeColor="text1"/>
          <w14:textFill>
            <w14:solidFill>
              <w14:schemeClr w14:val="tx1"/>
            </w14:solidFill>
          </w14:textFill>
        </w:rPr>
        <w:t>评标委员会经过对投标人的报价进行比较或基于专业经验认为某一投标人的报价过低，可能对其履约造成影响时，应当要求该投标人作出书面说明并提供相应的证明材料。投标人不能合理说明或者不能提供相应证明材料的，其投标文件将被视为无效。</w:t>
      </w:r>
    </w:p>
    <w:p w14:paraId="2F84F46D">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3.1.4 </w:t>
      </w:r>
      <w:r>
        <w:rPr>
          <w:rFonts w:hint="eastAsia" w:ascii="宋体" w:hAnsi="宋体" w:eastAsia="宋体" w:cs="宋体"/>
          <w:color w:val="000000" w:themeColor="text1"/>
          <w14:textFill>
            <w14:solidFill>
              <w14:schemeClr w14:val="tx1"/>
            </w14:solidFill>
          </w14:textFill>
        </w:rPr>
        <w:t>投标报价有算术错误或其他错误的，评标委员会按以下原则进行修正，并要求投标人对修正后的价格进行书面澄清确认。投标人拒不澄清确认的，其投标文件将被视为无效：</w:t>
      </w:r>
    </w:p>
    <w:p w14:paraId="1AA1CBF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）大写金额与小写金额不一致的，以大写金额为准；</w:t>
      </w:r>
    </w:p>
    <w:p w14:paraId="4C19E54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）总价金额与单价金额不一致的，以单价金额为准，但单价金额小数点有明显错误的除外；</w:t>
      </w:r>
    </w:p>
    <w:p w14:paraId="187E5B0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）报价表中合计报价与分项报价的合价不一致的，以各分项报价的合价累计数为准；</w:t>
      </w:r>
    </w:p>
    <w:p w14:paraId="427784F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）如果分项报价中存在缺漏项，且缺漏项内容不属于实质性偏差的，则视为缺漏项内容的价格已包含在其他分项报价中。</w:t>
      </w:r>
    </w:p>
    <w:p w14:paraId="7E340A7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当修正后的总报价高于原报价时，视同投标人报价错误产生少漏计费用，签订合同时由投标人承担，如评标委员会认为投标人无法承受少漏记费用，可以将报价作为异常低价处理；当修正后的总报价低于原报价时，签订合同时以修正后的报价为准。</w:t>
      </w:r>
    </w:p>
    <w:p w14:paraId="2D831755">
      <w:pPr>
        <w:pStyle w:val="5"/>
        <w:spacing w:before="0" w:after="0" w:line="360" w:lineRule="auto"/>
        <w:rPr>
          <w:rFonts w:ascii="宋体"/>
          <w:color w:val="000000" w:themeColor="text1"/>
          <w:sz w:val="21"/>
          <w:szCs w:val="21"/>
          <w14:textFill>
            <w14:solidFill>
              <w14:schemeClr w14:val="tx1"/>
            </w14:solidFill>
          </w14:textFill>
        </w:rPr>
      </w:pPr>
      <w:bookmarkStart w:id="558" w:name="_Toc77504099"/>
      <w:bookmarkStart w:id="559" w:name="_Toc77116709"/>
      <w:bookmarkStart w:id="560" w:name="_Toc4697"/>
      <w:bookmarkStart w:id="561" w:name="_Toc77658109"/>
      <w:bookmarkStart w:id="562" w:name="_Toc107396237"/>
      <w:bookmarkStart w:id="563" w:name="_Toc120282465"/>
      <w:bookmarkStart w:id="564" w:name="_Toc164432953"/>
      <w:bookmarkStart w:id="565" w:name="_Toc70424892"/>
      <w:r>
        <w:rPr>
          <w:rFonts w:ascii="宋体" w:hAnsi="宋体" w:cs="宋体"/>
          <w:color w:val="000000" w:themeColor="text1"/>
          <w:sz w:val="21"/>
          <w:szCs w:val="21"/>
          <w14:textFill>
            <w14:solidFill>
              <w14:schemeClr w14:val="tx1"/>
            </w14:solidFill>
          </w14:textFill>
        </w:rPr>
        <w:t xml:space="preserve">3.2 </w:t>
      </w:r>
      <w:r>
        <w:rPr>
          <w:rFonts w:hint="eastAsia" w:ascii="宋体" w:hAnsi="宋体" w:cs="宋体"/>
          <w:color w:val="000000" w:themeColor="text1"/>
          <w:sz w:val="21"/>
          <w:szCs w:val="21"/>
          <w14:textFill>
            <w14:solidFill>
              <w14:schemeClr w14:val="tx1"/>
            </w14:solidFill>
          </w14:textFill>
        </w:rPr>
        <w:t>综合评分和排序</w:t>
      </w:r>
      <w:bookmarkEnd w:id="558"/>
      <w:bookmarkEnd w:id="559"/>
      <w:bookmarkEnd w:id="560"/>
      <w:bookmarkEnd w:id="561"/>
      <w:bookmarkEnd w:id="562"/>
      <w:bookmarkEnd w:id="563"/>
      <w:bookmarkEnd w:id="564"/>
      <w:bookmarkEnd w:id="565"/>
    </w:p>
    <w:p w14:paraId="1922DB1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3.2.1 </w:t>
      </w:r>
      <w:r>
        <w:rPr>
          <w:rFonts w:hint="eastAsia" w:ascii="宋体" w:hAnsi="宋体" w:eastAsia="宋体" w:cs="宋体"/>
          <w:color w:val="000000" w:themeColor="text1"/>
          <w14:textFill>
            <w14:solidFill>
              <w14:schemeClr w14:val="tx1"/>
            </w14:solidFill>
          </w14:textFill>
        </w:rPr>
        <w:t>分值构成</w:t>
      </w:r>
    </w:p>
    <w:p w14:paraId="693BD89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）技术部分：见评标办法前附表；</w:t>
      </w:r>
    </w:p>
    <w:p w14:paraId="45309C4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商务</w:t>
      </w:r>
      <w:r>
        <w:rPr>
          <w:rFonts w:hint="eastAsia" w:ascii="宋体" w:hAnsi="宋体" w:eastAsia="宋体" w:cs="宋体"/>
          <w:color w:val="000000" w:themeColor="text1"/>
          <w14:textFill>
            <w14:solidFill>
              <w14:schemeClr w14:val="tx1"/>
            </w14:solidFill>
          </w14:textFill>
        </w:rPr>
        <w:t>部分：见评标办法前附表；</w:t>
      </w:r>
    </w:p>
    <w:p w14:paraId="37F0435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）投标报价：见评标办法前附表；</w:t>
      </w:r>
    </w:p>
    <w:p w14:paraId="175516F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）其他评分因素：见评标办法前附表。</w:t>
      </w:r>
    </w:p>
    <w:p w14:paraId="365E9C7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3.2.2 </w:t>
      </w:r>
      <w:r>
        <w:rPr>
          <w:rFonts w:hint="eastAsia" w:ascii="宋体" w:hAnsi="宋体" w:eastAsia="宋体" w:cs="宋体"/>
          <w:color w:val="000000" w:themeColor="text1"/>
          <w14:textFill>
            <w14:solidFill>
              <w14:schemeClr w14:val="tx1"/>
            </w14:solidFill>
          </w14:textFill>
        </w:rPr>
        <w:t>评标基准价计算</w:t>
      </w:r>
    </w:p>
    <w:p w14:paraId="66A5EE9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）评审价格：评审价格为按照本章第</w:t>
      </w:r>
      <w:r>
        <w:rPr>
          <w:rFonts w:ascii="宋体" w:hAnsi="宋体" w:eastAsia="宋体" w:cs="宋体"/>
          <w:color w:val="000000" w:themeColor="text1"/>
          <w14:textFill>
            <w14:solidFill>
              <w14:schemeClr w14:val="tx1"/>
            </w14:solidFill>
          </w14:textFill>
        </w:rPr>
        <w:t>3.1.1</w:t>
      </w:r>
      <w:r>
        <w:rPr>
          <w:rFonts w:hint="eastAsia" w:ascii="宋体" w:hAnsi="宋体" w:eastAsia="宋体" w:cs="宋体"/>
          <w:color w:val="000000" w:themeColor="text1"/>
          <w14:textFill>
            <w14:solidFill>
              <w14:schemeClr w14:val="tx1"/>
            </w14:solidFill>
          </w14:textFill>
        </w:rPr>
        <w:t>项规定确定的价格。</w:t>
      </w:r>
    </w:p>
    <w:p w14:paraId="06BF749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）评标基准价计算方法：见评标办法前附表。</w:t>
      </w:r>
    </w:p>
    <w:p w14:paraId="79E7CAB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3.2.3 </w:t>
      </w:r>
      <w:r>
        <w:rPr>
          <w:rFonts w:hint="eastAsia" w:ascii="宋体" w:hAnsi="宋体" w:eastAsia="宋体" w:cs="宋体"/>
          <w:color w:val="000000" w:themeColor="text1"/>
          <w14:textFill>
            <w14:solidFill>
              <w14:schemeClr w14:val="tx1"/>
            </w14:solidFill>
          </w14:textFill>
        </w:rPr>
        <w:t>评分标准</w:t>
      </w:r>
    </w:p>
    <w:p w14:paraId="4C58F23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（1）技术评分标准：见评标办法前附表；</w:t>
      </w:r>
    </w:p>
    <w:p w14:paraId="55D701F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商务</w:t>
      </w:r>
      <w:r>
        <w:rPr>
          <w:rFonts w:hint="eastAsia" w:ascii="宋体" w:hAnsi="宋体" w:eastAsia="宋体" w:cs="宋体"/>
          <w:color w:val="000000" w:themeColor="text1"/>
          <w14:textFill>
            <w14:solidFill>
              <w14:schemeClr w14:val="tx1"/>
            </w14:solidFill>
          </w14:textFill>
        </w:rPr>
        <w:t>评分标准：见评标办法前附表；</w:t>
      </w:r>
    </w:p>
    <w:p w14:paraId="0B506406">
      <w:pPr>
        <w:spacing w:line="360" w:lineRule="auto"/>
        <w:ind w:firstLine="42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）报价评分标准：见评标办法前附表</w:t>
      </w:r>
      <w:r>
        <w:rPr>
          <w:rFonts w:hint="eastAsia" w:ascii="宋体" w:hAnsi="宋体" w:eastAsia="宋体" w:cs="宋体"/>
          <w:color w:val="000000" w:themeColor="text1"/>
          <w:lang w:eastAsia="zh-CN"/>
          <w14:textFill>
            <w14:solidFill>
              <w14:schemeClr w14:val="tx1"/>
            </w14:solidFill>
          </w14:textFill>
        </w:rPr>
        <w:t>；</w:t>
      </w:r>
    </w:p>
    <w:p w14:paraId="2619F75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）其他因素评分标准：见评标办法前附表。</w:t>
      </w:r>
    </w:p>
    <w:p w14:paraId="4D31E70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3.2.4 </w:t>
      </w:r>
      <w:r>
        <w:rPr>
          <w:rFonts w:hint="eastAsia" w:ascii="宋体" w:hAnsi="宋体" w:eastAsia="宋体" w:cs="宋体"/>
          <w:color w:val="000000" w:themeColor="text1"/>
          <w14:textFill>
            <w14:solidFill>
              <w14:schemeClr w14:val="tx1"/>
            </w14:solidFill>
          </w14:textFill>
        </w:rPr>
        <w:t>评分。评标委员会成员按照评分标准独立对投标人的商务、技术和其他因素进行评分。报价评分由评标委员会统一计算。各项得分汇总后为该成员给投标人的评分总分。评分分值计算保留小数点后两位，小数点后第三位“四舍五入”。</w:t>
      </w:r>
    </w:p>
    <w:p w14:paraId="0E7889A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3.2.5 </w:t>
      </w:r>
      <w:r>
        <w:rPr>
          <w:rFonts w:hint="eastAsia" w:ascii="宋体" w:hAnsi="宋体" w:eastAsia="宋体" w:cs="宋体"/>
          <w:color w:val="000000" w:themeColor="text1"/>
          <w14:textFill>
            <w14:solidFill>
              <w14:schemeClr w14:val="tx1"/>
            </w14:solidFill>
          </w14:textFill>
        </w:rPr>
        <w:t>汇总。评标委员会汇总每个成员对投标人的评分总分，每个投标人的评分总分的算术平均值为投标人综合评分。</w:t>
      </w:r>
    </w:p>
    <w:p w14:paraId="41468A0A">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3.2.6 </w:t>
      </w:r>
      <w:r>
        <w:rPr>
          <w:rFonts w:hint="eastAsia" w:ascii="宋体" w:hAnsi="宋体" w:eastAsia="宋体" w:cs="宋体"/>
          <w:color w:val="000000" w:themeColor="text1"/>
          <w14:textFill>
            <w14:solidFill>
              <w14:schemeClr w14:val="tx1"/>
            </w14:solidFill>
          </w14:textFill>
        </w:rPr>
        <w:t>评标委员会对投标人综合评分进行比较后，按照投标人综合评分由高到低的顺序对投标人排序。综合评分相等时，以投标报价低的优先；投标报价也相等的，以技术得分高的优先；如果技术得分也相等，按照评标办法前附表的规定确定投标人优先顺序。</w:t>
      </w:r>
    </w:p>
    <w:p w14:paraId="4A2A7374">
      <w:pPr>
        <w:pStyle w:val="4"/>
        <w:spacing w:before="0" w:after="0" w:line="360" w:lineRule="auto"/>
        <w:rPr>
          <w:rFonts w:ascii="宋体" w:hAnsi="宋体" w:eastAsia="宋体" w:cs="Times New Roman"/>
          <w:color w:val="000000" w:themeColor="text1"/>
          <w:sz w:val="21"/>
          <w:szCs w:val="21"/>
          <w14:textFill>
            <w14:solidFill>
              <w14:schemeClr w14:val="tx1"/>
            </w14:solidFill>
          </w14:textFill>
        </w:rPr>
      </w:pPr>
      <w:bookmarkStart w:id="566" w:name="_Toc120282466"/>
      <w:bookmarkStart w:id="567" w:name="_Toc77658110"/>
      <w:bookmarkStart w:id="568" w:name="_Toc70424893"/>
      <w:bookmarkStart w:id="569" w:name="_Toc77116710"/>
      <w:bookmarkStart w:id="570" w:name="_Toc12262"/>
      <w:bookmarkStart w:id="571" w:name="_Toc164432954"/>
      <w:bookmarkStart w:id="572" w:name="_Toc107396238"/>
      <w:bookmarkStart w:id="573" w:name="_Toc77504100"/>
      <w:r>
        <w:rPr>
          <w:rFonts w:ascii="宋体" w:hAnsi="宋体" w:eastAsia="宋体" w:cs="宋体"/>
          <w:color w:val="000000" w:themeColor="text1"/>
          <w:sz w:val="21"/>
          <w:szCs w:val="21"/>
          <w14:textFill>
            <w14:solidFill>
              <w14:schemeClr w14:val="tx1"/>
            </w14:solidFill>
          </w14:textFill>
        </w:rPr>
        <w:t xml:space="preserve">4. </w:t>
      </w:r>
      <w:r>
        <w:rPr>
          <w:rFonts w:hint="eastAsia" w:ascii="宋体" w:hAnsi="宋体" w:eastAsia="宋体" w:cs="宋体"/>
          <w:color w:val="000000" w:themeColor="text1"/>
          <w:sz w:val="21"/>
          <w:szCs w:val="21"/>
          <w14:textFill>
            <w14:solidFill>
              <w14:schemeClr w14:val="tx1"/>
            </w14:solidFill>
          </w14:textFill>
        </w:rPr>
        <w:t>评审结果</w:t>
      </w:r>
      <w:bookmarkEnd w:id="566"/>
      <w:bookmarkEnd w:id="567"/>
      <w:bookmarkEnd w:id="568"/>
      <w:bookmarkEnd w:id="569"/>
      <w:bookmarkEnd w:id="570"/>
      <w:bookmarkEnd w:id="571"/>
      <w:bookmarkEnd w:id="572"/>
      <w:bookmarkEnd w:id="573"/>
    </w:p>
    <w:p w14:paraId="599C1077">
      <w:pPr>
        <w:pStyle w:val="5"/>
        <w:spacing w:before="0" w:after="0" w:line="360" w:lineRule="auto"/>
        <w:rPr>
          <w:rFonts w:ascii="宋体"/>
          <w:color w:val="000000" w:themeColor="text1"/>
          <w:sz w:val="21"/>
          <w:szCs w:val="21"/>
          <w14:textFill>
            <w14:solidFill>
              <w14:schemeClr w14:val="tx1"/>
            </w14:solidFill>
          </w14:textFill>
        </w:rPr>
      </w:pPr>
      <w:bookmarkStart w:id="574" w:name="_Toc77504101"/>
      <w:bookmarkStart w:id="575" w:name="_Toc16765"/>
      <w:bookmarkStart w:id="576" w:name="_Toc70424894"/>
      <w:bookmarkStart w:id="577" w:name="_Toc164432955"/>
      <w:bookmarkStart w:id="578" w:name="_Toc77658111"/>
      <w:bookmarkStart w:id="579" w:name="_Toc120282467"/>
      <w:bookmarkStart w:id="580" w:name="_Toc77116711"/>
      <w:bookmarkStart w:id="581" w:name="_Toc107396239"/>
      <w:r>
        <w:rPr>
          <w:rFonts w:ascii="宋体" w:hAnsi="宋体" w:cs="宋体"/>
          <w:color w:val="000000" w:themeColor="text1"/>
          <w:sz w:val="21"/>
          <w:szCs w:val="21"/>
          <w14:textFill>
            <w14:solidFill>
              <w14:schemeClr w14:val="tx1"/>
            </w14:solidFill>
          </w14:textFill>
        </w:rPr>
        <w:t xml:space="preserve">4.1 </w:t>
      </w:r>
      <w:r>
        <w:rPr>
          <w:rFonts w:hint="eastAsia" w:ascii="宋体" w:hAnsi="宋体" w:cs="宋体"/>
          <w:color w:val="000000" w:themeColor="text1"/>
          <w:sz w:val="21"/>
          <w:szCs w:val="21"/>
          <w14:textFill>
            <w14:solidFill>
              <w14:schemeClr w14:val="tx1"/>
            </w14:solidFill>
          </w14:textFill>
        </w:rPr>
        <w:t>提交书面评标报告</w:t>
      </w:r>
      <w:bookmarkEnd w:id="574"/>
      <w:bookmarkEnd w:id="575"/>
      <w:bookmarkEnd w:id="576"/>
      <w:bookmarkEnd w:id="577"/>
      <w:bookmarkEnd w:id="578"/>
      <w:bookmarkEnd w:id="579"/>
      <w:bookmarkEnd w:id="580"/>
      <w:bookmarkEnd w:id="581"/>
    </w:p>
    <w:p w14:paraId="5330919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评标委员会完成评标后，应当向采购人递交书面评标报告。</w:t>
      </w:r>
    </w:p>
    <w:p w14:paraId="094DA745">
      <w:pPr>
        <w:pStyle w:val="5"/>
        <w:spacing w:before="0" w:after="0" w:line="360" w:lineRule="auto"/>
        <w:rPr>
          <w:rFonts w:ascii="宋体"/>
          <w:color w:val="000000" w:themeColor="text1"/>
          <w:sz w:val="21"/>
          <w:szCs w:val="21"/>
          <w14:textFill>
            <w14:solidFill>
              <w14:schemeClr w14:val="tx1"/>
            </w14:solidFill>
          </w14:textFill>
        </w:rPr>
      </w:pPr>
      <w:bookmarkStart w:id="582" w:name="_Toc77658112"/>
      <w:bookmarkStart w:id="583" w:name="_Toc164432956"/>
      <w:bookmarkStart w:id="584" w:name="_Toc7215"/>
      <w:bookmarkStart w:id="585" w:name="_Toc107396240"/>
      <w:bookmarkStart w:id="586" w:name="_Toc77116712"/>
      <w:bookmarkStart w:id="587" w:name="_Toc120282468"/>
      <w:bookmarkStart w:id="588" w:name="_Toc70424895"/>
      <w:bookmarkStart w:id="589" w:name="_Toc77504102"/>
      <w:r>
        <w:rPr>
          <w:rFonts w:ascii="宋体" w:hAnsi="宋体" w:cs="宋体"/>
          <w:color w:val="000000" w:themeColor="text1"/>
          <w:sz w:val="21"/>
          <w:szCs w:val="21"/>
          <w14:textFill>
            <w14:solidFill>
              <w14:schemeClr w14:val="tx1"/>
            </w14:solidFill>
          </w14:textFill>
        </w:rPr>
        <w:t xml:space="preserve">4.2 </w:t>
      </w:r>
      <w:r>
        <w:rPr>
          <w:rFonts w:hint="eastAsia" w:ascii="宋体" w:hAnsi="宋体" w:cs="宋体"/>
          <w:color w:val="000000" w:themeColor="text1"/>
          <w:sz w:val="21"/>
          <w:szCs w:val="21"/>
          <w14:textFill>
            <w14:solidFill>
              <w14:schemeClr w14:val="tx1"/>
            </w14:solidFill>
          </w14:textFill>
        </w:rPr>
        <w:t>推荐中标候选人排序要求及数量</w:t>
      </w:r>
      <w:bookmarkEnd w:id="582"/>
      <w:bookmarkEnd w:id="583"/>
      <w:bookmarkEnd w:id="584"/>
      <w:bookmarkEnd w:id="585"/>
      <w:bookmarkEnd w:id="586"/>
      <w:bookmarkEnd w:id="587"/>
      <w:bookmarkEnd w:id="588"/>
      <w:bookmarkEnd w:id="589"/>
    </w:p>
    <w:p w14:paraId="0316C701">
      <w:pPr>
        <w:spacing w:line="360" w:lineRule="auto"/>
        <w:ind w:firstLine="420" w:firstLineChars="200"/>
        <w:jc w:val="left"/>
        <w:rPr>
          <w:rFonts w:ascii="宋体" w:hAnsi="宋体" w:cs="宋体"/>
          <w:color w:val="000000" w:themeColor="text1"/>
          <w:sz w:val="36"/>
          <w:szCs w:val="36"/>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评标委员会应在书面评标报告中按照得分由高到低的顺序向采购人推荐中标候选人，并标明排序。中标候选人的人数见第二章“投标人须知”。</w:t>
      </w:r>
      <w:r>
        <w:rPr>
          <w:rFonts w:hint="eastAsia" w:ascii="宋体" w:hAnsi="宋体" w:eastAsia="宋体" w:cs="宋体"/>
          <w:color w:val="000000" w:themeColor="text1"/>
          <w14:textFill>
            <w14:solidFill>
              <w14:schemeClr w14:val="tx1"/>
            </w14:solidFill>
          </w14:textFill>
        </w:rPr>
        <w:br w:type="page"/>
      </w:r>
      <w:bookmarkStart w:id="590" w:name="_Toc164432957"/>
      <w:r>
        <w:rPr>
          <w:rFonts w:hint="eastAsia" w:ascii="宋体" w:hAnsi="宋体"/>
          <w:color w:val="000000" w:themeColor="text1"/>
          <w14:textFill>
            <w14:solidFill>
              <w14:schemeClr w14:val="tx1"/>
            </w14:solidFill>
          </w14:textFill>
        </w:rPr>
        <w:t xml:space="preserve">                                 </w:t>
      </w:r>
      <w:r>
        <w:rPr>
          <w:rFonts w:hint="eastAsia" w:ascii="宋体" w:hAnsi="宋体" w:eastAsia="宋体" w:cs="宋体"/>
          <w:b/>
          <w:bCs/>
          <w:color w:val="000000" w:themeColor="text1"/>
          <w:kern w:val="44"/>
          <w:sz w:val="36"/>
          <w:szCs w:val="36"/>
          <w14:textFill>
            <w14:solidFill>
              <w14:schemeClr w14:val="tx1"/>
            </w14:solidFill>
          </w14:textFill>
        </w:rPr>
        <w:t>第四章 合同草案</w:t>
      </w:r>
      <w:bookmarkEnd w:id="590"/>
      <w:bookmarkStart w:id="591" w:name="_Toc331685784"/>
    </w:p>
    <w:p w14:paraId="4E63153D">
      <w:pPr>
        <w:widowControl/>
        <w:spacing w:line="700" w:lineRule="exact"/>
        <w:jc w:val="center"/>
        <w:rPr>
          <w:rFonts w:hint="eastAsia" w:ascii="宋体" w:hAnsi="宋体" w:eastAsia="宋体" w:cs="宋体"/>
          <w:b/>
        </w:rPr>
      </w:pPr>
      <w:r>
        <w:rPr>
          <w:rFonts w:hint="eastAsia" w:ascii="宋体" w:hAnsi="宋体" w:cs="宋体"/>
        </w:rPr>
        <w:t>（</w:t>
      </w:r>
      <w:r>
        <w:rPr>
          <w:rFonts w:hint="eastAsia" w:ascii="宋体" w:hAnsi="宋体" w:eastAsia="宋体" w:cs="宋体"/>
        </w:rPr>
        <w:t>以下合同内容仅供参考，具体以甲乙双方协商签订的合同内容为准）</w:t>
      </w:r>
      <w:bookmarkStart w:id="592" w:name="_Toc12847"/>
      <w:bookmarkEnd w:id="592"/>
      <w:bookmarkStart w:id="593" w:name="_Toc31034"/>
      <w:bookmarkEnd w:id="593"/>
    </w:p>
    <w:p w14:paraId="7C24BB30">
      <w:pPr>
        <w:spacing w:before="150" w:line="224" w:lineRule="auto"/>
        <w:jc w:val="center"/>
        <w:outlineLvl w:val="0"/>
        <w:rPr>
          <w:rFonts w:hint="eastAsia" w:ascii="宋体" w:hAnsi="宋体" w:eastAsia="宋体" w:cs="宋体"/>
          <w:color w:val="auto"/>
          <w:spacing w:val="9"/>
          <w:sz w:val="72"/>
          <w:szCs w:val="72"/>
          <w:highlight w:val="none"/>
        </w:rPr>
      </w:pPr>
    </w:p>
    <w:p w14:paraId="48621AE7">
      <w:pPr>
        <w:spacing w:before="150" w:line="224" w:lineRule="auto"/>
        <w:jc w:val="center"/>
        <w:outlineLvl w:val="0"/>
        <w:rPr>
          <w:rFonts w:hint="eastAsia" w:ascii="宋体" w:hAnsi="宋体" w:eastAsia="宋体" w:cs="宋体"/>
          <w:color w:val="auto"/>
          <w:spacing w:val="9"/>
          <w:sz w:val="60"/>
          <w:szCs w:val="60"/>
          <w:highlight w:val="none"/>
        </w:rPr>
      </w:pPr>
    </w:p>
    <w:p w14:paraId="4E1D734C">
      <w:pPr>
        <w:spacing w:before="150" w:line="224" w:lineRule="auto"/>
        <w:jc w:val="center"/>
        <w:outlineLvl w:val="0"/>
        <w:rPr>
          <w:rFonts w:hint="eastAsia" w:ascii="宋体" w:hAnsi="宋体" w:eastAsia="宋体" w:cs="宋体"/>
          <w:color w:val="auto"/>
          <w:spacing w:val="9"/>
          <w:sz w:val="60"/>
          <w:szCs w:val="60"/>
          <w:highlight w:val="none"/>
        </w:rPr>
      </w:pPr>
      <w:r>
        <w:rPr>
          <w:rFonts w:hint="eastAsia" w:ascii="宋体" w:hAnsi="宋体" w:eastAsia="宋体" w:cs="宋体"/>
          <w:color w:val="auto"/>
          <w:spacing w:val="9"/>
          <w:sz w:val="60"/>
          <w:szCs w:val="60"/>
          <w:highlight w:val="none"/>
        </w:rPr>
        <w:t>政府采购合同</w:t>
      </w:r>
    </w:p>
    <w:p w14:paraId="43F22325">
      <w:pPr>
        <w:pStyle w:val="16"/>
        <w:jc w:val="center"/>
        <w:rPr>
          <w:rFonts w:hint="eastAsia" w:ascii="宋体" w:hAnsi="宋体" w:eastAsia="宋体" w:cs="宋体"/>
          <w:color w:val="auto"/>
          <w:sz w:val="28"/>
          <w:szCs w:val="18"/>
          <w:highlight w:val="none"/>
        </w:rPr>
      </w:pPr>
      <w:r>
        <w:rPr>
          <w:rFonts w:hint="eastAsia" w:ascii="宋体" w:hAnsi="宋体" w:eastAsia="宋体" w:cs="宋体"/>
          <w:color w:val="auto"/>
          <w:sz w:val="28"/>
          <w:szCs w:val="18"/>
          <w:highlight w:val="none"/>
        </w:rPr>
        <w:t>（电子交易项目适用）</w:t>
      </w:r>
    </w:p>
    <w:p w14:paraId="03E9B27B">
      <w:pPr>
        <w:pStyle w:val="16"/>
        <w:spacing w:line="262" w:lineRule="auto"/>
        <w:rPr>
          <w:rFonts w:hint="eastAsia" w:ascii="宋体" w:hAnsi="宋体" w:eastAsia="宋体" w:cs="宋体"/>
          <w:color w:val="auto"/>
          <w:sz w:val="18"/>
          <w:szCs w:val="18"/>
          <w:highlight w:val="none"/>
        </w:rPr>
      </w:pPr>
    </w:p>
    <w:p w14:paraId="291563AD">
      <w:pPr>
        <w:pStyle w:val="16"/>
        <w:spacing w:line="263" w:lineRule="auto"/>
        <w:rPr>
          <w:rFonts w:hint="eastAsia" w:ascii="宋体" w:hAnsi="宋体" w:eastAsia="宋体" w:cs="宋体"/>
          <w:color w:val="auto"/>
          <w:sz w:val="18"/>
          <w:szCs w:val="18"/>
          <w:highlight w:val="none"/>
        </w:rPr>
      </w:pPr>
    </w:p>
    <w:p w14:paraId="687A6F42">
      <w:pPr>
        <w:spacing w:before="331" w:beforeLines="100" w:after="331" w:afterLines="100" w:line="480" w:lineRule="auto"/>
        <w:ind w:firstLine="2208" w:firstLineChars="800"/>
        <w:rPr>
          <w:rFonts w:hint="eastAsia" w:ascii="宋体" w:hAnsi="宋体" w:eastAsia="宋体" w:cs="宋体"/>
          <w:color w:val="auto"/>
          <w:sz w:val="28"/>
          <w:szCs w:val="28"/>
          <w:highlight w:val="none"/>
          <w:u w:val="single"/>
        </w:rPr>
      </w:pPr>
      <w:r>
        <w:rPr>
          <w:rFonts w:hint="eastAsia" w:ascii="宋体" w:hAnsi="宋体" w:eastAsia="宋体" w:cs="宋体"/>
          <w:color w:val="auto"/>
          <w:spacing w:val="-2"/>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pacing w:val="-10"/>
          <w:sz w:val="28"/>
          <w:szCs w:val="28"/>
          <w:highlight w:val="none"/>
        </w:rPr>
        <w:t xml:space="preserve"> </w:t>
      </w:r>
    </w:p>
    <w:p w14:paraId="4C1CE3F0">
      <w:pPr>
        <w:spacing w:before="331" w:beforeLines="100" w:after="331" w:afterLines="100" w:line="480" w:lineRule="auto"/>
        <w:ind w:firstLine="2240" w:firstLineChars="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pacing w:val="-10"/>
          <w:sz w:val="28"/>
          <w:szCs w:val="28"/>
          <w:highlight w:val="none"/>
        </w:rPr>
        <w:t xml:space="preserve"> </w:t>
      </w:r>
      <w:r>
        <w:rPr>
          <w:rFonts w:hint="eastAsia" w:ascii="宋体" w:hAnsi="宋体" w:eastAsia="宋体" w:cs="宋体"/>
          <w:color w:val="auto"/>
          <w:sz w:val="28"/>
          <w:szCs w:val="28"/>
          <w:highlight w:val="none"/>
        </w:rPr>
        <w:t>（系统编号）</w:t>
      </w:r>
    </w:p>
    <w:p w14:paraId="115F8DB7">
      <w:pPr>
        <w:pStyle w:val="16"/>
        <w:spacing w:before="331" w:beforeLines="100" w:after="331" w:afterLines="100" w:line="48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（自编号，如有）</w:t>
      </w:r>
    </w:p>
    <w:p w14:paraId="485C5C97">
      <w:pPr>
        <w:spacing w:before="331" w:beforeLines="100" w:after="331" w:afterLines="100" w:line="480" w:lineRule="auto"/>
        <w:ind w:firstLine="2224" w:firstLineChars="800"/>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甲    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pacing w:val="-10"/>
          <w:sz w:val="28"/>
          <w:szCs w:val="28"/>
          <w:highlight w:val="none"/>
        </w:rPr>
        <w:t xml:space="preserve"> </w:t>
      </w:r>
      <w:r>
        <w:rPr>
          <w:rFonts w:hint="eastAsia" w:ascii="宋体" w:hAnsi="宋体" w:eastAsia="宋体" w:cs="宋体"/>
          <w:color w:val="auto"/>
          <w:sz w:val="28"/>
          <w:szCs w:val="28"/>
          <w:highlight w:val="none"/>
        </w:rPr>
        <w:t xml:space="preserve"> </w:t>
      </w:r>
    </w:p>
    <w:p w14:paraId="6A64A244">
      <w:pPr>
        <w:spacing w:before="331" w:beforeLines="100" w:after="331" w:afterLines="100" w:line="480" w:lineRule="auto"/>
        <w:ind w:firstLine="2240" w:firstLineChars="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    方： </w:t>
      </w:r>
      <w:r>
        <w:rPr>
          <w:rFonts w:hint="eastAsia" w:ascii="宋体" w:hAnsi="宋体" w:eastAsia="宋体" w:cs="宋体"/>
          <w:color w:val="auto"/>
          <w:sz w:val="28"/>
          <w:szCs w:val="28"/>
          <w:highlight w:val="none"/>
          <w:u w:val="single"/>
        </w:rPr>
        <w:t xml:space="preserve">                   </w:t>
      </w:r>
    </w:p>
    <w:p w14:paraId="09E160F7">
      <w:pPr>
        <w:spacing w:after="240"/>
        <w:rPr>
          <w:rFonts w:hint="eastAsia" w:ascii="宋体" w:hAnsi="宋体" w:eastAsia="宋体" w:cs="宋体"/>
          <w:color w:val="auto"/>
          <w:sz w:val="18"/>
          <w:szCs w:val="18"/>
          <w:highlight w:val="none"/>
        </w:rPr>
      </w:pPr>
      <w:r>
        <w:rPr>
          <w:rFonts w:hint="eastAsia" w:ascii="宋体" w:hAnsi="宋体" w:eastAsia="宋体" w:cs="宋体"/>
          <w:b/>
          <w:color w:val="auto"/>
          <w:highlight w:val="none"/>
        </w:rPr>
        <w:br w:type="page"/>
      </w:r>
    </w:p>
    <w:p w14:paraId="10ABC854">
      <w:pPr>
        <w:keepNext w:val="0"/>
        <w:keepLines w:val="0"/>
        <w:pageBreakBefore w:val="0"/>
        <w:widowControl/>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1"/>
          <w:szCs w:val="21"/>
          <w:highlight w:val="none"/>
        </w:rPr>
      </w:pPr>
    </w:p>
    <w:p w14:paraId="23B1845A">
      <w:pPr>
        <w:keepNext w:val="0"/>
        <w:keepLines w:val="0"/>
        <w:pageBreakBefore w:val="0"/>
        <w:widowControl/>
        <w:kinsoku/>
        <w:wordWrap/>
        <w:overflowPunct/>
        <w:topLinePunct w:val="0"/>
        <w:autoSpaceDE/>
        <w:autoSpaceDN/>
        <w:bidi w:val="0"/>
        <w:adjustRightInd/>
        <w:spacing w:after="240" w:line="360"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甲方（采购人公章） 名称：</w:t>
      </w:r>
      <w:r>
        <w:rPr>
          <w:rFonts w:hint="eastAsia" w:ascii="宋体" w:hAnsi="宋体" w:eastAsia="宋体" w:cs="宋体"/>
          <w:color w:val="auto"/>
          <w:kern w:val="0"/>
          <w:sz w:val="22"/>
          <w:szCs w:val="22"/>
          <w:highlight w:val="none"/>
          <w:lang w:val="en-US" w:eastAsia="zh-CN"/>
        </w:rPr>
        <w:t>威信县中医医院</w:t>
      </w:r>
    </w:p>
    <w:p w14:paraId="2F1E09AF">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地址：</w:t>
      </w:r>
      <w:r>
        <w:rPr>
          <w:rFonts w:hint="eastAsia" w:ascii="宋体" w:hAnsi="宋体" w:eastAsia="宋体" w:cs="宋体"/>
          <w:color w:val="auto"/>
          <w:kern w:val="0"/>
          <w:sz w:val="22"/>
          <w:szCs w:val="22"/>
          <w:highlight w:val="none"/>
          <w:lang w:val="en-US" w:eastAsia="zh-CN"/>
        </w:rPr>
        <w:t xml:space="preserve"> </w:t>
      </w:r>
    </w:p>
    <w:p w14:paraId="7613484E">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邮编：</w:t>
      </w:r>
    </w:p>
    <w:p w14:paraId="107F10DC">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法定代表人或委托代理人：</w:t>
      </w:r>
    </w:p>
    <w:p w14:paraId="46B5FCF1">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项目（技术）负责人：</w:t>
      </w:r>
    </w:p>
    <w:p w14:paraId="0F2F9C5D">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电话：</w:t>
      </w:r>
    </w:p>
    <w:p w14:paraId="1C447684">
      <w:pPr>
        <w:keepNext w:val="0"/>
        <w:keepLines w:val="0"/>
        <w:pageBreakBefore w:val="0"/>
        <w:widowControl/>
        <w:tabs>
          <w:tab w:val="left" w:pos="1657"/>
        </w:tabs>
        <w:kinsoku/>
        <w:wordWrap/>
        <w:overflowPunct/>
        <w:topLinePunct w:val="0"/>
        <w:autoSpaceDE/>
        <w:autoSpaceDN/>
        <w:bidi w:val="0"/>
        <w:adjustRightInd/>
        <w:spacing w:after="240" w:line="360" w:lineRule="auto"/>
        <w:ind w:firstLine="2420" w:firstLineChars="11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签订日期：</w:t>
      </w:r>
    </w:p>
    <w:p w14:paraId="70982E91">
      <w:pPr>
        <w:keepNext w:val="0"/>
        <w:keepLines w:val="0"/>
        <w:pageBreakBefore w:val="0"/>
        <w:widowControl/>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p>
    <w:p w14:paraId="3C44916C">
      <w:pPr>
        <w:keepNext w:val="0"/>
        <w:keepLines w:val="0"/>
        <w:pageBreakBefore w:val="0"/>
        <w:widowControl/>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p>
    <w:p w14:paraId="689A2545">
      <w:pPr>
        <w:keepNext w:val="0"/>
        <w:keepLines w:val="0"/>
        <w:pageBreakBefore w:val="0"/>
        <w:widowControl/>
        <w:kinsoku/>
        <w:wordWrap/>
        <w:overflowPunct/>
        <w:topLinePunct w:val="0"/>
        <w:autoSpaceDE/>
        <w:autoSpaceDN/>
        <w:bidi w:val="0"/>
        <w:adjustRightInd/>
        <w:spacing w:after="240" w:line="360" w:lineRule="auto"/>
        <w:ind w:firstLine="220" w:firstLineChars="1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乙方（供应商公章）名称：</w:t>
      </w:r>
    </w:p>
    <w:p w14:paraId="1902C731">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地址：</w:t>
      </w:r>
    </w:p>
    <w:p w14:paraId="3D5B2CD2">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邮编：</w:t>
      </w:r>
    </w:p>
    <w:p w14:paraId="5CD50B64">
      <w:pPr>
        <w:keepNext w:val="0"/>
        <w:keepLines w:val="0"/>
        <w:pageBreakBefore w:val="0"/>
        <w:widowControl/>
        <w:tabs>
          <w:tab w:val="left" w:pos="1657"/>
        </w:tabs>
        <w:kinsoku/>
        <w:wordWrap/>
        <w:overflowPunct/>
        <w:topLinePunct w:val="0"/>
        <w:autoSpaceDE/>
        <w:autoSpaceDN/>
        <w:bidi w:val="0"/>
        <w:adjustRightInd/>
        <w:spacing w:after="240" w:line="360" w:lineRule="auto"/>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    法定代表人或委托代理人：          </w:t>
      </w:r>
    </w:p>
    <w:p w14:paraId="1CEB0E7D">
      <w:pPr>
        <w:keepNext w:val="0"/>
        <w:keepLines w:val="0"/>
        <w:pageBreakBefore w:val="0"/>
        <w:widowControl/>
        <w:tabs>
          <w:tab w:val="left" w:pos="1657"/>
        </w:tabs>
        <w:kinsoku/>
        <w:wordWrap/>
        <w:overflowPunct/>
        <w:topLinePunct w:val="0"/>
        <w:autoSpaceDE/>
        <w:autoSpaceDN/>
        <w:bidi w:val="0"/>
        <w:adjustRightInd/>
        <w:spacing w:after="240" w:line="360" w:lineRule="auto"/>
        <w:ind w:firstLine="2420" w:firstLineChars="11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经办人：</w:t>
      </w:r>
    </w:p>
    <w:p w14:paraId="37221265">
      <w:pPr>
        <w:keepNext w:val="0"/>
        <w:keepLines w:val="0"/>
        <w:pageBreakBefore w:val="0"/>
        <w:widowControl/>
        <w:tabs>
          <w:tab w:val="left" w:pos="1657"/>
        </w:tabs>
        <w:kinsoku/>
        <w:wordWrap/>
        <w:overflowPunct/>
        <w:topLinePunct w:val="0"/>
        <w:autoSpaceDE/>
        <w:autoSpaceDN/>
        <w:bidi w:val="0"/>
        <w:adjustRightInd/>
        <w:spacing w:after="240" w:line="360" w:lineRule="auto"/>
        <w:ind w:firstLine="2420" w:firstLineChars="11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电话： </w:t>
      </w:r>
    </w:p>
    <w:p w14:paraId="3D1D99F9">
      <w:pPr>
        <w:keepNext w:val="0"/>
        <w:keepLines w:val="0"/>
        <w:pageBreakBefore w:val="0"/>
        <w:widowControl/>
        <w:tabs>
          <w:tab w:val="left" w:pos="1657"/>
        </w:tabs>
        <w:kinsoku/>
        <w:wordWrap/>
        <w:overflowPunct/>
        <w:topLinePunct w:val="0"/>
        <w:autoSpaceDE/>
        <w:autoSpaceDN/>
        <w:bidi w:val="0"/>
        <w:adjustRightInd/>
        <w:spacing w:after="240" w:line="360" w:lineRule="auto"/>
        <w:ind w:firstLine="2420" w:firstLineChars="11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签订日期：</w:t>
      </w:r>
    </w:p>
    <w:p w14:paraId="6D600C34">
      <w:pPr>
        <w:keepNext w:val="0"/>
        <w:keepLines w:val="0"/>
        <w:pageBreakBefore w:val="0"/>
        <w:widowControl/>
        <w:kinsoku/>
        <w:wordWrap/>
        <w:overflowPunct/>
        <w:topLinePunct w:val="0"/>
        <w:autoSpaceDE/>
        <w:autoSpaceDN/>
        <w:bidi w:val="0"/>
        <w:adjustRightInd/>
        <w:spacing w:after="240" w:line="360" w:lineRule="auto"/>
        <w:ind w:firstLine="420" w:firstLineChars="200"/>
        <w:textAlignment w:val="auto"/>
        <w:rPr>
          <w:rFonts w:hint="eastAsia" w:ascii="宋体" w:hAnsi="宋体" w:eastAsia="宋体" w:cs="宋体"/>
          <w:color w:val="auto"/>
          <w:kern w:val="0"/>
          <w:sz w:val="21"/>
          <w:szCs w:val="21"/>
          <w:highlight w:val="none"/>
        </w:rPr>
      </w:pPr>
    </w:p>
    <w:p w14:paraId="1B547D13">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59BAD208">
      <w:pPr>
        <w:bidi w:val="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合同前附表</w:t>
      </w:r>
    </w:p>
    <w:tbl>
      <w:tblPr>
        <w:tblStyle w:val="185"/>
        <w:tblW w:w="89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2"/>
        <w:gridCol w:w="8183"/>
      </w:tblGrid>
      <w:tr w14:paraId="1C8CF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jc w:val="center"/>
        </w:trPr>
        <w:tc>
          <w:tcPr>
            <w:tcW w:w="762" w:type="dxa"/>
            <w:vAlign w:val="center"/>
          </w:tcPr>
          <w:p w14:paraId="6798F35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序号</w:t>
            </w:r>
          </w:p>
        </w:tc>
        <w:tc>
          <w:tcPr>
            <w:tcW w:w="8183" w:type="dxa"/>
            <w:vAlign w:val="center"/>
          </w:tcPr>
          <w:p w14:paraId="058411B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内容</w:t>
            </w:r>
          </w:p>
        </w:tc>
      </w:tr>
      <w:tr w14:paraId="788BC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jc w:val="center"/>
        </w:trPr>
        <w:tc>
          <w:tcPr>
            <w:tcW w:w="762" w:type="dxa"/>
            <w:vAlign w:val="center"/>
          </w:tcPr>
          <w:p w14:paraId="5493FD2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8183" w:type="dxa"/>
            <w:vAlign w:val="center"/>
          </w:tcPr>
          <w:p w14:paraId="7D3511A0">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█交货地点：</w:t>
            </w:r>
            <w:r>
              <w:rPr>
                <w:rFonts w:hint="eastAsia" w:ascii="宋体" w:hAnsi="宋体" w:eastAsia="宋体" w:cs="宋体"/>
                <w:b w:val="0"/>
                <w:bCs w:val="0"/>
                <w:color w:val="auto"/>
                <w:sz w:val="21"/>
                <w:szCs w:val="21"/>
                <w:highlight w:val="none"/>
                <w:lang w:val="en-US" w:eastAsia="zh-CN"/>
              </w:rPr>
              <w:t>威信县中医医院</w:t>
            </w:r>
            <w:r>
              <w:rPr>
                <w:rFonts w:hint="eastAsia" w:ascii="宋体" w:hAnsi="宋体" w:eastAsia="宋体" w:cs="宋体"/>
                <w:b w:val="0"/>
                <w:bCs w:val="0"/>
                <w:color w:val="auto"/>
                <w:sz w:val="21"/>
                <w:szCs w:val="21"/>
                <w:highlight w:val="none"/>
              </w:rPr>
              <w:t>指定</w:t>
            </w:r>
            <w:r>
              <w:rPr>
                <w:rFonts w:hint="eastAsia" w:ascii="宋体" w:hAnsi="宋体" w:eastAsia="宋体" w:cs="宋体"/>
                <w:b w:val="0"/>
                <w:bCs w:val="0"/>
                <w:color w:val="auto"/>
                <w:sz w:val="21"/>
                <w:szCs w:val="21"/>
                <w:highlight w:val="none"/>
                <w:lang w:val="en-US" w:eastAsia="zh-CN"/>
              </w:rPr>
              <w:t>地点</w:t>
            </w:r>
            <w:r>
              <w:rPr>
                <w:rFonts w:hint="eastAsia" w:ascii="宋体" w:hAnsi="宋体" w:eastAsia="宋体" w:cs="宋体"/>
                <w:b w:val="0"/>
                <w:bCs w:val="0"/>
                <w:color w:val="auto"/>
                <w:sz w:val="21"/>
                <w:szCs w:val="21"/>
                <w:highlight w:val="none"/>
              </w:rPr>
              <w:t>。</w:t>
            </w:r>
          </w:p>
          <w:p w14:paraId="06734A5E">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█交货期：</w:t>
            </w:r>
            <w:r>
              <w:rPr>
                <w:rFonts w:hint="eastAsia" w:ascii="宋体" w:hAnsi="宋体" w:eastAsia="宋体" w:cs="宋体"/>
                <w:b w:val="0"/>
                <w:bCs w:val="0"/>
                <w:color w:val="auto"/>
                <w:sz w:val="21"/>
                <w:szCs w:val="21"/>
                <w:highlight w:val="none"/>
                <w:lang w:eastAsia="zh-CN"/>
              </w:rPr>
              <w:t>合同签订后，硬件设备2个月内完成供货安装，软件部分6个月内完成建设。</w:t>
            </w:r>
          </w:p>
          <w:p w14:paraId="34DC34E9">
            <w:pPr>
              <w:keepNext w:val="0"/>
              <w:keepLines w:val="0"/>
              <w:pageBreakBefore w:val="0"/>
              <w:widowControl/>
              <w:kinsoku w:val="0"/>
              <w:wordWrap/>
              <w:overflowPunct/>
              <w:topLinePunct w:val="0"/>
              <w:autoSpaceDE w:val="0"/>
              <w:autoSpaceDN w:val="0"/>
              <w:bidi w:val="0"/>
              <w:adjustRightInd w:val="0"/>
              <w:snapToGrid w:val="0"/>
              <w:ind w:firstLine="0" w:firstLineChars="0"/>
              <w:jc w:val="both"/>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█质保期：硬件部分质保</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年，软件部分验收后质保</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p>
        </w:tc>
      </w:tr>
      <w:tr w14:paraId="71DAB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 w:hRule="atLeast"/>
          <w:jc w:val="center"/>
        </w:trPr>
        <w:tc>
          <w:tcPr>
            <w:tcW w:w="762" w:type="dxa"/>
            <w:vAlign w:val="center"/>
          </w:tcPr>
          <w:p w14:paraId="11A3137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w:t>
            </w:r>
          </w:p>
        </w:tc>
        <w:tc>
          <w:tcPr>
            <w:tcW w:w="8183" w:type="dxa"/>
            <w:vAlign w:val="center"/>
          </w:tcPr>
          <w:p w14:paraId="27D36D80">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付款方式：具体支付方式，合同谈判时确定。</w:t>
            </w:r>
          </w:p>
          <w:p w14:paraId="6D628BF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lang w:val="en-US" w:eastAsia="zh-CN"/>
              </w:rPr>
              <w:t>履约保证金：金额为合同金额的</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lang w:val="en-US" w:eastAsia="zh-CN"/>
              </w:rPr>
              <w:t>%；履约保证金形式为：</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lang w:val="en-US" w:eastAsia="zh-CN"/>
              </w:rPr>
              <w:t>。</w:t>
            </w:r>
          </w:p>
        </w:tc>
      </w:tr>
    </w:tbl>
    <w:p w14:paraId="6280EA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根据国家财政部（财库[2016]99号）《财政部关于加强政府采购活动内部控制管理的指导意见》和《财政部关于印发&lt;行政事业单位内部控制规范（试行）&gt;的通知》、《云南省人民政府办公厅关于印发云南省政府集中采购目录及标准（2024年版）的通知》（云政办函〔2024〕7号）等相关法律法规和商务厅内控管理制度的有关规定，甲乙双方经双方协商达成一致，签订以下内容：</w:t>
      </w:r>
    </w:p>
    <w:p w14:paraId="26F4DA47">
      <w:pPr>
        <w:keepNext w:val="0"/>
        <w:keepLines w:val="0"/>
        <w:pageBreakBefore w:val="0"/>
        <w:kinsoku/>
        <w:wordWrap/>
        <w:overflowPunct/>
        <w:topLinePunct w:val="0"/>
        <w:autoSpaceDE/>
        <w:autoSpaceDN/>
        <w:bidi w:val="0"/>
        <w:adjustRightInd/>
        <w:spacing w:line="360" w:lineRule="auto"/>
        <w:ind w:firstLine="420" w:firstLineChars="20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第1条 总则</w:t>
      </w:r>
    </w:p>
    <w:p w14:paraId="651E1E3B">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bookmarkStart w:id="594" w:name="_Toc17769"/>
      <w:r>
        <w:rPr>
          <w:rFonts w:hint="eastAsia" w:ascii="宋体" w:hAnsi="宋体" w:eastAsia="宋体" w:cs="宋体"/>
          <w:color w:val="auto"/>
          <w:sz w:val="21"/>
          <w:szCs w:val="21"/>
          <w:highlight w:val="none"/>
        </w:rPr>
        <w:t>第1.1条  定义</w:t>
      </w:r>
      <w:bookmarkEnd w:id="594"/>
    </w:p>
    <w:p w14:paraId="6E20BEB9">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第1.1.1条  合同：如无特别说明，以下合同特指本合同。</w:t>
      </w:r>
    </w:p>
    <w:p w14:paraId="70B8EDFD">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第1.1.2条  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ED5822C">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第1.1.3条  不可抗力：指不能预见、不能避免、不可克服的客观情况，例如地震、战争、政府行为等。由于不可抗力的影响，使得一方实际不可能在此情况下履行其协议。不可抗力不包括由于一方的疏忽或故意不遵守良好的工程惯例所发生的事故。</w:t>
      </w:r>
    </w:p>
    <w:p w14:paraId="486261D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第1.1.4条  货币单位：本合同项下一切费用均以人民币为单位进行结算。</w:t>
      </w:r>
    </w:p>
    <w:p w14:paraId="4DF71F04">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bookmarkStart w:id="595" w:name="_Toc10747"/>
      <w:r>
        <w:rPr>
          <w:rFonts w:hint="eastAsia" w:ascii="宋体" w:hAnsi="宋体" w:eastAsia="宋体" w:cs="宋体"/>
          <w:color w:val="auto"/>
          <w:sz w:val="21"/>
          <w:szCs w:val="21"/>
          <w:highlight w:val="none"/>
        </w:rPr>
        <w:t>第1.2条  合同生效</w:t>
      </w:r>
      <w:bookmarkEnd w:id="595"/>
    </w:p>
    <w:p w14:paraId="7D39A01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本合同经甲乙双方法定代表人或委托代理人签字盖章生效。</w:t>
      </w:r>
    </w:p>
    <w:p w14:paraId="3F844373">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bookmarkStart w:id="596" w:name="_Toc14626"/>
      <w:r>
        <w:rPr>
          <w:rFonts w:hint="eastAsia" w:ascii="宋体" w:hAnsi="宋体" w:eastAsia="宋体" w:cs="宋体"/>
          <w:color w:val="auto"/>
          <w:sz w:val="21"/>
          <w:szCs w:val="21"/>
          <w:highlight w:val="none"/>
        </w:rPr>
        <w:t>第1.3条  合同修改</w:t>
      </w:r>
      <w:bookmarkEnd w:id="596"/>
    </w:p>
    <w:p w14:paraId="0FA68393">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除非由双方签订书面修改文件，否则合同不得修改。符合这一程序的修改将构成合同的一部分，并将与合同具有同等的法律效力。</w:t>
      </w:r>
    </w:p>
    <w:p w14:paraId="65DB2E68">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bookmarkStart w:id="597" w:name="_Toc25733"/>
      <w:r>
        <w:rPr>
          <w:rFonts w:hint="eastAsia" w:ascii="宋体" w:hAnsi="宋体" w:eastAsia="宋体" w:cs="宋体"/>
          <w:color w:val="auto"/>
          <w:sz w:val="21"/>
          <w:szCs w:val="21"/>
          <w:highlight w:val="none"/>
        </w:rPr>
        <w:t>第1.4条  告知</w:t>
      </w:r>
      <w:bookmarkEnd w:id="597"/>
    </w:p>
    <w:p w14:paraId="5C12195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任何涉及本合同的通知应以面呈、邮寄或传真方式送达至对方下述地址或传真号码，任何更改该等地址或传真号码必须提前7日以书面形式告知对方。</w:t>
      </w:r>
    </w:p>
    <w:p w14:paraId="1199386A">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任何面呈的通知在递交时视为送达；任何以邮资预付的邮寄方式发出的通知在对方签收后视为送达；任何以传真方式发出的通知在发出时视为送达。</w:t>
      </w:r>
    </w:p>
    <w:p w14:paraId="0DAE8271">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本合同签订前已存在的知识产权归原拥有方所有，根据本合同新产生的服务成果的知识产权归甲方所有。</w:t>
      </w:r>
    </w:p>
    <w:p w14:paraId="4CD66026">
      <w:pPr>
        <w:keepNext w:val="0"/>
        <w:keepLines w:val="0"/>
        <w:pageBreakBefore w:val="0"/>
        <w:kinsoku/>
        <w:wordWrap/>
        <w:overflowPunct/>
        <w:topLinePunct w:val="0"/>
        <w:autoSpaceDE/>
        <w:autoSpaceDN/>
        <w:bidi w:val="0"/>
        <w:adjustRightInd/>
        <w:spacing w:line="360" w:lineRule="auto"/>
        <w:ind w:firstLine="420" w:firstLineChars="20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第2条 内容及双方责任</w:t>
      </w:r>
    </w:p>
    <w:p w14:paraId="536064AB">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第2.1条  合同内容</w:t>
      </w:r>
    </w:p>
    <w:p w14:paraId="5376718E">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乙方在甲方支持下完成本合同内容，具体内容如下：（也可另附）</w:t>
      </w:r>
    </w:p>
    <w:p w14:paraId="458E1DA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14:paraId="1D125FDB">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第2.2条  甲方的权利及义务</w:t>
      </w:r>
    </w:p>
    <w:p w14:paraId="7F3348B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（1）项目期间，甲方作为委托方负责提出具体工作要求，为乙方各项工作给予必要的协调、支持和帮助。</w:t>
      </w:r>
    </w:p>
    <w:p w14:paraId="2254690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（2）对项目实施情况进行指导、检查和督促，敦促乙方工作进展，有权要求乙方及时改正不符合项目要求的行为。</w:t>
      </w:r>
    </w:p>
    <w:p w14:paraId="2569A3AE">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（3）向乙方提供实施本项目所需的资料、信息，允许乙方人员为实施本项目而使用所约定的信息、文件等。</w:t>
      </w:r>
    </w:p>
    <w:p w14:paraId="5322929B">
      <w:pPr>
        <w:keepNext w:val="0"/>
        <w:keepLines w:val="0"/>
        <w:pageBreakBefore w:val="0"/>
        <w:kinsoku/>
        <w:wordWrap/>
        <w:overflowPunct/>
        <w:topLinePunct w:val="0"/>
        <w:autoSpaceDE/>
        <w:autoSpaceDN/>
        <w:bidi w:val="0"/>
        <w:adjustRightInd/>
        <w:spacing w:line="360" w:lineRule="auto"/>
        <w:ind w:firstLine="4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（4）按照合同约定时间及金额向乙方支付合同价款。</w:t>
      </w:r>
    </w:p>
    <w:p w14:paraId="77632AEA">
      <w:pPr>
        <w:keepNext w:val="0"/>
        <w:keepLines w:val="0"/>
        <w:pageBreakBefore w:val="0"/>
        <w:kinsoku/>
        <w:wordWrap/>
        <w:overflowPunct/>
        <w:topLinePunct w:val="0"/>
        <w:autoSpaceDE/>
        <w:autoSpaceDN/>
        <w:bidi w:val="0"/>
        <w:adjustRightInd/>
        <w:spacing w:line="360" w:lineRule="auto"/>
        <w:ind w:firstLine="4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（5）乙方完成的本合同项下工作所产生的除署名权以外的著作权和其他知识产权均归甲方享有。甲方对于评价报告中所涉及到的相关报告、数据、结论等享有再次使用或提供给第三方的权利。</w:t>
      </w:r>
    </w:p>
    <w:p w14:paraId="7750EC9E">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第2.3条  乙方的权利及义务</w:t>
      </w:r>
    </w:p>
    <w:p w14:paraId="524D662E">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（1）严格按照合同约定及标准完成合同内容；</w:t>
      </w:r>
    </w:p>
    <w:p w14:paraId="24339E95">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（2）安排专业团队负责项目实施，指定项目负责人同甲方保持密切沟通，按照甲方要求合理安排工作进度，确保各项工作按时按质完成。</w:t>
      </w:r>
    </w:p>
    <w:p w14:paraId="0F794E6B">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（3）甲方向乙方提供的资料乙方应予以保密，乙方承诺不向任何第三方泄露甲方的业务机密。</w:t>
      </w:r>
    </w:p>
    <w:p w14:paraId="0041455B">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（4）项目期间，接受甲方指导、检查和督促，在合同约定范围内遵照甲方所提出的意见、要求，并及时作出相应的工作调整和安排。</w:t>
      </w:r>
    </w:p>
    <w:p w14:paraId="027F7809">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（5）甲方保留在合同履行过程中提供给乙方使用的有关知识产权信息的一切权利和利益，未经甲方书面同意，乙方不得为己方或任何第三方利益使用有关知识产权信息。</w:t>
      </w:r>
    </w:p>
    <w:p w14:paraId="4BC0B2BA">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（6）乙方应明确工作的总负责人，并明确每个项目的具体负责人员，合同履行期间未经甲方许可不得擅自调换项目总负责人及工作组人员。</w:t>
      </w:r>
    </w:p>
    <w:p w14:paraId="7294AF7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完成的本合同项下工作不得侵犯他人的知识产权。因侵犯专利权或其他知识产权所引起的责任，由乙方自行承担。同时，乙方不得将上述报告、数据、结论等以任何形式用于自身对外宣传或向第三方提供。</w:t>
      </w:r>
    </w:p>
    <w:p w14:paraId="3060186B">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（8）乙方不得将项目进行分包或转包。</w:t>
      </w:r>
    </w:p>
    <w:p w14:paraId="55C2ED4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第2.4条  合同期限</w:t>
      </w:r>
    </w:p>
    <w:p w14:paraId="3D448EA3">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日。因甲方原因或其它不可抗力原因影响项目进度，经甲乙双方协商一致后可变更项目进度，并按变更后的进度执行。</w:t>
      </w:r>
    </w:p>
    <w:p w14:paraId="796EBE88">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第2.5条  乙方提供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C119DB6">
      <w:pPr>
        <w:keepNext w:val="0"/>
        <w:keepLines w:val="0"/>
        <w:pageBreakBefore w:val="0"/>
        <w:kinsoku/>
        <w:wordWrap/>
        <w:overflowPunct/>
        <w:topLinePunct w:val="0"/>
        <w:autoSpaceDE/>
        <w:autoSpaceDN/>
        <w:bidi w:val="0"/>
        <w:adjustRightInd/>
        <w:spacing w:line="360" w:lineRule="auto"/>
        <w:ind w:firstLine="420" w:firstLineChars="20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第3条 合同总价</w:t>
      </w:r>
    </w:p>
    <w:p w14:paraId="5E5723FE">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第3.1条  合同价</w:t>
      </w:r>
    </w:p>
    <w:p w14:paraId="438AA001">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7A2F3DDA">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第3.2条  付款方式：</w:t>
      </w:r>
      <w:r>
        <w:rPr>
          <w:rFonts w:hint="eastAsia" w:ascii="宋体" w:hAnsi="宋体" w:eastAsia="宋体" w:cs="宋体"/>
          <w:color w:val="auto"/>
          <w:sz w:val="21"/>
          <w:szCs w:val="21"/>
          <w:highlight w:val="none"/>
          <w:u w:val="single"/>
          <w:lang w:val="en-US" w:eastAsia="zh-CN"/>
        </w:rPr>
        <w:t xml:space="preserve">                           </w:t>
      </w:r>
    </w:p>
    <w:p w14:paraId="4277C45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第3.3条  本合同项下一切费用均使用人民币结算及支付。甲方向乙方付款同时乙方应出具相应发票，甲乙双方对有关发票、结算票据一致认同：甲方取得发票不代表甲方款项已付清，款项已付清以甲方款项全部到达乙方开户账户为准。</w:t>
      </w:r>
    </w:p>
    <w:p w14:paraId="37B3B09A">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第3.4条  本合同价款包含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等为完成本合同项下所产生的一切费用。</w:t>
      </w:r>
    </w:p>
    <w:p w14:paraId="30EB307D">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第3.5条  乙方收款信息：</w:t>
      </w:r>
    </w:p>
    <w:p w14:paraId="028CA22E">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单位名称：</w:t>
      </w:r>
      <w:r>
        <w:rPr>
          <w:rFonts w:hint="eastAsia" w:ascii="宋体" w:hAnsi="宋体" w:eastAsia="宋体" w:cs="宋体"/>
          <w:color w:val="auto"/>
          <w:sz w:val="21"/>
          <w:szCs w:val="21"/>
          <w:highlight w:val="none"/>
          <w:u w:val="single"/>
          <w:lang w:bidi="ar"/>
        </w:rPr>
        <w:t xml:space="preserve">                               </w:t>
      </w:r>
    </w:p>
    <w:p w14:paraId="4201A3AF">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银行账号：</w:t>
      </w:r>
      <w:r>
        <w:rPr>
          <w:rFonts w:hint="eastAsia" w:ascii="宋体" w:hAnsi="宋体" w:eastAsia="宋体" w:cs="宋体"/>
          <w:color w:val="auto"/>
          <w:sz w:val="21"/>
          <w:szCs w:val="21"/>
          <w:highlight w:val="none"/>
          <w:u w:val="single"/>
          <w:lang w:bidi="ar"/>
        </w:rPr>
        <w:t xml:space="preserve">                               </w:t>
      </w:r>
    </w:p>
    <w:p w14:paraId="5D798F85">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lang w:bidi="ar"/>
        </w:rPr>
      </w:pPr>
      <w:r>
        <w:rPr>
          <w:rFonts w:hint="eastAsia" w:ascii="宋体" w:hAnsi="宋体" w:eastAsia="宋体" w:cs="宋体"/>
          <w:color w:val="auto"/>
          <w:sz w:val="21"/>
          <w:szCs w:val="21"/>
          <w:highlight w:val="none"/>
          <w:lang w:bidi="ar"/>
        </w:rPr>
        <w:t>开 户 行：</w:t>
      </w:r>
      <w:r>
        <w:rPr>
          <w:rFonts w:hint="eastAsia" w:ascii="宋体" w:hAnsi="宋体" w:eastAsia="宋体" w:cs="宋体"/>
          <w:color w:val="auto"/>
          <w:sz w:val="21"/>
          <w:szCs w:val="21"/>
          <w:highlight w:val="none"/>
          <w:u w:val="single"/>
          <w:lang w:bidi="ar"/>
        </w:rPr>
        <w:t xml:space="preserve">                               </w:t>
      </w:r>
    </w:p>
    <w:p w14:paraId="297CD319">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lang w:bidi="ar"/>
        </w:rPr>
      </w:pPr>
      <w:r>
        <w:rPr>
          <w:rFonts w:hint="eastAsia" w:ascii="宋体" w:hAnsi="宋体" w:eastAsia="宋体" w:cs="宋体"/>
          <w:color w:val="auto"/>
          <w:sz w:val="21"/>
          <w:szCs w:val="21"/>
          <w:highlight w:val="none"/>
          <w:lang w:bidi="ar"/>
        </w:rPr>
        <w:t>开 户 名：</w:t>
      </w:r>
      <w:r>
        <w:rPr>
          <w:rFonts w:hint="eastAsia" w:ascii="宋体" w:hAnsi="宋体" w:eastAsia="宋体" w:cs="宋体"/>
          <w:color w:val="auto"/>
          <w:sz w:val="21"/>
          <w:szCs w:val="21"/>
          <w:highlight w:val="none"/>
          <w:u w:val="single"/>
          <w:lang w:bidi="ar"/>
        </w:rPr>
        <w:t xml:space="preserve">                               </w:t>
      </w:r>
    </w:p>
    <w:p w14:paraId="1056268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lang w:bidi="ar"/>
        </w:rPr>
      </w:pPr>
      <w:r>
        <w:rPr>
          <w:rFonts w:hint="eastAsia" w:ascii="宋体" w:hAnsi="宋体" w:eastAsia="宋体" w:cs="宋体"/>
          <w:color w:val="auto"/>
          <w:sz w:val="21"/>
          <w:szCs w:val="21"/>
          <w:highlight w:val="none"/>
          <w:lang w:bidi="ar"/>
        </w:rPr>
        <w:t>统一社会信用代码：</w:t>
      </w:r>
      <w:r>
        <w:rPr>
          <w:rFonts w:hint="eastAsia" w:ascii="宋体" w:hAnsi="宋体" w:eastAsia="宋体" w:cs="宋体"/>
          <w:color w:val="auto"/>
          <w:sz w:val="21"/>
          <w:szCs w:val="21"/>
          <w:highlight w:val="none"/>
          <w:u w:val="single"/>
          <w:lang w:bidi="ar"/>
        </w:rPr>
        <w:t xml:space="preserve">                       </w:t>
      </w:r>
    </w:p>
    <w:p w14:paraId="3F677224">
      <w:pPr>
        <w:keepNext w:val="0"/>
        <w:keepLines w:val="0"/>
        <w:pageBreakBefore w:val="0"/>
        <w:kinsoku/>
        <w:wordWrap/>
        <w:overflowPunct/>
        <w:topLinePunct w:val="0"/>
        <w:autoSpaceDE/>
        <w:autoSpaceDN/>
        <w:bidi w:val="0"/>
        <w:adjustRightInd/>
        <w:spacing w:before="60" w:after="6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注：上述收款信息必须与开票信息一致，否则将导致资金无法拨付。</w:t>
      </w:r>
    </w:p>
    <w:p w14:paraId="3C34AF5F">
      <w:pPr>
        <w:keepNext w:val="0"/>
        <w:keepLines w:val="0"/>
        <w:pageBreakBefore w:val="0"/>
        <w:kinsoku/>
        <w:wordWrap/>
        <w:overflowPunct/>
        <w:topLinePunct w:val="0"/>
        <w:autoSpaceDE/>
        <w:autoSpaceDN/>
        <w:bidi w:val="0"/>
        <w:adjustRightInd/>
        <w:spacing w:line="360" w:lineRule="auto"/>
        <w:ind w:firstLine="420" w:firstLineChars="20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第4条  成果提交</w:t>
      </w:r>
    </w:p>
    <w:p w14:paraId="511F68C8">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第4.1条  验收人员的组成</w:t>
      </w:r>
    </w:p>
    <w:p w14:paraId="2411B47D">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p>
    <w:p w14:paraId="52F07389">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第4.2条  成果提交时间</w:t>
      </w:r>
    </w:p>
    <w:p w14:paraId="26DD931A">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交验时间：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AD97F4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第4.2条  验收标准及方法</w:t>
      </w:r>
    </w:p>
    <w:p w14:paraId="0F44B1C5">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验收标准：</w:t>
      </w:r>
      <w:r>
        <w:rPr>
          <w:rFonts w:hint="eastAsia" w:ascii="宋体" w:hAnsi="宋体" w:eastAsia="宋体" w:cs="宋体"/>
          <w:color w:val="auto"/>
          <w:sz w:val="21"/>
          <w:szCs w:val="21"/>
          <w:highlight w:val="none"/>
          <w:u w:val="single"/>
        </w:rPr>
        <w:t xml:space="preserve">                                                                    </w:t>
      </w:r>
    </w:p>
    <w:p w14:paraId="50132EF1">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验收方法：</w:t>
      </w:r>
      <w:r>
        <w:rPr>
          <w:rFonts w:hint="eastAsia" w:ascii="宋体" w:hAnsi="宋体" w:eastAsia="宋体" w:cs="宋体"/>
          <w:color w:val="auto"/>
          <w:sz w:val="21"/>
          <w:szCs w:val="21"/>
          <w:highlight w:val="none"/>
          <w:u w:val="single"/>
        </w:rPr>
        <w:t xml:space="preserve">                                                                    </w:t>
      </w:r>
    </w:p>
    <w:p w14:paraId="123A5608">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第5条 服务承诺</w:t>
      </w:r>
    </w:p>
    <w:p w14:paraId="7CF518B8">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第5.1条 乙方服务承诺如下：</w:t>
      </w:r>
    </w:p>
    <w:p w14:paraId="16619714">
      <w:pPr>
        <w:keepNext w:val="0"/>
        <w:keepLines w:val="0"/>
        <w:pageBreakBefore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14:paraId="449A93C0">
      <w:pPr>
        <w:keepNext w:val="0"/>
        <w:keepLines w:val="0"/>
        <w:pageBreakBefore w:val="0"/>
        <w:kinsoku/>
        <w:wordWrap/>
        <w:overflowPunct/>
        <w:topLinePunct w:val="0"/>
        <w:autoSpaceDE/>
        <w:autoSpaceDN/>
        <w:bidi w:val="0"/>
        <w:adjustRightInd/>
        <w:spacing w:line="360" w:lineRule="auto"/>
        <w:ind w:left="1" w:firstLine="420" w:firstLineChars="20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第6条 保密责任</w:t>
      </w:r>
    </w:p>
    <w:p w14:paraId="2454B9EA">
      <w:pPr>
        <w:keepNext w:val="0"/>
        <w:keepLines w:val="0"/>
        <w:pageBreakBefore w:val="0"/>
        <w:kinsoku/>
        <w:wordWrap/>
        <w:overflowPunct/>
        <w:topLinePunct w:val="0"/>
        <w:autoSpaceDE/>
        <w:autoSpaceDN/>
        <w:bidi w:val="0"/>
        <w:adjustRightInd/>
        <w:spacing w:line="360" w:lineRule="auto"/>
        <w:ind w:left="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双方共同恪守对项目及技术的保密责任。</w:t>
      </w:r>
    </w:p>
    <w:p w14:paraId="6B30580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第6.1条  所有项目相关人员不得以任何形式向任何第三方透露本合同项目合作计划及相关内容。</w:t>
      </w:r>
    </w:p>
    <w:p w14:paraId="0A5843D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第6.2条  所有项目相关人员，不得以任何方式向任何第三方透露与本项目有关的任何技术资料。</w:t>
      </w:r>
    </w:p>
    <w:p w14:paraId="6FC331F1">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第6.3条  乙方在项目实施过程中，必须严格遵守法律法规和相关制度规定，对与本项目各项技术、数据和已形成的各项成果，及时采取有力措施履行相关保密义务，不得以任何方式向任何第三方透露与本项目的任何技术资料、数据及相关信息、文档。如因保密义务的不履行或履行不当，乙方除承担所造成的损失外，亦须承担由此所产生的其他相关法律责任。</w:t>
      </w:r>
    </w:p>
    <w:p w14:paraId="27DD8704">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第6.4条  保密期限：在本协议有效期内以及在有效期后的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年内甲乙双方均不得将合同及项目相关的技术资料、技术秘密等成为公共信息之前披露给任何第三方。</w:t>
      </w:r>
    </w:p>
    <w:p w14:paraId="0542A50B">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第6.5条  乙方的保密义务不因本合同的终止而解除，任何时间、地点乙方违反本合同保密义务的，甲方均有权根据本协议约定要求乙方承担相应的法律责任。</w:t>
      </w:r>
    </w:p>
    <w:p w14:paraId="03B6FB29">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第7条  不可抗力</w:t>
      </w:r>
    </w:p>
    <w:p w14:paraId="30BBF3D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第7.1条  由于地震、台风、水灾、火灾、战争以及其他不能预见并对其发生和后果不能预防、不能克服或避免的不可抗力直接影响本合同的履行或者导致双方不能按照约定履行合同的，遇有不可抗力的一方可以免除相关合同责任。但是遇有不可抗力的一方应立即书面通知对方，并在15天之内提供上述不可抗力的详细情况及合同不能履行或者部分不能履行或者需要延期履行的理由和有效的证明文件。按照不可抗力对履行合同影响的程度，由双方协商决定是否解除合同，或者部分免除履行合同的义务，或者延期履行合同。一方迟延履行本合同时发生了不可抗力的，迟延方的合同义务不能免除。</w:t>
      </w:r>
    </w:p>
    <w:p w14:paraId="608115CE">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第7.2条  受不可抗力影响的一方，应当尽可能采取合理的行为和适当的措施减轻不可抗力对履行本合同所造成的影响。没有采取适当措施致使损失扩大的，该方不得就扩大损失的部分要求免责或赔偿。</w:t>
      </w:r>
    </w:p>
    <w:p w14:paraId="239BC67E">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第8条 违约责任及解决争议办法</w:t>
      </w:r>
    </w:p>
    <w:p w14:paraId="540A5EA3">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第8.1条  乙方应在规定时限内完成本合同所约定的全部内容并提交相应成果。如因乙方原因导致时限推迟的，甲方可以视情况决定是否解除本合同；甲方选择解除合同的，乙方应全数退还已支付的项目经费；甲方选择继续履行本合同的，乙方每延期一天应支付甲方本合同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%的违约金直至提交全部成果文件止。如因客观事实或甲方原因导致工作时限推迟的，由双方协商并签署相应的补充协议予以确认。</w:t>
      </w:r>
    </w:p>
    <w:p w14:paraId="3F6E3E72">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第8.2条  如因乙方原因未提供服务或所提供的服务不符合本合同约定的，经甲方提出后乙方应在双方协商确定的期限内改正，否则每延迟一日应支付本合同金额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%的违约金。</w:t>
      </w:r>
    </w:p>
    <w:p w14:paraId="525A0F55">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第8.3条 乙方应确保各项服务及相应成果的质量符合甲方要求。因为乙方原因所提供的服务及相应成果不符合本合同约定的，甲方有权要求乙方整改至符合要求为止，乙方拒绝整改或经过一次整改后仍不符合要求的，甲方有权解除本合同并要求乙方退还不符合要求部分的全部费用。</w:t>
      </w:r>
    </w:p>
    <w:p w14:paraId="34D4F864">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第8.4条  如乙方参与飞行检查的人员与投标文件配备的人员不一致，需承担合同总价30%的违约金。</w:t>
      </w:r>
    </w:p>
    <w:p w14:paraId="235DA5BF">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第8.5条  本合同签订后，若乙方无正当理由而终止合同，应当返还本合同项下甲方已经支付给乙方但实际未发生的费用，并支付甲方本合同总额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%的违约金。如果违约金不足以抵偿甲方的直接损失，乙方应当继续赔偿。</w:t>
      </w:r>
    </w:p>
    <w:p w14:paraId="38B51657">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第8.6条  本合同签订后，若甲方无正当理由而终止合同，应向乙方支付本合同总额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%的违约金。如果违约金不足以抵偿乙方的直接损失，甲方还应当继续赔偿。</w:t>
      </w:r>
    </w:p>
    <w:p w14:paraId="77ED08C0">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第8.7条  甲乙双方在执行合同过程中，产生异议和纠纷，应友好协商解决。双方协商不能达成一致时，应依照现行法律法规，向甲方所在地的人民法院起诉。</w:t>
      </w:r>
    </w:p>
    <w:p w14:paraId="6583CC41">
      <w:pPr>
        <w:keepNext w:val="0"/>
        <w:keepLines w:val="0"/>
        <w:pageBreakBefore w:val="0"/>
        <w:kinsoku/>
        <w:wordWrap/>
        <w:overflowPunct/>
        <w:topLinePunct w:val="0"/>
        <w:autoSpaceDE/>
        <w:autoSpaceDN/>
        <w:bidi w:val="0"/>
        <w:adjustRightInd/>
        <w:spacing w:line="360" w:lineRule="auto"/>
        <w:ind w:firstLine="3292" w:firstLineChars="1568"/>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第9条  其他</w:t>
      </w:r>
    </w:p>
    <w:p w14:paraId="2E502C69">
      <w:pPr>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第9.1条  本合同附件是本合同不可分割的部分，并与本合同具有同等法律效力。</w:t>
      </w:r>
    </w:p>
    <w:p w14:paraId="28962FA2">
      <w:pPr>
        <w:keepNext w:val="0"/>
        <w:keepLines w:val="0"/>
        <w:pageBreakBefore w:val="0"/>
        <w:tabs>
          <w:tab w:val="left" w:pos="18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第9.2条  双方签订的补充协议以及修改或变更的条款与本合同具有同等法律效力。若有不一致之处，以时间在后者为准。</w:t>
      </w:r>
    </w:p>
    <w:p w14:paraId="5983420E">
      <w:pPr>
        <w:keepNext w:val="0"/>
        <w:keepLines w:val="0"/>
        <w:pageBreakBefore w:val="0"/>
        <w:tabs>
          <w:tab w:val="left" w:pos="18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第9.3条  甲乙双方应当严格按照合同的规定履行合同义务，双方任何一方都不得变更、中止或者终止合同，也不得通过协商变更、中止或者终止合同。合同变更的内容包括合同的标的、规格、型号、数量、质量等；中止是无正当理由暂停履约；终止就是不再履行合同义务。合同当事人一方擅自变更、中止或者终止合同均属于违约行为，应当承担相应的违约责任。</w:t>
      </w:r>
    </w:p>
    <w:p w14:paraId="58777F9A">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第9.4条  本合同一式六份，甲方执三份（含监督管理部门备案的一份），乙方执三份。</w:t>
      </w:r>
    </w:p>
    <w:p w14:paraId="3AE4A5EE">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第9.5条  本合同不可分割之部分及解释顺序：</w:t>
      </w:r>
    </w:p>
    <w:p w14:paraId="78DCCDF9">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1、合同书及附件；</w:t>
      </w:r>
    </w:p>
    <w:p w14:paraId="32F5D62E">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2、中标通知书；</w:t>
      </w:r>
    </w:p>
    <w:p w14:paraId="4E819FB5">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3、中标人投标文件及其澄清文件；</w:t>
      </w:r>
    </w:p>
    <w:p w14:paraId="71D9FFB8">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4、招标文件。</w:t>
      </w:r>
      <w:bookmarkStart w:id="598" w:name="_Toc27010"/>
    </w:p>
    <w:p w14:paraId="6D667707">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hAnsi="宋体"/>
          <w:color w:val="auto"/>
          <w:szCs w:val="21"/>
          <w:highlight w:val="none"/>
        </w:rPr>
        <w:sectPr>
          <w:headerReference r:id="rId13" w:type="first"/>
          <w:footerReference r:id="rId16" w:type="first"/>
          <w:headerReference r:id="rId12" w:type="default"/>
          <w:footerReference r:id="rId14" w:type="default"/>
          <w:footerReference r:id="rId15" w:type="even"/>
          <w:pgSz w:w="11906" w:h="16838"/>
          <w:pgMar w:top="1191" w:right="1416" w:bottom="1134" w:left="1219" w:header="567" w:footer="567" w:gutter="0"/>
          <w:pgBorders>
            <w:top w:val="none" w:sz="0" w:space="0"/>
            <w:left w:val="none" w:sz="0" w:space="0"/>
            <w:bottom w:val="none" w:sz="0" w:space="0"/>
            <w:right w:val="none" w:sz="0" w:space="0"/>
          </w:pgBorders>
          <w:pgNumType w:fmt="decimal" w:start="1"/>
          <w:cols w:space="720" w:num="1"/>
          <w:docGrid w:type="linesAndChars" w:linePitch="331" w:charSpace="0"/>
        </w:sectPr>
      </w:pPr>
      <w:r>
        <w:rPr>
          <w:rFonts w:hint="eastAsia" w:ascii="宋体" w:hAnsi="宋体" w:eastAsia="宋体" w:cs="宋体"/>
          <w:color w:val="auto"/>
          <w:sz w:val="21"/>
          <w:szCs w:val="21"/>
          <w:highlight w:val="none"/>
        </w:rPr>
        <w:t>第9.6条   附件名称（如有请务必填写）：</w:t>
      </w:r>
      <w:bookmarkEnd w:id="598"/>
    </w:p>
    <w:bookmarkEnd w:id="591"/>
    <w:p w14:paraId="4AE1D9D2">
      <w:pPr>
        <w:pStyle w:val="3"/>
        <w:spacing w:before="0" w:after="0" w:line="360" w:lineRule="auto"/>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599" w:name="_Toc164432958"/>
      <w:r>
        <w:rPr>
          <w:rFonts w:hint="eastAsia" w:ascii="宋体" w:hAnsi="宋体" w:cs="宋体"/>
          <w:color w:val="000000" w:themeColor="text1"/>
          <w:sz w:val="36"/>
          <w:szCs w:val="36"/>
          <w14:textFill>
            <w14:solidFill>
              <w14:schemeClr w14:val="tx1"/>
            </w14:solidFill>
          </w14:textFill>
        </w:rPr>
        <w:t>第五章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采购需求</w:t>
      </w:r>
      <w:bookmarkEnd w:id="599"/>
      <w:bookmarkStart w:id="600" w:name="_Toc23939538"/>
      <w:bookmarkStart w:id="601" w:name="_Toc23939591"/>
    </w:p>
    <w:p w14:paraId="4A53E07C">
      <w:pPr>
        <w:pStyle w:val="3"/>
        <w:keepNext w:val="0"/>
        <w:keepLines w:val="0"/>
        <w:widowControl/>
        <w:suppressLineNumbers w:val="0"/>
        <w:spacing w:before="120" w:beforeAutospacing="0" w:after="120" w:afterAutospacing="0" w:line="698" w:lineRule="atLeast"/>
        <w:ind w:left="0" w:right="0"/>
        <w:jc w:val="both"/>
        <w:rPr>
          <w:rFonts w:hint="eastAsia" w:ascii="宋体" w:hAnsi="宋体" w:eastAsia="宋体" w:cs="宋体"/>
          <w:b/>
          <w:bCs/>
          <w:i w:val="0"/>
          <w:iCs w:val="0"/>
          <w:caps w:val="0"/>
          <w:color w:val="333333"/>
          <w:spacing w:val="0"/>
          <w:sz w:val="21"/>
          <w:szCs w:val="21"/>
          <w:shd w:val="clear" w:fill="FFFFFF"/>
          <w:lang w:val="en-US" w:eastAsia="zh-CN"/>
        </w:rPr>
      </w:pPr>
      <w:r>
        <w:rPr>
          <w:rFonts w:hint="eastAsia" w:ascii="宋体" w:hAnsi="宋体" w:eastAsia="宋体" w:cs="宋体"/>
          <w:b/>
          <w:bCs/>
          <w:i w:val="0"/>
          <w:iCs w:val="0"/>
          <w:caps w:val="0"/>
          <w:color w:val="333333"/>
          <w:spacing w:val="0"/>
          <w:sz w:val="21"/>
          <w:szCs w:val="21"/>
          <w:shd w:val="clear" w:fill="FFFFFF"/>
          <w:lang w:val="en-US" w:eastAsia="zh-CN"/>
        </w:rPr>
        <w:t>一、项目背景</w:t>
      </w:r>
    </w:p>
    <w:p w14:paraId="59C39FC9">
      <w:pPr>
        <w:keepNext w:val="0"/>
        <w:keepLines w:val="0"/>
        <w:widowControl/>
        <w:suppressLineNumbers w:val="0"/>
        <w:spacing w:before="0" w:beforeAutospacing="0" w:after="128" w:afterAutospacing="0" w:line="420" w:lineRule="atLeast"/>
        <w:ind w:left="0" w:right="0" w:firstLine="48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为贯彻落实国家及云南省关于推动公立医院高质量发展的相关政策，结合《公立医院高质量发展意见》及《云南省卫生健康事业高质量发展三年行动计划（2023—2025年）》要求，医院亟需通过信息化建设提升服务能力、运行效率和管理水平，支撑智慧医院建设。</w:t>
      </w:r>
    </w:p>
    <w:p w14:paraId="25A33605">
      <w:pPr>
        <w:keepNext w:val="0"/>
        <w:keepLines w:val="0"/>
        <w:widowControl/>
        <w:suppressLineNumbers w:val="0"/>
        <w:spacing w:before="0" w:beforeAutospacing="0" w:after="128" w:afterAutospacing="0" w:line="420" w:lineRule="atLeast"/>
        <w:ind w:left="0" w:right="0" w:firstLine="48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智慧医院的核心在于实现物理空间与数字空间的深度融合。通过信息化手段，优化就诊流程，为患者提供便捷、舒心的服务体验；为医务人员营造安全高效的工作环境；为管理者提供全面、精准的管理工具，推动医院运行的精细化与科学化，同时推动医院信息化达到电子病历四级水平。智慧医院建设不仅能改善就医体验和医疗质量，也是支撑医院高质量发展的关键举措。</w:t>
      </w:r>
    </w:p>
    <w:p w14:paraId="2ED780D4">
      <w:pPr>
        <w:keepNext w:val="0"/>
        <w:keepLines w:val="0"/>
        <w:widowControl/>
        <w:suppressLineNumbers w:val="0"/>
        <w:spacing w:before="0" w:beforeAutospacing="0" w:after="128" w:afterAutospacing="0" w:line="420" w:lineRule="atLeast"/>
        <w:ind w:left="0" w:right="0" w:firstLine="48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本次项目建设需求主要包括：一是完善就诊流程，支持分时预约、诊疗规范和服务效率提升；二是推动管理科学化、规范化、智能化；三是整合临床数据资源，提供决策支持；四是提升医疗透明度和监督水平，降低风险，保障质量。</w:t>
      </w:r>
    </w:p>
    <w:p w14:paraId="28C2ED15">
      <w:pPr>
        <w:pStyle w:val="3"/>
        <w:keepNext w:val="0"/>
        <w:keepLines w:val="0"/>
        <w:widowControl/>
        <w:suppressLineNumbers w:val="0"/>
        <w:spacing w:before="120" w:beforeAutospacing="0" w:after="120" w:afterAutospacing="0" w:line="698" w:lineRule="atLeast"/>
        <w:ind w:left="0" w:right="0"/>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二、建设清单</w:t>
      </w:r>
    </w:p>
    <w:p w14:paraId="6FA9E3D1">
      <w:pPr>
        <w:pStyle w:val="4"/>
        <w:keepNext w:val="0"/>
        <w:keepLines w:val="0"/>
        <w:widowControl/>
        <w:suppressLineNumbers w:val="0"/>
        <w:spacing w:before="120" w:beforeAutospacing="0" w:after="120" w:afterAutospacing="0" w:line="56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2.1软件清单</w:t>
      </w:r>
    </w:p>
    <w:tbl>
      <w:tblPr>
        <w:tblStyle w:val="42"/>
        <w:tblW w:w="96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04"/>
        <w:gridCol w:w="1276"/>
        <w:gridCol w:w="2410"/>
        <w:gridCol w:w="4319"/>
        <w:gridCol w:w="963"/>
      </w:tblGrid>
      <w:tr w14:paraId="016BA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08" w:hRule="atLeast"/>
          <w:jc w:val="center"/>
        </w:trPr>
        <w:tc>
          <w:tcPr>
            <w:tcW w:w="9672"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D041E4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威信县中医医院信息化建设软件清单</w:t>
            </w:r>
          </w:p>
        </w:tc>
      </w:tr>
      <w:tr w14:paraId="45D10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3E45C5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序号</w:t>
            </w:r>
          </w:p>
        </w:tc>
        <w:tc>
          <w:tcPr>
            <w:tcW w:w="127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ADC337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系统类别</w:t>
            </w:r>
          </w:p>
        </w:tc>
        <w:tc>
          <w:tcPr>
            <w:tcW w:w="241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8EE1D3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系统名称</w:t>
            </w:r>
          </w:p>
        </w:tc>
        <w:tc>
          <w:tcPr>
            <w:tcW w:w="431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B986C3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功能模块</w:t>
            </w:r>
          </w:p>
        </w:tc>
        <w:tc>
          <w:tcPr>
            <w:tcW w:w="96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283B0D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数量</w:t>
            </w:r>
          </w:p>
        </w:tc>
      </w:tr>
      <w:tr w14:paraId="38B8F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0A13FB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CD4915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患者服务</w:t>
            </w: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5B57A5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门诊挂号预约子系统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6F3B96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预约管理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FFA69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4370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AE15FE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F701ED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B6ACD7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AEBD8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预约服务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41B0C8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3030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FDB3A1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5D4C005">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E6126A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门急诊挂号子系统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81FA2A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患者基本信息管理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C1BC7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9CFA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6C3C4E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B369B3A">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2C294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6DD35D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门急诊挂号</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B48B7C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7B48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859F21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60A4966">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0AAD30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门急诊收费子系统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4827F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门急诊收费</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8EB4DF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6787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4B4582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22DC9A1">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8FBBB3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诊间结算子系统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B67B0C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医生站交易结算</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FCDD2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5AEA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E3435B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27878F2">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815492">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E966C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发票账单管理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F9D3E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B244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7CF1F7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34E695C">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81580F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出入院子系统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7EF96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入院管理/出院结算管理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48DDB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CC83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70E89A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3195DD">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1F80CE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配置管理子系统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06AA77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系统配置与基础数据</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60D993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96CB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C2B837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52B8E5">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BB57A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医技确费子系统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7B5725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医技确费</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39BD5F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C24E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C38E4D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949152">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855BD1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自助机系统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D4DFA7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门诊自助</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3CC341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160F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ED8093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401C88F">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6E88E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4DE476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公共查询</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3E237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708C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65569A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D090D80">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AB7D40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统一支付对账平台</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F7DDE4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线下基础支付</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B772BD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39E2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7D00C9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A375E8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2CB92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1893E8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线上支付</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41E3F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9F76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AB64AE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C1FECA">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1DD6607">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D71F88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诊间二维码扫码支付</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5C78EC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AD13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0830A0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4161D69">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08F99D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体检系统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B30FF9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费用管理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D2DDB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EFDD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DB75F1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A5F348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0FDFDA3">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00CC5D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基础业务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4D4723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993E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D3820D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9BD404D">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3C987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06F4D2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报告管理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CD3EA5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0065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66F04D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486F72D">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C0950E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C629F5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评估审核</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61B3F5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E79B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EFFCCA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255746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98C48E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8D9AB8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检后回访管理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74844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A3D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3FE9E6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E7A9B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E9D84BA">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4FC890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职业病体检</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346491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133B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D8CE87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22</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8C224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临床诊疗</w:t>
            </w: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27255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门诊医生工作站</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E61D2B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诊疗管理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CB6827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F61A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730D2C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05319C2">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0440DA7">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A58AF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处方管理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F8F508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E5B2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5BC151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4426314">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3A8468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0296DB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申请单管理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6D77D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2295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BAAB1A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019980D">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DFAF660">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494BFB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危急值应用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5DEBC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326B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10385E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21D48C5">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6CADFD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门诊电子病历工作站</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B5292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病历录入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A612D9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13DD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3898D8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9710DE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278E7A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EF387D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病历书写</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DCCE47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A49D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3043D8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6AA266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E2D4192">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52B59B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病历模板管理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E97A6E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EE7F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A57667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6301688">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A890D10">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79FB27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门诊会诊管理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06D2B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A523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FE5ADD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1220890">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31630F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住院医生工作站</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042BFE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诊疗管理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B4747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75E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98975F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A039CA9">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F5BEFB4">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5FC1F9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医嘱管理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F7A8CC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0BF4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6F982A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45C4641">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E4990D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F42821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申请单管理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FEF2D6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E2A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4C581E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2E5921">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EBBC5F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071AC4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危急值应用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88AE3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1A0B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E71DDF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BE67EE7">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C01F0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BDB251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手术分级管理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349D0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140A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7BADB8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F2CFF96">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A6C7CD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5EE3A4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住院会诊管理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E6F76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F8CF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6FB156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71E0542">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9B1485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住院电子病历工作站</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39F2B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病历录入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C8F17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4EA7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FED443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34A46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CDC6BE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C8A5C5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病历书写助手</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63F511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1114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EF3839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75293F">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BC57DB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D4863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病案首页录入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6BA816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A166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A70AB7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9F3326">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9CD215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089032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病历授权管理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C108AC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B969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6A1829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7B8DC2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CBE2EEA">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7FA47E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病历模板管理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0E25D6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D24AEC9">
        <w:tblPrEx>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F1E991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885AB7B">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B1A9D49">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E56605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病历质控管理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C79501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641B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1D8C62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15A9E9B">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E5795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临床路径系统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86EB7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路径配置</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AFFA9A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EB0A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A17213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D77A244">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138FCDE">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23668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入出路径管理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D25274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DF64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08542D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50641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8055A41">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28B3F5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执行与变异管理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9D7BA7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3D4E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8267D1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C139C12">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81B071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4AD2A9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评估管理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B67DF6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3F2F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617AB9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8F2E06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1FC28E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DC0201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统计查询</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19BA8B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4599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618A0B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F5A60A1">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509C9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住院护士工作站</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E00CD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住院护士工作站</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3776BF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243E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1A314C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A2A6C69">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583A9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智能护理病历工作站</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DFE1C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护理文书录入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7B37D5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004D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541E50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B1F3A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2720B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AC79B0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生命体征管理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BF0C52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F2C7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05D65E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6724C03">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0225F20">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91F8E2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查询统计分析</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74F0C7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6F0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412B55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86E47E">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869DB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13D85B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护理病历阅改</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3D4C32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8385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695470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3528C5B">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F130AF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7605C4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护士交班管理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282FBB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7121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EF5E55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A2A4ACF">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437548">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81D3E6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护理计划</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966195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4A05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18FA06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5A1811D">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87F44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门急诊输液系统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6BBCE2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门急诊输液管理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1A3D62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BC82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0D498D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836551">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225F6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临床辅助决策支持信息系统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084B1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临床辅助决策支持系统</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57B17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59B3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85F4E4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56</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034F18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医技管理</w:t>
            </w: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CF329B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检验信息系统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38A2BC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条码流程管理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A97C2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05CF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F825A1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49B2E8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A399E11">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78B08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常规检验管理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ED0AD8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5510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05DFD5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DC570D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359F582">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67A3BD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微生物检验</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8E731B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BD22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2913E6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2E7070F">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4CCDC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47BE86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消息提醒平台</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56442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2357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C546A9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21108FD">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F191BE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输血管理系统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29AA5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输血申请单管理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B53607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679B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18E0D8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4AD65E4">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6E991F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7F2DDF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输血科管理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C9797C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CE91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987EF1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48343C7">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80F93C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放射科信息系统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23257F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预约登记工作站</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26AA86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CE48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E48CB4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D2201A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630D1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C547BE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技师工作站</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E55B32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150B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F3A8E2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A532383">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6491F75">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2263D2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条码流程管理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084C1C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379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B6BD47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375FC4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51C4D6E">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DF5A4C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报告管理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F7FCA8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0B96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5DB86B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5B83DD2">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3A6E8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医学影像传输与归档系统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A8F38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影像服务器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02D41E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7DCF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422CD9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7C840C1">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8990A1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27BA01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设备联机</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FC6FA5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79C0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BD3808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AE7C948">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05ACC1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438EC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影像后处理（二维、三维）</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2322D4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44DF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C497A6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A291DA2">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F7FAD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64AFD9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临床医学影像调阅</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E3872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5CF1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181C9B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290ADC">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20EAF6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超声检查系统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B426ED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检查预约及登记</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3A4593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1CDB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81A87A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CA33CB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D46F70">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B2051D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超声设备联机</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CA5A81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0D27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0B3579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60C7D36">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74A938E">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C3034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报告管理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85D12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C712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1467B9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A925073">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C3B87F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内窥镜检查系统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6DB412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检查预约及登记</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88C767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C740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99670C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912919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51D3899">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5BC0B2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报告管理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EEF8FB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1E3C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B89B1A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5B11FC">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40203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病理检查系统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96DFA7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登记及收费</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A30A8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FDAE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0E2776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DD3068D">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B418307">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D9C0F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病理取材</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5994A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6D52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F4752E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9FBD92E">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F880FC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ECF1EC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报告管理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0295DF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3CF0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3A296F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FB39A8">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679AD0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心电检查系统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17126C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院内心电系统</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53089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718E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817C78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DB50B3A">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B0937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手术管理系统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4B07A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住院手术管理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0E4466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EB58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7A74D8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105412">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12D514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手术麻醉系统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856C3E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麻醉医师工作站</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BE0516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4244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17CF24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44436A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80CAB24">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C90C7C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麻醉设备联机</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F8129B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r>
      <w:tr w14:paraId="46986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681746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82</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26D8F5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药耗管理</w:t>
            </w: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988B3B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药库管理系统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D8AD72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药品字典及价格管理/库存管理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B2753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CBA4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7995FC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0D2CCF">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E1061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门诊药房管理系统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AE1908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门诊药房库存管理/门急诊发药配药</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8E6E91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FCCD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458AE0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05130A9">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FCB968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住院药房管理系统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EC565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住院药房库存管理/住院发药摆药</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5F1E8C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0FD4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F72A60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85</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6F69D2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医疗管理</w:t>
            </w: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05733F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抗菌药物分级管理系统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20719D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规则设置</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6B5205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A6D1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A5EE2D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5DA308">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256EC37">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19A652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联合用药控制</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520D3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3FCC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19C399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C940CA7">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14513F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8D952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三级管理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1E0F3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7C2B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B45BBB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FDEDE2B">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BD5F9C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E47F8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围手术期预防性抗菌药物管理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792141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3CF9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47FFF9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F89279F">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2300F0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合理用药系统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32F72B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医生站合理用药</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1E84E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1832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8DBD52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BF0413A">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3FF3F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29919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药房发药合理用药</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DD2032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0807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A9488F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6BA5293">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E87091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D66E17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临床系统与合理用药系统对接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B179D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B815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F32B71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3BCAF71">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441E9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前置审方系统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44BB65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全院前置审方</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970AD2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3F23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9AE926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5BFCD1">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0B89CA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处方点评系统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826A9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处方点评</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75D01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A7C4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C7F0B9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E978CDB">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CB70FE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580C95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临床系统与处方点评系统对接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B37062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2F99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C2E1EC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DA70745">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B8A4B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药学智库</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F1CEC5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药学知识库</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35B78E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30F2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87271B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F6ACD04">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81D723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病案统计系统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E569CA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病案首页</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23225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3982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008C2A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088D242">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63342BA">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063560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统计报表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4B41EC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9DB1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A5B254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D0A70FB">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D2377C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CC3FA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国家网络直报系统上报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3065FF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659A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8C0CA8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84AC18E">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27EC6F5">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D4A27E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HQMS首页数据上报系统</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DDCAD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A0E7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971F97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26F33D1">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5528A4A">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C2BFA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公立医院绩效考核病案首页上报系统</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ED79D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3151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66CE50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733B8E">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994E00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不良事件上报管理系统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061A59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不良事件上报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A9BD03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8FFF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B67F75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4EA1515">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0A575C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疾病上报系统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07884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传染病报告卡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4CEB3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2746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2834DC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B02E76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C1ABD2">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103504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居民死亡报告卡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92CD31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5B86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8DDBA0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EF3D6FA">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AE3D0B9">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1C0F5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流感样病例登记卡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C8BD9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371D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850031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C149E6A">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EB9B99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026C4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心脑血管和肿瘤报告卡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62105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60D1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4017D3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87251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F4384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0FE214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食源性疾病报告卡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133658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6D21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514421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619847">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AFFD79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CE145A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其他疾病报告卡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0F79EE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r>
      <w:tr w14:paraId="61EB3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0459CC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54BEB6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F523E8">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6A9154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院内疾控助手</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9D415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3E34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272A2A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C9427E">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C2886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院感管理系统</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A9170D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院感预警</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B9063C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1F2B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003A42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9BC8F1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DB01CA2">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AC5958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院感防控</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6E4A2F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D6C9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30536D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570807E">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0AF4A2">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643AC1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环境卫生监测</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7B9441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3BD4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D07C29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A9BE73A">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32281A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2218A3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职业防护</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80F55B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C19C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413412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81D0464">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7681EEE">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DA55E8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感控目标基础监测</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A3D0A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D632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0A59FB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0CD14D">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768D2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D662D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手卫生依从性调查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303E7D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797E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EF75D2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A500B2E">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242E0C4">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2BB232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防控督导</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A7D35E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7DC3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E83320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116</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E42FE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运营管理</w:t>
            </w: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ABCD32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综合统计分析管理</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DC79E0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报表基础配置</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EBA12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3CDE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0FE227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AC8C2B9">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FA5D1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7D4A9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财务报表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A8198E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FC71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B9246E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F1073E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2A50E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0AF5D3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门诊报表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8E0A2C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16B4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C72155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07B5B19">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A3468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848E6F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住院报表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3C4B6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537E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79043B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1EA961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D75C14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0D11A2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护理报表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ECDB91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E310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1910D3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D2EB77">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3763DC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DB1F0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药剂报表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448300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8DCB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F39486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2A935C3">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809B0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B01CB9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手麻报表</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657D6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48E6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2D4963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123</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C67427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互联网医院</w:t>
            </w: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4951DB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微信公众号平台</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0B00C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基础管理</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F6D2A6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DA96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C9A00A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6809080">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C16E135">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F0C88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基础就医服务平台</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461A3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0329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C2C1C3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125</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1B4AE0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接口</w:t>
            </w: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9FD4ECC">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互联网接口</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23C17C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互联网应用接口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2443A6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AD78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BB5249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93C8A3">
            <w:pPr>
              <w:rPr>
                <w:rFonts w:hint="eastAsia" w:ascii="宋体" w:hAnsi="宋体" w:eastAsia="宋体" w:cs="宋体"/>
                <w:sz w:val="21"/>
                <w:szCs w:val="21"/>
              </w:rPr>
            </w:pP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3BE72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医疗保险接口</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A9BA8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医疗保险接口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064D2F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FC0E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E97F8A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A2D0C1">
            <w:pPr>
              <w:rPr>
                <w:rFonts w:hint="eastAsia" w:ascii="宋体" w:hAnsi="宋体" w:eastAsia="宋体" w:cs="宋体"/>
                <w:sz w:val="21"/>
                <w:szCs w:val="21"/>
              </w:rPr>
            </w:pPr>
          </w:p>
        </w:tc>
        <w:tc>
          <w:tcPr>
            <w:tcW w:w="2410"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7AAC63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政策性接口</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FDBD5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电子医保凭证接口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E3204B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97B4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AAE82A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58FC44">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842B8A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47B116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医保线上移动支付</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F24E7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6E8B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C34B87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B9F50D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80F4D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D8D0F4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医保扫脸支付</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716244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AD12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4DB461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FFC128">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793560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B66836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税务\电子票据接口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4E7B0F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D538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73520B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A6FD9F5">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C63C8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4F402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食源性疾病上报接口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88B8DE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49D0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1825E1B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47B11A">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EF0C7B6">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318F9A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省级DRGs平台接口（门诊、住院）</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D1C68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1EEF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3C95F0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F4D20AF">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89F70E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4A798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发热门诊数据上报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35EFFE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DEEF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305C23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EDB1354">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BC049A9">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3AC582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卫统4上报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43F40B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4C22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30CB6E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2F743B">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F242E8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BD75C9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国家公立医院绩效考核数据上报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DE0AC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7899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0B7315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136</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8E3CAC">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D553D22">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6E3613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流感数据上报</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50AFE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3032B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2F374F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DD1481">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BC5FF2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B5E9DF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慢病报卡上报接口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6E6D5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1562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FCE957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967349B">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042EA5B">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2E9C01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国家传染病智能监测预警前置软件接口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C2126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00460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4589CD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AADFAEE">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47E287F">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37569C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医保事中预警接口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B8EA51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42F9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A584AA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B3CDA6">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74D4D04">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291A0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医保双通道接口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DA9E97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78BE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135704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141</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3D9783E">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8BF42D4">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105B2F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医保药品追溯码接口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B548DA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A652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95F86C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142</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0BA6F2">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6F03FD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B3B45C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云南省门（急）诊诊疗信息页数据采集质量接口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AFB77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63782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487754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143</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B50D9F1">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47496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8B11B6E">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公立中医医院绩效监测中医病案首页数据质量与接口标准新增医嘱接口上传</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1362CD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46A1D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1CA4D8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144</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7CFAA31">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A538ACD">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EB42243">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临床路径上报接口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68C1CD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B098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081B107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145</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3B14DA3">
            <w:pPr>
              <w:rPr>
                <w:rFonts w:hint="eastAsia" w:ascii="宋体" w:hAnsi="宋体" w:eastAsia="宋体" w:cs="宋体"/>
                <w:sz w:val="21"/>
                <w:szCs w:val="21"/>
              </w:rPr>
            </w:pPr>
          </w:p>
        </w:tc>
        <w:tc>
          <w:tcPr>
            <w:tcW w:w="2410"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D7B9B8A">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3FEC08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医保一码付接口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B648C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1E2AC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F41ADB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146</w:t>
            </w:r>
          </w:p>
        </w:tc>
        <w:tc>
          <w:tcPr>
            <w:tcW w:w="1276"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D7662F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评级评审</w:t>
            </w:r>
          </w:p>
        </w:tc>
        <w:tc>
          <w:tcPr>
            <w:tcW w:w="241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81A030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电子病历评级实施服务</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93DE6C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实施评审服务</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E382B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D73D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D0DB6F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147</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1D68EC9">
            <w:pPr>
              <w:rPr>
                <w:rFonts w:hint="eastAsia" w:ascii="宋体" w:hAnsi="宋体" w:eastAsia="宋体" w:cs="宋体"/>
                <w:sz w:val="21"/>
                <w:szCs w:val="21"/>
              </w:rPr>
            </w:pPr>
          </w:p>
        </w:tc>
        <w:tc>
          <w:tcPr>
            <w:tcW w:w="2410" w:type="dxa"/>
            <w:vMerge w:val="restart"/>
            <w:tcBorders>
              <w:top w:val="nil"/>
              <w:left w:val="nil"/>
              <w:bottom w:val="nil"/>
              <w:right w:val="single" w:color="auto" w:sz="8" w:space="0"/>
            </w:tcBorders>
            <w:shd w:val="clear" w:color="auto" w:fill="auto"/>
            <w:tcMar>
              <w:top w:w="0" w:type="dxa"/>
              <w:left w:w="108" w:type="dxa"/>
              <w:bottom w:w="0" w:type="dxa"/>
              <w:right w:w="108" w:type="dxa"/>
            </w:tcMar>
            <w:vAlign w:val="center"/>
          </w:tcPr>
          <w:p w14:paraId="3D983B4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应用服务</w:t>
            </w: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5FFB8C0">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临床信息集成调阅</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E84B2DA">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7D258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5CC2433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148</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A428B1E">
            <w:pPr>
              <w:rPr>
                <w:rFonts w:hint="eastAsia" w:ascii="宋体" w:hAnsi="宋体" w:eastAsia="宋体" w:cs="宋体"/>
                <w:sz w:val="21"/>
                <w:szCs w:val="21"/>
              </w:rPr>
            </w:pPr>
          </w:p>
        </w:tc>
        <w:tc>
          <w:tcPr>
            <w:tcW w:w="2410" w:type="dxa"/>
            <w:vMerge w:val="continue"/>
            <w:tcBorders>
              <w:top w:val="nil"/>
              <w:left w:val="nil"/>
              <w:bottom w:val="nil"/>
              <w:right w:val="single" w:color="auto" w:sz="8" w:space="0"/>
            </w:tcBorders>
            <w:shd w:val="clear" w:color="auto" w:fill="auto"/>
            <w:tcMar>
              <w:top w:w="0" w:type="dxa"/>
              <w:left w:w="108" w:type="dxa"/>
              <w:bottom w:w="0" w:type="dxa"/>
              <w:right w:w="108" w:type="dxa"/>
            </w:tcMar>
            <w:vAlign w:val="center"/>
          </w:tcPr>
          <w:p w14:paraId="15511A4E">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41328A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病区集中配药</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D57965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229A3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3F666D6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159</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977998">
            <w:pPr>
              <w:rPr>
                <w:rFonts w:hint="eastAsia" w:ascii="宋体" w:hAnsi="宋体" w:eastAsia="宋体" w:cs="宋体"/>
                <w:sz w:val="21"/>
                <w:szCs w:val="21"/>
              </w:rPr>
            </w:pPr>
          </w:p>
        </w:tc>
        <w:tc>
          <w:tcPr>
            <w:tcW w:w="2410" w:type="dxa"/>
            <w:vMerge w:val="continue"/>
            <w:tcBorders>
              <w:top w:val="nil"/>
              <w:left w:val="nil"/>
              <w:bottom w:val="nil"/>
              <w:right w:val="single" w:color="auto" w:sz="8" w:space="0"/>
            </w:tcBorders>
            <w:shd w:val="clear" w:color="auto" w:fill="auto"/>
            <w:tcMar>
              <w:top w:w="0" w:type="dxa"/>
              <w:left w:w="108" w:type="dxa"/>
              <w:bottom w:w="0" w:type="dxa"/>
              <w:right w:w="108" w:type="dxa"/>
            </w:tcMar>
            <w:vAlign w:val="center"/>
          </w:tcPr>
          <w:p w14:paraId="050422B4">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36D811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与排队叫号系统接口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96BE06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r w14:paraId="53617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jc w:val="center"/>
        </w:trPr>
        <w:tc>
          <w:tcPr>
            <w:tcW w:w="704" w:type="dxa"/>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A00A47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150</w:t>
            </w:r>
          </w:p>
        </w:tc>
        <w:tc>
          <w:tcPr>
            <w:tcW w:w="1276"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714D21">
            <w:pPr>
              <w:rPr>
                <w:rFonts w:hint="eastAsia" w:ascii="宋体" w:hAnsi="宋体" w:eastAsia="宋体" w:cs="宋体"/>
                <w:sz w:val="21"/>
                <w:szCs w:val="21"/>
              </w:rPr>
            </w:pPr>
          </w:p>
        </w:tc>
        <w:tc>
          <w:tcPr>
            <w:tcW w:w="2410" w:type="dxa"/>
            <w:vMerge w:val="continue"/>
            <w:tcBorders>
              <w:top w:val="nil"/>
              <w:left w:val="nil"/>
              <w:bottom w:val="nil"/>
              <w:right w:val="single" w:color="auto" w:sz="8" w:space="0"/>
            </w:tcBorders>
            <w:shd w:val="clear" w:color="auto" w:fill="auto"/>
            <w:tcMar>
              <w:top w:w="0" w:type="dxa"/>
              <w:left w:w="108" w:type="dxa"/>
              <w:bottom w:w="0" w:type="dxa"/>
              <w:right w:w="108" w:type="dxa"/>
            </w:tcMar>
            <w:vAlign w:val="center"/>
          </w:tcPr>
          <w:p w14:paraId="4B5FA04C">
            <w:pPr>
              <w:rPr>
                <w:rFonts w:hint="eastAsia" w:ascii="宋体" w:hAnsi="宋体" w:eastAsia="宋体" w:cs="宋体"/>
                <w:sz w:val="21"/>
                <w:szCs w:val="21"/>
              </w:rPr>
            </w:pPr>
          </w:p>
        </w:tc>
        <w:tc>
          <w:tcPr>
            <w:tcW w:w="431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5F4EC4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与OA系统接口</w:t>
            </w:r>
          </w:p>
        </w:tc>
        <w:tc>
          <w:tcPr>
            <w:tcW w:w="963"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B0D5B0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r>
    </w:tbl>
    <w:p w14:paraId="2D615B4D">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p>
    <w:p w14:paraId="2AE34B78">
      <w:pPr>
        <w:pStyle w:val="4"/>
        <w:keepNext w:val="0"/>
        <w:keepLines w:val="0"/>
        <w:widowControl/>
        <w:suppressLineNumbers w:val="0"/>
        <w:spacing w:before="120" w:beforeAutospacing="0" w:after="120" w:afterAutospacing="0" w:line="56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2.2硬件清单</w:t>
      </w:r>
    </w:p>
    <w:tbl>
      <w:tblPr>
        <w:tblStyle w:val="42"/>
        <w:tblW w:w="95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40"/>
        <w:gridCol w:w="5000"/>
        <w:gridCol w:w="1967"/>
        <w:gridCol w:w="1549"/>
      </w:tblGrid>
      <w:tr w14:paraId="35901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4774824">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序号</w:t>
            </w:r>
          </w:p>
        </w:tc>
        <w:tc>
          <w:tcPr>
            <w:tcW w:w="500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A510E7F">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名称</w:t>
            </w:r>
          </w:p>
        </w:tc>
        <w:tc>
          <w:tcPr>
            <w:tcW w:w="1967"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383F843">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数量</w:t>
            </w:r>
          </w:p>
        </w:tc>
        <w:tc>
          <w:tcPr>
            <w:tcW w:w="154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6757ED">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单位</w:t>
            </w:r>
          </w:p>
        </w:tc>
      </w:tr>
      <w:tr w14:paraId="5486C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340B7B">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1360C33">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核心业务运行设备</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016B294">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E9205EC">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7624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B89A1D7">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C4A1861">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业务汇聚设备</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1928AE0">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FF3A5F7">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2FAEC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BF09B36">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BA8FA6D">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端点威胁检测防护与管理系统</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F9E441">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0E726B">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26AE8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0446C2E">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2FF7D20">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数据设备</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0C6C15C">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17308C0">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3BD7F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DD33BB7">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6017A2">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网关设备</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F9E4B1E">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FA6F46">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4C412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35DC70">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1D0D4E">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互联网业务运行设备</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148F749">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89B3C5">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17375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B8910E7">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186D056">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互联网汇聚设备</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74E6A7A">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ABE46A8">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055B0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D7D55E">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D16838">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自动化运维系统</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B6DAA6">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3AA4A5F">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767D6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04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B8DD9AC">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500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DBFB735">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备份设备</w:t>
            </w:r>
          </w:p>
        </w:tc>
        <w:tc>
          <w:tcPr>
            <w:tcW w:w="196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1AEBEAD">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54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74C0B4D">
            <w:pPr>
              <w:keepNext w:val="0"/>
              <w:keepLines w:val="0"/>
              <w:widowControl/>
              <w:suppressLineNumbers w:val="0"/>
              <w:spacing w:before="0" w:beforeAutospacing="0" w:after="128" w:afterAutospacing="0" w:line="420" w:lineRule="atLeas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bl>
    <w:p w14:paraId="04C9FD53">
      <w:pPr>
        <w:pStyle w:val="3"/>
        <w:keepNext w:val="0"/>
        <w:keepLines w:val="0"/>
        <w:widowControl/>
        <w:suppressLineNumbers w:val="0"/>
        <w:spacing w:before="120" w:beforeAutospacing="0" w:after="120" w:afterAutospacing="0" w:line="698" w:lineRule="atLeast"/>
        <w:ind w:left="0" w:right="0"/>
        <w:jc w:val="both"/>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三、 参数及技术要求</w:t>
      </w:r>
    </w:p>
    <w:p w14:paraId="30719741">
      <w:pPr>
        <w:pStyle w:val="4"/>
        <w:keepNext w:val="0"/>
        <w:keepLines w:val="0"/>
        <w:widowControl/>
        <w:suppressLineNumbers w:val="0"/>
        <w:spacing w:before="120" w:beforeAutospacing="0" w:after="120" w:afterAutospacing="0" w:line="56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 系统详细功能</w:t>
      </w:r>
    </w:p>
    <w:p w14:paraId="6B838033">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 患者服务</w:t>
      </w:r>
    </w:p>
    <w:p w14:paraId="77D4AA26">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3.1.1.1 门诊挂号预约子系统</w:t>
      </w:r>
    </w:p>
    <w:p w14:paraId="18D8EB08">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预约管理</w:t>
      </w:r>
    </w:p>
    <w:p w14:paraId="3A341F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l  排班管理</w:t>
      </w:r>
    </w:p>
    <w:p w14:paraId="293AF8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具备建立全院统一的预约排班模板功能，可维护科室、专家的出班信息。提供多时段、多号序规则计算、多方式的预约服务；支持当天临时增加医生、科室出班。</w:t>
      </w:r>
    </w:p>
    <w:p w14:paraId="288A01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具备设置不同的预约排班模板功能。根据法定节假日，上下午时间间隔，预约时间段等条件设置不同专家科室的预约排班模板。</w:t>
      </w:r>
    </w:p>
    <w:p w14:paraId="77AA9C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具备根据预约排班模板，手动或自动生成一段时间的预约排班信息功能。</w:t>
      </w:r>
    </w:p>
    <w:p w14:paraId="786D482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具备分时段预约功能，可针对不同科室或专家的分时段预约，并可控制非预约时段内挂号。</w:t>
      </w:r>
    </w:p>
    <w:p w14:paraId="424AC6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具备将专家预约挂号的数量及时间安排生成排班信息表的功能，并将排班信息发送给相关专家。</w:t>
      </w:r>
    </w:p>
    <w:p w14:paraId="0C039A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具备排班查询功能。</w:t>
      </w:r>
    </w:p>
    <w:p w14:paraId="3A4FCC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支持专家停诊功能，并将停诊信息通过短信接口发送给已预约此专家的患者。</w:t>
      </w:r>
    </w:p>
    <w:p w14:paraId="2ABF47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具备取消挂号预约管理功能，系统将取消挂号预约号源自动返回对应的号源池。</w:t>
      </w:r>
    </w:p>
    <w:p w14:paraId="5297FC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支持与全院消息管理系统对接，将停诊信息通过短信、企业微信、钉钉发送给患者。</w:t>
      </w:r>
    </w:p>
    <w:p w14:paraId="1B5CC9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l 患者信用管理</w:t>
      </w:r>
    </w:p>
    <w:p w14:paraId="1FA925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具备患者爽约管理功能，可灵活设置爽约规则。</w:t>
      </w:r>
    </w:p>
    <w:p w14:paraId="27899F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具备防止恶意预约功能，可根据身份证实名制预约、限制预约次数。</w:t>
      </w:r>
    </w:p>
    <w:p w14:paraId="076390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具备预约患者黑名单管理（如新增，删除，修改）与控制功能，并可设置管理规则。</w:t>
      </w:r>
    </w:p>
    <w:p w14:paraId="66E90B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●号源管理</w:t>
      </w:r>
    </w:p>
    <w:p w14:paraId="78A804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具备统一号源池和不同号源池设置功能，可针对不同的预约方式进行不同的号源管理。</w:t>
      </w:r>
    </w:p>
    <w:p w14:paraId="1672E2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具备多种预约挂号号序生成方式功能，即预约号序是否等同于挂号号序。</w:t>
      </w:r>
    </w:p>
    <w:p w14:paraId="02BF20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支持院内、自助机、网站、移动端预约方式对应不同的挂号预约号源类型功能。</w:t>
      </w:r>
    </w:p>
    <w:p w14:paraId="209E03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●统计分析</w:t>
      </w:r>
    </w:p>
    <w:p w14:paraId="46D743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具备预约就诊率、爽约率统计分析功能。</w:t>
      </w:r>
    </w:p>
    <w:p w14:paraId="74D131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具备预约渠道、人次、比例统计分析功能。</w:t>
      </w:r>
    </w:p>
    <w:p w14:paraId="643F66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具备预约情况汇总，包括科室、日期、专家等信息统计分析功能。</w:t>
      </w:r>
    </w:p>
    <w:p w14:paraId="544D5C17">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预约服务</w:t>
      </w:r>
    </w:p>
    <w:p w14:paraId="36E344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●门诊收费窗口预约</w:t>
      </w:r>
    </w:p>
    <w:p w14:paraId="6FDD5D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具备病人基本信息的登记功能。</w:t>
      </w:r>
    </w:p>
    <w:p w14:paraId="239412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具备通过病历号，IC卡等方式检索患者信息功能。</w:t>
      </w:r>
    </w:p>
    <w:p w14:paraId="56FA07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具备按时间查询排班信息功能。</w:t>
      </w:r>
    </w:p>
    <w:p w14:paraId="305F2E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具备按时间段，时间点预约功能。</w:t>
      </w:r>
    </w:p>
    <w:p w14:paraId="37317A3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具备将预约成功的号序、时间、患者信息、科室/医生、注意事项等通过凭条或短信接口反馈给患者。</w:t>
      </w:r>
    </w:p>
    <w:p w14:paraId="431882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具备新患者预约挂号登记功能。</w:t>
      </w:r>
    </w:p>
    <w:p w14:paraId="67C920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具备科室预约功能、专家预约功能、特需预约功能、专病预约功能。</w:t>
      </w:r>
    </w:p>
    <w:p w14:paraId="56B47C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具备取消预约功能。</w:t>
      </w:r>
    </w:p>
    <w:p w14:paraId="154436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具备预约成功后缴挂号费功能</w:t>
      </w:r>
    </w:p>
    <w:p w14:paraId="7FF2FB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具备模糊查询功能，显示可预约的时间表，进行实时预约挂号。</w:t>
      </w:r>
    </w:p>
    <w:p w14:paraId="14DC75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●护士站预约</w:t>
      </w:r>
    </w:p>
    <w:p w14:paraId="0F9071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具备通过病历号，IC卡等方式检索患者信息功能。</w:t>
      </w:r>
    </w:p>
    <w:p w14:paraId="09CA18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具备按时间查询排班信息功能。</w:t>
      </w:r>
    </w:p>
    <w:p w14:paraId="2D0C2E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具备按时间段，时间点预功能。</w:t>
      </w:r>
    </w:p>
    <w:p w14:paraId="7F05BA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具备将预约成功的号序、时间、患者信息、科室/医生、注意事项等通过凭条或短信接口反馈给患者。</w:t>
      </w:r>
    </w:p>
    <w:p w14:paraId="4885F1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●门诊医生预约</w:t>
      </w:r>
    </w:p>
    <w:p w14:paraId="5A727D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具备通过病历号，IC卡等方式检索患者信息功能。</w:t>
      </w:r>
    </w:p>
    <w:p w14:paraId="78C3C3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具备按时间查询排班信息功能。</w:t>
      </w:r>
    </w:p>
    <w:p w14:paraId="1EA686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具备按时间段，时间点预功能。</w:t>
      </w:r>
    </w:p>
    <w:p w14:paraId="16E29F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具备将预约成功的号序、时间、患者信息、科室/医生、注意事项等通过凭条或短信接口反馈给患者。</w:t>
      </w:r>
    </w:p>
    <w:p w14:paraId="5188E5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●住院医生预约</w:t>
      </w:r>
    </w:p>
    <w:p w14:paraId="131207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具备通过病历号，IC卡等方式检索患者信息功能。</w:t>
      </w:r>
    </w:p>
    <w:p w14:paraId="5C48C6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具备按时间查询排班信息功能。</w:t>
      </w:r>
    </w:p>
    <w:p w14:paraId="0952FD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具备按时间段，时间点预约功能。</w:t>
      </w:r>
    </w:p>
    <w:p w14:paraId="6FE10E5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具备将预约成功的号序、时间、患者信息、科室/医生、注意事项等通过凭条或短信接口反馈给患者。</w:t>
      </w:r>
    </w:p>
    <w:p w14:paraId="49DA3095">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3.1.1.2门急诊挂号子系统</w:t>
      </w:r>
    </w:p>
    <w:p w14:paraId="049FA67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患者基本信息管理</w:t>
      </w:r>
    </w:p>
    <w:p w14:paraId="725EA7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具备患者基本信息登记功能及患者基本信息维护功能。</w:t>
      </w:r>
    </w:p>
    <w:p w14:paraId="21A57D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支持医院使用多种卡类型，例如磁卡、院内IC卡等。</w:t>
      </w:r>
    </w:p>
    <w:p w14:paraId="2EBB24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具备患者打印二维码功能，并在院内流通。</w:t>
      </w:r>
    </w:p>
    <w:p w14:paraId="51ECDF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具备患者卡管理功能，同一个患者在院内可以拥有多张卡。</w:t>
      </w:r>
    </w:p>
    <w:p w14:paraId="3EEE85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具备患者信息必填控制，防止操作员漏登记患者信息。</w:t>
      </w:r>
    </w:p>
    <w:p w14:paraId="741DB6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具备光标跳转自定义功能，可以设置界面的光标跳转的顺序，操作员录入信息后回车，则光标自动跳转到设计的控件中，加快登记流程。</w:t>
      </w:r>
    </w:p>
    <w:p w14:paraId="318C3CE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具备患者卡绑定功能，患者登记时可以自动绑定医保卡。</w:t>
      </w:r>
    </w:p>
    <w:p w14:paraId="3F872F3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具备基本信息登记、患者挂号登记集成功能，挂号时新患者可以直接调出患者信息登记界面，进行患者信息登记。</w:t>
      </w:r>
    </w:p>
    <w:p w14:paraId="2383DE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具备患者信息登记帮助功能，操作员可以快速查询功能的使用说明。</w:t>
      </w:r>
    </w:p>
    <w:p w14:paraId="7F33E8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支持门诊医生站自动挂号时直接创建患者基本信息功能。</w:t>
      </w:r>
    </w:p>
    <w:p w14:paraId="43DDF4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支持读取身份证信息快速进行患者信息录入功能。</w:t>
      </w:r>
    </w:p>
    <w:p w14:paraId="4DA045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支持患者身份证当作院内卡用于院内系统流转功能。</w:t>
      </w:r>
    </w:p>
    <w:p w14:paraId="3D1612D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门急诊挂号</w:t>
      </w:r>
    </w:p>
    <w:p w14:paraId="0354F2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具备多种“挂号类别”挂号功能，包括：科室挂号、专家挂号、义诊挂号、特需挂号、免费挂号。</w:t>
      </w:r>
    </w:p>
    <w:p w14:paraId="1BFF8E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具备退号换号功能，未就诊号可以进行作废处理；未就诊的挂错科室可以进行换号。</w:t>
      </w:r>
    </w:p>
    <w:p w14:paraId="062E33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具备患者的费别修改功能，例如：将患者费别从医保修改为自费。</w:t>
      </w:r>
    </w:p>
    <w:p w14:paraId="7B2BDC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支持患者多种身份识别功能。</w:t>
      </w:r>
    </w:p>
    <w:p w14:paraId="758B72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具备挂号联动费用功能，包括根据科室、职工属性进行联动收费。</w:t>
      </w:r>
    </w:p>
    <w:p w14:paraId="603B62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具备根据代码、五笔、拼音等快速检索选取功能。</w:t>
      </w:r>
    </w:p>
    <w:p w14:paraId="100A1B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具备操作员结账、全班结账、财务确认功能。</w:t>
      </w:r>
    </w:p>
    <w:p w14:paraId="72639B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具备病人基本信息查询、挂号查询、预约信息（爽约、黑名单）查询、挂号动态图表功能。</w:t>
      </w:r>
    </w:p>
    <w:p w14:paraId="45C746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具备患者挂号号别设置功能，可以维护患者的默认号别。</w:t>
      </w:r>
    </w:p>
    <w:p w14:paraId="026F32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具备挂号限制功能，可以设置性别与科室规则、年龄与科室规则、费别与挂号类别规则、大病项目与科室规则、科室次数规则、费别与科室规则等限制规则。</w:t>
      </w:r>
    </w:p>
    <w:p w14:paraId="07884E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具备挂号发票管理设置功能，具备自定义发票模板样式设置功能。</w:t>
      </w:r>
    </w:p>
    <w:p w14:paraId="3FADD9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具备挂号费优惠功能，包括60岁以上老人挂号费减半。</w:t>
      </w:r>
    </w:p>
    <w:p w14:paraId="4CF1E2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具备挂号记录医保兑付功能。</w:t>
      </w:r>
    </w:p>
    <w:p w14:paraId="33825A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具备挂号时自动预约功能，提高医院预约率。</w:t>
      </w:r>
    </w:p>
    <w:p w14:paraId="32CCCC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支持挂号登记时使用预约记录、预检记录进行登记。</w:t>
      </w:r>
    </w:p>
    <w:p w14:paraId="7F6314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具备打印挂号凭条功能，并且凭条上可以打印二维码。</w:t>
      </w:r>
    </w:p>
    <w:p w14:paraId="2464A2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挂号后打印发票支持电子票据。</w:t>
      </w:r>
    </w:p>
    <w:p w14:paraId="166941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具备挂号次数控制功能，可以根据患者费别、挂号类型、科室、医生、大病、患者、医保科室等控制，可以设置限制次数，控制方式，提示内容等关键属性。</w:t>
      </w:r>
    </w:p>
    <w:p w14:paraId="7167E8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具备免费挂号原因设置功能，免费挂号时可以选择设置的原因。</w:t>
      </w:r>
    </w:p>
    <w:p w14:paraId="54C00D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具备滋事患者管理功能，在挂号时对滋事患者进行控制。</w:t>
      </w:r>
    </w:p>
    <w:p w14:paraId="7A60D3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具备操作员支付方式维护功能，操作员进行挂号、收费等收银时，默认为维护的支付方式。</w:t>
      </w:r>
    </w:p>
    <w:p w14:paraId="6DC3E0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具备挂号登记、门诊收费集成功能，在同一个窗口进行功能集成，达到挂号与收费功能的快速切换。</w:t>
      </w:r>
    </w:p>
    <w:p w14:paraId="2945EF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具备挂号操作员在业务界面中显示当天排班情况。</w:t>
      </w:r>
    </w:p>
    <w:p w14:paraId="425C87AE">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3.1.1.3 门急诊收费子系统</w:t>
      </w:r>
    </w:p>
    <w:p w14:paraId="6E6B9570">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门急诊收费</w:t>
      </w:r>
    </w:p>
    <w:p w14:paraId="2069B8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●门急诊收费管理</w:t>
      </w:r>
    </w:p>
    <w:p w14:paraId="403BCB7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具备刷卡读取门急诊处方功能。</w:t>
      </w:r>
    </w:p>
    <w:p w14:paraId="2314E4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支持患者多种身份识别功能。</w:t>
      </w:r>
    </w:p>
    <w:p w14:paraId="33427B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药品选取具备代码、拼音、五笔等检索方式，具备别名录入功能。</w:t>
      </w:r>
    </w:p>
    <w:p w14:paraId="7160D2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具备不挂号收费功能。</w:t>
      </w:r>
    </w:p>
    <w:p w14:paraId="1CE83C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具备不建立患者信息直接进行划价收费功能。</w:t>
      </w:r>
    </w:p>
    <w:p w14:paraId="6827ED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支持多种支付方式，包括：现金、POS机，微信，支付宝。</w:t>
      </w:r>
    </w:p>
    <w:p w14:paraId="4832C0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具备患者欠费结算功能，实现绿色通道流程。</w:t>
      </w:r>
    </w:p>
    <w:p w14:paraId="03BF18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具备根据联动设置，自动收取联动费用功能。</w:t>
      </w:r>
    </w:p>
    <w:p w14:paraId="4CE237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具备完成收费后根据设置规则自动分配发药、配药窗口功能。</w:t>
      </w:r>
    </w:p>
    <w:p w14:paraId="159F15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具备收费记录医保兑付功能。</w:t>
      </w:r>
    </w:p>
    <w:p w14:paraId="64CCFF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具备收费后不打印发票，打印收费凭条功能。</w:t>
      </w:r>
    </w:p>
    <w:p w14:paraId="4FAB24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门诊收费时，具备分方结算功能，如先收取自费处方再收取医保处方。</w:t>
      </w:r>
    </w:p>
    <w:p w14:paraId="074F7C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具备收费时更换患者费别功能。</w:t>
      </w:r>
    </w:p>
    <w:p w14:paraId="133615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具备客户端连接多台“打印机”功能，并且同时打印发票与收费凭条。</w:t>
      </w:r>
    </w:p>
    <w:p w14:paraId="3CBBD2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具备门急诊划价功能。</w:t>
      </w:r>
    </w:p>
    <w:p w14:paraId="412FCB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具备欠费补缴时进行医保缴费功能。</w:t>
      </w:r>
    </w:p>
    <w:p w14:paraId="58B7B1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●门急诊退费管理</w:t>
      </w:r>
    </w:p>
    <w:p w14:paraId="57DA68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具备全部退费和部分退费功能。</w:t>
      </w:r>
    </w:p>
    <w:p w14:paraId="66C9C9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具备当日和隔日退费功能。</w:t>
      </w:r>
    </w:p>
    <w:p w14:paraId="60A5EB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具备退费规则控制功能，由医生发起申请，药房、医技科室审核后才可以退费。</w:t>
      </w:r>
    </w:p>
    <w:p w14:paraId="70B946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●发票管理</w:t>
      </w:r>
    </w:p>
    <w:p w14:paraId="11547C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具备发票管理功能，挂号和收费可以用一卷发票，操作员可以一次领用多卷发票并登记在系统中。</w:t>
      </w:r>
    </w:p>
    <w:p w14:paraId="7CD62D7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具备分发票打印功能、发票汇总打印功能。</w:t>
      </w:r>
    </w:p>
    <w:p w14:paraId="3161F2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具备挂号发票管理设置功能，可自定义发票模板样式。</w:t>
      </w:r>
    </w:p>
    <w:p w14:paraId="7577D6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收费后打印发票支持与电子票据系统对接。</w:t>
      </w:r>
    </w:p>
    <w:p w14:paraId="58EBBA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●财务结账</w:t>
      </w:r>
    </w:p>
    <w:p w14:paraId="0B1B04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具备操作员结账、全班结账、结账单统计、预交金结账、合并结账单统计功能。</w:t>
      </w:r>
    </w:p>
    <w:p w14:paraId="2F5B0E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具备零点自动结账功能。</w:t>
      </w:r>
    </w:p>
    <w:p w14:paraId="281FE1C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●查询统计</w:t>
      </w:r>
    </w:p>
    <w:p w14:paraId="5F63B7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具备病人费用查询功能，处方查询功能。</w:t>
      </w:r>
    </w:p>
    <w:p w14:paraId="37CCA5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具备病人欠费费用查询功能。</w:t>
      </w:r>
    </w:p>
    <w:p w14:paraId="3C45A0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具备欠费患者统计形成催款报表功能。</w:t>
      </w:r>
    </w:p>
    <w:p w14:paraId="7DC558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●设置</w:t>
      </w:r>
    </w:p>
    <w:p w14:paraId="74AE29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具备不同处方设置自定义字体颜色、背景颜色功能。</w:t>
      </w:r>
    </w:p>
    <w:p w14:paraId="73FDFA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具备收发配窗口配置功能。</w:t>
      </w:r>
    </w:p>
    <w:p w14:paraId="6BF4D3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具备项目联动设置功能。</w:t>
      </w:r>
    </w:p>
    <w:p w14:paraId="2DB573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具备欠费支付原因维护功能。</w:t>
      </w:r>
    </w:p>
    <w:p w14:paraId="6C8CFA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具备医生处方保护功能，可以设置收费时是否可以修改、添加、删除医生处方。</w:t>
      </w:r>
    </w:p>
    <w:p w14:paraId="288C81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具备处方有效期控制功能。</w:t>
      </w:r>
    </w:p>
    <w:p w14:paraId="4A84DE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支持单边账查询与账单撤单处理，并且支持对账操作日志查询。</w:t>
      </w:r>
    </w:p>
    <w:p w14:paraId="23735E2A">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3.1.1.4 诊间结算子系统</w:t>
      </w:r>
    </w:p>
    <w:p w14:paraId="7E0EC297">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医生站交易结算</w:t>
      </w:r>
    </w:p>
    <w:p w14:paraId="32D0EA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诊间结算嵌入终端&amp;交易处理(不含医保)</w:t>
      </w:r>
    </w:p>
    <w:p w14:paraId="70173E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提供诊间结算嵌入式终端，进行欠费结算、自费结算、优惠结算等交易处理。</w:t>
      </w:r>
    </w:p>
    <w:p w14:paraId="553E583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发票账单管理</w:t>
      </w:r>
    </w:p>
    <w:p w14:paraId="2FCCB8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发票管理&amp;操作员结账&amp;报表管理</w:t>
      </w:r>
    </w:p>
    <w:p w14:paraId="7B6744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具备发票管理、操作员结账、个人明细账、统计报表功能</w:t>
      </w:r>
    </w:p>
    <w:p w14:paraId="66556E99">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3.1.1.5 出入院子系统</w:t>
      </w:r>
    </w:p>
    <w:p w14:paraId="005617E0">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入院管理</w:t>
      </w:r>
    </w:p>
    <w:p w14:paraId="77FAD6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具备入院登记功能，同时可生成住院病人基本信息，具备门诊基础信息自动导入功能。</w:t>
      </w:r>
    </w:p>
    <w:p w14:paraId="00E6E9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具备入院取消功能。</w:t>
      </w:r>
    </w:p>
    <w:p w14:paraId="46C50C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具备病人信息维护功能。</w:t>
      </w:r>
    </w:p>
    <w:p w14:paraId="2894FA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具备医保凭证修改功能。</w:t>
      </w:r>
    </w:p>
    <w:p w14:paraId="0039A7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具备预约住院登记功能、急观转住院功能。</w:t>
      </w:r>
    </w:p>
    <w:p w14:paraId="54EF62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具备住院预交金收退、打印、查询功能。</w:t>
      </w:r>
    </w:p>
    <w:p w14:paraId="7B5046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住院预交金收退支持使用现金、微信、支付宝、银行卡。</w:t>
      </w:r>
    </w:p>
    <w:p w14:paraId="72C66E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具备病人欠费信用额度设定功能。</w:t>
      </w:r>
    </w:p>
    <w:p w14:paraId="2D59C9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具备黑名单维护功能。</w:t>
      </w:r>
    </w:p>
    <w:p w14:paraId="6C2F02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具备预交金操作员结账。</w:t>
      </w:r>
    </w:p>
    <w:p w14:paraId="6AEA98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具备停药线设置功能。</w:t>
      </w:r>
    </w:p>
    <w:p w14:paraId="274C47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具备打印腕带功能。具备腕带模板设置功能，不同人员打印不同腕带。</w:t>
      </w:r>
    </w:p>
    <w:p w14:paraId="32E0A1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支持与门诊临床信息系统对接，使用门诊医生站开的入院单进行入院登记功能。</w:t>
      </w:r>
    </w:p>
    <w:p w14:paraId="365CEB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支持与日间手术系统对接，使用日间手术预约信息进行入院登记功能。</w:t>
      </w:r>
    </w:p>
    <w:p w14:paraId="6E1C59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支持查询住院医生站住院单。</w:t>
      </w:r>
    </w:p>
    <w:p w14:paraId="277FAE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支持特殊病人化名维护，以保护患者隐私或访问等级。</w:t>
      </w:r>
    </w:p>
    <w:p w14:paraId="045E965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具备界面动态设计功能，可以设计入院登记界面的控件是否显示、布局、光标跳转。</w:t>
      </w:r>
    </w:p>
    <w:p w14:paraId="2799BC6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出院管理</w:t>
      </w:r>
    </w:p>
    <w:p w14:paraId="7A8935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具备病人结算功能，可提供出院病人账单和住院病人费用清单。</w:t>
      </w:r>
    </w:p>
    <w:p w14:paraId="24DEBA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具备出入院一日清功能。</w:t>
      </w:r>
    </w:p>
    <w:p w14:paraId="60822C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具备住院病人费用审批功能，助力医院实现合规性流程设置。</w:t>
      </w:r>
    </w:p>
    <w:p w14:paraId="1C447A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具备多种方式结算功能，包括：出院结算、中途结算、单项目结算、欠款结算、母婴结算。</w:t>
      </w:r>
    </w:p>
    <w:p w14:paraId="1A84D0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具备患者取消结算功能。</w:t>
      </w:r>
    </w:p>
    <w:p w14:paraId="1AD0BE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具备操作员结账、全班结账、结账单统计功能。</w:t>
      </w:r>
    </w:p>
    <w:p w14:paraId="2ABC6F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具备住院病人多种信息查询功能，包括：住院病人基本信息、已登记未入区、病人医嘱、病人信息、病人预交金。</w:t>
      </w:r>
    </w:p>
    <w:p w14:paraId="02FF30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具备住院发票管理功能，包括入院预交金发票，出院结算发票。</w:t>
      </w:r>
    </w:p>
    <w:p w14:paraId="7BB1A6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结算后打印发票支持与电子票据系统对接。</w:t>
      </w:r>
    </w:p>
    <w:p w14:paraId="13EEB4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住院结算具备使用住院预交金进行结算的功能。</w:t>
      </w:r>
    </w:p>
    <w:p w14:paraId="179EE6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住院结算支持收款使用现金、微信、支付宝、银行卡。</w:t>
      </w:r>
    </w:p>
    <w:p w14:paraId="00CDB8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住院结算退款支持微信、支付宝、银行卡原路退回功能，支持银行转账功能。</w:t>
      </w:r>
    </w:p>
    <w:p w14:paraId="53FC4D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欠款结算后，具备欠款补缴功能。</w:t>
      </w:r>
    </w:p>
    <w:p w14:paraId="017963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具备欠费结算打印发票功能。</w:t>
      </w:r>
    </w:p>
    <w:p w14:paraId="30F3CB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具备欠费患者信息、费用查询功能。</w:t>
      </w:r>
    </w:p>
    <w:p w14:paraId="3DB020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具备欠费患者统计形成催款报表功能。</w:t>
      </w:r>
    </w:p>
    <w:p w14:paraId="218FE1BE">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3.1.1.6 配置子系统</w:t>
      </w:r>
    </w:p>
    <w:p w14:paraId="67AA7C1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系统配置</w:t>
      </w:r>
    </w:p>
    <w:p w14:paraId="3BE13F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具备发票设计功能，可以设计医院打印的纸质发票的格式。</w:t>
      </w:r>
    </w:p>
    <w:p w14:paraId="182765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具备新闻编辑功能，可以在登录程序时展示编辑的公告。</w:t>
      </w:r>
    </w:p>
    <w:p w14:paraId="1B8E3C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具备数据导出、数据迁移功能，快速导出、迁移医院需要的数据。</w:t>
      </w:r>
    </w:p>
    <w:p w14:paraId="3141B6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具备数据库备份功能，通过前台快速设置医院的备份数据库。</w:t>
      </w:r>
    </w:p>
    <w:p w14:paraId="7CF1B7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具备索引重建功能，通过前台快速重建医院数据库的索引。</w:t>
      </w:r>
    </w:p>
    <w:p w14:paraId="61F4BA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具备登录管理功能，操作员登录时，记录下日志，可以在前台查询到操作员登录的情况。</w:t>
      </w:r>
    </w:p>
    <w:p w14:paraId="7FD2D8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具备后台任务管理功能，可以在前台控制后台作业的运行。</w:t>
      </w:r>
    </w:p>
    <w:p w14:paraId="76C01B4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具备流程控制功能，通过设置不同参数的值，可以快速定义医院软件运行的模式。</w:t>
      </w:r>
    </w:p>
    <w:p w14:paraId="7F8117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具备医院设置功能，可以维护同库模式下不同医院的属性。</w:t>
      </w:r>
    </w:p>
    <w:p w14:paraId="04328A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具备职工岗位权限维护功能，可以设置不同岗位的功能权限。</w:t>
      </w:r>
    </w:p>
    <w:p w14:paraId="2DDF00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具备年龄设置功能，可以维护医院需要显示的病人年龄的格式。</w:t>
      </w:r>
    </w:p>
    <w:p w14:paraId="3AA821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支持基础数据同步设置，业务条线按照标准格式提供接收服务后，可以将基础数据同步到需要应用的条线。</w:t>
      </w:r>
    </w:p>
    <w:p w14:paraId="0CF6E3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具备磁卡费别设置功能，可以定义卡与费别的对应关系，通过刷不同的卡控制不同的患者费别。</w:t>
      </w:r>
    </w:p>
    <w:p w14:paraId="267045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具备数据迁移方案，支持自动进行运行库和历史库之间根据日表和年表的数据进行迁移，以确保运行库的运行效率。</w:t>
      </w:r>
    </w:p>
    <w:p w14:paraId="4763E1C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基础数据</w:t>
      </w:r>
    </w:p>
    <w:p w14:paraId="49C3A8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具备对医院管理系统正常运行所需的各项参数进行设置的功能。</w:t>
      </w:r>
    </w:p>
    <w:p w14:paraId="0D6A29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提供价表管理子系统，具备下列各项目设置功能：</w:t>
      </w:r>
    </w:p>
    <w:p w14:paraId="6A5638F2">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收费大项目设置，包括大项目代码、大项目名称、发票代码设置。</w:t>
      </w:r>
    </w:p>
    <w:p w14:paraId="49FD89E7">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收费小项目设置，包括小项目代码、小项目名称、大项目设置。</w:t>
      </w:r>
    </w:p>
    <w:p w14:paraId="130D0E0C">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特殊项目设置，包括项目代码、费别、优惠比例、特需比例设置。</w:t>
      </w:r>
    </w:p>
    <w:p w14:paraId="61832FD3">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门诊会计项目设置，包括代码、项目名称设置。</w:t>
      </w:r>
    </w:p>
    <w:p w14:paraId="594E17C4">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住院会计项目设置，包括代码、项目名称设置。</w:t>
      </w:r>
    </w:p>
    <w:p w14:paraId="7979169D">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门诊发票项目设置，包括代码、项目名称设置。</w:t>
      </w:r>
    </w:p>
    <w:p w14:paraId="011268A0">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住院发票项目设置，包括代码、项目名称设置。</w:t>
      </w:r>
    </w:p>
    <w:p w14:paraId="6E0C6098">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核算项目设置，包括代码、项目名称设置。</w:t>
      </w:r>
    </w:p>
    <w:p w14:paraId="5B202E1A">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病案项目设置，包括代码、项目名称设置。</w:t>
      </w:r>
    </w:p>
    <w:p w14:paraId="0B783F1C">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收费项目调价设置，包括新增调价单、调价时间、调价后金额设置。</w:t>
      </w:r>
    </w:p>
    <w:p w14:paraId="5EAE3E92">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诊断设置，包括代码、名称、国家诊断、中医诊断设置。</w:t>
      </w:r>
    </w:p>
    <w:p w14:paraId="4E7BAE1D">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地区设置，包括省、市、县、街道设置。</w:t>
      </w:r>
    </w:p>
    <w:p w14:paraId="21D89F2C">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频次设置，支持bid、tid等频次的设置。</w:t>
      </w:r>
    </w:p>
    <w:p w14:paraId="25AF38EF">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提供结账费别模板。</w:t>
      </w:r>
    </w:p>
    <w:p w14:paraId="23F5C4F3">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提供信息系统维护服务，支持下列项目维护：</w:t>
      </w:r>
    </w:p>
    <w:p w14:paraId="647B3D89">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基础表维护，包括一级科室、二级科室、病区代码、血型代码设置。</w:t>
      </w:r>
    </w:p>
    <w:p w14:paraId="224C5DBD">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医保维护，包括医保科室、特殊人员、人群分类、单位性质设置。</w:t>
      </w:r>
    </w:p>
    <w:p w14:paraId="70B77DFF">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门诊系统维护，包括收费代码、配药窗口设置。</w:t>
      </w:r>
    </w:p>
    <w:p w14:paraId="080F7F2A">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药品系统维护，包括药库代码、药房代码、配药人员设置。</w:t>
      </w:r>
    </w:p>
    <w:p w14:paraId="451CE647">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住院系统维护，包括药品用法、手术房间、手术麻醉设置。</w:t>
      </w:r>
    </w:p>
    <w:p w14:paraId="0F67EF3D">
      <w:pPr>
        <w:keepNext w:val="0"/>
        <w:keepLines w:val="0"/>
        <w:widowControl/>
        <w:suppressLineNumbers w:val="0"/>
        <w:spacing w:before="0" w:beforeAutospacing="0" w:after="128" w:afterAutospacing="0" w:line="420" w:lineRule="atLeast"/>
        <w:ind w:left="0" w:right="0" w:firstLine="96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系统工具维护，包括外挂报表、升级向导、发票设计的维护。</w:t>
      </w:r>
    </w:p>
    <w:p w14:paraId="23FC7FAD">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3.1.1.7 医技确费子系统</w:t>
      </w:r>
    </w:p>
    <w:p w14:paraId="5015DE3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医技确费</w:t>
      </w:r>
    </w:p>
    <w:p w14:paraId="56660C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医技确费管理完成门诊、住院医技项目确认和确认查询，实现患者收费、确费信息的即时共享。具体要求如下：</w:t>
      </w:r>
    </w:p>
    <w:p w14:paraId="66F194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具备通过刷卡或者输入病历号检索患者功能并且可以自动加载医技申请项目。</w:t>
      </w:r>
    </w:p>
    <w:p w14:paraId="350192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具备门诊、住院医技项目确认功能。</w:t>
      </w:r>
    </w:p>
    <w:p w14:paraId="1E58FC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具备按照在院患者列表显示功能。</w:t>
      </w:r>
    </w:p>
    <w:p w14:paraId="1A244F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具备显示申请单和历史诊断信息功能。</w:t>
      </w:r>
    </w:p>
    <w:p w14:paraId="10836B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具备按照科室自动加载指定科室医技申请项目功能。</w:t>
      </w:r>
    </w:p>
    <w:p w14:paraId="3F3968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具备通过刷卡或者输入病历号、处方号、门诊号、姓名和身份证号等检索患者的功能并且自动加载已经经过确认的医技申请项目。</w:t>
      </w:r>
    </w:p>
    <w:p w14:paraId="0A71AC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具备住院医技退费、门诊医技取消确认功能。</w:t>
      </w:r>
    </w:p>
    <w:p w14:paraId="236032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医技退费时具备生成新的医技请求以备再次进行医技确认的功能。</w:t>
      </w:r>
    </w:p>
    <w:p w14:paraId="3283A5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具备对病区或手术室的医技请求补录项目功能，包括药品和材料等其他项目。</w:t>
      </w:r>
    </w:p>
    <w:p w14:paraId="4CED986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具备组套维护和添加功能。</w:t>
      </w:r>
    </w:p>
    <w:p w14:paraId="7E9866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具备帮助功能，核心业务模块操作员可以快速查询业务流程使用说明。</w:t>
      </w:r>
    </w:p>
    <w:p w14:paraId="246098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具备通科功能。</w:t>
      </w:r>
    </w:p>
    <w:p w14:paraId="2D87A6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具备对门诊医技请求补录项目的功能，包含材料等其他医技项目。</w:t>
      </w:r>
    </w:p>
    <w:p w14:paraId="6E2539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具备门诊医技收费多特病拆分结算功能。</w:t>
      </w:r>
    </w:p>
    <w:p w14:paraId="730BDB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具备患者入院前检查确费功能。</w:t>
      </w:r>
    </w:p>
    <w:p w14:paraId="0ACF68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具备住院汇总领药功能。</w:t>
      </w:r>
    </w:p>
    <w:p w14:paraId="17C7D5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具体汇总领药查询功能。</w:t>
      </w:r>
    </w:p>
    <w:p w14:paraId="6308BB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具备住院公用药品领药申请功能。</w:t>
      </w:r>
    </w:p>
    <w:p w14:paraId="4E236B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具备定义成套医技项目功能。</w:t>
      </w:r>
    </w:p>
    <w:p w14:paraId="2F47EA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具备住院补记账和补记账作废功能。</w:t>
      </w:r>
    </w:p>
    <w:p w14:paraId="253080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具备住院医技补记账部分退费功能。</w:t>
      </w:r>
    </w:p>
    <w:p w14:paraId="03EF472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具备医技补记账预留补录高值扫码费用功能。</w:t>
      </w:r>
    </w:p>
    <w:p w14:paraId="147D17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具备医技补记账批量患者补录费用功能。</w:t>
      </w:r>
    </w:p>
    <w:p w14:paraId="71A8DD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具备医技收费查询功能。</w:t>
      </w:r>
    </w:p>
    <w:p w14:paraId="4A4382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具备住院发药单补打功能。</w:t>
      </w:r>
    </w:p>
    <w:p w14:paraId="325810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具备医技申请单批量打印功能。</w:t>
      </w:r>
    </w:p>
    <w:p w14:paraId="27E2AE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具备综合报表统计查询及打印功能。</w:t>
      </w:r>
    </w:p>
    <w:p w14:paraId="165616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具备医技工作量查询功能。</w:t>
      </w:r>
    </w:p>
    <w:p w14:paraId="463F36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具备门诊医技收费查询功能。</w:t>
      </w:r>
    </w:p>
    <w:p w14:paraId="208E4D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具备凭条补打功能。</w:t>
      </w:r>
    </w:p>
    <w:p w14:paraId="39F3D1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具备门诊医技收费按照患者列表显示，具备按患者确费功能。</w:t>
      </w:r>
    </w:p>
    <w:p w14:paraId="61DBEF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具备门诊医技收费补录临床项目可以选择明细小项目功能。</w:t>
      </w:r>
    </w:p>
    <w:p w14:paraId="5751FE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具备打印机设置功能。</w:t>
      </w:r>
    </w:p>
    <w:p w14:paraId="3AA92B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具备导诊科室功能，导诊科室包含部分指定医技科室权限功能。</w:t>
      </w:r>
    </w:p>
    <w:p w14:paraId="6F74C4A3">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3.1.1.8 自助机系统</w:t>
      </w:r>
    </w:p>
    <w:p w14:paraId="13D913C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门诊自助</w:t>
      </w:r>
    </w:p>
    <w:p w14:paraId="744384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●自助预约</w:t>
      </w:r>
    </w:p>
    <w:p w14:paraId="790781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预约挂号登记</w:t>
      </w:r>
    </w:p>
    <w:p w14:paraId="145210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具备患者通过身份验证后，按照科室、医生、日期检索预约号源信息功能。</w:t>
      </w:r>
    </w:p>
    <w:p w14:paraId="6CDCD8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具备患者选择科室时按照一级科室、二级科室分类选择功能。</w:t>
      </w:r>
    </w:p>
    <w:p w14:paraId="3B94C7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具备患者选择预约科目时，按日期选择科室医生或按科室医生选择日期功能。</w:t>
      </w:r>
    </w:p>
    <w:p w14:paraId="410533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具备按照时间段和时间点进行号源预约功能。</w:t>
      </w:r>
    </w:p>
    <w:p w14:paraId="043604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具备预约时患者修改预留电话号码功能。</w:t>
      </w:r>
    </w:p>
    <w:p w14:paraId="1F49D7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具备自助预约成功后打印预约凭证功能。</w:t>
      </w:r>
    </w:p>
    <w:p w14:paraId="7839A5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预约取消</w:t>
      </w:r>
    </w:p>
    <w:p w14:paraId="4F7284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具备患者在自助机上预约后取消预约功能。</w:t>
      </w:r>
    </w:p>
    <w:p w14:paraId="76245C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具备通过其他途径（如微信公众号）预约的患者在自助机上取消预约功能。</w:t>
      </w:r>
    </w:p>
    <w:p w14:paraId="2EA346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预约取号</w:t>
      </w:r>
    </w:p>
    <w:p w14:paraId="1EA506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具备预约后患者就诊当天在自助机上进行取号功能。</w:t>
      </w:r>
    </w:p>
    <w:p w14:paraId="4A4893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具备取号时支付挂号费用功能，支付方式支持院内账户、银行卡、移动支付（支付宝、微信），具备调用院内账户充值后再支付功能。</w:t>
      </w:r>
    </w:p>
    <w:p w14:paraId="44C857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支持调用医保改造接口完成自助普通医保结算功能。</w:t>
      </w:r>
    </w:p>
    <w:p w14:paraId="039095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具备取号后打印挂号凭证功能。</w:t>
      </w:r>
    </w:p>
    <w:p w14:paraId="70142B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●自助挂号</w:t>
      </w:r>
    </w:p>
    <w:p w14:paraId="085730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号源查询展示</w:t>
      </w:r>
    </w:p>
    <w:p w14:paraId="434543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具备患者通过读卡后，在选择医院当班科室和医生时，能够按照普通、专家、特需、专病分类显示功能。</w:t>
      </w:r>
    </w:p>
    <w:p w14:paraId="45C64C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具备显示医生职称、价格、已挂号人次，剩余号数功能。</w:t>
      </w:r>
    </w:p>
    <w:p w14:paraId="66E747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挂号登记</w:t>
      </w:r>
    </w:p>
    <w:p w14:paraId="42693A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支持支付挂号费用时选择院内账户、银行卡、移动支付（支付宝、微信、云闪付、刷脸付）支付，具备调用院内账户充值后再支付功能。</w:t>
      </w:r>
    </w:p>
    <w:p w14:paraId="3D3D17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支持调用医保改造接口完成自助普通医保结算功能。</w:t>
      </w:r>
    </w:p>
    <w:p w14:paraId="783933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具备挂号后打印挂号凭证功能。</w:t>
      </w:r>
    </w:p>
    <w:p w14:paraId="068F79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具备挂号后自动进入分诊队列功能。</w:t>
      </w:r>
    </w:p>
    <w:p w14:paraId="61924D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●自助缴费</w:t>
      </w:r>
    </w:p>
    <w:p w14:paraId="551840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待缴费处方查询</w:t>
      </w:r>
    </w:p>
    <w:p w14:paraId="0FB54F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具备患者通过身份验证后，选择需要待缴费处方进行支付或者查看处方明细功能。</w:t>
      </w:r>
    </w:p>
    <w:p w14:paraId="3B66AE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具备显示待缴费处方的开方时间、开方医生、金额、科室信息功能。</w:t>
      </w:r>
    </w:p>
    <w:p w14:paraId="0BB5A0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缴费结算</w:t>
      </w:r>
    </w:p>
    <w:p w14:paraId="79F68D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支持支付缴费费用时选择院内账户、银行卡、移动支付（支付宝、微信）支付，具备调用院内账户充值后再支付功能。</w:t>
      </w:r>
    </w:p>
    <w:p w14:paraId="470E70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支持调用医保改造接口完成自助普通医保结算功能。</w:t>
      </w:r>
    </w:p>
    <w:p w14:paraId="6D9C422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具备自助缴费后药品处方自动进入药房排队序列功能。</w:t>
      </w:r>
    </w:p>
    <w:p w14:paraId="6E157C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信息公告</w:t>
      </w:r>
    </w:p>
    <w:p w14:paraId="2B645E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具备医院介绍查询功能。</w:t>
      </w:r>
    </w:p>
    <w:p w14:paraId="375FFE3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具备科室简介、专家职称简介查询功能，支持从通过接口从医院信息系统中同步基础资料功能。</w:t>
      </w:r>
    </w:p>
    <w:p w14:paraId="39D871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具备医保政策宣传查询功能。</w:t>
      </w:r>
    </w:p>
    <w:p w14:paraId="58BC59BF">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公共查询</w:t>
      </w:r>
    </w:p>
    <w:p w14:paraId="409D40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门诊费用查询</w:t>
      </w:r>
    </w:p>
    <w:p w14:paraId="19CBB1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患者个人查询</w:t>
      </w:r>
    </w:p>
    <w:p w14:paraId="528977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具备读卡后查询门急诊挂号缴费记录信息及明细功能。</w:t>
      </w:r>
    </w:p>
    <w:p w14:paraId="3E8F71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具备读卡后查询门诊充值记录明细功能。</w:t>
      </w:r>
    </w:p>
    <w:p w14:paraId="7E9964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具备读卡后查询个人信息、院内账户余额、医保卡病人医保账户余额功能。</w:t>
      </w:r>
    </w:p>
    <w:p w14:paraId="22E4E6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具备门急诊挂号缴费凭条补打印和发票补打印功能。</w:t>
      </w:r>
    </w:p>
    <w:p w14:paraId="2ADB7B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价格查询</w:t>
      </w:r>
    </w:p>
    <w:p w14:paraId="7ECA7D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具备药品价格查询功能。</w:t>
      </w:r>
    </w:p>
    <w:p w14:paraId="4ACE47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具备检查检验项目价格查询功能。</w:t>
      </w:r>
    </w:p>
    <w:p w14:paraId="778813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 自助机实施服务</w:t>
      </w:r>
    </w:p>
    <w:p w14:paraId="3AC977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需完成自助机设备的安装调试。</w:t>
      </w:r>
    </w:p>
    <w:p w14:paraId="21D4B71A">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3.1.1.9 统一支付平台系统</w:t>
      </w:r>
    </w:p>
    <w:p w14:paraId="7CC07BE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(1)线下基础支付</w:t>
      </w:r>
    </w:p>
    <w:p w14:paraId="28B7FD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为医院建设统一支付平台，统一对接支付宝、微信第三方支付渠道，医院无需在单独和支付宝、微信对接。</w:t>
      </w:r>
    </w:p>
    <w:p w14:paraId="4DED1C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●支付配置</w:t>
      </w:r>
    </w:p>
    <w:p w14:paraId="0B6FE4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部署配置</w:t>
      </w:r>
    </w:p>
    <w:p w14:paraId="1E2BEA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投标厂商需管理院内支付服务的部署情况，根据不同部署模式展示部署图。</w:t>
      </w:r>
    </w:p>
    <w:p w14:paraId="21E9A5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支付商户</w:t>
      </w:r>
    </w:p>
    <w:p w14:paraId="5EBA8E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根据院内的支付业务情况，针对不同支付业务场景、不同渠道进行商户号管理。</w:t>
      </w:r>
    </w:p>
    <w:p w14:paraId="408D32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收费链路配置</w:t>
      </w:r>
    </w:p>
    <w:p w14:paraId="189A24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投标厂商需维护院内收费应用、院区等关联关系，形成直观的管理维度。</w:t>
      </w:r>
    </w:p>
    <w:p w14:paraId="6E0BCC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支付配置</w:t>
      </w:r>
    </w:p>
    <w:p w14:paraId="0AE943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配置不同支付渠道的appid、商户号等支付能力。同时投标厂商需要提供支付配置的自动备份、还原功能。</w:t>
      </w:r>
    </w:p>
    <w:p w14:paraId="7C326A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账单配置</w:t>
      </w:r>
    </w:p>
    <w:p w14:paraId="3BF0F2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投标厂商需配置账单拉取逻辑，对接支付渠道，获得各个渠道的账单。</w:t>
      </w:r>
    </w:p>
    <w:p w14:paraId="4B29816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应用访问管理</w:t>
      </w:r>
    </w:p>
    <w:p w14:paraId="0B2754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投标厂商需管理院内收费应用，维护收费应用的访问安全参数。</w:t>
      </w:r>
    </w:p>
    <w:p w14:paraId="34F41A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支付视图</w:t>
      </w:r>
    </w:p>
    <w:p w14:paraId="742924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投标厂商需提供直观的院内收费链路展示功能，展示包括院区、收费应用、支付渠道的关系，协助院方梳理支付的情况。</w:t>
      </w:r>
    </w:p>
    <w:p w14:paraId="7984F23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●系统管理</w:t>
      </w:r>
    </w:p>
    <w:p w14:paraId="2838BC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用户管理</w:t>
      </w:r>
    </w:p>
    <w:p w14:paraId="253377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具备用户账号增删改管理功能，包括：登录名、密码、用户姓名、手机、邮箱、所属机构等相关信息。同时可对用户账号状态进行管理，进行冻结、解锁等操作。</w:t>
      </w:r>
    </w:p>
    <w:p w14:paraId="17A0211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角色管理</w:t>
      </w:r>
    </w:p>
    <w:p w14:paraId="4AB6C9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具备定义角色名称、权限，对角色的增删改处理功能，可查看拥有当前角色的账号人员清单。</w:t>
      </w:r>
    </w:p>
    <w:p w14:paraId="23BCD9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日志管理</w:t>
      </w:r>
    </w:p>
    <w:p w14:paraId="5F21B3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投标机构需管理日常各类支付方式下单请求、支付请求的推送日志，包括与内外部系统接口交互的入参和出参。</w:t>
      </w:r>
    </w:p>
    <w:p w14:paraId="1561E2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门诊窗口、住院窗口、自助机三个场景（支付宝、微信）</w:t>
      </w:r>
    </w:p>
    <w:p w14:paraId="077DEA4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窗口扫码支付</w:t>
      </w:r>
    </w:p>
    <w:p w14:paraId="3783C0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投标厂商需支持患者在门诊/住院窗口对就诊费用（挂号、检验检查项目、药品等费用）进行医保结算后，自费部分费用通过支付宝、微信第三方支付方式进行扫码支付。</w:t>
      </w:r>
    </w:p>
    <w:p w14:paraId="29BFA6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自助机扫码支付</w:t>
      </w:r>
    </w:p>
    <w:p w14:paraId="52F50D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投标厂商需支持患者在自助机上对就诊费用（挂号、检验检查项目、药品、住院预缴金等费用）进行医保结算后，自费部分费用通过支付宝、微信第三方支付方式进行扫码支付。</w:t>
      </w:r>
    </w:p>
    <w:p w14:paraId="2963A3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对账功能</w:t>
      </w:r>
    </w:p>
    <w:p w14:paraId="0B10F2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投标厂商需为医院财务人员提供统一对账平台，对账平台需满足以下对账需求。</w:t>
      </w:r>
    </w:p>
    <w:p w14:paraId="010E18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多方渠道统一对账</w:t>
      </w:r>
    </w:p>
    <w:p w14:paraId="5BBC14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提供多方支付渠道统一对账服务，包括支付宝、微信支付渠道。</w:t>
      </w:r>
    </w:p>
    <w:p w14:paraId="08794D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具备自动展示当日资金对账情况功能，并能直观显示对账结果。</w:t>
      </w:r>
    </w:p>
    <w:p w14:paraId="274F4D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提供对账数据对比情况以及今日对账结果展示。</w:t>
      </w:r>
    </w:p>
    <w:p w14:paraId="317E9F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提供单边账日期提醒、单边账原因说明以及单边账处理机制。</w:t>
      </w:r>
    </w:p>
    <w:p w14:paraId="300401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具备记录对账人员最后一次对账时间、登录对账操作员、待处理单边账起始日期功能。</w:t>
      </w:r>
    </w:p>
    <w:p w14:paraId="0449A7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为财务对账提供不同筛选条件。如：院区、订单来源等。</w:t>
      </w:r>
    </w:p>
    <w:p w14:paraId="2A5E9D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具备导出报表、刷新报表功能。</w:t>
      </w:r>
    </w:p>
    <w:p w14:paraId="05B8EA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对账记录追溯查询</w:t>
      </w:r>
    </w:p>
    <w:p w14:paraId="4D1D81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具备最后一次对账时间、对账操作员等信息查看功能。</w:t>
      </w:r>
    </w:p>
    <w:p w14:paraId="6C2C26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支持重新对账，系统能够再次自动重新获取对账单。</w:t>
      </w:r>
    </w:p>
    <w:p w14:paraId="61E9F1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单边账预警</w:t>
      </w:r>
    </w:p>
    <w:p w14:paraId="2A973E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单边账预警：支持查询当日产生的或已处理的单边账情况。</w:t>
      </w:r>
    </w:p>
    <w:p w14:paraId="1C3D20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单边账提醒：提供待处理单边账处理日期、单边账日期日历提醒等方式。</w:t>
      </w:r>
    </w:p>
    <w:p w14:paraId="46578A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单边账原因说明：提供单边账列表，并可查看该笔订单的详细信息。</w:t>
      </w:r>
    </w:p>
    <w:p w14:paraId="75D886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单边账处理：提供单边账的操作处理。</w:t>
      </w:r>
    </w:p>
    <w:p w14:paraId="11CF384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(2)线上支付</w:t>
      </w:r>
    </w:p>
    <w:p w14:paraId="0467F3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收银台-自费</w:t>
      </w:r>
    </w:p>
    <w:p w14:paraId="2705E9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投标厂商需为医疗机构实现自费患者线上支付功能。</w:t>
      </w:r>
    </w:p>
    <w:p w14:paraId="3BA76724">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（3）诊间二维码扫码支付</w:t>
      </w:r>
    </w:p>
    <w:p w14:paraId="7394D0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投标厂商需支持患者通过医生下达处方或开完医技检查单后，诊间提供给自费患者带有二维码的结算单，自费患者可以通过支付宝或微信“扫一扫”功能，扫描结算单上的二维码完成自费支付。</w:t>
      </w:r>
    </w:p>
    <w:p w14:paraId="526225ED">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3.1.1.10 体检系统</w:t>
      </w:r>
    </w:p>
    <w:p w14:paraId="7FCB051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费用管理</w:t>
      </w:r>
    </w:p>
    <w:p w14:paraId="694098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体检收费管理</w:t>
      </w:r>
    </w:p>
    <w:p w14:paraId="32DAB3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具备定位查询自费账单和单位账单，查询自费账单功能。</w:t>
      </w:r>
    </w:p>
    <w:p w14:paraId="7C38C3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具备收费并打印收据功能。</w:t>
      </w:r>
    </w:p>
    <w:p w14:paraId="55F2C9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具备全部退费和部分退费功能。</w:t>
      </w:r>
    </w:p>
    <w:p w14:paraId="5F32C7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具备查看收费记录功能。</w:t>
      </w:r>
    </w:p>
    <w:p w14:paraId="3DD673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支持对接收费报价器，实现收费时语音提示功能。</w:t>
      </w:r>
    </w:p>
    <w:p w14:paraId="35B0C2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个人体检账单管理</w:t>
      </w:r>
    </w:p>
    <w:p w14:paraId="7C7B26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具备个人体检项目账单收费信息及明细项目账单显示功能。</w:t>
      </w:r>
    </w:p>
    <w:p w14:paraId="1716D7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具备个人体检项目账单增加、修改、删除功能。</w:t>
      </w:r>
    </w:p>
    <w:p w14:paraId="4ED8BF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具备信息修改功能，包含：基本信息、体检信息、体检项目信息、体检费用信息。</w:t>
      </w:r>
    </w:p>
    <w:p w14:paraId="1C8519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具备体检过程中项目变更（加项目或退项目）、账单费用变更的处理功能。</w:t>
      </w:r>
    </w:p>
    <w:p w14:paraId="6CD7EA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单位账单管理</w:t>
      </w:r>
    </w:p>
    <w:p w14:paraId="5AA9BE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具备统计单位人员体检情况、项目信息及费用信息功能。</w:t>
      </w:r>
    </w:p>
    <w:p w14:paraId="39D2DC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具备新建单位人员账单，支持对单位部门进行单独结账功能。</w:t>
      </w:r>
    </w:p>
    <w:p w14:paraId="085E233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具备新建账单时按体检日期、分组对体检人员进行筛选功能。</w:t>
      </w:r>
    </w:p>
    <w:p w14:paraId="42F047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具备对体检人员结算方式的选择，包括按分组结算、按项目合计结算功能。</w:t>
      </w:r>
    </w:p>
    <w:p w14:paraId="2A239A6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基础业务</w:t>
      </w:r>
    </w:p>
    <w:p w14:paraId="17E036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体检电生理设备联机</w:t>
      </w:r>
    </w:p>
    <w:p w14:paraId="72DECF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支持与身高体重仪、电子血压计、动脉硬化检测、骨密度检测、人体成分、脑血流、眼底摄片、肝纤维、C13/C14等检查设备联机，自动获取体征数据。</w:t>
      </w:r>
    </w:p>
    <w:p w14:paraId="76F1FF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个人/单位体检管理</w:t>
      </w:r>
    </w:p>
    <w:p w14:paraId="275FE4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个人体检登记管理</w:t>
      </w:r>
    </w:p>
    <w:p w14:paraId="547CA0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具备基本信息登记功能，通过卡号/姓名/拼音/身份证号定位人员信息。</w:t>
      </w:r>
    </w:p>
    <w:p w14:paraId="0FF4F7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具备基本信息登记时直接读取身份证的信息与照片功能。</w:t>
      </w:r>
    </w:p>
    <w:p w14:paraId="140A20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支持用摄像头现场进行人员的照片信息采集。</w:t>
      </w:r>
    </w:p>
    <w:p w14:paraId="5D60F8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具备模糊匹配系统中存在的人员信息功能。</w:t>
      </w:r>
    </w:p>
    <w:p w14:paraId="7C766B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具备项目登记时，输入/修改体检的整体优惠比例或某一个体检项目的优惠比例功能。</w:t>
      </w:r>
    </w:p>
    <w:p w14:paraId="33EAC8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具备可选套餐列表,显示已经设定的可选体检套餐功能，可为个人增加体检套餐。</w:t>
      </w:r>
    </w:p>
    <w:p w14:paraId="5F2311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具备项目登记时，增加非套餐项目功能。</w:t>
      </w:r>
    </w:p>
    <w:p w14:paraId="538799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具备复制当前人员历史体检记录的项目，具备复制当天其他散客体检登记的项目功能。</w:t>
      </w:r>
    </w:p>
    <w:p w14:paraId="00F827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个人关键信息维护</w:t>
      </w:r>
    </w:p>
    <w:p w14:paraId="36A940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具备对人员基本信息进行维护及修改功能。</w:t>
      </w:r>
    </w:p>
    <w:p w14:paraId="339FD1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具备按照姓名、身份证、卡号定位个人功能。</w:t>
      </w:r>
    </w:p>
    <w:p w14:paraId="244181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单位信息维护</w:t>
      </w:r>
    </w:p>
    <w:p w14:paraId="36AF46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具备增加单位信息功能。</w:t>
      </w:r>
    </w:p>
    <w:p w14:paraId="07CC10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具备维护原有单位信息功能。</w:t>
      </w:r>
    </w:p>
    <w:p w14:paraId="773D2B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具备新增一个团队或删除当前的团队，可按代码、拼音、五笔选择团队，显示团队基本信息及单位信息功能。</w:t>
      </w:r>
    </w:p>
    <w:p w14:paraId="3152CA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具备维护多种团队记录体检状态，如未体检、体检中、体检结束功能。</w:t>
      </w:r>
    </w:p>
    <w:p w14:paraId="2F389AC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具备按机构区分单位，不同机构可增加不同单位功能。</w:t>
      </w:r>
    </w:p>
    <w:p w14:paraId="65A8EA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单位分组管理</w:t>
      </w:r>
    </w:p>
    <w:p w14:paraId="7D4D2A7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具备不同单位分组设置不同结算方式进行费用管理功能。</w:t>
      </w:r>
    </w:p>
    <w:p w14:paraId="54036A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具备对同一单位的体检人员进行分组功能。</w:t>
      </w:r>
    </w:p>
    <w:p w14:paraId="121C21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具备对不同分组设置选择不同优惠折扣功能。</w:t>
      </w:r>
    </w:p>
    <w:p w14:paraId="47E414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具备对不同分组设置选择不同套餐功能。</w:t>
      </w:r>
    </w:p>
    <w:p w14:paraId="5B6936F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单位预约管理</w:t>
      </w:r>
    </w:p>
    <w:p w14:paraId="18055E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当面临人数过多的单位体检时，提前预约体检及登记，能有效的减少体检人员在体检时排队等候的时间，并且能够减轻登记员的工作量，给予体检中心相应的时间进行合理的安排，保证体检资源的合理分配。要求如下：</w:t>
      </w:r>
    </w:p>
    <w:p w14:paraId="714546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具备单个人员预约信息添加功能。</w:t>
      </w:r>
    </w:p>
    <w:p w14:paraId="1AA35B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具备管理、添加、删除预约体检单位人员信息功能。</w:t>
      </w:r>
    </w:p>
    <w:p w14:paraId="353A05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具备EXCEL导入或导出体检单位人员、部门功能。</w:t>
      </w:r>
    </w:p>
    <w:p w14:paraId="08281A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具备体检单位人员自动分组或手动分组功能。</w:t>
      </w:r>
    </w:p>
    <w:p w14:paraId="28652C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具备体检单位人员批量设置分组功能。</w:t>
      </w:r>
    </w:p>
    <w:p w14:paraId="0901E4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具备体检单位人员批量正式登记功能。</w:t>
      </w:r>
    </w:p>
    <w:p w14:paraId="1EE092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单位体检项目修改</w:t>
      </w:r>
    </w:p>
    <w:p w14:paraId="5CBDBE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单位人员体检过程中可进行临时增加人员体检，也可对单位体检人员进行项目变更（加项目、退项目、打折）的处理。要求如下：</w:t>
      </w:r>
    </w:p>
    <w:p w14:paraId="1F8E5C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具备正在体检的单位临时增加人员体检功能。</w:t>
      </w:r>
    </w:p>
    <w:p w14:paraId="122B33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具备将新增加的个人体检列入已存在或新增加的分组中功能。</w:t>
      </w:r>
    </w:p>
    <w:p w14:paraId="5A4508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具备对新增加的个人体检项目进行单独的修改、增加、删除操作。对于单位体检人员，正式登记后，可进行项目修改功能。</w:t>
      </w:r>
    </w:p>
    <w:p w14:paraId="7CD19A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具备批量增加、批量删除、批量修改分组功能。</w:t>
      </w:r>
    </w:p>
    <w:p w14:paraId="3CCE8B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具备导入体检人员照片信息功能。</w:t>
      </w:r>
    </w:p>
    <w:p w14:paraId="551544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具备人员模糊检索及精确定位功能，具备多选及快捷键多选功能。</w:t>
      </w:r>
    </w:p>
    <w:p w14:paraId="374754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具备批量发送、回收账单功能。</w:t>
      </w:r>
    </w:p>
    <w:p w14:paraId="605451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检中流程管理</w:t>
      </w:r>
    </w:p>
    <w:p w14:paraId="651FD5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检中全流程服务</w:t>
      </w:r>
    </w:p>
    <w:p w14:paraId="0D8AE4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统一管理体检人员确认到检、导检单条形码打印、信息更改、放弃项目、延期检查、报告期限管理相关功能，同时图表显示体检进度统计。要求如下：</w:t>
      </w:r>
    </w:p>
    <w:p w14:paraId="7C1CFA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具备新增加，删除，修改体检人员，维护人员信息功能。 </w:t>
      </w:r>
    </w:p>
    <w:p w14:paraId="6829B6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具备体检人员照片设置或身份证扫描功能。</w:t>
      </w:r>
    </w:p>
    <w:p w14:paraId="1D475A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具备查找体检客户功能，包括：磁卡号、拼音、五笔、手机号、电话、单位等。</w:t>
      </w:r>
    </w:p>
    <w:p w14:paraId="5B7E7F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具备智能检索功能，包括：精确定位、当天查询、高级查询。</w:t>
      </w:r>
    </w:p>
    <w:p w14:paraId="3D64A2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具备预览/打印导检单、条形码、收据单功能。</w:t>
      </w:r>
    </w:p>
    <w:p w14:paraId="56E93B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具备对体检人员的体检项目状态更改功能。</w:t>
      </w:r>
    </w:p>
    <w:p w14:paraId="6B1653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具备查询统计体检人员体检情况功能。</w:t>
      </w:r>
    </w:p>
    <w:p w14:paraId="35AE8A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体检结果录入</w:t>
      </w:r>
    </w:p>
    <w:p w14:paraId="2117C0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实现医生对体检人员的相关检查结果完成录入工作。医生录入或修改常规项目检查结果的功能界面，提供相关字典选项辅助输入，同时显示同一体检人员历次体检结果对比。要求如下：</w:t>
      </w:r>
    </w:p>
    <w:p w14:paraId="77837D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具备对各科体检结果和个人资料的查看和录入功能。</w:t>
      </w:r>
    </w:p>
    <w:p w14:paraId="13B2E4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具备在体检结果录入时默认、异常结果鼠标选择录入、异常结果自由组合选择录入、异常结果编码录入、数值结果极限值自动判断、数值结果偏高偏低自动提示、阳性结果自动标定功能。</w:t>
      </w:r>
    </w:p>
    <w:p w14:paraId="2D6106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具备血压、BMI指数的智能评价功能。</w:t>
      </w:r>
    </w:p>
    <w:p w14:paraId="13BF36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具备控制设置科室的医生才能对相应科室的结果进行录入。如内科医生只能对体检人员的内科检查项目进行录入功能。</w:t>
      </w:r>
    </w:p>
    <w:p w14:paraId="085951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具备通过开关设置是否可以有某个人进行对体检结果的统一录入功能。</w:t>
      </w:r>
    </w:p>
    <w:p w14:paraId="143EFE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具备初步意见直接选择初步意见模板功能。</w:t>
      </w:r>
    </w:p>
    <w:p w14:paraId="3128FB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具备输入结果的校验功能，不符合条件的不能通过功能。</w:t>
      </w:r>
    </w:p>
    <w:p w14:paraId="2EC33B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具备自动读取检验、检查项目结果，并自动引用功能。</w:t>
      </w:r>
    </w:p>
    <w:p w14:paraId="6A96D7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具备医生查询当前已体检人员数量，待体检人员数量功能。</w:t>
      </w:r>
    </w:p>
    <w:p w14:paraId="125B68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具备查看当前体检人员历史体检报告信息并进行对比功能。</w:t>
      </w:r>
    </w:p>
    <w:p w14:paraId="38C0A7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具备在体检中录入检查项目报告功能。</w:t>
      </w:r>
    </w:p>
    <w:p w14:paraId="2D3F7E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个人历次体检对比</w:t>
      </w:r>
    </w:p>
    <w:p w14:paraId="078EA4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系统为同一病人提供唯一号标志。当体检人员再次进行体检后，系统进行唯一号识别。识别成功后，可对此体检人员进行数据对比分析功能。</w:t>
      </w:r>
    </w:p>
    <w:p w14:paraId="26B9CE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具备通过信息精确定位、对象模糊定位、体检日期定位检索体检人员功能。</w:t>
      </w:r>
    </w:p>
    <w:p w14:paraId="681CEA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具备选择人员后，系统根据病人内码(即唯一值)检索人员历史记录功能。</w:t>
      </w:r>
    </w:p>
    <w:p w14:paraId="21BB32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具备检索完成后，展示对比信息功能。</w:t>
      </w:r>
    </w:p>
    <w:p w14:paraId="0171D5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具备数值型数据折线图展示功能。</w:t>
      </w:r>
    </w:p>
    <w:p w14:paraId="30BA0F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工作量统计</w:t>
      </w:r>
    </w:p>
    <w:p w14:paraId="020853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各式各样统计报表功能，包括：受检人体检情况统计、医生工作量统计、综述疾病诊断汇总、收费项目统计、疾病人员列表统计、体检人员状态查询、未体检项目汇总、未检项目人员名单汇总、体检结论统计。</w:t>
      </w:r>
    </w:p>
    <w:p w14:paraId="0D7353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财务统计分析</w:t>
      </w:r>
    </w:p>
    <w:p w14:paraId="182188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具备个人体检项目的多次账单结算与查询功能。</w:t>
      </w:r>
    </w:p>
    <w:p w14:paraId="031F6D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具备单位体检项目的多次账单结算与查询功能。</w:t>
      </w:r>
    </w:p>
    <w:p w14:paraId="0D827B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具备各种帐务统计和相关报表打印输出功能。</w:t>
      </w:r>
    </w:p>
    <w:p w14:paraId="0054F0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具备体检项目的新增、修改、价格的调整功能。</w:t>
      </w:r>
    </w:p>
    <w:p w14:paraId="0295635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自定义智能综合分析</w:t>
      </w:r>
    </w:p>
    <w:p w14:paraId="110EA5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具备快捷自定义查询功能，可根据实际需要查询特定的数据。</w:t>
      </w:r>
    </w:p>
    <w:p w14:paraId="5A74B8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综述查询统计</w:t>
      </w:r>
    </w:p>
    <w:p w14:paraId="468824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具备指定时间段、体检对象单位或个人进行体检总检综述查询功能。</w:t>
      </w:r>
    </w:p>
    <w:p w14:paraId="0D8C83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具备将查询结果导出为PDF，EXCEL格式进行相关统计分析功能。</w:t>
      </w:r>
    </w:p>
    <w:p w14:paraId="133798A3">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报告管理</w:t>
      </w:r>
    </w:p>
    <w:p w14:paraId="74F378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体检报告管理</w:t>
      </w:r>
    </w:p>
    <w:p w14:paraId="076C60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体检报告</w:t>
      </w:r>
    </w:p>
    <w:p w14:paraId="775D6F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体检报告管理作用于体检人员体检结束，总检后，对体检人员体检报告进行打印，签收，发放等操作。支持多种样式（如精装、标准、简易版）的体检报告批量打印、导出PDF的功能。按要求如下：</w:t>
      </w:r>
    </w:p>
    <w:p w14:paraId="30F6CA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具备体检报告期限控制，避免出现超时功能。</w:t>
      </w:r>
    </w:p>
    <w:p w14:paraId="2CFB19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具备展示心电图、B超、放射的图文报告功能。</w:t>
      </w:r>
    </w:p>
    <w:p w14:paraId="0AD874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具备精确、模糊检索体检人员功能。</w:t>
      </w:r>
    </w:p>
    <w:p w14:paraId="2CF488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具备预览体检人员报告功能。</w:t>
      </w:r>
    </w:p>
    <w:p w14:paraId="21D4D7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具备批量打印体检人员报告功能。</w:t>
      </w:r>
    </w:p>
    <w:p w14:paraId="00C945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具备内部签收体检报告功能。</w:t>
      </w:r>
    </w:p>
    <w:p w14:paraId="0F6AAC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具备体检报告发放记录功能。</w:t>
      </w:r>
    </w:p>
    <w:p w14:paraId="74AE94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单位报告</w:t>
      </w:r>
    </w:p>
    <w:p w14:paraId="0D3AFF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具备人员分布统计，包括：统计体检人员所属年龄段，以及每个年龄段所包含的人员数量及所占比率功能。</w:t>
      </w:r>
    </w:p>
    <w:p w14:paraId="6F9B45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具备疾病综合统计，统计本单位，本次体检中，包含的疾病数量，以及疾病对应的人数及所占比率功能。</w:t>
      </w:r>
    </w:p>
    <w:p w14:paraId="2695C0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具备单项疾病统计，统计每种疾病人数、比率及对应人员功能。</w:t>
      </w:r>
    </w:p>
    <w:p w14:paraId="63A798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具备按单位信息多次体检情况查询功能。</w:t>
      </w:r>
    </w:p>
    <w:p w14:paraId="10A1D5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具备单位体检的已检人员及项目、未检人员及项目的查询功能。</w:t>
      </w:r>
    </w:p>
    <w:p w14:paraId="51AB69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具备设置单位报告的各类选项，支持PDF形式电子报告的导出功能。</w:t>
      </w:r>
    </w:p>
    <w:p w14:paraId="2D5D43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检验数据管理</w:t>
      </w:r>
    </w:p>
    <w:p w14:paraId="313F3AA0">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支持对接医院实验室信息系统，可按选择接收检验结果，对检验结果进行自动分析，并将检验数据及分析结论集成到体检报告中。</w:t>
      </w:r>
    </w:p>
    <w:p w14:paraId="728F1A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检查数据管理</w:t>
      </w:r>
    </w:p>
    <w:p w14:paraId="2A7016E2">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支持对接医院放射科信息系统，可按选择接收检查结果，对检查结果进行自动分析，并将检查数据、报告图像及分析结论集成到体检报告。</w:t>
      </w:r>
    </w:p>
    <w:p w14:paraId="0EF87678">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评估审核</w:t>
      </w:r>
    </w:p>
    <w:p w14:paraId="40CB2D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总检评估</w:t>
      </w:r>
    </w:p>
    <w:p w14:paraId="2C3401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具备按姓名、登记日期、体检状态、总检状态筛选体检人员功能。</w:t>
      </w:r>
    </w:p>
    <w:p w14:paraId="6F0255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具备查看体检人员的体检结果、个人信息、历次体检异常结果对比功能。</w:t>
      </w:r>
    </w:p>
    <w:p w14:paraId="071E87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具备自动汇总各科室的异常结果，用红色标识阳性项目。</w:t>
      </w:r>
    </w:p>
    <w:p w14:paraId="00FDF3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具备对体检人员的综述内容进行修改功能。</w:t>
      </w:r>
    </w:p>
    <w:p w14:paraId="468A48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具备对体检人员自动生成体检异常结论和健康建议，具备异常结论的排序、合并、编辑功能。</w:t>
      </w:r>
    </w:p>
    <w:p w14:paraId="3DFFA6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具备选择不同体检报告模板预览打印体检报告功能。</w:t>
      </w:r>
    </w:p>
    <w:p w14:paraId="2D34C6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具备对需要复查的人员进行复查项目登记功能。</w:t>
      </w:r>
    </w:p>
    <w:p w14:paraId="4403D7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具备儿童生长曲线的设置、生成与显示功能。</w:t>
      </w:r>
    </w:p>
    <w:p w14:paraId="4734F0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总检审核</w:t>
      </w:r>
    </w:p>
    <w:p w14:paraId="2BF48B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具备对总检后的体检报告进行在线审核功能，具备“审核通过”和“驳回报告”的操作功能。</w:t>
      </w:r>
    </w:p>
    <w:p w14:paraId="0D7AA6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具备“驳回报告”的查询功能，报告总检人员可在“总检评估”的人员查询框中查询被驳回的人员及相关驳回建议。</w:t>
      </w:r>
    </w:p>
    <w:p w14:paraId="1681C1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检验结果智能评估</w:t>
      </w:r>
    </w:p>
    <w:p w14:paraId="385DF3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支持对接医院实验室信息系统，体检系统可根据预设评估规则，对获取的检验数据进行智能判断，给出初步的评估建议，具体要求如下：</w:t>
      </w:r>
    </w:p>
    <w:p w14:paraId="5E6577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具备结果录入时，输入结果后，可根据结果自动关联出对应的初步意见等。对于一些特殊项目也有相应的智能处理设置、生成与显示功能。</w:t>
      </w:r>
    </w:p>
    <w:p w14:paraId="1D6DF1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具备设置数据项目的参考范围之后，将结合性别、年龄、项目结果来判断，如果异常将置该项目为阳性标志并自动生成相应的初步意见功能。</w:t>
      </w:r>
    </w:p>
    <w:p w14:paraId="0A9458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具备计算项目的处理功能：设置计算公式，输入与公式参数相关的项目结果后，将依据公式计算出目标项目的结果（公式的有效域为同一体检项目下的明细项功能）。</w:t>
      </w:r>
    </w:p>
    <w:p w14:paraId="3AFE08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具备乙肝项目组合判断生成诊断及建议功能。</w:t>
      </w:r>
    </w:p>
    <w:p w14:paraId="69EB64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具备根据检验异常自动生成诊断、异常并生成相应的健康建议功能。</w:t>
      </w:r>
    </w:p>
    <w:p w14:paraId="7C822B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具备多种检验指标异常排列组合生成不同的疾病诊断功能。</w:t>
      </w:r>
    </w:p>
    <w:p w14:paraId="01B925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检查结果智能评估</w:t>
      </w:r>
    </w:p>
    <w:p w14:paraId="351078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支持对接医院放射科信息系统，体检系统可根据预设评估规则，对获取的检查数据进行智能判断，给出初步的评估建议，要求如下：</w:t>
      </w:r>
    </w:p>
    <w:p w14:paraId="48347A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具备结果录入时，输入结果后根据结果自动关联出对应的初步意见等。对于一些特殊项目也有相应的智能处理设置、生成与显示功能。</w:t>
      </w:r>
    </w:p>
    <w:p w14:paraId="750921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具备设置数据项目的参考范围之后，结合性别、年龄、项目结果来判断，如果异常将置该项目为阳性标志并自动生成相应的初步意见功能。</w:t>
      </w:r>
    </w:p>
    <w:p w14:paraId="615BC9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具备计算项目处理功能：设置计算公式，输入与公式参数相关的项目结果后，将依据公式计算出目标项目的结果公式的有效域为同一体检项目下的明细项功能。</w:t>
      </w:r>
    </w:p>
    <w:p w14:paraId="68CB8D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具备根据检查异常自动生成诊断并生成相应的健康建议功能。</w:t>
      </w:r>
    </w:p>
    <w:p w14:paraId="2D008D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检后健康建议</w:t>
      </w:r>
    </w:p>
    <w:p w14:paraId="1FED56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系统提供健康管理知识库，可根据体检结果，智能化自动生成相应的检后健康建议，满足医生便捷高效的总检操作。</w:t>
      </w:r>
    </w:p>
    <w:p w14:paraId="6A9BC458">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检后回访管理</w:t>
      </w:r>
    </w:p>
    <w:p w14:paraId="060BE2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具备针对各个客户的检查结果，制定个性化的周期回访计划功能。</w:t>
      </w:r>
    </w:p>
    <w:p w14:paraId="7D1534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具备电话、短信回访任务安排功能。</w:t>
      </w:r>
    </w:p>
    <w:p w14:paraId="05DD7CA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（6）职业病体检</w:t>
      </w:r>
    </w:p>
    <w:p w14:paraId="743F45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具备职业接触的危害因素相关内容设置功能。</w:t>
      </w:r>
    </w:p>
    <w:p w14:paraId="4E4D617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具备职业类体检人员基本信息、危害因素、检查类别、检查项目信息登记功能。</w:t>
      </w:r>
    </w:p>
    <w:p w14:paraId="1C1ABBB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具备职业健康检查症状、职业史、个人家族病史问诊情况数据录入功能。</w:t>
      </w:r>
    </w:p>
    <w:p w14:paraId="320B92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具备职业健康检查总体状态评估，职业检查体检报告打印管理功能。</w:t>
      </w:r>
    </w:p>
    <w:p w14:paraId="4BF19B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具备职业检查结论统计、疾病统计、单位专项指标统计功能。</w:t>
      </w:r>
    </w:p>
    <w:p w14:paraId="22F75EC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具备在院外进行体检时，无网络条件下的的单机版（登记、打印导检单、录入结果）操作功能，并在体检结束能把结果回传汇总到体检中心服务器。</w:t>
      </w:r>
    </w:p>
    <w:p w14:paraId="22F065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支持对接国家职业卫生网，把职业病体检数据上传只国家职业卫生网。</w:t>
      </w:r>
    </w:p>
    <w:p w14:paraId="6E28B34F">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 临床诊疗</w:t>
      </w:r>
    </w:p>
    <w:p w14:paraId="44709986">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3.1.2.1 门诊医生工作站</w:t>
      </w:r>
    </w:p>
    <w:p w14:paraId="2A6994A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诊疗管理</w:t>
      </w:r>
    </w:p>
    <w:p w14:paraId="01FE8B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●患者接诊管理</w:t>
      </w:r>
    </w:p>
    <w:p w14:paraId="5D0B6F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具备多种登录模式配置的功能，支持科室登录模式和科目登录模式，且登录可自动区分专家和普通医生。</w:t>
      </w:r>
    </w:p>
    <w:p w14:paraId="304648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具备用户密码多级别安全策略设置，包括用户密码位数、密码是否包含字母、密码是否包含数字、密码是否包含特殊字符、新密码不允许同老密码、密码有效期、密码最多允许输错次数、自动锁屏系统空闲时间。</w:t>
      </w:r>
    </w:p>
    <w:p w14:paraId="2CFF39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具备针对院内具体网络IP设置医生登录程序时间限制功能。</w:t>
      </w:r>
    </w:p>
    <w:p w14:paraId="77E865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展示功能，可根据未就诊、就诊中、已就诊等就诊状态分类显示，可展示挂号时间、叫号状态、姓名、性别、年龄、费别、诊断、挂号科室信息。可根据就诊状态、挂号类别的不同，配置不同的显示颜色。</w:t>
      </w:r>
    </w:p>
    <w:p w14:paraId="520EB7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具备患者列表排序功能，可按患者姓名、挂号号序、分诊日期、挂号日期配置默认显示顺序，医生可按需临时调整排序。</w:t>
      </w:r>
    </w:p>
    <w:p w14:paraId="39F808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具备患者列表显示范围筛选和设置的功能，可根据设置或勾选情况，默认显示本科室、本医生或通科患者，可筛选显示上午、下午、全天的挂号患者，可根据门诊病历状态过滤患者列表。</w:t>
      </w:r>
    </w:p>
    <w:p w14:paraId="149634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具备患者检索和定位的功能，可按病历号、挂号序号、身份证号、门诊号等信息检索患者，支持对接读卡器，刷磁卡、保障卡、IC卡定位患者，选择患者快速进入诊疗流程。</w:t>
      </w:r>
    </w:p>
    <w:p w14:paraId="731563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具备患者锁定和解锁的功能，解锁可设置是否需要录入解锁原因。</w:t>
      </w:r>
    </w:p>
    <w:p w14:paraId="7AC2BB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具备门诊患者科间转诊、转介的功能。</w:t>
      </w:r>
    </w:p>
    <w:p w14:paraId="0C8F2B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具备结束就诊校验的功能，例如未录入诊断是否允许结束就诊，结束就诊时校验病历是否提交。</w:t>
      </w:r>
    </w:p>
    <w:p w14:paraId="0B6918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具备登记患者去向功能，结束就诊后，可填写或选择患者去向。</w:t>
      </w:r>
    </w:p>
    <w:p w14:paraId="47F0BC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支持与分诊叫号系统对接，获取候诊患者信息，并实现快速呼叫、复呼功能。</w:t>
      </w:r>
    </w:p>
    <w:p w14:paraId="3A1881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支持与CA厂家对接后，登录校验硬/软Key认证功能。</w:t>
      </w:r>
    </w:p>
    <w:p w14:paraId="2D502F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●门诊患者基本信息管理</w:t>
      </w:r>
    </w:p>
    <w:p w14:paraId="3E0E85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具备患者基本信息查看和补录功能。</w:t>
      </w:r>
    </w:p>
    <w:p w14:paraId="3129E8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具备患者陪护人基本信息录入功能。</w:t>
      </w:r>
    </w:p>
    <w:p w14:paraId="7C4A50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具备患者信息必填项规则进行控制，保存时校验患者必填项信息。</w:t>
      </w:r>
    </w:p>
    <w:p w14:paraId="250570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具备患者健康状况查看功能，查看及修改妊娠状态、哺乳状态、多重耐药菌、肝肾功能、过敏史内容。</w:t>
      </w:r>
    </w:p>
    <w:p w14:paraId="21F029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具备患者信息根据身份证号校验年龄、性别、出生日期功能。</w:t>
      </w:r>
    </w:p>
    <w:p w14:paraId="4F7846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具备患者过敏信息登记、作废、保存的功能，可录入药物过敏、食物过敏、造影剂过敏、其它过敏源过敏，过敏类型可选择范围包括但不限于：阴性、阳性+、脱敏、弱阳性++ 、强阳性+++、超强阳性++++。</w:t>
      </w:r>
    </w:p>
    <w:p w14:paraId="31379D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●门诊诊断管理</w:t>
      </w:r>
    </w:p>
    <w:p w14:paraId="574A81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具备门诊诊断开立功能，诊断类型包括西医诊断、中医诊断，诊断名称来自全院统一的诊断字典。</w:t>
      </w:r>
    </w:p>
    <w:p w14:paraId="71FD74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具备诊断检索功能，可根据诊断的拼音、五笔、汉字、代码、别名进行完全匹配、前导匹配和模糊匹配，可根据西医、中医、传染病诊断分类查询。</w:t>
      </w:r>
    </w:p>
    <w:p w14:paraId="50285E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具备中医诊断的证型、治法录入及控制。</w:t>
      </w:r>
    </w:p>
    <w:p w14:paraId="0DD5AA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具备录入诊断辅助信息功能，例如可录入诊断的发病日期，中医诊断可选择所属证型、治则。</w:t>
      </w:r>
    </w:p>
    <w:p w14:paraId="1D69BD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具备设置诊断是否允许添加前后缀功能。</w:t>
      </w:r>
    </w:p>
    <w:p w14:paraId="69CF5B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具备个人、科室常用诊断字典管理功能。</w:t>
      </w:r>
    </w:p>
    <w:p w14:paraId="15923C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具备历史诊断调阅和引用功能。</w:t>
      </w:r>
    </w:p>
    <w:p w14:paraId="4244B2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具备按患者年龄判断是否需录入首诊测压信息的功能，首诊测压支持关联门诊病历高血压既往史。</w:t>
      </w:r>
    </w:p>
    <w:p w14:paraId="5FB3F0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具备保存处置时校验诊断功能，保存处方（西成药、中药饮片、项目）、检验、检查、治疗时，如还未录入诊断，则弹出诊断录入框或者提示录入诊断。</w:t>
      </w:r>
    </w:p>
    <w:p w14:paraId="6C38A7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具备诊断与性别校验功能，在录入诊断的过程中，根据患者的性别，过滤男性可使用的诊断，女性可使用的诊断。</w:t>
      </w:r>
    </w:p>
    <w:p w14:paraId="5FE406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具备控制初诊患者必须录入或存在体温数据才能保存诊断功能。</w:t>
      </w:r>
    </w:p>
    <w:p w14:paraId="41C0A9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支持与疾病报告卡系统对接，实现根据诊断自动触发疾病报告卡功能。</w:t>
      </w:r>
    </w:p>
    <w:p w14:paraId="1FD24D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支持与知识库系统对接，实现查阅当前诊断相关医学专业资料功能。</w:t>
      </w:r>
    </w:p>
    <w:p w14:paraId="2C4AF9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●医生工作量查询</w:t>
      </w:r>
    </w:p>
    <w:p w14:paraId="218312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具备医生工作量查询统计功能，查询权限可配置，例如科主任可查询本科室所有医生的工作量，普通医生只允许查询个人工作量。</w:t>
      </w:r>
    </w:p>
    <w:p w14:paraId="09948F70">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处方管理</w:t>
      </w:r>
    </w:p>
    <w:p w14:paraId="184580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●门诊处方处置规则</w:t>
      </w:r>
    </w:p>
    <w:p w14:paraId="0987C4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具备医生处方权设置功能，包括但不限于精麻毒处方权、抗菌药物分级处方权、糖皮试激素用药处方权、血液制剂用药处方权、抗肿瘤药物处方权。</w:t>
      </w:r>
    </w:p>
    <w:p w14:paraId="0ADD65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具备用药范围设置功能，包括按科室、医保类别、诊断、频次、用法、医生、职称、年龄区间、大病、性别、挂号类别设置不同的用药范围，对超出用药范围的给提示或限制。</w:t>
      </w:r>
    </w:p>
    <w:p w14:paraId="621217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具备药品用量设置功能，对超出累计用量的部分进行限制用药。</w:t>
      </w:r>
    </w:p>
    <w:p w14:paraId="73F8A3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具备重复药品、互斥药品（允许、提示、禁止）设置功能。</w:t>
      </w:r>
    </w:p>
    <w:p w14:paraId="3F1849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具备药品联动、用法联动、药品关联项目设置功能。</w:t>
      </w:r>
    </w:p>
    <w:p w14:paraId="43FDB8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具备中药饮片分类、明细煎法、用法分类设置功能。</w:t>
      </w:r>
    </w:p>
    <w:p w14:paraId="13FAA9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具备中药饮片处方信息标签重命名、默认值、是否显示设置功能。</w:t>
      </w:r>
    </w:p>
    <w:p w14:paraId="4E3F77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具备处方录入完整性校验规则设置功能，包括剂量、剂量单位、用法、频次、天数校验规则。</w:t>
      </w:r>
    </w:p>
    <w:p w14:paraId="418F76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具备儿科处方设置功能，可设置是否必须录入儿童身高、体重，以及身高、体重数字的有效期，可根据剂量、频次、数量自动计算儿科药品天数。</w:t>
      </w:r>
    </w:p>
    <w:p w14:paraId="7B8E3B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具备过敏药品拦截、提示的功能。</w:t>
      </w:r>
    </w:p>
    <w:p w14:paraId="0749A1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●门诊处方和处置录入</w:t>
      </w:r>
    </w:p>
    <w:p w14:paraId="03BB56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总体功能</w:t>
      </w:r>
    </w:p>
    <w:p w14:paraId="11CDE7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具备西药、中成药、中药饮片处方以及治疗项目录入的功能，可根据录入结果生成标准格式电子处方，可新增、插入、删除处方明细条目。</w:t>
      </w:r>
    </w:p>
    <w:p w14:paraId="6D11F2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具备按药品名称、代码、拼音方式检索全院统一药品字典的功能，具备按多种名称检索药品的功能，包括通用名、商品名、化学名。</w:t>
      </w:r>
    </w:p>
    <w:p w14:paraId="10DF6A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具备药品颜色特殊显示，包括基本药物、高危药品、带量采购药品、一类精神药品、二类精神药品、麻醉药品、毒性药品、国采、省采、市采、草药细料、草药辅料显示颜色以及显示的优先级。</w:t>
      </w:r>
    </w:p>
    <w:p w14:paraId="32E405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具备多种形式录入处方的功能，包括但不限于常规字典录入、处方模板录入、协定方录入、历史处方引用录入。</w:t>
      </w:r>
    </w:p>
    <w:p w14:paraId="756D5D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具备处方与诊断绑定的功能，即处方与诊断一一对应。</w:t>
      </w:r>
    </w:p>
    <w:p w14:paraId="7C8728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具备嘱托设置和嘱托录入的功能。</w:t>
      </w:r>
    </w:p>
    <w:p w14:paraId="2D64CC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具备处方录入时自动调用药品默认用法、剂量、频次、天数、数量、嘱托的功能。</w:t>
      </w:r>
    </w:p>
    <w:p w14:paraId="1450B3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具备添加药品时校验库存、医生处方权限、处方金额、重复用药、过敏史、药品互斥功能。</w:t>
      </w:r>
    </w:p>
    <w:p w14:paraId="418763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具备根据换方规则设置自动换方的功能。</w:t>
      </w:r>
    </w:p>
    <w:p w14:paraId="1093BF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具备根据用法和频次自动计算联动材料数量的功能。</w:t>
      </w:r>
    </w:p>
    <w:p w14:paraId="23930D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具备历史处方区分收费状态的功能，例如通过颜色区分已收费、部分退费、全部退费的处方。</w:t>
      </w:r>
    </w:p>
    <w:p w14:paraId="552EF1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具备儿科处方录入身高、体重的功能。</w:t>
      </w:r>
    </w:p>
    <w:p w14:paraId="124D2B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具备标记自费处方的功能，处方选择自费处方后，将整张处方标记为自费处方。</w:t>
      </w:r>
    </w:p>
    <w:p w14:paraId="36EACF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支持与不良事件报告系统对接，实现填报药物不良反应信息功能。</w:t>
      </w:r>
    </w:p>
    <w:p w14:paraId="09DD54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支持与合理用药系统对接，实现药品说明书调用和事中用药提醒功能。</w:t>
      </w:r>
    </w:p>
    <w:p w14:paraId="610C07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支持与审方系统对接，实现药师干预和查询审方结果功能。</w:t>
      </w:r>
    </w:p>
    <w:p w14:paraId="56888E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支持与医保控费对接后，实现根据患者医保类型进行医保违规提醒功能。</w:t>
      </w:r>
    </w:p>
    <w:p w14:paraId="7F0359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西药、中成药处方录入</w:t>
      </w:r>
    </w:p>
    <w:p w14:paraId="5544F3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具备皮试处方管理的功能，例如皮试处方与普通处方是否分方，皮试联动材料设置等。</w:t>
      </w:r>
    </w:p>
    <w:p w14:paraId="2161DD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具备开具毒属性药品、麻醉药品、精神药品处方时填写或带入领药人信息的功能，领药人信息支持选择“本人”或“代办”，可控制毒麻精领药人信息有效期。</w:t>
      </w:r>
    </w:p>
    <w:p w14:paraId="6DFD5B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具备精麻毒特殊处方打印的功能。</w:t>
      </w:r>
    </w:p>
    <w:p w14:paraId="37AA6F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具备输液处方成组的功能，可分组、取消分组。</w:t>
      </w:r>
    </w:p>
    <w:p w14:paraId="38AAB4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具备输液联动材料设置的功能，并可支持用法联动材料首次减免。</w:t>
      </w:r>
    </w:p>
    <w:p w14:paraId="394507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支持与云药房对接，实现处方药品外送的功能，可录入外送地址、取药人姓名、取药人电话等信息。</w:t>
      </w:r>
    </w:p>
    <w:p w14:paraId="4AC346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中药饮片处方录入</w:t>
      </w:r>
    </w:p>
    <w:p w14:paraId="73078F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具备中药饮片处方代煎方式录入功能。</w:t>
      </w:r>
    </w:p>
    <w:p w14:paraId="138EC9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具备中药饮片处方外送功能，并支持外送最低处方付数和最高处方付数控制。</w:t>
      </w:r>
    </w:p>
    <w:p w14:paraId="31087F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具备中药饮片处方特殊煎法录入功能。</w:t>
      </w:r>
    </w:p>
    <w:p w14:paraId="28835A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具备保密方管理和录入功能。</w:t>
      </w:r>
    </w:p>
    <w:p w14:paraId="579353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具备中药饮片处方打印预览及打印功能。</w:t>
      </w:r>
    </w:p>
    <w:p w14:paraId="606EED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治疗项目录入</w:t>
      </w:r>
    </w:p>
    <w:p w14:paraId="75FE70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具备治疗项目及相关收费项目录入功能。</w:t>
      </w:r>
    </w:p>
    <w:p w14:paraId="11F3CB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具备项目执行科室默认、录入、修改功能。</w:t>
      </w:r>
    </w:p>
    <w:p w14:paraId="28FD13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具备治疗申请单开具时自动获取门诊电子病历中临床信息功能。</w:t>
      </w:r>
    </w:p>
    <w:p w14:paraId="5E73D5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支持与治疗系统对接，实现治疗开立后预约治疗日期功能。</w:t>
      </w:r>
    </w:p>
    <w:p w14:paraId="56F63B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门诊手术及项目录入</w:t>
      </w:r>
    </w:p>
    <w:p w14:paraId="7E4CCA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具备门诊手术及门诊手术通知单录入功能。</w:t>
      </w:r>
    </w:p>
    <w:p w14:paraId="1F5703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具备门诊手术通知单必填项校验功能。</w:t>
      </w:r>
    </w:p>
    <w:p w14:paraId="7746C7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支持与日间手术管理系统对接，实现日间手术申请功能。</w:t>
      </w:r>
    </w:p>
    <w:p w14:paraId="770D9E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●门诊协定方管理</w:t>
      </w:r>
    </w:p>
    <w:p w14:paraId="0F14FD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具备全院、科室、个人协定方和病种协定方维护的功能，可新增、复制、保存、删除协定方，并可根据用户权限进行维护和使用控制。</w:t>
      </w:r>
    </w:p>
    <w:p w14:paraId="2BFB48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具备协定方调用的功能，可整体引用协定方，也可查看、引用协定方的明细条目。</w:t>
      </w:r>
    </w:p>
    <w:p w14:paraId="0D036E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具备已录入的药品处方直接另存为协定方的功能。</w:t>
      </w:r>
    </w:p>
    <w:p w14:paraId="4CEF37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具备无库存药品替换为同规格药品的功能。</w:t>
      </w:r>
    </w:p>
    <w:p w14:paraId="3C1A49C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申请单管理</w:t>
      </w:r>
    </w:p>
    <w:p w14:paraId="59B077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门诊检验申请单</w:t>
      </w:r>
    </w:p>
    <w:p w14:paraId="063BA5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具备检验申请单维护功能，可设置模板分类、使用范围。</w:t>
      </w:r>
    </w:p>
    <w:p w14:paraId="47E9EE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具备检验申请单开具、保存、删除功能，开单支持常规录入、历史申请单引用、协定方调用。</w:t>
      </w:r>
    </w:p>
    <w:p w14:paraId="23F4B8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具备检验申请单开立时校验启停用、医师权限、病人年龄、病人性别、数量功能。</w:t>
      </w:r>
    </w:p>
    <w:p w14:paraId="0D3197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具备检验项目检索功能，可按名称、代码、拼音、五笔检索检验项目字典。</w:t>
      </w:r>
    </w:p>
    <w:p w14:paraId="31BD42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具备检验组套控制功能，例如同一组套内的检验项目不可单选，删除时亦需全部删除。</w:t>
      </w:r>
    </w:p>
    <w:p w14:paraId="3B9297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具备检验申请单开具时自动获取门诊电子病历中临床信息功能。</w:t>
      </w:r>
    </w:p>
    <w:p w14:paraId="074DB4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具备检验申请开立特定项目时，自动关联对应同意书病历，可创建及删除。</w:t>
      </w:r>
    </w:p>
    <w:p w14:paraId="6A12E9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具备开立检验项目时查询适应症和注意事项功能。</w:t>
      </w:r>
    </w:p>
    <w:p w14:paraId="231E98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具备收费规则设置功能，包括检验项目互斥、项目联动收费、多个收费项目组合。</w:t>
      </w:r>
    </w:p>
    <w:p w14:paraId="196B85F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具备检验申请单、检验项目加急功能，可设置是否允许加急、是否默认加急、强制加急等。</w:t>
      </w:r>
    </w:p>
    <w:p w14:paraId="28F89E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具备检验项目重复开具提醒功能，例如可设置检验申请单项目开出后，多少天内重复开具同一项目则进行提示。</w:t>
      </w:r>
    </w:p>
    <w:p w14:paraId="7B49D1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门诊检查申请单</w:t>
      </w:r>
    </w:p>
    <w:p w14:paraId="544F47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具备检查申请单维护功能，可设置模板分类、使用范围。</w:t>
      </w:r>
    </w:p>
    <w:p w14:paraId="3DD1F0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具备检查申请单开具、保存、删除功能，开单支持常规录入、历史申请单引用、协定方调用。</w:t>
      </w:r>
    </w:p>
    <w:p w14:paraId="7D8D29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具备检查申请单开立时校验启停用、医师权限、病人年龄、病人性别、开单间隔、数量功能。</w:t>
      </w:r>
    </w:p>
    <w:p w14:paraId="7CC2EA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具备开立检查申请单时自动获取电子病历中的临床信息。</w:t>
      </w:r>
    </w:p>
    <w:p w14:paraId="3D57D5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具备检查申请开立特定项目时，自动关联对应同意书病历，可创建及删除。</w:t>
      </w:r>
    </w:p>
    <w:p w14:paraId="46D460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具备开立检查项目时查询适应症和注意事项功能。</w:t>
      </w:r>
    </w:p>
    <w:p w14:paraId="65E041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具备选择检查项目关联相应的收费信息功能。</w:t>
      </w:r>
    </w:p>
    <w:p w14:paraId="3B9E3A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具备检查申请单、检查项目加急功能，可设置是否允许加急、是否默认加急、强制加急等。</w:t>
      </w:r>
    </w:p>
    <w:p w14:paraId="487DF9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具备检查申请规则设置功能，包括设置最大选择项目数、最大选择部位数。</w:t>
      </w:r>
    </w:p>
    <w:p w14:paraId="0187F0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具备收费规则设置功能，包括项目互斥、项目联动收费、多部位打折收费。</w:t>
      </w:r>
    </w:p>
    <w:p w14:paraId="378E028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支持与检查预约系统对接，实现开立申请后直接预约检查功能。</w:t>
      </w:r>
    </w:p>
    <w:p w14:paraId="3CE07D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门诊检验报告调阅</w:t>
      </w:r>
    </w:p>
    <w:p w14:paraId="0114A8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支持与检验信息系统或者临床信息集成视图对接，实现在门诊医生站中查阅本次就诊检验报告及历史检验报告功能。</w:t>
      </w:r>
    </w:p>
    <w:p w14:paraId="76F448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门诊检查报告查阅</w:t>
      </w:r>
    </w:p>
    <w:p w14:paraId="313AE9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支持与检查信息系统或者临床信息集成视图对接，实现在门诊医生站查看本次就诊检查报告及历史检查报告功能。</w:t>
      </w:r>
    </w:p>
    <w:p w14:paraId="345F50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支持与影像信息系统对接，实现在门诊医生站查阅检查图像信息功能。</w:t>
      </w:r>
    </w:p>
    <w:p w14:paraId="590EB71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危急值应用</w:t>
      </w:r>
    </w:p>
    <w:p w14:paraId="38BEB8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危急值预警提醒</w:t>
      </w:r>
    </w:p>
    <w:p w14:paraId="079780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支持与医技危急值发布平台对接，实现医技危急值临床提醒功能，提醒信息包括危急值患者姓名、就诊序号、报告日期、报告结果。</w:t>
      </w:r>
    </w:p>
    <w:p w14:paraId="429424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●消息处理结果</w:t>
      </w:r>
    </w:p>
    <w:p w14:paraId="01CD5A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具备危急值处理意见维护功能，可根据“危急值”种类设置对应的处理意见。</w:t>
      </w:r>
    </w:p>
    <w:p w14:paraId="096901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具备个人、科室、全院“危急值”治疗方案维护的功能，可根据“危急值”种类设置对应治疗方案。</w:t>
      </w:r>
    </w:p>
    <w:p w14:paraId="5C1CBA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具备记录“危急值”确认应答时间和处理结果功能。</w:t>
      </w:r>
    </w:p>
    <w:p w14:paraId="5A9B34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●消息处理意见反馈</w:t>
      </w:r>
    </w:p>
    <w:p w14:paraId="01F8DC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具备录入危急值处理意见功能，可根据“危急值”结果关联相应的“危急值”诊疗方案，通过勾选自动生成“危急值”处理医嘱。</w:t>
      </w:r>
    </w:p>
    <w:p w14:paraId="30731E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具备危急值病历文书生成功能，可将临床医生处理的“危急值”时间及处理内容一键引入危急值病历文书中，包括但不限于危急值接收时间、危急值内容、处置时间、具体措施。</w:t>
      </w:r>
    </w:p>
    <w:p w14:paraId="028A32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●消息时限监控</w:t>
      </w:r>
    </w:p>
    <w:p w14:paraId="2557A6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具备消息时限监控功能，可查询危急值处理时限，查看按时处理、未及时处理的“危急值”报告。</w:t>
      </w:r>
    </w:p>
    <w:p w14:paraId="01FF9036">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3.1.2.2 门诊电子病历工作站</w:t>
      </w:r>
    </w:p>
    <w:p w14:paraId="4104773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病历录入</w:t>
      </w:r>
    </w:p>
    <w:p w14:paraId="19E647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具备结构化病历的书写功能。</w:t>
      </w:r>
    </w:p>
    <w:p w14:paraId="773E2C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具备自定义病历结构与格式功能。</w:t>
      </w:r>
    </w:p>
    <w:p w14:paraId="0F1C95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具备快捷创建初诊病历、复诊病历功能。</w:t>
      </w:r>
    </w:p>
    <w:p w14:paraId="3BCD6B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具备添加不同疾病病历模板功能。</w:t>
      </w:r>
    </w:p>
    <w:p w14:paraId="203660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具备根据诊断自动创建符合该诊断的病历功能。</w:t>
      </w:r>
    </w:p>
    <w:p w14:paraId="53B9CF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具备专科病历特殊样式展示功能，包括：产科妊娠图、胎心图、眼科眼压图、口腔牙位图。</w:t>
      </w:r>
    </w:p>
    <w:p w14:paraId="429D56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具备查看、引用患者既往病历功能。</w:t>
      </w:r>
    </w:p>
    <w:p w14:paraId="3C77AB6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具备对书写内容进行智能检查与提示功能。</w:t>
      </w:r>
    </w:p>
    <w:p w14:paraId="1CC730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具体病历存草稿、提交、撤消提交功能。</w:t>
      </w:r>
    </w:p>
    <w:p w14:paraId="0FA823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具备上级医师审核病历功能，并记录审核过程中的修改痕迹功能。</w:t>
      </w:r>
    </w:p>
    <w:p w14:paraId="529C3D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具备病历打印，包括工作台集中打印、诊间打印、自助打印功能。</w:t>
      </w:r>
    </w:p>
    <w:p w14:paraId="5F31BE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具备病历本、普通纸张两种打印模式功能。</w:t>
      </w:r>
    </w:p>
    <w:p w14:paraId="179D9F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具备病历编辑过程中收藏当前病历功能。</w:t>
      </w:r>
    </w:p>
    <w:p w14:paraId="605E2A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具备查询收藏病历功能。</w:t>
      </w:r>
    </w:p>
    <w:p w14:paraId="35DEAC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具备维护个人、科室、全院病历模板功能。</w:t>
      </w:r>
    </w:p>
    <w:p w14:paraId="118087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具备结束就诊时校验病历是否提交，未提交进行提示功能。</w:t>
      </w:r>
    </w:p>
    <w:p w14:paraId="67042F93">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病历书写</w:t>
      </w:r>
    </w:p>
    <w:p w14:paraId="2E593B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具备既往病历引用，通过既往病历快速创建门诊病历功能。</w:t>
      </w:r>
    </w:p>
    <w:p w14:paraId="0BF8BB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具备段落保存及引用功能。</w:t>
      </w:r>
    </w:p>
    <w:p w14:paraId="633EB2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具备检验、检查结果引用功能。</w:t>
      </w:r>
    </w:p>
    <w:p w14:paraId="0ED90B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具备医学计算公式及计算结果引用功能。</w:t>
      </w:r>
    </w:p>
    <w:p w14:paraId="0C001A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具备医学常用特殊字符引用功能，具备自定义配置特殊字符。</w:t>
      </w:r>
    </w:p>
    <w:p w14:paraId="72E6686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病历模板管理</w:t>
      </w:r>
    </w:p>
    <w:p w14:paraId="5DAE8D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具备病历记录结构化存储功能。</w:t>
      </w:r>
    </w:p>
    <w:p w14:paraId="620BD0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具备历史病历完成数字化处理并可查询功能。</w:t>
      </w:r>
    </w:p>
    <w:p w14:paraId="79C920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病历保存时间符合《电子病历应用管理规范》的存储要求。</w:t>
      </w:r>
    </w:p>
    <w:p w14:paraId="0C5B60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支持与其他业务系统对接，实现病历数据全院共享功能。</w:t>
      </w:r>
    </w:p>
    <w:p w14:paraId="36570A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提供统一的数据集标准、数据元标准、国家值域标准。</w:t>
      </w:r>
    </w:p>
    <w:p w14:paraId="79AEFE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提供统一质控规则标准、电子病历评级、互联互通标准，符合国家和行业规范。</w:t>
      </w:r>
    </w:p>
    <w:p w14:paraId="1EB635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具备标准数据集、数据元、值域管理功能，完全符合互联互通标准要求。</w:t>
      </w:r>
    </w:p>
    <w:p w14:paraId="20F664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具备模板目录标准分类管理及自定义配置功能。</w:t>
      </w:r>
    </w:p>
    <w:p w14:paraId="7CD06F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提供卫生部标准规范模板、本省标准规范模板。</w:t>
      </w:r>
    </w:p>
    <w:p w14:paraId="7544D8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提供医院个性化模板定制服务。</w:t>
      </w:r>
    </w:p>
    <w:p w14:paraId="21E5413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门诊会诊管理</w:t>
      </w:r>
    </w:p>
    <w:p w14:paraId="125B12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会诊申请</w:t>
      </w:r>
    </w:p>
    <w:p w14:paraId="5E5062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具备科间会诊、多科会诊、院外会诊、住院会诊申请功能。</w:t>
      </w:r>
    </w:p>
    <w:p w14:paraId="44E975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具备对申请记录进行查询、会诊申请记录结果进行导出功能。</w:t>
      </w:r>
    </w:p>
    <w:p w14:paraId="7431B17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会诊安排</w:t>
      </w:r>
    </w:p>
    <w:p w14:paraId="4B5E3A3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具备对会诊申请进行接收、指定医师进行指派功能。</w:t>
      </w:r>
    </w:p>
    <w:p w14:paraId="1BD031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会诊答复</w:t>
      </w:r>
    </w:p>
    <w:p w14:paraId="44B15D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具备填写会诊答复意见，完成会诊答复后进入会诊被邀请科室意见反馈表功能。</w:t>
      </w:r>
    </w:p>
    <w:p w14:paraId="25D44B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具备对会诊答复进行撤销功能。</w:t>
      </w:r>
    </w:p>
    <w:p w14:paraId="13C77A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具备对会诊答复记录进行查询，且可对会诊答复记录结果进行导出功能。</w:t>
      </w:r>
    </w:p>
    <w:p w14:paraId="5C94BB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会诊监控</w:t>
      </w:r>
    </w:p>
    <w:p w14:paraId="686AA9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具备根据申请时间区间、会诊级别、科室查询条件来统计相关会诊情况。</w:t>
      </w:r>
    </w:p>
    <w:p w14:paraId="7391281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具备会诊明细查询功能，支持根据会诊时间区间、申请时间区间、会诊科室、会诊医师、申请科室、申请医师、会诊患者、会诊类别、会诊级别、会诊状态查询会诊信息。</w:t>
      </w:r>
    </w:p>
    <w:p w14:paraId="218E09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具备查询结果导出功能。</w:t>
      </w:r>
    </w:p>
    <w:p w14:paraId="06EA5E51">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3.1.2.3 住院医生工作站</w:t>
      </w:r>
    </w:p>
    <w:p w14:paraId="527336C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诊疗管理</w:t>
      </w:r>
    </w:p>
    <w:p w14:paraId="400848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●患者管理</w:t>
      </w:r>
    </w:p>
    <w:p w14:paraId="71178B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具备卡片、列表两种模式显示病人信息。</w:t>
      </w:r>
    </w:p>
    <w:p w14:paraId="151564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具备以“待入区患者、在区患者、医疗组患者、关注患者、分管患者、转出患者、授权患者、术中患者、今日出院、明日出院、出院未归档患者”多维度显示病人范围。</w:t>
      </w:r>
    </w:p>
    <w:p w14:paraId="4874DF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具备按病区、按科室、按科室病区、按医疗组显示和查询病人范围。</w:t>
      </w:r>
    </w:p>
    <w:p w14:paraId="4F31FB26">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具备病人标签以醒目图标显示，包括新病人、病危、病重、护理级别、路径病人、医保、贫困、手术、</w:t>
      </w:r>
    </w:p>
    <w:p w14:paraId="5B5067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过敏、出院。</w:t>
      </w:r>
    </w:p>
    <w:p w14:paraId="330D93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具备病人健康状态查看和维护功能，包括身高、体重、妊娠状态、生育状态、多重耐药菌、肝功能、肾功能、新冠分型和其他补充信息。</w:t>
      </w:r>
    </w:p>
    <w:p w14:paraId="634F71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具备病人费用信息查看，包括费用大项、费用小项、费用明细及药占比，且支持钻取查看关联费用。</w:t>
      </w:r>
    </w:p>
    <w:p w14:paraId="03401B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具备病人过敏信息查看和登记管理，包括药品、食物、造影剂、环境、混合过敏和其他过敏。</w:t>
      </w:r>
    </w:p>
    <w:p w14:paraId="181F0D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具备床位卡按照空床和婴儿条件（全部、婴儿、非婴儿、母婴同床）过滤显示功能。</w:t>
      </w:r>
    </w:p>
    <w:p w14:paraId="50533D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具备根据当前医生的保密级别和患者的保密级别过滤显示功能。</w:t>
      </w:r>
    </w:p>
    <w:p w14:paraId="36E795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具备提醒消息统一处理，包括消息提示与主动弹出。</w:t>
      </w:r>
    </w:p>
    <w:p w14:paraId="365458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●用户安全策略管理</w:t>
      </w:r>
    </w:p>
    <w:p w14:paraId="212B9D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具备用户管理，包括登录密码管理、所属科室、人员角色、岗位、角色对应权限、岗位对应权限、用户对应权限、用户对应岗位设置。</w:t>
      </w:r>
    </w:p>
    <w:p w14:paraId="6A351C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具备新闻编辑、发布，可以按科室、按门诊住院、按病区推送新闻。</w:t>
      </w:r>
    </w:p>
    <w:p w14:paraId="3BBF1D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具备用户密码多级别安全策略设置，包括用户密码位数、密码是否包含字母、密码是否包含数字、密码是否包含特殊字符、新密码不允许同老密码、密码有效期、密码最多允许输错次数、自动锁屏系统空闲时间。</w:t>
      </w:r>
    </w:p>
    <w:p w14:paraId="0AF58A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具备记录历史登录医生工号，快速补全工号功能。</w:t>
      </w:r>
    </w:p>
    <w:p w14:paraId="6A1245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工作流可视化配置，包括系统初始化、检查勾选项目时、检查医嘱生成时、病人切换、手术开单前、手术录入完成确认时、药品添加前、药品添加后、保存药品前、保存药品后、医嘱发送前、医嘱发送后、医嘱DC时、退出系统等业务情景触发相关功能。</w:t>
      </w:r>
    </w:p>
    <w:p w14:paraId="66C2D4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支持与电子签章对接后，登录校验硬/软Key认证功能。</w:t>
      </w:r>
    </w:p>
    <w:p w14:paraId="5A74B8A1">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医嘱管理</w:t>
      </w:r>
    </w:p>
    <w:p w14:paraId="575E79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●医嘱管理</w:t>
      </w:r>
    </w:p>
    <w:p w14:paraId="13CB01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成套医嘱管理</w:t>
      </w:r>
    </w:p>
    <w:p w14:paraId="00E6B0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具备个人成套、病区成套、科室成套、全院成套新建、修改及权限管控功能。</w:t>
      </w:r>
    </w:p>
    <w:p w14:paraId="3AA570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具备成套医嘱分组、顺序调整、删除功能。</w:t>
      </w:r>
    </w:p>
    <w:p w14:paraId="4BFC5C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具备成套医嘱引用，快速辅助医生完成医嘱录入。</w:t>
      </w:r>
    </w:p>
    <w:p w14:paraId="620578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具备成套医嘱引用时，停用或无库存药品或项目灰色标识，并且允许替换同规格药品替换使用。</w:t>
      </w:r>
    </w:p>
    <w:p w14:paraId="1CB13A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具备成套医嘱引用时，无库存药品进行药房默认显示及匹配功能。</w:t>
      </w:r>
    </w:p>
    <w:p w14:paraId="718F7C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具备引用申请单成套医嘱时，临床信息、主诉、现病史获取功能。</w:t>
      </w:r>
    </w:p>
    <w:p w14:paraId="463A96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具备另存为成套和添加到现有成套功能。</w:t>
      </w:r>
    </w:p>
    <w:p w14:paraId="3259A8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医嘱录入管理</w:t>
      </w:r>
    </w:p>
    <w:p w14:paraId="614E03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具备使用快捷键操作医嘱录入、保存、发送、删除医嘱功能。</w:t>
      </w:r>
    </w:p>
    <w:p w14:paraId="00E534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具备医嘱录入时，按照处方限制范围规则，控制提醒医生医嘱录入权限。</w:t>
      </w:r>
    </w:p>
    <w:p w14:paraId="2CCFAD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具备医嘱录入时，按照医生处方权限，控制医生相关操作，包括医生处方权、医嘱发送权、精一处方权、麻醉处方权等。</w:t>
      </w:r>
    </w:p>
    <w:p w14:paraId="371FE9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具备医嘱集中录入，统一控制功能，包括：药品、护理、膳食、嘱托医嘱、手术、项目、草药、检查、检验、输血。</w:t>
      </w:r>
    </w:p>
    <w:p w14:paraId="759378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具备医嘱开始时间、停止时间修改的控制，包括向前、向后修改。</w:t>
      </w:r>
    </w:p>
    <w:p w14:paraId="70917C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具备药品录入时，按照规则自动计算药品数量功能，同时医生可修改药品数量。</w:t>
      </w:r>
    </w:p>
    <w:p w14:paraId="53042A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具备以商品名、化学名检索药品，且自动匹配的较准确药品排列在前面。</w:t>
      </w:r>
    </w:p>
    <w:p w14:paraId="04EE78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具备药品按照化学名或别名进行显示。</w:t>
      </w:r>
    </w:p>
    <w:p w14:paraId="5BB969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后方显示药品属性功能及字体颜色调整功能，包括【易混淆】、【临购】、【4+7】、【不拆零】、【国基】、【省基】、【市基】、【整售】、【拆零】、【高警示】、【国级】、【省级】、【市级】显示。</w:t>
      </w:r>
    </w:p>
    <w:p w14:paraId="327198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具备录入输液类医嘱，系统自动按照大输液或溶媒液、剂型标记，自动开始成组和结束分组。</w:t>
      </w:r>
    </w:p>
    <w:p w14:paraId="6DDB24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具备录入输液类医嘱，提示填写滴速并校验是否超速且填写超速原因。</w:t>
      </w:r>
    </w:p>
    <w:p w14:paraId="71C94F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具备重复药品录入检验控制。</w:t>
      </w:r>
    </w:p>
    <w:p w14:paraId="3665DA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具备录入药品医嘱，系统自动识别病区值班时间范围内药品流向的药房，医生可以手动修改。</w:t>
      </w:r>
    </w:p>
    <w:p w14:paraId="1B2EBC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具备录入药品医嘱，系统自动按规则设置带入默认剂量、剂量单位、用法、频次信息，并且控制单次最大剂量、单次最小剂量。</w:t>
      </w:r>
    </w:p>
    <w:p w14:paraId="2E24DA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具备医嘱项目按照系统规则匹配执行科室功能，医生可手动修改，</w:t>
      </w:r>
    </w:p>
    <w:p w14:paraId="30B9A9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具备医嘱项目按照临床项目与小项目分别显示功能。</w:t>
      </w:r>
    </w:p>
    <w:p w14:paraId="2E15FE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具备医嘱项目补领方式及首末次执行规则设置功能。</w:t>
      </w:r>
    </w:p>
    <w:p w14:paraId="0EB7A4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具备录入文字医嘱，按照规则设置进行业务控制，包括出院医嘱填写出院信息、停止医嘱操作、出院未确认未执行医嘱校验、路径完成或退出校验、出院医嘱下达后只允许出院带药等。</w:t>
      </w:r>
    </w:p>
    <w:p w14:paraId="095827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具备已下达出院医嘱前提下，允许临时录入常规医嘱。</w:t>
      </w:r>
    </w:p>
    <w:p w14:paraId="46C578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具备出院带药规则控制，包括出院带药条目、金额、天数，以及不允许录入的剂型或指定的药品。</w:t>
      </w:r>
    </w:p>
    <w:p w14:paraId="34F50D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具备医嘱保存发送对医嘱完整性校验，并且提醒控制。</w:t>
      </w:r>
    </w:p>
    <w:p w14:paraId="38BB44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具备医嘱保存前对医嘱开始时间规范性校验，并提醒医生修改调整。</w:t>
      </w:r>
    </w:p>
    <w:p w14:paraId="621925B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具备医嘱状态醒目标识。</w:t>
      </w:r>
    </w:p>
    <w:p w14:paraId="33DBBB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具备医嘱不同特性以图标醒目标识，便于医生识别，包括文字医嘱、高危药品、自备药、补录医嘱。</w:t>
      </w:r>
    </w:p>
    <w:p w14:paraId="2FB3F8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具备按时间/医嘱类别/有效或停用查询病人已下达医嘱。</w:t>
      </w:r>
    </w:p>
    <w:p w14:paraId="5CAB8C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具备按权限控制医生是否具有撤销医嘱权限，包括按录入医生、按发送医生。</w:t>
      </w:r>
    </w:p>
    <w:p w14:paraId="0C8792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具备单条或多条DC临时医嘱操作。</w:t>
      </w:r>
    </w:p>
    <w:p w14:paraId="7C1BB2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支持与CA接口对接，且可以对医嘱保存、发送、停止、DC、撤回、撤销停止等业务操作启用CA校验控制。</w:t>
      </w:r>
    </w:p>
    <w:p w14:paraId="098B72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支持与临床决策支持系统对接，对医生录入的医嘱进行智能提醒。</w:t>
      </w:r>
    </w:p>
    <w:p w14:paraId="45C2FE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支持与合理用药接口对接，医嘱保存时智能校验药品医嘱合理性，并对不合理用药进行拦截。</w:t>
      </w:r>
    </w:p>
    <w:p w14:paraId="2F68C7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支持与医保控费系统对接，对医生录入的医嘱进行医保规则提示。</w:t>
      </w:r>
    </w:p>
    <w:p w14:paraId="33D799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医嘱打印</w:t>
      </w:r>
    </w:p>
    <w:p w14:paraId="0B1E10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具备出院打印、满页打印和实时打印三种医嘱打印方式。</w:t>
      </w:r>
    </w:p>
    <w:p w14:paraId="162B1E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具备医嘱续打、补打、撤销打印、重新生成、重整医嘱操作。</w:t>
      </w:r>
    </w:p>
    <w:p w14:paraId="27DF21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具备医嘱单每页打印行数、单条医嘱内容长度、成组医嘱内容长度设置。</w:t>
      </w:r>
    </w:p>
    <w:p w14:paraId="7B5379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具备转科、转区、术后、产后、重整医嘱，是否换页、换页后前一页空白行处理设置。</w:t>
      </w:r>
    </w:p>
    <w:p w14:paraId="2BC606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具备按医嘱开始时间、医生签名、护士审核时间、审核护士签名、护士执行时间、执行护士签名、核对时间、核对护士签名、停止时间、停止医生签名，设置封头封尾规则。</w:t>
      </w:r>
    </w:p>
    <w:p w14:paraId="1A936C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具备皮试、输血医嘱双签名打印。</w:t>
      </w:r>
    </w:p>
    <w:p w14:paraId="1643E9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具备皮试医嘱每页打印过敏信息，包括皮试结果、按药品或按大类显示。</w:t>
      </w:r>
    </w:p>
    <w:p w14:paraId="4811C7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具备设置不打印的DC医嘱范围，结合DC医嘱填写理由，控制是否不打印DC医嘱。</w:t>
      </w:r>
    </w:p>
    <w:p w14:paraId="32B134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具备控制医嘱按照临床项目或小项目进行打印。</w:t>
      </w:r>
    </w:p>
    <w:p w14:paraId="199827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●医嘱规则管理</w:t>
      </w:r>
    </w:p>
    <w:p w14:paraId="3F9BF9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用药范围设置</w:t>
      </w:r>
    </w:p>
    <w:p w14:paraId="5DE65A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具备按医生设置医生对应药品使用权限和范围，在指定范围内的医生，进行禁用或提醒权限控制。</w:t>
      </w:r>
    </w:p>
    <w:p w14:paraId="466DF5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具备按职称设置医生对应药品使用权限和范围，在指定范围内的职称医生，进行禁用或提醒权限控制。</w:t>
      </w:r>
    </w:p>
    <w:p w14:paraId="3AB9F2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具备按科室设置医生对应药品使用权限和范围，在指定范围内的科室医生，进行禁用或提醒权限控制。</w:t>
      </w:r>
    </w:p>
    <w:p w14:paraId="685F0F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用量设置</w:t>
      </w:r>
    </w:p>
    <w:p w14:paraId="230790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具备药品单次最大剂量、单次最小剂量、单次累计剂量和累计总量设置。</w:t>
      </w:r>
    </w:p>
    <w:p w14:paraId="3EBED6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具备药品默认用法、使用天数、剂量、剂量单位、频次设置。</w:t>
      </w:r>
    </w:p>
    <w:p w14:paraId="4337F3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皮试用药规则</w:t>
      </w:r>
    </w:p>
    <w:p w14:paraId="68FE81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具备按药品厂家、规格、大类设置药品皮试液。</w:t>
      </w:r>
    </w:p>
    <w:p w14:paraId="2D23A0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具备控制皮试结果未出，治疗用药能否直接录入规则设置。</w:t>
      </w:r>
    </w:p>
    <w:p w14:paraId="0DADAF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具备同时具有皮试药品和抗菌药物特性时，设置仅控制皮试流程。</w:t>
      </w:r>
    </w:p>
    <w:p w14:paraId="6CBAB2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具备皮试医嘱自动生成相关联的文字医嘱、皮试液医嘱功能。</w:t>
      </w:r>
    </w:p>
    <w:p w14:paraId="4AE4E1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出院带药规则</w:t>
      </w:r>
    </w:p>
    <w:p w14:paraId="7B090C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具备设置出院带药按金额、条数、天数以及病人医保类型设置。</w:t>
      </w:r>
    </w:p>
    <w:p w14:paraId="4B7209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具备设置出院带药不允许录入的药品范围。</w:t>
      </w:r>
    </w:p>
    <w:p w14:paraId="13E4CB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具备设置出院带药发送后直接到药房，不需要护士审核。</w:t>
      </w:r>
    </w:p>
    <w:p w14:paraId="515247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具备设置出院带药是否启用欠费校验。</w:t>
      </w:r>
    </w:p>
    <w:p w14:paraId="02CF1ED7">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申请单管理</w:t>
      </w:r>
    </w:p>
    <w:p w14:paraId="6E2DE9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住院检验电子申请单</w:t>
      </w:r>
    </w:p>
    <w:p w14:paraId="70E764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实现医院检验项目统一管理，具备检验医嘱的开立与标本选择，并且将医嘱通过病区护士站系统发送到检验科室。</w:t>
      </w:r>
    </w:p>
    <w:p w14:paraId="28E94C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全院统一检验项目字典，具备下达申请单时生成相关的医嘱。</w:t>
      </w:r>
    </w:p>
    <w:p w14:paraId="0EDE65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具备检验申请开立时校验执行科室、标本及附加信息必填项校验。</w:t>
      </w:r>
    </w:p>
    <w:p w14:paraId="22F247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具备同时开立不同申请单中检验项目。</w:t>
      </w:r>
    </w:p>
    <w:p w14:paraId="4D366A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具备开立检验项目时，查看项目适应症和注意事项功能。</w:t>
      </w:r>
    </w:p>
    <w:p w14:paraId="59DD7D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具备开单规则控制，包括医生权限、项目互斥、项目联动、相同项目重复、年龄限制。</w:t>
      </w:r>
    </w:p>
    <w:p w14:paraId="628DF4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具备检验项目开立加急规则控制功能，包括：不能加急、默认不加急可勾选、强制加急不可取消、默认加急可修改。</w:t>
      </w:r>
    </w:p>
    <w:p w14:paraId="56932A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具备选择检验项目生成关联相应的收费信息并校验费用停用功能。</w:t>
      </w:r>
    </w:p>
    <w:p w14:paraId="47A99F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具备检验历史申请单查看和打印功能。</w:t>
      </w:r>
    </w:p>
    <w:p w14:paraId="368057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具备检验项目开立时按照公共收费项目控制优惠规则。</w:t>
      </w:r>
    </w:p>
    <w:p w14:paraId="3F40D6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支持与医技系统对接，通过病区系统，将检验医嘱和申请单信息发送至检验系统。</w:t>
      </w:r>
    </w:p>
    <w:p w14:paraId="2C7A80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支持对接临床决策支持系统，智能辅助医生开单和查看有关项目知识库内容。</w:t>
      </w:r>
    </w:p>
    <w:p w14:paraId="2B020C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住院检查电子申请单</w:t>
      </w:r>
    </w:p>
    <w:p w14:paraId="25A85C7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实现医院检查项目统一管理，具备开立的检查项目，以检查医嘱实现护士、医技工作的串联。</w:t>
      </w:r>
    </w:p>
    <w:p w14:paraId="7D8470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全院统一检查字典，具备下达申请单时生成相关的医嘱。</w:t>
      </w:r>
    </w:p>
    <w:p w14:paraId="0490A9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具备同时开立不同申请单中检查项目。</w:t>
      </w:r>
    </w:p>
    <w:p w14:paraId="130368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具备开立检查项目时，查看项目适应症和注意事项功能。</w:t>
      </w:r>
    </w:p>
    <w:p w14:paraId="2E7989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具备开立检查项目时加急功能，包括：不能加急、默认不加急可勾选、强制加急不可取消、默认加急可修改。</w:t>
      </w:r>
    </w:p>
    <w:p w14:paraId="7E95AE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具备申请单临床信息（主诉、现病史）自动获取病历信息或最近一次填写的临床信息。</w:t>
      </w:r>
    </w:p>
    <w:p w14:paraId="52512C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具备开单规则控制，包括医师权限、开单时间、最大开单数量、最大选择部位数、项目互斥、项目联动、相同项目重复、年龄限制以及病人医保类型。</w:t>
      </w:r>
    </w:p>
    <w:p w14:paraId="29DB15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具备申请单按照项目或部位打折和联动媒介费（如图文报告费）功能。</w:t>
      </w:r>
    </w:p>
    <w:p w14:paraId="7F6382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具备检查历史申请单查看和打印功能。</w:t>
      </w:r>
    </w:p>
    <w:p w14:paraId="439D16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支持对接临床决策支持系统，智能辅助医生开单和查看有关项目知识库内容。</w:t>
      </w:r>
    </w:p>
    <w:p w14:paraId="3F5317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支持与实验室管理系统对接，通过病区系统，将检查医嘱和申请单信息发送至检查系统。</w:t>
      </w:r>
    </w:p>
    <w:p w14:paraId="459763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支持与检查预约系统对接，实现开立申请后自动检查预约。</w:t>
      </w:r>
    </w:p>
    <w:p w14:paraId="158986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住院检验报告调阅</w:t>
      </w:r>
    </w:p>
    <w:p w14:paraId="1F19F3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支持与实验室管理系统对接，获取患者本次住院的电子检验报告信息，及历史检验报告信息。检验结果异常指标醒目标识。</w:t>
      </w:r>
    </w:p>
    <w:p w14:paraId="60F4D7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具备从当次住院、历史住院、历史门诊三个维度，查看病人检验报告。</w:t>
      </w:r>
    </w:p>
    <w:p w14:paraId="386180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具备医技报告单个打印和合并打印功能，并对已打印报告进行标识区分。</w:t>
      </w:r>
    </w:p>
    <w:p w14:paraId="02AC11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住院检查报告调阅</w:t>
      </w:r>
    </w:p>
    <w:p w14:paraId="64FC71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支持与放射科信息系统对接，获取患者本次及历史住院电子检查报告信息。检查结果异常指标醒目标识。</w:t>
      </w:r>
    </w:p>
    <w:p w14:paraId="554EFC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具备从当次住院、历史住院、历史门诊三个维度，查看病人检查报告。</w:t>
      </w:r>
    </w:p>
    <w:p w14:paraId="0B1B64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具备医技报告单个打印和合并打印功能，并对已打印报告进行标识区分。</w:t>
      </w:r>
    </w:p>
    <w:p w14:paraId="40F7BB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输血申请及审核</w:t>
      </w:r>
    </w:p>
    <w:p w14:paraId="5158EA87">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危急值应用</w:t>
      </w:r>
    </w:p>
    <w:p w14:paraId="348F34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危急值预警提醒</w:t>
      </w:r>
    </w:p>
    <w:p w14:paraId="44F287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支持通过医技接口接收医技系统下发的危急值信息，并及时消息提醒范围内的医生。</w:t>
      </w:r>
    </w:p>
    <w:p w14:paraId="579FB4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具备危急值不处理，消息一直提醒干预功能。</w:t>
      </w:r>
    </w:p>
    <w:p w14:paraId="53E549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●消息处理结果</w:t>
      </w:r>
    </w:p>
    <w:p w14:paraId="35DD787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具备危急值方案维护，医生可以采用危急值方案进行处理。</w:t>
      </w:r>
    </w:p>
    <w:p w14:paraId="53C948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具备危急值处理所使用的医嘱，建立与危急值关联。</w:t>
      </w:r>
    </w:p>
    <w:p w14:paraId="4BAA97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●消息处理意见反馈</w:t>
      </w:r>
    </w:p>
    <w:p w14:paraId="520285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具备危急值处理情况，自动生成危急值病程记录。</w:t>
      </w:r>
    </w:p>
    <w:p w14:paraId="39F978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支持与医技系统对接，将危急值接收、处理信息返回医技科室。</w:t>
      </w:r>
    </w:p>
    <w:p w14:paraId="7A9320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●消息时限监控</w:t>
      </w:r>
    </w:p>
    <w:p w14:paraId="18F4E7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具备危急值查询功能，实时查询危急值内容信息和处理进展。</w:t>
      </w:r>
    </w:p>
    <w:p w14:paraId="59986A3F">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手术分级管理</w:t>
      </w:r>
    </w:p>
    <w:p w14:paraId="28745F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●手术分级权限基础设置</w:t>
      </w:r>
    </w:p>
    <w:p w14:paraId="25BC04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具备多种方式设置手术主刀医生手术等级授权功能，包括医生职称对应手术级别、医生对应手术级别、医生对应手术。</w:t>
      </w:r>
    </w:p>
    <w:p w14:paraId="002FB9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具备根据开单医生设置手术等级授权，能够根据临床科室设置科室医生开单对应的手术等级权限，无权限的开单医生不允许开相应的手术。</w:t>
      </w:r>
    </w:p>
    <w:p w14:paraId="29F6B1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●手术分级权限管理</w:t>
      </w:r>
    </w:p>
    <w:p w14:paraId="08203A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具备根据手术申请单与医嘱集成联动功能。</w:t>
      </w:r>
    </w:p>
    <w:p w14:paraId="2FCF7A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具备手术开单权限控制功能，根据科室手术设置和开单医生手术级别权限设置，对当前开单医生允许签发的手术范围进行控制。</w:t>
      </w:r>
    </w:p>
    <w:p w14:paraId="112C24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具备主刀医生权限控制功能，根据设置的医生职称对应手术级别、医生对应手术级别、医生对应手术等分级授权，控制手术通知单中主刀医生的可选范围。</w:t>
      </w:r>
    </w:p>
    <w:p w14:paraId="502587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具备临时授权部分主刀医生权限外的手术功能。</w:t>
      </w:r>
    </w:p>
    <w:p w14:paraId="396B2D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●择期手术多级审核流程管理</w:t>
      </w:r>
    </w:p>
    <w:p w14:paraId="49BB41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具备择期手术审核流程管理功能，根据医院实际业务流程进行分级审批流程控制，提供科主任审核、医务科审核（根据手术等级判断进入，如重大手术需医务科审核）的多级审核流程。</w:t>
      </w:r>
    </w:p>
    <w:p w14:paraId="526675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具备择期手术审核流程管理，根据手术等级灵活动态配置手术流程，实现多级手术审核。</w:t>
      </w:r>
    </w:p>
    <w:p w14:paraId="2E064F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●急诊手术审核流程管理</w:t>
      </w:r>
    </w:p>
    <w:p w14:paraId="51FD52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具备急诊手术审核流程管理功能，根据医院实际业务需要，提供急诊手术主刀医生审核流程。</w:t>
      </w:r>
    </w:p>
    <w:p w14:paraId="70794A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●手术分级查询统计</w:t>
      </w:r>
    </w:p>
    <w:p w14:paraId="44D63B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具备查询设定范围内的急诊手术情况并打印功能。</w:t>
      </w:r>
    </w:p>
    <w:p w14:paraId="28780E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具备查询设定范围内申请且失败的手术情况并打印功能。</w:t>
      </w:r>
    </w:p>
    <w:p w14:paraId="037CD8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具备查询设定范围内申请且成功的手术情况并打印功能。</w:t>
      </w:r>
    </w:p>
    <w:p w14:paraId="5BB40E70">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(6) 住院会诊管理</w:t>
      </w:r>
    </w:p>
    <w:p w14:paraId="3C9456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具备科内、科间、院内类型会诊申请功能。</w:t>
      </w:r>
    </w:p>
    <w:p w14:paraId="5B250A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具备急会诊、普通、特殊级别会诊申请功能。</w:t>
      </w:r>
    </w:p>
    <w:p w14:paraId="073ED9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支持与临床信息系统对接，会诊申请提交后，产生会诊申请医嘱。邀请科室线上会诊答复，产生会诊答复医嘱。</w:t>
      </w:r>
    </w:p>
    <w:p w14:paraId="1517D3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具备自动授权受邀医生可对会诊患者下达医嘱、书写病历功能。</w:t>
      </w:r>
    </w:p>
    <w:p w14:paraId="668A3C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具备会诊申请单、会诊答复单的单独、合并打印功能。</w:t>
      </w:r>
    </w:p>
    <w:p w14:paraId="321FA2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具备会诊申请、会诊接收、会诊答复、会诊反馈等会诊流程闭环监控功能。</w:t>
      </w:r>
    </w:p>
    <w:p w14:paraId="60D87F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具备已完成的会诊质量统计功能，包括满意度、完成率、及时率。</w:t>
      </w:r>
    </w:p>
    <w:p w14:paraId="7C1024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具备会诊文书完成情况与质量的统计分析功能，包括文书完成的完整性、时效性。</w:t>
      </w:r>
    </w:p>
    <w:p w14:paraId="4B833D68">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3.1.2.4 住院电子病历工作站</w:t>
      </w:r>
    </w:p>
    <w:p w14:paraId="75FC1BC3">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病历录入</w:t>
      </w:r>
    </w:p>
    <w:p w14:paraId="7FFB7C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●结构化书写</w:t>
      </w:r>
    </w:p>
    <w:p w14:paraId="300C09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具备结构化病历的书写功能，所见即所得。</w:t>
      </w:r>
    </w:p>
    <w:p w14:paraId="115EE3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具备自定义病历结构与格式功能。</w:t>
      </w:r>
    </w:p>
    <w:p w14:paraId="1D448C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具备添加专科、专病的病历模板。</w:t>
      </w:r>
    </w:p>
    <w:p w14:paraId="1238D4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具备病历模板收藏、个人模板、患者历史病历模板引用。</w:t>
      </w:r>
    </w:p>
    <w:p w14:paraId="3D8852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具备查看、引用患者门诊/住院既往病历功能。</w:t>
      </w:r>
    </w:p>
    <w:p w14:paraId="34486E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具备病程录插入功能。</w:t>
      </w:r>
    </w:p>
    <w:p w14:paraId="694AB1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具备临床异常指标信息自动生成病历功能。</w:t>
      </w:r>
    </w:p>
    <w:p w14:paraId="02E51C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具备对书写内容进行智能检查与提示功能。</w:t>
      </w:r>
    </w:p>
    <w:p w14:paraId="474175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具备病历存草稿、提交、撤消提交功能。</w:t>
      </w:r>
    </w:p>
    <w:p w14:paraId="61EBD8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具备病历的各种打印模式和打印风格。</w:t>
      </w:r>
    </w:p>
    <w:p w14:paraId="4620F1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具备住院病历集中打印。</w:t>
      </w:r>
    </w:p>
    <w:p w14:paraId="02F9A1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具备维护个人、科室、全院病历模板功能。</w:t>
      </w:r>
    </w:p>
    <w:p w14:paraId="29078E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具备学员书写病历权限设置和书写病历功能。</w:t>
      </w:r>
    </w:p>
    <w:p w14:paraId="7D886E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支持通过CA接口，实现电子病历签名功能。</w:t>
      </w:r>
    </w:p>
    <w:p w14:paraId="7974D5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具备病历记录录入编辑过程中自动保存编辑内容，并在系统出现异常中断的情况下恢复正在编辑文档功能。</w:t>
      </w:r>
    </w:p>
    <w:p w14:paraId="45831F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具备对正处于编辑状态的住院病历锁定功能，在另一个客户端不能编辑、只能查看。</w:t>
      </w:r>
    </w:p>
    <w:p w14:paraId="6CCB11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具备家谱图绘制功能。</w:t>
      </w:r>
    </w:p>
    <w:p w14:paraId="6412B8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具备插入影像数据功能。</w:t>
      </w:r>
    </w:p>
    <w:p w14:paraId="23BA50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具备插入月经史、孕周、眼压、胎心常用医学公式。</w:t>
      </w:r>
    </w:p>
    <w:p w14:paraId="222E8A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具备通过参数配置结构化元素各种状态颜色。</w:t>
      </w:r>
    </w:p>
    <w:p w14:paraId="136704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具备通过参数配置病历字体样式。</w:t>
      </w:r>
    </w:p>
    <w:p w14:paraId="7137B3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●诊断录入</w:t>
      </w:r>
    </w:p>
    <w:p w14:paraId="47A876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具备诊断录入功能，支持按不同类型的诊断录入。</w:t>
      </w:r>
    </w:p>
    <w:p w14:paraId="5D6B80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具备诊断排序功能、收藏功能。</w:t>
      </w:r>
    </w:p>
    <w:p w14:paraId="09A696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具备历史诊断,自动、手动导入功能。</w:t>
      </w:r>
    </w:p>
    <w:p w14:paraId="6E9CBC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支持与院感系统对接，诊断保存后调用院感接口，实现院感数据上报功能。</w:t>
      </w:r>
    </w:p>
    <w:p w14:paraId="2EE931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支持与传染病系统对接，诊断保存后调用传染病接口，实现传染病填报上报功能。</w:t>
      </w:r>
    </w:p>
    <w:p w14:paraId="63BEE3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●数据存储</w:t>
      </w:r>
    </w:p>
    <w:p w14:paraId="330B50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具备采用病历服务器时间作为病历操作记录时间的唯一来源功能。</w:t>
      </w:r>
    </w:p>
    <w:p w14:paraId="36B238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具备病历记录结构化存储功能。</w:t>
      </w:r>
    </w:p>
    <w:p w14:paraId="4BEBC8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具备历史病历完成数字化处理并可查询功能。</w:t>
      </w:r>
    </w:p>
    <w:p w14:paraId="5E0150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病历保存时间符合《电子病历应用管理规范》存储要求。</w:t>
      </w:r>
    </w:p>
    <w:p w14:paraId="2F5217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支持与其他业务系统对接，实现病历数据全院共享功能。</w:t>
      </w:r>
    </w:p>
    <w:p w14:paraId="06F869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具备敏感信息脱敏功能。</w:t>
      </w:r>
    </w:p>
    <w:p w14:paraId="67B01C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●病历查询</w:t>
      </w:r>
    </w:p>
    <w:p w14:paraId="19F913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具备病历手动归档的操作记录查询功能。</w:t>
      </w:r>
    </w:p>
    <w:p w14:paraId="6F0BE1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具备可视化展示病历修改记录功能，包括修改者、修改时间、修改内容。</w:t>
      </w:r>
    </w:p>
    <w:p w14:paraId="29B482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具备病历操作日志查询功能，包括病历修改、保存、提交、打印、查看。</w:t>
      </w:r>
    </w:p>
    <w:p w14:paraId="5C04A0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具备根据住院号、出院日期、科室查询患者历次住院病历记录功能。</w:t>
      </w:r>
    </w:p>
    <w:p w14:paraId="1E671AD1">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病历书写助手</w:t>
      </w:r>
    </w:p>
    <w:p w14:paraId="7A3A84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具备病历模板知识库数据展示、引用。</w:t>
      </w:r>
    </w:p>
    <w:p w14:paraId="466D6A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具备既往门诊、住院病历数据引用。</w:t>
      </w:r>
    </w:p>
    <w:p w14:paraId="05387D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具备段落保存及引用功能。</w:t>
      </w:r>
    </w:p>
    <w:p w14:paraId="58DE09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具备医嘱、护理、检验、检查临床信息一体化引用功能。</w:t>
      </w:r>
    </w:p>
    <w:p w14:paraId="71637A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具备医学计算公式及计算结果引用功能。</w:t>
      </w:r>
    </w:p>
    <w:p w14:paraId="305D0D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具备医学常用特殊字符引用功能，具备自定义配置特殊字符。</w:t>
      </w:r>
    </w:p>
    <w:p w14:paraId="3C642B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具备诊断录入功能，支持按不同类型的诊断录入。</w:t>
      </w:r>
    </w:p>
    <w:p w14:paraId="06D71E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具备各个诊断类别之间按规则引用功能。</w:t>
      </w:r>
    </w:p>
    <w:p w14:paraId="2AA031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具备诊断数据自动、手动写入病历功能。</w:t>
      </w:r>
    </w:p>
    <w:p w14:paraId="15979B9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病案首页录入</w:t>
      </w:r>
    </w:p>
    <w:p w14:paraId="3C2781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支持符合国家要求的病案首页模板。</w:t>
      </w:r>
    </w:p>
    <w:p w14:paraId="3D4046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具备病案首页自动获取患者基本信息、临床信息。</w:t>
      </w:r>
    </w:p>
    <w:p w14:paraId="66963B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具备病案首页所见即所得打印。</w:t>
      </w:r>
    </w:p>
    <w:p w14:paraId="2E29D8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具备病案首页必填项、关联性数据校验。</w:t>
      </w:r>
    </w:p>
    <w:p w14:paraId="65D405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支持符合HQMS、绩效考核、质控规则要求校验病案首页数据。</w:t>
      </w:r>
    </w:p>
    <w:p w14:paraId="01DFAD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具备病案规则设置控制到指定科室。</w:t>
      </w:r>
    </w:p>
    <w:p w14:paraId="554DA6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支持通过病案系统接口，推送病案首页数据。</w:t>
      </w:r>
    </w:p>
    <w:p w14:paraId="1E9205A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病历授权管理</w:t>
      </w:r>
    </w:p>
    <w:p w14:paraId="5505B7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具备病历自动归档功能，在自动归档时间点支持控制是否包含节假日、周末。</w:t>
      </w:r>
    </w:p>
    <w:p w14:paraId="61969D3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具备病历手动归档时输入病历号、扫码归档功能。</w:t>
      </w:r>
    </w:p>
    <w:p w14:paraId="23E6C3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具备对已归档病历，申请撤销归档流程，自定义设置审核流程功能，病历撤销归档-科主任、医务科、病案室审核功能。</w:t>
      </w:r>
    </w:p>
    <w:p w14:paraId="540FB9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具备病历封存、解封管理。</w:t>
      </w:r>
    </w:p>
    <w:p w14:paraId="1F6439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具备病历借阅、归还管理。</w:t>
      </w:r>
    </w:p>
    <w:p w14:paraId="64F523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具备病历授权管理。</w:t>
      </w:r>
    </w:p>
    <w:p w14:paraId="2C054C6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病历模板管理</w:t>
      </w:r>
    </w:p>
    <w:p w14:paraId="62235D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提供统一的数据集标准、数据元标准、值域标准。</w:t>
      </w:r>
    </w:p>
    <w:p w14:paraId="54CD47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提供符合互联互通标准的数据集。</w:t>
      </w:r>
    </w:p>
    <w:p w14:paraId="7D9A84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提供标准化基础数据功能。</w:t>
      </w:r>
    </w:p>
    <w:p w14:paraId="47E134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具备数据集、数据元、值域管理功能，</w:t>
      </w:r>
    </w:p>
    <w:p w14:paraId="3A77D3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具备病历模板目录自定义配置功能。</w:t>
      </w:r>
    </w:p>
    <w:p w14:paraId="5A0475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具备模板目录标准分类管理功能。</w:t>
      </w:r>
    </w:p>
    <w:p w14:paraId="355A03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提供符合卫生部、省标准规范的病历模板。</w:t>
      </w:r>
    </w:p>
    <w:p w14:paraId="6C1137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具备模板修改、导入、导出功能。</w:t>
      </w:r>
    </w:p>
    <w:p w14:paraId="40FDCA2F">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(6) 病历质控管理</w:t>
      </w:r>
    </w:p>
    <w:p w14:paraId="3CC986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●质控管理</w:t>
      </w:r>
    </w:p>
    <w:p w14:paraId="7D8854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具备住院医生、主治医生、主任（副主任）医生三级阅改功能。</w:t>
      </w:r>
    </w:p>
    <w:p w14:paraId="0A29ED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具备记录住院病历的历次修改痕迹。</w:t>
      </w:r>
    </w:p>
    <w:p w14:paraId="0E671F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具备性别违禁词设置</w:t>
      </w:r>
    </w:p>
    <w:p w14:paraId="4C8092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提供统一质控规则标准，符合电子病历评级、互联互通标准、HQMS规则标准要求。</w:t>
      </w:r>
    </w:p>
    <w:p w14:paraId="079ADA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具备模板设置质控规则。</w:t>
      </w:r>
    </w:p>
    <w:p w14:paraId="1C6C96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具备自定义设置时限规则功能。</w:t>
      </w:r>
    </w:p>
    <w:p w14:paraId="42FA69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具备根据不同专科病历、病种，选择差别化的质量控制。</w:t>
      </w:r>
    </w:p>
    <w:p w14:paraId="709B5E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具备维护评分大项、评分小项功能。</w:t>
      </w:r>
    </w:p>
    <w:p w14:paraId="5D7C9B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具备评分小项适用指定病历、绑定多个评分项功能。</w:t>
      </w:r>
    </w:p>
    <w:p w14:paraId="3747D2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具备评分项适用病种、适用科室、扣分标准、自动扣分规则设置。</w:t>
      </w:r>
    </w:p>
    <w:p w14:paraId="13F934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●质控闭环</w:t>
      </w:r>
    </w:p>
    <w:p w14:paraId="7C8C40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具备运行病历科室、质控科、院级环节质控，问题反馈、自动/手动评分项实时提醒。</w:t>
      </w:r>
    </w:p>
    <w:p w14:paraId="4C6792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具备终末病历科室、质控科、院级，三级的手动、自动评分。</w:t>
      </w:r>
    </w:p>
    <w:p w14:paraId="65D513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具备终末质控病历一键打回功能。</w:t>
      </w:r>
    </w:p>
    <w:p w14:paraId="4F9D5D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支持与住院临床信息系统对接，实现与医生站客户端问题、时限消息提醒功能。</w:t>
      </w:r>
    </w:p>
    <w:p w14:paraId="110FF9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具备运行病历质控反馈问题、整改答复。</w:t>
      </w:r>
    </w:p>
    <w:p w14:paraId="3BC183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具备性别违禁词数据校验。</w:t>
      </w:r>
    </w:p>
    <w:p w14:paraId="054BC5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具备病历模板规则校验。</w:t>
      </w:r>
    </w:p>
    <w:p w14:paraId="417DF9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具备科室、院级终末病历质控评分功能。</w:t>
      </w:r>
    </w:p>
    <w:p w14:paraId="24C90D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具备超时病历锁定、解锁功能。</w:t>
      </w:r>
    </w:p>
    <w:p w14:paraId="022D56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提供符合HQMS、绩效考核要求的质控规则及扩展质控规则，校验病案首页数据。</w:t>
      </w:r>
    </w:p>
    <w:p w14:paraId="28A0CC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●质控查询</w:t>
      </w:r>
    </w:p>
    <w:p w14:paraId="11EE00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具备科室、质控科、院级缺陷问题整改查询。</w:t>
      </w:r>
    </w:p>
    <w:p w14:paraId="50F36F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具备科室、质控科、院级评分记录查询。</w:t>
      </w:r>
    </w:p>
    <w:p w14:paraId="7E1E95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具备病历时限记录查询。</w:t>
      </w:r>
    </w:p>
    <w:p w14:paraId="6E0238DC">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3.1.2.5 临床路径系统</w:t>
      </w:r>
    </w:p>
    <w:p w14:paraId="53250D7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路径配置</w:t>
      </w:r>
    </w:p>
    <w:p w14:paraId="58CD558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具备临床路径维护权限设置功能，通过权限控制医生允许维护的临床路径范围。</w:t>
      </w:r>
    </w:p>
    <w:p w14:paraId="11CE8E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具备临床路径维护功能，包含临床路径基本信息、准入/除外规则、疗程（含基本信息、疗程评估项、临床决策、诊疗方案、诊疗工作等）、指南推荐等信息。</w:t>
      </w:r>
    </w:p>
    <w:p w14:paraId="3EE2E3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具备临床路径诊疗包维护功能，可以按诊断相关组或诊断设置相应诊疗包，路径执行时，按病人诊断关联对应诊疗包，医生引用药品或项目不变异。</w:t>
      </w:r>
    </w:p>
    <w:p w14:paraId="74FE1A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具备临床路径可替换包维护功能，通过路径疗程计划维护时进行绑定，实现计划中项目或药品与可替换包中项目进行替换不变异。</w:t>
      </w:r>
    </w:p>
    <w:p w14:paraId="7AFBF2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具备路径变异原因维护功能，通过不同变异分类下原因维护，实现路径执行时变异原因按照分类显示调用。</w:t>
      </w:r>
    </w:p>
    <w:p w14:paraId="78C18B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具备临床路径规则设置功能，包含文字医嘱是否变异处理、医嘱变异项选择、入径规则（是否允许重复入径、超时入径控制）。</w:t>
      </w:r>
    </w:p>
    <w:p w14:paraId="1FD9C2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具备临床路径停用药品及项目检测、替换功能，针对已停用项目可直接替换处理。</w:t>
      </w:r>
    </w:p>
    <w:p w14:paraId="193E54D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入出路径管理</w:t>
      </w:r>
    </w:p>
    <w:p w14:paraId="254862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●路径准入评估</w:t>
      </w:r>
    </w:p>
    <w:p w14:paraId="03D24D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医生对于病人医疗是一种以循证医学证据行为，病人是否符合采用临床路径治疗，需要医生评估是否纳入，具备医生主动纳入或按入院主诊断系统推荐纳入两种方式。</w:t>
      </w:r>
    </w:p>
    <w:p w14:paraId="4ABAF7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具备医生根据诊断、病情判断纳入路径功能，主要诊断可修改。</w:t>
      </w:r>
    </w:p>
    <w:p w14:paraId="0E95EE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具备按入院主诊断自动触发纳入路径功能，入径后禁止修改入院主诊断。</w:t>
      </w:r>
    </w:p>
    <w:p w14:paraId="2C32E4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具备查看待纳入路径对应的方案明细功能，包括路径流程图、疗程方案明细（重点医嘱、诊疗工作）。</w:t>
      </w:r>
    </w:p>
    <w:p w14:paraId="3E8AD5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具备医生按照纳入标准选项或不纳入标准选项，决定是否将病人纳入路径治疗功能。</w:t>
      </w:r>
    </w:p>
    <w:p w14:paraId="05765D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具备纳入路径后，自动检测疗程方案中是否包含入径前已完成项目，并弹框由医生进行确认，是否路径方案中需要重复执行功能。</w:t>
      </w:r>
    </w:p>
    <w:p w14:paraId="24FEF2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●路径完成/退出</w:t>
      </w:r>
    </w:p>
    <w:p w14:paraId="685082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具备临床路径中途退出路径与路径完成两种退出方式。中途可以退出路径，可填写退出路径原因。</w:t>
      </w:r>
    </w:p>
    <w:p w14:paraId="514F39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具备流程审批方式进行控制临床路径中途退出功能。</w:t>
      </w:r>
    </w:p>
    <w:p w14:paraId="0128A95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执行与变异管理</w:t>
      </w:r>
    </w:p>
    <w:p w14:paraId="7C985B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具备路径执行状况突出显示（含路径病人标识、当前疗程、已产生费用）功能，医生优先从路径方案中下达医嘱。</w:t>
      </w:r>
    </w:p>
    <w:p w14:paraId="602286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具备醒目区分必须执行和可选项路径项目或药品功能，通过勾选框可以实现将必选项医嘱全部下达。</w:t>
      </w:r>
    </w:p>
    <w:p w14:paraId="03D0CF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路径方案中药品库存不足或厂家停用时，依据规则设置医生可以选择可以替换药品或项目，下达后不变异处理。</w:t>
      </w:r>
    </w:p>
    <w:p w14:paraId="2E58B3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具备文字医嘱录入，依据规则设置控制是否变异处理。</w:t>
      </w:r>
    </w:p>
    <w:p w14:paraId="1B3E29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具备直接录入医嘱，依据规则自动校验是否为路径疗程方案中项目或药品，符合规则不变异处理。</w:t>
      </w:r>
    </w:p>
    <w:p w14:paraId="43159C4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具备路径方案中项目或药品，下达时剂量、剂量单位、用法、频次有修改，可以控制是否变异处理。</w:t>
      </w:r>
    </w:p>
    <w:p w14:paraId="4F6F4B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具备路径按照变异分类设置正负向变异功能。</w:t>
      </w:r>
    </w:p>
    <w:p w14:paraId="29A00B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具备按照路径时间进行执行周期变异规则控制。</w:t>
      </w:r>
    </w:p>
    <w:p w14:paraId="04C2CC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具备病人存在合并症时，使用路径诊疗包下达医嘱，不做变异处理。</w:t>
      </w:r>
    </w:p>
    <w:p w14:paraId="3FC121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具备路径病人校验病历文书功能，可根据关联文书跳转至病历进行自动创建或定位。</w:t>
      </w:r>
    </w:p>
    <w:p w14:paraId="335CBD5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具有路径疗程一览功能，查看路径每个疗程执行信息，且可以按国家标准路径表单打印。</w:t>
      </w:r>
    </w:p>
    <w:p w14:paraId="75A7350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评估管理</w:t>
      </w:r>
    </w:p>
    <w:p w14:paraId="2804CD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具备维护路径某疗程评估单和分支路径功能。</w:t>
      </w:r>
    </w:p>
    <w:p w14:paraId="2C674C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具备疗程完成且进入下一疗程前，依自动提示医生疗程评估功能，</w:t>
      </w:r>
    </w:p>
    <w:p w14:paraId="1D296A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具备按照评估结果智能推荐下一疗程功能，若存在分支路径，医生可手动修改分支路径。</w:t>
      </w:r>
    </w:p>
    <w:p w14:paraId="054FCAD1">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统计查询</w:t>
      </w:r>
    </w:p>
    <w:p w14:paraId="24E25B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●路径监管</w:t>
      </w:r>
    </w:p>
    <w:p w14:paraId="22817A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实时监控管理临床路径实行的情况功能，包括路径定义、路径执行情况。</w:t>
      </w:r>
    </w:p>
    <w:p w14:paraId="6FD97B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具备路径实时监管一览功能，包含：路径名称、符合入径数、实际入径数、完成路径数、退出路径数及钻取查询明细信息。</w:t>
      </w:r>
    </w:p>
    <w:p w14:paraId="5E32E3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路径病人日程一览：按病区查看在院/出院病人路径执行情况，并且允许临床路径表单打印。</w:t>
      </w:r>
    </w:p>
    <w:p w14:paraId="1C7C26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具备路径成本费用指标监测功能，包括病人总费用、疗程费用、疗程分类费用超标情况，并及时提醒医生。</w:t>
      </w:r>
    </w:p>
    <w:p w14:paraId="7EE0997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●路径统计</w:t>
      </w:r>
    </w:p>
    <w:p w14:paraId="70A540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提供标准化的路径统计结果。</w:t>
      </w:r>
    </w:p>
    <w:p w14:paraId="4A4744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临床路径统计月报表：按科室/按全院查询临床路径对应的总出院人数、符合例数、符合率、实际入径例数、入径率、完成例数、完成率、除外人数、退出例数、退出率统计。</w:t>
      </w:r>
    </w:p>
    <w:p w14:paraId="465FC68A">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3.1.2.6 住院护士工作站</w:t>
      </w:r>
    </w:p>
    <w:p w14:paraId="361D1471">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住院护士工作站</w:t>
      </w:r>
    </w:p>
    <w:p w14:paraId="61FA68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住院患者入出转</w:t>
      </w:r>
    </w:p>
    <w:p w14:paraId="5FFDC61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具备快速定位病人功能，能进行住院号和床号的双重定位，对复杂查询提供姓名拼音、五笔检索。</w:t>
      </w:r>
    </w:p>
    <w:p w14:paraId="6685A8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对登记到本病区的病人，具备分配床位、指定管床医生护士、记录入院诊断、记录危重级别等功能。</w:t>
      </w:r>
    </w:p>
    <w:p w14:paraId="2AB474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具备病人基本信息查询功能，包括费用、转科、过敏、诊断、手术、预交金、费别等信息。</w:t>
      </w:r>
    </w:p>
    <w:p w14:paraId="7282446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具备对ICU、手术室、母婴同室转入转出特殊处理功能，包括：在转床、转区、转ICU、转产房时自动生成转科、转床医嘱，提示停止上一个科室或床位的长期医嘱等。</w:t>
      </w:r>
    </w:p>
    <w:p w14:paraId="383ECD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具备患者转区、出区时校验功能，提示病人是否存在未执行项目，未确认的检查检验申请单、未发药医嘱、有效医嘱等。</w:t>
      </w:r>
    </w:p>
    <w:p w14:paraId="09C4C7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具备病人出区时合理性校验功能，针对病人未执行项目，未确认检查检验申请单、未发药医嘱及病人的固定项目费、床位费、护理天数和患者住院天数的一致性进行校验和提醒。</w:t>
      </w:r>
    </w:p>
    <w:p w14:paraId="21F8D5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住院床位管理</w:t>
      </w:r>
    </w:p>
    <w:p w14:paraId="1DBA45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具备新增、修改、停用床位功能，包括设置床位的所属科室、病区、责任护士、床位医生、床位费。</w:t>
      </w:r>
    </w:p>
    <w:p w14:paraId="1CCFFF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具备床位管理的智能化向导功能，包括转床时是否确定目标病区床位、智能识别床位的性别属性。</w:t>
      </w:r>
    </w:p>
    <w:p w14:paraId="65B95E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具备病人转床或床位互换功能。</w:t>
      </w:r>
    </w:p>
    <w:p w14:paraId="1B6D5A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具备病人包床维护功能，包括增加、删除包床，增加、删除包床的固定收费项目。</w:t>
      </w:r>
    </w:p>
    <w:p w14:paraId="55893A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床位代码设置：具备设置本病区的床位代码、性别类型、床位费、所属科室、相关医生、特需类型属性功能。</w:t>
      </w:r>
    </w:p>
    <w:p w14:paraId="078E01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固定项目设置：具备设置全院病区、某一病区、某一房间或某一床位的固定项目费用功能。</w:t>
      </w:r>
    </w:p>
    <w:p w14:paraId="4F32A2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住院患者费用处理</w:t>
      </w:r>
    </w:p>
    <w:p w14:paraId="4C3B39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具备报警线和停药线的提醒与控制功能。</w:t>
      </w:r>
    </w:p>
    <w:p w14:paraId="54B0A8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具备对护士补记的费用进行退费处理，可查看病人退费的明细信息。</w:t>
      </w:r>
    </w:p>
    <w:p w14:paraId="12D16E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具备对医技未确认项目进行医技请求作废功能</w:t>
      </w:r>
    </w:p>
    <w:p w14:paraId="48085F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具备对药房已发的药品进行退药申请，护士申请后在药房接收后完成确认退药操作。</w:t>
      </w:r>
    </w:p>
    <w:p w14:paraId="371353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具备对病人补记帐功能，记录病人已使用未记帐材料费用，或在医嘱发送时无法直接收费的项目。</w:t>
      </w:r>
    </w:p>
    <w:p w14:paraId="54A53AB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具备对病人进行补记账功能，根据实际需要可补收病人已使用未收费的材料费用，或在医嘱发送时无法收费的项目费用。</w:t>
      </w:r>
    </w:p>
    <w:p w14:paraId="62D5E3F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具备按照病人和医嘱两种方式即按照病人和按照医嘱，对病人长期、临时的项目或材料进行绑定记账。</w:t>
      </w:r>
    </w:p>
    <w:p w14:paraId="5B9E8F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具备按照医嘱绑定相应的材料功能，并随医嘱一起收费。</w:t>
      </w:r>
    </w:p>
    <w:p w14:paraId="618574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具备对在区、出区、出院的病人进行相关的费用查询功能。</w:t>
      </w:r>
    </w:p>
    <w:p w14:paraId="60E86C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护士站医嘱管理</w:t>
      </w:r>
    </w:p>
    <w:p w14:paraId="14BE32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具备全病区或单病人医嘱核对功能，支持长期医嘱临时医嘱分开核对。</w:t>
      </w:r>
    </w:p>
    <w:p w14:paraId="4FCD1E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具备未停长期医嘱修改执行药房功能。</w:t>
      </w:r>
    </w:p>
    <w:p w14:paraId="74FC5D6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形式医嘱发送功能，包含当天和预定时间的医嘱发送、分用法的医嘱发送、单病人和全区病人的医嘱发送、长期医嘱和临时医嘱的分开发送。医嘱执行时按药品、检验、检查自动分流并生成相应申请单；已停医嘱发送到停止时间；发送时间到分钟；输液耗材按频次自动收取。</w:t>
      </w:r>
    </w:p>
    <w:p w14:paraId="36329B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具备自定义医嘱发送单据功能，可以在医嘱发送时，按照定义的单据分类发送对应的医嘱。</w:t>
      </w:r>
    </w:p>
    <w:p w14:paraId="0B0847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具备自定义医嘱单据功能，可以支持不同科室定义个性化的单据类型，供打印时使用。</w:t>
      </w:r>
    </w:p>
    <w:p w14:paraId="477EB7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具备护士核对医生的取消医嘱，对存在有问题的医嘱，医生发起取消请求，护士确认后，医生可取消医嘱。</w:t>
      </w:r>
    </w:p>
    <w:p w14:paraId="071AA6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具备对多种医嘱格式套打功能；包括常见打印机的打印模板设置；床头卡、输液卡、注射单、口服单等多种临床单据打印，并支持打印预览功能。</w:t>
      </w:r>
    </w:p>
    <w:p w14:paraId="56132D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具备打印检查检验申请单，申请单格式可自定义。</w:t>
      </w:r>
    </w:p>
    <w:p w14:paraId="3DCDFD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集中工作台功能，将医嘱相关操作整合在一起，包括医嘱核对、医嘱发送、单据打印、记账、费用核对查询等，实现医嘱和费用的关联，便于查询和核对。（提供医嘱核对、医嘱执行、单据打印、费用集中处理截图证明。）</w:t>
      </w:r>
    </w:p>
    <w:p w14:paraId="153F8D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▲具备查询患者医嘱及费用功能，一个菜单完成多个操作如退费、补记帐和退药、未记账的请求作废等操作。（提供截图证明）</w:t>
      </w:r>
    </w:p>
    <w:p w14:paraId="272840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支持与全院检查预约系统对接，调用医技预约网页查询医技预约信息。</w:t>
      </w:r>
    </w:p>
    <w:p w14:paraId="43B755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具备记录病人过敏药品及过敏类型，能够查询病人历史过敏信息，如药物过敏、食物过敏、造影剂过敏、环境过敏。并具备患者过敏药品信息的录入、修改、批量更新等功能。</w:t>
      </w:r>
    </w:p>
    <w:p w14:paraId="1E0957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住院护士危急值预警提醒</w:t>
      </w:r>
    </w:p>
    <w:p w14:paraId="5D0FD7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具备危急值信息的接收与反馈，并能记录具体接收的时间和操作员信息。</w:t>
      </w:r>
    </w:p>
    <w:p w14:paraId="0872A3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具备危急值信息的汇总查询，并能按照单病人、单个发布医生和时间段进行查询相应的危急值信息。</w:t>
      </w:r>
    </w:p>
    <w:p w14:paraId="2D471BF3">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3.1.2.7 智能护理病历工作站</w:t>
      </w:r>
    </w:p>
    <w:p w14:paraId="7FB4E34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护理文书录入</w:t>
      </w:r>
    </w:p>
    <w:p w14:paraId="384BA9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▲提供一体化护理平台框架，至少包含护理病历、病区日常、住院病历和医技报告内容。（提供不切换系统情况下进行医嘱审核、文书书写、住院病历查询及医技报告调阅）</w:t>
      </w:r>
    </w:p>
    <w:p w14:paraId="00952C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具备床位卡图标显示配置功能，可配置床位状态、护理级别、危重级别、管路类型、患者类型图标。</w:t>
      </w:r>
    </w:p>
    <w:p w14:paraId="4550B3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具备床位卡切换至护理文书、医技报告调阅、入区登记、医嘱处理、医嘱查询模块功能。</w:t>
      </w:r>
    </w:p>
    <w:p w14:paraId="0F24D5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具备按照床位维护护理组，护理组支持按个人、病区设定，并支持文书书写时按照护理组过滤相应床位患者功能。</w:t>
      </w:r>
    </w:p>
    <w:p w14:paraId="7EB59B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具备入院评估单的录入、保存、预览、打印功能，展示字段包括入院方式、过敏史、入院诊断、评估信息。</w:t>
      </w:r>
    </w:p>
    <w:p w14:paraId="36A76B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具备在入院评估单上对患者自理能力、压疮、跌倒、管道滑脱、疼痛进行评估及导入体征信息功能。</w:t>
      </w:r>
    </w:p>
    <w:p w14:paraId="3550EF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支持与临床决策支持系统对接，实现入院评估时根据患者不同病种、科别、性别、诊断、年龄自动推荐不同类型护理模板功能。</w:t>
      </w:r>
    </w:p>
    <w:p w14:paraId="29A3AF7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具备根据体征规则自动计算MEWS评估总分功能。</w:t>
      </w:r>
    </w:p>
    <w:p w14:paraId="0FD4917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具备一般护理记录单的新增、删除、修改、预览、打印、插入小结、总结、引用医嘱、体征、检查检验、既往史、简要病史功能。</w:t>
      </w:r>
    </w:p>
    <w:p w14:paraId="2FCDED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具备危重护理记录单的新增明细、删除明细、修改、打印、预览、插入小结、总结，引用医嘱、体征、检查检验、胰岛素注射、既往史、电子病历、过敏药品信息功能。</w:t>
      </w:r>
    </w:p>
    <w:p w14:paraId="427192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具备出院评估单信息的录入与展示功能，包括：患者心理状态、自理能力、皮肤情况、并发症、特殊用药指导、情绪调节。</w:t>
      </w:r>
    </w:p>
    <w:p w14:paraId="3933B1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具备跌倒评估单各项内容的录入与展示及总分计算功能，包括记录：年龄、精神状况、身体状况、活动能力、灵活程度。</w:t>
      </w:r>
    </w:p>
    <w:p w14:paraId="77FCA7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具备各类导管评估单录入与展示及总分自动计算功能，包括记录：导管类别、意识。</w:t>
      </w:r>
    </w:p>
    <w:p w14:paraId="03A834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具备疼痛风险评估及疼痛护理记录单录入与展示功能，包括：疼痛部位标记、面部表情疼痛表、数字评定量表、FLACC图。</w:t>
      </w:r>
    </w:p>
    <w:p w14:paraId="76147F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具备血糖监测护理单录入与展示功能，包括：患者晨时、早餐前、午餐后、晚餐前区间段糖尿病监测记录，以及对随机血糖监测结果、用药情况变化、意外情况进行记录。</w:t>
      </w:r>
    </w:p>
    <w:p w14:paraId="686567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具备血糖监测护理单集中录入及血糖趋势图的展示。</w:t>
      </w:r>
    </w:p>
    <w:p w14:paraId="210FDD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具备Mews预警评估单，可对患者病情，如清醒程度、体温、血糖数据进行记录。</w:t>
      </w:r>
    </w:p>
    <w:p w14:paraId="66CD4B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具备对产妇分娩情况记录并提供图形绘制展示功能，包括：宫口扩展图形、胎头下降情况图形。</w:t>
      </w:r>
    </w:p>
    <w:p w14:paraId="1C853E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具备手术清点记录单的记录与打印功能，包括记录室交接情况、术前、术中、术后情况、压疮预防保护措施、低温预防情况。</w:t>
      </w:r>
    </w:p>
    <w:p w14:paraId="6203AA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具备术后护理记录单的记录与打印功能。包括记录患者手术后的意识状态、切口敷料、术后卧位、管道、不适主诉情况记录。</w:t>
      </w:r>
    </w:p>
    <w:p w14:paraId="3A3022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具备术前访视记录单可支持对皮试、既往史、特殊化验结果、药物过敏进行访视记录及打印预览功能。</w:t>
      </w:r>
    </w:p>
    <w:p w14:paraId="5407F2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具备病人手术交接记录单可对患者术前进行评估、针对患者转运交接时的具体体征、意识进行详细记录交接功能。</w:t>
      </w:r>
    </w:p>
    <w:p w14:paraId="35E868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具备危重患者转运交接记录单、分娩病人转运交接记录单、一般患者转运交接记录单记录及打印预览功能。</w:t>
      </w:r>
    </w:p>
    <w:p w14:paraId="6B4A73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具备压疮风险评估单、压疮追访情况进行追踪记录的录入与展示功能及总分自动计算功能，包括记录：感觉、潮湿、活动、营养、摩擦力与剪切力、压疮情况评估、压疮护理措施。</w:t>
      </w:r>
    </w:p>
    <w:p w14:paraId="4A4041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具备书写内科护理记录单、外科护理记录单、产科护理记录单、儿科护理记录单、ICU护理记录单功能。以及书写时可插入小结、总结，引用体征数据、调阅电子病历、过敏药品管理、检验检查数据功能。</w:t>
      </w:r>
    </w:p>
    <w:p w14:paraId="38F878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具备书写中医护理效果方案，包括对主要症状护理效果评价，记录中医护理技术的应用次数和应用时间，对患者护理依从性及满意度评价及护理方案评价功能。</w:t>
      </w:r>
    </w:p>
    <w:p w14:paraId="5C5966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具备产程图进展图模板维护，支持设定图标、连线颜色配置，提供交叉型、伴行型产程图记录、预览及打印功能。</w:t>
      </w:r>
    </w:p>
    <w:p w14:paraId="591FF7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支持对接CA，实现护理文书电子签名功能。</w:t>
      </w:r>
    </w:p>
    <w:p w14:paraId="1DE819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▲具备记录护理文书操作日志及查询操作日志功能。（提供护理文书操作日志界面截图证明，至少包括操作员、操作时间、操作类型、操作内容的界面截图）</w:t>
      </w:r>
    </w:p>
    <w:p w14:paraId="31AD3CDF">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生命体征管理</w:t>
      </w:r>
    </w:p>
    <w:p w14:paraId="568431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具备体温单的绘制和展示，体温单维护包括基础绘制规则、图标绘制、线条及字体颜色绘制的设定功能。</w:t>
      </w:r>
    </w:p>
    <w:p w14:paraId="38D8C5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具备体征体征异常警示范围上下限设定功能，超过范围可进行提醒。</w:t>
      </w:r>
    </w:p>
    <w:p w14:paraId="5AC8E6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具备根据规则查询相应待测患者列表。范围包括：新病人、发烧患者、房颤患者、连续三天无大便患者、体重漏测。</w:t>
      </w:r>
    </w:p>
    <w:p w14:paraId="7CCD83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具备中医体温单的录入、打印及图形展示功能。</w:t>
      </w:r>
    </w:p>
    <w:p w14:paraId="6D4652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具备体温单满页时提醒功能。</w:t>
      </w:r>
    </w:p>
    <w:p w14:paraId="7640D6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具备新生儿体温单录入与展示，包括记录：沐浴情况、皮肤情况、脐带、体征数据、过敏、出入量；支持图形展示，包括：脉搏、心率、血压、疼痛、体重、卡介苗、乙肝情况。</w:t>
      </w:r>
    </w:p>
    <w:p w14:paraId="65BA6A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具备设定体征测量计划，并根据规则提醒显示相应标识，提醒护士进行体征测量功能。</w:t>
      </w:r>
    </w:p>
    <w:p w14:paraId="0052A7E4">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(3)查询统计分析</w:t>
      </w:r>
    </w:p>
    <w:p w14:paraId="5BB8EF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具备压疮、跌倒、导管数量统计功能。</w:t>
      </w:r>
    </w:p>
    <w:p w14:paraId="2FE704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具备超时病历统计功能。</w:t>
      </w:r>
    </w:p>
    <w:p w14:paraId="56EBEE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具备超标护理评分统计功能。</w:t>
      </w:r>
    </w:p>
    <w:p w14:paraId="4D07F3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具备根据自定义条件进行查询功能。</w:t>
      </w:r>
    </w:p>
    <w:p w14:paraId="6A45026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护理病历阅改</w:t>
      </w:r>
    </w:p>
    <w:p w14:paraId="47B59D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具备护理部主任、科护士长、病区护士长病历阅改、并记录修改痕迹功能。</w:t>
      </w:r>
    </w:p>
    <w:p w14:paraId="7BEC20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具备护理部主任、科护士长、病区护士长查看护理病历、医嘱、住院病历、医技报告信息，辅助进行病历阅改功能。</w:t>
      </w:r>
    </w:p>
    <w:p w14:paraId="2C57E8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具备护理部主任、科护士长、病区护士长查看病历阅改痕迹功能。</w:t>
      </w:r>
    </w:p>
    <w:p w14:paraId="11F2EDF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护士交班管理</w:t>
      </w:r>
    </w:p>
    <w:p w14:paraId="4D55E8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具备新入院、转入、出生、手术、病重、病危、死亡、出院、转出人数可根据科室查看人数统计功能。</w:t>
      </w:r>
    </w:p>
    <w:p w14:paraId="53F6D9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具备根据科室设定自定义新增统计项目功能。</w:t>
      </w:r>
    </w:p>
    <w:p w14:paraId="7D52B0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具备重点分类患者交接。</w:t>
      </w:r>
    </w:p>
    <w:p w14:paraId="0F5B32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具备交班物品的维护、查看各班次物品交接情况功能。</w:t>
      </w:r>
    </w:p>
    <w:p w14:paraId="0D8F47F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具备撰写、打印交班报告内容，书写报告时，可从护理病历、医嘱、住院病历、医技报告中引用数据。</w:t>
      </w:r>
    </w:p>
    <w:p w14:paraId="1C7451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具备新入院、手术、出院、过敏分类自定义生成初始化交班内容功能，可修改。</w:t>
      </w:r>
    </w:p>
    <w:p w14:paraId="575EA1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具备交班内容以SBAR模式书写。</w:t>
      </w:r>
    </w:p>
    <w:p w14:paraId="32FCB03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(6) 护理计划</w:t>
      </w:r>
    </w:p>
    <w:p w14:paraId="7E8130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●护理计划管理</w:t>
      </w:r>
    </w:p>
    <w:p w14:paraId="23326E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具备护理计划的执行、停止、评价、取消评价、作废功能。</w:t>
      </w:r>
    </w:p>
    <w:p w14:paraId="76DA60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具备根据评估结果推荐护理问题功能。</w:t>
      </w:r>
    </w:p>
    <w:p w14:paraId="06F260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具备根据护理问题，联动生成护理目标、措施，在护理计划列表中展示，护理措施由体征测量、护理评估、健康宣教、护理措施组成。</w:t>
      </w:r>
    </w:p>
    <w:p w14:paraId="364182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具备对护理计划单进行打印、预览功能。</w:t>
      </w:r>
    </w:p>
    <w:p w14:paraId="194A9D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具备护理计划模板设置，包括：护理问题、护理目标、护理措施。</w:t>
      </w:r>
    </w:p>
    <w:p w14:paraId="0AC036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具备设置风险评估、体温、入区、医嘱触发护理计划规则功能。</w:t>
      </w:r>
    </w:p>
    <w:p w14:paraId="7A4FD1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具备护理评估标准设定功能。</w:t>
      </w:r>
    </w:p>
    <w:p w14:paraId="757015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●护理计划联动规则管理</w:t>
      </w:r>
    </w:p>
    <w:p w14:paraId="6CCB92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具备通过入院评估和风险评估，智能提示建议护理问题，护士根据病人病情选择护理问题，生成到护理计划中功能。</w:t>
      </w:r>
    </w:p>
    <w:p w14:paraId="339785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具备风险评估趋势图展示功能。</w:t>
      </w:r>
    </w:p>
    <w:p w14:paraId="332B9D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具备高危压疮可以触发护理计划功能。</w:t>
      </w:r>
    </w:p>
    <w:p w14:paraId="58600C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具备高危跌倒可以触发护理计划功能。</w:t>
      </w:r>
    </w:p>
    <w:p w14:paraId="40BF68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具备高危自理能力可以触发护理计划功能。</w:t>
      </w:r>
    </w:p>
    <w:p w14:paraId="6C5951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具备高危管道滑脱可以触发护理计划功能。</w:t>
      </w:r>
    </w:p>
    <w:p w14:paraId="3396F0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具备体温大于38度可以触发护理计划功能。</w:t>
      </w:r>
    </w:p>
    <w:p w14:paraId="611D10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●护理计划统计分析</w:t>
      </w:r>
    </w:p>
    <w:p w14:paraId="7C403E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具备科室常见护理诊断统计查询功能。</w:t>
      </w:r>
    </w:p>
    <w:p w14:paraId="44817E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具备护理计划执行情况统计查询功能。</w:t>
      </w:r>
    </w:p>
    <w:p w14:paraId="46110B72">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3.1.2.8 门急诊输液系统</w:t>
      </w:r>
    </w:p>
    <w:p w14:paraId="207A0D7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门急诊输液管理</w:t>
      </w:r>
    </w:p>
    <w:p w14:paraId="16669F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●患者管理</w:t>
      </w:r>
    </w:p>
    <w:p w14:paraId="087AE4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通过读卡或扫码快速识别患者身份，获取患者基本信息，记录患者输液、注射等业务情况，按卡片和列表两种模式显示患者信息。</w:t>
      </w:r>
    </w:p>
    <w:p w14:paraId="62CF2C2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具备患者身份识别功能，支持通过身份证、就诊卡、医保卡等快速获取患者基本信息。</w:t>
      </w:r>
    </w:p>
    <w:p w14:paraId="43B349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具备患者分类管理功能，患者类别包括已签到、待穿刺|治疗、输液|治疗中、输液|治疗结束，支持按类别统计患者人数。</w:t>
      </w:r>
    </w:p>
    <w:p w14:paraId="3CC6CD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具备患者卡片管理功能，卡片信息包括姓名、性别、年龄、出生日期、卡号、输液就诊编码、类别、挂号时间、开始时间、结束时间。</w:t>
      </w:r>
    </w:p>
    <w:p w14:paraId="4C4B5B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具备患者列表管理功能，列表信息包括：姓名、性别、年龄、出生日期、卡号、输液就诊编码、类别、挂号时间、开始时间、结束时间。</w:t>
      </w:r>
    </w:p>
    <w:p w14:paraId="34D32B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●座位管理</w:t>
      </w:r>
    </w:p>
    <w:p w14:paraId="7727C0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维护输液室座位信息，为输液患者分配座位，按卡片和列表两种模式显示座位信息。</w:t>
      </w:r>
    </w:p>
    <w:p w14:paraId="2FC1E9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具备输液室基础参数设置功能，包括输液室新增及维护设置、座位设置、人员设置、工作台设置、收费项目设置、皮试药品除外设置。</w:t>
      </w:r>
    </w:p>
    <w:p w14:paraId="5AB994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具备座位卡管理功能，支持列表、卡片两种座位卡管理模式。</w:t>
      </w:r>
    </w:p>
    <w:p w14:paraId="49F36B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具备患者排座功能，为输液患者分配座位，并打印座位卡，可以按总座、已座、余座过滤座位信息。</w:t>
      </w:r>
    </w:p>
    <w:p w14:paraId="5F6C3E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具备换座功能，为已经安排座位的患者更换座位或取消排座。</w:t>
      </w:r>
    </w:p>
    <w:p w14:paraId="458489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●输液记录/处方查询</w:t>
      </w:r>
    </w:p>
    <w:p w14:paraId="4C8F6B4F">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查看患者的基本信息、挂号信息及收费信息，核对输液处方详情，查对无误后打印输液单据，按照输液处方执行医嘱。</w:t>
      </w:r>
    </w:p>
    <w:p w14:paraId="33EDFA82">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支持与医院信息系统对接，获取患者基本信息、挂号信息及收费信息。</w:t>
      </w:r>
    </w:p>
    <w:p w14:paraId="57E331A7">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门诊医生站系统、药房系统对接，获取患者处方详细信息，包括处方药品的成组标志、医嘱内容、用法、频次、滴速、天数、总量、执行总数、嘱托、处方号、开方日期、开方科室、开方医生、药房、诊断。</w:t>
      </w:r>
    </w:p>
    <w:p w14:paraId="5F053BF7">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具备输液单据打印功能，可以打印输液瓶贴、患者凭证、腕带。</w:t>
      </w:r>
    </w:p>
    <w:p w14:paraId="34FE7ED9">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具备输液计划拆分功能，可以按照处方天数、频次自动拆分生成输液计划。</w:t>
      </w:r>
    </w:p>
    <w:p w14:paraId="20A651CE">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具备药品核对执行功能，记录处方药品的核对过程。</w:t>
      </w:r>
    </w:p>
    <w:p w14:paraId="11697D25">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具备医嘱信息联动管理功能，在药品核对执行时，关联的注射费、材料费也自动同步核对执行。</w:t>
      </w:r>
    </w:p>
    <w:p w14:paraId="26CD15A6">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具备时间轴展示功能，通过时间轴形式，展示药品执行记录。</w:t>
      </w:r>
    </w:p>
    <w:p w14:paraId="19558B50">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具备瓶贴顺序调整功能，可以通过拖拽操作，便捷调整瓶贴的打印顺序。</w:t>
      </w:r>
    </w:p>
    <w:p w14:paraId="1E4F9A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●皮试管理</w:t>
      </w:r>
    </w:p>
    <w:p w14:paraId="1D8A6000">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记录患者皮试过程，管理皮试患者列表，记录皮试结果。</w:t>
      </w:r>
    </w:p>
    <w:p w14:paraId="41E5A155">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具备患者皮试进程管理功能，提供待皮试、皮试中、皮试结束、皮试已审核患者列表，统计当前待皮试、皮试中、皮试结束、皮试已审核患者人次。</w:t>
      </w:r>
    </w:p>
    <w:p w14:paraId="2F2B51ED">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具备患者卡片和列表管理功能，卡片和列表展示的信息包括姓名、性别、年龄、电话、皮试费收取状态、出生日期、皮试名称、挂号科室、开方时间、开方医生、历史信息、联动项目。</w:t>
      </w:r>
    </w:p>
    <w:p w14:paraId="7CA12A0F">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具备皮试限制功能，在皮试结果未出或者不符合要求时，限制执行输液医嘱。</w:t>
      </w:r>
    </w:p>
    <w:p w14:paraId="56C44C95">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具备皮试结果提示功能，录入皮试的阴性、阳性结果后，在对应皮试药信息界面显示皮试结果标识，在患者信息栏界面显示对应皮试信息，用颜色区分皮试结果，阴性显示绿色，阳性显示红色。</w:t>
      </w:r>
    </w:p>
    <w:p w14:paraId="7B011D87">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具备皮试记录时间轴展示功能。通过时间轴展示皮试过程，显示皮试每个环节所耗时间及操作人信息。</w:t>
      </w:r>
    </w:p>
    <w:p w14:paraId="6D5F061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●费用管理</w:t>
      </w:r>
    </w:p>
    <w:p w14:paraId="10A91031">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为输液患者补录费用，打印对应的费用清单。</w:t>
      </w:r>
    </w:p>
    <w:p w14:paraId="5586DEBB">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具备收费模板维护功能，一个模板可绑定多个收费项目。</w:t>
      </w:r>
    </w:p>
    <w:p w14:paraId="7CCA7084">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具备模板批量计费功能，选择模板批量添加收费项目。</w:t>
      </w:r>
    </w:p>
    <w:p w14:paraId="5AF42449">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具备批量清空功能，选择未提交的收费项目后，可以批量清空。</w:t>
      </w:r>
    </w:p>
    <w:p w14:paraId="0BD90F28">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支持与医院收费系统对接，实现费用登记、退费申请功能。</w:t>
      </w:r>
    </w:p>
    <w:p w14:paraId="6C17E1E1">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3.1.2.9 临床辅助决策支持信息系统</w:t>
      </w:r>
    </w:p>
    <w:p w14:paraId="76585D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 临床决策支持知识库</w:t>
      </w:r>
    </w:p>
    <w:p w14:paraId="760AF3C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疾病知识：提供不少于10000条疾病知识，科室全覆盖，常见病种全覆盖，包含疾病概述、病原学、流行病学、临床表现、辅助检查、诊断、鉴别诊断、治疗、预防等条目。</w:t>
      </w:r>
    </w:p>
    <w:p w14:paraId="2D7C32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提供典型病例知识，包含临床决策分析过程、经验总结、专家述评。</w:t>
      </w:r>
    </w:p>
    <w:p w14:paraId="1599DF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提供症状体征相关知识。</w:t>
      </w:r>
    </w:p>
    <w:p w14:paraId="0CC8C3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提供临床检查相关知识。</w:t>
      </w:r>
    </w:p>
    <w:p w14:paraId="192742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提供临床检验相关知识。</w:t>
      </w:r>
    </w:p>
    <w:p w14:paraId="7265FC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提供常见临床操作。</w:t>
      </w:r>
    </w:p>
    <w:p w14:paraId="76D9AE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提供手术相关操作，包括手术讲解，图文结合。</w:t>
      </w:r>
    </w:p>
    <w:p w14:paraId="133171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提供常见护理操作。</w:t>
      </w:r>
    </w:p>
    <w:p w14:paraId="023CB1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提供国家临床路径，支持在线阅读及下载。</w:t>
      </w:r>
    </w:p>
    <w:p w14:paraId="35C3F0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提供医患沟通相关知识。</w:t>
      </w:r>
    </w:p>
    <w:p w14:paraId="712F99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提供医疗损害防范案例相关知识。</w:t>
      </w:r>
    </w:p>
    <w:p w14:paraId="6A3D17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提供典型临床伦理知识和案例。</w:t>
      </w:r>
    </w:p>
    <w:p w14:paraId="5C8FB0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提供法律法规相关知识。</w:t>
      </w:r>
    </w:p>
    <w:p w14:paraId="311CBE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提供药品相关知识，包含至少40000余条药物信息、2000余例用药案例分析和3000余对药物相互作用分析。</w:t>
      </w:r>
    </w:p>
    <w:p w14:paraId="45FE18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提供超说明书用药，包括已批准的适应证、说明书之外的用法、依据等级和参考资料。</w:t>
      </w:r>
    </w:p>
    <w:p w14:paraId="2D0E44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提供常见疾病处方，可根据不同病症推荐处方。</w:t>
      </w:r>
    </w:p>
    <w:p w14:paraId="29F3F9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提供用药问答相关知识。</w:t>
      </w:r>
    </w:p>
    <w:p w14:paraId="59FAB5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(2) 临床知识查询</w:t>
      </w:r>
    </w:p>
    <w:p w14:paraId="3E5A5F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具备医学静态知识库检索功能，医生可以根据需要实时查询需要的知识库内容，包含疾病、药品、检查、检验、手术操作、护理操作。</w:t>
      </w:r>
    </w:p>
    <w:p w14:paraId="74232C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支持与医院信息系统对接，医护人员可在临床系统中调阅静态医学知识。</w:t>
      </w:r>
    </w:p>
    <w:p w14:paraId="57EF1C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(3) 知识自定义维护</w:t>
      </w:r>
    </w:p>
    <w:p w14:paraId="448FA2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具备用户自定义静态医学知识管理功能，包括：添加、编辑、删除。支持医学文献、医疗法律法规等文档的上传。</w:t>
      </w:r>
    </w:p>
    <w:p w14:paraId="53D445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(4) 知识审批与发布管理</w:t>
      </w:r>
    </w:p>
    <w:p w14:paraId="663F54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具备审批角色权限维护功能。</w:t>
      </w:r>
    </w:p>
    <w:p w14:paraId="0EBD97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具备发布角色权限维护功能。</w:t>
      </w:r>
    </w:p>
    <w:p w14:paraId="2C0F15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具备自定义知识审批、发布管理功能。</w:t>
      </w:r>
    </w:p>
    <w:p w14:paraId="0C32ED5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具备自定义知识启用、停用管理功能。</w:t>
      </w:r>
    </w:p>
    <w:p w14:paraId="2CFF042C">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 医技业务</w:t>
      </w:r>
    </w:p>
    <w:p w14:paraId="191C4DBD">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3.1.3.1 检验信息系统</w:t>
      </w:r>
    </w:p>
    <w:p w14:paraId="6F6E4E9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条码流程管理</w:t>
      </w:r>
    </w:p>
    <w:p w14:paraId="51A880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检验设备条码双工通讯</w:t>
      </w:r>
    </w:p>
    <w:p w14:paraId="532A896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具备条码标本直接上仪器试管架，自动核收的双向通讯功能。</w:t>
      </w:r>
    </w:p>
    <w:p w14:paraId="25949A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支持与双工仪器对接，实现无条码标本按试管架和试管位置双向通讯功能。并可自动接收仪器检验结果及向仪器发送检验项目，以便仪器按指定项目检验标本功能。</w:t>
      </w:r>
    </w:p>
    <w:p w14:paraId="2D74437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门急诊条码管理</w:t>
      </w:r>
    </w:p>
    <w:p w14:paraId="6ADA35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具备材料费自动计费管理功能。</w:t>
      </w:r>
    </w:p>
    <w:p w14:paraId="018AFC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具备预缴金病人收费确认功能。</w:t>
      </w:r>
    </w:p>
    <w:p w14:paraId="0466EB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具备增加收费项目条码标志、急诊标志、材料费标志功能。</w:t>
      </w:r>
    </w:p>
    <w:p w14:paraId="795820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具备通过医嘱匹配收费项目与条码分组、报告回执单功能。</w:t>
      </w:r>
    </w:p>
    <w:p w14:paraId="3EE99E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具备回执单管理功能，包含统一领取说明、依据采集时间的报告周期、报告日期+周末顺延+检测日程+抽血截止时间+截止延续天数+统一领取报告时间三种常用模式。</w:t>
      </w:r>
    </w:p>
    <w:p w14:paraId="770E95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具备采集注意事项提醒、校验适用性提醒、校验填报提醒、关联项目重复提醒功能。</w:t>
      </w:r>
    </w:p>
    <w:p w14:paraId="5501C4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具备已绑定条码的检验项目强制退费功能。</w:t>
      </w:r>
    </w:p>
    <w:p w14:paraId="12A1CB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具备标本采集手工登记及支持通过文件导入批量登记生成条码功能。</w:t>
      </w:r>
    </w:p>
    <w:p w14:paraId="68202F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具备检验标本采集管理功能：包含按照标本类型、执行科室、预执行时间、检验申请单、独立绑定标志、收费项目等条件拆分和合并成条码。</w:t>
      </w:r>
    </w:p>
    <w:p w14:paraId="7D3A21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具备医嘱与条码取消绑定、条码替换、条码补打、采集时间更新、条码集中打印功能。</w:t>
      </w:r>
    </w:p>
    <w:p w14:paraId="389FD2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支持条码预印模式、条码即时打印模式功能。</w:t>
      </w:r>
    </w:p>
    <w:p w14:paraId="031C9D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支持与医院信息系统对接，接收医生站检验申请信息、病人信息及收费信息并确认。</w:t>
      </w:r>
    </w:p>
    <w:p w14:paraId="21CD71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跟踪查询功能：标本跟踪在同一界面显示患者信息，标本从绑定、采样、签收、检测、审核、发布的实时状态（时间、操作者、设备机台）及全流程，预计取报告份数，异常流程，检测项目，患者、科室及病区联系方式，实现对标本信息的一键追溯。</w:t>
      </w:r>
    </w:p>
    <w:p w14:paraId="22C1B7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具备信息汇总及单据打印功能：按条码类别、收费项目、收费项目人次实时集中查询生成采样任务表、标本交接单电子单据并打印。</w:t>
      </w:r>
    </w:p>
    <w:p w14:paraId="616732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具备护工对标本进行信息查询、签收确认及运送时间更新功能。</w:t>
      </w:r>
    </w:p>
    <w:p w14:paraId="668F41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具备标本签收明细打印，标本交接异常情况登记功能。</w:t>
      </w:r>
    </w:p>
    <w:p w14:paraId="208E26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住院条码管理</w:t>
      </w:r>
    </w:p>
    <w:p w14:paraId="6B46CD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具备材料费自动计费管理功能。</w:t>
      </w:r>
    </w:p>
    <w:p w14:paraId="119A2B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具备增加收费项目条码标志、急诊标志、材料费标志功能。</w:t>
      </w:r>
    </w:p>
    <w:p w14:paraId="5492C6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具备通过医嘱匹配收费项目与条码分组、报告回执单功能。</w:t>
      </w:r>
    </w:p>
    <w:p w14:paraId="0D1F7B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具备回执单管理功能，包含统一领取说明、依据采集时间的报告周期、报告日期+周末顺延+检测日程+抽血截止时间+截止延续天数+统一领取报告时间三种常用模式。</w:t>
      </w:r>
    </w:p>
    <w:p w14:paraId="74123C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具备采集注意事项提醒、校验适用性提醒、校验填报提醒、关联项目重复提醒功能。</w:t>
      </w:r>
    </w:p>
    <w:p w14:paraId="6CB601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具备已绑定条码的检验项目强制退费功能。</w:t>
      </w:r>
    </w:p>
    <w:p w14:paraId="56F1DE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具备标本采集手工登记及支持通过文件导入批量登记生成条码功能。</w:t>
      </w:r>
    </w:p>
    <w:p w14:paraId="37C74A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具备检验标本采集管理功能：包含按照标本类型、执行科室、预执行时间、检验申请单，独立绑定标志、收费项目等条件拆分和合并成条码。</w:t>
      </w:r>
    </w:p>
    <w:p w14:paraId="4C777C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具备医嘱与条码取消绑定、条码替换、条码补打、采集时间更新、条码集中打印功能。</w:t>
      </w:r>
    </w:p>
    <w:p w14:paraId="6A1DF0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支持条码预印模式、条码即时打印模式功能。</w:t>
      </w:r>
    </w:p>
    <w:p w14:paraId="2FBEA1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支持与医院信息系统对接，接收医生站检验申请信息、病人信息及收费信息并确认。</w:t>
      </w:r>
    </w:p>
    <w:p w14:paraId="7F443A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跟踪查询功能：标本跟踪在同一界面显示患者信息，标本从绑定、采样、签收、检测、审核、发布的实时状态（时间、操作者、设备机台）及全流程，预计取报告份数，异常流程，检测项目，患者、科室及病区联系方式，实现对标本信息的一键追溯。</w:t>
      </w:r>
    </w:p>
    <w:p w14:paraId="6F23E9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具备信息汇总及单据打印功能：按条码类别、收费项目、收费项目人次实时集中查询生成采样任务表、标本交接单电子单据并打印。</w:t>
      </w:r>
    </w:p>
    <w:p w14:paraId="2233E1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具备护工对标本进行信息查询、签收确认及运送时间更新功能。</w:t>
      </w:r>
    </w:p>
    <w:p w14:paraId="55C536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具备标本签收明细打印，标本交接异常情况登记的功能。</w:t>
      </w:r>
    </w:p>
    <w:p w14:paraId="4858E9F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常规检验管理</w:t>
      </w:r>
    </w:p>
    <w:p w14:paraId="330853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●常规设备联机</w:t>
      </w:r>
    </w:p>
    <w:p w14:paraId="676069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具备数据转换、偏移、计算等处理功能。</w:t>
      </w:r>
    </w:p>
    <w:p w14:paraId="187D89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具备常规转质控自动处理功能。</w:t>
      </w:r>
    </w:p>
    <w:p w14:paraId="51D289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支持常规设备联机，实现各类设备仪器与信息系统的信息通讯，包含单向数据采集、仪器控制、双向通讯等辅助仪器实现自动化等功能。</w:t>
      </w:r>
    </w:p>
    <w:p w14:paraId="1DCDC3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支持从检验仪器自动接收检验结果功能。支持常规、急诊、质控数据接收功能。</w:t>
      </w:r>
    </w:p>
    <w:p w14:paraId="1ACBB3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●标本登记及收费</w:t>
      </w:r>
    </w:p>
    <w:p w14:paraId="4C4FBD4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具备实验室对标本进行集中、小组核收、标本的让步接收功能，包含对需要补充检验申请的添加检验申请并计费，记录签收人、签收时间、生成签收号。</w:t>
      </w:r>
    </w:p>
    <w:p w14:paraId="490664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具备手工计费及补退费功能。</w:t>
      </w:r>
    </w:p>
    <w:p w14:paraId="373F8C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具备检验费用核对功能。</w:t>
      </w:r>
    </w:p>
    <w:p w14:paraId="480726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具备免费检验管理功能。</w:t>
      </w:r>
    </w:p>
    <w:p w14:paraId="0666F0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具备条码标本接收登记、外来标本接收登记、手工单标本接收登记功能。</w:t>
      </w:r>
    </w:p>
    <w:p w14:paraId="31435F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具备对标本重复、漏检、送检超时、送检地错误等问题进行控制功能。</w:t>
      </w:r>
    </w:p>
    <w:p w14:paraId="5D35E8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具备不合格标本拒收记录，并记录不合格原因功能。</w:t>
      </w:r>
    </w:p>
    <w:p w14:paraId="4F91154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支持与护士站系统对接，实现拒收标本通知功能。</w:t>
      </w:r>
    </w:p>
    <w:p w14:paraId="0315E8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●检验结果处理模块</w:t>
      </w:r>
    </w:p>
    <w:p w14:paraId="4B17B0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具备检验结果确认/修改、批量确认/修改，多结果合并，外部数据导入，手工结果录入等功能。</w:t>
      </w:r>
    </w:p>
    <w:p w14:paraId="3ACC4E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具备对需要分类的标本进行分类、自动产生实验室内部标本号功能。</w:t>
      </w:r>
    </w:p>
    <w:p w14:paraId="00E73D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具备对已签收的条码统一入库功能，对生化、自动免疫仪器标本提供批量入库功能。</w:t>
      </w:r>
    </w:p>
    <w:p w14:paraId="006E3C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具备对数据进行增加、删除、修改、复制、标本号修改等功能，并提供各种操作进行自动记录。</w:t>
      </w:r>
    </w:p>
    <w:p w14:paraId="1CC367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具备报告批量输入相同信息和检验结果功能。</w:t>
      </w:r>
    </w:p>
    <w:p w14:paraId="4D457B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具备标本存放位置功能，提供销毁情况记录，销毁记录查询。</w:t>
      </w:r>
    </w:p>
    <w:p w14:paraId="23D072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具备对报告的项目数据进行批量校正功能。具备对仪器，项目，检验日期，标本范围查询项目功能。</w:t>
      </w:r>
    </w:p>
    <w:p w14:paraId="12A44D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具备通过普通公式或特殊公式来校正数据结果功能。</w:t>
      </w:r>
    </w:p>
    <w:p w14:paraId="2009C7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具备复做标本管理功能，为病人增加复做标志。</w:t>
      </w:r>
    </w:p>
    <w:p w14:paraId="65AAF67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具备修改检验项目结果值，保存每次的结果值功能。</w:t>
      </w:r>
    </w:p>
    <w:p w14:paraId="23D454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能够根据预先设定的审核规则对复做标本进行自动筛选。提供历次复查情况和结果记录、统计和分析功能。</w:t>
      </w:r>
    </w:p>
    <w:p w14:paraId="04079F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跟踪查询功能：通过条码号、病员号、标本种类、入库仪器等多条件检索的方式对标本流程进行全过程查询，标本跟踪在同一界面显示患者信息，标本从绑定、采样、签收、检测、审核、发布的实时状态（时间、操作者、设备机台）等，实现对标本信息的全流程追溯。</w:t>
      </w:r>
    </w:p>
    <w:p w14:paraId="521239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具备对报告的项目数据进行批量校正功能。通过仪器、项目、检验日期、样本范围查询出项目，通过公式来校正数据结果。</w:t>
      </w:r>
    </w:p>
    <w:p w14:paraId="5A4EC6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具备显示病人的超限比较结果集功能。比较距执行日期最近一次的结果。并能通过显示的内容查询到该化验单，可以比较单个项目和组合项目。</w:t>
      </w:r>
    </w:p>
    <w:p w14:paraId="603280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具备检验数据自动分析功能：检验项目数量验证，结果超出临界值控制，自定义判定规则执行。</w:t>
      </w:r>
    </w:p>
    <w:p w14:paraId="2FDD17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具备在报告管理界面集成跳转标本签收、标本入库、批量操作、报告查询、检验全景视图功能。</w:t>
      </w:r>
    </w:p>
    <w:p w14:paraId="72F4F4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具备趋势分析功能，医生可查看该患者在医院做的这项指标的所有趋势，并可以进行下载保存，同时可以关联指标相关项，快速查看与该指标相关联的指标。</w:t>
      </w:r>
    </w:p>
    <w:p w14:paraId="594762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具备标本信息过滤功能，可按照门诊、住院、急诊、未审核、已审核、危急值、TAT等条件过滤。</w:t>
      </w:r>
    </w:p>
    <w:p w14:paraId="699360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具备自定义知识库的建议与解释功能。</w:t>
      </w:r>
    </w:p>
    <w:p w14:paraId="3588DB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支持与医院信息系统对接，获取医生站信息及电子病历信息。</w:t>
      </w:r>
    </w:p>
    <w:p w14:paraId="7E588F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●检验报告发布回收</w:t>
      </w:r>
    </w:p>
    <w:p w14:paraId="797429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具备按不同分类进行报告查询、浏览、打印和批量打印功能。</w:t>
      </w:r>
    </w:p>
    <w:p w14:paraId="479AE1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报告发布支持 Web查询、医生站调阅、大屏通知、服务台打印。</w:t>
      </w:r>
    </w:p>
    <w:p w14:paraId="42E6E1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具备发布报告回收功能。</w:t>
      </w:r>
    </w:p>
    <w:p w14:paraId="46D83B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●检验报告临床调阅</w:t>
      </w:r>
    </w:p>
    <w:p w14:paraId="1F3E78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具备检验结果、报告单的浏览功能。</w:t>
      </w:r>
    </w:p>
    <w:p w14:paraId="42002B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具备扩展调阅历史报告功能。</w:t>
      </w:r>
    </w:p>
    <w:p w14:paraId="076F5F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支持报告打印原文件调阅功能。</w:t>
      </w:r>
    </w:p>
    <w:p w14:paraId="06BA18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●标本全流程跟踪管理</w:t>
      </w:r>
    </w:p>
    <w:p w14:paraId="3B55BC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具备报告全流程跟踪功能，同一界面查询报告的详情信息，包括全流程明细、报告汇总、检验项目、修改记录-报告、修改记录-结果、危急值项目、危急值流程、标本全流程。</w:t>
      </w:r>
    </w:p>
    <w:p w14:paraId="726133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●检验报告全景视图</w:t>
      </w:r>
    </w:p>
    <w:p w14:paraId="568F2A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具备同一界面可视化显示该病人的全部历史报告信息功能。</w:t>
      </w:r>
    </w:p>
    <w:p w14:paraId="67224A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具备展现每份报告的全流程信息功能，包括：对应的医嘱列表、联系方式。以及可按仪器或者检验分类多种检索条件查看该患者的历史报告。</w:t>
      </w:r>
    </w:p>
    <w:p w14:paraId="183DAB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具备对每个分类的报告结果进行对比查看功能。</w:t>
      </w:r>
    </w:p>
    <w:p w14:paraId="318690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●查询及统计管理</w:t>
      </w:r>
    </w:p>
    <w:p w14:paraId="1DF20E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具备标本查询、申请单查询、报告查询以及各种记录查询、统计、分析功能。</w:t>
      </w:r>
    </w:p>
    <w:p w14:paraId="004750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具备提供基础常用报表功能，包括工作量统计、危急值统计、复做标本统计等。</w:t>
      </w:r>
    </w:p>
    <w:p w14:paraId="1F7F32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具备用户个性化定制功能。</w:t>
      </w:r>
    </w:p>
    <w:p w14:paraId="44E816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自动化室内质控管理</w:t>
      </w:r>
    </w:p>
    <w:p w14:paraId="7F6BFB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提供多种质控图绘制功能：包括：Z-分数图、L-J图、柱状图、尤顿图、±质控图、定性质控图、累计和图、双区法质控图、滴度质控图。</w:t>
      </w:r>
    </w:p>
    <w:p w14:paraId="655DE0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具备质控图绘制可按月按天描绘功能。</w:t>
      </w:r>
    </w:p>
    <w:p w14:paraId="76AEA5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具备不同月份的质控点绘制在同一图上进行对比功能。</w:t>
      </w:r>
    </w:p>
    <w:p w14:paraId="300D31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多种常用的质控规则，包括：标准差倍数规则、极差规则、趋势规则、平均数控制规则、比例控制规则、±半定量规则、数字半定量规则、定性控制规则、累积和控制规则、滴度半定量规则和经典多规则组合，如WESTGARD质控规则。</w:t>
      </w:r>
    </w:p>
    <w:p w14:paraId="38A765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具备生化临检免疫的定量质控功能。</w:t>
      </w:r>
    </w:p>
    <w:p w14:paraId="4E2F4D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具备即刻法质控，由仪器直接传输质控数据功能。重新测定当次的结果,累计满20个数据后,可使用常规的质控图。</w:t>
      </w:r>
    </w:p>
    <w:p w14:paraId="07E9D0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具备月、季、年的质控分析总结，质控阶段性改进质控管理，开放质控规则定义功能。</w:t>
      </w:r>
    </w:p>
    <w:p w14:paraId="3E72F8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具备失控自动报警、质控数据自动分析和失控处理意见记录功能。</w:t>
      </w:r>
    </w:p>
    <w:p w14:paraId="04D1A2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具备重传覆盖功能，解决仪器重传质控数据时质控曲线上显示多个点的问题。</w:t>
      </w:r>
    </w:p>
    <w:p w14:paraId="37E90D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具备双区法质控功能，解决免疫阴阳质控品适用Z分数图控制CV过大问题。</w:t>
      </w:r>
    </w:p>
    <w:p w14:paraId="7ADAC1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支持与仪器对接，实现质控数据自动接收，自动绘制质控图功能。</w:t>
      </w:r>
    </w:p>
    <w:p w14:paraId="5DB447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检验危急值提醒</w:t>
      </w:r>
    </w:p>
    <w:p w14:paraId="64DBF4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具备系统配置设定危急值上下限功能，</w:t>
      </w:r>
    </w:p>
    <w:p w14:paraId="645794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具备根据设定的危急值上下限自动判断是否为危急值功能。</w:t>
      </w:r>
    </w:p>
    <w:p w14:paraId="76A925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具备智能判断危急值功能，通过颜色提示检验医师。</w:t>
      </w:r>
    </w:p>
    <w:p w14:paraId="3365F2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具备标本检验出危急值启动报警功能。</w:t>
      </w:r>
    </w:p>
    <w:p w14:paraId="125F47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具备设定危急值上下限功能，当病人所做的项目结果超过所设置的数值上下限，系统会自动判断为危急值。</w:t>
      </w:r>
    </w:p>
    <w:p w14:paraId="42C78B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具备危急值设置按照标本种类、性别、年龄、临床诊断及科别等类型进行分类。</w:t>
      </w:r>
    </w:p>
    <w:p w14:paraId="791A0B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支持仪器产生危急值时，系统通过科室大屏幕提醒检验人员及时处理及审核超时报警功能。</w:t>
      </w:r>
    </w:p>
    <w:p w14:paraId="0B1F62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具备对危急值回报的各种统计功能，如月统计回报率。</w:t>
      </w:r>
    </w:p>
    <w:p w14:paraId="0BD395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临床危急值推送</w:t>
      </w:r>
    </w:p>
    <w:p w14:paraId="466366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信息系统对接，危急值发布至临床时，通过声音、闪烁图标、弹窗方式自动进行提示功能，操作人员可通过点击弹窗查看详细危急值信息。临床科室确认接收并完成危急值信息处理后，系统自动将危急值的处理措施和过程信息进行记录，包含接收科室、接收人、接收时间反馈给检验科室。</w:t>
      </w:r>
    </w:p>
    <w:p w14:paraId="6D7D18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支持与护士站对接，将危急值推送到护士站。护士站相关人员通过系统接收检验科发出的危急值报告，并进行接收确认，并及时告知值班医生或管床医生。</w:t>
      </w:r>
    </w:p>
    <w:p w14:paraId="1B60AA5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微生物检验</w:t>
      </w:r>
    </w:p>
    <w:p w14:paraId="2A328C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●检测方案管理</w:t>
      </w:r>
    </w:p>
    <w:p w14:paraId="3A8BC5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具备根据医嘱和标本种类实现鉴定路径配置功能。</w:t>
      </w:r>
    </w:p>
    <w:p w14:paraId="2335697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具备自动生成培养记录功能。</w:t>
      </w:r>
    </w:p>
    <w:p w14:paraId="49E622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●WHONET互通管理</w:t>
      </w:r>
    </w:p>
    <w:p w14:paraId="7C66D8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具备WHONET数据同步功能。</w:t>
      </w:r>
    </w:p>
    <w:p w14:paraId="6C7BD0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具备质控菌株、细菌字典维护、药敏字典维护、药敏折点维护功能。</w:t>
      </w:r>
    </w:p>
    <w:p w14:paraId="40C2A8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支持与WHONET主流版本对接，保持系统与WHONET数据标准一致，实现病人信息、细菌信息、药敏信息导入。</w:t>
      </w:r>
    </w:p>
    <w:p w14:paraId="44CA9D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●耐药机制管理(超级细菌）</w:t>
      </w:r>
    </w:p>
    <w:p w14:paraId="50F311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具备耐药机制设置功能。</w:t>
      </w:r>
    </w:p>
    <w:p w14:paraId="6AA2AC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具备耐药机制监控预警功能。</w:t>
      </w:r>
    </w:p>
    <w:p w14:paraId="7D823C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●微生物统计/分析</w:t>
      </w:r>
    </w:p>
    <w:p w14:paraId="720550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具备微生物报告常规查询及高级查询功能。</w:t>
      </w:r>
    </w:p>
    <w:p w14:paraId="52FEC4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具备保存查询分析方案功能，下次使用查询时，无需重新选择查询条件即可进行查询。</w:t>
      </w:r>
    </w:p>
    <w:p w14:paraId="528E8A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●微生物流程电子化管理（原始记录单、三级报告）</w:t>
      </w:r>
    </w:p>
    <w:p w14:paraId="1191B6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具备详细记录并管理微生物的接种培养、初步鉴定、鉴定/药敏、报告全过程功能。</w:t>
      </w:r>
    </w:p>
    <w:p w14:paraId="6DDD68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具备记录微生物实验的每个过程完整记录功能。</w:t>
      </w:r>
    </w:p>
    <w:p w14:paraId="64952B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具备培养、初鉴、鉴定独立报告审核发布功能。</w:t>
      </w:r>
    </w:p>
    <w:p w14:paraId="587477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●微生物质控</w:t>
      </w:r>
    </w:p>
    <w:p w14:paraId="384869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具备手工药敏质控、涂片质控、板条质控、仪器药敏质控、手工生化反应质控、仪器生化反应质控、染色液质控功能。</w:t>
      </w:r>
    </w:p>
    <w:p w14:paraId="70FF1D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具备空气、物表监测记录管理功能。</w:t>
      </w:r>
    </w:p>
    <w:p w14:paraId="4E8CE6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●微生物鉴定仪联机</w:t>
      </w:r>
    </w:p>
    <w:p w14:paraId="222DD8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具备抗生素药物代码转换功能。</w:t>
      </w:r>
    </w:p>
    <w:p w14:paraId="7077E6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支持培养、鉴定药敏等微生物设备双工功能。</w:t>
      </w:r>
    </w:p>
    <w:p w14:paraId="79A78B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●报告管理</w:t>
      </w:r>
    </w:p>
    <w:p w14:paraId="4854A9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具备涂片、培养、鉴定/药敏报告功能。</w:t>
      </w:r>
    </w:p>
    <w:p w14:paraId="364AD7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具备微生物检验分步计费功能。</w:t>
      </w:r>
    </w:p>
    <w:p w14:paraId="5A5233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具备查看患者所有历史微生物报告功能。</w:t>
      </w:r>
    </w:p>
    <w:p w14:paraId="0D5FFD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具备标本信息过滤功能。</w:t>
      </w:r>
    </w:p>
    <w:p w14:paraId="0E7471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具备全流程信息查看功能。</w:t>
      </w:r>
    </w:p>
    <w:p w14:paraId="192F7E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●危急值管理</w:t>
      </w:r>
    </w:p>
    <w:p w14:paraId="5DEC90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具备智能判断危急值，并通过颜色提示微生物医师功能。</w:t>
      </w:r>
    </w:p>
    <w:p w14:paraId="2BBDC8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信息系统对接，危急值发布通知临床时，操作人员可通过点击弹窗查看详细危急值信息。临床科室确认接收并完成危急值信息处理后，系统自动将危急值的处理措施和过程信息进行记录，实现危急值全过程管理流程闭环。</w:t>
      </w:r>
    </w:p>
    <w:p w14:paraId="798161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具备设定危急值上下限功能，当病人所做的项目结果超过所设置的数值上下限，系统会自动判断为危急值。</w:t>
      </w:r>
    </w:p>
    <w:p w14:paraId="13622C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具备危急值设置按照标本种类、性别、年龄、临床诊断及科别等类型进行分类。</w:t>
      </w:r>
    </w:p>
    <w:p w14:paraId="7B0C0F14">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消息提醒平台</w:t>
      </w:r>
    </w:p>
    <w:p w14:paraId="72AE05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支持与检检系统、检查系统，病理系统，输血系统，心电系统、临床系统对接，实现临床系统危急值提醒和并将医师、护士处理结果反馈到医技系统功能。</w:t>
      </w:r>
    </w:p>
    <w:p w14:paraId="2B7BBF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支持短信平台、微信公众号对接，实现危急值以微信、短信的形式推送功能。</w:t>
      </w:r>
    </w:p>
    <w:p w14:paraId="30B0CE5F">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3.1.3.2 输血管理系统</w:t>
      </w:r>
    </w:p>
    <w:p w14:paraId="0D7AB0C3">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输血申请单管理</w:t>
      </w:r>
    </w:p>
    <w:p w14:paraId="38CB64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●输血前评估（合理性提醒）</w:t>
      </w:r>
    </w:p>
    <w:p w14:paraId="4F64FC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具备提示医生用血申请功能。</w:t>
      </w:r>
    </w:p>
    <w:p w14:paraId="57FBA8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具备根据科室类型、年龄范围、是否手术、是否急救等设定不同评估标准功能。</w:t>
      </w:r>
    </w:p>
    <w:p w14:paraId="4F9184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●输血申请开单</w:t>
      </w:r>
    </w:p>
    <w:p w14:paraId="631FB3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具备不同输血性质分类选择功能，包括常规用血申请、紧急用血申请、自体采血申请、常规备血申请。</w:t>
      </w:r>
    </w:p>
    <w:p w14:paraId="05B07C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具备用血信息录入功能，包括用血时间、输血目的、输血性质、是否手术、手术名称、手术等级、用血地点。</w:t>
      </w:r>
    </w:p>
    <w:p w14:paraId="73A641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具备输血成份、输血量选择功能。</w:t>
      </w:r>
    </w:p>
    <w:p w14:paraId="10C1FB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具备受血者既往史录入功能。</w:t>
      </w:r>
    </w:p>
    <w:p w14:paraId="1804D4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具备调阅受血者检验项目结果信息功能。</w:t>
      </w:r>
    </w:p>
    <w:p w14:paraId="0318DA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支持与医院信息系统对接，医生开单时，系统自动识别提醒该受血者是否签署知情同意书。</w:t>
      </w:r>
    </w:p>
    <w:p w14:paraId="57A550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●输血后评价</w:t>
      </w:r>
    </w:p>
    <w:p w14:paraId="2FF792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具备临床医生记录输血后评价信息功能。</w:t>
      </w:r>
    </w:p>
    <w:p w14:paraId="40C108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支持对未做输血评价的申请单进行提醒功能。</w:t>
      </w:r>
    </w:p>
    <w:p w14:paraId="74D0F86F">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输血科管理</w:t>
      </w:r>
    </w:p>
    <w:p w14:paraId="5CAB70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●血袋出入库管理</w:t>
      </w:r>
    </w:p>
    <w:p w14:paraId="1261B1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具备血袋入库信息化管理功能，包括入库状态、献血码、成分码、血袋品种、规格设置、血型、有效期、制备时间、血型复核、外观检测、血袋来源、负责入库操作人员信息、入库时间、供货单号、存放位置。</w:t>
      </w:r>
    </w:p>
    <w:p w14:paraId="2DE768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具备血袋入库信息参数自由选择配置功能。</w:t>
      </w:r>
    </w:p>
    <w:p w14:paraId="2D8336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具备血袋出库信息化管理功能，包括献血码、成份码、血袋品种、规格、血型、出库类型、出库去处、出库原因、出库操作人员信息、出库时间。</w:t>
      </w:r>
    </w:p>
    <w:p w14:paraId="6211CB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具备新增出库功能，血袋出库信息包括献血码、成分码、出库类型、血袋去处、出库原因、取血者。</w:t>
      </w:r>
    </w:p>
    <w:p w14:paraId="4E6A21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具备血袋出库步骤节点显示功能，包括操作步骤、操作人员、操作时间，时间能精确到秒。</w:t>
      </w:r>
    </w:p>
    <w:p w14:paraId="0CB09C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提供多种血袋入库方式，包括手动入库、文件导入、联网导入。</w:t>
      </w:r>
    </w:p>
    <w:p w14:paraId="61B3E5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支持与血站系统对接，实现与血站数据联动。</w:t>
      </w:r>
    </w:p>
    <w:p w14:paraId="5E2925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●血型检查鉴定及审核管理</w:t>
      </w:r>
    </w:p>
    <w:p w14:paraId="439357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具备显示病人验血后的血型鉴定报告结果功能，包括历次历史记录、对应的检测仪器信息。</w:t>
      </w:r>
    </w:p>
    <w:p w14:paraId="244AF7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具备显示病人输血前检验报告结果功能。</w:t>
      </w:r>
    </w:p>
    <w:p w14:paraId="31CFE2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提供检验全景视图，包括在同一界面可视化显示该病人的全部历史报告信息功能、展现每份报告的全流程信息功能、对每个分类的报告结果进行对比查看功能。</w:t>
      </w:r>
    </w:p>
    <w:p w14:paraId="6D567B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具备血型检查报告双人审核当前流程状态功能。</w:t>
      </w:r>
    </w:p>
    <w:p w14:paraId="33501A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具备检查报告的审核、打印、撤销审核、回收、发布功能。</w:t>
      </w:r>
    </w:p>
    <w:p w14:paraId="2C4696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具备对已做过血型检查，查看已做血型检查报告详情功能，包括报告状态、受血者信息、申请时间、采样时间、签收时间、审核时间。</w:t>
      </w:r>
    </w:p>
    <w:p w14:paraId="3DF452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具备自动计费管理，在血型检查时自动确认收取血型检查相关费用功能。</w:t>
      </w:r>
    </w:p>
    <w:p w14:paraId="017E9D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支持与医院信息系统对接，从系统中直接下载病人信息。</w:t>
      </w:r>
    </w:p>
    <w:p w14:paraId="3EE8E9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支持设备仪器自动导入血型鉴定结果功能。</w:t>
      </w:r>
    </w:p>
    <w:p w14:paraId="5F5258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●备血发血管理</w:t>
      </w:r>
    </w:p>
    <w:p w14:paraId="5186E4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具备受血者指标信息显示功能。</w:t>
      </w:r>
    </w:p>
    <w:p w14:paraId="595283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具备自动计费管理功能，在发血配血时自动收取血袋费、配血费、辐射虑白灭活等费用。</w:t>
      </w:r>
    </w:p>
    <w:p w14:paraId="3FFDDF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具备撤销发血自动退费功能。</w:t>
      </w:r>
    </w:p>
    <w:p w14:paraId="2C3B80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具备发血、输血时进行条码扫描核对安全性校验功能。</w:t>
      </w:r>
    </w:p>
    <w:p w14:paraId="303771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支持与临床系统对接，查看临床申请单信息。</w:t>
      </w:r>
    </w:p>
    <w:p w14:paraId="1EBA8F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具备发血单、交叉配血报告单预览及打印功能。</w:t>
      </w:r>
    </w:p>
    <w:p w14:paraId="1606E6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支持与设备仪器对接自动导入交叉配血结果功能。</w:t>
      </w:r>
    </w:p>
    <w:p w14:paraId="3EC46D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●输血免疫报告</w:t>
      </w:r>
    </w:p>
    <w:p w14:paraId="333189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具备产前免疫、抗体鉴定、Coombas实验、血小板抗体、新生儿、IGg抗A抗B输血免疫报告功能。</w:t>
      </w:r>
    </w:p>
    <w:p w14:paraId="44652C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●血袋销毁管理</w:t>
      </w:r>
    </w:p>
    <w:p w14:paraId="2DA62F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具备血袋销毁查询统计功能。</w:t>
      </w:r>
    </w:p>
    <w:p w14:paraId="3C5842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▲具备血袋销毁步骤节点显示功能，包括操作步骤、操作人员、操作时间，时间能精确到秒。（提供以时间轴形式展示血袋销毁步骤截点，包括操步骤、操作员、操作时间信息，时间能精确到秒的界面截图）</w:t>
      </w:r>
    </w:p>
    <w:p w14:paraId="079661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支持通过扫描条码、批号实现血袋销毁功能。</w:t>
      </w:r>
    </w:p>
    <w:p w14:paraId="4BA3CD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●自体血管理</w:t>
      </w:r>
    </w:p>
    <w:p w14:paraId="653F97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具备贮存自体登记信息管理功能，包括登记执行状态、病人姓名、性别、年龄、病区、床号、血液类型、计划采血量、采血频率、采血次数、计划采血时间、完成时间、申请单号。</w:t>
      </w:r>
    </w:p>
    <w:p w14:paraId="0060C0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具备贮存自体血袋信息登记功能，包括受血者信息和采血信息，其中采血信息包括血人、采血时间、献血码、成份码、血液品种、血袋规格/单位、血袋血型/单位、失效时间、存放库位。</w:t>
      </w:r>
    </w:p>
    <w:p w14:paraId="225471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具备术中回流登记信息管理功能，登记信息包括受血者信息和登记信息，其中登记信息包括采血方式、回收时间、保存条件、回输血量、回输时间、有无不良反应。</w:t>
      </w:r>
    </w:p>
    <w:p w14:paraId="1662F8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●查询/统计</w:t>
      </w:r>
    </w:p>
    <w:p w14:paraId="5348D5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具备多维度查询统计功能。</w:t>
      </w:r>
    </w:p>
    <w:p w14:paraId="57E1FC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具备临床用血质量指标的数据统计功能。</w:t>
      </w:r>
    </w:p>
    <w:p w14:paraId="451AB7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具备用户个性化定制功能。</w:t>
      </w:r>
    </w:p>
    <w:p w14:paraId="1F38E3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●申请单接收及调阅</w:t>
      </w:r>
    </w:p>
    <w:p w14:paraId="3EEFB7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具备打印申请单的关键信息（含申请单唯一号、病人姓名、病区、床号）功能。</w:t>
      </w:r>
    </w:p>
    <w:p w14:paraId="77C39E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●领血单管理</w:t>
      </w:r>
    </w:p>
    <w:p w14:paraId="3B53EA7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具备包括血制品采集、条码绑定、领血单打印、标本运送功能。</w:t>
      </w:r>
    </w:p>
    <w:p w14:paraId="06EEDA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●用血审证登记</w:t>
      </w:r>
    </w:p>
    <w:p w14:paraId="6D2A6F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具备医生根据用血审证登记用血者的证明信息，及患者可用血的血量和血液类型功能。</w:t>
      </w:r>
    </w:p>
    <w:p w14:paraId="45CADD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●设备联机</w:t>
      </w:r>
    </w:p>
    <w:p w14:paraId="0B79F1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支持与血型检查仪器、配血仪器的联机。</w:t>
      </w:r>
    </w:p>
    <w:p w14:paraId="0A9839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支持仪器数据双工通讯，完整传输仪器检测信息。</w:t>
      </w:r>
    </w:p>
    <w:p w14:paraId="494EFA26">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3.1.3.3 放射科信息系统</w:t>
      </w:r>
    </w:p>
    <w:p w14:paraId="2A691ED0">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预约登记工作站</w:t>
      </w:r>
    </w:p>
    <w:p w14:paraId="254A92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支持与院内业务系统对接，实现查看门诊、住院及体检的检查申请单。</w:t>
      </w:r>
    </w:p>
    <w:p w14:paraId="205582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支持电子申请单的存档、打印。</w:t>
      </w:r>
    </w:p>
    <w:p w14:paraId="525001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具备检查预约排班信息管理功能。</w:t>
      </w:r>
    </w:p>
    <w:p w14:paraId="5B38A4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具备按检查预约排班进行预约和取消功能。</w:t>
      </w:r>
    </w:p>
    <w:p w14:paraId="279777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具备每日最大预约数上限管理功能。</w:t>
      </w:r>
    </w:p>
    <w:p w14:paraId="53D3A5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支持预约回执单打印。</w:t>
      </w:r>
    </w:p>
    <w:p w14:paraId="137E4A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具备预约患者突出标识功能。</w:t>
      </w:r>
    </w:p>
    <w:p w14:paraId="0C1059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具备患者信息手工登记功能。</w:t>
      </w:r>
    </w:p>
    <w:p w14:paraId="6FB62A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具备患者列表筛选查找功能。</w:t>
      </w:r>
    </w:p>
    <w:p w14:paraId="1E98BF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具备对患者费用确认、退费、补费等操作功能。</w:t>
      </w:r>
    </w:p>
    <w:p w14:paraId="311FE2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具备登记环节留言功能。</w:t>
      </w:r>
    </w:p>
    <w:p w14:paraId="310DFD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具备VIP患者、绿色通道功能。</w:t>
      </w:r>
    </w:p>
    <w:p w14:paraId="606C0DF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技师工作站</w:t>
      </w:r>
    </w:p>
    <w:p w14:paraId="7BCBD2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支持按队列呼叫检查患者功能。</w:t>
      </w:r>
    </w:p>
    <w:p w14:paraId="5BECB9B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具备呼叫患者、暂停检查、重新广播、呼叫家属功能</w:t>
      </w:r>
    </w:p>
    <w:p w14:paraId="611D5B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具备同一患者多次检查条码合并功能。</w:t>
      </w:r>
    </w:p>
    <w:p w14:paraId="574E60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具备患者费用确费、补费功能。</w:t>
      </w:r>
    </w:p>
    <w:p w14:paraId="122868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具备已检查、未检查人数实时统计功能。</w:t>
      </w:r>
    </w:p>
    <w:p w14:paraId="05EDBD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支持检查申请单查看。</w:t>
      </w:r>
    </w:p>
    <w:p w14:paraId="616445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具备一台技师工作站控制多个队列功能。</w:t>
      </w:r>
    </w:p>
    <w:p w14:paraId="003204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具备根据患者身高年龄自动计算造影剂用量功能。</w:t>
      </w:r>
    </w:p>
    <w:p w14:paraId="7CF27F5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条码流程管理</w:t>
      </w:r>
    </w:p>
    <w:p w14:paraId="568BA8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无纸化流程管理</w:t>
      </w:r>
    </w:p>
    <w:p w14:paraId="253F67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具备预约单条形码打印功能。</w:t>
      </w:r>
    </w:p>
    <w:p w14:paraId="0F1868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具备登记/签到分诊单条形码打印的功能。</w:t>
      </w:r>
    </w:p>
    <w:p w14:paraId="06B142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具备患者检查上机前条形码扫码验证获取患者信息功能。</w:t>
      </w:r>
    </w:p>
    <w:p w14:paraId="1F5389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具备检查完成后检查回执单条形码打印功能。</w:t>
      </w:r>
    </w:p>
    <w:p w14:paraId="1EDF6DE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报告管理</w:t>
      </w:r>
    </w:p>
    <w:p w14:paraId="4AC929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检查报告处理</w:t>
      </w:r>
    </w:p>
    <w:p w14:paraId="3E4163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具备根据患者个人信息、检查信息进行检索，并打开检查记录进行报告书写功能。</w:t>
      </w:r>
    </w:p>
    <w:p w14:paraId="4BF1F6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具备报告编辑中锁定功能。</w:t>
      </w:r>
    </w:p>
    <w:p w14:paraId="6CB1DB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具备急诊及危急患者在报告列表中优先排列功能。</w:t>
      </w:r>
    </w:p>
    <w:p w14:paraId="324CEF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具备登记及技师留言查看功能。</w:t>
      </w:r>
    </w:p>
    <w:p w14:paraId="716DFE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具备电子申请单查看功能。</w:t>
      </w:r>
    </w:p>
    <w:p w14:paraId="16E6C7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具备报告编辑区域放大缩小、明暗度调整、上下角标标记功能。</w:t>
      </w:r>
    </w:p>
    <w:p w14:paraId="2F719A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具备报告打印自动缩页，无需手动调整功能。</w:t>
      </w:r>
    </w:p>
    <w:p w14:paraId="1931B5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▲具备报告书写展现所见即所得预览，打印与当前展示页面完全一致功能。（要求提供截图）</w:t>
      </w:r>
    </w:p>
    <w:p w14:paraId="3FCFA7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具备报告自动保存功能。</w:t>
      </w:r>
    </w:p>
    <w:p w14:paraId="6D825D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支持与CA对接，实现报告电子签名功能。</w:t>
      </w:r>
    </w:p>
    <w:p w14:paraId="04AC2D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具备修改痕迹对比及修改记录查看功能。</w:t>
      </w:r>
    </w:p>
    <w:p w14:paraId="141C28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具备报告驳回功能，并可录入报告驳回原因功能。</w:t>
      </w:r>
    </w:p>
    <w:p w14:paraId="4129E1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具备向报告医生发送报告被驳回（审核不通过）消息提醒。</w:t>
      </w:r>
    </w:p>
    <w:p w14:paraId="3ADB05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具备向报告医生发送报告超时提醒。</w:t>
      </w:r>
    </w:p>
    <w:p w14:paraId="6EE7B8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具备向审核医生发送报告再次提交消息提醒。</w:t>
      </w:r>
    </w:p>
    <w:p w14:paraId="02F7BC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专家模版库</w:t>
      </w:r>
    </w:p>
    <w:p w14:paraId="0157D9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提供普放、CT、MR、DSA及其他检查类型专家模板。</w:t>
      </w:r>
    </w:p>
    <w:p w14:paraId="481AFF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具备按照患者检查项目自动匹配对应报告模板功能。</w:t>
      </w:r>
    </w:p>
    <w:p w14:paraId="5D730E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具备医生编辑与收藏报告模板功能。</w:t>
      </w:r>
    </w:p>
    <w:p w14:paraId="12D6E2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具备管理员编辑、添加报告公有模板功能。</w:t>
      </w:r>
    </w:p>
    <w:p w14:paraId="421EDB6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具备在同一份报告中追加或替换专家模板功能。</w:t>
      </w:r>
    </w:p>
    <w:p w14:paraId="45A9A1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放射危急值提醒</w:t>
      </w:r>
    </w:p>
    <w:p w14:paraId="3BBA75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具备对报告中出现的危急值进行判断并提示功能。</w:t>
      </w:r>
    </w:p>
    <w:p w14:paraId="26C4EE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具备根据医院需求对危急值字段配置功能。</w:t>
      </w:r>
    </w:p>
    <w:p w14:paraId="20429D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查询统计</w:t>
      </w:r>
    </w:p>
    <w:p w14:paraId="5A5C36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具备多维度统计查询及导出功能。</w:t>
      </w:r>
    </w:p>
    <w:p w14:paraId="056B98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具备快捷查询（姓名、性别、日期等）及高级查询两种查询功能。</w:t>
      </w:r>
    </w:p>
    <w:p w14:paraId="19CB10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报告集中打印</w:t>
      </w:r>
    </w:p>
    <w:p w14:paraId="6AC1CB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具备批量打印报告功能。</w:t>
      </w:r>
    </w:p>
    <w:p w14:paraId="4FE70C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敏感词提醒</w:t>
      </w:r>
    </w:p>
    <w:p w14:paraId="1992B4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具备敏感词提醒功能。</w:t>
      </w:r>
    </w:p>
    <w:p w14:paraId="0A835C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具备敏感词词库个性化配置功能。</w:t>
      </w:r>
    </w:p>
    <w:p w14:paraId="741F13A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相关报告调阅</w:t>
      </w:r>
    </w:p>
    <w:p w14:paraId="79D7A2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具备在同一检查报告页面内查看患者科内历次检查报告及图像功能。</w:t>
      </w:r>
    </w:p>
    <w:p w14:paraId="494E5A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支持与院内其他业务系统对接，实现在同一检查报告页面查看患者跨科室（超声、内镜、病理、心电、检验等）的相关检查报告及图像功能。</w:t>
      </w:r>
    </w:p>
    <w:p w14:paraId="0F927A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支持查看检查申请单、电子病历功能。</w:t>
      </w:r>
    </w:p>
    <w:p w14:paraId="382AA3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多级审核</w:t>
      </w:r>
    </w:p>
    <w:p w14:paraId="60997C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具备多级报告审核体系功能。</w:t>
      </w:r>
    </w:p>
    <w:p w14:paraId="27D90C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具备报告审核医生对报告进行审核，并做相应修改功能。</w:t>
      </w:r>
    </w:p>
    <w:p w14:paraId="006A3D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临床报告调阅软件</w:t>
      </w:r>
    </w:p>
    <w:p w14:paraId="74BBE4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支持与院内业务系统对接，实现临床调阅患者既往检查报告和影像功能。</w:t>
      </w:r>
    </w:p>
    <w:p w14:paraId="616A9932">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3.1.3.4 医学影像传输与归档系统</w:t>
      </w:r>
    </w:p>
    <w:p w14:paraId="22465C1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(1)影像服务器</w:t>
      </w:r>
    </w:p>
    <w:p w14:paraId="198F27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影像服务器管理</w:t>
      </w:r>
    </w:p>
    <w:p w14:paraId="7E3C5E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所投产品必须已获得医疗器械注册证，且证书在有效期内。 </w:t>
      </w:r>
    </w:p>
    <w:p w14:paraId="454CBD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企业管理器 </w:t>
      </w:r>
    </w:p>
    <w:p w14:paraId="0D4B9A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具备影像服务器软件B/S架构中心化管理功能。</w:t>
      </w:r>
    </w:p>
    <w:p w14:paraId="0CD4AEA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支持双机或多机集群负载均衡、冗余架构、超融合架构。</w:t>
      </w:r>
    </w:p>
    <w:p w14:paraId="60AADE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具备DICOM格式图像文件多种格式导出功能。</w:t>
      </w:r>
    </w:p>
    <w:p w14:paraId="61D153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具备存储系统负荷统计功能。</w:t>
      </w:r>
    </w:p>
    <w:p w14:paraId="3653FA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具备不停服在线添加DICOM影像设备功能。</w:t>
      </w:r>
    </w:p>
    <w:p w14:paraId="4B667F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具备账户安全管理，用户密码管理，通过系统权限进行账户分级管理功能。</w:t>
      </w:r>
    </w:p>
    <w:p w14:paraId="10C626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DICOM Storage服务</w:t>
      </w:r>
    </w:p>
    <w:p w14:paraId="34E64A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支持包括硬盘冗余阵列、存储局域网络、网络存储，对象存储在内的存储介质。</w:t>
      </w:r>
    </w:p>
    <w:p w14:paraId="2D920C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支持全在线存储模式，即短期在线存储+归档存储模式。</w:t>
      </w:r>
    </w:p>
    <w:p w14:paraId="12E191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具备智能入库功能，历史影像和当日影像按规则分级入库。</w:t>
      </w:r>
    </w:p>
    <w:p w14:paraId="50528C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具备根据用户优先级设置访问不同性能影像存储的功能。</w:t>
      </w:r>
    </w:p>
    <w:p w14:paraId="439D53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数据流服务</w:t>
      </w:r>
    </w:p>
    <w:p w14:paraId="28B550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具备设置影像存储“水线”功能，对在线存储数据量进行临界限制。</w:t>
      </w:r>
    </w:p>
    <w:p w14:paraId="3F6B20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具备调阅路由管理功能，根据影像数据所在的存储设备性能，提供最佳的调阅路径。</w:t>
      </w:r>
    </w:p>
    <w:p w14:paraId="789BBF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具备影像数据备份管理功能，自动对在线影像数据做异机备份。</w:t>
      </w:r>
    </w:p>
    <w:p w14:paraId="6F5B6E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具备影像在线数据恢复功能。</w:t>
      </w:r>
    </w:p>
    <w:p w14:paraId="4502A3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具备影像数据自动转移功能。</w:t>
      </w:r>
    </w:p>
    <w:p w14:paraId="06809F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QR服务</w:t>
      </w:r>
    </w:p>
    <w:p w14:paraId="58A936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具备DICOM 3.0 Query/Retrieve Service Class Provider（DICOM Q/R SCP）功能。</w:t>
      </w:r>
    </w:p>
    <w:p w14:paraId="64B261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具备Patient和study级别的查询检索功能。</w:t>
      </w:r>
    </w:p>
    <w:p w14:paraId="01B7F9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具备通过影像号、条码号、患者姓名、检查日期等复合条件查询影像数据功能。</w:t>
      </w:r>
    </w:p>
    <w:p w14:paraId="35DAD744">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设备联机</w:t>
      </w:r>
    </w:p>
    <w:p w14:paraId="238394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支持通过视频采集卡获取影像设备的非模拟影像数据。</w:t>
      </w:r>
    </w:p>
    <w:p w14:paraId="73BA44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具备WorkList设备集成功能。</w:t>
      </w:r>
    </w:p>
    <w:p w14:paraId="586124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支持接入符合DICOM3.0标准的影像设备和影像工作站。</w:t>
      </w:r>
    </w:p>
    <w:p w14:paraId="693D6E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支持接收非DICOM3.0标准接口影像设备或影像工作站，并转换成符合DICOM3.0格式标准的影像数据。</w:t>
      </w:r>
    </w:p>
    <w:p w14:paraId="0546037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具备不停止服务状态下在线添加DICOM影像设备功能。</w:t>
      </w:r>
    </w:p>
    <w:p w14:paraId="0CF9CD9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影像后处理（二维、三维）</w:t>
      </w:r>
    </w:p>
    <w:p w14:paraId="20BDAF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二维影像后处理软件</w:t>
      </w:r>
    </w:p>
    <w:p w14:paraId="23750B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具备影像多屏显示、多序列显示功能。</w:t>
      </w:r>
    </w:p>
    <w:p w14:paraId="772E50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具备用户自定义悬挂协议，并根据检查部位自动选用合适的挂片协议功能。</w:t>
      </w:r>
    </w:p>
    <w:p w14:paraId="598407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具备患者历史影像数据对比功能，包括自动同步、手动同步和克隆对比。</w:t>
      </w:r>
    </w:p>
    <w:p w14:paraId="3241CB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具备智能的空间定位功能，即可在定位图上选择截面，又可根据截面位置在定位图上进行定位。</w:t>
      </w:r>
    </w:p>
    <w:p w14:paraId="0BFE24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具备自动播放患者检查影像数据功能，播放速度、播放顺序用户可调。</w:t>
      </w:r>
    </w:p>
    <w:p w14:paraId="2CC87A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具备图像放大、缩小、移动、镜像、任意旋转、窗宽及窗位线性调整和非线性调整功能。</w:t>
      </w:r>
    </w:p>
    <w:p w14:paraId="063489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具备伪彩功能。</w:t>
      </w:r>
    </w:p>
    <w:p w14:paraId="4D1031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具备工具栏动态调整功能。</w:t>
      </w:r>
    </w:p>
    <w:p w14:paraId="1093E3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具备图像的自动拼接功能。</w:t>
      </w:r>
    </w:p>
    <w:p w14:paraId="216122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具备在会诊模式下，会诊双方影像数据同步操作功能。会诊双方图像调节能保持实时同步，图像窗宽窗位、大小、移动位置、行列布局、图像标准显示效果完全一致。</w:t>
      </w:r>
    </w:p>
    <w:p w14:paraId="18BD84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具备线条、矩形、多边型、椭圆、角度、文本注解功能。</w:t>
      </w:r>
    </w:p>
    <w:p w14:paraId="6D8D84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具备心血管造影、介入治疗影像数据处理功能。</w:t>
      </w:r>
    </w:p>
    <w:p w14:paraId="12360C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具备动态播放DSA动态影像数据功能。</w:t>
      </w:r>
    </w:p>
    <w:p w14:paraId="592553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具备自定义播放速度，暂停、快进功能。</w:t>
      </w:r>
    </w:p>
    <w:p w14:paraId="60B593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具备动态影像数据循环播放模式，循环播放，往复播放功能。</w:t>
      </w:r>
    </w:p>
    <w:p w14:paraId="6096A1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具备蒙版功能，自动删减非关键位置影像，突出血管影像。</w:t>
      </w:r>
    </w:p>
    <w:p w14:paraId="7FC72F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具备JPEG格式、BMP格式及AVI不同格式的影像导出功能。</w:t>
      </w:r>
    </w:p>
    <w:p w14:paraId="667602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具备影像截图保存功能。</w:t>
      </w:r>
    </w:p>
    <w:p w14:paraId="68D029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具备所见即所得的DICOM打印功能，可拼图打印、剪裁打印、真实尺寸打印。</w:t>
      </w:r>
    </w:p>
    <w:p w14:paraId="47C65C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具备选择影像后，在系统内进行窗宽、窗位调整、GAMMA校正、亮度对比度调整、标注均可应用到胶片上功能。</w:t>
      </w:r>
    </w:p>
    <w:p w14:paraId="314F01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l常规三维后处理</w:t>
      </w:r>
    </w:p>
    <w:p w14:paraId="38BC30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具备横断位、冠状位、矢状位任意重建功能。</w:t>
      </w:r>
    </w:p>
    <w:p w14:paraId="4B8665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具备自由设定MPR角度功能。</w:t>
      </w:r>
    </w:p>
    <w:p w14:paraId="276934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具备MPR导航功能。</w:t>
      </w:r>
    </w:p>
    <w:p w14:paraId="551D065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具备设置层厚功能。</w:t>
      </w:r>
    </w:p>
    <w:p w14:paraId="78C308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具备单轴、双轴、立体查看功能。</w:t>
      </w:r>
    </w:p>
    <w:p w14:paraId="0185C8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具备体素值测量功能。</w:t>
      </w:r>
    </w:p>
    <w:p w14:paraId="3A2918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具备折线段测量功能。</w:t>
      </w:r>
    </w:p>
    <w:p w14:paraId="73CD42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具备最小、最大密度投影调整功能。</w:t>
      </w:r>
    </w:p>
    <w:p w14:paraId="4B0CEB6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具备调整焦距功能。</w:t>
      </w:r>
    </w:p>
    <w:p w14:paraId="4FA6FE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具备区域重建功能。</w:t>
      </w:r>
    </w:p>
    <w:p w14:paraId="19C118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具备BOX设置切割平面功能。</w:t>
      </w:r>
    </w:p>
    <w:p w14:paraId="75D956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具备相机视角选择功能。</w:t>
      </w:r>
    </w:p>
    <w:p w14:paraId="19B292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具备调整焦距功能。</w:t>
      </w:r>
    </w:p>
    <w:p w14:paraId="3A2831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具备BOX切割平面功能。</w:t>
      </w:r>
    </w:p>
    <w:p w14:paraId="05AA97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具备丰富的色彩漫游功能。</w:t>
      </w:r>
    </w:p>
    <w:p w14:paraId="7F8B64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具备自定义配色方案功能。</w:t>
      </w:r>
    </w:p>
    <w:p w14:paraId="4812C4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具备ROI裁剪功能。</w:t>
      </w:r>
    </w:p>
    <w:p w14:paraId="7D0DCE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具备曲面重建功能。</w:t>
      </w:r>
    </w:p>
    <w:p w14:paraId="69F92B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具备3D曲面重建功能。</w:t>
      </w:r>
    </w:p>
    <w:p w14:paraId="0EADFD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具备一键去除多余骨头功能。</w:t>
      </w:r>
    </w:p>
    <w:p w14:paraId="20E863F1">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临床医学影像调阅</w:t>
      </w:r>
    </w:p>
    <w:p w14:paraId="2EAD7A7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临床影像调阅</w:t>
      </w:r>
    </w:p>
    <w:p w14:paraId="493360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具备基于WEB架构功能。</w:t>
      </w:r>
    </w:p>
    <w:p w14:paraId="53835B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具备适配多显示器和医用竖屏显示器功能。</w:t>
      </w:r>
    </w:p>
    <w:p w14:paraId="7A8230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具备对不同的终端用户设置不同的登录和浏览权限功能。</w:t>
      </w:r>
    </w:p>
    <w:p w14:paraId="139F27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具备影像的打开、影像的布局、影像的放大缩小、影像的显示调节、影像信息的显示功能。</w:t>
      </w:r>
    </w:p>
    <w:p w14:paraId="70CD2A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具备临床影像后处理，与放射影像后处理软件拥有同样丰富的影像后处理功能。</w:t>
      </w:r>
    </w:p>
    <w:p w14:paraId="6AEF65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具备跨平台使用功能，包括：IOS、Android、Windows平台。</w:t>
      </w:r>
    </w:p>
    <w:p w14:paraId="356674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具备设置临床医生后处理使用权限功能。</w:t>
      </w:r>
    </w:p>
    <w:p w14:paraId="70C37EE9">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3.1.3.5 超声检查系统</w:t>
      </w:r>
    </w:p>
    <w:p w14:paraId="0316CC3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检查预约及登记</w:t>
      </w:r>
    </w:p>
    <w:p w14:paraId="56C127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支持与院内业务系统对接，实现查看门诊、住院及体检的检查申请单。</w:t>
      </w:r>
    </w:p>
    <w:p w14:paraId="30C1A7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支持电子申请单的存档，打印功能。</w:t>
      </w:r>
    </w:p>
    <w:p w14:paraId="627FD7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支持检查预约排班信息管理。</w:t>
      </w:r>
    </w:p>
    <w:p w14:paraId="78B074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支持按检查预约排班进行预约和取消功能。</w:t>
      </w:r>
    </w:p>
    <w:p w14:paraId="382B97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具备每日最大预约数上限管理功能。</w:t>
      </w:r>
    </w:p>
    <w:p w14:paraId="5D0372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支持预约回执单打印。</w:t>
      </w:r>
    </w:p>
    <w:p w14:paraId="65ABEE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具备预约患者突出标识功能。</w:t>
      </w:r>
    </w:p>
    <w:p w14:paraId="2D5244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具备患者信息手工登记功能。</w:t>
      </w:r>
    </w:p>
    <w:p w14:paraId="2D5883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具备患者列表筛选查找功能。</w:t>
      </w:r>
    </w:p>
    <w:p w14:paraId="481C3D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具备对患者费用确认、退费、补费等操作功能。</w:t>
      </w:r>
    </w:p>
    <w:p w14:paraId="41952A7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具备登记环节留言功能。</w:t>
      </w:r>
    </w:p>
    <w:p w14:paraId="257169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具备VIP患者、绿色通道功能。</w:t>
      </w:r>
    </w:p>
    <w:p w14:paraId="2B8E468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超声设备联机</w:t>
      </w:r>
    </w:p>
    <w:p w14:paraId="4F9B44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具备NTSC、PAL、S-Video、RGB视频信号采集功能。</w:t>
      </w:r>
    </w:p>
    <w:p w14:paraId="4DF3EC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具备标准DICOM格式影像数据传输功能。</w:t>
      </w:r>
    </w:p>
    <w:p w14:paraId="683F6D8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报告管理</w:t>
      </w:r>
    </w:p>
    <w:p w14:paraId="16478E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检查报告处理</w:t>
      </w:r>
    </w:p>
    <w:p w14:paraId="5C66771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具备根据患者个人信息、检查信息进行检索，并打开检查记录进行报告书写功能。</w:t>
      </w:r>
    </w:p>
    <w:p w14:paraId="6375C5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具备报告编辑中锁定功能。</w:t>
      </w:r>
    </w:p>
    <w:p w14:paraId="309C19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具备急诊及危急患者在报告列表中优先排列功能。</w:t>
      </w:r>
    </w:p>
    <w:p w14:paraId="36E29C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具备登记及技师留言查看功能。</w:t>
      </w:r>
    </w:p>
    <w:p w14:paraId="6B8C88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具备电子申请单查看功能。</w:t>
      </w:r>
    </w:p>
    <w:p w14:paraId="12D6DB5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具备报告编辑区域放大缩小、明暗度调整、上下角标标记功能。</w:t>
      </w:r>
    </w:p>
    <w:p w14:paraId="307D03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具备报告打印自动缩页，无需手动调整功能。</w:t>
      </w:r>
    </w:p>
    <w:p w14:paraId="4D6983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具备报告书写展现所见即所得预览，打印与当前展示页面完全一致功能。</w:t>
      </w:r>
    </w:p>
    <w:p w14:paraId="207CA3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具备报告自动保存功能。</w:t>
      </w:r>
    </w:p>
    <w:p w14:paraId="210310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支持与CA对接，实现报告电子签名功能。</w:t>
      </w:r>
    </w:p>
    <w:p w14:paraId="5EF7CD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具备修改痕迹对比及修改记录查看功能。</w:t>
      </w:r>
    </w:p>
    <w:p w14:paraId="6964CF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具备报告驳回功能，并可录入报告驳回原因功能。</w:t>
      </w:r>
    </w:p>
    <w:p w14:paraId="4A793C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具备向报告医生发送报告被驳回（审核不通过）消息提醒。</w:t>
      </w:r>
    </w:p>
    <w:p w14:paraId="219B43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具备向报告医生发送报告超时提醒。</w:t>
      </w:r>
    </w:p>
    <w:p w14:paraId="3C6881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具备向审核医生发送报告再次提交消息提醒。</w:t>
      </w:r>
    </w:p>
    <w:p w14:paraId="5F2D34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专家模板库</w:t>
      </w:r>
    </w:p>
    <w:p w14:paraId="4A96E9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提供彩超、黑白超及其他检查类型模板库。</w:t>
      </w:r>
    </w:p>
    <w:p w14:paraId="5C61AF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具备按照患者检查项目自动匹配对应报告模板功能。</w:t>
      </w:r>
    </w:p>
    <w:p w14:paraId="4FEBD5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具备医生编辑与收藏报告模板功能。</w:t>
      </w:r>
    </w:p>
    <w:p w14:paraId="35C5A9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具备管理员编辑、添加报告公有模板功能。</w:t>
      </w:r>
    </w:p>
    <w:p w14:paraId="04467B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具备在同一份报告中追加或替换专家模板功能。</w:t>
      </w:r>
    </w:p>
    <w:p w14:paraId="113ED8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临床图文报告调阅管理</w:t>
      </w:r>
    </w:p>
    <w:p w14:paraId="6E0FD3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支持通过与院内业务系统对接，实现临床调阅患者既往检查报告。</w:t>
      </w:r>
    </w:p>
    <w:p w14:paraId="23ACC4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图像管理</w:t>
      </w:r>
    </w:p>
    <w:p w14:paraId="7BF49A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具备单帧视频图像采集：NTSC、PAL、S-Video、RGB等视频信号采集功能，图像格式可为JPG、DICOM、bmp等格式，并可对图像进行处理。</w:t>
      </w:r>
    </w:p>
    <w:p w14:paraId="28061C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具备动态视频采集功能，视频格式可为AVI、MP4等。</w:t>
      </w:r>
    </w:p>
    <w:p w14:paraId="679946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具备影像数据导出功能。</w:t>
      </w:r>
    </w:p>
    <w:p w14:paraId="1B968B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具备同步或者异步采集图像功能。</w:t>
      </w:r>
    </w:p>
    <w:p w14:paraId="1A0EC6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具备对采集的影像数据进行后处理，包括影像数据质量调整、裁剪、标注功能。</w:t>
      </w:r>
    </w:p>
    <w:p w14:paraId="4327A8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具备对采集到的影像数据进行平铺以及采集顺序的调整功能。</w:t>
      </w:r>
    </w:p>
    <w:p w14:paraId="0A3E26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具备超声图像采集界面以1/4大小悬浮在医生报告窗口，在系统中影像数据的捕捉和录制功能。</w:t>
      </w:r>
    </w:p>
    <w:p w14:paraId="541E67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支持与设备对接，通过手持或者脚踏的方式获取患者影像数据功能。</w:t>
      </w:r>
    </w:p>
    <w:p w14:paraId="7A51F0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统计查询</w:t>
      </w:r>
    </w:p>
    <w:p w14:paraId="0D1234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具备多维度统计查询及导出功能。</w:t>
      </w:r>
    </w:p>
    <w:p w14:paraId="7C4038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具备快捷查询（姓名、性别、日期等）及高级查询两种查询功能。</w:t>
      </w:r>
    </w:p>
    <w:p w14:paraId="6A4081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超声危急值提醒</w:t>
      </w:r>
    </w:p>
    <w:p w14:paraId="0A80BE2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具备对报告中出现的危急值进行判断并提示功能。</w:t>
      </w:r>
    </w:p>
    <w:p w14:paraId="03AA6E4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具备根据医院需求对危急值字段配置功能。</w:t>
      </w:r>
    </w:p>
    <w:p w14:paraId="551DAE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敏感词提醒</w:t>
      </w:r>
    </w:p>
    <w:p w14:paraId="779FC3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具备敏感词提醒功能。</w:t>
      </w:r>
    </w:p>
    <w:p w14:paraId="228CF9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具备敏感词词库个性化配置功能。</w:t>
      </w:r>
    </w:p>
    <w:p w14:paraId="5ACA6B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相关报告调阅</w:t>
      </w:r>
    </w:p>
    <w:p w14:paraId="0A15F0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具备在同一检查报告页面内查看患者科内历次检查报告及图像功能。</w:t>
      </w:r>
    </w:p>
    <w:p w14:paraId="48F9D3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支持同一检查报告页面内查看患者跨科室（放射、内镜、病理、心电、检验等）的相关检查报告及图像功能。</w:t>
      </w:r>
    </w:p>
    <w:p w14:paraId="26CFDC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支持查看检查申请单、电子病历功能。</w:t>
      </w:r>
    </w:p>
    <w:p w14:paraId="07F1AD61">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3.1.3.6 内窥镜检查系统</w:t>
      </w:r>
    </w:p>
    <w:p w14:paraId="3B31A11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检查预约及登记</w:t>
      </w:r>
    </w:p>
    <w:p w14:paraId="4233A3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支持与院内业务系统对接，实现查看门诊、住院及体检的检查申请单。</w:t>
      </w:r>
    </w:p>
    <w:p w14:paraId="1509CF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支持电子申请单的存档，打印功能。</w:t>
      </w:r>
    </w:p>
    <w:p w14:paraId="492878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支持检查预约排班信息管理。</w:t>
      </w:r>
    </w:p>
    <w:p w14:paraId="745A02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支持按检查预约排班进行预约和取消功能。</w:t>
      </w:r>
    </w:p>
    <w:p w14:paraId="66A54C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具备每日最大预约数上限管理功能。</w:t>
      </w:r>
    </w:p>
    <w:p w14:paraId="023391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支持预约回执单打印，</w:t>
      </w:r>
    </w:p>
    <w:p w14:paraId="077B64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具备预约患者突出标识功能。</w:t>
      </w:r>
    </w:p>
    <w:p w14:paraId="206D88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具备患者信息手工登记功能</w:t>
      </w:r>
    </w:p>
    <w:p w14:paraId="3406EB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具备患者列表筛选查找功能。</w:t>
      </w:r>
    </w:p>
    <w:p w14:paraId="23765C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具备对患者费用确认、退费、补费等操作功能。</w:t>
      </w:r>
    </w:p>
    <w:p w14:paraId="111FD4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具备登记环节留言功能。</w:t>
      </w:r>
    </w:p>
    <w:p w14:paraId="64E2D8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具备VIP患者、绿色通道功能。</w:t>
      </w:r>
    </w:p>
    <w:p w14:paraId="0B11E29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报告管理</w:t>
      </w:r>
    </w:p>
    <w:p w14:paraId="09F00A7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检查报告处理</w:t>
      </w:r>
    </w:p>
    <w:p w14:paraId="38691D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具备根据患者个人信息、检查信息进行检索，并打开检查记录进行报告书写功能。</w:t>
      </w:r>
    </w:p>
    <w:p w14:paraId="66D6C27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具备报告编辑中锁定功能。</w:t>
      </w:r>
    </w:p>
    <w:p w14:paraId="3E2651B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具备急诊及危急患者在报告列表中优先排列功能。</w:t>
      </w:r>
    </w:p>
    <w:p w14:paraId="5C5959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具备登记及技师留言查看功能。</w:t>
      </w:r>
    </w:p>
    <w:p w14:paraId="6EA35F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具备电子申请单查看功能。</w:t>
      </w:r>
    </w:p>
    <w:p w14:paraId="0CB81A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具备报告编辑区域放大缩小、明暗度调整、上下角标标记功能。</w:t>
      </w:r>
    </w:p>
    <w:p w14:paraId="72117E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具备报告打印自动缩页，无需手动调整功能。</w:t>
      </w:r>
    </w:p>
    <w:p w14:paraId="4B90BC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具备报告书写展现所见即所得预览，打印与当前展示页面完全一致功能。</w:t>
      </w:r>
    </w:p>
    <w:p w14:paraId="4A4C25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具备报告自动保存功能。</w:t>
      </w:r>
    </w:p>
    <w:p w14:paraId="2BA247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支持与CA对接，实现报告电子签名功能。</w:t>
      </w:r>
    </w:p>
    <w:p w14:paraId="553D9F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具备修改痕迹对比及修改记录查看功能。</w:t>
      </w:r>
    </w:p>
    <w:p w14:paraId="699E8C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具备报告驳回功能，并可录入报告驳回原因功能。</w:t>
      </w:r>
    </w:p>
    <w:p w14:paraId="4F1A56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具备向报告医生发送报告被驳回（审核不通过）消息提醒。</w:t>
      </w:r>
    </w:p>
    <w:p w14:paraId="0692A45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具备向报告医生发送报告超时提醒。</w:t>
      </w:r>
    </w:p>
    <w:p w14:paraId="7F20D2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具备向审核医生发送报告再次提交消息提醒。</w:t>
      </w:r>
    </w:p>
    <w:p w14:paraId="1761C2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具备胃镜、肠镜采集图像图注与示意图位置自动匹配。</w:t>
      </w:r>
    </w:p>
    <w:p w14:paraId="071B22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具备在示意图上标记位置，所选图像自动显示图注。</w:t>
      </w:r>
    </w:p>
    <w:p w14:paraId="290F61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专家模板库</w:t>
      </w:r>
    </w:p>
    <w:p w14:paraId="28AC2B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提供胃镜、肠镜及其他检查类型模板库。</w:t>
      </w:r>
    </w:p>
    <w:p w14:paraId="4361C47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具备按照患者检查项目自动匹配对应的报告模板功能。</w:t>
      </w:r>
    </w:p>
    <w:p w14:paraId="4C1D71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具备根据医生个人喜好编辑、添加、调整报告私有模板功能。</w:t>
      </w:r>
    </w:p>
    <w:p w14:paraId="20A8A7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具备主任医生及管理员编辑、添加、调整报告公有模板功能。</w:t>
      </w:r>
    </w:p>
    <w:p w14:paraId="2D7002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具备一个或多个专家模板插入到报告中，插入方式有新增和追加两种功能。</w:t>
      </w:r>
    </w:p>
    <w:p w14:paraId="59795F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临床图文报告调阅管理</w:t>
      </w:r>
    </w:p>
    <w:p w14:paraId="3F4F6E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支持通过与院内业务系统对接，实现临床调阅患者既往检查报告。</w:t>
      </w:r>
    </w:p>
    <w:p w14:paraId="31C030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内镜危急值提醒</w:t>
      </w:r>
    </w:p>
    <w:p w14:paraId="35FA35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具备对报告中出现的危急值进行判断并提示功能。</w:t>
      </w:r>
    </w:p>
    <w:p w14:paraId="3DD8E7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具备根据医院需求对危急值字段配置功能。</w:t>
      </w:r>
    </w:p>
    <w:p w14:paraId="5F76A4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敏感词提醒</w:t>
      </w:r>
    </w:p>
    <w:p w14:paraId="105FFD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具备敏感词提醒功能。</w:t>
      </w:r>
    </w:p>
    <w:p w14:paraId="631CDA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具备敏感词词库个性化配置功能。</w:t>
      </w:r>
    </w:p>
    <w:p w14:paraId="0EB2BA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相关报告调阅</w:t>
      </w:r>
    </w:p>
    <w:p w14:paraId="583C41A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具备在同一检查报告页面内查看患者科内历次检查报告及图像功能。</w:t>
      </w:r>
    </w:p>
    <w:p w14:paraId="5C9863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支持与其他业务系统对接，实现同一检查报告页面内查看患者跨科室（放射、超声、病理、心电、检验等）的相关检查报告及图像功能。</w:t>
      </w:r>
    </w:p>
    <w:p w14:paraId="2EB019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支持查看检查申请单、电子病历功能。</w:t>
      </w:r>
    </w:p>
    <w:p w14:paraId="637E71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查询统计</w:t>
      </w:r>
    </w:p>
    <w:p w14:paraId="1BB46A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具备多维度统计查询及导出功能。</w:t>
      </w:r>
    </w:p>
    <w:p w14:paraId="4C833B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具备快捷查询（姓名、性别、日期等）及高级查询两种查询功能。</w:t>
      </w:r>
    </w:p>
    <w:p w14:paraId="2F810B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图像采集</w:t>
      </w:r>
    </w:p>
    <w:p w14:paraId="09C03D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具备单帧视频图像采集功能：包括：NTSC、PAL、S-Video、RGB等。图像格式可为JPG、DICOM、bmp等格式。</w:t>
      </w:r>
    </w:p>
    <w:p w14:paraId="1B5828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具备图像处理功能。</w:t>
      </w:r>
    </w:p>
    <w:p w14:paraId="40549D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具备动态视频采集功能，视频格式可为AVI、MP4等。</w:t>
      </w:r>
    </w:p>
    <w:p w14:paraId="378BBF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具备手动影像数据备份功能：手工对所需刻录的影像数据资料进行备份。</w:t>
      </w:r>
    </w:p>
    <w:p w14:paraId="10E2F0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具备同步或者异步采集图像功能。</w:t>
      </w:r>
    </w:p>
    <w:p w14:paraId="3E30E2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具备对采集的影像数据进行后处理功能，包括影像数据质量调整、裁剪、标注。</w:t>
      </w:r>
    </w:p>
    <w:p w14:paraId="19C7A7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具备对采集到的影像数据进行平铺以及采集顺序的调整功能。</w:t>
      </w:r>
    </w:p>
    <w:p w14:paraId="34AF00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具备内镜图像采集界面以1/4大小悬浮在医生报告窗口功能，并可对系统中影像数据进行捕捉和录制。</w:t>
      </w:r>
    </w:p>
    <w:p w14:paraId="0AB94F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支持与设备对接，通过手持或者脚踏的方式获取患者影像数据功能。</w:t>
      </w:r>
    </w:p>
    <w:p w14:paraId="2717642B">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3.1.3.7 病理检查系统</w:t>
      </w:r>
    </w:p>
    <w:p w14:paraId="14F9FEE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登记及收费</w:t>
      </w:r>
    </w:p>
    <w:p w14:paraId="7FFB42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支持与院内业务系统对接，实现查看门诊、住院及体检的检查申请单。</w:t>
      </w:r>
    </w:p>
    <w:p w14:paraId="0DEA0A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支持电子检查申请单的存档、打印功能。</w:t>
      </w:r>
    </w:p>
    <w:p w14:paraId="28EA1B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具备患者信息手工登记功能。</w:t>
      </w:r>
    </w:p>
    <w:p w14:paraId="6EE305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具备患者“同名检索”，并展示关键信息协助患者匹配功能。</w:t>
      </w:r>
    </w:p>
    <w:p w14:paraId="683C47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具备病理号规则自定义、升号、手动修改和删除后回收等功能。</w:t>
      </w:r>
    </w:p>
    <w:p w14:paraId="4BA601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具备术中冰冻检查的术后常规检查病例匹配和登记功能。</w:t>
      </w:r>
    </w:p>
    <w:p w14:paraId="261CC4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支持已发布报告在登记工作站打印。</w:t>
      </w:r>
    </w:p>
    <w:p w14:paraId="521E68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支持门诊病人登记回执单打印。</w:t>
      </w:r>
    </w:p>
    <w:p w14:paraId="52DA212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具备对患者费用确认、退费、补费等操作功能。</w:t>
      </w:r>
    </w:p>
    <w:p w14:paraId="0902A0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具备登记环节留言功能。</w:t>
      </w:r>
    </w:p>
    <w:p w14:paraId="5B5E23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具备VIP患者、绿色通道功能。</w:t>
      </w:r>
    </w:p>
    <w:p w14:paraId="66FFA26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病理取材</w:t>
      </w:r>
    </w:p>
    <w:p w14:paraId="435BAE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具备已登记的未取材和已取材病例列表筛选查找功能。</w:t>
      </w:r>
    </w:p>
    <w:p w14:paraId="2978AA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具备补重取医嘱列表筛选查找功能。</w:t>
      </w:r>
    </w:p>
    <w:p w14:paraId="068C71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具备关联的冰冻检查记录查看功能，可查看冰冻检查取材明细记录和报告结果功能。</w:t>
      </w:r>
    </w:p>
    <w:p w14:paraId="497EE2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具备术后常规病理检查自动导入术中冰冻病理检查的取材明细记录功能。</w:t>
      </w:r>
    </w:p>
    <w:p w14:paraId="6605C2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具备取材病例与取材记录员对应功能。</w:t>
      </w:r>
    </w:p>
    <w:p w14:paraId="1D02FF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具备当日取材材块总数统计展示功能。</w:t>
      </w:r>
    </w:p>
    <w:p w14:paraId="6A74F6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支持包埋盒打印。</w:t>
      </w:r>
    </w:p>
    <w:p w14:paraId="4A3AAF8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报告管理</w:t>
      </w:r>
    </w:p>
    <w:p w14:paraId="7B9C26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检查报告处理</w:t>
      </w:r>
    </w:p>
    <w:p w14:paraId="42E153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具备根据患者个人信息、检查信息进行检索，并打开检查记录进行报告书写功能。</w:t>
      </w:r>
    </w:p>
    <w:p w14:paraId="7047424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具备按照未书写、未完成、已完成、已超期、待审核、未打印等不同报告状态快捷查询患者报告列表功能。</w:t>
      </w:r>
    </w:p>
    <w:p w14:paraId="069D9F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具备以不同颜色标识不同病理状态的患者病例功能。</w:t>
      </w:r>
    </w:p>
    <w:p w14:paraId="796AAB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提供大、小标本的肿瘤疾病等多类别的结构化病理报告模板。</w:t>
      </w:r>
    </w:p>
    <w:p w14:paraId="47704D7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具备按照患者检查项目自动匹配对应报告模板功能。</w:t>
      </w:r>
    </w:p>
    <w:p w14:paraId="115828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具备医生编辑与收藏报告模板功能。</w:t>
      </w:r>
    </w:p>
    <w:p w14:paraId="0FB38A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具备管理员编辑、添加报告公有模板功能。</w:t>
      </w:r>
    </w:p>
    <w:p w14:paraId="4761C5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具备在同一份取材报告中追加或替换模板功能。</w:t>
      </w:r>
    </w:p>
    <w:p w14:paraId="042287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具备报告编辑中锁定功能。</w:t>
      </w:r>
    </w:p>
    <w:p w14:paraId="283359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具备急诊及危急患者在报告列表中优先排列功能。</w:t>
      </w:r>
    </w:p>
    <w:p w14:paraId="19D0F16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具备登记及技师留言查看功能。</w:t>
      </w:r>
    </w:p>
    <w:p w14:paraId="61F902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具备电子申请单查看功能。</w:t>
      </w:r>
    </w:p>
    <w:p w14:paraId="2ACF79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具备报告编辑区域放大缩小、明暗度调整、上下角标标记功能。</w:t>
      </w:r>
    </w:p>
    <w:p w14:paraId="0A8C7AC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具备报告打印自动缩页，无需手动调整功能。</w:t>
      </w:r>
    </w:p>
    <w:p w14:paraId="1D57E0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具备报告书写展现所见即所得预览，打印与当前展示页面完全一致功能。</w:t>
      </w:r>
    </w:p>
    <w:p w14:paraId="627BBF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具备报告自动保存功能。</w:t>
      </w:r>
    </w:p>
    <w:p w14:paraId="6BC7A6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支持与CA对接，实现报告电子签名功能。</w:t>
      </w:r>
    </w:p>
    <w:p w14:paraId="518DC4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具备修改痕迹对比及修改记录查看功能。</w:t>
      </w:r>
    </w:p>
    <w:p w14:paraId="11F0F1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具备报告驳回功能，并可录入报告驳回原因功能。</w:t>
      </w:r>
    </w:p>
    <w:p w14:paraId="703181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具备向报告医生发送报告被驳回（审核不通过）消息提醒。</w:t>
      </w:r>
    </w:p>
    <w:p w14:paraId="678922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具备向报告医生发送报告超时提醒。</w:t>
      </w:r>
    </w:p>
    <w:p w14:paraId="32A9F7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具备向审核医生发送报告再次提交消息提醒。</w:t>
      </w:r>
    </w:p>
    <w:p w14:paraId="328F12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病理危急值提醒</w:t>
      </w:r>
    </w:p>
    <w:p w14:paraId="47445B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具备对报告中出现的危急值进行判断并提示功能。</w:t>
      </w:r>
    </w:p>
    <w:p w14:paraId="78CE1B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具备根据医院需求对危急值字段配置功能。</w:t>
      </w:r>
    </w:p>
    <w:p w14:paraId="645631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临床报告调阅管理</w:t>
      </w:r>
    </w:p>
    <w:p w14:paraId="423BBE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支持通过与院内业务系统对接，实现临床调阅患者既往检查报告。</w:t>
      </w:r>
    </w:p>
    <w:p w14:paraId="5C83F4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相关报告调阅</w:t>
      </w:r>
    </w:p>
    <w:p w14:paraId="515BD0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具备在同一检查报告页面内查看患者科内历次检查报告及图像功能。</w:t>
      </w:r>
    </w:p>
    <w:p w14:paraId="0933E0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支持与其他业务系统对接，实现同一检查报告页面内查看患者跨科室（放射、超声、内镜、心电、检验等）的相关检查报告及图像功能。</w:t>
      </w:r>
    </w:p>
    <w:p w14:paraId="217760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支持查看检查申请单、电子病历功能。</w:t>
      </w:r>
    </w:p>
    <w:p w14:paraId="32E6B0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敏感词提醒</w:t>
      </w:r>
    </w:p>
    <w:p w14:paraId="082D31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具备敏感词提醒功能。</w:t>
      </w:r>
    </w:p>
    <w:p w14:paraId="52824C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具备敏感词词库个性化配置功能。</w:t>
      </w:r>
    </w:p>
    <w:p w14:paraId="1B8559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统计报表及条件查询</w:t>
      </w:r>
    </w:p>
    <w:p w14:paraId="6A58311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具备多维度统计查询及导出功能。</w:t>
      </w:r>
    </w:p>
    <w:p w14:paraId="44C07C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具备快捷查询（姓名、性别、日期等）及高级查询两种查询功能。</w:t>
      </w:r>
    </w:p>
    <w:p w14:paraId="79E65028">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3.1.3.8 心电检查系统</w:t>
      </w:r>
    </w:p>
    <w:p w14:paraId="326832B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（1）院内心电</w:t>
      </w:r>
    </w:p>
    <w:p w14:paraId="52FEC1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（1）预约叫号</w:t>
      </w:r>
    </w:p>
    <w:p w14:paraId="443C2F1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支持检查诊室管理功能，支持设置预约时段、关联诊室，每个预约时段可限制人数；支持一个诊室对应多个检查项目，支持一个检查项目多个诊室检查。</w:t>
      </w:r>
    </w:p>
    <w:p w14:paraId="16F13FB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支持静息心电、动态心电、动态血压、电生理等多种业务类型统一预约。</w:t>
      </w:r>
    </w:p>
    <w:p w14:paraId="3F0B93F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检查医生通过HIS接口获得申请单进行登记和预约，并生成排队号的条形码，患者按照排队号在检查室等待检查。</w:t>
      </w:r>
    </w:p>
    <w:p w14:paraId="19AEF2E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可手动创建、扫码、读卡、输入卡号、下载预约记录获取检查患者。</w:t>
      </w:r>
    </w:p>
    <w:p w14:paraId="35537F8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5) 在预约列表中，支持新建、修改、删除、加急、激活等功能。</w:t>
      </w:r>
    </w:p>
    <w:p w14:paraId="238B123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6) 支持手动选择或自动匹配检查诊室和检查时段。具有时段预约已满智能提醒功能。</w:t>
      </w:r>
    </w:p>
    <w:p w14:paraId="2F3CC7B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7) 支持呼叫、检查、过号、重呼、激活等功能</w:t>
      </w:r>
    </w:p>
    <w:p w14:paraId="5EAE107E">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8) 支持大屏展示排队叫号信息，并依序语音叫号，方便受检者在候诊大厅的大屏随时掌握自己的就诊动态</w:t>
      </w:r>
    </w:p>
    <w:p w14:paraId="2F9FB51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9) 支持自定义大屏模板样式，配置显示内容，包括叫号队列、候诊队列、过号队列、姓名、排队号、检查诊室、检查项目等内容配置显示。</w:t>
      </w:r>
    </w:p>
    <w:p w14:paraId="4C1CB0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（2）心电检查管理</w:t>
      </w:r>
    </w:p>
    <w:p w14:paraId="481F2A7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系统支持连接第三方心电图机完成受检者的心电检查。支持解析hl7、mfer、scp、fda-xml、dicom、anb、dat、ecg、eco、ekg等第三方心电图机数据格式并以统一的格式进行存储。</w:t>
      </w:r>
    </w:p>
    <w:p w14:paraId="0BE3D37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支持配置检查模式，可选常规十二导、常规十五导、常规十八导、心向量、心率变异、QT离散度、频谱心电、阿托品等。</w:t>
      </w:r>
    </w:p>
    <w:p w14:paraId="52F5E98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支持图谱采集完成后预览，支持加采、重采功能；</w:t>
      </w:r>
    </w:p>
    <w:p w14:paraId="61267B6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支持为严重病人申请加急诊断，加急的报告列表有加急的状态标记。</w:t>
      </w:r>
    </w:p>
    <w:p w14:paraId="3764CE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（3）心电医生工作站</w:t>
      </w:r>
    </w:p>
    <w:p w14:paraId="38F8F12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为满足医院业务发展需要，医生工作站须提供静息心电、动态心电、动态血压综合分析功能：一套软件即可以进行静息心电、动态心电、动态血压三种检查的分析会诊工作，支持具有对应检查特点的专业分析工具。</w:t>
      </w:r>
    </w:p>
    <w:p w14:paraId="564D66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静息心电分析：</w:t>
      </w:r>
    </w:p>
    <w:p w14:paraId="5CAFF68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心电图诊断报告系统具备权限管理功能，给不同的医生进行权限配置。</w:t>
      </w:r>
    </w:p>
    <w:p w14:paraId="37475D5B">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为提高医生工作效率，系统支持同屏显示报告列表和看图界面。可直接在看图页中查看列表数据，无需在列表页和详情页中来回切换。</w:t>
      </w:r>
    </w:p>
    <w:p w14:paraId="21A1F69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支持在图谱上通过测量工具测量某段波形的电压值、心率和间期测值。</w:t>
      </w:r>
    </w:p>
    <w:p w14:paraId="222389C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5) 支持心搏放大功能，通过心搏放大查看某个心搏，调整波形形态识别后重新发送测值。</w:t>
      </w:r>
    </w:p>
    <w:p w14:paraId="36464AE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6) 系统具备并行分规功能。</w:t>
      </w:r>
    </w:p>
    <w:p w14:paraId="3729A72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7) 支持在心电图波形区域的异常位置做标记，提供图像注释说明记录。</w:t>
      </w:r>
    </w:p>
    <w:p w14:paraId="5EDEF87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8) 支持导联纠错功能，在肢体导联接反或胸导联接错的情况下，可以通过软件直接修正，无需重新采集。</w:t>
      </w:r>
    </w:p>
    <w:p w14:paraId="6209F0CB">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9) 支持漏诊提示，对心电图因显示分辨率问题导致的可能被疏忽的细节异常进行提示，防止造成漏诊。</w:t>
      </w:r>
    </w:p>
    <w:p w14:paraId="41DF0496">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10) 支持图谱对比功能，支持将5份历史报告加入对比，可引用对比报告的诊断结论。</w:t>
      </w:r>
    </w:p>
    <w:p w14:paraId="417C534E">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11) 支持叠加波分析，可对所有导联心搏进行叠加趋势分析。</w:t>
      </w:r>
    </w:p>
    <w:p w14:paraId="670D63E6">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12) 支持测值根据词条联动，如死亡心电图/无心电活动：所有测值置“/”，房颤：房率、P波时限、PR间期、P电轴置“/”，房扑：P波时限、PR间期、P电轴置“/”。</w:t>
      </w:r>
    </w:p>
    <w:p w14:paraId="3723754E">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13) 支持胸痛加急功能，诊断界面有胸痛加急按钮，点击之后有胸痛加急的提示弹窗并可将检查完成消息推送到手机微信端。</w:t>
      </w:r>
    </w:p>
    <w:p w14:paraId="2860668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14) 提供标准的心电图诊断词条，辅助医生快速进行报告编辑，在编辑过程中支持词条模糊查询及词条与测值的联动。</w:t>
      </w:r>
    </w:p>
    <w:p w14:paraId="650581A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15) 支持梯形图生成技术。</w:t>
      </w:r>
    </w:p>
    <w:p w14:paraId="6244CB78">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16) 支持频谱心电、高频心电、QT离散度、心电向量、心室晚电位、心率变异等分析功能。</w:t>
      </w:r>
    </w:p>
    <w:p w14:paraId="42CD968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17) 支持心电自动诊断技术，对心电报告进行自动化分析和诊断，辅助诊断医生进行报告诊断，提高诊断效率和质量。</w:t>
      </w:r>
    </w:p>
    <w:p w14:paraId="377D8045">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18) 客户端、Web端、移动端支持自动诊断分析结论，可手动选择是否引用自动诊断结论。</w:t>
      </w:r>
    </w:p>
    <w:p w14:paraId="17049D9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19) 支持在诊断界面将心电图原始数据生成二维码，并通过手机端微信小程序进行扫码查看、诊断和分享，通过手机扫码方式实现内网到外网的数据传输，物理隔离保障网络安全。</w:t>
      </w:r>
    </w:p>
    <w:p w14:paraId="1E8D352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20) 为保护受检者信息安全，报告分享支持脱敏显示。</w:t>
      </w:r>
    </w:p>
    <w:p w14:paraId="07640B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动态心电分析：</w:t>
      </w:r>
    </w:p>
    <w:p w14:paraId="7385A44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21) 动态心电具备自动分析功能。自动分析功能自动识别心搏类型包括正常（N）、房早（S）、室早（V）、房颤（Af）、起搏（P）和伪差（X）；用户可以手动标记和修改心搏。</w:t>
      </w:r>
    </w:p>
    <w:p w14:paraId="61BA41A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22) 支持P波反混淆快速区分P波形态差异心搏； </w:t>
      </w:r>
    </w:p>
    <w:p w14:paraId="7C93471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23) 组合散点图，通过每个心搏的特征选择相应的心搏参数（心搏可选提前量、R波和S波幅度、间期、代偿间期、QRS面积、宽度等方式作为X、Y轴坐标），形成不同的吸引子，快速区分形态不一样的心搏；</w:t>
      </w:r>
    </w:p>
    <w:p w14:paraId="0251740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24) 提供PR间期趋势图功能；</w:t>
      </w:r>
    </w:p>
    <w:p w14:paraId="6522FD1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25) 支持不同心搏分类模板整体叠加反混淆，快速定位异常心博；</w:t>
      </w:r>
    </w:p>
    <w:p w14:paraId="09647C15">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26) 支持心率变异性、心室晚电位、心率减速力、心率震荡、T波电交替、心向量等高级功能；</w:t>
      </w:r>
    </w:p>
    <w:p w14:paraId="72D2E4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动态血压分析：</w:t>
      </w:r>
    </w:p>
    <w:p w14:paraId="101E4BB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27) 提供多种图标辅助分析工具，包括趋势图、关联图、直方图、饼图、K线图等；</w:t>
      </w:r>
    </w:p>
    <w:p w14:paraId="65AEE3F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28) 提供血压变异系数、夜间血压下降比、血压负荷、晨峰血压等分析指标；</w:t>
      </w:r>
    </w:p>
    <w:p w14:paraId="3C1D82E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29) 提供血压负荷、昼夜节律、动态动脉硬化指数等自动分析结论；</w:t>
      </w:r>
    </w:p>
    <w:p w14:paraId="136DC9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（4）移动诊断</w:t>
      </w:r>
    </w:p>
    <w:p w14:paraId="2578355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移动会诊支持手机端H5的方式实现原始心电图数据的查看，支持Android和iOS系统等各种品牌终端，满足出差、居家等不同场景下的远程会诊需求。</w:t>
      </w:r>
    </w:p>
    <w:p w14:paraId="619AABF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支持手机端报告任务列表刷新功能，可实时查看待处理报告的数量。支持报告编辑功能，提供标准的心电图诊断词条选择或者手动输入诊断词条，辅助医生快速的进行报告编辑。</w:t>
      </w:r>
    </w:p>
    <w:p w14:paraId="52791EB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支持手机端浏览器访问登录功能；支持记录最近一次登录用户。</w:t>
      </w:r>
    </w:p>
    <w:p w14:paraId="18A7C1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（5）临床web端调阅</w:t>
      </w:r>
    </w:p>
    <w:p w14:paraId="2B4BAAA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Web终端可查看原始数据，支持调整导联布局、增益、走速及；支持心电波形的滤波，包括肌电滤波、工频滤波、高频滤波；支持全院数据共享。</w:t>
      </w:r>
    </w:p>
    <w:p w14:paraId="73C9E58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支持根据报告完成状态待诊断、已诊断查看报告，并且直观看出待诊断的报告数量。</w:t>
      </w:r>
    </w:p>
    <w:p w14:paraId="0220EB7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支持通过检查科室、受检者来源、检查时间、受检者标识、受检者姓名快速检索报告。</w:t>
      </w:r>
    </w:p>
    <w:p w14:paraId="76979274">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支持产生新报告到达即时提醒功能。当检查端采集的病历发送过来时，web端自动弹出提示窗口并语音提醒，提示医生有新报告到达。</w:t>
      </w:r>
    </w:p>
    <w:p w14:paraId="314702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（6）心电质控分析</w:t>
      </w:r>
    </w:p>
    <w:p w14:paraId="1297F950">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统计分析：实现管理部门对病种、医生、检查报告的统计分析。</w:t>
      </w:r>
    </w:p>
    <w:p w14:paraId="49ED47D0">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支持根据机构、诊断中心查看报告检查量、诊断量。</w:t>
      </w:r>
    </w:p>
    <w:p w14:paraId="12DEEE5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支持危急值统计分析，支持列表和柱状图展示。</w:t>
      </w:r>
    </w:p>
    <w:p w14:paraId="3957A53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支持通过心电人工智能进行质控分析，评估诊断医生和诊断组的诊断质量，进一步明确后续的培训方向和提高培训效果。</w:t>
      </w:r>
    </w:p>
    <w:p w14:paraId="61FD426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5) 支持心电数据的采集、传输、诊断和数据归档的全流程跟踪管理，记录每一份心电报告的生成过程，为功能调试、问题排查、问题定位等提供技术支撑和可靠保障。</w:t>
      </w:r>
    </w:p>
    <w:p w14:paraId="34EA27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（7）心电电生理设备接入</w:t>
      </w:r>
    </w:p>
    <w:p w14:paraId="2DB3454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为充分利用现有设备，系统需支持连接医院现有不同品牌与型号的心电图设备，支持采集原始数据，不能以截屏、拷贝、拍照等方式获取数据，并以标准的数据格式存储，实现心电数据分析，支持接入心电图设备的数据归档和管理。</w:t>
      </w:r>
    </w:p>
    <w:p w14:paraId="73B515B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支持对电生理报告的自动解析，并可进行归档、生成电生理报告，报告可院内共享。</w:t>
      </w:r>
    </w:p>
    <w:p w14:paraId="4DA678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支持电生理设备包括Holter、运动平板、动态血压、脑电图、肌电图、TCD、听力检查、眼科检查、神经电生理检查等。可根据临床实际需要，支持重新定义报告格式，并且可对电生理参数进行相应的统计分析。</w:t>
      </w:r>
    </w:p>
    <w:p w14:paraId="01C8F371">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HIS与心电系统对接</w:t>
      </w:r>
    </w:p>
    <w:p w14:paraId="720B2BCF">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3.1.3.9 手术管理系统</w:t>
      </w:r>
    </w:p>
    <w:p w14:paraId="75DD0B5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住院手术管理</w:t>
      </w:r>
    </w:p>
    <w:p w14:paraId="1E51BA2C">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具备住院手术安排功能，能够完成病人手术基本信息的录入，急诊/择期手术的排期及取消，手术相关人员的信息录入。</w:t>
      </w:r>
    </w:p>
    <w:p w14:paraId="22584507">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具备手术申请审核功能，对手术申请单进行审核及打印。</w:t>
      </w:r>
    </w:p>
    <w:p w14:paraId="0A7BF201">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具备按照手术等级、医生职务等级匹配进行手术权限的设定功能。</w:t>
      </w:r>
    </w:p>
    <w:p w14:paraId="55794AA4">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具备手术费用录入功能，进行手术项目及药品处方的录入，支持与HRP进行对接，实现手术耗材支持条码扫描。</w:t>
      </w:r>
    </w:p>
    <w:p w14:paraId="18A8F516">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具备麻醉费用录入功能，能够提供麻醉处方及麻醉协定方的录入。</w:t>
      </w:r>
    </w:p>
    <w:p w14:paraId="755ED7C1">
      <w:pPr>
        <w:keepNext w:val="0"/>
        <w:keepLines w:val="0"/>
        <w:widowControl/>
        <w:suppressLineNumbers w:val="0"/>
        <w:spacing w:before="0" w:beforeAutospacing="0" w:after="128" w:afterAutospacing="0" w:line="420" w:lineRule="atLeast"/>
        <w:ind w:left="0" w:right="0" w:firstLine="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具备手术情况录入功能，能够详细记录病人术中情况，支持界面录入字段自定义设计。</w:t>
      </w:r>
    </w:p>
    <w:p w14:paraId="79290A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具备麻醉情况录入功能，能够详细记录病人术中麻醉情况，支持界面录入字段自定义设计。</w:t>
      </w:r>
    </w:p>
    <w:p w14:paraId="2CFEF2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具备术中医嘱功能，能够完成术中医嘱的审核、执行。</w:t>
      </w:r>
    </w:p>
    <w:p w14:paraId="4A23B9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具备汇总领药功能，对手术中产生的药品进行汇总、领药单打印。</w:t>
      </w:r>
    </w:p>
    <w:p w14:paraId="0C8438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支持与耗材管理系统对接，实现耗材的计费核销功能。</w:t>
      </w:r>
    </w:p>
    <w:p w14:paraId="46075D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具备查询功能，包括病人费用、手术情况、手术费用、领药信息、病人退药信息、手术室退药信息查询。</w:t>
      </w:r>
    </w:p>
    <w:p w14:paraId="3AA6EA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具备报表管理功能，包括手术室排班表、手术室使用情况统计、手术工作量统计、麻醉工作量统计。</w:t>
      </w:r>
    </w:p>
    <w:p w14:paraId="367353E8">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3.1.3.10 手术麻醉系统</w:t>
      </w:r>
    </w:p>
    <w:p w14:paraId="5168D68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麻醉医师工作站</w:t>
      </w:r>
    </w:p>
    <w:p w14:paraId="3B8E87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●麻醉术前访视</w:t>
      </w:r>
    </w:p>
    <w:p w14:paraId="71DC4F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具备查看患者基本就诊信息，手术申请和安排信息的功能。</w:t>
      </w:r>
    </w:p>
    <w:p w14:paraId="6E2BC9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具备麻醉术前访视与麻醉评估功能，提供术前麻醉访视及评估表单，麻醉知情同意书以及涉及麻醉自费用药或耗材等麻醉相关文书。</w:t>
      </w:r>
    </w:p>
    <w:p w14:paraId="7490BA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具备麻醉计划文书功能，辅助麻醉医生通过系统查看患者病情、病史，便于拟定患者麻醉计划。</w:t>
      </w:r>
    </w:p>
    <w:p w14:paraId="30F5AF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支持与临床信息集成视图对接，实现查看患者的电子病历信息、检查检验信息、影像报告、医嘱信息等功能。</w:t>
      </w:r>
    </w:p>
    <w:p w14:paraId="792273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●术中麻醉管理</w:t>
      </w:r>
    </w:p>
    <w:p w14:paraId="4C33AA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具备图形化展示各手术间当天的手术排台情况的功能，一览各个手术状态。</w:t>
      </w:r>
    </w:p>
    <w:p w14:paraId="26C4C8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支持与短信平台或院内医生端APP对接，实现发送信息提醒给接台手术的主刀医生功能。</w:t>
      </w:r>
    </w:p>
    <w:p w14:paraId="2E4303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支持给接台手术的主刀医生发送提醒，消息支持对接短信平台或院内医生端APP。</w:t>
      </w:r>
    </w:p>
    <w:p w14:paraId="493F68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具备麻醉记录单功能，自动将采集到的监护仪、麻醉机生命体征参数记录在麻醉单上。</w:t>
      </w:r>
    </w:p>
    <w:p w14:paraId="29EC67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具备对术中患者的体征数据进行实时监测的功能，指标异常时进行报警。</w:t>
      </w:r>
    </w:p>
    <w:p w14:paraId="7FF052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具备对术中患者的体征异常数据进行特殊颜色标识功能。</w:t>
      </w:r>
    </w:p>
    <w:p w14:paraId="4A3C2F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具备术中事件计时提醒自定义设置功能，可以倒计时形式在术中进行提醒。</w:t>
      </w:r>
    </w:p>
    <w:p w14:paraId="4D6DE5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具备自动记取对应的时间作为事件发生时间（或持续事件的起始时间）的功能，自动匹配该事件对应的剂量、途径、持续情况。</w:t>
      </w:r>
    </w:p>
    <w:p w14:paraId="7AAF6B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具备对持续性用药根据使用的持续时间和流速自动计算使用剂量功能。</w:t>
      </w:r>
    </w:p>
    <w:p w14:paraId="1C4D0F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具备将术中麻醉操作以数字序号方式标记在治疗序号区域对应时间点的功能，对应麻醉备注区域事件详情。</w:t>
      </w:r>
    </w:p>
    <w:p w14:paraId="3BA2B8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具备用户对受到干扰的误差生命体征数据进行修正的功能。</w:t>
      </w:r>
    </w:p>
    <w:p w14:paraId="69E3EF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具备实现术中出入量汇总自动计算的功能。</w:t>
      </w:r>
    </w:p>
    <w:p w14:paraId="117F22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具备转出手术时，可选择转出至病房、PACU、ICU的功能。</w:t>
      </w:r>
    </w:p>
    <w:p w14:paraId="073C46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具备器械清点单功能，记录术中手术器械名称和数量，并可记录核对后的器械数量。</w:t>
      </w:r>
    </w:p>
    <w:p w14:paraId="16D2D0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具备麻醉记录单生命体征间隔自定义设置功能，可自定义1分钟，2分钟，5分钟。</w:t>
      </w:r>
    </w:p>
    <w:p w14:paraId="7B88F9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具备术中抢救模式切换功能，对病情危重患者提供一键抢救功能，抢救模式下自动30s间隔呈现。</w:t>
      </w:r>
    </w:p>
    <w:p w14:paraId="0F4A17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具备术中针对用药、事件录入，录入支持设置模板并通过模板进行录入的功能。</w:t>
      </w:r>
    </w:p>
    <w:p w14:paraId="2DE64B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具备如Apache II评分、TISS评分、PRAS麻醉恢复评分至少一种自动风险评分功能。</w:t>
      </w:r>
    </w:p>
    <w:p w14:paraId="5C1658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●麻醉医生交接</w:t>
      </w:r>
    </w:p>
    <w:p w14:paraId="314AEC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具备麻醉医生交接班记录功能，包括麻醉医生、交班时间。</w:t>
      </w:r>
    </w:p>
    <w:p w14:paraId="7DB6B0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具备术后镇痛记录单及随访单功能，记录患者术后镇痛效果及随访信息。</w:t>
      </w:r>
    </w:p>
    <w:p w14:paraId="685EE9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具备麻醉总结记录单功能，记录对患者的麻醉过程、麻醉效果进行总结。</w:t>
      </w:r>
    </w:p>
    <w:p w14:paraId="072221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具备对要进行复苏的患者提前对复苏室床位进行预约的功能，支持在手术中查看当前苏醒室床位使用情况。</w:t>
      </w:r>
    </w:p>
    <w:p w14:paraId="631556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具备图形化展示复苏室的床位及患者信息的功能。</w:t>
      </w:r>
    </w:p>
    <w:p w14:paraId="4C53B1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具备查看即将出手术间进入复苏室的患者及其床位预约信息的功能。</w:t>
      </w:r>
    </w:p>
    <w:p w14:paraId="00633A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具备选择指定复苏床位对复苏患者进行转入的功能，记录进入PACU时间。</w:t>
      </w:r>
    </w:p>
    <w:p w14:paraId="4BB299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具备记录术后复苏过程中的麻醉用药、事件、生命体征、患者入室情况、出室情况，并自动生成独立的术后复苏记录单的功能。</w:t>
      </w:r>
    </w:p>
    <w:p w14:paraId="30974F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具备麻醉复苏（Steward苏醒评分）评分评估患者清醒程度的功能。</w:t>
      </w:r>
    </w:p>
    <w:p w14:paraId="103463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支持与监护设备联机，自动采集患者苏醒过程中的生命体征趋势并自动绘制在复苏记录单上。</w:t>
      </w:r>
    </w:p>
    <w:p w14:paraId="23BCE7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具备复苏记录单延续术中麻醉记录单的功能。</w:t>
      </w:r>
    </w:p>
    <w:p w14:paraId="7265BF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具备复苏室麻醉医师可在复苏室查阅患者麻醉记录单的功能。</w:t>
      </w:r>
    </w:p>
    <w:p w14:paraId="439BDC5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麻醉设备联机（数据采集）</w:t>
      </w:r>
    </w:p>
    <w:p w14:paraId="1A8B6E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支持与麻醉机、监护仪设备对接，自动获取麻醉机、监护仪数据，并展示在麻醉记录单。</w:t>
      </w:r>
    </w:p>
    <w:p w14:paraId="3DA3BB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具备采集数据存储功能。</w:t>
      </w:r>
    </w:p>
    <w:p w14:paraId="46F4F8CB">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3.1.4 药耗管理</w:t>
      </w:r>
    </w:p>
    <w:p w14:paraId="68695E8A">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3.1.4.1 药库管理系统</w:t>
      </w:r>
    </w:p>
    <w:p w14:paraId="09848E2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药品字典及价格管理</w:t>
      </w:r>
    </w:p>
    <w:p w14:paraId="4E569E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●药品字典设置</w:t>
      </w:r>
    </w:p>
    <w:p w14:paraId="6650D8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具备对药品字典进行维护，包括：新增、修改、停用药品，新增药品分类，规格、产地切换功能。</w:t>
      </w:r>
    </w:p>
    <w:p w14:paraId="719B89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具备针对药品设置医保的报销标识，包括：药品甲、乙类设置、医保代码对应设置功能。</w:t>
      </w:r>
    </w:p>
    <w:p w14:paraId="743622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具备新增、修改、停用药品规格、产地、别名等基本信息功能。</w:t>
      </w:r>
    </w:p>
    <w:p w14:paraId="1F6BC5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具备药品规格目录、产地目录打印和导出Excel功能。</w:t>
      </w:r>
    </w:p>
    <w:p w14:paraId="6B9476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具备药品临床目录多个属性设置功能，如药品名称、拼音、五笔、分类码、药品剂型、所属库房、剂量单位，可以根据设置的所属库房和账目类别过滤药品信息。</w:t>
      </w:r>
    </w:p>
    <w:p w14:paraId="1A4F3F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具备带量采购、带量级别、带量议价标志及重点监控药品标志、国家谈判药品、国家医保谈判药品标志的维护功能。</w:t>
      </w:r>
    </w:p>
    <w:p w14:paraId="1C635A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具备维护院内临购药品标志、GCP药品标志和GCP药品课题编号功能，临床医生可以根据此标志判断处方的流转流程。</w:t>
      </w:r>
    </w:p>
    <w:p w14:paraId="631577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具备根据药品大类和药理作用分类过滤药品字典信息，达到快速定位药品功能。</w:t>
      </w:r>
    </w:p>
    <w:p w14:paraId="003BA98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●药品价格管理</w:t>
      </w:r>
    </w:p>
    <w:p w14:paraId="3BA13C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具备进价、批发价、零售价三种价格管理功能。</w:t>
      </w:r>
    </w:p>
    <w:p w14:paraId="1AEB23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具备展示进销差额、结存金额功能。</w:t>
      </w:r>
    </w:p>
    <w:p w14:paraId="37A880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具备药品顺加作价及顺加作价药品的范围设置（具体到单个药品）、进价加成比设置功能。</w:t>
      </w:r>
    </w:p>
    <w:p w14:paraId="0D7D6F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具备药品在入库、调价时自动根据顺加作价规则计算出药品价格。</w:t>
      </w:r>
    </w:p>
    <w:p w14:paraId="1E21E6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●多价格方案</w:t>
      </w:r>
    </w:p>
    <w:p w14:paraId="082A80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具备全院药品统一价格管理功能，进价采用加权平均进价管理模式。</w:t>
      </w:r>
    </w:p>
    <w:p w14:paraId="1B125C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具备全院药品统一零售价，多进价管理模式，允许药品在同一时间点零售价都相同。</w:t>
      </w:r>
    </w:p>
    <w:p w14:paraId="312D7F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具备全院药品多进价，多零售价的管理模式，允许药品在同一时间点存在多个零售价。</w:t>
      </w:r>
    </w:p>
    <w:p w14:paraId="3FD6D5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具备药品系统模式一键升级功能，从较低的模式升级到较高模式，在确认全院进价零售价方案选择之后，系统先自动判断台账的平衡关系，再完成模式升级。</w:t>
      </w:r>
    </w:p>
    <w:p w14:paraId="6271F83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药库库存管理</w:t>
      </w:r>
    </w:p>
    <w:p w14:paraId="293E187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具备药品入库，实现药品从供货商到药库入库功能。提供了正常入库、挂帐入库、赠送入库、制剂入库、红冲五种方式。</w:t>
      </w:r>
    </w:p>
    <w:p w14:paraId="2E6D0D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具备货到发票未到可以先入库，发票到了可以使用“在途冲证”对入库单进行冲证功能。</w:t>
      </w:r>
    </w:p>
    <w:p w14:paraId="155A17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具备药品退货，提供正常退库、挂帐退库、赠送退库、制剂退库4种方式进行不同业务操作功能。</w:t>
      </w:r>
    </w:p>
    <w:p w14:paraId="51212D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具备挂帐冲证，对于挂帐方式退货的药品，发票到后对退货单进行冲证功能。</w:t>
      </w:r>
    </w:p>
    <w:p w14:paraId="6F8994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具备入库撤销，提供整张药品入库单进行撤销功能，可以通过入库单号、发票号、供货商、入库时间的条件检索到入库单后进行撤销操作。</w:t>
      </w:r>
    </w:p>
    <w:p w14:paraId="3A16C0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出库，可生成药库向二级药房出库的出库单，可接收药房申请单、输入新的出库单的功能。提供手工录入或按请领单生成出库信息，按先进先出原则出库，药房退库药库接收入库时自动获取药品批次功能。</w:t>
      </w:r>
    </w:p>
    <w:p w14:paraId="2C35668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具备从药房退入药库的药品，提供接收、复核、拒绝药房退库申请单功能。</w:t>
      </w:r>
    </w:p>
    <w:p w14:paraId="605A19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具备科室发药通过手工录入、取请领单的方式向科室或病区发药，提供对发药单复核记帐、单据打印功能。</w:t>
      </w:r>
    </w:p>
    <w:p w14:paraId="3C7309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具备科室退药通过手工录入、取科室发药单的方式进行科室或病区退药，提供对退药单复核记帐、单据打印功能。</w:t>
      </w:r>
    </w:p>
    <w:p w14:paraId="576677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具备药房科室请领单，提供科室或病区向药库发起药品请领申请功能。</w:t>
      </w:r>
    </w:p>
    <w:p w14:paraId="5391712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具备义诊药品、慈善药品及其它公药药品出库，同时在月结报表里区分出科室出库和公药出库操作功能。</w:t>
      </w:r>
    </w:p>
    <w:p w14:paraId="3FFBF5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具备药品报损、报溢功能，使药品能够及时规范地得到处理，防止药品流失，有效控制损耗率在合理范围。</w:t>
      </w:r>
    </w:p>
    <w:p w14:paraId="0AAE64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具备职工发药、退药，提供药品的职工发药/退药单录入、修改、复核记帐、单据打印功能。</w:t>
      </w:r>
    </w:p>
    <w:p w14:paraId="77C345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具备药品调拨申请，提供向其它药库申请药品调拨，对其它药库的调拨申请进行复核记帐功能。</w:t>
      </w:r>
    </w:p>
    <w:p w14:paraId="514AC6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具备院内药库之间进行药品调拨功能，以调剂药库间的药品库存量。</w:t>
      </w:r>
    </w:p>
    <w:p w14:paraId="14A1F3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具备药品加工调拨，完成和加工药库间的药品调入调出工作，以调剂药库间的药品库存量功能。</w:t>
      </w:r>
    </w:p>
    <w:p w14:paraId="6E5451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具备药品调价，提供立即调价和定时调价功能。</w:t>
      </w:r>
    </w:p>
    <w:p w14:paraId="7B434D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具备药品盘点，提供单人、多人盘点及快照盘点功能。多人录入的盘点单通过盘点界面的单据合并功能可以合并成一张盘点单后再进行记账操作，快照盘点则可以根据快照操作的时间点的生成当时的库存盘点单。</w:t>
      </w:r>
    </w:p>
    <w:p w14:paraId="0F1C94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具备药品养护，提供记录药品养护情况，如养护措施、质量情况、养护结果、养护人员、温度、湿度信息功能。</w:t>
      </w:r>
    </w:p>
    <w:p w14:paraId="2D0FF3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具备药品批次控制，被控制的批次药品将不能进行出库、发药等操作，同时提供恢复被控制的批次药品功能。</w:t>
      </w:r>
    </w:p>
    <w:p w14:paraId="6778D7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具备供货商药品付款功能，提供按发票和单据号检索方式生成付款单，同时提供付款对账、调价差价单录入功能。</w:t>
      </w:r>
    </w:p>
    <w:p w14:paraId="08D6DB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具备药库台帐的查询和打印功能。</w:t>
      </w:r>
    </w:p>
    <w:p w14:paraId="5420BB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具备药品对帐、台帐月结，并提供统一由药库做全院台帐月结功能。</w:t>
      </w:r>
    </w:p>
    <w:p w14:paraId="4BEC01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具备生成采购计划，提供计划报警查询，同时进行药品效期、高低储系数及预警阀值设置的功能。支持按消耗量和预购天数自动生成采购计划单；支持对采购计划单进行审核。</w:t>
      </w:r>
    </w:p>
    <w:p w14:paraId="328931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支持最佳采购量生成采购计划单。</w:t>
      </w:r>
    </w:p>
    <w:p w14:paraId="48DE9C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支持失效药品报警查询，可以按照提前天数或按照报警日期进行查询定位药品。</w:t>
      </w:r>
    </w:p>
    <w:p w14:paraId="23073F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支持药品高低储报警，可以设置报警系数。</w:t>
      </w:r>
    </w:p>
    <w:p w14:paraId="587A3D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具备入库查询、退库查询、退货查询、调价查询、调价通知单查询、盘点查询、报损报溢查询、出库查询、科室发药查询、退货查询、库存查询、药品知识查询、药品基本信息查询、药品树型查询的功能。</w:t>
      </w:r>
    </w:p>
    <w:p w14:paraId="097C63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基本报表功能，如：进销存月报、特殊药品统计报表、药品帐单汇总表、药品帐单明细表、进货排行榜、药品进货历史表、出库排行榜、药品出库历史表、供应商联系单、药品申购表、药品入库汇总表、在途药品统计表、药品计时统计表的功能，并提供外挂报表。</w:t>
      </w:r>
    </w:p>
    <w:p w14:paraId="43FCAA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具备药品操作单位设置功能。</w:t>
      </w:r>
    </w:p>
    <w:p w14:paraId="7841E3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具备药库药品维护功能,可以单独维护和设置药库药品的控制标志、管理标志、存放位置。</w:t>
      </w:r>
    </w:p>
    <w:p w14:paraId="4DF832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具备设置药库系统的启用，同时启用年月可选择功能。</w:t>
      </w:r>
    </w:p>
    <w:p w14:paraId="65F966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具备进行药库药品的控制属性设置，控制药库对设置药房的入出库功能。</w:t>
      </w:r>
    </w:p>
    <w:p w14:paraId="3F9D7D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具备进行药品批量期初设置功能。</w:t>
      </w:r>
    </w:p>
    <w:p w14:paraId="4A6C4B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具备药库台帐模板设置功能。</w:t>
      </w:r>
    </w:p>
    <w:p w14:paraId="4D98DD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具备设置多个药库，并可分别对每个药库设置管理药品的范围功能。</w:t>
      </w:r>
    </w:p>
    <w:p w14:paraId="7EB8B5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具备药库药品批号和效期维护功能。系统初值设置后会自动生成药品的批号和效期，可以通过批号和效期维护进行调整。</w:t>
      </w:r>
    </w:p>
    <w:p w14:paraId="14F1F4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具备药品追溯码处理功能，药品入库和退货支持扫描追溯码录入。</w:t>
      </w:r>
    </w:p>
    <w:p w14:paraId="762258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具备药品台帐校验功能，通过工具辅助对台帐数据和系统使用的环境参数进行校验处理。</w:t>
      </w:r>
    </w:p>
    <w:p w14:paraId="448C707A">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3.1.4.2 门诊药房管理系统</w:t>
      </w:r>
    </w:p>
    <w:p w14:paraId="0F77BFC0">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门诊药房库存管理</w:t>
      </w:r>
    </w:p>
    <w:p w14:paraId="22B23C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具备药房入库请领，完成药房向药库发起药品请领申请功能，提供按进货单位和进货系数智能请领功能。</w:t>
      </w:r>
    </w:p>
    <w:p w14:paraId="2E4DAD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具备药品入库，对于药库出库给本药房的药品，可以进行接收或拒绝功能。</w:t>
      </w:r>
    </w:p>
    <w:p w14:paraId="435E80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具备入库确认和单据打印功能。</w:t>
      </w:r>
    </w:p>
    <w:p w14:paraId="67B967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具备药房退库，可以新建、修改、删除药房退库单功能。</w:t>
      </w:r>
    </w:p>
    <w:p w14:paraId="342B3B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具备药房调拨请领功能。</w:t>
      </w:r>
    </w:p>
    <w:p w14:paraId="52E602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具备各同级药房间的药品调拨功能。</w:t>
      </w:r>
    </w:p>
    <w:p w14:paraId="00D592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具备科室发药/退药，科室发药单/退药单录入、维护、复核记帐、单据打印功能。</w:t>
      </w:r>
    </w:p>
    <w:p w14:paraId="70E145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具备职工发药/退药，职工发药单/退药单录入、维护、复核记帐、单据打印功能。</w:t>
      </w:r>
    </w:p>
    <w:p w14:paraId="449205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具备病区科室发药申请功能。</w:t>
      </w:r>
    </w:p>
    <w:p w14:paraId="145A473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具备三种药房盘点模式：单人盘点、多人盘点、快照盘点，提供多种盘点方式：自定义方式、模板方式、自由录入。提供药品库存使用ABC盘点方式功能，可以进行盘点单打印。</w:t>
      </w:r>
    </w:p>
    <w:p w14:paraId="40A63A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具备药房按照批次进行盘点功能，在多进价模式下，单人盘点、多人盘点可以选择到具体的药品批次操作，并按照对应批次生成盘点单。</w:t>
      </w:r>
    </w:p>
    <w:p w14:paraId="1A64BF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具备药房药品的报损与报溢功能。</w:t>
      </w:r>
    </w:p>
    <w:p w14:paraId="54B644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具备药房外部入库功能，药房可以直接对院外单位的药品进行入库操作。</w:t>
      </w:r>
    </w:p>
    <w:p w14:paraId="0C3D66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具备药房外部入库撤销功能，根据入库单号、发票号、供货单位、入库时间查询入库单后，对整张单据进行撤销操作并处理库存。</w:t>
      </w:r>
    </w:p>
    <w:p w14:paraId="1531FF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具备二级药房出库、三级药房入库功能。二级药房选择本药房的药品向三级药房出库后，通过进入三级药房进行入库接收或拒绝接收。</w:t>
      </w:r>
    </w:p>
    <w:p w14:paraId="57B083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具备三级药房退库、三级药房退库接收功能。三级药房向二级药房发起退库后，二级药房通过进入三级药房退库接收的功能菜单进行确认入帐或拒绝接收操作。</w:t>
      </w:r>
    </w:p>
    <w:p w14:paraId="474A4C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具备财务管理功能，提供药房台帐、药品对帐、台帐月结、药品库存与台帐核对及台帐单据核对功能。</w:t>
      </w:r>
    </w:p>
    <w:p w14:paraId="228D50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具备药品日台帐查询、操作员日结及日帐单打印功能。</w:t>
      </w:r>
    </w:p>
    <w:p w14:paraId="6B9927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具备入库查询、退库查询、外部入库查询、退货查询、调价查询、盘点查询、报损报溢查询、出库查询、科室发药查询、库存查询功能。</w:t>
      </w:r>
    </w:p>
    <w:p w14:paraId="17D295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具备GCP药品的入库、出库的相关业务处理、GCP药品库存查询功能。</w:t>
      </w:r>
    </w:p>
    <w:p w14:paraId="58E5627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门急诊发药、配药</w:t>
      </w:r>
    </w:p>
    <w:p w14:paraId="2CD4C9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具备药房代码属性设置功能，设置药房类别：二级药房、三级药房属性，可处理账目类别、所属类别：门诊药房、住院药房，是否允许住院发药、配药即发药、虚拟药房的标志。</w:t>
      </w:r>
    </w:p>
    <w:p w14:paraId="23592A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具备通过磁卡、保障卡、IC卡、病历号、姓名、扫描枪（结算收据号）、处方号方式检索患者处方信息并发药功能。</w:t>
      </w:r>
    </w:p>
    <w:p w14:paraId="7AEC1A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具备发药完成后，自动记录发药人员信息同时更新药房库存功能。</w:t>
      </w:r>
    </w:p>
    <w:p w14:paraId="18F7ED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具备药品冻结维护功能。</w:t>
      </w:r>
    </w:p>
    <w:p w14:paraId="01FBE9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具备接收全院处方、仅本药房处方、仅本窗口处方并发药功能。</w:t>
      </w:r>
    </w:p>
    <w:p w14:paraId="021414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具备自动和手动两种方式检索患者并打印配药单功能。提供窗口自动均衡/完全平均/日处方量平均的分配方式。提供配药完成后自动发药并记录调剂人员信息，可以打印瓶签功能。</w:t>
      </w:r>
    </w:p>
    <w:p w14:paraId="0BE448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具备配发药人员的工作量统计、核对功能。</w:t>
      </w:r>
    </w:p>
    <w:p w14:paraId="2F2C58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具备门诊煎药管理功能。</w:t>
      </w:r>
    </w:p>
    <w:p w14:paraId="33FDA8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具备病人退药功能，可通过磁卡、保障卡、IC卡、病历号、姓名、扫描枪（结算收据号）、处方号方式检索患者退药信息进行退药功能。</w:t>
      </w:r>
    </w:p>
    <w:p w14:paraId="482BA4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具备按收据号、患者、开方医生、配药人员、发药人员、时间段进行处方查询功能。</w:t>
      </w:r>
    </w:p>
    <w:p w14:paraId="592557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具备精麻药品处方的交接记录和空瓿瓶销毁记录功能。</w:t>
      </w:r>
    </w:p>
    <w:p w14:paraId="7A1631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具备药品追溯码处理功能，自动将追溯码与患者进行绑定，用于后续药品的追溯。</w:t>
      </w:r>
    </w:p>
    <w:p w14:paraId="2FC80D4A">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3.1.4.3 住院药房管理系统</w:t>
      </w:r>
    </w:p>
    <w:p w14:paraId="7E48741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住院药房库存管理</w:t>
      </w:r>
    </w:p>
    <w:p w14:paraId="262294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具备药房入库请领，完成药房向药库发起药品请领申请功能。</w:t>
      </w:r>
    </w:p>
    <w:p w14:paraId="18C663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具备药品入库，对于药库出库给本药房的药品，可以进行接收或拒绝功能。</w:t>
      </w:r>
    </w:p>
    <w:p w14:paraId="61E564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具备入库确认和单据打印功能。</w:t>
      </w:r>
    </w:p>
    <w:p w14:paraId="0EA272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具备药房退库功能，可以新建、修改、删除药房退库单。</w:t>
      </w:r>
    </w:p>
    <w:p w14:paraId="74B189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具备药房调拨请领功能。</w:t>
      </w:r>
    </w:p>
    <w:p w14:paraId="3256A0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具备各同级药房间的药品调拨功能。</w:t>
      </w:r>
    </w:p>
    <w:p w14:paraId="4E06BF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具备科室发药/退药，科室发药单/退药单录入、维护、复核记帐、单据打印功能。</w:t>
      </w:r>
    </w:p>
    <w:p w14:paraId="020817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具备职工发药/退药，职工发药单/退药单录入、维护、复核记帐、单据打印功能。</w:t>
      </w:r>
    </w:p>
    <w:p w14:paraId="093991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具备病区科室发药申请功能。</w:t>
      </w:r>
    </w:p>
    <w:p w14:paraId="133E0A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具备三种药房盘点模式：单人盘点、多人盘点、快照盘点，提供多种盘点方式：自定义方式、模板方式、自由录入功能。提供药品库存使用ABC盘点方式的功能，可以进行盘点单打印。</w:t>
      </w:r>
    </w:p>
    <w:p w14:paraId="7786C5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具备药房按照批次进行盘点的功能，在多进价模式下，单人盘点、多人盘点可以选择到具体的药品批次操作，并按照对应批次生成盘点单。</w:t>
      </w:r>
    </w:p>
    <w:p w14:paraId="52EC44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具备药房药品的报损与报溢功能。</w:t>
      </w:r>
    </w:p>
    <w:p w14:paraId="4A209C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具备药房外部入库功能，药房可以直接对院外单位的药品进行入库操作。</w:t>
      </w:r>
    </w:p>
    <w:p w14:paraId="790012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具备药房外部入库撤销功能，根据入库单号、发票号、供货单位、入库时间查询入库单后，对整张单据进行撤销操作并处理库存。</w:t>
      </w:r>
    </w:p>
    <w:p w14:paraId="0B5AB5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具备二级药房出库、三级药房入库功能。二级药房选择本药房的药品向三级药房出库后，通过进入三级药房进行入库接收或拒绝接收。</w:t>
      </w:r>
    </w:p>
    <w:p w14:paraId="190E3A4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具备三级药房退库、三级药房退库接收功能。三级药房向二级药房发起退库后，二级药房通过进入三级药房退库接收的功能菜单进行确认入帐或拒绝接收操作。</w:t>
      </w:r>
    </w:p>
    <w:p w14:paraId="5D012AB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具备财务管理，提供药房台帐、药品对帐、台帐月结、药品库存与台帐核对及台帐单据核对功能。</w:t>
      </w:r>
    </w:p>
    <w:p w14:paraId="682590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具备入库查询、退库查询、外部入库查询、退货查询、调价查询、盘点查询、报损报溢查询、出库查询、科室发药查询、库存查询功能。</w:t>
      </w:r>
    </w:p>
    <w:p w14:paraId="3C3087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具备按科室，病区发药功能，同时可以统计调剂人员的工作量。</w:t>
      </w:r>
    </w:p>
    <w:p w14:paraId="6EB8968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住院发药、摆药</w:t>
      </w:r>
    </w:p>
    <w:p w14:paraId="069CC6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具备药房代码属性设置功能，设置药房类别：二级药房、三级药房属性，可处理账目类别、所属类别：门诊药房、住院药房，虚拟药房标志。</w:t>
      </w:r>
    </w:p>
    <w:p w14:paraId="742EE5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具备单个患者发药，按床位，住院号，磁卡，保障卡，IC卡检索患者发药信息并发药功能。</w:t>
      </w:r>
    </w:p>
    <w:p w14:paraId="48E2C9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具备打印病区药品汇总单、病人药品明细单，并支持发药单据补打。</w:t>
      </w:r>
    </w:p>
    <w:p w14:paraId="7CE2C7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具备按不同发药单据发药，如针剂、口服药、输液、长期、临时、草药、西药单据发药功能。</w:t>
      </w:r>
    </w:p>
    <w:p w14:paraId="079E2E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具备病区医嘱（除了需要摆药的药品）、出院带药、婴儿、小处方、医技科室、手术室发药功能。可以选择按单个病区，单个病人及单个病人的单条领药请求记录进行发药。</w:t>
      </w:r>
    </w:p>
    <w:p w14:paraId="6AF1E9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具备病区摆药功能。提供对所有病区，手术室，医技科室，二级药柜摆药；并提供摆药单据补打的功能；可以选择按单个病区，单个病人及单个病人的单条领药请求记录进行发药。</w:t>
      </w:r>
    </w:p>
    <w:p w14:paraId="57FA1E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具备住院病人医嘱、出院带药、住院小处方、婴儿处方已发药品的退药申请接收或拒绝功能。</w:t>
      </w:r>
    </w:p>
    <w:p w14:paraId="2B34AD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具备进行留观病人退药退费功能。</w:t>
      </w:r>
    </w:p>
    <w:p w14:paraId="005631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具备病区退药接收功能。</w:t>
      </w:r>
    </w:p>
    <w:p w14:paraId="42077C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具备草药房接收病区的草药发药请求，草药处方作废功能。</w:t>
      </w:r>
    </w:p>
    <w:p w14:paraId="5E8F52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住院药房领药单取货核对功能。药房发药后根据发药单、货架号扫码定位领药信息进行核对，核对完成后再交给配送人员，同时记录配送人、配送时间信息，待病区护士签收后记录签收人相关信息，实现中心药房病区药品配送的闭环管理。</w:t>
      </w:r>
    </w:p>
    <w:p w14:paraId="039830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具备精麻药品处方的交接记录和空瓿瓶销毁记录功能。</w:t>
      </w:r>
    </w:p>
    <w:p w14:paraId="5FB05E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支持药品追溯码处理流程。支持现有发药流程进行三码核对，并且自动将追溯码与患者进行绑定，用于后续药品的追溯。</w:t>
      </w:r>
    </w:p>
    <w:p w14:paraId="0FEE74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支持住院药房多线程异步发药，允许多个病区同时进行发药处理。</w:t>
      </w:r>
    </w:p>
    <w:p w14:paraId="0145068E">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 医疗管理</w:t>
      </w:r>
    </w:p>
    <w:p w14:paraId="2CAF5EFF">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3.1.5.1 抗菌药物分级管理系统</w:t>
      </w:r>
    </w:p>
    <w:p w14:paraId="23954B0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(1)规则设置</w:t>
      </w:r>
    </w:p>
    <w:p w14:paraId="0CED1D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具备抗菌药物等级设置功能，包括非限制性、限制性和特殊级抗菌药物。</w:t>
      </w:r>
    </w:p>
    <w:p w14:paraId="52A0C1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具备按职称和按医生两种方式设置医生抗菌药物使用权限功能。</w:t>
      </w:r>
    </w:p>
    <w:p w14:paraId="3EB660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具备医生抗菌药物审批权限设置功能，包括联合用药、三级管控、特殊级抗菌药物会诊和围手术期用药审批权限。</w:t>
      </w:r>
    </w:p>
    <w:p w14:paraId="38B751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具备围手术期规则设置功能，包括按手术、切口等级、科室、用药时机类别，设置对应条件内抗菌药物使用方式（申请使用或直接使用）。</w:t>
      </w:r>
    </w:p>
    <w:p w14:paraId="4B49CC48">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(2)联合用药控制</w:t>
      </w:r>
    </w:p>
    <w:p w14:paraId="341889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具备触发联合用药控制条件设置，包括联合用药上限设置。</w:t>
      </w:r>
    </w:p>
    <w:p w14:paraId="583560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具备联合用药审批流程设置和联合用药申请审批。</w:t>
      </w:r>
    </w:p>
    <w:p w14:paraId="4071AEF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抗菌药物三级管理</w:t>
      </w:r>
    </w:p>
    <w:p w14:paraId="78AEC1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具备开立抗菌药物时，按医生使用权限控制是否允许使用。</w:t>
      </w:r>
    </w:p>
    <w:p w14:paraId="639935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具备紧急情况下，医生临时越级使用抗菌药物，事后24h内医生补审核流程。</w:t>
      </w:r>
    </w:p>
    <w:p w14:paraId="16006D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具备抗菌药物治疗使用目的，控制医生必须确认微生物送检功能。</w:t>
      </w:r>
    </w:p>
    <w:p w14:paraId="622395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具备特殊级抗菌药物使用，严控走会诊申请审批流程功能。</w:t>
      </w:r>
    </w:p>
    <w:p w14:paraId="5F84A5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具备抗菌药物长期用药时长控制功能，系统按照设置规则提醒医生用药评估。</w:t>
      </w:r>
    </w:p>
    <w:p w14:paraId="4DBECA8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围手术期预防性抗菌药物管理</w:t>
      </w:r>
    </w:p>
    <w:p w14:paraId="1F8078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具备围手术期规则设置，包括按手术、切口等级、科室、用药时机类别，设置对应条件内抗菌药物使用方式（申请使用或直接使用）。</w:t>
      </w:r>
    </w:p>
    <w:p w14:paraId="313B33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具备围手术期用药，按手术切口等级控制用药时长。</w:t>
      </w:r>
    </w:p>
    <w:p w14:paraId="02A057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具备围手术期用药申请审批，记录审批意见、审批时间、审批人。</w:t>
      </w:r>
    </w:p>
    <w:p w14:paraId="560394F4">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3.1.5.2 合理用药系统</w:t>
      </w:r>
    </w:p>
    <w:p w14:paraId="3C01AEB7">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（1）医生站合理用药</w:t>
      </w:r>
    </w:p>
    <w:p w14:paraId="13B936F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门诊医生站合理用药</w:t>
      </w:r>
    </w:p>
    <w:p w14:paraId="7CBB68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通过向所有接入的门急诊医生工作站提供合理用药预警与提示功能，形成集中用药安全管理和用药知识共享，在相同的共性化用药知识规则驱动下，对医生开方实现多维度的用药风险预警和提醒。</w:t>
      </w:r>
    </w:p>
    <w:p w14:paraId="0B67B2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功能要求：可实现在医生开方时进行用药安全提示、用药知识的推送、查询药品说明书和合理用药分析数据的统计功能。</w:t>
      </w:r>
    </w:p>
    <w:p w14:paraId="150B3B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具体功能要求如下：</w:t>
      </w:r>
    </w:p>
    <w:p w14:paraId="5EAEBA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处方用药风险自动审查</w:t>
      </w:r>
    </w:p>
    <w:p w14:paraId="44BBA9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在医生开具处方时，自动调用【智慧药学知识库智能分析服务】组件和【药学知识建设】组件对处方中的药物过敏、用药合法合规和用药安全进行自动审查，并将分析结果提示给医生，具体要求如下：</w:t>
      </w:r>
    </w:p>
    <w:p w14:paraId="44376C94">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用药风险提示</w:t>
      </w:r>
    </w:p>
    <w:p w14:paraId="71D7EF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具备在医生尚未提交处方时，对处方中的某一药品的过敏风险进行提示的功能；</w:t>
      </w:r>
    </w:p>
    <w:p w14:paraId="4E111E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具备在医生尚未提交处方时，对处方中的高危药品用药风险进行提示的功能；</w:t>
      </w:r>
    </w:p>
    <w:p w14:paraId="67D5053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具备在医生开具药品时，显示系统要点提示或用户自定义要点提示的功能。</w:t>
      </w:r>
    </w:p>
    <w:p w14:paraId="673BFFE4">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合理用药分析审查</w:t>
      </w:r>
    </w:p>
    <w:p w14:paraId="284EEB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具备结合患者生理状况，对处方用药的适宜性进行多维度的审查分析，并展示相关提示的功能；</w:t>
      </w:r>
    </w:p>
    <w:p w14:paraId="033030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具备对处方中存在的药物与药物之间的用药风险进行审查分析，并展示相关提示的功能。</w:t>
      </w:r>
    </w:p>
    <w:p w14:paraId="54908E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提示信息倒计时</w:t>
      </w:r>
    </w:p>
    <w:p w14:paraId="7C6560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医生端用药信息提示具备倒计时功能，并可设置倒计时时长，具体如下：</w:t>
      </w:r>
    </w:p>
    <w:p w14:paraId="6A60937F">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医生站合理用药提示信息倒计时</w:t>
      </w:r>
    </w:p>
    <w:p w14:paraId="4C4787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具备对提示框倒计时时长进行自定义设置的功能。</w:t>
      </w:r>
    </w:p>
    <w:p w14:paraId="7AA1B25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住院医生站合理用药</w:t>
      </w:r>
    </w:p>
    <w:p w14:paraId="1B6862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通过向所有接入的住院医生工作站提供合理用药预警与提示功能，形成集中用药安全管理和用药知识共享，在相同的共性化用药知识规则驱动下，对医生开具的医嘱实现多维度用药风险预警和提醒。</w:t>
      </w:r>
    </w:p>
    <w:p w14:paraId="2E17BF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功能要求：可实现在医生开方时进行用药安全提示、用药知识的推送、查询药品说明书和合理用药分析数据的统计功能。</w:t>
      </w:r>
    </w:p>
    <w:p w14:paraId="6EC20E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具体功能要求如下：</w:t>
      </w:r>
    </w:p>
    <w:p w14:paraId="4C65C5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医嘱用药风险自动审查</w:t>
      </w:r>
    </w:p>
    <w:p w14:paraId="715860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在医生开具医嘱时，自动调用【智慧药学知识库智能分析服务】组件和【药学知识建设】组件对长、临医嘱中的药物过敏、用药合法合规和用药安全进行自动审查，并将分析提示展示给医生，具体要求如下：</w:t>
      </w:r>
    </w:p>
    <w:p w14:paraId="79E02C57">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用药风险提示</w:t>
      </w:r>
    </w:p>
    <w:p w14:paraId="6A8E7B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具备在医生尚未提交医嘱时，对长、临医嘱的用药过敏风险进行提示的功能；</w:t>
      </w:r>
    </w:p>
    <w:p w14:paraId="500B9D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具备在医生尚未提交处方时，对长、临医嘱中的高危药品用药风险进行提示的功能；</w:t>
      </w:r>
    </w:p>
    <w:p w14:paraId="7ABE91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具备在医生开具药品医嘱时，显示系统要点提示或用户自定义要点提示的功能。</w:t>
      </w:r>
    </w:p>
    <w:p w14:paraId="5E8FC7D2">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合理用药分析审查</w:t>
      </w:r>
    </w:p>
    <w:p w14:paraId="7D2CCB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具备结合患者生理状况，对长、临医嘱中用药的适宜性进行多维度的审查分析，并展示相关提示的功能；</w:t>
      </w:r>
    </w:p>
    <w:p w14:paraId="5C0FF9E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具备对长、临医嘱中存在的药物与药物之间的用药风险进行审查分析，并展示相关提示的功能。</w:t>
      </w:r>
    </w:p>
    <w:p w14:paraId="04D4C8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提示信息倒计时</w:t>
      </w:r>
    </w:p>
    <w:p w14:paraId="2B66A7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医生端用药信息提示具备倒计时功能，并可设置倒计时时长，具体要求如下：</w:t>
      </w:r>
    </w:p>
    <w:p w14:paraId="471B2787">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医生站合理用药提示信息倒计时</w:t>
      </w:r>
    </w:p>
    <w:p w14:paraId="24F9FE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具备对提示框的倒计时时长进行自定义设置的功能。</w:t>
      </w:r>
    </w:p>
    <w:p w14:paraId="114D41A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合理用药医生站嵌入功能</w:t>
      </w:r>
    </w:p>
    <w:p w14:paraId="4FE9B8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可通过医生站快捷查询合理用药分析结果，并可查询药品说明书和相关用药知识。便于医生对自己的开方情况有所了解。</w:t>
      </w:r>
    </w:p>
    <w:p w14:paraId="6976E9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医生站药品说明书查询</w:t>
      </w:r>
    </w:p>
    <w:p w14:paraId="1F6CEC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医生站可通过嵌入功能快捷查询药品相关信息，具体要求如下：</w:t>
      </w:r>
    </w:p>
    <w:p w14:paraId="25B170C1">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医生站药品说明书嵌入查询</w:t>
      </w:r>
    </w:p>
    <w:p w14:paraId="0C96CB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具备快捷查看系统中所有药品说明书和医疗机构在用药品说明书的功能；</w:t>
      </w:r>
    </w:p>
    <w:p w14:paraId="39A990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具备对医疗机构在用药品以不同颜色显示有无库存的功能。</w:t>
      </w:r>
    </w:p>
    <w:p w14:paraId="2824C1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具备快捷查询药品说明书修订公告的功能；</w:t>
      </w:r>
    </w:p>
    <w:p w14:paraId="303B87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医生站合理用药分析结果查询</w:t>
      </w:r>
    </w:p>
    <w:p w14:paraId="59770F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医生站可通过嵌入功能快捷查询问题处方分析，便于医生了解自己的开药情况，具体要求如下：</w:t>
      </w:r>
    </w:p>
    <w:p w14:paraId="5F7C87D3">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合理用药分析结果嵌入查询</w:t>
      </w:r>
    </w:p>
    <w:p w14:paraId="7C29AD7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具备在医生站对用药风险进行警示，并可快速查看用药风险的功能。</w:t>
      </w:r>
    </w:p>
    <w:p w14:paraId="51A2E3C3">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合理用药分析记录嵌入查询</w:t>
      </w:r>
    </w:p>
    <w:p w14:paraId="0364EE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具备在医生站快捷查询合理用药问题历史记录的功能；</w:t>
      </w:r>
    </w:p>
    <w:p w14:paraId="6D6894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具备在医生站快捷查看合理用药问题明细信息的功能。</w:t>
      </w:r>
    </w:p>
    <w:p w14:paraId="5908ABD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一、 合理用药情况统计</w:t>
      </w:r>
    </w:p>
    <w:p w14:paraId="68B280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查询合理用药的问题处方/医嘱信息以及问题处方统计。</w:t>
      </w:r>
    </w:p>
    <w:p w14:paraId="23C15075">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合理用药问题查询</w:t>
      </w:r>
    </w:p>
    <w:p w14:paraId="376EC797">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问题处方筛选查询</w:t>
      </w:r>
    </w:p>
    <w:p w14:paraId="0E6A92F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具备通过科室、病区、医生、患者、药品、诊疗组等单项条件查询问题处方/医嘱的功能；</w:t>
      </w:r>
    </w:p>
    <w:p w14:paraId="28B80B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具备通过科室、病区、医生、患者、药品、诊疗组等多项条件组合查询问题处方/医嘱的功能。</w:t>
      </w:r>
    </w:p>
    <w:p w14:paraId="09D23AC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合理用药问题统计</w:t>
      </w:r>
    </w:p>
    <w:p w14:paraId="1C3A6006">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问题处方分类统计</w:t>
      </w:r>
    </w:p>
    <w:p w14:paraId="7AFAF1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具备对问题处方/医嘱数和无问题处方/医嘱数的统计，并以图表形式呈现的功能；</w:t>
      </w:r>
    </w:p>
    <w:p w14:paraId="14AD95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具备对问题处方/医嘱按问题类型进行统计，并以图表形式呈现的功能；</w:t>
      </w:r>
    </w:p>
    <w:p w14:paraId="7D8B9A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具备统计图表数据下钻查看问题处方/医嘱明细的功能。</w:t>
      </w:r>
    </w:p>
    <w:p w14:paraId="7952C6A8">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处方遵从比例查看</w:t>
      </w:r>
    </w:p>
    <w:p w14:paraId="219841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具备对合理用药风险提示，医生修改处方/医嘱的比例进行统计，并以图表形式呈现的功能，且支持点击图表可查看相关明细。</w:t>
      </w:r>
    </w:p>
    <w:p w14:paraId="4945B77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(2)药房发药合理用药</w:t>
      </w:r>
    </w:p>
    <w:p w14:paraId="37FD93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通过在医疗机构药房发药端对问题处方进行合理用药提示，以便于药房发药药师对问题处方进行人工拦截。</w:t>
      </w:r>
    </w:p>
    <w:p w14:paraId="3F9FBC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功能要求：需与药房发药药师系统的对接，以及在药房发药药师端进行合理用药信息提示。</w:t>
      </w:r>
    </w:p>
    <w:p w14:paraId="702B3E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具体功能要求如下：</w:t>
      </w:r>
    </w:p>
    <w:p w14:paraId="73C833B0">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门诊/住院药房发药用药风险审查</w:t>
      </w:r>
    </w:p>
    <w:p w14:paraId="65474D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具备对接医疗机构的门诊/住院药房端系统的功能；</w:t>
      </w:r>
    </w:p>
    <w:p w14:paraId="221402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具备调用【智慧药学知识库智能分析服务】审查医生开具的处方/医嘱的功能；</w:t>
      </w:r>
    </w:p>
    <w:p w14:paraId="33AE11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具备在药房发药处提示处方/医嘱用药风险问题的功能。</w:t>
      </w:r>
    </w:p>
    <w:p w14:paraId="7CD8AE1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临床系统与合理用药系统对接</w:t>
      </w:r>
    </w:p>
    <w:p w14:paraId="1358387B">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3.1.5.3 前置审方系统</w:t>
      </w:r>
    </w:p>
    <w:p w14:paraId="7B4EC30C">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（1）全院前置审方</w:t>
      </w:r>
    </w:p>
    <w:p w14:paraId="281CF9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智慧药学知识库智能分析服务】对用药问题进行自动审查和对用药问题进行分级，从而对医生开具的大部分处方/医嘱先由系统进行自动预审，部分用药问题被系统分级推送至审方药师处进行人工审核。当医生和药师意见不一致时，可进行线上沟通。</w:t>
      </w:r>
    </w:p>
    <w:p w14:paraId="017A2D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具体功能要求如下：</w:t>
      </w:r>
    </w:p>
    <w:p w14:paraId="31D08E9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一、 医生站前置审方干预</w:t>
      </w:r>
    </w:p>
    <w:p w14:paraId="212742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系统自动对医生开具的处方/医嘱进行用药问题分级，并对用药安全问题较大的处方/医嘱进行干预或拦截，同时将用药风险提示推送至医生工作站。</w:t>
      </w:r>
    </w:p>
    <w:p w14:paraId="7701A36B">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门急诊医生站审方干预</w:t>
      </w:r>
    </w:p>
    <w:p w14:paraId="32CCAD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门急诊医生站审方预审查干预</w:t>
      </w:r>
    </w:p>
    <w:p w14:paraId="0E4166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具备调用【智慧药学知识库智能分析服务】对门急诊处方用药问题划分不同等级的功能；</w:t>
      </w:r>
    </w:p>
    <w:p w14:paraId="4058BE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具备不同等级的处方用药问题对应不同系统预审干预效果的功能；</w:t>
      </w:r>
    </w:p>
    <w:p w14:paraId="0AF922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审方干预消息推送</w:t>
      </w:r>
    </w:p>
    <w:p w14:paraId="51E6E2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具备将审方干预信息推送至医生站的功能；</w:t>
      </w:r>
    </w:p>
    <w:p w14:paraId="361AE9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具备对药师人工干预的用药问题进行医师和药师互动沟通的功能；</w:t>
      </w:r>
    </w:p>
    <w:p w14:paraId="517EAF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具备医生填写用药理由并回复审方药师的功能；</w:t>
      </w:r>
    </w:p>
    <w:p w14:paraId="5C3193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门急诊医生站审方干预操作</w:t>
      </w:r>
    </w:p>
    <w:p w14:paraId="7A349F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具备接收药师处方审核结果的功能；</w:t>
      </w:r>
    </w:p>
    <w:p w14:paraId="034986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具备医生修改或填写用药理由后坚持使用处方的功能；</w:t>
      </w:r>
    </w:p>
    <w:p w14:paraId="11FC68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具备医生选择双签通过，处方自动通过二次审核的功能。</w:t>
      </w:r>
    </w:p>
    <w:p w14:paraId="4A1DD0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具备审方干预和开方不间断进行的功能。</w:t>
      </w:r>
    </w:p>
    <w:p w14:paraId="6C0865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门急诊历史审方问题查询</w:t>
      </w:r>
    </w:p>
    <w:p w14:paraId="6C2472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具备在门诊医生站界面，通过时间段选择，来查看医生个人处方审核历史；</w:t>
      </w:r>
    </w:p>
    <w:p w14:paraId="36988B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具备通过审核的状态筛选审核历史，并可下钻查看处方详情。</w:t>
      </w:r>
    </w:p>
    <w:p w14:paraId="7B3D72F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住院医生站审方干预</w:t>
      </w:r>
    </w:p>
    <w:p w14:paraId="639964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住院医生站审方预审干预</w:t>
      </w:r>
    </w:p>
    <w:p w14:paraId="4EF533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具备调用【智慧药学知识库智能分析服务】对住院医嘱用药问题划分不同等级的功能；</w:t>
      </w:r>
    </w:p>
    <w:p w14:paraId="5CABC5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具备不同等级的医嘱用药问题对应不同系统预审干预效果的功能；</w:t>
      </w:r>
    </w:p>
    <w:p w14:paraId="6E4BDE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住院审方干预消息推送</w:t>
      </w:r>
    </w:p>
    <w:p w14:paraId="055F26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具备将审方干预信息推送至医生站的功能；</w:t>
      </w:r>
    </w:p>
    <w:p w14:paraId="614445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具备对药师人工干预的用药问题进行医师和药师互动沟通的功能；</w:t>
      </w:r>
    </w:p>
    <w:p w14:paraId="7F58E2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具备医生填写用药理由并回复审方药师的功能；</w:t>
      </w:r>
    </w:p>
    <w:p w14:paraId="5B628D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住院医生站审方干预操作</w:t>
      </w:r>
    </w:p>
    <w:p w14:paraId="0A7B36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具备接收药师处方审核结果的功能；</w:t>
      </w:r>
    </w:p>
    <w:p w14:paraId="2432DE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具备医生修改或填写用药理由后坚持使用处方的功能；</w:t>
      </w:r>
    </w:p>
    <w:p w14:paraId="58635B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具备医生选择双签通过，处方自动通过二次审核的功能。</w:t>
      </w:r>
    </w:p>
    <w:p w14:paraId="7FB6E4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具备审方干预和开方不间断进行的功能。</w:t>
      </w:r>
    </w:p>
    <w:p w14:paraId="4F879B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住院历史审方问题查询</w:t>
      </w:r>
    </w:p>
    <w:p w14:paraId="61BB92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具备在住院医生站界面，通过时间段选择，来查看医生个人住院审核历史；</w:t>
      </w:r>
    </w:p>
    <w:p w14:paraId="648D53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具备通过审核的状态筛选审核历史，并可下钻查看病历详情。</w:t>
      </w:r>
    </w:p>
    <w:p w14:paraId="232A115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二、 药师端前置审方工作站</w:t>
      </w:r>
    </w:p>
    <w:p w14:paraId="5443E2C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门急诊药师前置审方</w:t>
      </w:r>
    </w:p>
    <w:p w14:paraId="205700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门急诊待审处方预审</w:t>
      </w:r>
    </w:p>
    <w:p w14:paraId="0FEA10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具备开启/关闭人工干预模式的功能；</w:t>
      </w:r>
    </w:p>
    <w:p w14:paraId="2C647E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具备将系统预审为较高问题级别的处方推送至药师端前置审方工作站的功能；</w:t>
      </w:r>
    </w:p>
    <w:p w14:paraId="3E7560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具备对需要药师进行人工审核干预的处方进行提示的功能；</w:t>
      </w:r>
    </w:p>
    <w:p w14:paraId="5F3D88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具备药师在待审方时查看待审核处方明细、以及批量列出待审方处方的功能；</w:t>
      </w:r>
    </w:p>
    <w:p w14:paraId="6B3F4FA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具备查看系统智能预审的参考信息和处方问题等级的功能；</w:t>
      </w:r>
    </w:p>
    <w:p w14:paraId="57B0B9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具备对待审核处方进行批量审方处理的功能；</w:t>
      </w:r>
    </w:p>
    <w:p w14:paraId="46096B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具备在审方预审界面对问题处方进警示级别调整的功能；</w:t>
      </w:r>
    </w:p>
    <w:p w14:paraId="158C1F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具备在门诊待审处方界面执行快速通过的功能</w:t>
      </w:r>
    </w:p>
    <w:p w14:paraId="17B78A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门急诊药师人工审方干预</w:t>
      </w:r>
    </w:p>
    <w:p w14:paraId="51E5CE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具备调用【智慧药学知识库智能分析服务】对处方合法合规进行自动审方，并具备药师对通过系统预审后的问题处方进行人工干预的功能；</w:t>
      </w:r>
    </w:p>
    <w:p w14:paraId="2C76FD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具备调用【智慧药学知识库智能分析服务】对处方用药适宜性进行自动审方，并具备药师对通过系统预审后的问题处方进行人工干预的功能；</w:t>
      </w:r>
    </w:p>
    <w:p w14:paraId="2D0C7B7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具备在药师进行人工干预处方时执行“通过”或“打回”，“填写理由”等操作的功能；</w:t>
      </w:r>
    </w:p>
    <w:p w14:paraId="272C61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具备药师对审方状态进行选择和切换的功能；</w:t>
      </w:r>
    </w:p>
    <w:p w14:paraId="7D8B341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具备对重要处方进行“锁定”以阻拦处方超时通过的功能；</w:t>
      </w:r>
    </w:p>
    <w:p w14:paraId="740EC2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具备按处方信息、问题级别、点评等级，自动生成审方干预推荐意见的功能；</w:t>
      </w:r>
    </w:p>
    <w:p w14:paraId="28E43A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具备通过同意审方干预推荐意见、按自定义模板选择审方干预意见、手工调整审方干预推荐意见等对处方进行“打回”操作的功能；</w:t>
      </w:r>
    </w:p>
    <w:p w14:paraId="74FB4072">
      <w:pPr>
        <w:pStyle w:val="37"/>
        <w:keepNext w:val="0"/>
        <w:keepLines w:val="0"/>
        <w:widowControl/>
        <w:suppressLineNumbers w:val="0"/>
        <w:spacing w:before="0" w:beforeAutospacing="0" w:after="128" w:afterAutospacing="0" w:line="420" w:lineRule="atLeast"/>
        <w:ind w:left="0" w:right="0" w:firstLine="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具备查看患者体表面积、BMI、过敏史、病生理状态等信息的功能；</w:t>
      </w:r>
    </w:p>
    <w:p w14:paraId="45DAF3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具备在审方过程中，通过其他医院信息化系统的交互查看患者相关信息的功能；</w:t>
      </w:r>
    </w:p>
    <w:p w14:paraId="17A343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门急诊处方二次干预</w:t>
      </w:r>
    </w:p>
    <w:p w14:paraId="3EF43C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具备结合医疗机构自身特点开启处方二次干预的功能。</w:t>
      </w:r>
    </w:p>
    <w:p w14:paraId="711371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门急诊审方点评归类</w:t>
      </w:r>
    </w:p>
    <w:p w14:paraId="55CE6A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具备对所有处方按三大类28小项进行审方事中的自动点评和归类的功能；</w:t>
      </w:r>
    </w:p>
    <w:p w14:paraId="030750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具备对审方事中的自动点评和归类进行人工点评的功能；</w:t>
      </w:r>
    </w:p>
    <w:p w14:paraId="7D9257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具备结合审方事中自动点评和归类的内容和处方问题等级，对处方进行人工干预的功能。</w:t>
      </w:r>
    </w:p>
    <w:p w14:paraId="53CE47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门急诊历史处方用药记录查看</w:t>
      </w:r>
    </w:p>
    <w:p w14:paraId="16E198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具备在审查新开处方时，可查看患者历史处方的用药信息</w:t>
      </w:r>
    </w:p>
    <w:p w14:paraId="29924DD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住院药师前置审方</w:t>
      </w:r>
    </w:p>
    <w:p w14:paraId="37AF7C6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住院待审医嘱预审</w:t>
      </w:r>
    </w:p>
    <w:p w14:paraId="18EDCC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具备开启/关闭人工干预模式的功能；</w:t>
      </w:r>
    </w:p>
    <w:p w14:paraId="4C7CA1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具备将系统预审为较高问题级别的医嘱推送至药师端前置审方工作站的功能；</w:t>
      </w:r>
    </w:p>
    <w:p w14:paraId="152E0E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具备对需要药师进行人工干预的医嘱进行提示的功能；</w:t>
      </w:r>
    </w:p>
    <w:p w14:paraId="0D666D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具备药师在审方时查看待审核医嘱明细、以及批量列出待审核医嘱的功能；</w:t>
      </w:r>
    </w:p>
    <w:p w14:paraId="35ADAB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具备查看系统智能预审的参考信息和医嘱问题等级的功能；</w:t>
      </w:r>
    </w:p>
    <w:p w14:paraId="307560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具备对待审核医嘱进行批量审方处理的功能；</w:t>
      </w:r>
    </w:p>
    <w:p w14:paraId="7EAF7F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具备对问题医嘱的级别、用户级别权限调整的功能；</w:t>
      </w:r>
    </w:p>
    <w:p w14:paraId="0873FB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具备在住院待审医嘱界面执行快速通过的功能</w:t>
      </w:r>
    </w:p>
    <w:p w14:paraId="3AF9DB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住院药师人工审方干预</w:t>
      </w:r>
    </w:p>
    <w:p w14:paraId="324E5E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具备调用【智慧药学知识库智能分析服务】对医嘱合法合规进行自动审方，并具备药师对通过系统预审后的问题医嘱进行人工干预的功能；</w:t>
      </w:r>
    </w:p>
    <w:p w14:paraId="2BF250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具备调用【智慧药学知识库智能分析服务】对医嘱用药适宜性进行自动审方，并具备药师对通过系统预审后的问题医嘱进行人工干预的功能；</w:t>
      </w:r>
    </w:p>
    <w:p w14:paraId="11A342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具备在药师进行人工干预医嘱时执行“通过”或“打回”，“填写理由”等操作的功能；</w:t>
      </w:r>
    </w:p>
    <w:p w14:paraId="1D0549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具备药师对审方状态进行选择和切换的功能；</w:t>
      </w:r>
    </w:p>
    <w:p w14:paraId="015C42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具备对重要医嘱进行“锁定”以阻拦该医嘱超时通过的功能；</w:t>
      </w:r>
    </w:p>
    <w:p w14:paraId="5BC55B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具备按医嘱信息、问题级别、点评等级，自动生成审方干预推荐意见的功能；</w:t>
      </w:r>
    </w:p>
    <w:p w14:paraId="20CC67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具备通过同意审方干预推荐意见、按自定义模板选择审方干预意见、手工调整审方干预推荐意见等对医嘱进行“打回”操作的功能；</w:t>
      </w:r>
    </w:p>
    <w:p w14:paraId="69A372CE">
      <w:pPr>
        <w:pStyle w:val="37"/>
        <w:keepNext w:val="0"/>
        <w:keepLines w:val="0"/>
        <w:widowControl/>
        <w:suppressLineNumbers w:val="0"/>
        <w:spacing w:before="0" w:beforeAutospacing="0" w:after="128" w:afterAutospacing="0" w:line="420" w:lineRule="atLeast"/>
        <w:ind w:left="0" w:right="0" w:firstLine="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具备查看患者体表面积、BMI、过敏史、病生理状态等信息的功能；</w:t>
      </w:r>
    </w:p>
    <w:p w14:paraId="19006C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具备在审方过程中，通过其他医院信息化系统的交互查看患者相关信息的功能；</w:t>
      </w:r>
    </w:p>
    <w:p w14:paraId="55F496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医嘱二次干预</w:t>
      </w:r>
    </w:p>
    <w:p w14:paraId="638F2F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具备结合医疗机构自身特点开启医嘱审方二次干预的功能。</w:t>
      </w:r>
    </w:p>
    <w:p w14:paraId="0E5EB5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审方点评归类</w:t>
      </w:r>
    </w:p>
    <w:p w14:paraId="59BAFD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具备对所有医嘱按三大类28小项进行审方事中的自动点评和归类的功能；</w:t>
      </w:r>
    </w:p>
    <w:p w14:paraId="62B2ED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具备对审方事中的自动点评和归类进行人工点评的功能；</w:t>
      </w:r>
    </w:p>
    <w:p w14:paraId="748D93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具备结合审方事中自动点评和归类的内容和医嘱问题等级，对处方进行人工干预的功能。</w:t>
      </w:r>
    </w:p>
    <w:p w14:paraId="165053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住院草药历史处方用药记录查看</w:t>
      </w:r>
    </w:p>
    <w:p w14:paraId="5C554A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具备在审查新开医嘱时，可查看患者历史草药处方的用药信息</w:t>
      </w:r>
    </w:p>
    <w:p w14:paraId="100D4E1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处方/医嘱质量管控</w:t>
      </w:r>
    </w:p>
    <w:p w14:paraId="44478B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处方/医嘱全流程历史管理</w:t>
      </w:r>
    </w:p>
    <w:p w14:paraId="1D203B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具备对已打回、已通过和超时通过的处方/医嘱进行记录的功能；</w:t>
      </w:r>
    </w:p>
    <w:p w14:paraId="2A6428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具备对审方过程和处方/医嘱修改过程进行记录的功能。</w:t>
      </w:r>
    </w:p>
    <w:p w14:paraId="3CDD7F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问题处方/医嘱自动拦截历史管理</w:t>
      </w:r>
    </w:p>
    <w:p w14:paraId="53E1BC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具备查看系统自动拦截的历史问题处方/医嘱明细和问题等级的功能；</w:t>
      </w:r>
    </w:p>
    <w:p w14:paraId="5A72DA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具备对系统自动拦截的历史问题处方/医嘱明细进行批量导出的功能。</w:t>
      </w:r>
    </w:p>
    <w:p w14:paraId="29F77E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问题处方/医嘱人工审核历史管理</w:t>
      </w:r>
    </w:p>
    <w:p w14:paraId="13CCF2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具备查看所有问题处方/医嘱的信息和人工审方历史回溯的功能；</w:t>
      </w:r>
    </w:p>
    <w:p w14:paraId="17D171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具备通过科室、医生、药品、审方药师、病历号、患者姓名等对历史问题处方/医嘱明细进行筛选的功能；</w:t>
      </w:r>
    </w:p>
    <w:p w14:paraId="5B2485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具备对历史问题处方/医嘱明细进行统计、导出和导出格式配置的功能。</w:t>
      </w:r>
    </w:p>
    <w:p w14:paraId="027BE9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打回处方/医嘱历史管理</w:t>
      </w:r>
    </w:p>
    <w:p w14:paraId="1F6824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具备对人工干预打回处方/医嘱的医生操作处理进行记录和查看的功能；</w:t>
      </w:r>
    </w:p>
    <w:p w14:paraId="5950D6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具备对二次操作的处方/医嘱进行详情记录的功能；</w:t>
      </w:r>
    </w:p>
    <w:p w14:paraId="65A3DF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具备对在规定时间内没有医生处理的打回处方自动拒配的功能。</w:t>
      </w:r>
    </w:p>
    <w:p w14:paraId="7C2256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问题处方/医嘱报表</w:t>
      </w:r>
    </w:p>
    <w:p w14:paraId="3503AF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具备对处方/医嘱问题类型和药品名称等自动生成历史问题处方/医嘱报表的功能；</w:t>
      </w:r>
    </w:p>
    <w:p w14:paraId="7CD95B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具备对问题处方/医嘱类型和药品名称进行定期回溯的功能。</w:t>
      </w:r>
    </w:p>
    <w:p w14:paraId="3AE268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审方工作量统计</w:t>
      </w:r>
    </w:p>
    <w:p w14:paraId="3AC80F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具备对处方和医嘱总人次数、总审核数进行统计，并记录药师审核通过和通过的处方医嘱数；</w:t>
      </w:r>
    </w:p>
    <w:p w14:paraId="636F72F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具备可对审方整体干预进行统计，统计审核干预率，干预成功率率等指标，也可针对每个审核药师进行相关指标的统计；</w:t>
      </w:r>
    </w:p>
    <w:p w14:paraId="63FD6D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具备多维度数据排名的统计，如对问题药品的排名统计、问题类型的排名统计、科室用药问题排名统计、医生用药问题排名统计；</w:t>
      </w:r>
    </w:p>
    <w:p w14:paraId="49F261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具备可对药师调整用药规则的排名进行统计。</w:t>
      </w:r>
    </w:p>
    <w:p w14:paraId="47258096">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三、 前置审方个性化方案设定</w:t>
      </w:r>
    </w:p>
    <w:p w14:paraId="721244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可对审方方案、审方科室、用户权限、模板配置等进行自定义设置，形成个性化的医疗机构审方方案。</w:t>
      </w:r>
    </w:p>
    <w:p w14:paraId="0A0FA30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审方方案配置</w:t>
      </w:r>
    </w:p>
    <w:p w14:paraId="716EB79E">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门诊审方方案配置</w:t>
      </w:r>
    </w:p>
    <w:p w14:paraId="3DF12A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具备对门诊审方设置启用/停用的功能；</w:t>
      </w:r>
    </w:p>
    <w:p w14:paraId="296527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具备对门诊处方超时自动通过的设置，可设定超时的具体时长的功能；</w:t>
      </w:r>
    </w:p>
    <w:p w14:paraId="5D14097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具备对门诊处方打印超时的设置，可设定超时的具体时长的功能；</w:t>
      </w:r>
    </w:p>
    <w:p w14:paraId="0B360D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具备将门诊、急诊处方分开进行审核设置的功能；</w:t>
      </w:r>
    </w:p>
    <w:p w14:paraId="765A30C4">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住院审方方案配置</w:t>
      </w:r>
    </w:p>
    <w:p w14:paraId="7AEB48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具备对住院医嘱审方设置启用/停用的功能；</w:t>
      </w:r>
    </w:p>
    <w:p w14:paraId="0E3021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具备对住院医嘱超时自动通过的设置，可设定超时的具体时长的功能；</w:t>
      </w:r>
    </w:p>
    <w:p w14:paraId="45194E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具备对住院医嘱打印超时的设置，可设定超时的具体时长的功能；</w:t>
      </w:r>
    </w:p>
    <w:p w14:paraId="444825EB">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全审方配置</w:t>
      </w:r>
    </w:p>
    <w:p w14:paraId="36FAB3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具备通过开启全处方审核对所有处方进行人工审核的功能；</w:t>
      </w:r>
    </w:p>
    <w:p w14:paraId="496202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具备通过关闭全处方审核对较高问题级别的处方进行人工审核的功能。</w:t>
      </w:r>
    </w:p>
    <w:p w14:paraId="29051375">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审方启用科室配置</w:t>
      </w:r>
    </w:p>
    <w:p w14:paraId="27FC87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具备设置哪些科室的处方/医嘱进入审方中心进行审核的功能；</w:t>
      </w:r>
    </w:p>
    <w:p w14:paraId="0D8807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具备在无设置审方科室范围的情况下默认全院处方都进入审方中心的功能；</w:t>
      </w:r>
    </w:p>
    <w:p w14:paraId="461C5D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具备对门诊和急诊分别进行审方科室范围设置的功能；</w:t>
      </w:r>
    </w:p>
    <w:p w14:paraId="2EE120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具备设置不拦截来自指定科室处方/医嘱的功能。</w:t>
      </w:r>
    </w:p>
    <w:p w14:paraId="761932A7">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处方笺上设置默认药师</w:t>
      </w:r>
    </w:p>
    <w:p w14:paraId="547D1A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具备传给医生站在处方笺上指定药师的功能</w:t>
      </w:r>
    </w:p>
    <w:p w14:paraId="2335E0F0">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重点关注审方配置</w:t>
      </w:r>
    </w:p>
    <w:p w14:paraId="048052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针对需要重点关注的处方/医嘱，包含无问题处方医嘱进行全面审查。</w:t>
      </w:r>
    </w:p>
    <w:p w14:paraId="2511BF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具备对住院重点审方设置启用/停用的功能；</w:t>
      </w:r>
    </w:p>
    <w:p w14:paraId="262A46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具备设置多种条件组合，如年龄、性别、诊断、药品进行重点审方方案的配置功能；</w:t>
      </w:r>
    </w:p>
    <w:p w14:paraId="30759A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具备对科室、医生、药房进行分别设置</w:t>
      </w:r>
    </w:p>
    <w:p w14:paraId="0525CE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具备对单个处方、当天开具的所有处方以及多日开具的有效处方进行重点关注处方审查</w:t>
      </w:r>
    </w:p>
    <w:p w14:paraId="2449D5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具备无人审方时，自动拦截重点审方处方/医嘱的功能。</w:t>
      </w:r>
    </w:p>
    <w:p w14:paraId="132204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审方权限设定</w:t>
      </w:r>
    </w:p>
    <w:p w14:paraId="2DC5A23D">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按科室审方权限设定</w:t>
      </w:r>
    </w:p>
    <w:p w14:paraId="2777FE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具备对不同的审方药师分配审方科室的权限的功能。</w:t>
      </w:r>
    </w:p>
    <w:p w14:paraId="4A24C657">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按药房审方权限设定</w:t>
      </w:r>
    </w:p>
    <w:p w14:paraId="31D239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具备对不同的审方药师分配审方药房的权限的功能。</w:t>
      </w:r>
    </w:p>
    <w:p w14:paraId="305488A6">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审方组审方权限设定</w:t>
      </w:r>
    </w:p>
    <w:p w14:paraId="47B91D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具备根据病区/科室/药房进行审方权限划分的功能；</w:t>
      </w:r>
    </w:p>
    <w:p w14:paraId="113B84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具备对审方组成员进行编辑并分配审方范围的功能；</w:t>
      </w:r>
    </w:p>
    <w:p w14:paraId="6C55A8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具备在开启审方组模式时自动关闭科室审方权限和药房审方权限的功能；</w:t>
      </w:r>
    </w:p>
    <w:p w14:paraId="733EB3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具备多个审方药师拥有相同范围审方权限的功能；</w:t>
      </w:r>
    </w:p>
    <w:p w14:paraId="65C163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具备叠加设置审方组的审核范围设定、审方超时时间设定的功能。</w:t>
      </w:r>
    </w:p>
    <w:p w14:paraId="3E98BC0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审方自动回复模板设定</w:t>
      </w:r>
    </w:p>
    <w:p w14:paraId="1F0988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审方药师在回复医生用药建议时，可通过选择设定的审方回复模板，实现高效快捷的医师与药师的线上沟通，具体如下：</w:t>
      </w:r>
    </w:p>
    <w:p w14:paraId="48BD7966">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审方自动回复模板编辑</w:t>
      </w:r>
    </w:p>
    <w:p w14:paraId="396EC0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具备新增/修改/删除审方回复模板的内容、模板名称的功能；</w:t>
      </w:r>
    </w:p>
    <w:p w14:paraId="0DF909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具备新增/修改/删除医生提交理由模版的内容、模板名称的功能；</w:t>
      </w:r>
    </w:p>
    <w:p w14:paraId="5D213E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具备按照不同药房设置审方模板的功能。</w:t>
      </w:r>
    </w:p>
    <w:p w14:paraId="5C48E5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审方拦截设置</w:t>
      </w:r>
    </w:p>
    <w:p w14:paraId="12A61596">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问题处方等级设置</w:t>
      </w:r>
    </w:p>
    <w:p w14:paraId="6B079F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可更具处方等级的调整来改变审方的提醒和拦截方式</w:t>
      </w:r>
    </w:p>
    <w:p w14:paraId="762F2B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具备修改系统审核的处方问题级别并进行查询的功能；</w:t>
      </w:r>
    </w:p>
    <w:p w14:paraId="249AF2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具备按照问题大类对问题级别调整并指定门诊住院范围和科室的功能；</w:t>
      </w:r>
    </w:p>
    <w:p w14:paraId="2DFD27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具备在修改处方问题级别时进行权限验证和管理的功能。</w:t>
      </w:r>
    </w:p>
    <w:p w14:paraId="449D59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具备查看调整和修改处方问题等级的具体操作日志的功能。</w:t>
      </w:r>
    </w:p>
    <w:p w14:paraId="7DDD751D">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审方打回流程设置</w:t>
      </w:r>
    </w:p>
    <w:p w14:paraId="592C4F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可根据医院的需要，来调整审方打回的流程设置</w:t>
      </w:r>
    </w:p>
    <w:p w14:paraId="38DC54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具备开启和关闭医生填写二次用药理由的功能；</w:t>
      </w:r>
    </w:p>
    <w:p w14:paraId="210E09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具备对医生写二次用药理由后，处方通过或拦截的功能。</w:t>
      </w:r>
    </w:p>
    <w:p w14:paraId="1E56949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四、 药房前置审方状态通知</w:t>
      </w:r>
    </w:p>
    <w:p w14:paraId="19F883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门急诊发药端用药风险提示</w:t>
      </w:r>
    </w:p>
    <w:p w14:paraId="619B10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具备在门诊发药端查看处方前置审方结果的功能。</w:t>
      </w:r>
    </w:p>
    <w:p w14:paraId="7F03D0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具备在门诊发药端对较高问题等级和审方超时自动通过的处方进行提示功能。</w:t>
      </w:r>
    </w:p>
    <w:p w14:paraId="43272B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具备对接门诊药房发药系统功能。</w:t>
      </w:r>
    </w:p>
    <w:p w14:paraId="2C5CBF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住院发药端用药风险提示</w:t>
      </w:r>
    </w:p>
    <w:p w14:paraId="0281BA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具备在住院发药端查看医嘱前置审方结果的功能。</w:t>
      </w:r>
    </w:p>
    <w:p w14:paraId="0C37E8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具备在住院发药端对较高问题等级和审方超时自动通过的医嘱进行提示功能。</w:t>
      </w:r>
    </w:p>
    <w:p w14:paraId="6FBAE1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具备对接住院发药系统功能。</w:t>
      </w:r>
    </w:p>
    <w:p w14:paraId="72C9D80E">
      <w:pPr>
        <w:pStyle w:val="6"/>
        <w:keepNext w:val="0"/>
        <w:keepLines w:val="0"/>
        <w:widowControl/>
        <w:suppressLineNumbers w:val="0"/>
        <w:spacing w:before="120" w:beforeAutospacing="0" w:after="120" w:afterAutospacing="0" w:line="338" w:lineRule="atLeast"/>
        <w:ind w:left="1080" w:hanging="108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1.1.5.4 </w:t>
      </w:r>
      <w:r>
        <w:rPr>
          <w:rFonts w:hint="eastAsia" w:ascii="宋体" w:hAnsi="宋体" w:eastAsia="宋体" w:cs="宋体"/>
          <w:b/>
          <w:bCs/>
          <w:i w:val="0"/>
          <w:iCs w:val="0"/>
          <w:caps w:val="0"/>
          <w:color w:val="333333"/>
          <w:spacing w:val="0"/>
          <w:sz w:val="21"/>
          <w:szCs w:val="21"/>
          <w:shd w:val="clear" w:fill="FFFFFF"/>
        </w:rPr>
        <w:t>3方点评系统</w:t>
      </w:r>
    </w:p>
    <w:p w14:paraId="7068BA9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（1）处方点评</w:t>
      </w:r>
    </w:p>
    <w:p w14:paraId="4D1B31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需依据相关政策要求对处方进行事后的系统自动点评、人工点评和对人工点评结果的审核，实现处方/医嘱点评全过程的可追溯、可反馈和点评结果的统计分析。</w:t>
      </w:r>
    </w:p>
    <w:p w14:paraId="488998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具体功能要求如下：</w:t>
      </w:r>
    </w:p>
    <w:p w14:paraId="08017786">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一、 常规处方点评</w:t>
      </w:r>
    </w:p>
    <w:p w14:paraId="036C16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根据常规点评规则，对门诊处方和住院病历进行自动点评，可实现按月全处方和医嘱的点评任务，达到事后处方点评的统计意义。包含常规点评规则抽取、自动点评、人工点评、点评审核、点评报表、点评公示、临床反馈、点评归档等全流程管理。</w:t>
      </w:r>
    </w:p>
    <w:p w14:paraId="7FBAF54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常规点评任务管理</w:t>
      </w:r>
    </w:p>
    <w:p w14:paraId="58D5EB7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通过设置处方抽取条件创建门急诊处方/住院病历（简称：处方）点评计划，并通过设定点评计划的应用范围等条件抽取处方生成门急诊/住院点评任务，具体要求如下：</w:t>
      </w:r>
    </w:p>
    <w:p w14:paraId="0799F5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常规点评计划抽取</w:t>
      </w:r>
    </w:p>
    <w:p w14:paraId="12FE873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具备可根据门诊、住院、科室、病区、医生、患者、常规药品等多样化维度作为抽取条件，进行单次或定期的抽取任务。</w:t>
      </w:r>
    </w:p>
    <w:p w14:paraId="1B40DD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具备删除不满足点评要求的处方，并可增补抽取处方到原抽取结果的功能。</w:t>
      </w:r>
    </w:p>
    <w:p w14:paraId="4B0C6F7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具备按科室、药师分配点评任务。</w:t>
      </w:r>
    </w:p>
    <w:p w14:paraId="6F5194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自动点评</w:t>
      </w:r>
    </w:p>
    <w:p w14:paraId="2B37C2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通过调用智能分析服务对抽取的门急诊处方进行自动点评，具体要求如下：</w:t>
      </w:r>
    </w:p>
    <w:p w14:paraId="13DC2E20">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处方自动点评</w:t>
      </w:r>
    </w:p>
    <w:p w14:paraId="34CFAE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具备对不合理处方按三大类28小项进行系统自动点评的功能；</w:t>
      </w:r>
    </w:p>
    <w:p w14:paraId="15A812FA">
      <w:pPr>
        <w:keepNext w:val="0"/>
        <w:keepLines w:val="0"/>
        <w:widowControl/>
        <w:suppressLineNumbers w:val="0"/>
        <w:spacing w:before="0" w:beforeAutospacing="0" w:after="128" w:afterAutospacing="0" w:line="420" w:lineRule="atLeast"/>
        <w:ind w:left="420" w:right="0" w:hanging="42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n 处方重新自动点评</w:t>
      </w:r>
    </w:p>
    <w:p w14:paraId="787CCB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具备对处方再次进行自动点评并替换原自动点评结果的功能；</w:t>
      </w:r>
    </w:p>
    <w:p w14:paraId="158135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具备屏蔽合理用药规则后重新自动点评的功能。</w:t>
      </w:r>
    </w:p>
    <w:p w14:paraId="603F9F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人工点评</w:t>
      </w:r>
    </w:p>
    <w:p w14:paraId="102814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通过查看处方明细和自动点评结果，对处方进行人工复评，具体要求如下：</w:t>
      </w:r>
    </w:p>
    <w:p w14:paraId="42AE63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具备在点评任务不同阶段对点评结果进行修改；</w:t>
      </w:r>
    </w:p>
    <w:p w14:paraId="7A31E1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具备点评带教，点评时可在线求助带教老师；</w:t>
      </w:r>
    </w:p>
    <w:p w14:paraId="2FFA6C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具备点评时查看该处方所有点评记录；</w:t>
      </w:r>
    </w:p>
    <w:p w14:paraId="28EE7E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具备点评时查看该患者同一就诊号的所有处方点评记录。</w:t>
      </w:r>
    </w:p>
    <w:p w14:paraId="5A00A6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点评结果查看</w:t>
      </w:r>
    </w:p>
    <w:p w14:paraId="5F74A9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具备按科室、医生、处方问题类型、诊断等条件对点评结果进行筛选查看；</w:t>
      </w:r>
    </w:p>
    <w:p w14:paraId="09B70A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具备根据点评流程各个阶段，如计划、点评、审核、反馈、归档等查看不同阶段的点评结果和点评工作进度；</w:t>
      </w:r>
    </w:p>
    <w:p w14:paraId="750ECD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具备按公示状态筛选查看点评结果；</w:t>
      </w:r>
    </w:p>
    <w:p w14:paraId="727686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具备设置医生端可查阅点评历史的天数。</w:t>
      </w:r>
    </w:p>
    <w:p w14:paraId="2D0E0C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患者信息查看</w:t>
      </w:r>
    </w:p>
    <w:p w14:paraId="04A1EF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具备在处方点评过程中查看处方笺明细的功能；</w:t>
      </w:r>
    </w:p>
    <w:p w14:paraId="1776DD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具备在处方点评中查看患者相关的检验、检查、手术等信息；</w:t>
      </w:r>
    </w:p>
    <w:p w14:paraId="24D272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具备在医嘱点评中查看草药处方和精麻处方，并可按处方笺的形式查看；</w:t>
      </w:r>
    </w:p>
    <w:p w14:paraId="079C71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具备在医嘱点评中查看时序图和药品联用图；</w:t>
      </w:r>
    </w:p>
    <w:p w14:paraId="0D2450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支持对接医疗机构的临床数据中心系统，查看更多患者信息的功能。</w:t>
      </w:r>
    </w:p>
    <w:p w14:paraId="015E6354">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常规点评审核</w:t>
      </w:r>
    </w:p>
    <w:p w14:paraId="3678AF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所有处方/病历点评完成后，可提交人工审核（复核）。</w:t>
      </w:r>
    </w:p>
    <w:p w14:paraId="6D109E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点评结果审核</w:t>
      </w:r>
    </w:p>
    <w:p w14:paraId="7016FE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所有处方/病历点评完成后，可提交审核，具体要求如下：</w:t>
      </w:r>
    </w:p>
    <w:p w14:paraId="06F76C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具备按科室、药师分配审核任务。</w:t>
      </w:r>
    </w:p>
    <w:p w14:paraId="07E452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具备点评人关联指定审核人，人工点评结束后，自动分配点评审核任务给默认审核人</w:t>
      </w:r>
    </w:p>
    <w:p w14:paraId="6B9D3A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具备逐条或批量对处方点评结果进行审核；</w:t>
      </w:r>
    </w:p>
    <w:p w14:paraId="5422E5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具备筛选人工点评和自动点评不一致的处方；</w:t>
      </w:r>
    </w:p>
    <w:p w14:paraId="5F52A9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具备查看点评审核进度和最新审核时间。</w:t>
      </w:r>
    </w:p>
    <w:p w14:paraId="20E35D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点评结果打回</w:t>
      </w:r>
    </w:p>
    <w:p w14:paraId="7A962F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具备将审核不通过的处方点评结果打回给人工点评药师重新点评；</w:t>
      </w:r>
    </w:p>
    <w:p w14:paraId="5D713AC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具备设置审核不通过的理由模板。</w:t>
      </w:r>
    </w:p>
    <w:p w14:paraId="137A176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打回不通过处方重评</w:t>
      </w:r>
    </w:p>
    <w:p w14:paraId="5C0209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具备重评被打回的处方，可坚持或修改原点评结果；</w:t>
      </w:r>
    </w:p>
    <w:p w14:paraId="2E0927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具备查看坚持和修改原点评结果的处方数量。</w:t>
      </w:r>
    </w:p>
    <w:p w14:paraId="30D039B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常规点评报表生成</w:t>
      </w:r>
    </w:p>
    <w:p w14:paraId="4407121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完成点评审核后，可一键生成常规点评报表，进行多维度的筛选和统计，具体要求如下：</w:t>
      </w:r>
    </w:p>
    <w:p w14:paraId="48262B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生成常规点评结果报表</w:t>
      </w:r>
    </w:p>
    <w:p w14:paraId="4D65EB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具备在生成报表前预览点评结果统计的功能；</w:t>
      </w:r>
    </w:p>
    <w:p w14:paraId="7A289B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具备完成点评复核后一键生成点评工作表的功能，报表需包含主要常规处方点评统计报表；</w:t>
      </w:r>
    </w:p>
    <w:p w14:paraId="25B000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具备生成按科室、医生、药品维度的点评结果和存在问题统计表。</w:t>
      </w:r>
    </w:p>
    <w:p w14:paraId="1DD8ED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更新常规点评结果报表</w:t>
      </w:r>
    </w:p>
    <w:p w14:paraId="52D68C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具备点评结果改变时，可更新所有点评结果统计报表。</w:t>
      </w:r>
    </w:p>
    <w:p w14:paraId="3584E864">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点评结果公示</w:t>
      </w:r>
    </w:p>
    <w:p w14:paraId="68F318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可通过线上发布处方/医嘱点评结果，获取处方医生临床反馈，具体要求如下：</w:t>
      </w:r>
    </w:p>
    <w:p w14:paraId="429412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常规点评报表公示</w:t>
      </w:r>
    </w:p>
    <w:p w14:paraId="54F3CD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具备查看点评公示中和公示结束的统计内容的功能；</w:t>
      </w:r>
    </w:p>
    <w:p w14:paraId="113D8A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具备按点评类型、科室、医生筛选公示报表的功能；</w:t>
      </w:r>
    </w:p>
    <w:p w14:paraId="179174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具备按点评临床反馈的状态来筛选公示报表的功能。</w:t>
      </w:r>
    </w:p>
    <w:p w14:paraId="5B3E2C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常规点评临床反馈</w:t>
      </w:r>
    </w:p>
    <w:p w14:paraId="5ABBBF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具备对接临床业务系统进行点评结果公示和反馈操作的功能；</w:t>
      </w:r>
    </w:p>
    <w:p w14:paraId="458F04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具备医师主动采纳药师回复反馈内容，及继续反馈的功能；</w:t>
      </w:r>
    </w:p>
    <w:p w14:paraId="37E5A2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具备临床反馈时上传图片、表格、文档等附件作为反馈依据的功能。</w:t>
      </w:r>
    </w:p>
    <w:p w14:paraId="2BE7060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5. 常规点评归档</w:t>
      </w:r>
    </w:p>
    <w:p w14:paraId="7922FD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点评结果公示期结束后，可将点评结果归档，具体要求如下：</w:t>
      </w:r>
    </w:p>
    <w:p w14:paraId="522F5C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常规点评手动归档</w:t>
      </w:r>
    </w:p>
    <w:p w14:paraId="0A180E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具备在线公示及公示截止后，点评归档前，进行点评结果的修改；</w:t>
      </w:r>
    </w:p>
    <w:p w14:paraId="260B84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具备公示截止后，停止在线临床反馈，进行手动归档。</w:t>
      </w:r>
    </w:p>
    <w:p w14:paraId="56F9B5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常规点评归档管理</w:t>
      </w:r>
    </w:p>
    <w:p w14:paraId="15A52D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具备手动点评归档后，不可修改点评结果的功能。</w:t>
      </w:r>
    </w:p>
    <w:p w14:paraId="4591C370">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二、 专项处方点评</w:t>
      </w:r>
    </w:p>
    <w:p w14:paraId="47CF63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专项处方点评是医院根据药事管理和药物临床应用管理的现状和存在的问题，确定点评的范围和内容，对特定的药物或特定疾病的药物（如国家基本药物、血液制品、中药注射剂、肠外营养制剂、抗菌药物、激素等临床使用及超说明书用药、肿瘤患者和围手术期用药等）使用情况进行的处方点评。具体要求如下：</w:t>
      </w:r>
    </w:p>
    <w:p w14:paraId="5C218FDB">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专项点评任务管理</w:t>
      </w:r>
    </w:p>
    <w:p w14:paraId="063067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专项点评计划抽取</w:t>
      </w:r>
    </w:p>
    <w:p w14:paraId="2EE389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具备按不同专项设置不同专项点评方案模板，选择模板后可自动切换专用抽取条件的功能；</w:t>
      </w:r>
    </w:p>
    <w:p w14:paraId="1AB303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的专项模板的专项点评，包括：抗菌药物、基本药物、抗肿瘤药、血液制品、静脉输液、中药注射剂、糖皮质激素类药物、万古霉素、质子泵抑制剂、全肠外营养TPN、中成药、中药饮片、碳青霉烯、替加环素、出院带药、超说明书用药等专项</w:t>
      </w:r>
    </w:p>
    <w:p w14:paraId="49341E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药师点评</w:t>
      </w:r>
    </w:p>
    <w:p w14:paraId="0F6A25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具备对不同专项点评方案模板设置不同合理处方标准（评价得分）的功能；</w:t>
      </w:r>
    </w:p>
    <w:p w14:paraId="1922AE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具备专项点评包含常规评价项目和特殊评价项目；</w:t>
      </w:r>
    </w:p>
    <w:p w14:paraId="2B648E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具备对不合理常规评价项目和特殊评价项目计算处方点评得分的功能；</w:t>
      </w:r>
    </w:p>
    <w:p w14:paraId="28A896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点评结果查看</w:t>
      </w:r>
    </w:p>
    <w:p w14:paraId="20AE92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具备按科室、医生、处方问题类型、诊断等条件对专项点评结果进行筛选查看；</w:t>
      </w:r>
    </w:p>
    <w:p w14:paraId="03E413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具备根据点评流程各个阶段，如计划、点评、审核、反馈、归档等查看不同阶段的专项点评结果和点评工作进度；</w:t>
      </w:r>
    </w:p>
    <w:p w14:paraId="4D69BA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具备按公示状态筛选查看点评结果；</w:t>
      </w:r>
    </w:p>
    <w:p w14:paraId="7A17C6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具备设置医生端可查阅点评历史的天数。</w:t>
      </w:r>
    </w:p>
    <w:p w14:paraId="0A764A2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患者信息查看</w:t>
      </w:r>
    </w:p>
    <w:p w14:paraId="6E4084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具备在专项处方点评过程中查看处方笺明细的功能；</w:t>
      </w:r>
    </w:p>
    <w:p w14:paraId="00D76B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具备在专项处方点评中查看患者相关的检验、检查、手术等信息；</w:t>
      </w:r>
    </w:p>
    <w:p w14:paraId="14416B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具备在专项医嘱点评中查看草药处方和精麻处方，并可按处方笺的形式查看的功能；</w:t>
      </w:r>
    </w:p>
    <w:p w14:paraId="204D8B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具备在专项医嘱点评中查看时序图和药品联用图；</w:t>
      </w:r>
    </w:p>
    <w:p w14:paraId="456B04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支持对接医疗机构的临床数据中心系统，查看更多患者信息的功能。</w:t>
      </w:r>
    </w:p>
    <w:p w14:paraId="36B8D3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专项点评审核</w:t>
      </w:r>
    </w:p>
    <w:p w14:paraId="1E650455">
      <w:pPr>
        <w:pStyle w:val="37"/>
        <w:keepNext w:val="0"/>
        <w:keepLines w:val="0"/>
        <w:widowControl/>
        <w:suppressLineNumbers w:val="0"/>
        <w:spacing w:before="0" w:beforeAutospacing="0" w:after="128" w:afterAutospacing="0" w:line="420" w:lineRule="atLeast"/>
        <w:ind w:left="0" w:right="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所有专项处方点评完成后，可提交人工审核（复核）。</w:t>
      </w:r>
    </w:p>
    <w:p w14:paraId="678DA1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点评结果审核</w:t>
      </w:r>
    </w:p>
    <w:p w14:paraId="41F761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所有专项处方点评完成后，可提交审核，具体要求如下：</w:t>
      </w:r>
    </w:p>
    <w:p w14:paraId="7AD7B5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具备按科室、药师分配审核任务。</w:t>
      </w:r>
    </w:p>
    <w:p w14:paraId="2273A3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具备点评人关联指定审核人，人工点评结束后，自动分配点评审核任务给默认审核人</w:t>
      </w:r>
    </w:p>
    <w:p w14:paraId="39102F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具备逐条或批量对专项处方点评结果进行审核的功能；</w:t>
      </w:r>
    </w:p>
    <w:p w14:paraId="1F8DBF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具备查看点评审核进度和最新审核时间。</w:t>
      </w:r>
    </w:p>
    <w:p w14:paraId="48CBD8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点评结果打回</w:t>
      </w:r>
    </w:p>
    <w:p w14:paraId="28C842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具备将审核不通过的处方点评结果打回给人工点评药师重新点评；</w:t>
      </w:r>
    </w:p>
    <w:p w14:paraId="363E1D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具备设置审核不通过的理由模板。</w:t>
      </w:r>
    </w:p>
    <w:p w14:paraId="64B7CA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打回不通过处方重评</w:t>
      </w:r>
    </w:p>
    <w:p w14:paraId="56B6F9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具备重评被打回的处方，可坚持或修改原点评结果；</w:t>
      </w:r>
    </w:p>
    <w:p w14:paraId="7875A67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具备查看坚持和修改原点评结果的处方数量。</w:t>
      </w:r>
    </w:p>
    <w:p w14:paraId="5D930FC6">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专项点评报表生成</w:t>
      </w:r>
    </w:p>
    <w:p w14:paraId="769DA8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完成专项点评审核后，可一键生成专项点评报表，进行多维度的筛选和统计，具体要求如下：</w:t>
      </w:r>
    </w:p>
    <w:p w14:paraId="334A09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生成专项点评结果报表</w:t>
      </w:r>
    </w:p>
    <w:p w14:paraId="454D61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具备在生成报表前预览整体点评结果的功能；</w:t>
      </w:r>
    </w:p>
    <w:p w14:paraId="7B4B53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具备完成专项点评审核后一键生成点评工作表的功能，报表需包含主要常规处方点评统计报表；</w:t>
      </w:r>
    </w:p>
    <w:p w14:paraId="622613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具备生成按科室、医生、药品维度的专项点评结果和存在问题统计表。</w:t>
      </w:r>
    </w:p>
    <w:p w14:paraId="5256DD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更新专项点评结果报表</w:t>
      </w:r>
    </w:p>
    <w:p w14:paraId="0C198A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具备报表生成后，专项点评结果改变时，可更新所有点评结果统计报表的功能。</w:t>
      </w:r>
    </w:p>
    <w:p w14:paraId="341D14B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专项点评公示</w:t>
      </w:r>
    </w:p>
    <w:p w14:paraId="6E767B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可通过线上发布处方/医嘱专项点评结果，获取处方医生临床反馈，具体要求如下：</w:t>
      </w:r>
    </w:p>
    <w:p w14:paraId="35D2EE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专项点评报表公示</w:t>
      </w:r>
    </w:p>
    <w:p w14:paraId="13EA08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具备查看专项点评公示中和公示结束的统计内容的功能；</w:t>
      </w:r>
    </w:p>
    <w:p w14:paraId="0284C5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具备按专项点评类型、科室、医生筛选公示报表的功能；</w:t>
      </w:r>
    </w:p>
    <w:p w14:paraId="3BCA5B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具备按专项点评临床反馈的状态来筛选公示报表的功能。</w:t>
      </w:r>
    </w:p>
    <w:p w14:paraId="770187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专项点评临床反馈</w:t>
      </w:r>
    </w:p>
    <w:p w14:paraId="7C733B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具备对接临床业务系统进行专项点评结果公示和反馈操作的功能；</w:t>
      </w:r>
    </w:p>
    <w:p w14:paraId="1927C5C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具备医师主动采纳药师回复反馈内容，及继续反馈的功能；</w:t>
      </w:r>
    </w:p>
    <w:p w14:paraId="5A6E1E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具备临床反馈时上传图片、表格、文档等附件作为反馈依据的功能。</w:t>
      </w:r>
    </w:p>
    <w:p w14:paraId="3C58E3B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专项点评归档</w:t>
      </w:r>
    </w:p>
    <w:p w14:paraId="0623C7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专项点评结果公示期结束后，可将点评结果归档，具体要求如下：</w:t>
      </w:r>
    </w:p>
    <w:p w14:paraId="774F59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专项点评手动归档</w:t>
      </w:r>
    </w:p>
    <w:p w14:paraId="38A074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具备在线公示及公示截止后，点评归档前，进行点评结果的修改；</w:t>
      </w:r>
    </w:p>
    <w:p w14:paraId="0EAE7D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具备公示截止后，停止在线临床反馈，进行手动归档。</w:t>
      </w:r>
    </w:p>
    <w:p w14:paraId="369C63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专项点评归档管理</w:t>
      </w:r>
    </w:p>
    <w:p w14:paraId="51142A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具备手动点评归档后，不可修改点评结果的功能。</w:t>
      </w:r>
    </w:p>
    <w:p w14:paraId="717AA0C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三、 处方点评报表</w:t>
      </w:r>
    </w:p>
    <w:p w14:paraId="1FAAFB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处方点评报表是医疗机构在开展处方点评工作过程中，用于记录、统计和分析处方点评结果的一种文件或表格。它是对处方质量、合理用药情况以及潜在问题进行系统总结的重要工具，为医疗机构的药事管理和医疗质量管理提供数据支持。报表需包含常规点评报表和专项点评报表，具体要求如下：</w:t>
      </w:r>
    </w:p>
    <w:p w14:paraId="18E9312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常规点评统计报表</w:t>
      </w:r>
    </w:p>
    <w:p w14:paraId="30CA5E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常规点评统计报表，包括：点评结果统计表、存在问题统计表、点评问题明细表、结果差异明细表和分类统计报表，具体要求：</w:t>
      </w:r>
    </w:p>
    <w:p w14:paraId="431C318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点评结果统计表</w:t>
      </w:r>
    </w:p>
    <w:p w14:paraId="71133F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具备生成处方点评结果统计表，对点评结果进行统计的功能；</w:t>
      </w:r>
    </w:p>
    <w:p w14:paraId="6B201E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具备多条件筛选点评结果进行统计的功能；</w:t>
      </w:r>
    </w:p>
    <w:p w14:paraId="289548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具备从统计数据下钻查看处方点评结果的功能；</w:t>
      </w:r>
    </w:p>
    <w:p w14:paraId="44375B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具备导出处方点评结果统计表的功能。</w:t>
      </w:r>
    </w:p>
    <w:p w14:paraId="720436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存在问题统计</w:t>
      </w:r>
    </w:p>
    <w:p w14:paraId="39A8A42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具备对点评结果按不同问题类型进行分类统计的功能；</w:t>
      </w:r>
    </w:p>
    <w:p w14:paraId="4B5845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具备多条件筛选存在问题进行统计的功能；</w:t>
      </w:r>
    </w:p>
    <w:p w14:paraId="103776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具备从统计数据下钻查看处方和病历点评结果的功能；</w:t>
      </w:r>
    </w:p>
    <w:p w14:paraId="2301AE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具备导出处方点评存在问题统计表的功能。</w:t>
      </w:r>
    </w:p>
    <w:p w14:paraId="58BD2D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点评问题明细表</w:t>
      </w:r>
    </w:p>
    <w:p w14:paraId="127D5F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具备显示处方和病历点评结果明细的功能；</w:t>
      </w:r>
    </w:p>
    <w:p w14:paraId="0FC992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具备多条件筛选点评结果明细的功能；</w:t>
      </w:r>
    </w:p>
    <w:p w14:paraId="6E930E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具备自定义显示字段和字段排序的功能；</w:t>
      </w:r>
    </w:p>
    <w:p w14:paraId="121544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具备导出点评结果明细表的功能。</w:t>
      </w:r>
    </w:p>
    <w:p w14:paraId="79F9CD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点评结果差异明细表</w:t>
      </w:r>
    </w:p>
    <w:p w14:paraId="1EC240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具备显示人工点评与自动点评不一致的点评结果明细的功能；</w:t>
      </w:r>
    </w:p>
    <w:p w14:paraId="65D4F7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具备多条件筛选点评结果明细的功能；</w:t>
      </w:r>
    </w:p>
    <w:p w14:paraId="19BE6D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具备导出点评结果明细表的功能。</w:t>
      </w:r>
    </w:p>
    <w:p w14:paraId="3F2A99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点评结果统计表（按科室/按医师/按药品）</w:t>
      </w:r>
    </w:p>
    <w:p w14:paraId="36763E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具备生成处方点评结果统计表（按科室/按医师/按药品），对点评结果按科室/按医师/按药品进行分类统计的功能；</w:t>
      </w:r>
    </w:p>
    <w:p w14:paraId="1C02CC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具备多条件筛选点评结果进行统计的功能；</w:t>
      </w:r>
    </w:p>
    <w:p w14:paraId="45DBC2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具备自定义点评工作表显示字段和字段排序的功能；</w:t>
      </w:r>
    </w:p>
    <w:p w14:paraId="70A914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具备从统计数据下钻查看处方和病历点评结果的功能；</w:t>
      </w:r>
    </w:p>
    <w:p w14:paraId="4CD559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具备导出处方点评结果统计表的功能。</w:t>
      </w:r>
    </w:p>
    <w:p w14:paraId="5B3B9F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点评问题统计表（按科室/按医师/按药品）</w:t>
      </w:r>
    </w:p>
    <w:p w14:paraId="70E5F5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具备对点评结果按科室/按医师/按药品进行不同问题类型分类统计的功能；</w:t>
      </w:r>
    </w:p>
    <w:p w14:paraId="3678EE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具备多条件筛选存在问题进行统计的功能；</w:t>
      </w:r>
    </w:p>
    <w:p w14:paraId="47F81F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具备从统计数据下钻查看处方和病历点评结果的功能；</w:t>
      </w:r>
    </w:p>
    <w:p w14:paraId="3CDDF6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具备导出处方点评存在问题统计表的功能。</w:t>
      </w:r>
    </w:p>
    <w:p w14:paraId="6694F39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专项点评报表</w:t>
      </w:r>
    </w:p>
    <w:p w14:paraId="5E02E2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完成专项点评后，可生成按不同专项点评方案模块生成的专项点评报表（以下将以抗菌药物、基本药物、抗菌肿瘤药物等三个专项点评为例对专项报表功能进行说明），具体要求如下：</w:t>
      </w:r>
    </w:p>
    <w:p w14:paraId="1E53FD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抗菌药物围手术期用药处方点评专项报表</w:t>
      </w:r>
    </w:p>
    <w:p w14:paraId="5BD27F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具备按《北京市医疗机构处方专项点评指南（试行）》标准生成抗菌药物围手术期用药处方点评专项报表的功能；</w:t>
      </w:r>
    </w:p>
    <w:p w14:paraId="3BF1E1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具备对抗菌药物围手术期用药病历点评结果进行统计和多条件筛选的功能；</w:t>
      </w:r>
    </w:p>
    <w:p w14:paraId="3A811E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具备对抗菌药物围手术期用药存在问题进行分类统计的功能；</w:t>
      </w:r>
    </w:p>
    <w:p w14:paraId="0ED247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具备自定义报表显示字段和字段排序的功能；</w:t>
      </w:r>
    </w:p>
    <w:p w14:paraId="26FA04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具备从统计数据下钻查看病历点评结果的功能；</w:t>
      </w:r>
    </w:p>
    <w:p w14:paraId="4F82AA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具备导出报表的功能。</w:t>
      </w:r>
    </w:p>
    <w:p w14:paraId="6D1C1E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基本药物处方专项报表</w:t>
      </w:r>
    </w:p>
    <w:p w14:paraId="0D5F949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具备按《北京市医疗机构处方专项点评指南（试行）》标准生成基本药物处方点评专项报表的功能；</w:t>
      </w:r>
    </w:p>
    <w:p w14:paraId="122134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具备对点评结果进行基本药物处方用药状况统计和多条件筛选的功能；</w:t>
      </w:r>
    </w:p>
    <w:p w14:paraId="03999B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具备对点评结果进行基本药物处方专项点评统计和多条件筛选的功能；</w:t>
      </w:r>
    </w:p>
    <w:p w14:paraId="0FB1B13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具备对点评结果进行不合理基本药物处方统计和多条件筛选的功能；</w:t>
      </w:r>
    </w:p>
    <w:p w14:paraId="240FCC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具备自定义报表显示字段和字段排序的功能；</w:t>
      </w:r>
    </w:p>
    <w:p w14:paraId="64498B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具备从统计数据下钻查看病历点评结果的功能；</w:t>
      </w:r>
    </w:p>
    <w:p w14:paraId="5CC961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具备导出报表的功能。</w:t>
      </w:r>
    </w:p>
    <w:p w14:paraId="0536CA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抗肿瘤药物处方专项报表</w:t>
      </w:r>
    </w:p>
    <w:p w14:paraId="7028E5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具备按《北京市医疗机构处方专项点评指南（试行）》标准生成抗肿瘤药处方点评专项报表的功能；</w:t>
      </w:r>
    </w:p>
    <w:p w14:paraId="3A78AA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具备对点评结果进行抗肿瘤药处方用药状况统计的功能；</w:t>
      </w:r>
    </w:p>
    <w:p w14:paraId="284428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具备对点评结果进行不合理抗肿瘤药物处方统计的功能；</w:t>
      </w:r>
    </w:p>
    <w:p w14:paraId="2A39A9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具备从统计数据下钻查看处方点评结果的功能；</w:t>
      </w:r>
    </w:p>
    <w:p w14:paraId="267BDE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具备导出报表的功能。</w:t>
      </w:r>
    </w:p>
    <w:p w14:paraId="6C1483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更多点评的专项报表</w:t>
      </w:r>
    </w:p>
    <w:p w14:paraId="42509C39">
      <w:pPr>
        <w:pStyle w:val="37"/>
        <w:keepNext w:val="0"/>
        <w:keepLines w:val="0"/>
        <w:widowControl/>
        <w:suppressLineNumbers w:val="0"/>
        <w:spacing w:before="100" w:beforeAutospacing="0" w:after="100" w:afterAutospacing="0"/>
        <w:ind w:left="420" w:right="0" w:firstLine="48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静脉注射液专项报表</w:t>
      </w:r>
    </w:p>
    <w:p w14:paraId="1BDA601B">
      <w:pPr>
        <w:pStyle w:val="37"/>
        <w:keepNext w:val="0"/>
        <w:keepLines w:val="0"/>
        <w:widowControl/>
        <w:suppressLineNumbers w:val="0"/>
        <w:spacing w:before="100" w:beforeAutospacing="0" w:after="100" w:afterAutospacing="0" w:line="420" w:lineRule="atLeast"/>
        <w:ind w:left="420" w:right="0" w:firstLine="48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全肠外营养液专项报表</w:t>
      </w:r>
    </w:p>
    <w:p w14:paraId="0DCD4CBC">
      <w:pPr>
        <w:pStyle w:val="37"/>
        <w:keepNext w:val="0"/>
        <w:keepLines w:val="0"/>
        <w:widowControl/>
        <w:suppressLineNumbers w:val="0"/>
        <w:spacing w:before="0" w:beforeAutospacing="0" w:after="128"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中成药专项报表</w:t>
      </w:r>
    </w:p>
    <w:p w14:paraId="5C33F6C2">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中药注射剂专项报表</w:t>
      </w:r>
    </w:p>
    <w:p w14:paraId="0BD84571">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中药饮片专项报表</w:t>
      </w:r>
    </w:p>
    <w:p w14:paraId="0B9422BE">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血液制品专项报表</w:t>
      </w:r>
    </w:p>
    <w:p w14:paraId="0781E04E">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糖皮质激素专项报表</w:t>
      </w:r>
    </w:p>
    <w:p w14:paraId="200E80FE">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质子泵抑制剂专项报表</w:t>
      </w:r>
    </w:p>
    <w:p w14:paraId="099A03EF">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超说明书用药专项报表</w:t>
      </w:r>
    </w:p>
    <w:p w14:paraId="24FD830C">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出院带药专项报表</w:t>
      </w:r>
    </w:p>
    <w:p w14:paraId="4B260FB8">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万古霉素专项报表</w:t>
      </w:r>
    </w:p>
    <w:p w14:paraId="3DEB7FE6">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碳青霉烯专项报表</w:t>
      </w:r>
    </w:p>
    <w:p w14:paraId="1CADF75B">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替加环素专项报表</w:t>
      </w:r>
    </w:p>
    <w:p w14:paraId="1727C07C">
      <w:pPr>
        <w:pStyle w:val="37"/>
        <w:keepNext w:val="0"/>
        <w:keepLines w:val="0"/>
        <w:widowControl/>
        <w:suppressLineNumbers w:val="0"/>
        <w:spacing w:before="150" w:beforeAutospacing="0" w:after="150" w:afterAutospacing="0"/>
        <w:ind w:left="420" w:right="0" w:firstLine="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n 超说明书用药专项报表</w:t>
      </w:r>
    </w:p>
    <w:p w14:paraId="7AF21E98">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自定义点评方案模板</w:t>
      </w:r>
    </w:p>
    <w:p w14:paraId="7E7578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可自定义创建专项点评模板，设定相关标准，进行特色的专项处方点评。具体要求如下：</w:t>
      </w:r>
    </w:p>
    <w:p w14:paraId="69553C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自定义点评方案模板</w:t>
      </w:r>
    </w:p>
    <w:p w14:paraId="2E8F6E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具备查看和复制不同类型门急诊处方和住院医嘱系统默认专项点评方案模板的功能；</w:t>
      </w:r>
    </w:p>
    <w:p w14:paraId="0E33CE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具备为不同类型门急诊处方和住院医嘱专项点评创建自定义点评方案模板的功能。</w:t>
      </w:r>
    </w:p>
    <w:p w14:paraId="62E6CB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自定义评价内容</w:t>
      </w:r>
    </w:p>
    <w:p w14:paraId="4BC2D3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具备自定义创建特殊评价项目和评价内容；</w:t>
      </w:r>
    </w:p>
    <w:p w14:paraId="3A1A8B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具备自定义特殊评价项目的问题严重等级和问题扣分标准的功能。</w:t>
      </w:r>
    </w:p>
    <w:p w14:paraId="1B88F78E">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一、 数据可视化（Dashboard）</w:t>
      </w:r>
    </w:p>
    <w:p w14:paraId="5B64CC4F">
      <w:pPr>
        <w:pStyle w:val="37"/>
        <w:keepNext w:val="0"/>
        <w:keepLines w:val="0"/>
        <w:widowControl/>
        <w:suppressLineNumbers w:val="0"/>
        <w:spacing w:before="150" w:beforeAutospacing="0" w:after="150" w:afterAutospacing="0" w:line="420" w:lineRule="atLeast"/>
        <w:ind w:left="0" w:right="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处方点评需能统计药师点评工作情况和处方点评结果，并按统计图表显示处方点评统计结果。具体要求如下：</w:t>
      </w:r>
    </w:p>
    <w:p w14:paraId="230920A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卡片式首页</w:t>
      </w:r>
    </w:p>
    <w:p w14:paraId="02BCBC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药师和医师账号登录后，可按卡片式显示相应的点评工作和临床反馈的首页信息，具体要求如下：</w:t>
      </w:r>
    </w:p>
    <w:p w14:paraId="2B11C0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卡片式药师首页</w:t>
      </w:r>
    </w:p>
    <w:p w14:paraId="3D8136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具备按不同用户统计处方点评工作中各阶段性任务数的功能；</w:t>
      </w:r>
    </w:p>
    <w:p w14:paraId="718155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具备显示用户最新任务清单及点评任务进度的功能；</w:t>
      </w:r>
    </w:p>
    <w:p w14:paraId="3D706C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具备以卡片形式显示医院开通的点评模块的功能；</w:t>
      </w:r>
    </w:p>
    <w:p w14:paraId="6DE0C9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具备在点评模块卡片中显示用户需完成点评工作的功能；</w:t>
      </w:r>
    </w:p>
    <w:p w14:paraId="20FC7E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具备用户自定义设置显示和排序点评模块卡片的功能。</w:t>
      </w:r>
    </w:p>
    <w:p w14:paraId="4EE630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卡片式医师首页</w:t>
      </w:r>
    </w:p>
    <w:p w14:paraId="4081F8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具备以卡片形式显示医师需要处理的点评结果统计数值，并可快速打开反馈任务数值对应的点评工作表列表；</w:t>
      </w:r>
    </w:p>
    <w:p w14:paraId="1AA145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具备医师可查看公示已结束的点评工作表及处方点评结果。</w:t>
      </w:r>
    </w:p>
    <w:p w14:paraId="0C6C271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点评工作统计</w:t>
      </w:r>
    </w:p>
    <w:p w14:paraId="484853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可通过图表形式来统计药师的各个点评阶段的任务完成情况和统计查看临床对于药师点评审核的反馈情况。具体要求如下：</w:t>
      </w:r>
    </w:p>
    <w:p w14:paraId="1B0AC7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点评工作量统计</w:t>
      </w:r>
    </w:p>
    <w:p w14:paraId="14F066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具备按不同点评类型/不同药师统计完成的处方点评阶段性任务的功能；</w:t>
      </w:r>
    </w:p>
    <w:p w14:paraId="3701C0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具备按不同点评类型/不同药师统计完成的处方点评工作明细的功能；</w:t>
      </w:r>
    </w:p>
    <w:p w14:paraId="4D0E04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具备按用户/点评类型/时间筛选点评任务完成情况的功能；</w:t>
      </w:r>
    </w:p>
    <w:p w14:paraId="6BF6B15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具备用统计图表显示点评任务完成情况的功能；</w:t>
      </w:r>
    </w:p>
    <w:p w14:paraId="36A6DB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具备统计数据下钻查看点评任务和处方/病历点评结果明细的功能。</w:t>
      </w:r>
    </w:p>
    <w:p w14:paraId="03F615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点评工作成效统计</w:t>
      </w:r>
    </w:p>
    <w:p w14:paraId="3E3749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具备对药师点评工作的复评认可率/审核认可率/回复采纳率/点评认可率进行统计的功能；</w:t>
      </w:r>
    </w:p>
    <w:p w14:paraId="24B43E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具备按用户/点评类型/时间筛选处方点评工作有效性的功能；</w:t>
      </w:r>
    </w:p>
    <w:p w14:paraId="4B43C7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具备用统计图表显示处方点评工作有效性的功能。</w:t>
      </w:r>
    </w:p>
    <w:p w14:paraId="1DA5D216">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点评结果统计</w:t>
      </w:r>
    </w:p>
    <w:p w14:paraId="6D1AB9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可用图表形式展示月度门诊处方和住院病历的点评比例以及可对处方、病历的合理率进行统计展示。具体要求如下：</w:t>
      </w:r>
    </w:p>
    <w:p w14:paraId="48D20A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点评情况统计</w:t>
      </w:r>
    </w:p>
    <w:p w14:paraId="7C7D50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具备按月份统计门急诊处方点评数/人次数、住院病历点评数以及点评占比的功能；</w:t>
      </w:r>
    </w:p>
    <w:p w14:paraId="58F100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具备按时间筛选并统计门急诊处方点评数/人次数、住院病历点评数以及点评占比的功能；</w:t>
      </w:r>
    </w:p>
    <w:p w14:paraId="35C38E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具备用统计图表显示门急诊处方点评数和住院病历点评数的功能；</w:t>
      </w:r>
    </w:p>
    <w:p w14:paraId="660EDA8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具备统计数据下钻查看点评任务和处方/病历点评结果明细的功能。</w:t>
      </w:r>
    </w:p>
    <w:p w14:paraId="792439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点评合理性统计</w:t>
      </w:r>
    </w:p>
    <w:p w14:paraId="42D34D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具备按月份统计门急诊处方和住院病历点评合理率的功能；</w:t>
      </w:r>
    </w:p>
    <w:p w14:paraId="756F74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具备按时间筛选并统计门急诊处方和住院病历点评合理率的功能；</w:t>
      </w:r>
    </w:p>
    <w:p w14:paraId="540207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具备按时间筛选并对门诊处方/急诊处方/住院病历和住院医嘱点评合理率进行统计的功能；</w:t>
      </w:r>
    </w:p>
    <w:p w14:paraId="11B033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具备按时间筛选并对门诊处方/急诊处方和住院医嘱不合理处方进行统计的功能；</w:t>
      </w:r>
    </w:p>
    <w:p w14:paraId="5C645C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具备按时间筛选并对门诊处方/急诊处方和住院医嘱点评的不合理问题数进行排行的功能；</w:t>
      </w:r>
    </w:p>
    <w:p w14:paraId="1F7405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具备用统计图表显示门急诊处方和住院病历点评结果合理性的功能；</w:t>
      </w:r>
    </w:p>
    <w:p w14:paraId="6A67D1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具备统计数据下钻查看门急诊处方和住院病历点评结果明细的功能。</w:t>
      </w:r>
    </w:p>
    <w:p w14:paraId="68E5DE8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点评结果汇总</w:t>
      </w:r>
    </w:p>
    <w:p w14:paraId="4BFB4B4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可汇总所有点评的报表和点评结果，通过科室、医生、药师维度查看相关点评记录情况。具体要求如下：</w:t>
      </w:r>
    </w:p>
    <w:p w14:paraId="6B3E0F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点评工作表查看</w:t>
      </w:r>
    </w:p>
    <w:p w14:paraId="3BB4AE1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具备汇总所有已生成的门急诊处方和住院病历点评工作表；</w:t>
      </w:r>
    </w:p>
    <w:p w14:paraId="352C2F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具备按科室、医生及操作药师等筛选点评工作表。</w:t>
      </w:r>
    </w:p>
    <w:p w14:paraId="1CFDBBF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具备合并筛选的多张点评工作表，并生成汇总的常规统计报表。</w:t>
      </w:r>
    </w:p>
    <w:p w14:paraId="21D1AF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跨任务处方点评结果查看</w:t>
      </w:r>
    </w:p>
    <w:p w14:paraId="703884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具备汇总所有已生成点评工作表的门急诊处方点评记录；</w:t>
      </w:r>
    </w:p>
    <w:p w14:paraId="2B2C26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具备按点评类型、点评结果、操作者等筛选门急诊处方点评记录。</w:t>
      </w:r>
    </w:p>
    <w:p w14:paraId="308F183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跨任务病历点评结果查看</w:t>
      </w:r>
    </w:p>
    <w:p w14:paraId="2BC6EFB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具备汇总所有已生成点评工作表的住院病历点评记录；</w:t>
      </w:r>
    </w:p>
    <w:p w14:paraId="0AB2D3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具备按点评类型、点评结果、操作者等筛选住院病历点评记录。</w:t>
      </w:r>
    </w:p>
    <w:p w14:paraId="534BE7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临床反馈统计及查看</w:t>
      </w:r>
    </w:p>
    <w:p w14:paraId="661C12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具备汇总处方点评结果临床反馈的功能；</w:t>
      </w:r>
    </w:p>
    <w:p w14:paraId="342D387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具备按时间、点评类型、医师等条件筛选临床反馈的功能；</w:t>
      </w:r>
    </w:p>
    <w:p w14:paraId="711994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具备统计临床反馈相关指标的功能；</w:t>
      </w:r>
    </w:p>
    <w:p w14:paraId="6655B0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具备导出处方点评结果医师反馈统计表的功能。</w:t>
      </w:r>
    </w:p>
    <w:p w14:paraId="056901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存在问题统计</w:t>
      </w:r>
    </w:p>
    <w:p w14:paraId="69766E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具备按医师和按药品分类汇总统计处方点评中存在问题的情况；</w:t>
      </w:r>
    </w:p>
    <w:p w14:paraId="14FFB4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具备按科室、医生、药品等筛选存在问题统计；</w:t>
      </w:r>
    </w:p>
    <w:p w14:paraId="702ACE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具备导出处方点评存在问题统计结果。</w:t>
      </w:r>
    </w:p>
    <w:p w14:paraId="5D3B0FFE">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二、 系统个性化配置</w:t>
      </w:r>
    </w:p>
    <w:p w14:paraId="7995D7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可对处方点评流程及功能进行配置和管理，对点评结果报表、回复模板等进行个性化配置，具体要求如下：</w:t>
      </w:r>
    </w:p>
    <w:p w14:paraId="72D76274">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处方点评个性化管理</w:t>
      </w:r>
    </w:p>
    <w:p w14:paraId="0B5511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对处方点评的流程，功能进行个性化设置，包含处方点评流程管理、抽取计划管理、点评工作查阅管理、信息屏蔽管理以及消息通知管理。具体要求如下：</w:t>
      </w:r>
    </w:p>
    <w:p w14:paraId="431E60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处方点评流程管理</w:t>
      </w:r>
    </w:p>
    <w:p w14:paraId="1FE50A7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具备对人工复评、点评审核、定期计划、临床反馈、点评结果推送、公示点评结果等功能进行开启/关闭操作的功能。</w:t>
      </w:r>
    </w:p>
    <w:p w14:paraId="62E6F9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具备对不同类型点评模块的点评流程进行分别设置的功能；</w:t>
      </w:r>
    </w:p>
    <w:p w14:paraId="5D629D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具备对药师查看点评工作内容范围进行管理的功能；</w:t>
      </w:r>
    </w:p>
    <w:p w14:paraId="208ABA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抽取计划管理</w:t>
      </w:r>
    </w:p>
    <w:p w14:paraId="10C87B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具备设置是否开放定期计划抽取处方/病历的模式。</w:t>
      </w:r>
    </w:p>
    <w:p w14:paraId="29F23D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内容公示管理</w:t>
      </w:r>
    </w:p>
    <w:p w14:paraId="194AF4F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具备只公示有问题处方和病历点评结果的功能；</w:t>
      </w:r>
    </w:p>
    <w:p w14:paraId="3AB232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具备自定义设置医师可查阅已公示处方的天数；</w:t>
      </w:r>
    </w:p>
    <w:p w14:paraId="6FFFC8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点评结果查阅管理</w:t>
      </w:r>
    </w:p>
    <w:p w14:paraId="31D233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具备对医师查看点评结果范围进行管理的功能；</w:t>
      </w:r>
    </w:p>
    <w:p w14:paraId="457AF5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信息屏蔽管理</w:t>
      </w:r>
    </w:p>
    <w:p w14:paraId="704994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具备对药师屏蔽处方医师信息进行管理的功能；</w:t>
      </w:r>
    </w:p>
    <w:p w14:paraId="68DF50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具备对医师屏蔽点评人信息进行管理的功能；</w:t>
      </w:r>
    </w:p>
    <w:p w14:paraId="057613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具备对医师和药师屏蔽患者信息进行管理的功能。</w:t>
      </w:r>
    </w:p>
    <w:p w14:paraId="69270D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消息通知管理</w:t>
      </w:r>
    </w:p>
    <w:p w14:paraId="0155A2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具备对处方点评系统中消息功能进行管理的功能；</w:t>
      </w:r>
    </w:p>
    <w:p w14:paraId="21DE23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处方点评工作台设置</w:t>
      </w:r>
    </w:p>
    <w:p w14:paraId="4E2F337F">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对处方点评相关的工作台的界面字段的显示进行自定义设置</w:t>
      </w:r>
    </w:p>
    <w:p w14:paraId="77A85A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抽取条件个性化设置</w:t>
      </w:r>
    </w:p>
    <w:p w14:paraId="60BD8C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具备自定义设置常用的抽取条件优先展示的功能，提升抽取工作效率。</w:t>
      </w:r>
    </w:p>
    <w:p w14:paraId="296361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表单模板个性化设置</w:t>
      </w:r>
    </w:p>
    <w:p w14:paraId="5ED77A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具备自定设置处方点评中各表单的默认字段显示设置，也可以快速调整单张表单字段的功能。</w:t>
      </w:r>
    </w:p>
    <w:p w14:paraId="19FB92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处方笺个性化设置</w:t>
      </w:r>
    </w:p>
    <w:p w14:paraId="2EE4D4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具备自定义设置显示和调整处方笺中字段的功能。</w:t>
      </w:r>
    </w:p>
    <w:p w14:paraId="0FE873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住院患者信息个性化设置</w:t>
      </w:r>
    </w:p>
    <w:p w14:paraId="74043B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具备自定义设置显示和调整住院患者信息中字段的功能。</w:t>
      </w:r>
    </w:p>
    <w:p w14:paraId="6A0C757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点评结果显示个性化设置</w:t>
      </w:r>
    </w:p>
    <w:p w14:paraId="308760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具备自定义设置门诊、住院、临床反馈中的点评结果统计报表中显示字段的设置和调整。</w:t>
      </w:r>
    </w:p>
    <w:p w14:paraId="2EF1706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回复模板</w:t>
      </w:r>
    </w:p>
    <w:p w14:paraId="3B9050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需要可进行回复模板自定义设置，方便线上快捷沟通反馈。具体要求如下：</w:t>
      </w:r>
    </w:p>
    <w:p w14:paraId="092246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自定义回复模板</w:t>
      </w:r>
    </w:p>
    <w:p w14:paraId="5D07C6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具备对处方点评系统中所有需人工回复的模块可进行自定义回复模板设置；</w:t>
      </w:r>
    </w:p>
    <w:p w14:paraId="6A4BFF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具备通过不同工作模块的条件来筛选对应的自定义回复模板的功能；</w:t>
      </w:r>
    </w:p>
    <w:p w14:paraId="2D4CDEE8">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药品属性设置</w:t>
      </w:r>
    </w:p>
    <w:p w14:paraId="6AC9E1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需要可自定义创建新的药品大类，作为处方点评抽取和筛选的条件</w:t>
      </w:r>
    </w:p>
    <w:p w14:paraId="6CC078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自定义药品属性</w:t>
      </w:r>
    </w:p>
    <w:p w14:paraId="58E9A5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具备关联医疗机构药品字典及药品标识的功能；</w:t>
      </w:r>
    </w:p>
    <w:p w14:paraId="053D08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具备从药品清单中选择或批量导入药品清单创建自定义药品属性的功能；</w:t>
      </w:r>
    </w:p>
    <w:p w14:paraId="372D831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具备对自定义药品属性进行多条件筛选和关键词搜索的功能；</w:t>
      </w:r>
    </w:p>
    <w:p w14:paraId="5C4DF45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点评规则屏蔽</w:t>
      </w:r>
    </w:p>
    <w:p w14:paraId="2354B2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需要可屏蔽指定点评的问题规则，使同样的问题认为是合理的。</w:t>
      </w:r>
    </w:p>
    <w:p w14:paraId="64A0D5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处方点评规则屏蔽</w:t>
      </w:r>
    </w:p>
    <w:p w14:paraId="73DC063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具备在点评不合理问题处方或病历时，可一键设置指定点评规则屏蔽的功能；</w:t>
      </w:r>
    </w:p>
    <w:p w14:paraId="1E2514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具备单个或批量撤消已屏蔽规则的功能；</w:t>
      </w:r>
    </w:p>
    <w:p w14:paraId="3AC978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具备导出已屏蔽规则记录的功能。</w:t>
      </w:r>
    </w:p>
    <w:p w14:paraId="27E86FA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临床信息系统与处方点评系统对接</w:t>
      </w:r>
    </w:p>
    <w:p w14:paraId="24AB43C4">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3.1.5.5药学智库</w:t>
      </w:r>
    </w:p>
    <w:p w14:paraId="726CD39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（1）药学知识库</w:t>
      </w:r>
    </w:p>
    <w:p w14:paraId="5E7E43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系统知识库匹配模块，建设药品字典、给药途径、用药频次等匹配工具，便于医疗机构根据自身药库的情况对药品信息进行添加和更新，并可通过自定义规则对用药分析规则进行可视化的建设和管理。</w:t>
      </w:r>
    </w:p>
    <w:p w14:paraId="64E893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功能要求：需实现自定义规则工具的建设，以及药品字典、给药途径、用药频次等匹配工具的建设以及初始化匹配预设等功能。</w:t>
      </w:r>
    </w:p>
    <w:p w14:paraId="465A77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具体功能要求如下：</w:t>
      </w:r>
    </w:p>
    <w:p w14:paraId="1895384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药品规则概览</w:t>
      </w:r>
    </w:p>
    <w:p w14:paraId="535847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对系统规则提供查询功能。具体要求如下：</w:t>
      </w:r>
    </w:p>
    <w:p w14:paraId="041457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具备可查看系统中不同类型规则的规则标题、规则药品数量、规则总数、禁用规则数、慎用规则数以及自定义规则的功能。</w:t>
      </w:r>
    </w:p>
    <w:p w14:paraId="0BBB1A27">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自定义规则建设</w:t>
      </w:r>
    </w:p>
    <w:p w14:paraId="1AF7B5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需实现用药分析规则的个性化建设，并可对可视化自定义规则进行管理操作。具体要求如下：</w:t>
      </w:r>
    </w:p>
    <w:p w14:paraId="7DF2EA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具备创建全新的单一药品或药品大类的用药分析规则的功能；</w:t>
      </w:r>
    </w:p>
    <w:p w14:paraId="1D793A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具备对已有自定义规则进行修改和复制等管理的功能；</w:t>
      </w:r>
    </w:p>
    <w:p w14:paraId="3BD9B4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具备查看自定义规则操作人员、创建和修改时间的功能</w:t>
      </w:r>
    </w:p>
    <w:p w14:paraId="5FFFE2D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药品字典管理</w:t>
      </w:r>
    </w:p>
    <w:p w14:paraId="54A10A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对医院药品字典数据和系统药品字典数据进行对照。具体要求如下：   </w:t>
      </w:r>
    </w:p>
    <w:p w14:paraId="22EBF7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具备对新增药品信息自动获取和匹配的功能；</w:t>
      </w:r>
    </w:p>
    <w:p w14:paraId="4BC3FAF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具备通过药品类型和时间段来筛选查询药品未匹配记录、待确认记录、匹配记录等查询的功能；</w:t>
      </w:r>
    </w:p>
    <w:p w14:paraId="4D58D6D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具备对药品字典数据进行自动匹配和手动匹配两种模式的功能；</w:t>
      </w:r>
    </w:p>
    <w:p w14:paraId="494B3D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具备药品说明书上传pdf格式和图片查看；</w:t>
      </w:r>
    </w:p>
    <w:p w14:paraId="1EF520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具备根据不同人群、给药途径、诊断进行药品用量维护，超低和超高常规量维护；</w:t>
      </w:r>
    </w:p>
    <w:p w14:paraId="4C1590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具备可选择某药品适应症监测的范围</w:t>
      </w:r>
    </w:p>
    <w:p w14:paraId="3860FB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具备维护不可掰药品，使其必须按整粒或整片服用；</w:t>
      </w:r>
    </w:p>
    <w:p w14:paraId="41A206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具备维护在开具药品时提醒医生过敏药物、警示药物和慎用药物的提示；</w:t>
      </w:r>
    </w:p>
    <w:p w14:paraId="7E81DC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具备维护药品不良反应提示功能。</w:t>
      </w:r>
    </w:p>
    <w:p w14:paraId="7A931430">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给药途径匹配管理</w:t>
      </w:r>
    </w:p>
    <w:p w14:paraId="4C998A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对医院药品给药途径字典数据和系统给药途径字典数据进行对照。具体要求如下：</w:t>
      </w:r>
    </w:p>
    <w:p w14:paraId="5D3344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具备可维护药品给药途径，进行查看、修改、确认匹配信息的功能。</w:t>
      </w:r>
    </w:p>
    <w:p w14:paraId="4C030CB8">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5. 给药频次匹配管理</w:t>
      </w:r>
    </w:p>
    <w:p w14:paraId="5B83C3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对医院药品给药途频次字典数据和系统给药频次字典数据进行对照。具体要求如下：</w:t>
      </w:r>
    </w:p>
    <w:p w14:paraId="60A98F6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具备可维护药品给药频次，进行查看、修改、确认匹配信息的功能。</w:t>
      </w:r>
    </w:p>
    <w:p w14:paraId="2E908CF4">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6. 药品溶媒维护</w:t>
      </w:r>
    </w:p>
    <w:p w14:paraId="2BFEA5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对医院药品溶媒规则进行自定义。具体要求如下：</w:t>
      </w:r>
    </w:p>
    <w:p w14:paraId="3CA791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具备维护溶媒清单，可一键匹配医院新进的溶媒进入溶媒清单；</w:t>
      </w:r>
    </w:p>
    <w:p w14:paraId="42FB73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具备维护药品的可用溶媒、禁用溶媒、初溶溶媒和另加溶媒；</w:t>
      </w:r>
    </w:p>
    <w:p w14:paraId="273206B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具备维护药品溶媒的浓度范围和体积范围。</w:t>
      </w:r>
    </w:p>
    <w:p w14:paraId="20FA59C0">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7. 肠外营养液药品维护</w:t>
      </w:r>
    </w:p>
    <w:p w14:paraId="7F66571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对医院TPN药品规则进行自定义维护。具体要求如下：</w:t>
      </w:r>
    </w:p>
    <w:p w14:paraId="031B63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具备维护肠外营养液的各项能量指标；</w:t>
      </w:r>
    </w:p>
    <w:p w14:paraId="379450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具备维护肠外营养液组的审核指标；</w:t>
      </w:r>
    </w:p>
    <w:p w14:paraId="4F52F0A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具备肠外营养液的指标计算工具。</w:t>
      </w:r>
    </w:p>
    <w:p w14:paraId="7AB85F45">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8. 儿童默认身高体重维护</w:t>
      </w:r>
    </w:p>
    <w:p w14:paraId="2B6029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对儿童默认身高体重进行自定义维护。具体要求如下：</w:t>
      </w:r>
    </w:p>
    <w:p w14:paraId="4BF534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具备按中国儿童体格发育调查协作组和首都儿科研究所生长发育研究室发布的儿童发育身高/体重标准差单位值，创建默认的18岁以下男、女中位身高和中位体重，并可自定义儿童身高/体重的功能。</w:t>
      </w:r>
    </w:p>
    <w:p w14:paraId="5D8E4C15">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9. 离子浓度维护</w:t>
      </w:r>
    </w:p>
    <w:p w14:paraId="4FC424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对离子浓度专项审查进行自定义维护。具体要求如下：</w:t>
      </w:r>
    </w:p>
    <w:p w14:paraId="1E56992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具备对同组注射剂的钾、钠、钙、镁离子总浓度审查规则自定义维护的功能。</w:t>
      </w:r>
    </w:p>
    <w:p w14:paraId="49468E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具备对单日补钾量上限进行自定义设置的功能。</w:t>
      </w:r>
    </w:p>
    <w:p w14:paraId="7853B53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10. 药品用药疗程规则维护</w:t>
      </w:r>
    </w:p>
    <w:p w14:paraId="678CC0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对药品用药疗程规则进行自定义维护。具体要求如下：</w:t>
      </w:r>
    </w:p>
    <w:p w14:paraId="618C74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具备结合患者诊断，自定义设置药品的用药疗程规则的功能。</w:t>
      </w:r>
    </w:p>
    <w:p w14:paraId="5CF41CB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11. 门诊静脉输液维护</w:t>
      </w:r>
    </w:p>
    <w:p w14:paraId="5CABAA2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具备按药品、诊断、科室、药房、医生等条件自定义设置门诊静脉输液药品监护白名单的功能。</w:t>
      </w:r>
    </w:p>
    <w:p w14:paraId="3C505291">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12. 自定义药品分类维护</w:t>
      </w:r>
    </w:p>
    <w:p w14:paraId="5E1B18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具备自定义创建不同的药品分类，可针对分类进行自定义规则管理的功能。</w:t>
      </w:r>
    </w:p>
    <w:p w14:paraId="06E3A795">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一、 用药规则分析引擎</w:t>
      </w:r>
    </w:p>
    <w:p w14:paraId="370D8C5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需自带共性化用药知识分析规则，需包含适应症分析、禁忌症分析、给药途径、给药频次、用法用量、相互作用、配伍禁忌、特殊人群用药适宜性等用药情况进行分析，且用药分析规则均有出处和事实依据说明。</w:t>
      </w:r>
    </w:p>
    <w:p w14:paraId="37F3774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功能要求：共性化用药知识分析规则可通过业务模块对其调用，在相关业务界面进行显示。</w:t>
      </w:r>
    </w:p>
    <w:p w14:paraId="4618CA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具体功能要求如下：</w:t>
      </w:r>
    </w:p>
    <w:p w14:paraId="7243E5D5">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 药品剂型审查</w:t>
      </w:r>
    </w:p>
    <w:p w14:paraId="10D3A8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具备对药品剂型和用药途径的适宜性进行自动分析，并提示分析结果的功能；</w:t>
      </w:r>
    </w:p>
    <w:p w14:paraId="36E228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具备对药品剂型和患者年龄的适宜性进行分析，并提示分析结果的功能；</w:t>
      </w:r>
    </w:p>
    <w:p w14:paraId="7AAF3D3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具备对药品剂型和患者性别的匹配性进行分析，并提示分析结果的功能。</w:t>
      </w:r>
    </w:p>
    <w:p w14:paraId="63D54BA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 药品给药途径审查</w:t>
      </w:r>
    </w:p>
    <w:p w14:paraId="72CAA0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具备对药品的禁用给药途径进行分析，并提示分析结果的功能；</w:t>
      </w:r>
    </w:p>
    <w:p w14:paraId="1BAAB4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具备对药品的未提及给药途径进行分析，并提示分析结果的功能；</w:t>
      </w:r>
    </w:p>
    <w:p w14:paraId="40A724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具备对学龄前儿童禁止肌肉注射含“苯甲醇”注射剂分析提示。</w:t>
      </w:r>
    </w:p>
    <w:p w14:paraId="0BFF6E5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 药品给药频次审查</w:t>
      </w:r>
    </w:p>
    <w:p w14:paraId="722EFF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具备结合患者生理状况，对单个药品的给药频次上限进行分析，并提示分析结果的功能；</w:t>
      </w:r>
    </w:p>
    <w:p w14:paraId="779802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具备结合患者生理状况，对单个药品的给药频次下限进行分析，并提示分析结果的功能。</w:t>
      </w:r>
    </w:p>
    <w:p w14:paraId="38759C4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4. 单张处方药品剂量审查</w:t>
      </w:r>
    </w:p>
    <w:p w14:paraId="32112B1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具备结合患者生理状况，对单个药品的单次用药极量进行分析，并提示分析结果的功能；</w:t>
      </w:r>
    </w:p>
    <w:p w14:paraId="312C542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具备结合患者生理状况，对单个药品的单日用药极量进行分析，并提示分析结果的功能；</w:t>
      </w:r>
    </w:p>
    <w:p w14:paraId="0FA605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具备结合患者生理状况，对单个药品的单次常用药量上下限进行分析，并提示分析结果的功能；</w:t>
      </w:r>
    </w:p>
    <w:p w14:paraId="7E544F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具备结合患者生理状况，对单个药品的单日常用量上下限进行分析，并提示分析结果的功能；</w:t>
      </w:r>
    </w:p>
    <w:p w14:paraId="102872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具备对单个药品不可掰片服用的剂量进行分析，若开具的剂量不符合药品规格，则提示分析结果；</w:t>
      </w:r>
    </w:p>
    <w:p w14:paraId="70E206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具备对单个药品超倍数用量进行分析，若超出指定倍数，则提示分析结果；</w:t>
      </w:r>
    </w:p>
    <w:p w14:paraId="0DE618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具备对单个药品无效剂量进行分析，若开具的剂量过低，则并提示分析结果。</w:t>
      </w:r>
    </w:p>
    <w:p w14:paraId="572A64EF">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5. 疾病诊断与用药审查</w:t>
      </w:r>
    </w:p>
    <w:p w14:paraId="2635CC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具备结合患者诊断和相关临床依据，对患者用药的适应症进行自动分析，并提示分析结果的功能；</w:t>
      </w:r>
    </w:p>
    <w:p w14:paraId="0B91EB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具备结合患者性别和诊断信息，对患者性别与所开具的诊断是否相符进行自动分析，并提示分析结果的功能；</w:t>
      </w:r>
    </w:p>
    <w:p w14:paraId="08947F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具备结合患者中医诊断和中医证型，对中药适宜性进行自动分析，并提示分析结果的功能；</w:t>
      </w:r>
    </w:p>
    <w:p w14:paraId="645FC5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具备在手术期预防性使用质子泵抑制剂的情况下，对患者用药的适应症分析不进行提示的功能；</w:t>
      </w:r>
    </w:p>
    <w:p w14:paraId="19FCC9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具备支持多药物联用情况下，对患者用药的适应症不进行分析的功能</w:t>
      </w:r>
    </w:p>
    <w:p w14:paraId="020A653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具备支持多药物联用情况下，对患者用药的禁忌症不进行分析的功能。</w:t>
      </w:r>
    </w:p>
    <w:p w14:paraId="17F4DE7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6. 体内相互作用审查</w:t>
      </w:r>
    </w:p>
    <w:p w14:paraId="4B855B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具备对不同药物和不同成药物成分之间的相互作用进行分析，并提示注意事项的功能；</w:t>
      </w:r>
    </w:p>
    <w:p w14:paraId="7316A7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具备药物与含酒精成分的药物相互作用进行分析，并提示注意事项的功能；</w:t>
      </w:r>
    </w:p>
    <w:p w14:paraId="79C64B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具备对不同中成药成分之间的相互作用进行分析，并提示注意事项的功能。</w:t>
      </w:r>
    </w:p>
    <w:p w14:paraId="4880139A">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7. 重复用药智能审查</w:t>
      </w:r>
    </w:p>
    <w:p w14:paraId="3B9183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具备对相同通用名不同剂型的重复用药进行分析，并提示注意事项的功能；</w:t>
      </w:r>
    </w:p>
    <w:p w14:paraId="199C8F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具备对同类或作用机制相同的重复用药进行分析，并提示注意事项的功能；</w:t>
      </w:r>
    </w:p>
    <w:p w14:paraId="1D6A98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具备对相同药品或不同处方中的同个药被开具两次的情况进行分析，并提示注意事项的功能；</w:t>
      </w:r>
    </w:p>
    <w:p w14:paraId="38F4B1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具备对两种及以上同成分药同时开具的情况进行分析，并提示注意事项的功能；</w:t>
      </w:r>
    </w:p>
    <w:p w14:paraId="00DE79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具备对两种以上药理作用机制相同的中成药进行分析，并提示注意事项的功能；</w:t>
      </w:r>
    </w:p>
    <w:p w14:paraId="02888D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具备对相同抗菌谱/相同抗病毒图谱的重复用药进行分析，并提示注意事项的功能；</w:t>
      </w:r>
    </w:p>
    <w:p w14:paraId="1F3DC30C">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8. 门（急）诊处方超规定用药天数审查</w:t>
      </w:r>
    </w:p>
    <w:p w14:paraId="51FE23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具备对门急诊处方用药天数门诊可用七天、急诊可用三天进行分析，并提示分析结果的功能。</w:t>
      </w:r>
    </w:p>
    <w:p w14:paraId="1E2BC00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9. 药品过敏史与用药审查</w:t>
      </w:r>
    </w:p>
    <w:p w14:paraId="712632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具备结合既往药物过敏史，对用药适宜性进行自动分析，并提示分析结果的功能；</w:t>
      </w:r>
    </w:p>
    <w:p w14:paraId="3BFA28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具备结合既往药物过敏史，对两种或两种以上用药的交叉过敏情况进行自动分析，并提示分析结果的功能；</w:t>
      </w:r>
    </w:p>
    <w:p w14:paraId="17B951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具备结合既往药物过敏史，对开具药物的成分或辅料成分的过敏进行自动分析，并提示分析结果的功能；</w:t>
      </w:r>
    </w:p>
    <w:p w14:paraId="18B246B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具备结合既往食物过敏史，对开具药物的适宜性进行自动分析，并提示分析结果的功能。</w:t>
      </w:r>
    </w:p>
    <w:p w14:paraId="03F48F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具备可选择使用医院维护的过敏药品大类进行药物过敏分析</w:t>
      </w:r>
    </w:p>
    <w:p w14:paraId="2967A89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10. 跨处方医嘱用药审查</w:t>
      </w:r>
    </w:p>
    <w:p w14:paraId="2F5302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具备单日及支持多日对同一患者在不同科室开具的同一药品的累计用药量进行分析，并提示分析结果的功能；</w:t>
      </w:r>
    </w:p>
    <w:p w14:paraId="44A185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具备单日及支持多日对同一患者在不同科室开具处方上不同药物或不同药物大类的两两间相互作用进行分析，并提示分析结果的功能；</w:t>
      </w:r>
    </w:p>
    <w:p w14:paraId="7A8788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具备单日及支持多日对同一患者在不同科室开具的同一药品、同种药品和同药物成分的重复用药进行分析，并提示分析结果的功能；</w:t>
      </w:r>
    </w:p>
    <w:p w14:paraId="68A348C9">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11. 全年龄性别人群与用药专项审查</w:t>
      </w:r>
    </w:p>
    <w:p w14:paraId="77A6E2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具备结合未成年人、成年人和老年人根据性别，对其限制用药、禁慎用药等进行用药适宜性自动分析，并提示分析结果的功能；</w:t>
      </w:r>
    </w:p>
    <w:p w14:paraId="0C6656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具备结合诊断与患者性别，对其限制用药、禁慎用药等进行用药适宜性自动分析，并提示分析结果的功能。</w:t>
      </w:r>
    </w:p>
    <w:p w14:paraId="341E4E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具备对高龄老人多重用药进行分析，如：75岁以上老人开具药品大于5种，则提示注意事项的功能；</w:t>
      </w:r>
    </w:p>
    <w:p w14:paraId="1455382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12. 孕哺人群与用药专项审查</w:t>
      </w:r>
    </w:p>
    <w:p w14:paraId="73F9ED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具备结合患者病生理状态、孕周、诊断等条件，对其限制用药、禁慎用药等进行妊娠期用药自动分析，并提示分析结果的功能；</w:t>
      </w:r>
    </w:p>
    <w:p w14:paraId="1B2DA79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具备结合患者病生理状态、诊断等条件，对其限制用药、禁慎用药等进行哺乳期用药自动分析，并提示分析结果的功能；</w:t>
      </w:r>
    </w:p>
    <w:p w14:paraId="725685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具备对患者从孕妇到产妇的状态变更进行捕捉识别，并对以上相关用药进行分析的功能。</w:t>
      </w:r>
    </w:p>
    <w:p w14:paraId="37EBDBB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13. 特殊病生理与用药专项审查</w:t>
      </w:r>
    </w:p>
    <w:p w14:paraId="69EF1A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具备结合患者肝肾功能不全、癌痛、G-6-PD等特殊病生理状态，对其限制用药、禁慎用药等进行用药自动分析，并提示分析结果的功能。</w:t>
      </w:r>
    </w:p>
    <w:p w14:paraId="1C51499D">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14. 围术期抗菌药物用药专项审查</w:t>
      </w:r>
    </w:p>
    <w:p w14:paraId="35E76C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具备结合患者手术、切口信息，对抗菌药物在围手术期预防使用的品种选择适宜性自动分析，并提示分析结果的功能。</w:t>
      </w:r>
    </w:p>
    <w:p w14:paraId="373EC9F2">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15. 静脉输注药品专项审查</w:t>
      </w:r>
    </w:p>
    <w:p w14:paraId="4B100B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当开具有粉针剂类药物时，具备对需成组开具进行分析，并提示注意事项的功能。</w:t>
      </w:r>
    </w:p>
    <w:p w14:paraId="3F3EEB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具备对两种及以上静脉输注药品混合使用时是否存在配伍禁忌和配伍问题进行分析，并提示注意事项的功能；</w:t>
      </w:r>
    </w:p>
    <w:p w14:paraId="2F495D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具备对静脉输注药品的溶媒选择合理性进行分析，并提示注意事项的功能；</w:t>
      </w:r>
    </w:p>
    <w:p w14:paraId="14C03E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具备对中药注射剂单独开具处方进行提示的功能；</w:t>
      </w:r>
    </w:p>
    <w:p w14:paraId="1172D8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具备可自动识别肠外营养输液组配伍问题，从而不再分析普通输液药品的配伍问题，并可对肠外营养液各项指标范围进行分析，并提示注意事项的功能；</w:t>
      </w:r>
    </w:p>
    <w:p w14:paraId="1A9C68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具备对同组注射药品钾、钠、钙、镁等离子总浓度进行审查分析，并提示注意事项的功能；</w:t>
      </w:r>
    </w:p>
    <w:p w14:paraId="2BE17A8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具备对患者单日补钾量超过规定值进行提示的功能；</w:t>
      </w:r>
    </w:p>
    <w:p w14:paraId="114D32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具备自定义设置门诊静脉输液白名单的功能。</w:t>
      </w:r>
    </w:p>
    <w:p w14:paraId="5748E0E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16. 中药饮片专项用药分析</w:t>
      </w:r>
    </w:p>
    <w:p w14:paraId="7B248BA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具备对饮片间十八反十九畏，与西药、中成药之间的相互作用进行分析，并提示分析结果；</w:t>
      </w:r>
    </w:p>
    <w:p w14:paraId="4FEFCB2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具备结合患者生理状况对中药饮片用药剂量并可只针对毒性草药用量进行分析，并提示分析结果的功能；</w:t>
      </w:r>
    </w:p>
    <w:p w14:paraId="4652CE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具备对饮片处方的总剂量和总味数进行分析，并提示分析结果的功能；</w:t>
      </w:r>
    </w:p>
    <w:p w14:paraId="09EF0A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具备对饮片跨处方累计用量进行分析，并提示分析结果的功能；</w:t>
      </w:r>
    </w:p>
    <w:p w14:paraId="54D48A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具备结合患者妊娠期生理状况对中药饮片禁慎用药进行分析，并提示分析结果的功能；</w:t>
      </w:r>
    </w:p>
    <w:p w14:paraId="502D5D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具备结合患者哺乳期生理状况对中药饮片禁慎用药进行分析，并提示分析结果的功能；</w:t>
      </w:r>
    </w:p>
    <w:p w14:paraId="0DC081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具备对中药饮片重复用药进行分析，可仅对毒性草药重复用药进行分析，并提示分析结果的功能；</w:t>
      </w:r>
    </w:p>
    <w:p w14:paraId="101B6B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具备对有特殊煎煮要求的中药饮片如需先煎后煮的给药途径进行分析，并提示分析结果的功能。</w:t>
      </w:r>
    </w:p>
    <w:p w14:paraId="70CDF793">
      <w:pPr>
        <w:pStyle w:val="37"/>
        <w:keepNext w:val="0"/>
        <w:keepLines w:val="0"/>
        <w:widowControl/>
        <w:suppressLineNumbers w:val="0"/>
        <w:spacing w:before="0" w:beforeAutospacing="0" w:after="128" w:afterAutospacing="0" w:line="420" w:lineRule="atLeast"/>
        <w:ind w:left="420" w:right="0" w:hanging="42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17. 精麻毒药品专项开药量分析</w:t>
      </w:r>
    </w:p>
    <w:p w14:paraId="0BA7A7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具备对麻醉药品、精神药品和毒性药品开药量限制进行自动分析，并提示分析结果的功能；</w:t>
      </w:r>
    </w:p>
    <w:p w14:paraId="4DA180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具备对麻醉药品和精神药品使用天数限制进行分析，并提示分析结果的功能；</w:t>
      </w:r>
    </w:p>
    <w:p w14:paraId="3CC0A1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具备对麻醉药品和精神药品多日累积使用天数限制进行分析，并提示分析结果的功能。</w:t>
      </w:r>
    </w:p>
    <w:p w14:paraId="4AB4B5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具备对医生为自己开具麻醉、精神类药品进行管控的功能；</w:t>
      </w:r>
    </w:p>
    <w:p w14:paraId="2473FCF9">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3.1.5.6 病案统计系统</w:t>
      </w:r>
    </w:p>
    <w:p w14:paraId="1F67208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病案首页</w:t>
      </w:r>
    </w:p>
    <w:p w14:paraId="13F4FA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●病案首页录入</w:t>
      </w:r>
    </w:p>
    <w:p w14:paraId="7D0BA2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具备根据出院日期、医生提交日期、出院科室、逾期情况、标签、状态等条件查询出待录入的病案首页数据。</w:t>
      </w:r>
    </w:p>
    <w:p w14:paraId="705064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符合国家和各省卫生健康委员会最新发布的标准的中、西医病案首页信息的录入功能。病案首页内容按照基本信息、诊断信息、住院信息、手术信息、费用信息等模块划分的功能，可以通过点击通过选项卡切换的方式方便定位到对应模块的首页信息，也可以使用鼠标对整个首页进行滚动查看。</w:t>
      </w:r>
    </w:p>
    <w:p w14:paraId="140BD7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具备诊断、手术信息录入条目不受限制功能，可进行新增、插入、上移、下移、删除和手术复制操作。</w:t>
      </w:r>
    </w:p>
    <w:p w14:paraId="661C46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具备病案首页删除功能，可以选择性删除未录入的首页或已录入的首页，删除后的病案首页可以查看删除记录进行恢复。</w:t>
      </w:r>
    </w:p>
    <w:p w14:paraId="54B518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具备首页录入规则配置功能，提供不少于800条内置质控规则，包括国家住院病案首页数据质量管理与控制指标（2016）、公立医院绩效考核上报、HQMS上报等，且规则可以进行编辑和添加。</w:t>
      </w:r>
    </w:p>
    <w:p w14:paraId="162B0F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具备根据不同科室以及中、西医首页类型，在不同的时间段内启用不同的评分项和规则，规则可选择为错误类或提示类功能。</w:t>
      </w:r>
    </w:p>
    <w:p w14:paraId="1FADE9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校验功能，在首页录入保存时对首页数据的质量进行校验，返回所有错误问题列表。编码员可对问题进行忽略。点击具体的一个问题时，会自动定位到具体的首页录入框，且首页录入框会进行颜色标记并显示问题原因。</w:t>
      </w:r>
    </w:p>
    <w:p w14:paraId="455C62B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首页录入模板配置功能，可通过拖拽新增首页模板中的各个字段，拖拽调整首页项位置，修改首页分类和展示的栅格布局等。同时可在首页录入模板中直接配置所有首页字段是否必填、录入约束、长度、默认值（固定值/字典、其他首页项）、备注、是否禁用等。</w:t>
      </w:r>
    </w:p>
    <w:p w14:paraId="754E3A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具备病案首页样式自定义配置功能，在病案首页录入时，可以自定义配置病案首页的标题、录入框、提示等字体大小和背景颜色，同时支持默认模式和护眼模式切换。</w:t>
      </w:r>
    </w:p>
    <w:p w14:paraId="70E078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具备病案首页修改留痕功能，首页所有首页项的内容修改后都可以查询修改记录，包括修改前和修改后的数据对比，以及修改人和修改时间。</w:t>
      </w:r>
    </w:p>
    <w:p w14:paraId="1B4710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具备在录入界面快捷切换到上/下一份待录入或检索病案号的首页数据继续进行录入功能。</w:t>
      </w:r>
    </w:p>
    <w:p w14:paraId="598109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具备医生病案首页与病案室首页数据对比功能，支持同时显示医生提交的完整病案首页数据和病案室录入完成的完整病案首页数据，通过颜色标记出不同。</w:t>
      </w:r>
    </w:p>
    <w:p w14:paraId="3EA546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支持与住院医生站系统对接，接收病案首页数据和是否已提交等状态。</w:t>
      </w:r>
    </w:p>
    <w:p w14:paraId="1B5148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具备配置病案首页催交天数提醒功能，医生未提交病案首页，按配置的催交天数进行提醒。同时也支持人工催交。支持查询催交天数和催交次数。</w:t>
      </w:r>
    </w:p>
    <w:p w14:paraId="59B0DA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在首页录入时单份重新导入患者最新的费用信息。也支持批量首页费用重导，通过出院日期、首页状态、费用平衡状态等条件查询出病案信息，可以对病案首页的费用信息进行浏览、删除。</w:t>
      </w:r>
    </w:p>
    <w:p w14:paraId="31AAFC2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支持与病案无纸化系统对接，在首页录入时同一个界面右边显示病案无纸化的患者PDF病历文件，方便对比查看。</w:t>
      </w:r>
    </w:p>
    <w:p w14:paraId="63249D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●病案首页查询</w:t>
      </w:r>
    </w:p>
    <w:p w14:paraId="622745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具备多种病案首页查询功能，包括：按病案号、出院日期、录入时间、出院科室、手术诊断、手术医生、住院医生、主要诊断和次要诊断。</w:t>
      </w:r>
    </w:p>
    <w:p w14:paraId="1BCC71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具备自定义配置综合查询的查询条件功能，所有首页字段可作为查询条件，拖动首页项可任意组合成查询条件模板保存或者直接进行查询。</w:t>
      </w:r>
    </w:p>
    <w:p w14:paraId="4CB833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配置综合查询的结果显示模板功能，所有病案首页字段可作为查询结果列，对于设置结果列时可以拖动排列显示顺序，可以设置哪些作为查询条件的排序列，可以设置按病人显示查询、按诊断多行显示查询、手术多行显示查询。</w:t>
      </w:r>
    </w:p>
    <w:p w14:paraId="6AE743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具备所有首页字段作为查询结果展示功能，选择首页自动可任意组合成查询结果模板。</w:t>
      </w:r>
    </w:p>
    <w:p w14:paraId="524C9D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●数据字典管理</w:t>
      </w:r>
    </w:p>
    <w:p w14:paraId="538D1F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具备标准字典查询和维护功能，包括诊断字典、手术字典、地址字典、付款方式字典、关系字典、麻醉方式字典等。自带多套标准字典版本，不同时间段可启用不同字典版本。</w:t>
      </w:r>
    </w:p>
    <w:p w14:paraId="5BAA9B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具备权限科室维护功能，可维护人员对应菜单的权限科室、权限病区及工作科室。在首页录入、查询等有科室条件的菜单，只有权限科室才能选择，根据工作科室进行默认勾选。</w:t>
      </w:r>
    </w:p>
    <w:p w14:paraId="72FA48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具备病案处理时效配置功能，包含病案首页录入、医生提交的及时、逾期天数维护。</w:t>
      </w:r>
    </w:p>
    <w:p w14:paraId="65D7C52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具备在病案主页中显示病案待办项和用户自己的常用功能，待办项包括本期首页提交和首页录入的待办项和数量，点击数量跳转到对应的数据列表。</w:t>
      </w:r>
    </w:p>
    <w:p w14:paraId="7C5D64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●纸质病案回收</w:t>
      </w:r>
    </w:p>
    <w:p w14:paraId="049184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具备查询纸质病案回收情况、医生站病案首页是否提交状态功能。</w:t>
      </w:r>
    </w:p>
    <w:p w14:paraId="120619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具备通过查询条件查询病案进行批量回收或扫码枪扫码病案条码一键回收功能，本次回收和今日回收的病案能分别直观展示。</w:t>
      </w:r>
    </w:p>
    <w:p w14:paraId="534C0F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支持与医院信息系统对接，查询出区/出院患者的基本信息。</w:t>
      </w:r>
    </w:p>
    <w:p w14:paraId="29A13AF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●首页汇总分析</w:t>
      </w:r>
    </w:p>
    <w:p w14:paraId="41AA25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需提供对病案首页进行汇总分析功能，包括诊断编码汇总、录入工作量分析、首页录入对比查询、病案首页修改留痕查询、出院人数核对、医生提交首页分析、编码符合情况分析、病案回收录入概览。</w:t>
      </w:r>
    </w:p>
    <w:p w14:paraId="0EC2AE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诊断编码汇总功能，对全院或者指定科室、诊断类型，按照章节、类目、亚目、细目等展示编码分布情况，提供排序图表和汇总表格展示。点击编码能够查看到下级编码的排名情况，点击人数则可以查看具体患者的明细。可以按照科室显示数据，也可以展示全院的分布情况。</w:t>
      </w:r>
    </w:p>
    <w:p w14:paraId="3FC2188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具备其他查询分析功能，比如录入工作量分析、首页录入对比查询、病案首页修改留痕查询、出院人数核对、医生提交首页分析、编码符合情况分析、病案回收录入概览。</w:t>
      </w:r>
    </w:p>
    <w:p w14:paraId="3995E0B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统计报表</w:t>
      </w:r>
    </w:p>
    <w:p w14:paraId="488DD3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●日志管理</w:t>
      </w:r>
    </w:p>
    <w:p w14:paraId="35E04A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需提供对门诊工作日志、病房工作日志等进行导入、查询、修改和生成日报表的功能。</w:t>
      </w:r>
    </w:p>
    <w:p w14:paraId="3C1A78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具备各种工作日志的录入和修改功能。</w:t>
      </w:r>
    </w:p>
    <w:p w14:paraId="1E35E2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具备病案首页数据与病房动态日志数据间的平衡核查功能，可查看首页和日志的出院人数是否一致，可查看不一致数字差额的具体患者明细。</w:t>
      </w:r>
    </w:p>
    <w:p w14:paraId="1DF8FE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具备日志查询功能，可按照日期和科室条件进行日志数据查询。</w:t>
      </w:r>
    </w:p>
    <w:p w14:paraId="65CFB8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支持与医院信息系统对接，实现自动导入门诊、住院工作日志数据功能，包括：门诊工作日志、病房工作日志等汇总和患者明细日志数据。支持每天固定时间自动导入，也支持选择时间段导入。</w:t>
      </w:r>
    </w:p>
    <w:p w14:paraId="0E8C75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●门诊/住院报表统计</w:t>
      </w:r>
    </w:p>
    <w:p w14:paraId="2636F7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系统需提供基于门诊和病房日志数据以及病案首页数据进行报表设计、报表统计和报表管理功能，可对报表进行汇总、加锁、解锁、打印和导出等操作。</w:t>
      </w:r>
    </w:p>
    <w:p w14:paraId="000B6E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具备多种类型报表直接汇总功能，包括：日报、月报、季报、年报、台账、一览表、顺位表等报表。</w:t>
      </w:r>
    </w:p>
    <w:p w14:paraId="22B16F7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具备日报、月报、季报、年报汇总后会自动保存汇总数据功能。</w:t>
      </w:r>
    </w:p>
    <w:p w14:paraId="72AD84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具备报表加锁、解锁功能，已加锁的报表只能查看，不能重新汇总。</w:t>
      </w:r>
    </w:p>
    <w:p w14:paraId="19411B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标准的报表指标和统计维度数据，并可添加、修改、配置指标口径。需提供满足基本统计要求的标准指标数据，包括：首页人数相关、手术相关、门诊日志相关、占比相关、病房日志相关、首页费用相关、医疗质量相关、中医相关等。需提供不少于20个标准的统计维度或维度组，包括：科室维度、手术维度、病种维度、切口愈合等级维度、性别维度、时间维度、科室+手术维度组、病种+科室维度组等。</w:t>
      </w:r>
    </w:p>
    <w:p w14:paraId="7D21526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新报表设计的功能。选择报表指标和统计维度拖拽生成新报表，可以修改报表表头名称和调整列宽、设置多表头显示、拖拽列进行排序、设置顺位表、设置固定值、添加序号列、设置排序列、添加总计行、添加冻结列等功能，同时可以查看到指标的算法说明。打印模板可根据报表内容自动生成，并同时支持定制修改打印模板功能。配置的报表可以进行汇总、导出和打印，导出所见即所得。</w:t>
      </w:r>
    </w:p>
    <w:p w14:paraId="46D1BE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●病种管理</w:t>
      </w:r>
    </w:p>
    <w:p w14:paraId="3560C0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需提供对病种分类进行管理的功能，包括病种分类和具体病种条件维护，用于统计报表。</w:t>
      </w:r>
    </w:p>
    <w:p w14:paraId="6AFD04D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具备病种分类设置功能。</w:t>
      </w:r>
    </w:p>
    <w:p w14:paraId="5757C3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具备病种条件维护功能，包括：科室、住院天数、入院途径、年龄、住院次数、诊断信息、手术信息等条件组合而成，可添加诊断条件、手术条件组合成“且”“或”的单条件和条件组。</w:t>
      </w:r>
    </w:p>
    <w:p w14:paraId="66EB5CB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具备病种报表的自定义设计和统计功能，可通过维护的各种病种分类自定义配置成各种病种分类统计报表。病种报表中的病种分类基础数据可随政策要求变更，用户可以自定义维护变动的病种信息。</w:t>
      </w:r>
    </w:p>
    <w:p w14:paraId="7239FF2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国家网络直报系统 (卫统4表)上报</w:t>
      </w:r>
    </w:p>
    <w:p w14:paraId="46F26F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需提供满足卫统四首页上报要求的病案首页上报功能。</w:t>
      </w:r>
    </w:p>
    <w:p w14:paraId="7E6A2B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国家网络直报出院病人调查表上报要求对病案首页进行批量生成核查功能，将核查出的结果列在列表上，列表可以按日期进行汇总显示和按病案明细显示。病案明细包括首页基本信息、核查的提示类问题和错误类问题，可直接打开相应的病案首页进行编辑。</w:t>
      </w:r>
    </w:p>
    <w:p w14:paraId="29F9F9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具备按照日期生成上报数据，导出卫统4上报要求的文件，满足国家网络直报（卫统4表）的上报格式要求。</w:t>
      </w:r>
    </w:p>
    <w:p w14:paraId="6471C5F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具备首页上报按照日期导出其他格式文件，包括CSV、Excel格式、Excel中文表头格式。具备生成结果查看功能，可对病案生成值和原始值进行对比查看预览和导出。</w:t>
      </w:r>
    </w:p>
    <w:p w14:paraId="415A09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具备字典对照功能，院内麻醉方式、科室、诊断、手术等首页所有字典都可和上报要求标准字典不同的字典进行对照设置，字典值名称相同，快速自动对照。</w:t>
      </w:r>
    </w:p>
    <w:p w14:paraId="1634DA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上报字段配置和上报字典配置功能，上报字段配置包括新增上报字段、修改上报字段对应的病案首页字段、对应的字典、是否必填、字段类型、长度和默认值等功能，上报字典配置包含导入字典、新增字典、关联病案首页字典等功能。</w:t>
      </w:r>
    </w:p>
    <w:p w14:paraId="6B62CB7F">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HQMS首页数据上报系统</w:t>
      </w:r>
    </w:p>
    <w:p w14:paraId="10461F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需提供满足HQMS首页上报要求的病案首页上报功能。</w:t>
      </w:r>
    </w:p>
    <w:p w14:paraId="65F368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HQMS首页上报要求对病案首页进行批量生成核查功能，将核查出的结果列在列表上，列表可以按日期进行汇总显示和按病案明细显示。病案明细包括首页基本信息、核查的提示类问题和错误类问题，可直接打开相应的病案首页进行编辑。</w:t>
      </w:r>
    </w:p>
    <w:p w14:paraId="419285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具备字典对照功能，院内麻醉方式、科室、诊断、手术等首页所有字典都可和上报要求标准字典不同的字典进行对照设置，字典值名称相同，快速自动对照。</w:t>
      </w:r>
    </w:p>
    <w:p w14:paraId="4BD8A5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具备生成满足HQMS上报格式要求的文件进行导出功能。</w:t>
      </w:r>
    </w:p>
    <w:p w14:paraId="7D488D7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具备首页上报按照日期导出其他格式文件，包括CSV、Excel格式、Excel中文表头格式。具备生成结果查看功能，可对病案生成值和原始值进行对比查看预览和导出。</w:t>
      </w:r>
    </w:p>
    <w:p w14:paraId="19F8A5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上报字段配置和上报字典配置功能，上报字段配置包括新增上报字段、修改上报字段对应的病案首页字段、对应的字典、是否必填、字段类型、长度和默认值等功能，上报字典配置包含导入字典、新增字典、关联病案首页字典等功能。</w:t>
      </w:r>
    </w:p>
    <w:p w14:paraId="4A1239C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公立医院绩效考核病案首页上报系统</w:t>
      </w:r>
    </w:p>
    <w:p w14:paraId="09CC3D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需提供满足公立医院绩效考核首页上报要求的病案首页上报功能。</w:t>
      </w:r>
    </w:p>
    <w:p w14:paraId="28A18F6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具备根据公立医院绩效考核首页上报要求对病案首页进行批量生成核查功能，并能将核查结果生成列表，按按日期进行汇总显示和按病案进行明细显示。病案明细可按错误类病案、提示问题类病案进行过滤显示。</w:t>
      </w:r>
    </w:p>
    <w:p w14:paraId="7958D5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具备字典对照功能，院内麻醉方式、科室、诊断、手术等首页所有字典都可和上报要求标准字典不同的字典进行对照设置，字典值名称相同，快速自动对照。</w:t>
      </w:r>
    </w:p>
    <w:p w14:paraId="7FF6AA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具备导出符合上报要求的病案首页采集表、疾病诊断映射表、手术操作映射表功能。</w:t>
      </w:r>
    </w:p>
    <w:p w14:paraId="363938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具备首页上报按照日期导出其他格式文件，包括CSV、Excel格式、Excel中文表头格式。具备生成结果查看功能，可对病案生成值和原始值进行对比查看预览和导出。</w:t>
      </w:r>
    </w:p>
    <w:p w14:paraId="4D15C7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上报字段配置和上报字典配置功能，上报字段配置包括新增上报字段、修改上报字段对应的病案首页字段、对应的字典、是否必填、字段类型、长度和默认值等功能，上报字典配置包含导入字典、新增字典、关联病案首页字典等功能。</w:t>
      </w:r>
    </w:p>
    <w:p w14:paraId="0CE652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具备公立医院绩效考核中病案首页相关的指标生成统计报表功能。</w:t>
      </w:r>
    </w:p>
    <w:p w14:paraId="0F065950">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3.1.5.7不良事件上报管理系统</w:t>
      </w:r>
    </w:p>
    <w:p w14:paraId="3B6CFFA7">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不良事件上报</w:t>
      </w:r>
    </w:p>
    <w:p w14:paraId="72B4B3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提供事件统一处理工作台，能快速进入上报事件，并进行待办事项实时提醒和处理。</w:t>
      </w:r>
    </w:p>
    <w:p w14:paraId="16D86E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流程的自定义管理功能，根据医院的实际情况提供灵活的事件处理流程配置工具，支持审批环节的添加、修改、删除等操作，支持为不同的科室、病区设置对应的审批负责人，方便不同科室为不良事件配置对应的处理流程。</w:t>
      </w:r>
    </w:p>
    <w:p w14:paraId="477D67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具备自定义的权限管理功能，支持对用户进行账号授权、密码管理等，支持对用户进行角色的配置与授权，可以控制数据查询权限与审批权限，支持对角色的菜单进行授权，不同的角色有不同的菜单权限。</w:t>
      </w:r>
    </w:p>
    <w:p w14:paraId="65C1F5A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常用的数据与查询功能，支持全院的事件查询、提供多层级的事件查询报表，可以根据事件类别、事件级别、事件名称、事件发生的时间段、上报科室、患者年龄等上报的数据进行多方位的汇总，根据年、季度、月份的筛选，真实、全面、准确的了解事件的分布，为管理者提供数据分析支撑。</w:t>
      </w:r>
    </w:p>
    <w:p w14:paraId="5C154F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具备科室目标设置功能，可设置各部门需要上报数量的目标，监测完成情况，有权限的人员可查看自己的科室上报任务达成情况。</w:t>
      </w:r>
    </w:p>
    <w:p w14:paraId="62837E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支持上报的奖励统计功能，可根据实际情况开启/关闭上报奖励机制开关，开启后支持自定义设置具体事件上报奖励金额。</w:t>
      </w:r>
    </w:p>
    <w:p w14:paraId="5AAB3F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具备对超时未上报 / 未处理的事件进行超时上报提醒与统计功能，可根据医院的管理需要，开启/关闭超时上报提醒与统计功能，支持根据不同的事件等级对不良事件的上报时限进行管理。</w:t>
      </w:r>
    </w:p>
    <w:p w14:paraId="26FD92A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具备超时处理统计功能，可根据医院的管理需要，开启/关闭超时处理统计功能，支持根据不同的事件等级对不良事件的处理时限进行管理。</w:t>
      </w:r>
    </w:p>
    <w:p w14:paraId="45E7A2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表单的自定义管理功能，医院根据自身需求，可以定义事件类型及事件上报内容，支持对表单的排版格式、各类组件、文本内容、字典项等内容进行手动的添加、修改、删除等操作，满足医院对事件管理的多样性与全面性。</w:t>
      </w:r>
    </w:p>
    <w:p w14:paraId="68BF3C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具备匿名/非匿名上报功能，可以为不同的表单分别开启或关闭匿名上报功能，开启匿名上报功能后，上报人的相关个人信息会在后续审核过程中被隐藏。</w:t>
      </w:r>
    </w:p>
    <w:p w14:paraId="3EB306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具备跨级别上报功能，可以开启或关闭跨级别上报功能，上报人可以在审批环节中，任选其中一环节进行审核，该环节之后的审批流程正常进行。</w:t>
      </w:r>
    </w:p>
    <w:p w14:paraId="4C21124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具备对事件进行审核、驳回、归档、作废、跟踪、分发、转送、分享、关注等操作。</w:t>
      </w:r>
    </w:p>
    <w:p w14:paraId="3094EC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护理类不良事件</w:t>
      </w:r>
    </w:p>
    <w:p w14:paraId="4C1DA1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护理类不良事件的填报、处理、查询统计功能，包括烧烫伤事件、管路事件、跌倒/坠床事件、患者约束事件、误吸/误咽事件、营养与饮食事件、医疗安全事件、导管事件、标本事件、患者行为、压疮事件、输液不良反应、给药阶段错误、用血错误、病人财产事件、针刺伤事件、药品丢失、药物外渗、失禁相关性皮炎。</w:t>
      </w:r>
    </w:p>
    <w:p w14:paraId="18387E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支持与临床护理信息系统对接，实现自动获取压疮评分功能。</w:t>
      </w:r>
    </w:p>
    <w:p w14:paraId="735FF8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医疗类不良事件</w:t>
      </w:r>
    </w:p>
    <w:p w14:paraId="575A90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医疗类不良事件的填报、处理、查询统计功能，包括病人辨识事件、检查事件、手术事件、麻醉事件、医疗处置事件、非预期事件、医疗沟通事件、前术后诊断重大差异、信息传递错误事件、治疗错误事件、诊疗记录事件、方法/技术错误事件、手术相关并发症事件。</w:t>
      </w:r>
    </w:p>
    <w:p w14:paraId="176282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药品类不良事件</w:t>
      </w:r>
    </w:p>
    <w:p w14:paraId="59A5AA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药品类不良事件的填报、处理、查询统计功能，包括药品不良反应、化妆品不良反应、药物医嘱开立错误、药物调剂错误、传送过程错误、信息流转错误、药品召回事件、贵重药品丢失及损毁事件、特殊药品事件。</w:t>
      </w:r>
    </w:p>
    <w:p w14:paraId="7F92B2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支持与医院管理信息系统对接，实现调阅用药信息功能。</w:t>
      </w:r>
    </w:p>
    <w:p w14:paraId="5FE72A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输血类不良事件</w:t>
      </w:r>
    </w:p>
    <w:p w14:paraId="5CBC7E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具备输血类不良事件的填报、处理、查询统计功能，包括输血不良反应、输血不良事件。</w:t>
      </w:r>
    </w:p>
    <w:p w14:paraId="1DAC55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器械类不良事件</w:t>
      </w:r>
    </w:p>
    <w:p w14:paraId="0E2E68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具备在不良事件管理工作台上，进行器械不良事件的填报、处理、查询统计功能。</w:t>
      </w:r>
    </w:p>
    <w:p w14:paraId="0015B9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支持与物资管理系统对接，实现调阅医疗设备/医用耗材信息功能。</w:t>
      </w:r>
    </w:p>
    <w:p w14:paraId="44DC60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院感类不良事件</w:t>
      </w:r>
    </w:p>
    <w:p w14:paraId="73CDC2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具备院感类不良事件的填报、处理、查询统计功能，包括聚集性医院感染、特殊医院感染事件、医院感染防控隐患、多重耐药菌事件、医疗废物事件。</w:t>
      </w:r>
    </w:p>
    <w:p w14:paraId="5204C4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具备同时对多个患者、多个职工的感染情况进行上报功能。</w:t>
      </w:r>
    </w:p>
    <w:p w14:paraId="70F5D1AD">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3.1.5.8疾病上报系统</w:t>
      </w:r>
    </w:p>
    <w:p w14:paraId="125186F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传染病报告卡</w:t>
      </w:r>
    </w:p>
    <w:p w14:paraId="18AF2A5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要求具备《中华人民共和国传染病报告卡》弹卡、填卡、校验、审核、查询、导出、打印功能。</w:t>
      </w:r>
    </w:p>
    <w:p w14:paraId="623AB3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传染病报告卡填报与审核</w:t>
      </w:r>
    </w:p>
    <w:p w14:paraId="7B1311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传染病报告卡填报</w:t>
      </w:r>
    </w:p>
    <w:p w14:paraId="5E2268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具备传染病报告卡触发规则设置、过滤规则设置、强制填卡设置等功能。</w:t>
      </w:r>
    </w:p>
    <w:p w14:paraId="5296AE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具备自动触发传染病报告卡功能，也具备主动填卡功能。</w:t>
      </w:r>
    </w:p>
    <w:p w14:paraId="0B5D6E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具备填卡时自动获取患者基础信息（社会学信息、就诊信息、疾病信息）功能。</w:t>
      </w:r>
    </w:p>
    <w:p w14:paraId="2E23F5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具备填卡时展示当前病例的历史传染病报告卡功能。</w:t>
      </w:r>
    </w:p>
    <w:p w14:paraId="23E119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报卡提交时具备逻辑校验功能，不符合校验规则，则进行提示，提示项可集中展示。</w:t>
      </w:r>
    </w:p>
    <w:p w14:paraId="6BC879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具备报告卡暂存/保存功能，暂存/保存不做逻辑校验。</w:t>
      </w:r>
    </w:p>
    <w:p w14:paraId="63E70B8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具备报告卡编号自动生成功能，且卡片编号规则可设置。</w:t>
      </w:r>
    </w:p>
    <w:p w14:paraId="419538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传染病报告卡审核</w:t>
      </w:r>
    </w:p>
    <w:p w14:paraId="5868C8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具备任务集中处理功能，待审核任务可下钻查看详情。</w:t>
      </w:r>
    </w:p>
    <w:p w14:paraId="10BAED7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具备报告卡审核通过、退卡、删卡、修订功能。</w:t>
      </w:r>
    </w:p>
    <w:p w14:paraId="21159C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具备查看选中病例的报告卡详细信息功能。</w:t>
      </w:r>
    </w:p>
    <w:p w14:paraId="143DB2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具备批量审核、批量打印以及单张审核、单张打印功能。</w:t>
      </w:r>
    </w:p>
    <w:p w14:paraId="2AA7E77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具备报告卡筛选和查询功能，可根据报告卡状态（已保存未提交、已提交未审核、已审核、已退卡、已作废）、院区、科室/病区、时间进行筛选和查询。</w:t>
      </w:r>
    </w:p>
    <w:p w14:paraId="44C2BB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传染病报告卡登记簿</w:t>
      </w:r>
    </w:p>
    <w:p w14:paraId="260335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具备传染病报告卡自动生成传染病登记簿功能。</w:t>
      </w:r>
    </w:p>
    <w:p w14:paraId="2A7547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具备登记簿病例筛选和查询功能，可根据日期、科室/病区等条件查询。</w:t>
      </w:r>
    </w:p>
    <w:p w14:paraId="62B085A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具备传染病报告卡登记簿导出、打印功能。</w:t>
      </w:r>
    </w:p>
    <w:p w14:paraId="58C0887B">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居民死亡报告卡</w:t>
      </w:r>
    </w:p>
    <w:p w14:paraId="4A28C14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居民死亡报告卡填报</w:t>
      </w:r>
    </w:p>
    <w:p w14:paraId="5C8E26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具备死亡报告卡触发规则设置、过滤规则设置、强制填卡设置等功能。</w:t>
      </w:r>
    </w:p>
    <w:p w14:paraId="0F1D7A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具备自动触发死亡报告卡功能，也具备主动填卡功能。</w:t>
      </w:r>
    </w:p>
    <w:p w14:paraId="2017DB1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具备新增死亡报告卡时自动获取患者基础信息（社会学信息、就诊信息、疾病信息）功能。具备填报时展示当前病例历史报告卡功能。</w:t>
      </w:r>
    </w:p>
    <w:p w14:paraId="170D4F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具备报卡提交时逻辑校验功能，不符合校验规则，则进行提示，提示项可集中展示。</w:t>
      </w:r>
    </w:p>
    <w:p w14:paraId="35825C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具备报告卡暂存/保存功能，暂存/保存不做逻辑校验。</w:t>
      </w:r>
    </w:p>
    <w:p w14:paraId="3C6679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具备报告卡编号自动生成功能，且卡片编号规则可设置。</w:t>
      </w:r>
    </w:p>
    <w:p w14:paraId="37A13C3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居民死亡报告卡审核</w:t>
      </w:r>
    </w:p>
    <w:p w14:paraId="5544E15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具备任务集中处理功能，待审核任务可下钻查看详情。</w:t>
      </w:r>
    </w:p>
    <w:p w14:paraId="0E05E8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具备报告卡审核通过、退卡、删卡、修订功能。</w:t>
      </w:r>
    </w:p>
    <w:p w14:paraId="3206BE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具备查看选中病例的报告卡详细信息功能。</w:t>
      </w:r>
    </w:p>
    <w:p w14:paraId="7DFDCC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具备批量审核、批量打印以及单张审核、单张打印功能。</w:t>
      </w:r>
    </w:p>
    <w:p w14:paraId="1B3A1A2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具备报告卡筛选和查询功能，可根据报告卡状态（已保存未提交、已提交未审核、已审核、已退卡、已作废）、院区、科室/病区、时间进行筛选和查询。</w:t>
      </w:r>
    </w:p>
    <w:p w14:paraId="126AC6B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流感样病例登记卡</w:t>
      </w:r>
    </w:p>
    <w:p w14:paraId="2BCCDF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要求具备流感样病例报告卡弹卡、填卡、校验、审核、导出、打印、生成流感统计周报功能。具体功能要求如下：</w:t>
      </w:r>
    </w:p>
    <w:p w14:paraId="037305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具备设置流感监测科室功能。</w:t>
      </w:r>
    </w:p>
    <w:p w14:paraId="0FDA43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具备根据触发规则自动触发流感样病例登记卡功能，也具备具备主动上报功能。</w:t>
      </w:r>
    </w:p>
    <w:p w14:paraId="644F90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具备根据流感样病例登记卡生成流感统计周报功能。</w:t>
      </w:r>
    </w:p>
    <w:p w14:paraId="6F7D79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流感统计周报具备可根据科室、年龄段查询功能，且统计周报可导出。</w:t>
      </w:r>
    </w:p>
    <w:p w14:paraId="3817B13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心脑血管和肿瘤报告卡</w:t>
      </w:r>
    </w:p>
    <w:p w14:paraId="51EA4B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要求具备心脑血管事件报告卡、居民恶性肿瘤报告卡弹卡、填卡、校验、审核、导出、打印功能。具体功能要求如下：</w:t>
      </w:r>
    </w:p>
    <w:p w14:paraId="4BF889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心脑血管和肿瘤报告卡填报</w:t>
      </w:r>
    </w:p>
    <w:p w14:paraId="21B075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具备报告卡触发规则设置、过滤规则设置、强制填卡设置等功能。</w:t>
      </w:r>
    </w:p>
    <w:p w14:paraId="507AB8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具备自动触发心脑血管事件报告卡、居民恶性肿瘤报告卡功能，也具备主动填卡功能。</w:t>
      </w:r>
    </w:p>
    <w:p w14:paraId="35288D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具备新增报告卡时自动获取患者社会学信息功能。</w:t>
      </w:r>
    </w:p>
    <w:p w14:paraId="0D9FEF0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具备填报时展示当前病例历史报告卡功能。</w:t>
      </w:r>
    </w:p>
    <w:p w14:paraId="30FF71F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具备报卡提交时进行逻辑校验功能，不符合校验规则，则进行提示，提示项可集中展示。</w:t>
      </w:r>
    </w:p>
    <w:p w14:paraId="42F5A1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具备报告卡暂存/保存功能，暂存/保存不做逻辑校验。</w:t>
      </w:r>
    </w:p>
    <w:p w14:paraId="40CACA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具备报告卡编号自动生成功能，且卡片编号规则可设置。</w:t>
      </w:r>
    </w:p>
    <w:p w14:paraId="3E2E2B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心脑血管和肿瘤报告卡审核</w:t>
      </w:r>
    </w:p>
    <w:p w14:paraId="0D7FD6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具备任务集中处理功能，待审核任务可下钻查看详情。</w:t>
      </w:r>
    </w:p>
    <w:p w14:paraId="7991972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具备报告卡审核通过、退卡、删卡、修订功能。</w:t>
      </w:r>
    </w:p>
    <w:p w14:paraId="6791D6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具备查看选中病例的报告卡详细信息功能。</w:t>
      </w:r>
    </w:p>
    <w:p w14:paraId="6D7423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具备批量审核、批量打印以及单张审核、单张打印功能。</w:t>
      </w:r>
    </w:p>
    <w:p w14:paraId="260F36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具备报告卡筛选和查询功能，可根据报告卡状态（已保存未提交、已提交未审核、已审核、已退卡、已作废）、院区、科室/病区、时间进行筛选和查询。</w:t>
      </w:r>
    </w:p>
    <w:p w14:paraId="30BAD62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食源性疾病报告卡</w:t>
      </w:r>
    </w:p>
    <w:p w14:paraId="2CBC8E7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要求具备食源性疾病报告卡弹卡、填卡、校验、审核、导出、打印功能。具体功能要求如下：</w:t>
      </w:r>
    </w:p>
    <w:p w14:paraId="6B67A2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食源性疾病报告卡填报</w:t>
      </w:r>
    </w:p>
    <w:p w14:paraId="693C22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具备食源性疾病监测哨点医院和非哨点医院的不同填报要求功能。</w:t>
      </w:r>
    </w:p>
    <w:p w14:paraId="26D62E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具备食源性疾病报告卡触发规则设置、过滤规则设置、强制填卡设置等功能。</w:t>
      </w:r>
    </w:p>
    <w:p w14:paraId="37696C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具备根据触发规则自动触发食源性疾病报告卡功能，也具备主动填卡功能。</w:t>
      </w:r>
    </w:p>
    <w:p w14:paraId="4D3A94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具备新增报告卡时自动获取患者基础信息（社会学信息、就诊信息、疾病信息）功能。</w:t>
      </w:r>
    </w:p>
    <w:p w14:paraId="77FA5A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具备填报时展示当前病例历史报告卡功能。</w:t>
      </w:r>
    </w:p>
    <w:p w14:paraId="35B857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具备报卡提交时进行逻辑校验功能，不符合校验规则，则进行提示，提示项可集中展示。</w:t>
      </w:r>
    </w:p>
    <w:p w14:paraId="338979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具备报告卡暂存/保存功能，暂存/保存不做逻辑校验。</w:t>
      </w:r>
    </w:p>
    <w:p w14:paraId="6EFED6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具备报告卡编号自动生成功能，且卡片编号规则可设置。</w:t>
      </w:r>
    </w:p>
    <w:p w14:paraId="5ABF86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食源性疾病报告卡审核</w:t>
      </w:r>
    </w:p>
    <w:p w14:paraId="5D551A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具备任务集中处理功能，待审核任务可下钻查看详情。</w:t>
      </w:r>
    </w:p>
    <w:p w14:paraId="6CC015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具备报告卡审核通过、退卡、删卡、修订功能。</w:t>
      </w:r>
    </w:p>
    <w:p w14:paraId="05EFB1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具备查看选中病例的报告卡详细信息功能。</w:t>
      </w:r>
    </w:p>
    <w:p w14:paraId="45093F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具备批量审核、批量打印以及单张审核、单张打印功能。</w:t>
      </w:r>
    </w:p>
    <w:p w14:paraId="0A4B87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具备报告卡筛选和查询功能，可根据报告卡状态（已保存未提交、已提交未审核、已审核、已退卡、已作废）、院区、科室/病区、时间进行筛选和查询。</w:t>
      </w:r>
    </w:p>
    <w:p w14:paraId="27AEA903">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(6) 其他疾病报告卡</w:t>
      </w:r>
    </w:p>
    <w:p w14:paraId="3D840C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其他疾病报告卡填报</w:t>
      </w:r>
    </w:p>
    <w:p w14:paraId="5FA32D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具备根据触发规则自动触发相应的报告卡功能，也具备主动上报功能。</w:t>
      </w:r>
    </w:p>
    <w:p w14:paraId="33C4A70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具备新增报卡时自动获取患者基础信息（社会学信息、就诊信息、疾病信息）功能。</w:t>
      </w:r>
    </w:p>
    <w:p w14:paraId="3BB106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具备填报时当前病例历史报告卡功能。</w:t>
      </w:r>
    </w:p>
    <w:p w14:paraId="752B7D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具备报卡提交时进行逻辑校验功能，不符合校验规则，则进行提示，提示项可集中展示。</w:t>
      </w:r>
    </w:p>
    <w:p w14:paraId="7FB4D1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具备报告卡暂存/保存功能，暂存/保存不做逻辑校验。</w:t>
      </w:r>
    </w:p>
    <w:p w14:paraId="135755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具备报告卡编号自动生成功能，且卡片编号规则可设置。</w:t>
      </w:r>
    </w:p>
    <w:p w14:paraId="6908CD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其他疾病报告卡审核</w:t>
      </w:r>
    </w:p>
    <w:p w14:paraId="70299A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具备任务集中处理功能，待审核任务可下钻查看详情。</w:t>
      </w:r>
    </w:p>
    <w:p w14:paraId="3CE1C2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具备报告卡审核通过、退卡、删卡、修订功能。</w:t>
      </w:r>
    </w:p>
    <w:p w14:paraId="372E32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具备查看选中病例的报告卡详细信息功能。</w:t>
      </w:r>
    </w:p>
    <w:p w14:paraId="1B1F64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具备批量审核、批量打印以及单张审核、单张打印功能。</w:t>
      </w:r>
    </w:p>
    <w:p w14:paraId="00A806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具备报告卡筛选和查询功能，可根据报告卡状态（已保存未提交、已提交未审核、已审核、已退卡、已作废）、院区、科室/病区、时间进行筛选和查询。</w:t>
      </w:r>
    </w:p>
    <w:p w14:paraId="3AF8C1C4">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(7) 院内疾控助手</w:t>
      </w:r>
    </w:p>
    <w:p w14:paraId="0A9630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●报告卡未报查询</w:t>
      </w:r>
    </w:p>
    <w:p w14:paraId="794D47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报告卡未报包含：弹卡未填、非本地户籍、非本地居住、预警未报、过滤时限内无需上报。</w:t>
      </w:r>
    </w:p>
    <w:p w14:paraId="23EA534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未报列表展示患者基本信息、报卡名称、未报原因，需具备自定义显示字段功能。</w:t>
      </w:r>
    </w:p>
    <w:p w14:paraId="1B91049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具备组合条件查询未填报告卡列表功能，包含：按时段、患者来源、科室、病区、患者、报告卡名称、操作医生进行查询。</w:t>
      </w:r>
    </w:p>
    <w:p w14:paraId="32B97B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具备未报查询结果按周、月对比功能，可以图形化展示对比结果。</w:t>
      </w:r>
    </w:p>
    <w:p w14:paraId="6D705B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具备查询列表导出、打印功能。</w:t>
      </w:r>
    </w:p>
    <w:p w14:paraId="4046FC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●患者诊疗视图查阅</w:t>
      </w:r>
    </w:p>
    <w:p w14:paraId="0E5F8BE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具备查看患者基本信息功能，包括门诊号、住院号、姓名、性别等。</w:t>
      </w:r>
    </w:p>
    <w:p w14:paraId="71428AF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具备查看门诊患者的门诊病历、住院患者的住院病历信息功能。</w:t>
      </w:r>
    </w:p>
    <w:p w14:paraId="3464D4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具备查看患者检验信息功能，异常检验结果醒目显示。</w:t>
      </w:r>
    </w:p>
    <w:p w14:paraId="73EE589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具备查看影像学检查文字结果信息功能。</w:t>
      </w:r>
    </w:p>
    <w:p w14:paraId="6C0D92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具备查看诊断信息功能，包括门诊诊断、入院诊断、出院诊断、其他诊断。</w:t>
      </w:r>
    </w:p>
    <w:p w14:paraId="65B431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具备查看住院患者的在院期间出入科记录功能。</w:t>
      </w:r>
    </w:p>
    <w:p w14:paraId="551F0C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●医技异常结果查询</w:t>
      </w:r>
    </w:p>
    <w:p w14:paraId="3601DC0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具备设置检验项目、检查项目选择性展示功能。</w:t>
      </w:r>
    </w:p>
    <w:p w14:paraId="2460AB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具备展示检验异常病例列表功能，可自定义显示字段。</w:t>
      </w:r>
    </w:p>
    <w:p w14:paraId="7F14C8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具备组合条件查询功能，包括院区、科室/病区、开单日期、患者来源、患者姓名、患者身份证、住院号、就诊卡号。</w:t>
      </w:r>
    </w:p>
    <w:p w14:paraId="3BD3E4F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具备查询结果导出、打印功能。</w:t>
      </w:r>
    </w:p>
    <w:p w14:paraId="5613EA60">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3.1.5.9 院感管理系统</w:t>
      </w:r>
    </w:p>
    <w:p w14:paraId="4D3B876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院感预警</w:t>
      </w:r>
    </w:p>
    <w:p w14:paraId="7DA073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●首页概览</w:t>
      </w:r>
    </w:p>
    <w:p w14:paraId="524206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具备展示监测情况概览数据功能，包括：在院、发热、导尿管、腹泻、隔离人数等指标数据，及与前日数据对比。能够下钻具体数据页面，能够自定义调整指标排列位置。</w:t>
      </w:r>
    </w:p>
    <w:p w14:paraId="49E272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具备展示待办事项功能，包括：疑似预警、暴发预警、多耐药预警、逾期预警、隔离预警、报卡待审核情况、今日手术情况。</w:t>
      </w:r>
    </w:p>
    <w:p w14:paraId="36F7D84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具备展示重点患者功能，包括：关注患者、高危患者。</w:t>
      </w:r>
    </w:p>
    <w:p w14:paraId="7BF5AF3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具备展示医院感染构成分布功能，包括：病原体、多重耐药、感染部位感染构成比。</w:t>
      </w:r>
    </w:p>
    <w:p w14:paraId="5DBCE88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具备展示指标趋势变化图功能，包括：7日发热人数、7日咳嗽人数、7日腹泻人数。</w:t>
      </w:r>
    </w:p>
    <w:p w14:paraId="38311D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●院感综合查询</w:t>
      </w:r>
    </w:p>
    <w:p w14:paraId="3E03073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患者查询</w:t>
      </w:r>
    </w:p>
    <w:p w14:paraId="5C98A2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具备通过日期段、科室/病区，查询某一天各科室的患者情况功能。</w:t>
      </w:r>
    </w:p>
    <w:p w14:paraId="15BFC3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具备通过日期段、住院/出院、科室/病区、住院号、姓名，查询患者情况功能。</w:t>
      </w:r>
    </w:p>
    <w:p w14:paraId="166C38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具备通过日期段、关注类型，查询患者情况功能。</w:t>
      </w:r>
    </w:p>
    <w:p w14:paraId="42B214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具备通过日期段查询干预患者情况功能。</w:t>
      </w:r>
    </w:p>
    <w:p w14:paraId="5CB7D0B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具备通过日期段查询高危患者情况功能。</w:t>
      </w:r>
    </w:p>
    <w:p w14:paraId="73A6BA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具备对医院血培养的患者情况进行调查功能，调查内容应包括：科室信息、患者基本信息、体征信息、感染信息、血，痰送检信息，抗菌药物使用信息。</w:t>
      </w:r>
    </w:p>
    <w:p w14:paraId="2E1E06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资料查询</w:t>
      </w:r>
    </w:p>
    <w:p w14:paraId="007E80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具备系统管理员或院感专职人员根据不同类别上传、维护文件功能。</w:t>
      </w:r>
    </w:p>
    <w:p w14:paraId="6573AE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具备系统各角色根据文件名称检索、在线浏览和下载文件功能。</w:t>
      </w:r>
    </w:p>
    <w:p w14:paraId="08FE4B6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●疑似病例预警</w:t>
      </w:r>
    </w:p>
    <w:p w14:paraId="2B5B68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具备疑似感染病例查询功能，查询条件包括预警日期、院区/科室/病区、状态、疑似病例、关注状态、在院状态、感染部位，姓名及住院号、排查原因。</w:t>
      </w:r>
    </w:p>
    <w:p w14:paraId="38E13F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具备自动生成疑似病例预警内容功能，预警内容包括：预警日期、疑似感染部位、预警感染因素、重要关注因素、历史报卡记录、出入院诊断信息。</w:t>
      </w:r>
    </w:p>
    <w:p w14:paraId="7167C3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具备下钻查看患者检验中相关感染重点指标功能，包括 C-反应蛋白、降钙素原等。</w:t>
      </w:r>
    </w:p>
    <w:p w14:paraId="5EECF3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具备对预警因素分类展示功能，包括：病历、体征、医嘱、检验等。</w:t>
      </w:r>
    </w:p>
    <w:p w14:paraId="72E8B4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具备对疑似病例进行待上报、确认、排除处理操作功能。</w:t>
      </w:r>
    </w:p>
    <w:p w14:paraId="5967A4E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具备对疑似病例标记为重点关注患者功能。</w:t>
      </w:r>
    </w:p>
    <w:p w14:paraId="170EE6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具备对疑似病例进行代报院感报卡功能。</w:t>
      </w:r>
    </w:p>
    <w:p w14:paraId="7E677D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具备查看查询预警处理记录功能，可查看预警日期、操作人员、操作日期、排查原因。</w:t>
      </w:r>
    </w:p>
    <w:p w14:paraId="5AE50A7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具备疑似病例条件设置功能，可设置不同感染诊断的触发关键字及其权重值。</w:t>
      </w:r>
    </w:p>
    <w:p w14:paraId="4CE039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应按照《医院感染诊断标准(2001)》要求，内置疑似病例预警规则库。</w:t>
      </w:r>
    </w:p>
    <w:p w14:paraId="5388068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●院感暴发预警</w:t>
      </w:r>
    </w:p>
    <w:p w14:paraId="5B625E7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不同感染聚集事件暴发的预警功能，包括：体温异常（发热和低温）预警、发生腹泻症状预警、检出相同病原体预警、感染相同多重耐药菌预警、感染相同病原体预警、感染相同感染部位预警、感染相同手术部位预警，检出相同多重耐药菌预警。</w:t>
      </w:r>
    </w:p>
    <w:p w14:paraId="6853F1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具备展示暴发预警事件功能，能够显示科室/病区的预警危险来源、例数、事件状态。</w:t>
      </w:r>
    </w:p>
    <w:p w14:paraId="20E6DE5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具备查看院感暴发预警明细功能，包括：危险因素、患者信息（住院号、姓名、科室、病区、床号、入院时间、出院时间、责任医生）、发生日期及报卡信息。</w:t>
      </w:r>
    </w:p>
    <w:p w14:paraId="4F85004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预警规则设置功能，包括：体温异常（发热和低温）规则、发生腹泻症状规则、检出相同病原体规则、感染相同多重耐药菌规则、感染相同病原体规则、感染相同感染部位规则、感染相同手术部位规则，检出相同多重耐药菌暴发预警规则。具备设置预警规则的时间间隔、达到人数及对应阈值功能。</w:t>
      </w:r>
    </w:p>
    <w:p w14:paraId="20FAFE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●高危因素预警</w:t>
      </w:r>
    </w:p>
    <w:p w14:paraId="4DC194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具备根据高危预警因素设置内容进行预警，并能自定义筛选策略检索出存在感染高危患者。</w:t>
      </w:r>
    </w:p>
    <w:p w14:paraId="08805D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预警因素包括：发烧、侵袭性操作、三管使用大于48小时、检出阳性菌、使用抗菌药物、手术时长大于3小时、I类切口、年龄大于60岁、腹泻、检出多重耐药菌、尿蛋白异常、血蛋白异常、C-反应蛋白异常。</w:t>
      </w:r>
    </w:p>
    <w:p w14:paraId="2EFC5B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具备通过【并且】【或者】的条件关系筛选高危患者功能。</w:t>
      </w:r>
    </w:p>
    <w:p w14:paraId="1527054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具备在高危预警因素设置中保存已选条件、一键清除已选条件功能。</w:t>
      </w:r>
    </w:p>
    <w:p w14:paraId="12ED1C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●逾期未上报预警</w:t>
      </w:r>
    </w:p>
    <w:p w14:paraId="483915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具备根据上报日期、科室/病区、报卡状态，查询逾期未上报患者功能。</w:t>
      </w:r>
    </w:p>
    <w:p w14:paraId="2D36A5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具备自主设定报卡逾期时间范围功能。</w:t>
      </w:r>
    </w:p>
    <w:p w14:paraId="50B45B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具备对逾期未上报病例标记为确认功能，直接填写院感报卡。</w:t>
      </w:r>
    </w:p>
    <w:p w14:paraId="131D26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具备对逾期未上报病例核实，确认不是院内感染，支持排查功能，排除为非院内感染。</w:t>
      </w:r>
    </w:p>
    <w:p w14:paraId="47972A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具备对逾期未上报病例进行关注和发送干预消息功能。</w:t>
      </w:r>
    </w:p>
    <w:p w14:paraId="1AD54C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●预警信息医生站集成</w:t>
      </w:r>
    </w:p>
    <w:p w14:paraId="2C76687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支持与医生工作站系统对接，实现在医生站查看院感暴发预警、疑似病例预警、逾期未上报预警信息功能。可对预警病人后进行上报或排除操作。</w:t>
      </w:r>
    </w:p>
    <w:p w14:paraId="0A606D2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具备根据筛选条件进行组合查询院感暴发预警功能。</w:t>
      </w:r>
    </w:p>
    <w:p w14:paraId="2D9ED17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支持针对多耐药预警进行隔离医嘱下达功能。</w:t>
      </w:r>
    </w:p>
    <w:p w14:paraId="72C0D9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支持针对待上报的院感病例在规定时间内没有进行院感报卡填报进行预警提示功能。</w:t>
      </w:r>
    </w:p>
    <w:p w14:paraId="249603D8">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院感防控</w:t>
      </w:r>
    </w:p>
    <w:p w14:paraId="54A7DF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●院感干预与反馈</w:t>
      </w:r>
    </w:p>
    <w:p w14:paraId="64AEC8A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感控消息</w:t>
      </w:r>
    </w:p>
    <w:p w14:paraId="45B7A66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支持与住院医生站系统、病区护士站系统对接，实现感控专职人员和临床医生、护士端进行感控消息内容收发交互，包括发送和接收文件功能。</w:t>
      </w:r>
    </w:p>
    <w:p w14:paraId="250AE61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具备调用感控预案模板功能，并根据系统预设规则，自动调用指定消息模板进行消息发送。</w:t>
      </w:r>
    </w:p>
    <w:p w14:paraId="6FF73CA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具备一对一（个人对个人）、一对多（个人对群组）方式发送感控消息功能，并可以患者为对象，查询住院期间每一次消息发送记录，包括：发送人、发送时间、状态（已读、未读）。</w:t>
      </w:r>
    </w:p>
    <w:p w14:paraId="75AE14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具备自定义维护感控预案模板内容功能，包括：院感上报提醒、感控标准操作流程等。</w:t>
      </w:r>
    </w:p>
    <w:p w14:paraId="018FC3C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支持与医生站系统对接，在医生站弹框提醒院感感控消息。</w:t>
      </w:r>
    </w:p>
    <w:p w14:paraId="1DC767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支持与短信平台对接，实现以短信形式将感控消息发送到指定接收人的手机上功能。</w:t>
      </w:r>
    </w:p>
    <w:p w14:paraId="5456DA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患者详情</w:t>
      </w:r>
    </w:p>
    <w:p w14:paraId="40C20A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提供患者感控信息一览，并用不同图标标识发烧、腹泻三管、抗菌药物、病原体、耐药菌、抗菌药物、手术、重点检验信息，并可显示指标详情。</w:t>
      </w:r>
    </w:p>
    <w:p w14:paraId="4618E9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系统自主识别出患者感染风险点，包括侵入性操作、手术信息、检出菌信息及体征等其他信息。</w:t>
      </w:r>
    </w:p>
    <w:p w14:paraId="1FD557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支持与医生工作站系统对接，实现患者医嘱查看功能，并可对三管、抗菌药物、隔离、微生物送检的医嘱分类筛选。以时间轴的方式，查看患者转科、转区、换床医嘱记录。</w:t>
      </w:r>
    </w:p>
    <w:p w14:paraId="56DC64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支持与护士工作站体征数据对接，实现患者体温、大便次数查看功能。</w:t>
      </w:r>
    </w:p>
    <w:p w14:paraId="0FFB82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支持与检验和微生物系统数据对接，实现患者检验及微生物报告查看功能。</w:t>
      </w:r>
    </w:p>
    <w:p w14:paraId="58D2C0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支持与检查（心电、超声、CT）数据对接，实现患者检查记录查看功能。</w:t>
      </w:r>
    </w:p>
    <w:p w14:paraId="35DB001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支持与医生站病历系统对接，实现患者住院病历查看功能。可识别病历中上下文内容的感染因素，能够将感染因素进行着色标注。</w:t>
      </w:r>
    </w:p>
    <w:p w14:paraId="18DD834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支持与手术系统对接，实现患者手术信息调阅功能。</w:t>
      </w:r>
    </w:p>
    <w:p w14:paraId="3F73889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支持与医生工作站系统对接，实现患者患者诊断信息调阅功能。</w:t>
      </w:r>
    </w:p>
    <w:p w14:paraId="53F1B3D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具备查看已提交的院感报卡功能。</w:t>
      </w:r>
    </w:p>
    <w:p w14:paraId="40C3AB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具备查看患者疑似记录功能。</w:t>
      </w:r>
    </w:p>
    <w:p w14:paraId="642F9F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具备查看患者历史住院患者详情功能。</w:t>
      </w:r>
    </w:p>
    <w:p w14:paraId="27F30F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支持与患者临床视图对接，实现调阅患者诊疗信息功能。</w:t>
      </w:r>
    </w:p>
    <w:p w14:paraId="01B139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●院感报卡</w:t>
      </w:r>
    </w:p>
    <w:p w14:paraId="7301AE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院感报卡上报</w:t>
      </w:r>
    </w:p>
    <w:p w14:paraId="4C36B9C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支持与医生站系统对接，院感报卡嵌入到医生站系统，医生可以选中需要上报的在院患者进行报卡上报，选中需要补报的出院患者进行报卡补报。也可根据筛选条件进行组合查询院感报卡记录。</w:t>
      </w:r>
    </w:p>
    <w:p w14:paraId="2A2A82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院感报卡审核</w:t>
      </w:r>
    </w:p>
    <w:p w14:paraId="1E0C88D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具备根据日期查询全院各科室/病区的院感报卡信息功能。</w:t>
      </w:r>
    </w:p>
    <w:p w14:paraId="3343DA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具备查看当前院感报卡内容及历史填报记录功能。</w:t>
      </w:r>
    </w:p>
    <w:p w14:paraId="3FA0A6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具备对院感报卡进行审核、作废、标记漏报迟报功能。</w:t>
      </w:r>
    </w:p>
    <w:p w14:paraId="066739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具备打印和导出院感报卡填报记录功能。</w:t>
      </w:r>
    </w:p>
    <w:p w14:paraId="2C43049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感染暴发查询</w:t>
      </w:r>
    </w:p>
    <w:p w14:paraId="1CC1F8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具备根据日期查询医院感染暴发报卡信息功能。</w:t>
      </w:r>
    </w:p>
    <w:p w14:paraId="65D8E1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具备新建报卡进行院感暴发事件上报功能。</w:t>
      </w:r>
    </w:p>
    <w:p w14:paraId="671ECFA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具备打印和导出感染暴发填报记录功能。</w:t>
      </w:r>
    </w:p>
    <w:p w14:paraId="5801D30F">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环境卫生监测</w:t>
      </w:r>
    </w:p>
    <w:p w14:paraId="151555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●环境卫生</w:t>
      </w:r>
    </w:p>
    <w:p w14:paraId="72FFA1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具备基础信息设置功能，包括环境卫生监测科室、人员、项目、用品、房间、监测区域项目等。</w:t>
      </w:r>
    </w:p>
    <w:p w14:paraId="47B267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具备根据检测项目的监测频率、检测标准等级设置检测项目数据值功能。</w:t>
      </w:r>
    </w:p>
    <w:p w14:paraId="2B3786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具备针对检测项目新增设定该检测项目的采样方式、采样材料、检测项目、培养天数、启用状态、采样点计算方式以及采样点结果的判断标准功能。</w:t>
      </w:r>
    </w:p>
    <w:p w14:paraId="54590E6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具备科室制定监测计划功能，流程包括：设置监测区域、发布明细登记调查、生成监测计划。科室应设置监测区域，并预设定监测项目。各个科室应查看发布的计划，查看该计划对应的监测项目及监测状态。</w:t>
      </w:r>
    </w:p>
    <w:p w14:paraId="3556B5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具备院感护士或医生针对环境卫生学监测进行工作跟踪录入功能，并可查看监测结果统计。</w:t>
      </w:r>
    </w:p>
    <w:p w14:paraId="39646A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具备检验科通过录入样本条码或者通过扫码枪扫描样本条码，接收收到的样本功能。检验科登记检测结果，登记完成后提交审核。审核完成后可上传检测报告。</w:t>
      </w:r>
    </w:p>
    <w:p w14:paraId="605A1B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支持与实验室管理系统对接，自动获取检测结果值。</w:t>
      </w:r>
    </w:p>
    <w:p w14:paraId="5721CD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具备根据日期段生成监测点统计、消毒效果监测报告统计、初检复检合格率统计、监测任务执行情况统计、监测材料统计功能。</w:t>
      </w:r>
    </w:p>
    <w:p w14:paraId="31FE0AC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具备通过监测日期段，应能查询各科室的环境卫生学的执行情况。应能查看每项任务的详细执行情况。</w:t>
      </w:r>
    </w:p>
    <w:p w14:paraId="349C07C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●消毒灭菌</w:t>
      </w:r>
    </w:p>
    <w:p w14:paraId="1011C0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具备手动录入无需采样类别的消毒灭菌的检测值功能，并能自动计算标准值结果及判断是否合格。</w:t>
      </w:r>
    </w:p>
    <w:p w14:paraId="7095596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具备维护不同环境卫生监测采样类别的标准值、标准值单位、标准值与检测值对应关系、合格与不合格标准及解释说明功能，类别至少包括：空气、物表、污水、手卫生、医疗器械、消毒物品。</w:t>
      </w:r>
    </w:p>
    <w:p w14:paraId="2287D7A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职业防护</w:t>
      </w:r>
    </w:p>
    <w:p w14:paraId="1C4BC9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职业暴露报卡上报</w:t>
      </w:r>
    </w:p>
    <w:p w14:paraId="3D0780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具备登记与上报职业暴露报卡及评估单功能。</w:t>
      </w:r>
    </w:p>
    <w:p w14:paraId="5FE27F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职业暴露审核</w:t>
      </w:r>
    </w:p>
    <w:p w14:paraId="771B1AF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具备根据任一日期段查询全院的职业暴露报卡信息功能。</w:t>
      </w:r>
    </w:p>
    <w:p w14:paraId="53873F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具备查看职业暴露报卡内容及历史填报记录功能。</w:t>
      </w:r>
    </w:p>
    <w:p w14:paraId="7C89E26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具备对院感报卡进行审核功能，能够打印和导出职业暴露填报记录。</w:t>
      </w:r>
    </w:p>
    <w:p w14:paraId="0ED171B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职业暴露提醒与统计</w:t>
      </w:r>
    </w:p>
    <w:p w14:paraId="21D2C5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具备职业暴露跟踪提醒标记与查询功能，包括提醒人、提醒日期、提醒状态。</w:t>
      </w:r>
    </w:p>
    <w:p w14:paraId="5DC8544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具备通过时间、科室/病区查询不同统计条件下职业暴露情况功能，统计条件包括：职业、工龄、接触部位、暴露方式、暴露源、保护措施、关联操作。</w:t>
      </w:r>
    </w:p>
    <w:p w14:paraId="6410FEE1">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感控目标基础监测</w:t>
      </w:r>
    </w:p>
    <w:p w14:paraId="391991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具备感染目标监测统计数据Excel导出 、打印及图表展示功能。</w:t>
      </w:r>
    </w:p>
    <w:p w14:paraId="6DE229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具备自定义勾配置表单显示列功能。</w:t>
      </w:r>
    </w:p>
    <w:p w14:paraId="4EA88D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●全院综合性监测</w:t>
      </w:r>
    </w:p>
    <w:p w14:paraId="505E37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医院感染（例次）发病率</w:t>
      </w:r>
    </w:p>
    <w:p w14:paraId="3269A43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具备根据日期段、科室/病区/月份、在院/出院，统计医院感染发病率及医院感染例次发病率功能。</w:t>
      </w:r>
    </w:p>
    <w:p w14:paraId="76726F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具备下钻查看同期住院患者人数、同期新发生医院感染人数、同期新发生医院感染例次数的明细功能。</w:t>
      </w:r>
    </w:p>
    <w:p w14:paraId="3F1FDA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医院感染（例次）现患率</w:t>
      </w:r>
    </w:p>
    <w:p w14:paraId="476ADF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具备根据日期、科室/病区，统计医院感染现患率及医院感染现患率例次率功能。</w:t>
      </w:r>
    </w:p>
    <w:p w14:paraId="58780C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具备下钻查看指定时点住院患者人数、指定时点住院患者中医院感染人数、指定时点住院患者中医院感染例次数明细功能。</w:t>
      </w:r>
    </w:p>
    <w:p w14:paraId="3FCFD6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千日医院感染（例次）发病率</w:t>
      </w:r>
    </w:p>
    <w:p w14:paraId="7D3282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具备根据日期段、科室/病区/月份、在院/出院，统计千日医院感染（例次）发病率功能。</w:t>
      </w:r>
    </w:p>
    <w:p w14:paraId="126801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具备下钻查看确定时段住院患者人数、同期新发生医院感染的患者人数、同期新发生医院感染的例次数明细功能。</w:t>
      </w:r>
    </w:p>
    <w:p w14:paraId="20423A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多重耐药菌医院感染发生率</w:t>
      </w:r>
    </w:p>
    <w:p w14:paraId="668DB3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具备根据日期段、科室/病区/月份，统计医院多重耐药菌医院感染发生率功能。</w:t>
      </w:r>
    </w:p>
    <w:p w14:paraId="068053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具备下钻查看确定时段住院患者人数、同期检出导致医院感染的多重耐药菌人数、同期检出导致医院感染的多重耐药菌的例次数明细功能。</w:t>
      </w:r>
    </w:p>
    <w:p w14:paraId="1C4D165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具备统计某一个特定的多重耐药菌的多重耐药菌医院感染发生率功能。</w:t>
      </w:r>
    </w:p>
    <w:p w14:paraId="366E3C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多重耐药菌检出率</w:t>
      </w:r>
    </w:p>
    <w:p w14:paraId="6CE8EF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具备根据日期段、科室/病区/月份，统计医院多重耐药菌检出率功能。</w:t>
      </w:r>
    </w:p>
    <w:p w14:paraId="1425EB3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具备下钻查看确定时段住院患者人数、同期检出菌株的例次数、同期检出多重耐药菌的例次数的明细功能。</w:t>
      </w:r>
    </w:p>
    <w:p w14:paraId="239B2F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具备统计某一个特定的多重耐药菌的多重耐药菌检出率功能。</w:t>
      </w:r>
    </w:p>
    <w:p w14:paraId="3D13924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多重耐药菌医院感染例次千日发生率</w:t>
      </w:r>
    </w:p>
    <w:p w14:paraId="33111C5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具备根据日期段、科室/病区/月份，统计医院多重耐药菌医院感染例次千日发生率功能。</w:t>
      </w:r>
    </w:p>
    <w:p w14:paraId="6112A07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具备下钻查看确定时段住院患者人数、同期检出导致医院感染的多重耐药菌的例次数的明细功能。</w:t>
      </w:r>
    </w:p>
    <w:p w14:paraId="197B94B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多重耐药菌定植例次千日发生率</w:t>
      </w:r>
    </w:p>
    <w:p w14:paraId="5299C0E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具备根据日期段、科室/病区/月份，统计多重耐药菌定植例次千日发生率功能。</w:t>
      </w:r>
    </w:p>
    <w:p w14:paraId="210BC81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具备下钻查看确定时段住院患者人数、同期检出定植的多重耐药菌的例次数的明细功能。</w:t>
      </w:r>
    </w:p>
    <w:p w14:paraId="51C7C4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抗菌药物使用率</w:t>
      </w:r>
    </w:p>
    <w:p w14:paraId="56E5C97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具备根据日期段、科室/病区/月份、住院/出院、抗菌药物等级，统计抗菌药物使用率功能。</w:t>
      </w:r>
    </w:p>
    <w:p w14:paraId="60A2FC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具备下钻查看确定时段住院患者人数、同期全身应用抗菌药物的人数明细功能。</w:t>
      </w:r>
    </w:p>
    <w:p w14:paraId="6450CBA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抗菌药物治疗前病原学送检率</w:t>
      </w:r>
    </w:p>
    <w:p w14:paraId="36670A4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具备根据日期段、科室/病区/月份、住院/出院、抗菌药物等级，统计抗菌药物治疗前送检率功能。</w:t>
      </w:r>
    </w:p>
    <w:p w14:paraId="0E3178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具备下钻确定时段住院患者人数、同期治疗性应用抗菌药物的人数、同期治疗性应用抗菌药物前病原学送检人数明细功能。</w:t>
      </w:r>
    </w:p>
    <w:p w14:paraId="6AD8BFE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Ⅰ类切口手术部位感染率</w:t>
      </w:r>
    </w:p>
    <w:p w14:paraId="63F336D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具备根据日期段、科室/病区/月份，统计各科室Ⅰ类切口手术部位感染率功能。</w:t>
      </w:r>
    </w:p>
    <w:p w14:paraId="7CC6E5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具备下钻查看确定时段Ⅰ类切口手术人数、同期Ⅰ类切口手术例次数、Ⅰ类切口手术中发生手术部位感染例次数明细功能。</w:t>
      </w:r>
    </w:p>
    <w:p w14:paraId="0C2A5C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Ⅰ类切口手术抗菌药物预防使用率</w:t>
      </w:r>
    </w:p>
    <w:p w14:paraId="60E298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具备根据日期段、科室/病区/月份，统计各科室Ⅰ类切口手术抗菌药物预防使用率功能。</w:t>
      </w:r>
    </w:p>
    <w:p w14:paraId="53150E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具备下钻查看确定时段Ⅰ类切口手术人数、同期Ⅰ类切口手术例次数、Ⅰ类切口手术中预防性应用抗菌药物的例次数的明细功能。</w:t>
      </w:r>
    </w:p>
    <w:p w14:paraId="2860B0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Ⅰ类切口手术术后24小时内停药率</w:t>
      </w:r>
    </w:p>
    <w:p w14:paraId="7A577A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具备根据日期段、科室/病区/月份，统计各科室Ⅰ类切口手术术后24小时内停药率功能。</w:t>
      </w:r>
    </w:p>
    <w:p w14:paraId="21E91DD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具备下钻查看确定时段Ⅰ类切口手术术后预防性应用抗菌药物例次数、同期Ⅰ类切口手术术后预防性应用抗菌药物的手术例次中24小时内停药的手术例次数的明细功能。</w:t>
      </w:r>
    </w:p>
    <w:p w14:paraId="096D37B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Ⅰ类切口手术抗菌药物预防使用术前0.5-2小时给药率</w:t>
      </w:r>
    </w:p>
    <w:p w14:paraId="3E5458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具备根据日期段、科室/病区/月份，统计各科室Ⅰ类切口手术抗菌药物预防使用术前0.5-2小时给药率功能。</w:t>
      </w:r>
    </w:p>
    <w:p w14:paraId="4DEAD6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具备下钻查看确定时段Ⅰ类切口手术人数、同期Ⅰ类切口手术例次数、同期Ⅰ类切口手术中手术当天预防性应用抗菌药物的手术例次数、同期Ⅰ类切口手术中手术当天首次预防性应用抗菌药物的给药时间在术前 0.5-2 小时的手术例次数的明细功能。</w:t>
      </w:r>
    </w:p>
    <w:p w14:paraId="1F85EA0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血管导管相关血流感染发病率</w:t>
      </w:r>
    </w:p>
    <w:p w14:paraId="76CD563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具备根据日期段、科室/病区/月份,统计各科室血管导管相关血流感染发病率功能。</w:t>
      </w:r>
    </w:p>
    <w:p w14:paraId="234200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具备下钻查看确定时段住院患者人数、同期中央血管导管使用人数、同期新发生CLABSI例次数明细功能。</w:t>
      </w:r>
    </w:p>
    <w:p w14:paraId="235CD71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呼吸机相关肺炎发病率</w:t>
      </w:r>
    </w:p>
    <w:p w14:paraId="3BF6095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具备根据日期段、科室/病区/月份，统计各科室呼吸机相关肺炎发病率功能。</w:t>
      </w:r>
    </w:p>
    <w:p w14:paraId="4B0EFEE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具备下钻查看确定时段住院患者人数、同期呼吸机使用人数、同期新发生VAP例次数的明细功能。</w:t>
      </w:r>
    </w:p>
    <w:p w14:paraId="296E33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导尿管相关泌尿道感染发病率</w:t>
      </w:r>
    </w:p>
    <w:p w14:paraId="3CF3CA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具备根据日期段、科室/病区/月份，统计各科室导尿管相关泌尿道感染发病率功能。</w:t>
      </w:r>
    </w:p>
    <w:p w14:paraId="1BB47C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具备下钻查看确定时段住院患者人数、同期导尿管使用人数、同期新发生CAUTI例次数的明细功能。</w:t>
      </w:r>
    </w:p>
    <w:p w14:paraId="48FD7D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手卫生依从性统计</w:t>
      </w:r>
    </w:p>
    <w:p w14:paraId="3C3774B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具备按月份、按科室，统计汇总手卫生依从性功能。</w:t>
      </w:r>
    </w:p>
    <w:p w14:paraId="5912DB3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统计包括人员类型、时机数、调查人数、调查人次数、手卫生次数、正确手卫生次数、依从率、正确率。</w:t>
      </w:r>
    </w:p>
    <w:p w14:paraId="4B621BE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医院感染发病率</w:t>
      </w:r>
    </w:p>
    <w:p w14:paraId="7CBC02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具备根据日期段、科室/病区、在院/出院，统计感染发病率功能。</w:t>
      </w:r>
    </w:p>
    <w:p w14:paraId="367D2AB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具备下钻查看住院患者人数、医院感染人数、医院感染例数、医院感染漏报例数、医院感染送检人数明细功能。</w:t>
      </w:r>
    </w:p>
    <w:p w14:paraId="1006D1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千日医院感染发病率</w:t>
      </w:r>
    </w:p>
    <w:p w14:paraId="42F554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具备根据日期段、科室/病区/月份、在院/出院，统计千日医院感染发病率功能。</w:t>
      </w:r>
    </w:p>
    <w:p w14:paraId="7D12AB1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具备下钻查看住院患者人数、医院感染人数、医院感染例数明细功能。</w:t>
      </w:r>
    </w:p>
    <w:p w14:paraId="4AF264D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医院感染感染部位分布</w:t>
      </w:r>
    </w:p>
    <w:p w14:paraId="6FE6D54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具备根据日期段、科室/病区、在院/出院，统计医院感染感染部位（按部位、按细项）分布功能。</w:t>
      </w:r>
    </w:p>
    <w:p w14:paraId="6E163F8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具备下钻查看住院患者人数、医院感染人数、医院感染例数明细功能。</w:t>
      </w:r>
    </w:p>
    <w:p w14:paraId="7EFB39B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医院感染易感因素分布</w:t>
      </w:r>
    </w:p>
    <w:p w14:paraId="594F23E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具备根据日期段、科室/病区、在院/出院，统计各科室医院感染易感因素分布功能。</w:t>
      </w:r>
    </w:p>
    <w:p w14:paraId="388F443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具备下钻查看住院患者人数、医院感染人数、医院感染例数明细功能。</w:t>
      </w:r>
    </w:p>
    <w:p w14:paraId="79E3B3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●侵袭性操作监测</w:t>
      </w:r>
    </w:p>
    <w:p w14:paraId="29B2BB8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CAUTI（导尿管相关尿路感染）</w:t>
      </w:r>
    </w:p>
    <w:p w14:paraId="0FC94F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统计医院导尿管相关尿路感染功能，包括：住院患者人数、住院患者导尿管使用人数、住院患者住院天数、住院患者导尿管使用天数、尿道插管使用率、导尿管相关尿路感染例次数、导尿管相关尿路感染发病率、尿路感染例数指标值。</w:t>
      </w:r>
    </w:p>
    <w:p w14:paraId="3D720ED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具备下钻查看住院患者人数、住院患者导尿管使用人数明细功能。</w:t>
      </w:r>
    </w:p>
    <w:p w14:paraId="7A9354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CLABSI（中央血管导管相关血流感染）</w:t>
      </w:r>
    </w:p>
    <w:p w14:paraId="66554FE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统计医院中央血管导管相关血流感染情况功能，包括：住院患者人数、中央血管导管使用人数、中央导管使用人数明细、中央血管导管使用天数、中央血管导管使用率、中央血管导管相关血流感染例次数及发病率、血流相关感染例数指标值。</w:t>
      </w:r>
    </w:p>
    <w:p w14:paraId="173E66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具备下钻查看住院患者人数、中央血管导管使用人数明细功能。</w:t>
      </w:r>
    </w:p>
    <w:p w14:paraId="5A2DFF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VAP（呼吸机相关肺炎）</w:t>
      </w:r>
    </w:p>
    <w:p w14:paraId="42A459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统计医院呼吸机相关肺炎功能，包括：住院患者人数、呼吸机使用人数、呼吸机使用人数明细、住院患者呼吸机使用天数、呼吸机使用率、呼吸机相关肺炎发病率、下呼吸道感染例数指标值。</w:t>
      </w:r>
    </w:p>
    <w:p w14:paraId="3D9514F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具备下钻查看住院患者人数、呼吸机使用人数明细功能。</w:t>
      </w:r>
    </w:p>
    <w:p w14:paraId="2BED1C8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●现患率监测</w:t>
      </w:r>
    </w:p>
    <w:p w14:paraId="4078A2C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现患率调查登记</w:t>
      </w:r>
    </w:p>
    <w:p w14:paraId="09BA4B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具备根据调查日期当天的在院人数+出院/死亡人数-新入院人数，展示本次所有现患率调查病人列表（不包括入院不满 48 小时的患者）功能。</w:t>
      </w:r>
    </w:p>
    <w:p w14:paraId="656FFBE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具备对本科室需现患率调查的患者进行登记功能。</w:t>
      </w:r>
    </w:p>
    <w:p w14:paraId="5DFCCDB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现患率调查登记审核</w:t>
      </w:r>
    </w:p>
    <w:p w14:paraId="39A558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具备现患率调查多级审核功能，科主任或院感医生进行初审后由院感科进行复审。</w:t>
      </w:r>
    </w:p>
    <w:p w14:paraId="2CBD44A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现患率调查登记患者详情</w:t>
      </w:r>
    </w:p>
    <w:p w14:paraId="4352D05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具备通过调查日期、科室/病区、感染类型，查询现患率调查患者情况功能。</w:t>
      </w:r>
    </w:p>
    <w:p w14:paraId="7E1295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具备查看患者现患率个案登记表内容功能。</w:t>
      </w:r>
    </w:p>
    <w:p w14:paraId="1664800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具备院感科医生可对科室上报的现患率个案调查表进行复审功能。</w:t>
      </w:r>
    </w:p>
    <w:p w14:paraId="73CA4C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科室现患率及感染部位分布</w:t>
      </w:r>
    </w:p>
    <w:p w14:paraId="2A2A0DF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具备通过调查日期、科室/病区、感染类型查询查看本次现患率调查科室现患率及感染部位分布情况功能。</w:t>
      </w:r>
    </w:p>
    <w:p w14:paraId="6421A9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具备下钻查看应查人数、实查人数、现患人数、现患例数明细功能。</w:t>
      </w:r>
    </w:p>
    <w:p w14:paraId="4538096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现患率抗菌药物使用汇总</w:t>
      </w:r>
    </w:p>
    <w:p w14:paraId="38BBD9E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具备根据调查日期，科室/病区、感染类型，统计查看本次调查科室现患率调查抗菌药物使用情况功能。</w:t>
      </w:r>
    </w:p>
    <w:p w14:paraId="6A1B7F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具备按照用药目的分类统计抗菌药物使用率、送检率、治疗前送检率、不同级别抗菌药物治疗前送检率等相关数据功能。</w:t>
      </w:r>
    </w:p>
    <w:p w14:paraId="289FD7F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具备下钻查看实查人数、抗菌药物使用人数、手术人数明细功能。</w:t>
      </w:r>
    </w:p>
    <w:p w14:paraId="61AAF3B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现患病原体及感染部位分布</w:t>
      </w:r>
    </w:p>
    <w:p w14:paraId="3091AF8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具备根据调查日期、科室/病区、感染类型，统计查看本次现患率调查病原体及感染部位分布情况功能。</w:t>
      </w:r>
    </w:p>
    <w:p w14:paraId="41EC12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具备下钻病原体数量、涉及的感染部位数明细功能。</w:t>
      </w:r>
    </w:p>
    <w:p w14:paraId="10100E0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●抗菌药物使用监测</w:t>
      </w:r>
    </w:p>
    <w:p w14:paraId="063B541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抗菌药物使用率</w:t>
      </w:r>
    </w:p>
    <w:p w14:paraId="569D918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具备根据日期段、科室/病区、在院/出院，统计抗菌药物使用率功能。</w:t>
      </w:r>
    </w:p>
    <w:p w14:paraId="0C6D914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具备下钻查看住院患者人数、抗菌药物使用人数、一联用药、二联用药、三联用药、四联用药人数功能。</w:t>
      </w:r>
    </w:p>
    <w:p w14:paraId="3BF4AC2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抗菌药物送检率</w:t>
      </w:r>
    </w:p>
    <w:p w14:paraId="2FCD0D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具备根据日期段、科室/病区、在院/出院统计抗菌药物送检率功能。</w:t>
      </w:r>
    </w:p>
    <w:p w14:paraId="62DA74F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具备下钻查看住院患者人数、抗菌药物使用人数、抗菌药物送检人数、抗菌药物送检阳性人数、抗菌药物未送检人数功能。</w:t>
      </w:r>
    </w:p>
    <w:p w14:paraId="610E7F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抗菌药物使用目的汇总</w:t>
      </w:r>
    </w:p>
    <w:p w14:paraId="7782B6D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具备根据抗菌药物用药目的、送检情况，统计抗菌药物使用目的汇总功能。</w:t>
      </w:r>
    </w:p>
    <w:p w14:paraId="4BA3229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应能按照治疗、预防两种不同用药目的，分类统计使用率、送检率、治疗前送检率、不同级别抗菌药物治疗前送检率等相关数据功能。</w:t>
      </w:r>
    </w:p>
    <w:p w14:paraId="48BEE33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具备下钻查看住院患者人数、抗菌药物使用人数、抗菌药物预防使用人数、抗菌药物治疗使用人数、抗菌药物治疗使用病原学送检人数、非指向特定病原学送检人数明细功能。</w:t>
      </w:r>
    </w:p>
    <w:p w14:paraId="13BA990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抗菌药物治疗前使用抗菌药物分级送检率</w:t>
      </w:r>
    </w:p>
    <w:p w14:paraId="77A0B2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具备根据日期段、科室/病区、在院/出院，统计不同级别抗菌药物治疗前使用送检率功能。</w:t>
      </w:r>
    </w:p>
    <w:p w14:paraId="7F80A35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具备按照非限制级、限制级、特殊级抗菌药物统计抗菌药物使用人数、送检人数、送检率等相关数据功能。</w:t>
      </w:r>
    </w:p>
    <w:p w14:paraId="4EC4D1F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具备下钻查看住院患者人数、抗菌药物使用人数、治疗使用抗菌药物人数、治疗使用送检人数、治疗使用血培养送检人数明细功能。</w:t>
      </w:r>
    </w:p>
    <w:p w14:paraId="278832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I类切口围手术期预防使用抗菌药物汇总</w:t>
      </w:r>
    </w:p>
    <w:p w14:paraId="388BC67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具备根据日期段、科室/病区、出院/出院，统计全院I类切口围手术期预防用药情况功能。</w:t>
      </w:r>
    </w:p>
    <w:p w14:paraId="100806C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 I 类切口手术例数、I 类切口抗菌药物使用例数、术前 0.5-2 小时给药例数、术后 24 小时停药例数、术后 28小时停药例数功能。</w:t>
      </w:r>
    </w:p>
    <w:p w14:paraId="168CA6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围手术期抗菌药物预防自查表</w:t>
      </w:r>
    </w:p>
    <w:p w14:paraId="2E2963A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具备根据日期段、科室/病区、切口类别，统计全院围手术期抗菌药物使用自查表情况功能，包括：患者基本信息、手术信息、术（前、中、后）使用抗菌药物。</w:t>
      </w:r>
    </w:p>
    <w:p w14:paraId="3F93E3A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医生治疗使用抗菌药物</w:t>
      </w:r>
    </w:p>
    <w:p w14:paraId="5B924D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具备根据日期段、科室/病区、在院/出院，统计各个医生治疗使用抗菌药物功能。</w:t>
      </w:r>
    </w:p>
    <w:p w14:paraId="11C37FE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具备下钻查看医生治疗使用抗菌药物人数、治疗使用抗菌药物送检人数、治疗使用（非限制级、限制级、特殊级）抗菌药物使用人数、治疗使用（非限制级、限制级、特殊级）抗菌药物送检人数功能。</w:t>
      </w:r>
    </w:p>
    <w:p w14:paraId="5CFC05C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抗菌药物综合情况查询</w:t>
      </w:r>
    </w:p>
    <w:p w14:paraId="5C8518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具备根据日期段、科室/病区、在院/出院，统计各个患者使用抗菌药物功能，包括是否非限制级、是否限制级、是否特殊级、是否手术、是否检出病原体。</w:t>
      </w:r>
    </w:p>
    <w:p w14:paraId="0757953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重点抗菌药物联用送检率</w:t>
      </w:r>
    </w:p>
    <w:p w14:paraId="1FE6FEE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具备根据日期段、科室/病区、在院/出院，统计重点抗菌药物联用送检率情况功能，重点抗菌药物支持医院自定义配置。</w:t>
      </w:r>
    </w:p>
    <w:p w14:paraId="6BB676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具备下钻查看住院患者人数、抗菌药物使用人数、一联用药、二联用药、三联用药、四联及以上用药人数明细功能。</w:t>
      </w:r>
    </w:p>
    <w:p w14:paraId="782B9D6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抗菌药物治疗前病原学送检率按医生统计</w:t>
      </w:r>
    </w:p>
    <w:p w14:paraId="31B010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具备根据日期段、科室/病区、在院/出院，统计医生抗菌药物治疗前送检情况功能。</w:t>
      </w:r>
    </w:p>
    <w:p w14:paraId="5BB93C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具备下钻查看抗菌药物、治疗前送检人数、治疗用药人数明细功能。</w:t>
      </w:r>
    </w:p>
    <w:p w14:paraId="5E86D6D2">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(6) 手卫生依从性调查</w:t>
      </w:r>
    </w:p>
    <w:p w14:paraId="6207873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具备手卫生调查登记功能，调查内容应包括：调查日期、调查科室/病区、调查类型、调查对象、调查开始时间以及持续时长。</w:t>
      </w:r>
    </w:p>
    <w:p w14:paraId="4B4723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具备对调查对象信息进行登记功能。登记内容应包括：登记调查对象每个时机所处的阶段、指征、手卫生措施、结果、存在问题、备注、是否提问、提问是否掌握等。</w:t>
      </w:r>
    </w:p>
    <w:p w14:paraId="1E6C15D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具备调查时机添加、删除功能。</w:t>
      </w:r>
    </w:p>
    <w:p w14:paraId="472C865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具备通过调查时间、调查类型、科室、调查者查询历史手卫生调查登记信息功能。</w:t>
      </w:r>
    </w:p>
    <w:p w14:paraId="2A2FEC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具备通过日期段、科室/病区、调查类型对手卫生依从性进行统计功能。能够按照不同维度进行统计，包括：按科室统计、按月份统计、按岗位统计、按指征统计、按不正确原因统计。</w:t>
      </w:r>
    </w:p>
    <w:p w14:paraId="777E635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具备下钻时机数、调查人数、调查人次数、手卫生次数、正确手卫生次数等数据明细功能。</w:t>
      </w:r>
    </w:p>
    <w:p w14:paraId="7900E1D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(7) 防控督导</w:t>
      </w:r>
    </w:p>
    <w:p w14:paraId="05E918C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●患者督导</w:t>
      </w:r>
    </w:p>
    <w:p w14:paraId="730B3F5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具备患者督导检查内容登记功能。应能记录患者的责任护士，并逐一对检查要素进行登记。</w:t>
      </w:r>
    </w:p>
    <w:p w14:paraId="5749C4B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具备通过督导时间、患者类型、督导类型、科室/病区，查询已督导的数据功能。根据不同患者类型，展示不同患者督导记录数据。能够查看患者督导内容详情。</w:t>
      </w:r>
    </w:p>
    <w:p w14:paraId="7EB3335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日期段、督导类型对患者督导统计功能。能够按不同维度进行统计，包括手术患者督导执行率统计、多耐药患者督导执行率统计、导尿管患者督导执行率统计、中央血管患者督导执行率统计。能对查询结果数据导出、打印及图表展示。</w:t>
      </w:r>
    </w:p>
    <w:p w14:paraId="718606E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●科室督导</w:t>
      </w:r>
    </w:p>
    <w:p w14:paraId="5D3A5B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具备通过督导日期段、督导类型、反馈状态查询历史科室督导记录功能。</w:t>
      </w:r>
    </w:p>
    <w:p w14:paraId="3849EC7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具备对手术室、ICU、临床、医技科、口腔科、内镜科等科室登记科室督导信息功能。</w:t>
      </w:r>
    </w:p>
    <w:p w14:paraId="4DF79E1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具备逐一对检查要素进行登记功能，确定检查内容是否执行，并可登记备注或证据信息。</w:t>
      </w:r>
    </w:p>
    <w:p w14:paraId="784187D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具备登记督导科室的改进反馈信息及存在的问题功能。</w:t>
      </w:r>
    </w:p>
    <w:p w14:paraId="5A11363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●患者荧光标记</w:t>
      </w:r>
    </w:p>
    <w:p w14:paraId="487850C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具备院感专职人员新增、修改、删除患者荧光标记信息功能。</w:t>
      </w:r>
    </w:p>
    <w:p w14:paraId="6824F66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具备根据督导时间、科室/病区、患者信息查询荧光标记功能。</w:t>
      </w:r>
    </w:p>
    <w:p w14:paraId="581BA8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具备根据督导时间、科室/病区、切口类别统计各科室荧光标记完成率、荧光标记点完成率功能。能够查询结果数据导出、打印及图表展示。</w:t>
      </w:r>
    </w:p>
    <w:p w14:paraId="500B8DA2">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3.1.6 运营管理</w:t>
      </w:r>
    </w:p>
    <w:p w14:paraId="18E6CEA8">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3.1.6.1 综合统计分析管理</w:t>
      </w:r>
    </w:p>
    <w:p w14:paraId="35DDD41A">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报表基础配置</w:t>
      </w:r>
    </w:p>
    <w:p w14:paraId="4CCDD4F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▲具备多院区、总分院数据汇总、分开显示功能。（提供多院区、总分院数据分开显示截图证明。）</w:t>
      </w:r>
    </w:p>
    <w:p w14:paraId="621E7B2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▲图表组合，图表数量显示联动。（提供图表组合，图表数量显示联动截图证明。）</w:t>
      </w:r>
    </w:p>
    <w:p w14:paraId="29CF47E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具备Excel、pdf文件方式导出打印功能。</w:t>
      </w:r>
    </w:p>
    <w:p w14:paraId="3D4213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▲具备报表数据支持下钻透视功能。（提供数据下钻截图证明。）</w:t>
      </w:r>
    </w:p>
    <w:p w14:paraId="69BC68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支持报表使用日志管理。</w:t>
      </w:r>
    </w:p>
    <w:p w14:paraId="44C155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具备报表订阅，自动生成报表文件功能。</w:t>
      </w:r>
    </w:p>
    <w:p w14:paraId="7EE058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具备报表查询、打印、导出权限分配。</w:t>
      </w:r>
    </w:p>
    <w:p w14:paraId="42763A9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▲具备报表数据异常值特殊显示。（提供报表数据异常值特殊显示截图证明。）</w:t>
      </w:r>
    </w:p>
    <w:p w14:paraId="75CE476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具备报表水印、加密。</w:t>
      </w:r>
    </w:p>
    <w:p w14:paraId="3DC757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具备报表变更记录功能。</w:t>
      </w:r>
    </w:p>
    <w:p w14:paraId="34D7F91E">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财务报表</w:t>
      </w:r>
    </w:p>
    <w:p w14:paraId="1E6B17A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财务类需提供结账相关、收入相关、核算相关、运营相关四大类统计报表，要求至少包括：结账统计、收入稽核报表、运营统计、门诊住院医疗收入统计报表、门诊资金沉淀统计报表、住院结算收支平衡表、住院未结算病人费用统计、出院未结算病人统计、发票领用核销统计、门诊结账单汇总统计、住院结账单汇总统计。</w:t>
      </w:r>
    </w:p>
    <w:p w14:paraId="1BF60A4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具备报表定制功能。</w:t>
      </w:r>
    </w:p>
    <w:p w14:paraId="0B1CB045">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 门诊报表</w:t>
      </w:r>
    </w:p>
    <w:p w14:paraId="6459585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门诊提供运营统计、工作负荷、质量分析三大类报表，要求至少包括：诊疗人次、诊疗收入统计、预约排班统计、门急诊药占比统计、用药排行、费用排行统计、诊量分析、门急诊医师工作量统计。</w:t>
      </w:r>
    </w:p>
    <w:p w14:paraId="365C008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具备报表定制功能。</w:t>
      </w:r>
    </w:p>
    <w:p w14:paraId="7937EA7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(4) 住院报表</w:t>
      </w:r>
    </w:p>
    <w:p w14:paraId="22BA929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住院类需提供运营统计、质量统计、临床路径专题三大类统计报表，要求至少包括：病房收治情况统计、会诊统计、病历统计、住院收入统计、大额费用统计、出院情况按诊断统计排行、入出转床位使用率统计、二次入院统计。</w:t>
      </w:r>
    </w:p>
    <w:p w14:paraId="1563592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具备报表定制功能。</w:t>
      </w:r>
    </w:p>
    <w:p w14:paraId="37E41AB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(5) 护理报表</w:t>
      </w:r>
    </w:p>
    <w:p w14:paraId="46FDBE0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护理类需提供护理级别分布、欠费病人情况、床位使用情况、病房情况、住院手术患者情况、发药情况统计报表，要求至少包括：出区召回患者统计查询、费用统计、科室收入统计、病区收入统计、项目明细统计、住院输液率统计、护理治疗人数统计、住院护理处置统计、再入院患者统计。</w:t>
      </w:r>
    </w:p>
    <w:p w14:paraId="194993C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具备报表定制功能。</w:t>
      </w:r>
    </w:p>
    <w:p w14:paraId="471F359D">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(6) 药剂报表</w:t>
      </w:r>
    </w:p>
    <w:p w14:paraId="189489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药剂类需提供库存账务、药品监控、工作量三大类统计报表，要求至少包括：库房入出统计、库房进销存统计、药库药品周转率统计、调价汇总统计、供货单位占比统计、贵重药品统计、精麻药品统计、药品养护统计。</w:t>
      </w:r>
    </w:p>
    <w:p w14:paraId="7E592F1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具备报表定制功能。</w:t>
      </w:r>
    </w:p>
    <w:p w14:paraId="049A5BC7">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(7) 手麻报表</w:t>
      </w:r>
    </w:p>
    <w:p w14:paraId="7F4318F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手麻类需提供收入统计、工作量统计、质量分析三大类统计报表，要求至少包括：手术费用统计、手术耗材统计、输血费用统计、手术工作量统计、非计划再次手术统计、手术病人死亡统计、病区手术时长统计。</w:t>
      </w:r>
    </w:p>
    <w:p w14:paraId="451457D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具备报表定制功能。</w:t>
      </w:r>
    </w:p>
    <w:p w14:paraId="65E083F3">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3.1.7 互联网医院</w:t>
      </w:r>
    </w:p>
    <w:p w14:paraId="3ACA963F">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3.1.7.1 微信公众号平台</w:t>
      </w:r>
    </w:p>
    <w:p w14:paraId="56386BE6">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基础管理</w:t>
      </w:r>
    </w:p>
    <w:p w14:paraId="33FE8E6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●就诊人管理</w:t>
      </w:r>
    </w:p>
    <w:p w14:paraId="4DA6C22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就诊人管理需要提供在线建档、家庭成员管理、就诊卡管理功能。</w:t>
      </w:r>
    </w:p>
    <w:p w14:paraId="5316636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在线建档：支持患者在微信公众号进行在线建档。支持与医院信息系统对接，在线注册患者档案信息同步写入院内医院信息系统中。</w:t>
      </w:r>
    </w:p>
    <w:p w14:paraId="4A49A98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家庭成员管理：支持为家庭成员或其他就诊人的基本信息进行维护和管理；支持为5位以内的就诊人基本信息进行维护和管理；支持为无身份证的特殊人员（如儿童）进行管理。</w:t>
      </w:r>
    </w:p>
    <w:p w14:paraId="28B3C10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就诊卡管理：支持展示院内就诊卡、医保卡、病历号；支持用户设置默认卡；支持在移动端展示就诊卡的条形码或二维码。</w:t>
      </w:r>
    </w:p>
    <w:p w14:paraId="0082162C">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基础就医服务平台</w:t>
      </w:r>
    </w:p>
    <w:p w14:paraId="72320E1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通过微信公众号为居民提供预约挂号、在线支付、检查检验报告查询、线上就医评价、健康资讯、微官网、我的订单等门诊服务和便民服务。</w:t>
      </w:r>
    </w:p>
    <w:p w14:paraId="4EBAC64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门诊服务</w:t>
      </w:r>
    </w:p>
    <w:p w14:paraId="5C21C4B3">
      <w:pPr>
        <w:keepNext w:val="0"/>
        <w:keepLines w:val="0"/>
        <w:widowControl/>
        <w:suppressLineNumbers w:val="0"/>
        <w:spacing w:before="0" w:beforeAutospacing="0" w:after="128" w:afterAutospacing="0" w:line="420" w:lineRule="atLeast"/>
        <w:ind w:left="0" w:right="0" w:firstLine="405"/>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①　预约挂号</w:t>
      </w:r>
    </w:p>
    <w:p w14:paraId="021A24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支持患者通过微信公众号在线进行预约挂号。需支持患者在线选择科室、医生，选择相应的日期和时间段，进行预约挂号。预约成功后，支持通过微信公众号将预约信息直接推送给患者。</w:t>
      </w:r>
    </w:p>
    <w:p w14:paraId="0CCB873F">
      <w:pPr>
        <w:keepNext w:val="0"/>
        <w:keepLines w:val="0"/>
        <w:widowControl/>
        <w:suppressLineNumbers w:val="0"/>
        <w:spacing w:before="0" w:beforeAutospacing="0" w:after="128" w:afterAutospacing="0" w:line="420" w:lineRule="atLeast"/>
        <w:ind w:left="0" w:right="0" w:firstLine="405"/>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②　在线支付</w:t>
      </w:r>
    </w:p>
    <w:p w14:paraId="6674783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支持患者通过微信公众号在线进行挂号费支付,支付后不支持线上退款。</w:t>
      </w:r>
    </w:p>
    <w:p w14:paraId="5DB0522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支持患者通过微信公众号在线对医院门诊诊疗费用和处方费用进行支付；支持患者按照时间查询历史缴费记录和待缴费信息；支持按照就诊人进行待缴费费用查询；支持查看门诊处方待支付详情。</w:t>
      </w:r>
    </w:p>
    <w:p w14:paraId="46D04514">
      <w:pPr>
        <w:keepNext w:val="0"/>
        <w:keepLines w:val="0"/>
        <w:widowControl/>
        <w:suppressLineNumbers w:val="0"/>
        <w:spacing w:before="0" w:beforeAutospacing="0" w:after="128" w:afterAutospacing="0" w:line="420" w:lineRule="atLeast"/>
        <w:ind w:left="0" w:right="0" w:firstLine="405"/>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③　检验检查报告</w:t>
      </w:r>
    </w:p>
    <w:p w14:paraId="1E92CF20">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支持患者通过微信公众号查询检验检查报告；支持查询个人或家庭成员的检查检验报告。</w:t>
      </w:r>
    </w:p>
    <w:p w14:paraId="3B9E5A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支持按时间段对历史检验和检查报告进行查询；支持对检验项目报告中的异常值进行醒目标注。</w:t>
      </w:r>
    </w:p>
    <w:p w14:paraId="6AAB940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便民服务</w:t>
      </w:r>
    </w:p>
    <w:p w14:paraId="07CB34E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通过微信公众号为居民提供线上就医评价、健康资讯、微官网、我的订单等便民服务。</w:t>
      </w:r>
    </w:p>
    <w:p w14:paraId="42099C45">
      <w:pPr>
        <w:keepNext w:val="0"/>
        <w:keepLines w:val="0"/>
        <w:widowControl/>
        <w:suppressLineNumbers w:val="0"/>
        <w:spacing w:before="0" w:beforeAutospacing="0" w:after="128" w:afterAutospacing="0" w:line="420" w:lineRule="atLeast"/>
        <w:ind w:left="0" w:right="0" w:firstLine="405"/>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①　线上就医评价</w:t>
      </w:r>
    </w:p>
    <w:p w14:paraId="6CCB6A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支持居民通过微信公众号在线对医生提供的医疗健康服务情况进行满意度评价；提供敏感词过滤、评价审核等方式，自动对患者就医评价进行审核和监管。</w:t>
      </w:r>
    </w:p>
    <w:p w14:paraId="3D5E9300">
      <w:pPr>
        <w:keepNext w:val="0"/>
        <w:keepLines w:val="0"/>
        <w:widowControl/>
        <w:suppressLineNumbers w:val="0"/>
        <w:spacing w:before="0" w:beforeAutospacing="0" w:after="128" w:afterAutospacing="0" w:line="420" w:lineRule="atLeast"/>
        <w:ind w:left="0" w:right="0" w:firstLine="405"/>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②　我的订单</w:t>
      </w:r>
    </w:p>
    <w:p w14:paraId="1CAAAE9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支持患者通过微信公众号在线查询预约挂号、健康咨询、在线复诊等服务订单。</w:t>
      </w:r>
    </w:p>
    <w:p w14:paraId="41653BA0">
      <w:pPr>
        <w:keepNext w:val="0"/>
        <w:keepLines w:val="0"/>
        <w:widowControl/>
        <w:suppressLineNumbers w:val="0"/>
        <w:spacing w:before="0" w:beforeAutospacing="0" w:after="128" w:afterAutospacing="0" w:line="420" w:lineRule="atLeast"/>
        <w:ind w:left="0" w:right="0" w:firstLine="405"/>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③　健康资讯</w:t>
      </w:r>
    </w:p>
    <w:p w14:paraId="1DA3F1C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支持居民通过微信公众号在线查询相应的健康资讯信息，包括健康资讯、健康知识、健康教育讲座等；支持居民对相关的资讯进行分享。</w:t>
      </w:r>
    </w:p>
    <w:p w14:paraId="61A7054C">
      <w:pPr>
        <w:keepNext w:val="0"/>
        <w:keepLines w:val="0"/>
        <w:widowControl/>
        <w:suppressLineNumbers w:val="0"/>
        <w:spacing w:before="0" w:beforeAutospacing="0" w:after="128" w:afterAutospacing="0" w:line="420" w:lineRule="atLeast"/>
        <w:ind w:left="0" w:right="0" w:firstLine="405"/>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④　微官网</w:t>
      </w:r>
    </w:p>
    <w:p w14:paraId="7878510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支持居民通过微官网在线了解医院情况，提供的内容包括：医院介绍、科室介绍、专家介绍、就医流程、医生排班。</w:t>
      </w:r>
    </w:p>
    <w:p w14:paraId="747E6C0E">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3.1.8 接口</w:t>
      </w:r>
    </w:p>
    <w:p w14:paraId="4AD678BE">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3.1.8.1 医疗保险接口</w:t>
      </w:r>
    </w:p>
    <w:p w14:paraId="20F05D6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 医疗保险接口</w:t>
      </w:r>
    </w:p>
    <w:p w14:paraId="5E67AD9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支持与医保结算系统对接。</w:t>
      </w:r>
    </w:p>
    <w:p w14:paraId="3B696D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支持医院信息系统与上级医保部门的信息交换，包括下载、上传，支持实时结算。</w:t>
      </w:r>
    </w:p>
    <w:p w14:paraId="32888D9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支持与全国各地区不同医保端接口对接。</w:t>
      </w:r>
    </w:p>
    <w:p w14:paraId="24B10E9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支持门诊挂号，门诊收费，出入院医保病人的登记和结算。</w:t>
      </w:r>
    </w:p>
    <w:p w14:paraId="3A09E19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支持医保数据上传和报表统计。</w:t>
      </w:r>
    </w:p>
    <w:p w14:paraId="3ACA575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支持医保药品项目与院内药品项目对应。</w:t>
      </w:r>
    </w:p>
    <w:p w14:paraId="4863A78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支持医保相关信息查询。</w:t>
      </w:r>
    </w:p>
    <w:p w14:paraId="70FD53AE">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3.1.8.2 互联网应用接口</w:t>
      </w:r>
    </w:p>
    <w:p w14:paraId="6FB7D0C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 个人就医（互联网应用）</w:t>
      </w:r>
    </w:p>
    <w:p w14:paraId="114FA6A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门诊-门诊预约、候诊队列查询、门诊挂号及缴费</w:t>
      </w:r>
    </w:p>
    <w:p w14:paraId="00DAB5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支持与互联网应用（如支付宝生活号，微信公众号，APP，官网等）对接门诊预约、候诊队列查询、门诊挂号及缴费。</w:t>
      </w:r>
    </w:p>
    <w:p w14:paraId="5DD9424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b/>
          <w:bCs/>
          <w:i w:val="0"/>
          <w:iCs w:val="0"/>
          <w:caps w:val="0"/>
          <w:color w:val="333333"/>
          <w:spacing w:val="0"/>
          <w:kern w:val="0"/>
          <w:sz w:val="21"/>
          <w:szCs w:val="21"/>
          <w:shd w:val="clear" w:fill="FFFFFF"/>
          <w:lang w:val="en-US" w:eastAsia="zh-CN" w:bidi="ar"/>
        </w:rPr>
        <w:t>l</w:t>
      </w:r>
      <w:r>
        <w:rPr>
          <w:rFonts w:hint="eastAsia" w:ascii="宋体" w:hAnsi="宋体" w:eastAsia="宋体" w:cs="宋体"/>
          <w:i w:val="0"/>
          <w:iCs w:val="0"/>
          <w:caps w:val="0"/>
          <w:color w:val="333333"/>
          <w:spacing w:val="0"/>
          <w:kern w:val="0"/>
          <w:sz w:val="21"/>
          <w:szCs w:val="21"/>
          <w:shd w:val="clear" w:fill="FFFFFF"/>
          <w:lang w:val="en-US" w:eastAsia="zh-CN" w:bidi="ar"/>
        </w:rPr>
        <w:t> 医技报告查询</w:t>
      </w:r>
    </w:p>
    <w:p w14:paraId="1570CFB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支持与互联网应用（如支付宝生活号，微信公众号，APP，官网等）对接，进行医技报告查询。</w:t>
      </w:r>
    </w:p>
    <w:p w14:paraId="0A09ACAD">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3.1.8.3 政策性接口</w:t>
      </w:r>
    </w:p>
    <w:p w14:paraId="5EEF341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电子医保凭证接口</w:t>
      </w:r>
    </w:p>
    <w:p w14:paraId="77D1E1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医保线上移动支付</w:t>
      </w:r>
    </w:p>
    <w:p w14:paraId="38EF9A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税务\电子票据接口</w:t>
      </w:r>
    </w:p>
    <w:p w14:paraId="18852E6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食源性疾病上报接口</w:t>
      </w:r>
    </w:p>
    <w:p w14:paraId="73E9345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省级DRGs平台接口（门诊、住院）</w:t>
      </w:r>
    </w:p>
    <w:p w14:paraId="277691F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发热门诊数据上报</w:t>
      </w:r>
    </w:p>
    <w:p w14:paraId="4709D141">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卫统4上报</w:t>
      </w:r>
    </w:p>
    <w:p w14:paraId="2B67430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国家公立医院绩效考核数据上报</w:t>
      </w:r>
    </w:p>
    <w:p w14:paraId="662E540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流感数据上报</w:t>
      </w:r>
    </w:p>
    <w:p w14:paraId="07700E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慢病报卡上报接口</w:t>
      </w:r>
    </w:p>
    <w:p w14:paraId="3400162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国家传染病智能监测预警前置软件接口</w:t>
      </w:r>
    </w:p>
    <w:p w14:paraId="33FE24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医保事中预警接口</w:t>
      </w:r>
    </w:p>
    <w:p w14:paraId="04CBA2D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医保双通道接口</w:t>
      </w:r>
    </w:p>
    <w:p w14:paraId="41FD576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医保药品追溯码接口</w:t>
      </w:r>
    </w:p>
    <w:p w14:paraId="6A1B811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云南省门（急）诊诊疗信息页数据采集质量接口</w:t>
      </w:r>
    </w:p>
    <w:p w14:paraId="0495F8F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公立中医医院绩效监测中医病案首页数据质量与接口标准新增医嘱接口上传</w:t>
      </w:r>
    </w:p>
    <w:p w14:paraId="40C202FF">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临床路径上报接口</w:t>
      </w:r>
    </w:p>
    <w:p w14:paraId="703B212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医保一码付接口</w:t>
      </w:r>
    </w:p>
    <w:p w14:paraId="300A21FD">
      <w:pPr>
        <w:pStyle w:val="5"/>
        <w:keepNext w:val="0"/>
        <w:keepLines w:val="0"/>
        <w:widowControl/>
        <w:suppressLineNumbers w:val="0"/>
        <w:spacing w:before="120" w:beforeAutospacing="0" w:after="120" w:afterAutospacing="0" w:line="47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3.1.9 评级评审</w:t>
      </w:r>
    </w:p>
    <w:p w14:paraId="33622A74">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3.1.9.1 电子病历评级实施服务</w:t>
      </w:r>
    </w:p>
    <w:p w14:paraId="2010B6A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 实施服务</w:t>
      </w:r>
    </w:p>
    <w:p w14:paraId="4152DD4A">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应用推广：提高应用率 满足评审所需要的应用数要求，配合医院推广业务系统使用；如指定推广计划，提供推广应用案例和方法，尤其是临床病历的使用。</w:t>
      </w:r>
    </w:p>
    <w:p w14:paraId="13CC51D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核查数据：提高数据质量 满足评审要求的数据及时性、完整性、整合性、一致性。对不同的界面数据一致性进行核查，如患者年龄：不同系统算法不同（实岁、虚岁），需统一算法。</w:t>
      </w:r>
    </w:p>
    <w:p w14:paraId="07DC042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流程再造：满足评审要求 对于医院的临床流程进行再造，例如危急值管理流程再造。</w:t>
      </w:r>
    </w:p>
    <w:p w14:paraId="22FEB64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(2) 电子病历四级评审服务</w:t>
      </w:r>
    </w:p>
    <w:p w14:paraId="0A801C72">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文审材料准备、数据完整性检查、远程配合模拟演练、评审远程保障、现场演练及评审现场保障</w:t>
      </w:r>
    </w:p>
    <w:p w14:paraId="130A6438">
      <w:pPr>
        <w:pStyle w:val="6"/>
        <w:keepNext w:val="0"/>
        <w:keepLines w:val="0"/>
        <w:widowControl/>
        <w:suppressLineNumbers w:val="0"/>
        <w:spacing w:before="120" w:beforeAutospacing="0" w:after="120" w:afterAutospacing="0" w:line="338"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3.1.9.2应用服务</w:t>
      </w:r>
    </w:p>
    <w:p w14:paraId="5CE569B0">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(1) 临床信息集成调阅</w:t>
      </w:r>
    </w:p>
    <w:p w14:paraId="5E64CAA5">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●患者信息合并</w:t>
      </w:r>
    </w:p>
    <w:p w14:paraId="250E989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患者信息关联</w:t>
      </w:r>
    </w:p>
    <w:p w14:paraId="1A72F55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具备根据患者姓名、身份证号、手机号等患者唯一标识号将同一患者不同就诊记录进行关联。</w:t>
      </w:r>
    </w:p>
    <w:p w14:paraId="2B38F76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患者关联信息查询</w:t>
      </w:r>
    </w:p>
    <w:p w14:paraId="52820A6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支持根据患者patid、姓名、身份证号、手机号等患者标识符对患者诊疗信息进行关联查询，前台进行患者信息合并展示。</w:t>
      </w:r>
    </w:p>
    <w:p w14:paraId="05E985DE">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●临床信息调阅</w:t>
      </w:r>
    </w:p>
    <w:p w14:paraId="79D51BEB">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具备根据患者信息合并后的信息，实现患者在本院的历史门诊/住院就诊信息的集中调阅。</w:t>
      </w:r>
    </w:p>
    <w:p w14:paraId="02F6A7D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具备按日期展示患者门诊、住院的就诊记录，支持按近一月、近三月，以及从指定日期开始的时间条件进行检索。</w:t>
      </w:r>
    </w:p>
    <w:p w14:paraId="4190ADF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具备查看患者历次就诊的门诊、住院诊断记录，诊断名称、时间。</w:t>
      </w:r>
    </w:p>
    <w:p w14:paraId="30B4EA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具备查看患者历次就诊完整的门诊、住院病历，如入院小结、病程记录、手术记录、出院小结、住院病案首页等。</w:t>
      </w:r>
    </w:p>
    <w:p w14:paraId="12DB058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具备查看患者历次就诊完整的门诊处方记录、住院长期医嘱、临时医嘱信息，如用药、治疗、护理、膳食等。</w:t>
      </w:r>
    </w:p>
    <w:p w14:paraId="35F22996">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具备查看患者历次就诊完整检验申请单项目、标本、执行科室及注意事项等。</w:t>
      </w:r>
    </w:p>
    <w:p w14:paraId="2E974FF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具备查看患者历次就诊完整检查申请单项目、执行科室、临床诊断、检查目的、注意事项等。</w:t>
      </w:r>
    </w:p>
    <w:p w14:paraId="544B6B0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具备查看患者历次就诊的检验/检查的文字报告、影像报告。</w:t>
      </w:r>
    </w:p>
    <w:p w14:paraId="6150C6A3">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具备查看患者历次就诊的检验报告记录。</w:t>
      </w:r>
    </w:p>
    <w:p w14:paraId="10B7DAC9">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具备查看患者历次就诊的护理病历信息。</w:t>
      </w:r>
    </w:p>
    <w:p w14:paraId="720364E7">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具备查看患者历次就诊申请及安排的手术信息，如手术时间、名称、主刀医生等。</w:t>
      </w:r>
    </w:p>
    <w:p w14:paraId="13169ED9">
      <w:pPr>
        <w:pStyle w:val="7"/>
        <w:keepNext w:val="0"/>
        <w:keepLines w:val="0"/>
        <w:widowControl/>
        <w:suppressLineNumbers w:val="0"/>
        <w:spacing w:before="120" w:beforeAutospacing="0" w:after="120" w:afterAutospacing="0" w:line="270"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(2) 病区集中配药</w:t>
      </w:r>
    </w:p>
    <w:p w14:paraId="13A741CD">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具备输液药品的摆药信息、核对信息、配置信息的记录功能，包括操作人员和操作时间，并具备查询与打印功能。</w:t>
      </w:r>
    </w:p>
    <w:p w14:paraId="19A2EB08">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具备按预执行日期、长期临时、摆药状态、配置状态、核对状态筛选查询输液药品信息功能。</w:t>
      </w:r>
    </w:p>
    <w:p w14:paraId="6921A6C4">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具备患者列表在选择患者文本框，按患者的床号/姓名/姓名首拼/病历号进行模糊检索功能。</w:t>
      </w:r>
    </w:p>
    <w:p w14:paraId="667CEECC">
      <w:pPr>
        <w:keepNext w:val="0"/>
        <w:keepLines w:val="0"/>
        <w:widowControl/>
        <w:suppressLineNumbers w:val="0"/>
        <w:spacing w:before="0" w:beforeAutospacing="0" w:after="128" w:afterAutospacing="0" w:line="420" w:lineRule="atLeast"/>
        <w:ind w:left="0" w:right="0"/>
        <w:jc w:val="left"/>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具备选择是在区的患者，还是已出区的患者，在区即为当前登录病区的在区患者，出区即为从当前病区办理出区但未出院的患者功能。</w:t>
      </w:r>
    </w:p>
    <w:p w14:paraId="2FED9DE1">
      <w:pPr>
        <w:pStyle w:val="4"/>
        <w:keepNext w:val="0"/>
        <w:keepLines w:val="0"/>
        <w:widowControl/>
        <w:suppressLineNumbers w:val="0"/>
        <w:spacing w:before="120" w:beforeAutospacing="0" w:after="120" w:afterAutospacing="0" w:line="563" w:lineRule="atLeast"/>
        <w:rPr>
          <w:rFonts w:hint="eastAsia" w:ascii="宋体" w:hAnsi="宋体" w:eastAsia="宋体" w:cs="宋体"/>
          <w:sz w:val="21"/>
          <w:szCs w:val="21"/>
        </w:rPr>
      </w:pPr>
      <w:r>
        <w:rPr>
          <w:rFonts w:hint="eastAsia" w:ascii="宋体" w:hAnsi="宋体" w:eastAsia="宋体" w:cs="宋体"/>
          <w:b/>
          <w:bCs/>
          <w:i w:val="0"/>
          <w:iCs w:val="0"/>
          <w:caps w:val="0"/>
          <w:color w:val="333333"/>
          <w:spacing w:val="0"/>
          <w:sz w:val="21"/>
          <w:szCs w:val="21"/>
          <w:shd w:val="clear" w:fill="FFFFFF"/>
        </w:rPr>
        <w:t>3.2硬件配置</w:t>
      </w:r>
    </w:p>
    <w:tbl>
      <w:tblPr>
        <w:tblStyle w:val="42"/>
        <w:tblW w:w="10102"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1269"/>
        <w:gridCol w:w="709"/>
        <w:gridCol w:w="709"/>
        <w:gridCol w:w="6699"/>
      </w:tblGrid>
      <w:tr w14:paraId="1F4BB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716"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CC9A8F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序号</w:t>
            </w:r>
          </w:p>
        </w:tc>
        <w:tc>
          <w:tcPr>
            <w:tcW w:w="126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3B9E15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名称</w:t>
            </w:r>
          </w:p>
        </w:tc>
        <w:tc>
          <w:tcPr>
            <w:tcW w:w="70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EC03A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数量</w:t>
            </w:r>
          </w:p>
        </w:tc>
        <w:tc>
          <w:tcPr>
            <w:tcW w:w="70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43DDDF2">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单位</w:t>
            </w:r>
          </w:p>
        </w:tc>
        <w:tc>
          <w:tcPr>
            <w:tcW w:w="669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D20641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硬件技术参数</w:t>
            </w:r>
          </w:p>
        </w:tc>
      </w:tr>
      <w:tr w14:paraId="1D8D8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689"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EB71C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362EA3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核心业务运行设备</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872FBF7">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12D7B3">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369CB71">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一、管理平台要求：</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1、支持生产预安装虚拟化、分布式存储和管理软件；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2、支持对整个平台虚拟机系统的设备统一管理，支持在管理平台上连接、开启、关闭各类虚拟设备，方便运维管理；</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二、硬件配置要求：</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1、2U机架；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2、配置≥2颗处理器，主频≥2.1GHZ，核心数≥24核心；配置内存≥1024Gb 内存，配置≥2块1.92T SSD硬盘，≥8块8T SATA硬盘；提供≥4个千兆电口+4个万兆光口（含模块）；冗余电源；</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3、RAID卡支持JBOD/RAID0/RAID1/RAID10；</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4、服务：提供≥三年原厂维保以及实施服务；</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三、软件配置要求：</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1、单节点配置≥2套系统软件（含计算虚拟化、网络虚拟化、存储虚拟化和云管理软件）；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2、虚拟机之间可以做到隔离保护，其中每一个虚拟机发生故障都不会影响同一个物理机上的其它虚拟机运行；</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3、支持容灾备份功能，提升业务连续性及数据可用性；</w:t>
            </w:r>
          </w:p>
          <w:p w14:paraId="5CF198C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四、服务：提供三年原厂维保以及实施服务；</w:t>
            </w:r>
          </w:p>
        </w:tc>
      </w:tr>
      <w:tr w14:paraId="20B1D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550"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D9CAF6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22D1B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业务汇聚设备</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DE3E6D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486E34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969B4AB">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1、最大支持交换容量2.56Tbps,转发性能720Mpps；</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2、配置可插拔双电源，配置堆叠对应堆叠模块和线缆；</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3、配置10 GE SFP+端口24个（配置24个万兆多模模块）；</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4、支持静态路由、RIP V1/2、OSPF、IS-IS、BGP、RIPng、OSPFv3、BGP4+、ISISv6,支持VRRP,支持策略路由,支持路由策略,支持DHCPv6 Snooping、DHCPv6 Server、DHCPv6 Relay；</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5、支持基于MAC/协议/IP子网/策略/端口的VLAN；</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6、提供三年免费保修服务。</w:t>
            </w:r>
          </w:p>
        </w:tc>
      </w:tr>
      <w:tr w14:paraId="2CA9E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81"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4AFAD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6D8150D">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端点威胁检测防护与管理系统</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51B370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5A9446F">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C1CC72">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 支持文件监控、可远程集中查看监控状态及开关监控，管理员可以在中心控制台远程恢复可能误删的文件；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 支持U盘监控，确保接入环境的U盘安全；</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 可远程锁定客户端策略，防止终端自行更改，策略支持离线生效功能，提高全网安全性；</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4、提供20个服务器端授权。</w:t>
            </w:r>
          </w:p>
        </w:tc>
      </w:tr>
      <w:tr w14:paraId="6C0B3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7"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0F4500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A7C282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数据设备</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2FEA86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E2EC2FB">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769DA14">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1、在一个集群内同时提供块存储、文件存储、对象以及HDFS存储服务，支持NAS存储，支持NFS、CIFS、FTP共享；</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2、支持IPv4和IPv6协议；</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3、总体存储容量要求：配置≥100TB数据存储容量；</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4、硬件配置要求：本次配置≥3个节点，支持节点在线平滑扩展，系统能够自动识别所加入的节点；</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5、每节点配置≥2颗处理器（主频≥2.1GHz，核心数≥10C），配置≥64GB缓存；配置≥2块1.92TB SSD硬盘；</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6、单节点配置≥4个10GE以太网接口（满配万兆多模模块）和≥1个管理网口，配置≥1个RAID阵列卡，支持RAID0/1/10支持1Gb/10Gbps/25Gbps 以太网；</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7、支持基于时间点的卷克隆，实现跨故障域的数据保护，支持重新同步和自动实时同步；</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8、支持NAS存储，支持NFS、CIFS、FTP共享；</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9、提供三年免费保修服务。</w:t>
            </w:r>
          </w:p>
        </w:tc>
      </w:tr>
      <w:tr w14:paraId="1DD0F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559"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EA90CD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82FB72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网关设备</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93368F1">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ECCC65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5E523A">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1、规格：配置≥4个千兆电口，≥4个万兆光口（含光模块）；</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2、配置IPS、防病毒模块，配置HA功能；</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3、性能参数要求：网络层吞吐量≥20G，应用层吞吐量≥10G；</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4、产品支持路由模式、透明模式、虚拟网线模式、旁路镜像模式等多种部署方式。</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5、产品支持静态路由、策略路由和多播路由协议，并支持BGP、RIP、OSPF等动态路由协议。</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6、产品支持对ICMP、UDP、DNS、SYN等协议进行DDOS防护。</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7、提供不少于3年的硬件维保服务及软件服务。</w:t>
            </w:r>
          </w:p>
        </w:tc>
      </w:tr>
      <w:tr w14:paraId="4E7BD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479"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B38B6C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B0D683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互联网业务运行设备</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DAE2F8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2A91836">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7282877">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一、管理平台要求：</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1、支持生产预安装虚拟化、分布式存储和管理软件；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2、支持对整个平台虚拟机系统的设备统一管理，支持在管理平台上连接、开启、关闭各类虚拟设备，方便运维管理；</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二、硬件配置要求：</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1、2U机架；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2、配置≥2颗处理器，主频≥2.1GHZ，核心数≥16核心；配置内存≥512Gb内存，配置≥2块960G SSD缓存盘，≥4块6T SATA存储盘；提供≥4个千兆电口+2个万兆光口（含模块）；冗余电源；</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3、RAID卡支持JBOD/RAID0/RAID1/RAID10；</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三、软件配置要求：</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单节点配置≥2套系统软件（含计算虚拟化、网络虚拟化、存储虚拟化和云管理软件）；</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四、服务：</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提供三年原厂维保以及实施服务。</w:t>
            </w:r>
          </w:p>
        </w:tc>
      </w:tr>
      <w:tr w14:paraId="6C99D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99"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8C5363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3B9228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互联网汇聚设备</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7E8C200">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CCE058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EB00075">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1、配置≥12个万兆光口（含光模块），12个千兆电口；</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2、交换容量≥2.4Tbps/24Tbps，包转发率≥780Mpps/1080Mpps；</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3、支持全端口线速转发；</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4、提供不少于3年维保服务；</w:t>
            </w:r>
          </w:p>
        </w:tc>
      </w:tr>
      <w:tr w14:paraId="5EC0E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9"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1D37F7C">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9D76D34">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自动化运维系统</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9C1E58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8E0F3E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7EEC908">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1、监控和分析：</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1）系统监控及分析；网卡性能、磁盘空间、CPU配置监控及分析，提供异常告警。</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2）参数配置监控及分析：配置参数进行监控及分析，提供异常告警，并提供修改建议。</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3）性能计数器监控及分析：包括: Processor、Physical Disk、Memory、Network、Locks、SQL Statistics、buffer Manager、Memory Manager、Access Methods、Gerneral Statistics、Latches、Temp DB等性能计数器的全部监控及分析，提供异常告警。</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等待的监控及分析：包括：等待类型、平均等待时间、等待数据量的统计分析，提供图形化的报表；对所有等待进行监控，支持按照等待次数、等待时间、CPU时间、逻辑读次数、物理写次数、物理写次数进行排序。</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5）慢语句的监控及分析：包括：慢语句数量、慢语句的类型、慢语句的分布的统计分析，提供图形化的报表；对所有慢语句进行监控，支持按照执行次数、持续时间、CPU时间、读次数、读次数、影响行数进行排序。</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6）执行计划的监控及分析:对执行计划进行分析和监控，分析是否有缺失索引、隐式转换，提供异常告警。</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2、自动巡检：对环境、性能、备份、高可用、安全、结构设计6大维度进行深度体检，自动导出word、pdf格式报告。</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3、自动运维：借助数据分析，自动诊断数据库内部合理的配置、索引、执行计划，并自动生成优化的脚本；配置自动运维时，自动分析数据库的问题，自动生成解决策略。</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4、提供原厂一年技术服务。</w:t>
            </w:r>
          </w:p>
        </w:tc>
      </w:tr>
      <w:tr w14:paraId="62F1B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919" w:hRule="atLeast"/>
        </w:trPr>
        <w:tc>
          <w:tcPr>
            <w:tcW w:w="71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575D26E">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12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3E9A19">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备份设备</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6883678">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70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D174D45">
            <w:pPr>
              <w:keepNext w:val="0"/>
              <w:keepLines w:val="0"/>
              <w:widowControl/>
              <w:suppressLineNumbers w:val="0"/>
              <w:spacing w:before="0" w:beforeAutospacing="0" w:after="128"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c>
          <w:tcPr>
            <w:tcW w:w="669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498669">
            <w:pPr>
              <w:keepNext w:val="0"/>
              <w:keepLines w:val="0"/>
              <w:widowControl/>
              <w:suppressLineNumbers w:val="0"/>
              <w:spacing w:before="0" w:beforeAutospacing="0" w:after="128"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1）硬件指标：</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CPU：≥2颗（单颗≥12核，≥2.0G)</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内存：≥64 GB</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系统盘：≥2* 240G SATA SSD  </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数据盘：≥6*8T</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阵列卡：RAID卡*1，≥RAID0/RAID1/RAID10/RAID5</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网口：≥2*10GB含模块+4*1GB；</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电源：双电源，冗余配置</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2)软件指标：</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1、支持任意的分/时/天/月/年/仅备份一次等策略执行定时备份，操作简单，策略灵活；</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2、可以将备份的虚拟机通过挂载的方式即时可用，支持单虚拟机粒度挂载，支持虚拟机挂载后是否自动开机和联网;</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3、支持断点续传，当备份复制过程中出现非正常中断后，恢复备份条件后可基于上一次断点处进行续传。</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4、可将选定的备份点加载为CIFS文件共享和网络共享路径可直接在WEB浏览器中直接URL访问，管理员可快速确认需被验证的备份点文件是否是符合预期，备份点是否可用、可靠；</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5、配置≥50个虚拟机或者≥20TB容量的实时备份许可，支持容灾服务器拉起；</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3)质保：提供原厂3年质保服务。</w:t>
            </w:r>
          </w:p>
        </w:tc>
      </w:tr>
    </w:tbl>
    <w:p w14:paraId="5553C135">
      <w:pPr>
        <w:topLinePunct/>
        <w:spacing w:line="360" w:lineRule="auto"/>
        <w:rPr>
          <w:rFonts w:hint="eastAsia" w:ascii="宋体" w:hAnsi="宋体" w:eastAsia="宋体" w:cs="宋体"/>
          <w:color w:val="000000" w:themeColor="text1"/>
          <w:lang w:val="en-US" w:eastAsia="zh-CN"/>
          <w14:textFill>
            <w14:solidFill>
              <w14:schemeClr w14:val="tx1"/>
            </w14:solidFill>
          </w14:textFill>
        </w:rPr>
      </w:pPr>
    </w:p>
    <w:p w14:paraId="3AC6DEA2">
      <w:pPr>
        <w:topLinePunct/>
        <w:spacing w:line="360" w:lineRule="auto"/>
        <w:ind w:firstLine="510"/>
        <w:rPr>
          <w:rFonts w:ascii="宋体" w:hAnsi="宋体" w:cs="宋体"/>
          <w:color w:val="000000" w:themeColor="text1"/>
          <w:sz w:val="36"/>
          <w:szCs w:val="36"/>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注：</w:t>
      </w:r>
      <w:r>
        <w:rPr>
          <w:rFonts w:hint="eastAsia" w:ascii="宋体" w:hAnsi="宋体" w:eastAsia="宋体" w:cs="宋体"/>
          <w:color w:val="000000" w:themeColor="text1"/>
          <w14:textFill>
            <w14:solidFill>
              <w14:schemeClr w14:val="tx1"/>
            </w14:solidFill>
          </w14:textFill>
        </w:rPr>
        <w:t>本章各项规格、技术参数和性能要求如出现引用某一特定的专利技术、商标、名称、设计、原产地或供应者等情况，则仅起参考作用。供应商可选用实质上“相当于”或“优于”该参考技术规格要求的产品投报，同时填写技术规格偏差表。</w:t>
      </w:r>
      <w:bookmarkEnd w:id="600"/>
      <w:bookmarkEnd w:id="601"/>
      <w:bookmarkStart w:id="602" w:name="_Toc164432959"/>
    </w:p>
    <w:p w14:paraId="3DAB1678">
      <w:pPr>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p>
    <w:p w14:paraId="7A57B767">
      <w:pPr>
        <w:pStyle w:val="3"/>
        <w:spacing w:before="0" w:after="0" w:line="360" w:lineRule="auto"/>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第六章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投标文件格式</w:t>
      </w:r>
      <w:bookmarkEnd w:id="602"/>
    </w:p>
    <w:p w14:paraId="1223E05C">
      <w:pPr>
        <w:spacing w:line="360" w:lineRule="auto"/>
        <w:rPr>
          <w:rFonts w:ascii="宋体" w:hAnsi="宋体" w:eastAsia="宋体" w:cs="Times New Roman"/>
          <w:color w:val="000000" w:themeColor="text1"/>
          <w:sz w:val="28"/>
          <w:szCs w:val="28"/>
          <w14:textFill>
            <w14:solidFill>
              <w14:schemeClr w14:val="tx1"/>
            </w14:solidFill>
          </w14:textFill>
        </w:rPr>
      </w:pPr>
    </w:p>
    <w:p w14:paraId="0562D94E">
      <w:pPr>
        <w:spacing w:line="360" w:lineRule="auto"/>
        <w:rPr>
          <w:rFonts w:ascii="宋体" w:hAnsi="宋体" w:eastAsia="宋体" w:cs="Times New Roman"/>
          <w:color w:val="000000" w:themeColor="text1"/>
          <w:sz w:val="28"/>
          <w:szCs w:val="28"/>
          <w14:textFill>
            <w14:solidFill>
              <w14:schemeClr w14:val="tx1"/>
            </w14:solidFill>
          </w14:textFill>
        </w:rPr>
      </w:pPr>
    </w:p>
    <w:p w14:paraId="602D72E2">
      <w:pPr>
        <w:spacing w:line="360" w:lineRule="auto"/>
        <w:jc w:val="center"/>
        <w:rPr>
          <w:rFonts w:ascii="宋体" w:hAnsi="宋体" w:eastAsia="宋体" w:cs="Times New Roman"/>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（项目名称）</w:t>
      </w:r>
    </w:p>
    <w:p w14:paraId="3C373B6F">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2DEFF0B6">
      <w:pPr>
        <w:spacing w:line="360" w:lineRule="auto"/>
        <w:rPr>
          <w:rFonts w:ascii="宋体" w:hAnsi="宋体" w:eastAsia="宋体" w:cs="Times New Roman"/>
          <w:color w:val="000000" w:themeColor="text1"/>
          <w:sz w:val="28"/>
          <w:szCs w:val="28"/>
          <w14:textFill>
            <w14:solidFill>
              <w14:schemeClr w14:val="tx1"/>
            </w14:solidFill>
          </w14:textFill>
        </w:rPr>
      </w:pPr>
    </w:p>
    <w:p w14:paraId="68F2325B">
      <w:pPr>
        <w:spacing w:line="360" w:lineRule="auto"/>
        <w:rPr>
          <w:rFonts w:ascii="宋体" w:hAnsi="宋体" w:eastAsia="宋体" w:cs="Times New Roman"/>
          <w:color w:val="000000" w:themeColor="text1"/>
          <w:sz w:val="28"/>
          <w:szCs w:val="28"/>
          <w14:textFill>
            <w14:solidFill>
              <w14:schemeClr w14:val="tx1"/>
            </w14:solidFill>
          </w14:textFill>
        </w:rPr>
      </w:pPr>
    </w:p>
    <w:p w14:paraId="52F51F9B">
      <w:pPr>
        <w:spacing w:line="360" w:lineRule="auto"/>
        <w:rPr>
          <w:rFonts w:ascii="宋体" w:hAnsi="宋体" w:eastAsia="宋体" w:cs="Times New Roman"/>
          <w:color w:val="000000" w:themeColor="text1"/>
          <w:sz w:val="28"/>
          <w:szCs w:val="28"/>
          <w14:textFill>
            <w14:solidFill>
              <w14:schemeClr w14:val="tx1"/>
            </w14:solidFill>
          </w14:textFill>
        </w:rPr>
      </w:pPr>
    </w:p>
    <w:p w14:paraId="22B2B6E5">
      <w:pPr>
        <w:spacing w:line="360" w:lineRule="auto"/>
        <w:rPr>
          <w:rFonts w:ascii="宋体" w:hAnsi="宋体" w:eastAsia="宋体" w:cs="Times New Roman"/>
          <w:color w:val="000000" w:themeColor="text1"/>
          <w:sz w:val="28"/>
          <w:szCs w:val="28"/>
          <w14:textFill>
            <w14:solidFill>
              <w14:schemeClr w14:val="tx1"/>
            </w14:solidFill>
          </w14:textFill>
        </w:rPr>
      </w:pPr>
    </w:p>
    <w:p w14:paraId="2E82CEC3">
      <w:pPr>
        <w:spacing w:line="360" w:lineRule="auto"/>
        <w:rPr>
          <w:rFonts w:ascii="宋体" w:hAnsi="宋体" w:eastAsia="宋体" w:cs="Times New Roman"/>
          <w:color w:val="000000" w:themeColor="text1"/>
          <w:sz w:val="28"/>
          <w:szCs w:val="28"/>
          <w14:textFill>
            <w14:solidFill>
              <w14:schemeClr w14:val="tx1"/>
            </w14:solidFill>
          </w14:textFill>
        </w:rPr>
      </w:pPr>
    </w:p>
    <w:p w14:paraId="6B42D26C">
      <w:pPr>
        <w:jc w:val="center"/>
        <w:rPr>
          <w:rFonts w:ascii="宋体" w:hAnsi="宋体" w:eastAsia="宋体" w:cs="Times New Roman"/>
          <w:b/>
          <w:bCs/>
          <w:color w:val="000000" w:themeColor="text1"/>
          <w:sz w:val="96"/>
          <w:szCs w:val="96"/>
          <w14:textFill>
            <w14:solidFill>
              <w14:schemeClr w14:val="tx1"/>
            </w14:solidFill>
          </w14:textFill>
        </w:rPr>
      </w:pPr>
      <w:r>
        <w:rPr>
          <w:rFonts w:hint="eastAsia" w:ascii="宋体" w:hAnsi="宋体" w:eastAsia="宋体" w:cs="宋体"/>
          <w:b/>
          <w:bCs/>
          <w:color w:val="000000" w:themeColor="text1"/>
          <w:sz w:val="96"/>
          <w:szCs w:val="96"/>
          <w14:textFill>
            <w14:solidFill>
              <w14:schemeClr w14:val="tx1"/>
            </w14:solidFill>
          </w14:textFill>
        </w:rPr>
        <w:t>投</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标</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文</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件</w:t>
      </w:r>
    </w:p>
    <w:p w14:paraId="7D8F734A">
      <w:pPr>
        <w:spacing w:line="360" w:lineRule="auto"/>
        <w:rPr>
          <w:rFonts w:ascii="宋体" w:hAnsi="宋体" w:eastAsia="宋体" w:cs="Times New Roman"/>
          <w:color w:val="000000" w:themeColor="text1"/>
          <w:sz w:val="28"/>
          <w:szCs w:val="28"/>
          <w14:textFill>
            <w14:solidFill>
              <w14:schemeClr w14:val="tx1"/>
            </w14:solidFill>
          </w14:textFill>
        </w:rPr>
      </w:pPr>
    </w:p>
    <w:p w14:paraId="0346DA0B">
      <w:pPr>
        <w:spacing w:line="360" w:lineRule="auto"/>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项目编号：</w:t>
      </w:r>
    </w:p>
    <w:p w14:paraId="50278AB9">
      <w:pPr>
        <w:spacing w:line="360" w:lineRule="auto"/>
        <w:rPr>
          <w:rFonts w:ascii="宋体" w:hAnsi="宋体" w:eastAsia="宋体" w:cs="Times New Roman"/>
          <w:color w:val="000000" w:themeColor="text1"/>
          <w:sz w:val="28"/>
          <w:szCs w:val="28"/>
          <w14:textFill>
            <w14:solidFill>
              <w14:schemeClr w14:val="tx1"/>
            </w14:solidFill>
          </w14:textFill>
        </w:rPr>
      </w:pPr>
    </w:p>
    <w:p w14:paraId="1801B3ED">
      <w:pPr>
        <w:spacing w:line="360" w:lineRule="auto"/>
        <w:rPr>
          <w:rFonts w:ascii="宋体" w:hAnsi="宋体" w:eastAsia="宋体" w:cs="Times New Roman"/>
          <w:color w:val="000000" w:themeColor="text1"/>
          <w:sz w:val="28"/>
          <w:szCs w:val="28"/>
          <w14:textFill>
            <w14:solidFill>
              <w14:schemeClr w14:val="tx1"/>
            </w14:solidFill>
          </w14:textFill>
        </w:rPr>
      </w:pPr>
    </w:p>
    <w:p w14:paraId="146057FA">
      <w:pPr>
        <w:spacing w:line="360" w:lineRule="auto"/>
        <w:rPr>
          <w:rFonts w:ascii="宋体" w:hAnsi="宋体" w:eastAsia="宋体" w:cs="Times New Roman"/>
          <w:color w:val="000000" w:themeColor="text1"/>
          <w:sz w:val="28"/>
          <w:szCs w:val="28"/>
          <w14:textFill>
            <w14:solidFill>
              <w14:schemeClr w14:val="tx1"/>
            </w14:solidFill>
          </w14:textFill>
        </w:rPr>
      </w:pPr>
    </w:p>
    <w:p w14:paraId="2FB07922">
      <w:pPr>
        <w:spacing w:line="360" w:lineRule="auto"/>
        <w:rPr>
          <w:rFonts w:ascii="宋体" w:hAnsi="宋体" w:eastAsia="宋体" w:cs="Times New Roman"/>
          <w:color w:val="000000" w:themeColor="text1"/>
          <w:sz w:val="28"/>
          <w:szCs w:val="28"/>
          <w14:textFill>
            <w14:solidFill>
              <w14:schemeClr w14:val="tx1"/>
            </w14:solidFill>
          </w14:textFill>
        </w:rPr>
      </w:pPr>
    </w:p>
    <w:p w14:paraId="4F1BD33B">
      <w:pPr>
        <w:spacing w:line="360" w:lineRule="auto"/>
        <w:rPr>
          <w:rFonts w:ascii="宋体" w:hAnsi="宋体" w:eastAsia="宋体" w:cs="Times New Roman"/>
          <w:color w:val="000000" w:themeColor="text1"/>
          <w:sz w:val="28"/>
          <w:szCs w:val="28"/>
          <w14:textFill>
            <w14:solidFill>
              <w14:schemeClr w14:val="tx1"/>
            </w14:solidFill>
          </w14:textFill>
        </w:rPr>
      </w:pPr>
    </w:p>
    <w:p w14:paraId="79836E39">
      <w:pPr>
        <w:spacing w:line="360" w:lineRule="auto"/>
        <w:rPr>
          <w:rFonts w:ascii="宋体" w:hAnsi="宋体" w:eastAsia="宋体"/>
          <w:color w:val="000000" w:themeColor="text1"/>
          <w:sz w:val="28"/>
          <w:szCs w:val="32"/>
          <w14:textFill>
            <w14:solidFill>
              <w14:schemeClr w14:val="tx1"/>
            </w14:solidFill>
          </w14:textFill>
        </w:rPr>
      </w:pPr>
    </w:p>
    <w:p w14:paraId="3E2842EF">
      <w:pPr>
        <w:spacing w:line="360" w:lineRule="auto"/>
        <w:rPr>
          <w:rFonts w:ascii="宋体" w:hAnsi="宋体" w:eastAsia="宋体"/>
          <w:color w:val="000000" w:themeColor="text1"/>
          <w:sz w:val="28"/>
          <w:szCs w:val="32"/>
          <w14:textFill>
            <w14:solidFill>
              <w14:schemeClr w14:val="tx1"/>
            </w14:solidFill>
          </w14:textFill>
        </w:rPr>
      </w:pPr>
    </w:p>
    <w:p w14:paraId="42288136">
      <w:pPr>
        <w:spacing w:line="360" w:lineRule="auto"/>
        <w:ind w:firstLine="1680" w:firstLineChars="600"/>
        <w:rPr>
          <w:rFonts w:ascii="宋体" w:hAnsi="宋体" w:eastAsia="宋体"/>
          <w:color w:val="000000" w:themeColor="text1"/>
          <w:sz w:val="28"/>
          <w:szCs w:val="32"/>
          <w:u w:val="single"/>
          <w14:textFill>
            <w14:solidFill>
              <w14:schemeClr w14:val="tx1"/>
            </w14:solidFill>
          </w14:textFill>
        </w:rPr>
      </w:pPr>
      <w:r>
        <w:rPr>
          <w:rFonts w:hint="eastAsia" w:ascii="宋体" w:hAnsi="宋体" w:eastAsia="宋体"/>
          <w:color w:val="000000" w:themeColor="text1"/>
          <w:sz w:val="28"/>
          <w:szCs w:val="32"/>
          <w14:textFill>
            <w14:solidFill>
              <w14:schemeClr w14:val="tx1"/>
            </w14:solidFill>
          </w14:textFill>
        </w:rPr>
        <w:t>投标人：</w:t>
      </w:r>
      <w:r>
        <w:rPr>
          <w:rFonts w:hint="eastAsia" w:ascii="宋体" w:hAnsi="宋体" w:eastAsia="宋体"/>
          <w:color w:val="000000" w:themeColor="text1"/>
          <w:sz w:val="28"/>
          <w:szCs w:val="32"/>
          <w:u w:val="single"/>
          <w14:textFill>
            <w14:solidFill>
              <w14:schemeClr w14:val="tx1"/>
            </w14:solidFill>
          </w14:textFill>
        </w:rPr>
        <w:t xml:space="preserve">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（电子签章）</w:t>
      </w:r>
    </w:p>
    <w:p w14:paraId="26F1BBE0">
      <w:pPr>
        <w:spacing w:line="360" w:lineRule="auto"/>
        <w:ind w:firstLine="2976" w:firstLineChars="1063"/>
        <w:rPr>
          <w:rFonts w:ascii="宋体" w:hAnsi="宋体" w:eastAsia="宋体"/>
          <w:color w:val="000000" w:themeColor="text1"/>
          <w:sz w:val="28"/>
          <w:szCs w:val="32"/>
          <w14:textFill>
            <w14:solidFill>
              <w14:schemeClr w14:val="tx1"/>
            </w14:solidFill>
          </w14:textFill>
        </w:rPr>
      </w:pPr>
      <w:r>
        <w:rPr>
          <w:rFonts w:hint="eastAsia" w:ascii="宋体" w:hAnsi="宋体" w:eastAsia="宋体"/>
          <w:color w:val="000000" w:themeColor="text1"/>
          <w:sz w:val="28"/>
          <w:szCs w:val="32"/>
          <w:u w:val="single"/>
          <w14:textFill>
            <w14:solidFill>
              <w14:schemeClr w14:val="tx1"/>
            </w14:solidFill>
          </w14:textFill>
        </w:rPr>
        <w:t xml:space="preserve">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 xml:space="preserve">年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 xml:space="preserve">月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日</w:t>
      </w:r>
    </w:p>
    <w:p w14:paraId="22C15040">
      <w:pPr>
        <w:spacing w:line="360" w:lineRule="auto"/>
        <w:rPr>
          <w:rFonts w:ascii="宋体" w:hAnsi="宋体" w:eastAsia="宋体"/>
          <w:color w:val="000000" w:themeColor="text1"/>
          <w14:textFill>
            <w14:solidFill>
              <w14:schemeClr w14:val="tx1"/>
            </w14:solidFill>
          </w14:textFill>
        </w:rPr>
      </w:pPr>
    </w:p>
    <w:p w14:paraId="6D3072DA">
      <w:pPr>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 </w:t>
      </w:r>
    </w:p>
    <w:p w14:paraId="644B3299">
      <w:pPr>
        <w:widowControl/>
        <w:spacing w:line="800" w:lineRule="exact"/>
        <w:jc w:val="both"/>
        <w:outlineLvl w:val="2"/>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03" w:name="_Toc70424899"/>
      <w:bookmarkStart w:id="604" w:name="_Toc107396244"/>
      <w:bookmarkStart w:id="605" w:name="_Toc120282472"/>
      <w:bookmarkStart w:id="606" w:name="_Toc77116717"/>
      <w:bookmarkStart w:id="607" w:name="_Toc77504115"/>
      <w:bookmarkStart w:id="608" w:name="_Toc77658125"/>
      <w:bookmarkStart w:id="609" w:name="_Toc6970"/>
    </w:p>
    <w:p w14:paraId="33E0FB3D">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59131CF7">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4D4B0659">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523F5D45">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63EA1135">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25A302BC">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79ACB006">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70E9CC30">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544B50F0">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686CD8A2">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32BFA9B3">
      <w:pPr>
        <w:spacing w:line="360" w:lineRule="auto"/>
        <w:jc w:val="center"/>
        <w:rPr>
          <w:rFonts w:ascii="宋体" w:hAnsi="宋体" w:eastAsia="宋体" w:cs="Times New Roman"/>
          <w:color w:val="000000" w:themeColor="text1"/>
          <w:sz w:val="28"/>
          <w:szCs w:val="28"/>
          <w14:textFill>
            <w14:solidFill>
              <w14:schemeClr w14:val="tx1"/>
            </w14:solidFill>
          </w14:textFill>
        </w:rPr>
      </w:pPr>
    </w:p>
    <w:p w14:paraId="7DDE129D">
      <w:pPr>
        <w:pStyle w:val="4"/>
        <w:spacing w:before="0" w:after="0" w:line="360" w:lineRule="auto"/>
        <w:jc w:val="center"/>
        <w:rPr>
          <w:rFonts w:ascii="宋体" w:hAnsi="宋体" w:eastAsia="宋体" w:cs="Times New Roman"/>
          <w:b w:val="0"/>
          <w:bCs w:val="0"/>
          <w:color w:val="000000" w:themeColor="text1"/>
          <w:sz w:val="36"/>
          <w:szCs w:val="36"/>
          <w14:textFill>
            <w14:solidFill>
              <w14:schemeClr w14:val="tx1"/>
            </w14:solidFill>
          </w14:textFill>
        </w:rPr>
      </w:pPr>
      <w:bookmarkStart w:id="610" w:name="_Toc164432960"/>
      <w:r>
        <w:rPr>
          <w:rFonts w:hint="eastAsia" w:ascii="宋体" w:hAnsi="宋体" w:eastAsia="宋体" w:cs="Times New Roman"/>
          <w:color w:val="000000" w:themeColor="text1"/>
          <w:sz w:val="36"/>
          <w:szCs w:val="36"/>
          <w14:textFill>
            <w14:solidFill>
              <w14:schemeClr w14:val="tx1"/>
            </w14:solidFill>
          </w14:textFill>
        </w:rPr>
        <w:t>资格审查部分</w:t>
      </w:r>
      <w:bookmarkEnd w:id="610"/>
      <w:r>
        <w:rPr>
          <w:rFonts w:asciiTheme="minorEastAsia" w:hAnsiTheme="minorEastAsia"/>
          <w:color w:val="000000" w:themeColor="text1"/>
          <w14:textFill>
            <w14:solidFill>
              <w14:schemeClr w14:val="tx1"/>
            </w14:solidFill>
          </w14:textFill>
        </w:rPr>
        <w:br w:type="page"/>
      </w:r>
    </w:p>
    <w:p w14:paraId="4B7D0207">
      <w:pPr>
        <w:pStyle w:val="4"/>
        <w:spacing w:before="0" w:after="0" w:line="360" w:lineRule="auto"/>
        <w:jc w:val="center"/>
        <w:rPr>
          <w:rFonts w:ascii="宋体" w:hAnsi="宋体" w:eastAsia="宋体" w:cs="宋体"/>
          <w:color w:val="000000" w:themeColor="text1"/>
          <w:sz w:val="24"/>
          <w:szCs w:val="24"/>
          <w14:textFill>
            <w14:solidFill>
              <w14:schemeClr w14:val="tx1"/>
            </w14:solidFill>
          </w14:textFill>
        </w:rPr>
      </w:pPr>
      <w:bookmarkStart w:id="611" w:name="_Toc164432961"/>
      <w:bookmarkStart w:id="612" w:name="_Toc2464"/>
      <w:r>
        <w:rPr>
          <w:rFonts w:hint="eastAsia" w:ascii="宋体" w:hAnsi="宋体" w:eastAsia="宋体" w:cs="宋体"/>
          <w:color w:val="000000" w:themeColor="text1"/>
          <w:sz w:val="24"/>
          <w:szCs w:val="24"/>
          <w14:textFill>
            <w14:solidFill>
              <w14:schemeClr w14:val="tx1"/>
            </w14:solidFill>
          </w14:textFill>
        </w:rPr>
        <w:t>一、具有独立承担民事责任的能力</w:t>
      </w:r>
      <w:bookmarkEnd w:id="611"/>
      <w:bookmarkEnd w:id="612"/>
    </w:p>
    <w:p w14:paraId="15C39D17">
      <w:pPr>
        <w:pStyle w:val="21"/>
        <w:tabs>
          <w:tab w:val="left" w:pos="5580"/>
        </w:tabs>
        <w:spacing w:line="600" w:lineRule="exact"/>
        <w:ind w:firstLine="420" w:firstLineChars="200"/>
        <w:rPr>
          <w:rFonts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提供法人或者其他组织的营业执照等证明文件（原件扫描件）。</w:t>
      </w:r>
      <w:bookmarkStart w:id="613" w:name="_Toc11425"/>
      <w:r>
        <w:rPr>
          <w:rFonts w:hAnsi="宋体" w:eastAsia="宋体"/>
          <w:color w:val="000000" w:themeColor="text1"/>
          <w:sz w:val="28"/>
          <w:szCs w:val="28"/>
          <w14:textFill>
            <w14:solidFill>
              <w14:schemeClr w14:val="tx1"/>
            </w14:solidFill>
          </w14:textFill>
        </w:rPr>
        <w:br w:type="page"/>
      </w:r>
    </w:p>
    <w:p w14:paraId="0C6E26F8">
      <w:pPr>
        <w:pStyle w:val="4"/>
        <w:spacing w:before="0" w:after="0" w:line="360" w:lineRule="auto"/>
        <w:jc w:val="center"/>
        <w:rPr>
          <w:rFonts w:ascii="宋体" w:hAnsi="宋体" w:eastAsia="宋体" w:cs="宋体"/>
          <w:color w:val="000000" w:themeColor="text1"/>
          <w:sz w:val="24"/>
          <w:szCs w:val="24"/>
          <w14:textFill>
            <w14:solidFill>
              <w14:schemeClr w14:val="tx1"/>
            </w14:solidFill>
          </w14:textFill>
        </w:rPr>
      </w:pPr>
      <w:bookmarkStart w:id="614" w:name="_Toc164432962"/>
      <w:r>
        <w:rPr>
          <w:rFonts w:hint="eastAsia" w:ascii="宋体" w:hAnsi="宋体" w:eastAsia="宋体" w:cs="宋体"/>
          <w:color w:val="000000" w:themeColor="text1"/>
          <w:sz w:val="24"/>
          <w:szCs w:val="24"/>
          <w14:textFill>
            <w14:solidFill>
              <w14:schemeClr w14:val="tx1"/>
            </w14:solidFill>
          </w14:textFill>
        </w:rPr>
        <w:t>二、具有良好的商业信誉和健全的财务会计制度</w:t>
      </w:r>
      <w:bookmarkEnd w:id="613"/>
      <w:bookmarkEnd w:id="614"/>
    </w:p>
    <w:p w14:paraId="78D9A0A0">
      <w:pPr>
        <w:pStyle w:val="21"/>
        <w:tabs>
          <w:tab w:val="left" w:pos="5580"/>
        </w:tabs>
        <w:spacing w:line="600" w:lineRule="exact"/>
        <w:ind w:firstLine="420" w:firstLineChars="200"/>
        <w:rPr>
          <w:rFonts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供应商须提供财务状况报告（提供①书面声明，格式自拟或②相应证明材料原件扫描件）：</w:t>
      </w:r>
    </w:p>
    <w:p w14:paraId="4FF42498">
      <w:pPr>
        <w:pStyle w:val="21"/>
        <w:tabs>
          <w:tab w:val="left" w:pos="5580"/>
        </w:tabs>
        <w:spacing w:line="600" w:lineRule="exact"/>
        <w:ind w:firstLine="420" w:firstLineChars="200"/>
        <w:rPr>
          <w:rFonts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提供202</w:t>
      </w:r>
      <w:r>
        <w:rPr>
          <w:rFonts w:hint="eastAsia" w:hAnsi="宋体" w:eastAsia="宋体"/>
          <w:color w:val="000000" w:themeColor="text1"/>
          <w:sz w:val="21"/>
          <w:szCs w:val="21"/>
          <w:lang w:val="en-US" w:eastAsia="zh-CN"/>
          <w14:textFill>
            <w14:solidFill>
              <w14:schemeClr w14:val="tx1"/>
            </w14:solidFill>
          </w14:textFill>
        </w:rPr>
        <w:t>3</w:t>
      </w:r>
      <w:r>
        <w:rPr>
          <w:rFonts w:hint="eastAsia" w:hAnsi="宋体" w:eastAsia="宋体"/>
          <w:color w:val="000000" w:themeColor="text1"/>
          <w:sz w:val="21"/>
          <w:szCs w:val="21"/>
          <w14:textFill>
            <w14:solidFill>
              <w14:schemeClr w14:val="tx1"/>
            </w14:solidFill>
          </w14:textFill>
        </w:rPr>
        <w:t>年或202</w:t>
      </w:r>
      <w:r>
        <w:rPr>
          <w:rFonts w:hint="eastAsia" w:hAnsi="宋体" w:eastAsia="宋体"/>
          <w:color w:val="000000" w:themeColor="text1"/>
          <w:sz w:val="21"/>
          <w:szCs w:val="21"/>
          <w:lang w:val="en-US" w:eastAsia="zh-CN"/>
          <w14:textFill>
            <w14:solidFill>
              <w14:schemeClr w14:val="tx1"/>
            </w14:solidFill>
          </w14:textFill>
        </w:rPr>
        <w:t>4</w:t>
      </w:r>
      <w:r>
        <w:rPr>
          <w:rFonts w:hint="eastAsia" w:hAnsi="宋体" w:eastAsia="宋体"/>
          <w:color w:val="000000" w:themeColor="text1"/>
          <w:sz w:val="21"/>
          <w:szCs w:val="21"/>
          <w14:textFill>
            <w14:solidFill>
              <w14:schemeClr w14:val="tx1"/>
            </w14:solidFill>
          </w14:textFill>
        </w:rPr>
        <w:t>年经审计的财务报告（包括资产负债表、利润表、现金流量表、所有者权益变动表及其附注），新成立不满1年的供应商提供自成立至今的财务报表；</w:t>
      </w:r>
    </w:p>
    <w:p w14:paraId="642CA878">
      <w:pPr>
        <w:pStyle w:val="4"/>
        <w:spacing w:before="0" w:after="0" w:line="360" w:lineRule="auto"/>
        <w:jc w:val="center"/>
        <w:rPr>
          <w:rFonts w:ascii="宋体" w:hAnsi="宋体" w:cs="宋体"/>
          <w:color w:val="000000" w:themeColor="text1"/>
          <w:sz w:val="28"/>
          <w:szCs w:val="28"/>
          <w14:textFill>
            <w14:solidFill>
              <w14:schemeClr w14:val="tx1"/>
            </w14:solidFill>
          </w14:textFill>
        </w:rPr>
      </w:pPr>
      <w:bookmarkStart w:id="615" w:name="_Toc26385"/>
      <w:r>
        <w:rPr>
          <w:rFonts w:ascii="宋体" w:hAnsi="宋体" w:cs="宋体"/>
          <w:color w:val="000000" w:themeColor="text1"/>
          <w:sz w:val="28"/>
          <w:szCs w:val="28"/>
          <w14:textFill>
            <w14:solidFill>
              <w14:schemeClr w14:val="tx1"/>
            </w14:solidFill>
          </w14:textFill>
        </w:rPr>
        <w:br w:type="page"/>
      </w:r>
    </w:p>
    <w:p w14:paraId="2047E7DA">
      <w:pPr>
        <w:pStyle w:val="4"/>
        <w:spacing w:before="0" w:after="0" w:line="360" w:lineRule="auto"/>
        <w:jc w:val="center"/>
        <w:rPr>
          <w:rFonts w:ascii="宋体" w:hAnsi="宋体" w:eastAsia="宋体" w:cs="宋体"/>
          <w:color w:val="000000" w:themeColor="text1"/>
          <w:sz w:val="24"/>
          <w:szCs w:val="24"/>
          <w14:textFill>
            <w14:solidFill>
              <w14:schemeClr w14:val="tx1"/>
            </w14:solidFill>
          </w14:textFill>
        </w:rPr>
      </w:pPr>
      <w:bookmarkStart w:id="616" w:name="_Toc164432963"/>
      <w:r>
        <w:rPr>
          <w:rFonts w:hint="eastAsia" w:ascii="宋体" w:hAnsi="宋体" w:eastAsia="宋体" w:cs="宋体"/>
          <w:color w:val="000000" w:themeColor="text1"/>
          <w:sz w:val="24"/>
          <w:szCs w:val="24"/>
          <w14:textFill>
            <w14:solidFill>
              <w14:schemeClr w14:val="tx1"/>
            </w14:solidFill>
          </w14:textFill>
        </w:rPr>
        <w:t>三、具有履行合同所必需的设备和专业技术能力</w:t>
      </w:r>
      <w:bookmarkEnd w:id="615"/>
      <w:bookmarkEnd w:id="616"/>
    </w:p>
    <w:p w14:paraId="01964B06">
      <w:pPr>
        <w:pStyle w:val="21"/>
        <w:tabs>
          <w:tab w:val="left" w:pos="5580"/>
        </w:tabs>
        <w:spacing w:line="600" w:lineRule="exact"/>
        <w:ind w:firstLine="420" w:firstLineChars="200"/>
        <w:rPr>
          <w:rFonts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提供具备履行合同所必需的设备和专业技术能力的证明材料（提供①书面声明，格式自拟或②相应证明材料原件扫描件）。</w:t>
      </w:r>
      <w:bookmarkStart w:id="617" w:name="_Toc3896301"/>
      <w:bookmarkStart w:id="618" w:name="_Toc25523"/>
    </w:p>
    <w:p w14:paraId="7DC8DAD3">
      <w:pPr>
        <w:pStyle w:val="5"/>
        <w:spacing w:before="120" w:beforeLines="50" w:after="120" w:afterLines="50" w:line="700" w:lineRule="exact"/>
        <w:jc w:val="center"/>
        <w:rPr>
          <w:rFonts w:ascii="宋体" w:hAnsi="宋体" w:cs="宋体"/>
          <w:color w:val="000000" w:themeColor="text1"/>
          <w:sz w:val="28"/>
          <w:szCs w:val="28"/>
          <w14:textFill>
            <w14:solidFill>
              <w14:schemeClr w14:val="tx1"/>
            </w14:solidFill>
          </w14:textFill>
        </w:rPr>
      </w:pPr>
      <w:bookmarkStart w:id="619" w:name="_Toc26638"/>
      <w:r>
        <w:rPr>
          <w:rFonts w:ascii="宋体" w:hAnsi="宋体" w:cs="宋体"/>
          <w:color w:val="000000" w:themeColor="text1"/>
          <w:sz w:val="28"/>
          <w:szCs w:val="28"/>
          <w14:textFill>
            <w14:solidFill>
              <w14:schemeClr w14:val="tx1"/>
            </w14:solidFill>
          </w14:textFill>
        </w:rPr>
        <w:br w:type="page"/>
      </w:r>
    </w:p>
    <w:p w14:paraId="1D7FD2F5">
      <w:pPr>
        <w:pStyle w:val="4"/>
        <w:spacing w:before="0" w:after="0" w:line="360" w:lineRule="auto"/>
        <w:jc w:val="center"/>
        <w:rPr>
          <w:rFonts w:ascii="宋体" w:hAnsi="宋体" w:eastAsia="宋体" w:cs="宋体"/>
          <w:color w:val="000000" w:themeColor="text1"/>
          <w:sz w:val="24"/>
          <w:szCs w:val="24"/>
          <w14:textFill>
            <w14:solidFill>
              <w14:schemeClr w14:val="tx1"/>
            </w14:solidFill>
          </w14:textFill>
        </w:rPr>
      </w:pPr>
      <w:bookmarkStart w:id="620" w:name="_Toc164432964"/>
      <w:r>
        <w:rPr>
          <w:rFonts w:hint="eastAsia" w:ascii="宋体" w:hAnsi="宋体" w:eastAsia="宋体" w:cs="宋体"/>
          <w:color w:val="000000" w:themeColor="text1"/>
          <w:sz w:val="24"/>
          <w:szCs w:val="24"/>
          <w14:textFill>
            <w14:solidFill>
              <w14:schemeClr w14:val="tx1"/>
            </w14:solidFill>
          </w14:textFill>
        </w:rPr>
        <w:t>四、</w:t>
      </w:r>
      <w:bookmarkEnd w:id="617"/>
      <w:bookmarkEnd w:id="618"/>
      <w:r>
        <w:rPr>
          <w:rFonts w:hint="eastAsia" w:ascii="宋体" w:hAnsi="宋体" w:eastAsia="宋体" w:cs="宋体"/>
          <w:color w:val="000000" w:themeColor="text1"/>
          <w:sz w:val="24"/>
          <w:szCs w:val="24"/>
          <w14:textFill>
            <w14:solidFill>
              <w14:schemeClr w14:val="tx1"/>
            </w14:solidFill>
          </w14:textFill>
        </w:rPr>
        <w:t>有依法缴纳税收和社会保障资金的良好记录</w:t>
      </w:r>
      <w:bookmarkEnd w:id="619"/>
      <w:bookmarkEnd w:id="620"/>
    </w:p>
    <w:p w14:paraId="064629EE">
      <w:pPr>
        <w:pStyle w:val="21"/>
        <w:tabs>
          <w:tab w:val="left" w:pos="5580"/>
        </w:tabs>
        <w:spacing w:line="600" w:lineRule="exact"/>
        <w:ind w:firstLine="420" w:firstLineChars="200"/>
        <w:rPr>
          <w:rFonts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提供202</w:t>
      </w:r>
      <w:r>
        <w:rPr>
          <w:rFonts w:hint="eastAsia" w:hAnsi="宋体" w:eastAsia="宋体"/>
          <w:color w:val="000000" w:themeColor="text1"/>
          <w:sz w:val="21"/>
          <w:szCs w:val="21"/>
          <w:lang w:val="en-US" w:eastAsia="zh-CN"/>
          <w14:textFill>
            <w14:solidFill>
              <w14:schemeClr w14:val="tx1"/>
            </w14:solidFill>
          </w14:textFill>
        </w:rPr>
        <w:t>4</w:t>
      </w:r>
      <w:r>
        <w:rPr>
          <w:rFonts w:hint="eastAsia" w:hAnsi="宋体" w:eastAsia="宋体"/>
          <w:color w:val="000000" w:themeColor="text1"/>
          <w:sz w:val="21"/>
          <w:szCs w:val="21"/>
          <w14:textFill>
            <w14:solidFill>
              <w14:schemeClr w14:val="tx1"/>
            </w14:solidFill>
          </w14:textFill>
        </w:rPr>
        <w:t>年</w:t>
      </w:r>
      <w:r>
        <w:rPr>
          <w:rFonts w:hint="eastAsia" w:hAnsi="宋体" w:eastAsia="宋体"/>
          <w:color w:val="000000" w:themeColor="text1"/>
          <w:sz w:val="21"/>
          <w:szCs w:val="21"/>
          <w:lang w:val="en-US" w:eastAsia="zh-CN"/>
          <w14:textFill>
            <w14:solidFill>
              <w14:schemeClr w14:val="tx1"/>
            </w14:solidFill>
          </w14:textFill>
        </w:rPr>
        <w:t>1</w:t>
      </w:r>
      <w:r>
        <w:rPr>
          <w:rFonts w:hint="eastAsia" w:hAnsi="宋体" w:eastAsia="宋体"/>
          <w:color w:val="000000" w:themeColor="text1"/>
          <w:sz w:val="21"/>
          <w:szCs w:val="21"/>
          <w14:textFill>
            <w14:solidFill>
              <w14:schemeClr w14:val="tx1"/>
            </w14:solidFill>
          </w14:textFill>
        </w:rPr>
        <w:t>月至投标截止日期</w:t>
      </w:r>
      <w:r>
        <w:rPr>
          <w:rFonts w:hint="eastAsia" w:hAnsi="宋体" w:eastAsia="宋体"/>
          <w:color w:val="000000" w:themeColor="text1"/>
          <w:sz w:val="21"/>
          <w:szCs w:val="21"/>
          <w:lang w:val="en-US" w:eastAsia="zh-CN"/>
          <w14:textFill>
            <w14:solidFill>
              <w14:schemeClr w14:val="tx1"/>
            </w14:solidFill>
          </w14:textFill>
        </w:rPr>
        <w:t>前</w:t>
      </w:r>
      <w:r>
        <w:rPr>
          <w:rFonts w:hint="eastAsia" w:hAnsi="宋体" w:eastAsia="宋体"/>
          <w:color w:val="000000" w:themeColor="text1"/>
          <w:sz w:val="21"/>
          <w:szCs w:val="21"/>
          <w14:textFill>
            <w14:solidFill>
              <w14:schemeClr w14:val="tx1"/>
            </w14:solidFill>
          </w14:textFill>
        </w:rPr>
        <w:t>任意月</w:t>
      </w:r>
      <w:r>
        <w:rPr>
          <w:rFonts w:hint="eastAsia" w:hAnsi="宋体" w:eastAsia="宋体"/>
          <w:color w:val="000000" w:themeColor="text1"/>
          <w:sz w:val="21"/>
          <w:szCs w:val="21"/>
          <w:lang w:val="en-US" w:eastAsia="zh-CN"/>
          <w14:textFill>
            <w14:solidFill>
              <w14:schemeClr w14:val="tx1"/>
            </w14:solidFill>
          </w14:textFill>
        </w:rPr>
        <w:t>份</w:t>
      </w:r>
      <w:r>
        <w:rPr>
          <w:rFonts w:hint="eastAsia" w:hAnsi="宋体" w:eastAsia="宋体"/>
          <w:color w:val="000000" w:themeColor="text1"/>
          <w:sz w:val="21"/>
          <w:szCs w:val="21"/>
          <w14:textFill>
            <w14:solidFill>
              <w14:schemeClr w14:val="tx1"/>
            </w14:solidFill>
          </w14:textFill>
        </w:rPr>
        <w:t>依法缴纳税收和缴纳社会保障资金的证明（成立未满</w:t>
      </w:r>
      <w:r>
        <w:rPr>
          <w:rFonts w:hint="eastAsia" w:hAnsi="宋体" w:eastAsia="宋体"/>
          <w:color w:val="000000" w:themeColor="text1"/>
          <w:sz w:val="21"/>
          <w:szCs w:val="21"/>
          <w:lang w:val="en-US" w:eastAsia="zh-CN"/>
          <w14:textFill>
            <w14:solidFill>
              <w14:schemeClr w14:val="tx1"/>
            </w14:solidFill>
          </w14:textFill>
        </w:rPr>
        <w:t>2</w:t>
      </w:r>
      <w:r>
        <w:rPr>
          <w:rFonts w:hint="eastAsia" w:hAnsi="宋体" w:eastAsia="宋体"/>
          <w:color w:val="000000" w:themeColor="text1"/>
          <w:sz w:val="21"/>
          <w:szCs w:val="21"/>
          <w14:textFill>
            <w14:solidFill>
              <w14:schemeClr w14:val="tx1"/>
            </w14:solidFill>
          </w14:textFill>
        </w:rPr>
        <w:t>个月的提供依法缴纳税收和社会保障资金的承诺书；依法免税或不需要缴纳社会保障资金的供应商，应提供相应文件证明其依法免税或不需要缴纳社会保障资金）</w:t>
      </w:r>
    </w:p>
    <w:p w14:paraId="4BCCBB39">
      <w:pPr>
        <w:pStyle w:val="21"/>
        <w:tabs>
          <w:tab w:val="left" w:pos="5580"/>
        </w:tabs>
        <w:spacing w:line="600" w:lineRule="exact"/>
        <w:ind w:firstLine="420" w:firstLineChars="200"/>
        <w:rPr>
          <w:rFonts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（提供①书面声明，格式自拟或②相应证明材料原件扫描件）。</w:t>
      </w:r>
    </w:p>
    <w:p w14:paraId="083758B8">
      <w:pPr>
        <w:pStyle w:val="182"/>
        <w:ind w:left="63" w:right="63" w:firstLine="640"/>
        <w:jc w:val="center"/>
        <w:rPr>
          <w:rFonts w:ascii="宋体" w:hAnsi="宋体" w:eastAsia="宋体"/>
          <w:color w:val="000000" w:themeColor="text1"/>
          <w:sz w:val="32"/>
          <w:szCs w:val="32"/>
          <w:lang w:val="en-US"/>
          <w14:textFill>
            <w14:solidFill>
              <w14:schemeClr w14:val="tx1"/>
            </w14:solidFill>
          </w14:textFill>
        </w:rPr>
      </w:pPr>
      <w:r>
        <w:rPr>
          <w:rFonts w:ascii="宋体" w:hAnsi="宋体" w:eastAsia="宋体"/>
          <w:color w:val="000000" w:themeColor="text1"/>
          <w:sz w:val="32"/>
          <w:szCs w:val="32"/>
          <w:lang w:val="en-US"/>
          <w14:textFill>
            <w14:solidFill>
              <w14:schemeClr w14:val="tx1"/>
            </w14:solidFill>
          </w14:textFill>
        </w:rPr>
        <w:br w:type="page"/>
      </w:r>
    </w:p>
    <w:p w14:paraId="4E534A9B">
      <w:pPr>
        <w:pStyle w:val="4"/>
        <w:spacing w:before="0" w:after="0" w:line="360" w:lineRule="auto"/>
        <w:jc w:val="center"/>
        <w:rPr>
          <w:rFonts w:ascii="宋体" w:hAnsi="宋体" w:eastAsia="宋体" w:cs="宋体"/>
          <w:color w:val="000000" w:themeColor="text1"/>
          <w:sz w:val="24"/>
          <w:szCs w:val="24"/>
          <w14:textFill>
            <w14:solidFill>
              <w14:schemeClr w14:val="tx1"/>
            </w14:solidFill>
          </w14:textFill>
        </w:rPr>
      </w:pPr>
      <w:bookmarkStart w:id="621" w:name="_Toc164432965"/>
      <w:bookmarkStart w:id="622" w:name="_Toc21244"/>
      <w:r>
        <w:rPr>
          <w:rFonts w:hint="eastAsia" w:ascii="宋体" w:hAnsi="宋体" w:eastAsia="宋体" w:cs="宋体"/>
          <w:color w:val="000000" w:themeColor="text1"/>
          <w:sz w:val="24"/>
          <w:szCs w:val="24"/>
          <w14:textFill>
            <w14:solidFill>
              <w14:schemeClr w14:val="tx1"/>
            </w14:solidFill>
          </w14:textFill>
        </w:rPr>
        <w:t>五、参加政府采购活动前三年内，在经营活动中没有重大违法记录</w:t>
      </w:r>
      <w:bookmarkEnd w:id="621"/>
      <w:bookmarkEnd w:id="622"/>
    </w:p>
    <w:p w14:paraId="6C620C40">
      <w:pPr>
        <w:widowControl/>
        <w:spacing w:line="700" w:lineRule="exact"/>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致</w:t>
      </w:r>
      <w:r>
        <w:rPr>
          <w:rFonts w:hint="eastAsia" w:ascii="宋体" w:hAnsi="宋体" w:eastAsia="宋体" w:cs="宋体"/>
          <w:b/>
          <w:bCs/>
          <w:color w:val="000000" w:themeColor="text1"/>
          <w:u w:val="single"/>
          <w14:textFill>
            <w14:solidFill>
              <w14:schemeClr w14:val="tx1"/>
            </w14:solidFill>
          </w14:textFill>
        </w:rPr>
        <w:t xml:space="preserve">           </w:t>
      </w:r>
      <w:r>
        <w:rPr>
          <w:rFonts w:hint="eastAsia" w:ascii="宋体" w:hAnsi="宋体" w:eastAsia="宋体" w:cs="宋体"/>
          <w:b/>
          <w:bCs/>
          <w:color w:val="000000" w:themeColor="text1"/>
          <w14:textFill>
            <w14:solidFill>
              <w14:schemeClr w14:val="tx1"/>
            </w14:solidFill>
          </w14:textFill>
        </w:rPr>
        <w:t>（采购人）</w:t>
      </w:r>
      <w:r>
        <w:rPr>
          <w:rFonts w:hint="eastAsia" w:ascii="宋体" w:hAnsi="宋体" w:eastAsia="宋体" w:cs="宋体"/>
          <w:b/>
          <w:bCs/>
          <w:color w:val="000000" w:themeColor="text1"/>
          <w:lang w:eastAsia="zh-CN"/>
          <w14:textFill>
            <w14:solidFill>
              <w14:schemeClr w14:val="tx1"/>
            </w14:solidFill>
          </w14:textFill>
        </w:rPr>
        <w:t>：</w:t>
      </w:r>
    </w:p>
    <w:p w14:paraId="087CDB54">
      <w:pPr>
        <w:widowControl/>
        <w:spacing w:line="700" w:lineRule="exact"/>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（供应商自行承诺及说明，内容自拟）</w:t>
      </w:r>
    </w:p>
    <w:p w14:paraId="38F6E488">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p w14:paraId="72AA0607">
      <w:pPr>
        <w:spacing w:line="360" w:lineRule="auto"/>
        <w:ind w:firstLine="420" w:firstLineChars="200"/>
        <w:rPr>
          <w:rFonts w:ascii="宋体" w:hAnsi="宋体" w:eastAsia="宋体" w:cs="宋体"/>
          <w:color w:val="000000" w:themeColor="text1"/>
          <w14:textFill>
            <w14:solidFill>
              <w14:schemeClr w14:val="tx1"/>
            </w14:solidFill>
          </w14:textFill>
        </w:rPr>
      </w:pPr>
    </w:p>
    <w:p w14:paraId="7FB62576">
      <w:pPr>
        <w:spacing w:line="360" w:lineRule="auto"/>
        <w:ind w:firstLine="420" w:firstLineChars="200"/>
        <w:rPr>
          <w:rFonts w:ascii="宋体" w:hAnsi="宋体" w:eastAsia="宋体" w:cs="宋体"/>
          <w:color w:val="000000" w:themeColor="text1"/>
          <w14:textFill>
            <w14:solidFill>
              <w14:schemeClr w14:val="tx1"/>
            </w14:solidFill>
          </w14:textFill>
        </w:rPr>
      </w:pPr>
    </w:p>
    <w:p w14:paraId="09C827DE">
      <w:pPr>
        <w:spacing w:line="360" w:lineRule="auto"/>
        <w:ind w:firstLine="420" w:firstLineChars="200"/>
        <w:rPr>
          <w:rFonts w:ascii="宋体" w:hAnsi="宋体" w:eastAsia="宋体" w:cs="宋体"/>
          <w:color w:val="000000" w:themeColor="text1"/>
          <w14:textFill>
            <w14:solidFill>
              <w14:schemeClr w14:val="tx1"/>
            </w14:solidFill>
          </w14:textFill>
        </w:rPr>
      </w:pPr>
    </w:p>
    <w:p w14:paraId="5EAE16D6">
      <w:pPr>
        <w:ind w:firstLine="1054" w:firstLineChars="500"/>
        <w:rPr>
          <w:rFonts w:ascii="宋体" w:hAnsi="宋体" w:eastAsia="宋体" w:cs="宋体"/>
          <w:b/>
          <w:bCs/>
          <w:color w:val="000000" w:themeColor="text1"/>
          <w14:textFill>
            <w14:solidFill>
              <w14:schemeClr w14:val="tx1"/>
            </w14:solidFill>
          </w14:textFill>
        </w:rPr>
      </w:pPr>
    </w:p>
    <w:p w14:paraId="57AEE981">
      <w:pPr>
        <w:ind w:firstLine="1054" w:firstLineChars="500"/>
        <w:rPr>
          <w:rFonts w:ascii="宋体" w:hAnsi="宋体" w:eastAsia="宋体" w:cs="宋体"/>
          <w:b/>
          <w:bCs/>
          <w:color w:val="000000" w:themeColor="text1"/>
          <w14:textFill>
            <w14:solidFill>
              <w14:schemeClr w14:val="tx1"/>
            </w14:solidFill>
          </w14:textFill>
        </w:rPr>
      </w:pPr>
    </w:p>
    <w:p w14:paraId="6C40EAED">
      <w:pPr>
        <w:ind w:firstLine="1054" w:firstLineChars="500"/>
        <w:rPr>
          <w:rFonts w:ascii="宋体" w:hAnsi="宋体" w:eastAsia="宋体" w:cs="宋体"/>
          <w:b/>
          <w:bCs/>
          <w:color w:val="000000" w:themeColor="text1"/>
          <w14:textFill>
            <w14:solidFill>
              <w14:schemeClr w14:val="tx1"/>
            </w14:solidFill>
          </w14:textFill>
        </w:rPr>
      </w:pPr>
    </w:p>
    <w:p w14:paraId="118189F9">
      <w:pPr>
        <w:widowControl/>
        <w:spacing w:line="700" w:lineRule="exact"/>
        <w:ind w:firstLine="1054" w:firstLineChars="500"/>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供应商：</w:t>
      </w:r>
      <w:r>
        <w:rPr>
          <w:rFonts w:hint="eastAsia" w:ascii="宋体" w:hAnsi="宋体" w:eastAsia="宋体"/>
          <w:b/>
          <w:bCs/>
          <w:color w:val="000000" w:themeColor="text1"/>
          <w:u w:val="single"/>
          <w14:textFill>
            <w14:solidFill>
              <w14:schemeClr w14:val="tx1"/>
            </w14:solidFill>
          </w14:textFill>
        </w:rPr>
        <w:tab/>
      </w:r>
      <w:r>
        <w:rPr>
          <w:rFonts w:hint="eastAsia" w:ascii="宋体" w:hAnsi="宋体" w:eastAsia="宋体"/>
          <w:b/>
          <w:bCs/>
          <w:color w:val="000000" w:themeColor="text1"/>
          <w:u w:val="single"/>
          <w14:textFill>
            <w14:solidFill>
              <w14:schemeClr w14:val="tx1"/>
            </w14:solidFill>
          </w14:textFill>
        </w:rPr>
        <w:t xml:space="preserve">                                    </w:t>
      </w:r>
      <w:r>
        <w:rPr>
          <w:rFonts w:hint="eastAsia" w:ascii="宋体" w:hAnsi="宋体" w:eastAsia="宋体"/>
          <w:b/>
          <w:bCs/>
          <w:color w:val="000000" w:themeColor="text1"/>
          <w14:textFill>
            <w14:solidFill>
              <w14:schemeClr w14:val="tx1"/>
            </w14:solidFill>
          </w14:textFill>
        </w:rPr>
        <w:t>（电子签章）</w:t>
      </w:r>
    </w:p>
    <w:p w14:paraId="3196E34F">
      <w:pPr>
        <w:widowControl/>
        <w:spacing w:line="700" w:lineRule="exact"/>
        <w:ind w:firstLine="1054" w:firstLineChars="500"/>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法定代表人（单位负责人）或其委托代理人：</w:t>
      </w:r>
      <w:r>
        <w:rPr>
          <w:rFonts w:hint="eastAsia" w:ascii="宋体" w:hAnsi="宋体" w:eastAsia="宋体"/>
          <w:b/>
          <w:bCs/>
          <w:color w:val="000000" w:themeColor="text1"/>
          <w:u w:val="single"/>
          <w14:textFill>
            <w14:solidFill>
              <w14:schemeClr w14:val="tx1"/>
            </w14:solidFill>
          </w14:textFill>
        </w:rPr>
        <w:t xml:space="preserve">             </w:t>
      </w:r>
      <w:r>
        <w:rPr>
          <w:rFonts w:hint="eastAsia" w:ascii="宋体" w:hAnsi="宋体" w:eastAsia="宋体"/>
          <w:b/>
          <w:bCs/>
          <w:color w:val="000000" w:themeColor="text1"/>
          <w14:textFill>
            <w14:solidFill>
              <w14:schemeClr w14:val="tx1"/>
            </w14:solidFill>
          </w14:textFill>
        </w:rPr>
        <w:t>（签字</w:t>
      </w:r>
      <w:r>
        <w:rPr>
          <w:rFonts w:hint="eastAsia" w:ascii="宋体" w:hAnsi="宋体" w:eastAsia="宋体"/>
          <w:b/>
          <w:bCs/>
          <w:color w:val="000000" w:themeColor="text1"/>
          <w:lang w:val="en-US" w:eastAsia="zh-CN"/>
          <w14:textFill>
            <w14:solidFill>
              <w14:schemeClr w14:val="tx1"/>
            </w14:solidFill>
          </w14:textFill>
        </w:rPr>
        <w:t>或电子签字</w:t>
      </w:r>
      <w:r>
        <w:rPr>
          <w:rFonts w:hint="eastAsia" w:ascii="宋体" w:hAnsi="宋体" w:eastAsia="宋体"/>
          <w:b/>
          <w:bCs/>
          <w:color w:val="000000" w:themeColor="text1"/>
          <w14:textFill>
            <w14:solidFill>
              <w14:schemeClr w14:val="tx1"/>
            </w14:solidFill>
          </w14:textFill>
        </w:rPr>
        <w:t>）</w:t>
      </w:r>
    </w:p>
    <w:p w14:paraId="049B1CFA">
      <w:pPr>
        <w:widowControl/>
        <w:spacing w:line="700" w:lineRule="exact"/>
        <w:ind w:firstLine="1054" w:firstLineChars="500"/>
        <w:rPr>
          <w:rFonts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日期：</w:t>
      </w:r>
      <w:r>
        <w:rPr>
          <w:rFonts w:hint="eastAsia" w:ascii="宋体" w:hAnsi="宋体" w:eastAsia="宋体"/>
          <w:b/>
          <w:bCs/>
          <w:color w:val="000000" w:themeColor="text1"/>
          <w:u w:val="single"/>
          <w14:textFill>
            <w14:solidFill>
              <w14:schemeClr w14:val="tx1"/>
            </w14:solidFill>
          </w14:textFill>
        </w:rPr>
        <w:t xml:space="preserve">         </w:t>
      </w:r>
      <w:r>
        <w:rPr>
          <w:rFonts w:hint="eastAsia" w:ascii="宋体" w:hAnsi="宋体" w:eastAsia="宋体"/>
          <w:b/>
          <w:bCs/>
          <w:color w:val="000000" w:themeColor="text1"/>
          <w14:textFill>
            <w14:solidFill>
              <w14:schemeClr w14:val="tx1"/>
            </w14:solidFill>
          </w14:textFill>
        </w:rPr>
        <w:t>年</w:t>
      </w:r>
      <w:r>
        <w:rPr>
          <w:rFonts w:hint="eastAsia" w:ascii="宋体" w:hAnsi="宋体" w:eastAsia="宋体"/>
          <w:b/>
          <w:bCs/>
          <w:color w:val="000000" w:themeColor="text1"/>
          <w:u w:val="single"/>
          <w14:textFill>
            <w14:solidFill>
              <w14:schemeClr w14:val="tx1"/>
            </w14:solidFill>
          </w14:textFill>
        </w:rPr>
        <w:t xml:space="preserve">         </w:t>
      </w:r>
      <w:r>
        <w:rPr>
          <w:rFonts w:hint="eastAsia" w:ascii="宋体" w:hAnsi="宋体" w:eastAsia="宋体"/>
          <w:b/>
          <w:bCs/>
          <w:color w:val="000000" w:themeColor="text1"/>
          <w14:textFill>
            <w14:solidFill>
              <w14:schemeClr w14:val="tx1"/>
            </w14:solidFill>
          </w14:textFill>
        </w:rPr>
        <w:t>月</w:t>
      </w:r>
      <w:r>
        <w:rPr>
          <w:rFonts w:hint="eastAsia" w:ascii="宋体" w:hAnsi="宋体" w:eastAsia="宋体"/>
          <w:b/>
          <w:bCs/>
          <w:color w:val="000000" w:themeColor="text1"/>
          <w:u w:val="single"/>
          <w14:textFill>
            <w14:solidFill>
              <w14:schemeClr w14:val="tx1"/>
            </w14:solidFill>
          </w14:textFill>
        </w:rPr>
        <w:t xml:space="preserve">         </w:t>
      </w:r>
      <w:r>
        <w:rPr>
          <w:rFonts w:hint="eastAsia" w:ascii="宋体" w:hAnsi="宋体" w:eastAsia="宋体"/>
          <w:b/>
          <w:bCs/>
          <w:color w:val="000000" w:themeColor="text1"/>
          <w14:textFill>
            <w14:solidFill>
              <w14:schemeClr w14:val="tx1"/>
            </w14:solidFill>
          </w14:textFill>
        </w:rPr>
        <w:t>日</w:t>
      </w:r>
    </w:p>
    <w:p w14:paraId="4DB35D0A">
      <w:pPr>
        <w:pStyle w:val="16"/>
        <w:ind w:left="63" w:right="63"/>
        <w:rPr>
          <w:rFonts w:ascii="宋体" w:hAnsi="宋体" w:cs="宋体"/>
          <w:color w:val="000000" w:themeColor="text1"/>
          <w:szCs w:val="21"/>
          <w14:textFill>
            <w14:solidFill>
              <w14:schemeClr w14:val="tx1"/>
            </w14:solidFill>
          </w14:textFill>
        </w:rPr>
      </w:pPr>
    </w:p>
    <w:p w14:paraId="750527A4">
      <w:pPr>
        <w:pStyle w:val="16"/>
        <w:ind w:left="63" w:right="63"/>
        <w:rPr>
          <w:rFonts w:ascii="宋体" w:hAnsi="宋体" w:cs="宋体"/>
          <w:color w:val="000000" w:themeColor="text1"/>
          <w:szCs w:val="21"/>
          <w14:textFill>
            <w14:solidFill>
              <w14:schemeClr w14:val="tx1"/>
            </w14:solidFill>
          </w14:textFill>
        </w:rPr>
      </w:pPr>
    </w:p>
    <w:p w14:paraId="61CEA4B4">
      <w:pPr>
        <w:spacing w:line="360" w:lineRule="auto"/>
        <w:ind w:firstLine="420" w:firstLineChars="200"/>
        <w:rPr>
          <w:rFonts w:ascii="宋体" w:hAnsi="宋体" w:eastAsia="宋体" w:cs="宋体"/>
          <w:color w:val="000000" w:themeColor="text1"/>
          <w14:textFill>
            <w14:solidFill>
              <w14:schemeClr w14:val="tx1"/>
            </w14:solidFill>
          </w14:textFill>
        </w:rPr>
      </w:pPr>
    </w:p>
    <w:p w14:paraId="4F917D68">
      <w:pPr>
        <w:widowControl/>
        <w:spacing w:line="600" w:lineRule="exact"/>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注：重大违法记录，是指供应商因违法经营受到刑事处罚或者责令停产停业、吊销许可证或者执照、较大数额罚款等行政处罚。</w:t>
      </w:r>
    </w:p>
    <w:p w14:paraId="1B84EDD4">
      <w:pPr>
        <w:rPr>
          <w:rFonts w:ascii="宋体" w:hAnsi="宋体" w:eastAsia="宋体" w:cs="宋体"/>
          <w:color w:val="000000" w:themeColor="text1"/>
          <w14:textFill>
            <w14:solidFill>
              <w14:schemeClr w14:val="tx1"/>
            </w14:solidFill>
          </w14:textFill>
        </w:rPr>
      </w:pPr>
      <w:bookmarkStart w:id="623" w:name="_Toc20558"/>
      <w:r>
        <w:rPr>
          <w:rFonts w:hint="eastAsia" w:ascii="宋体" w:hAnsi="宋体" w:eastAsia="宋体" w:cs="宋体"/>
          <w:color w:val="000000" w:themeColor="text1"/>
          <w14:textFill>
            <w14:solidFill>
              <w14:schemeClr w14:val="tx1"/>
            </w14:solidFill>
          </w14:textFill>
        </w:rPr>
        <w:br w:type="page"/>
      </w:r>
      <w:bookmarkEnd w:id="623"/>
      <w:bookmarkStart w:id="624" w:name="_Toc16296"/>
      <w:bookmarkEnd w:id="624"/>
      <w:bookmarkStart w:id="625" w:name="_Toc15638"/>
      <w:bookmarkEnd w:id="625"/>
      <w:bookmarkStart w:id="626" w:name="_Toc9978"/>
      <w:bookmarkStart w:id="627" w:name="_Toc3896305"/>
    </w:p>
    <w:p w14:paraId="55A498D5">
      <w:pPr>
        <w:pStyle w:val="4"/>
        <w:spacing w:before="0" w:after="0" w:line="360" w:lineRule="auto"/>
        <w:jc w:val="center"/>
        <w:rPr>
          <w:rFonts w:ascii="宋体" w:hAnsi="宋体" w:eastAsia="宋体" w:cs="宋体"/>
          <w:color w:val="000000" w:themeColor="text1"/>
          <w:sz w:val="24"/>
          <w:szCs w:val="24"/>
          <w14:textFill>
            <w14:solidFill>
              <w14:schemeClr w14:val="tx1"/>
            </w14:solidFill>
          </w14:textFill>
        </w:rPr>
      </w:pPr>
      <w:bookmarkStart w:id="628" w:name="_Toc164432966"/>
      <w:bookmarkStart w:id="629" w:name="_Toc4255"/>
      <w:r>
        <w:rPr>
          <w:rFonts w:hint="eastAsia" w:ascii="宋体" w:hAnsi="宋体" w:eastAsia="宋体" w:cs="宋体"/>
          <w:color w:val="000000" w:themeColor="text1"/>
          <w:sz w:val="24"/>
          <w:szCs w:val="24"/>
          <w14:textFill>
            <w14:solidFill>
              <w14:schemeClr w14:val="tx1"/>
            </w14:solidFill>
          </w14:textFill>
        </w:rPr>
        <w:t>六、其他</w:t>
      </w:r>
      <w:bookmarkEnd w:id="626"/>
      <w:bookmarkEnd w:id="627"/>
      <w:bookmarkEnd w:id="628"/>
      <w:bookmarkEnd w:id="629"/>
    </w:p>
    <w:p w14:paraId="2199FB86">
      <w:pPr>
        <w:adjustRightInd w:val="0"/>
        <w:spacing w:line="480" w:lineRule="auto"/>
        <w:ind w:firstLine="42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eastAsia="zh-CN"/>
          <w14:textFill>
            <w14:solidFill>
              <w14:schemeClr w14:val="tx1"/>
            </w14:solidFill>
          </w14:textFill>
        </w:rPr>
        <w:t>.投标人须保证使用方在设备和软件产品使用期不受第三方提出侵犯其专利权、商标权、工业设计权、著作权或其它知识产权的起诉，提供承诺函。</w:t>
      </w:r>
    </w:p>
    <w:p w14:paraId="4A21B476">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投标人在递交投标文件截止时间前未被列入“信用中国”网站(www.creditchina.gov.cn) 失信被执行人、重大税收违法案件当事人名单，中国政府采购网(www.ccgp.gov.cn) 政府采购严重违法失信行为记录名单。</w:t>
      </w:r>
    </w:p>
    <w:p w14:paraId="1204AE01">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3.单位负责人为同一人或者存在控股、管理关系的不同单位，不得同时参加本采购项目投标。</w:t>
      </w:r>
    </w:p>
    <w:p w14:paraId="1CCBD63B">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投标人不得存在下列情形之一：</w:t>
      </w:r>
    </w:p>
    <w:p w14:paraId="7668AC9F">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（1）被暂停、取消投标或禁止参加采购活动且处于有效期内的；</w:t>
      </w:r>
    </w:p>
    <w:p w14:paraId="67C3E7B5">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（2）处于被责令停产停业、暂扣或者吊销执照、暂扣或者吊销许可证、吊销资质证书状态；</w:t>
      </w:r>
    </w:p>
    <w:p w14:paraId="68EC9B8C">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（3）进入清算程序，或被宣告破产，或其他丧失履约能力的情形。</w:t>
      </w:r>
    </w:p>
    <w:p w14:paraId="4FAA8CDA">
      <w:pPr>
        <w:adjustRightInd w:val="0"/>
        <w:spacing w:line="48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注：书面声明，格式自拟。</w:t>
      </w:r>
    </w:p>
    <w:p w14:paraId="5CEA75CA">
      <w:pPr>
        <w:pStyle w:val="4"/>
        <w:spacing w:before="0" w:after="0" w:line="360" w:lineRule="auto"/>
        <w:jc w:val="center"/>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p>
    <w:p w14:paraId="29B5A41F">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3865F5A8">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3A8DF0F1">
      <w:pPr>
        <w:pStyle w:val="182"/>
        <w:ind w:left="63" w:right="63" w:firstLine="640"/>
        <w:jc w:val="center"/>
        <w:rPr>
          <w:color w:val="000000" w:themeColor="text1"/>
          <w:sz w:val="32"/>
          <w:szCs w:val="32"/>
          <w:lang w:val="en-US"/>
          <w14:textFill>
            <w14:solidFill>
              <w14:schemeClr w14:val="tx1"/>
            </w14:solidFill>
          </w14:textFill>
        </w:rPr>
      </w:pPr>
    </w:p>
    <w:p w14:paraId="72612F41">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155ECB6C">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70AEBCFB">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7A94E5B6">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3D3D7320">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79765DC6">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4CF87C40">
      <w:pPr>
        <w:pStyle w:val="182"/>
        <w:ind w:left="63" w:right="63" w:firstLine="640"/>
        <w:jc w:val="center"/>
        <w:rPr>
          <w:color w:val="000000" w:themeColor="text1"/>
          <w:sz w:val="32"/>
          <w:szCs w:val="32"/>
          <w:lang w:val="en-US"/>
          <w14:textFill>
            <w14:solidFill>
              <w14:schemeClr w14:val="tx1"/>
            </w14:solidFill>
          </w14:textFill>
        </w:rPr>
      </w:pPr>
    </w:p>
    <w:p w14:paraId="73C37EE2">
      <w:pPr>
        <w:pStyle w:val="182"/>
        <w:ind w:left="63" w:right="63" w:firstLine="640"/>
        <w:jc w:val="center"/>
        <w:rPr>
          <w:color w:val="000000" w:themeColor="text1"/>
          <w:sz w:val="32"/>
          <w:szCs w:val="32"/>
          <w:lang w:val="en-US"/>
          <w14:textFill>
            <w14:solidFill>
              <w14:schemeClr w14:val="tx1"/>
            </w14:solidFill>
          </w14:textFill>
        </w:rPr>
      </w:pPr>
    </w:p>
    <w:p w14:paraId="2DE7A9ED">
      <w:pPr>
        <w:pStyle w:val="182"/>
        <w:ind w:left="63" w:right="63" w:firstLine="640"/>
        <w:jc w:val="center"/>
        <w:rPr>
          <w:color w:val="000000" w:themeColor="text1"/>
          <w:sz w:val="32"/>
          <w:szCs w:val="32"/>
          <w:lang w:val="en-US"/>
          <w14:textFill>
            <w14:solidFill>
              <w14:schemeClr w14:val="tx1"/>
            </w14:solidFill>
          </w14:textFill>
        </w:rPr>
      </w:pPr>
    </w:p>
    <w:p w14:paraId="2B6EAC76">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4FDAE9A8">
      <w:pPr>
        <w:pStyle w:val="182"/>
        <w:ind w:left="63" w:right="63" w:firstLine="640"/>
        <w:jc w:val="center"/>
        <w:rPr>
          <w:rFonts w:eastAsiaTheme="minorHAnsi"/>
          <w:color w:val="000000" w:themeColor="text1"/>
          <w:sz w:val="32"/>
          <w:szCs w:val="32"/>
          <w:lang w:val="en-US"/>
          <w14:textFill>
            <w14:solidFill>
              <w14:schemeClr w14:val="tx1"/>
            </w14:solidFill>
          </w14:textFill>
        </w:rPr>
      </w:pPr>
    </w:p>
    <w:p w14:paraId="1C42B41D">
      <w:pPr>
        <w:pStyle w:val="4"/>
        <w:spacing w:before="0" w:after="0" w:line="360" w:lineRule="auto"/>
        <w:jc w:val="center"/>
        <w:rPr>
          <w:rFonts w:ascii="宋体" w:hAnsi="宋体" w:eastAsia="宋体" w:cs="宋体"/>
          <w:color w:val="000000" w:themeColor="text1"/>
          <w:sz w:val="21"/>
          <w:szCs w:val="21"/>
          <w14:textFill>
            <w14:solidFill>
              <w14:schemeClr w14:val="tx1"/>
            </w14:solidFill>
          </w14:textFill>
        </w:rPr>
      </w:pPr>
      <w:bookmarkStart w:id="630" w:name="_Toc164432967"/>
      <w:r>
        <w:rPr>
          <w:rFonts w:hint="eastAsia" w:ascii="宋体" w:hAnsi="宋体" w:eastAsia="宋体" w:cs="Times New Roman"/>
          <w:color w:val="000000" w:themeColor="text1"/>
          <w:sz w:val="36"/>
          <w:szCs w:val="36"/>
          <w14:textFill>
            <w14:solidFill>
              <w14:schemeClr w14:val="tx1"/>
            </w14:solidFill>
          </w14:textFill>
        </w:rPr>
        <w:t>商务技术部分</w:t>
      </w:r>
      <w:bookmarkEnd w:id="630"/>
      <w:r>
        <w:rPr>
          <w:rFonts w:ascii="宋体" w:hAnsi="宋体" w:eastAsia="宋体" w:cs="宋体"/>
          <w:color w:val="000000" w:themeColor="text1"/>
          <w:sz w:val="21"/>
          <w:szCs w:val="21"/>
          <w14:textFill>
            <w14:solidFill>
              <w14:schemeClr w14:val="tx1"/>
            </w14:solidFill>
          </w14:textFill>
        </w:rPr>
        <w:br w:type="page"/>
      </w:r>
    </w:p>
    <w:p w14:paraId="46048D75">
      <w:pPr>
        <w:pStyle w:val="4"/>
        <w:spacing w:before="0" w:after="0" w:line="360" w:lineRule="auto"/>
        <w:jc w:val="center"/>
        <w:rPr>
          <w:rFonts w:ascii="宋体" w:hAnsi="宋体" w:eastAsia="宋体" w:cs="宋体"/>
          <w:color w:val="000000" w:themeColor="text1"/>
          <w:sz w:val="24"/>
          <w:szCs w:val="24"/>
          <w14:textFill>
            <w14:solidFill>
              <w14:schemeClr w14:val="tx1"/>
            </w14:solidFill>
          </w14:textFill>
        </w:rPr>
      </w:pPr>
      <w:bookmarkStart w:id="631" w:name="_Toc164432968"/>
      <w:r>
        <w:rPr>
          <w:rFonts w:hint="eastAsia" w:ascii="宋体" w:hAnsi="宋体" w:eastAsia="宋体" w:cs="宋体"/>
          <w:color w:val="000000" w:themeColor="text1"/>
          <w:sz w:val="24"/>
          <w:szCs w:val="24"/>
          <w14:textFill>
            <w14:solidFill>
              <w14:schemeClr w14:val="tx1"/>
            </w14:solidFill>
          </w14:textFill>
        </w:rPr>
        <w:t>一、报价一览表</w:t>
      </w:r>
      <w:bookmarkEnd w:id="603"/>
      <w:bookmarkEnd w:id="604"/>
      <w:bookmarkEnd w:id="605"/>
      <w:bookmarkEnd w:id="606"/>
      <w:bookmarkEnd w:id="607"/>
      <w:bookmarkEnd w:id="608"/>
      <w:bookmarkEnd w:id="609"/>
      <w:bookmarkEnd w:id="631"/>
    </w:p>
    <w:p w14:paraId="37B3A1F0">
      <w:pPr>
        <w:spacing w:line="360" w:lineRule="auto"/>
        <w:rPr>
          <w:rFonts w:ascii="宋体" w:hAnsi="宋体" w:eastAsia="宋体" w:cs="Times New Roman"/>
          <w:color w:val="000000" w:themeColor="text1"/>
          <w14:textFill>
            <w14:solidFill>
              <w14:schemeClr w14:val="tx1"/>
            </w14:solidFill>
          </w14:textFill>
        </w:rPr>
      </w:pPr>
    </w:p>
    <w:p w14:paraId="3265E359">
      <w:pPr>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项目编号：</w:t>
      </w:r>
    </w:p>
    <w:tbl>
      <w:tblPr>
        <w:tblStyle w:val="42"/>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6464"/>
      </w:tblGrid>
      <w:tr w14:paraId="2767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09CF962B">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w:t>
            </w:r>
          </w:p>
        </w:tc>
        <w:tc>
          <w:tcPr>
            <w:tcW w:w="6464" w:type="dxa"/>
            <w:vAlign w:val="center"/>
          </w:tcPr>
          <w:p w14:paraId="7BC09D83">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内容</w:t>
            </w:r>
          </w:p>
        </w:tc>
      </w:tr>
      <w:tr w14:paraId="3B2D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3397" w:type="dxa"/>
            <w:vAlign w:val="center"/>
          </w:tcPr>
          <w:p w14:paraId="4DA73FAF">
            <w:pPr>
              <w:spacing w:before="120" w:beforeLines="50" w:line="360" w:lineRule="auto"/>
              <w:jc w:val="center"/>
              <w:rPr>
                <w:rFonts w:hint="eastAsia" w:ascii="宋体" w:hAnsi="宋体" w:eastAsia="宋体" w:cs="Times New Roman"/>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含税</w:t>
            </w:r>
            <w:r>
              <w:rPr>
                <w:rFonts w:hint="eastAsia" w:ascii="宋体" w:hAnsi="宋体" w:eastAsia="宋体" w:cs="宋体"/>
                <w:color w:val="000000" w:themeColor="text1"/>
                <w:lang w:eastAsia="zh-CN"/>
                <w14:textFill>
                  <w14:solidFill>
                    <w14:schemeClr w14:val="tx1"/>
                  </w14:solidFill>
                </w14:textFill>
              </w:rPr>
              <w:t>）</w:t>
            </w:r>
          </w:p>
        </w:tc>
        <w:tc>
          <w:tcPr>
            <w:tcW w:w="6464" w:type="dxa"/>
            <w:vAlign w:val="center"/>
          </w:tcPr>
          <w:p w14:paraId="24430BEB">
            <w:pPr>
              <w:spacing w:before="120" w:beforeLines="50"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总报价：       </w:t>
            </w:r>
            <w:r>
              <w:rPr>
                <w:rFonts w:hint="eastAsia" w:ascii="宋体" w:hAnsi="宋体" w:eastAsia="宋体" w:cs="Times New Roman"/>
                <w:color w:val="000000" w:themeColor="text1"/>
                <w14:textFill>
                  <w14:solidFill>
                    <w14:schemeClr w14:val="tx1"/>
                  </w14:solidFill>
                </w14:textFill>
              </w:rPr>
              <w:t>元</w:t>
            </w:r>
            <w:r>
              <w:rPr>
                <w:rFonts w:ascii="宋体" w:hAnsi="宋体" w:eastAsia="宋体" w:cs="Times New Roman"/>
                <w:color w:val="000000" w:themeColor="text1"/>
                <w14:textFill>
                  <w14:solidFill>
                    <w14:schemeClr w14:val="tx1"/>
                  </w14:solidFill>
                </w14:textFill>
              </w:rPr>
              <w:t>（大写：       ）</w:t>
            </w:r>
          </w:p>
        </w:tc>
      </w:tr>
      <w:tr w14:paraId="5BF6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79A1B82C">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质保期</w:t>
            </w:r>
          </w:p>
        </w:tc>
        <w:tc>
          <w:tcPr>
            <w:tcW w:w="6464" w:type="dxa"/>
            <w:vAlign w:val="center"/>
          </w:tcPr>
          <w:p w14:paraId="6DFF1D25">
            <w:pPr>
              <w:spacing w:before="120" w:beforeLines="50" w:line="360" w:lineRule="auto"/>
              <w:rPr>
                <w:rFonts w:ascii="宋体" w:hAnsi="宋体" w:eastAsia="宋体" w:cs="Times New Roman"/>
                <w:color w:val="000000" w:themeColor="text1"/>
                <w14:textFill>
                  <w14:solidFill>
                    <w14:schemeClr w14:val="tx1"/>
                  </w14:solidFill>
                </w14:textFill>
              </w:rPr>
            </w:pPr>
          </w:p>
        </w:tc>
      </w:tr>
      <w:tr w14:paraId="0CB5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4A5AFEB8">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w:t>
            </w:r>
            <w:bookmarkStart w:id="696" w:name="_GoBack"/>
            <w:bookmarkEnd w:id="696"/>
            <w:r>
              <w:rPr>
                <w:rFonts w:hint="eastAsia" w:ascii="宋体" w:hAnsi="宋体" w:eastAsia="宋体" w:cs="宋体"/>
                <w:color w:val="000000" w:themeColor="text1"/>
                <w14:textFill>
                  <w14:solidFill>
                    <w14:schemeClr w14:val="tx1"/>
                  </w14:solidFill>
                </w14:textFill>
              </w:rPr>
              <w:t>承诺</w:t>
            </w:r>
          </w:p>
        </w:tc>
        <w:tc>
          <w:tcPr>
            <w:tcW w:w="6464" w:type="dxa"/>
            <w:vAlign w:val="center"/>
          </w:tcPr>
          <w:p w14:paraId="1FEAC5DE">
            <w:pPr>
              <w:spacing w:before="120" w:beforeLines="50" w:line="360" w:lineRule="auto"/>
              <w:rPr>
                <w:rFonts w:ascii="宋体" w:hAnsi="宋体" w:eastAsia="宋体" w:cs="Times New Roman"/>
                <w:color w:val="000000" w:themeColor="text1"/>
                <w14:textFill>
                  <w14:solidFill>
                    <w14:schemeClr w14:val="tx1"/>
                  </w14:solidFill>
                </w14:textFill>
              </w:rPr>
            </w:pPr>
          </w:p>
        </w:tc>
      </w:tr>
      <w:tr w14:paraId="530B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2D00EF4A">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合同履行期限</w:t>
            </w:r>
          </w:p>
        </w:tc>
        <w:tc>
          <w:tcPr>
            <w:tcW w:w="6464" w:type="dxa"/>
            <w:vAlign w:val="center"/>
          </w:tcPr>
          <w:p w14:paraId="17E8A4EE">
            <w:pPr>
              <w:spacing w:before="120" w:beforeLines="50" w:line="360" w:lineRule="auto"/>
              <w:rPr>
                <w:rFonts w:ascii="宋体" w:hAnsi="宋体" w:eastAsia="宋体" w:cs="Times New Roman"/>
                <w:color w:val="000000" w:themeColor="text1"/>
                <w14:textFill>
                  <w14:solidFill>
                    <w14:schemeClr w14:val="tx1"/>
                  </w14:solidFill>
                </w14:textFill>
              </w:rPr>
            </w:pPr>
          </w:p>
        </w:tc>
      </w:tr>
      <w:tr w14:paraId="5381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0D10CD12">
            <w:pPr>
              <w:spacing w:before="120" w:beforeLines="50" w:line="360" w:lineRule="auto"/>
              <w:jc w:val="center"/>
              <w:rPr>
                <w:rFonts w:hint="default" w:ascii="宋体" w:hAnsi="宋体" w:eastAsia="宋体" w:cs="Times New Roman"/>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val="en-US" w:eastAsia="zh-CN"/>
                <w14:textFill>
                  <w14:solidFill>
                    <w14:schemeClr w14:val="tx1"/>
                  </w14:solidFill>
                </w14:textFill>
              </w:rPr>
              <w:t>及电话</w:t>
            </w:r>
          </w:p>
        </w:tc>
        <w:tc>
          <w:tcPr>
            <w:tcW w:w="6464" w:type="dxa"/>
            <w:vAlign w:val="center"/>
          </w:tcPr>
          <w:p w14:paraId="5897D2E0">
            <w:pPr>
              <w:spacing w:before="120" w:beforeLines="50" w:line="360" w:lineRule="auto"/>
              <w:rPr>
                <w:rFonts w:ascii="宋体" w:hAnsi="宋体" w:eastAsia="宋体" w:cs="Times New Roman"/>
                <w:color w:val="000000" w:themeColor="text1"/>
                <w14:textFill>
                  <w14:solidFill>
                    <w14:schemeClr w14:val="tx1"/>
                  </w14:solidFill>
                </w14:textFill>
              </w:rPr>
            </w:pPr>
          </w:p>
        </w:tc>
      </w:tr>
      <w:tr w14:paraId="1FC3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3397" w:type="dxa"/>
            <w:vAlign w:val="center"/>
          </w:tcPr>
          <w:p w14:paraId="342598BA">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w:t>
            </w:r>
          </w:p>
        </w:tc>
        <w:tc>
          <w:tcPr>
            <w:tcW w:w="6464" w:type="dxa"/>
            <w:vAlign w:val="center"/>
          </w:tcPr>
          <w:p w14:paraId="2160F5D5">
            <w:pPr>
              <w:spacing w:before="120" w:beforeLines="50" w:line="360" w:lineRule="auto"/>
              <w:rPr>
                <w:rFonts w:ascii="宋体" w:hAnsi="宋体" w:eastAsia="宋体" w:cs="Times New Roman"/>
                <w:color w:val="000000" w:themeColor="text1"/>
                <w14:textFill>
                  <w14:solidFill>
                    <w14:schemeClr w14:val="tx1"/>
                  </w14:solidFill>
                </w14:textFill>
              </w:rPr>
            </w:pPr>
          </w:p>
        </w:tc>
      </w:tr>
    </w:tbl>
    <w:p w14:paraId="31BE04DE">
      <w:pPr>
        <w:spacing w:line="360" w:lineRule="auto"/>
        <w:rPr>
          <w:rFonts w:ascii="宋体" w:hAnsi="宋体" w:eastAsia="宋体" w:cs="Times New Roman"/>
          <w:color w:val="000000" w:themeColor="text1"/>
          <w14:textFill>
            <w14:solidFill>
              <w14:schemeClr w14:val="tx1"/>
            </w14:solidFill>
          </w14:textFill>
        </w:rPr>
      </w:pPr>
    </w:p>
    <w:p w14:paraId="61CD769D">
      <w:pPr>
        <w:spacing w:line="360" w:lineRule="auto"/>
        <w:rPr>
          <w:rFonts w:ascii="宋体" w:hAnsi="宋体" w:eastAsia="宋体" w:cs="Times New Roman"/>
          <w:color w:val="000000" w:themeColor="text1"/>
          <w14:textFill>
            <w14:solidFill>
              <w14:schemeClr w14:val="tx1"/>
            </w14:solidFill>
          </w14:textFill>
        </w:rPr>
      </w:pPr>
    </w:p>
    <w:p w14:paraId="224C4731">
      <w:pPr>
        <w:spacing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投 标 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6353FAB1">
      <w:pPr>
        <w:spacing w:line="360" w:lineRule="auto"/>
        <w:jc w:val="right"/>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 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r>
        <w:rPr>
          <w:rFonts w:hint="eastAsia" w:ascii="宋体" w:hAnsi="宋体" w:eastAsia="宋体"/>
          <w:color w:val="000000" w:themeColor="text1"/>
          <w:u w:val="single"/>
          <w:lang w:val="en-US" w:eastAsia="zh-CN"/>
          <w14:textFill>
            <w14:solidFill>
              <w14:schemeClr w14:val="tx1"/>
            </w14:solidFill>
          </w14:textFill>
        </w:rPr>
        <w:t>或电子签字</w:t>
      </w:r>
      <w:r>
        <w:rPr>
          <w:rFonts w:hint="eastAsia" w:ascii="宋体" w:hAnsi="宋体" w:eastAsia="宋体"/>
          <w:color w:val="000000" w:themeColor="text1"/>
          <w:u w:val="single"/>
          <w14:textFill>
            <w14:solidFill>
              <w14:schemeClr w14:val="tx1"/>
            </w14:solidFill>
          </w14:textFill>
        </w:rPr>
        <w:t>）</w:t>
      </w:r>
    </w:p>
    <w:p w14:paraId="27C5349D">
      <w:pPr>
        <w:spacing w:line="360" w:lineRule="auto"/>
        <w:jc w:val="right"/>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53803C7B">
      <w:pPr>
        <w:spacing w:line="360" w:lineRule="auto"/>
        <w:rPr>
          <w:rFonts w:ascii="宋体" w:hAnsi="宋体" w:eastAsia="宋体" w:cs="Times New Roman"/>
          <w:color w:val="000000" w:themeColor="text1"/>
          <w14:textFill>
            <w14:solidFill>
              <w14:schemeClr w14:val="tx1"/>
            </w14:solidFill>
          </w14:textFill>
        </w:rPr>
      </w:pPr>
    </w:p>
    <w:p w14:paraId="799D2587">
      <w:pPr>
        <w:spacing w:line="360" w:lineRule="auto"/>
        <w:rPr>
          <w:rFonts w:ascii="宋体" w:hAnsi="宋体" w:eastAsia="宋体" w:cs="Times New Roman"/>
          <w:color w:val="000000" w:themeColor="text1"/>
          <w14:textFill>
            <w14:solidFill>
              <w14:schemeClr w14:val="tx1"/>
            </w14:solidFill>
          </w14:textFill>
        </w:rPr>
      </w:pPr>
    </w:p>
    <w:p w14:paraId="1CB5ACFF">
      <w:pPr>
        <w:pStyle w:val="4"/>
        <w:spacing w:before="0" w:after="0" w:line="360" w:lineRule="auto"/>
        <w:jc w:val="center"/>
        <w:rPr>
          <w:rFonts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32" w:name="_Toc164432969"/>
      <w:bookmarkStart w:id="633" w:name="_Toc77504116"/>
      <w:bookmarkStart w:id="634" w:name="_Toc107396245"/>
      <w:bookmarkStart w:id="635" w:name="_Toc77116718"/>
      <w:bookmarkStart w:id="636" w:name="_Toc25068"/>
      <w:bookmarkStart w:id="637" w:name="_Toc77658126"/>
      <w:bookmarkStart w:id="638" w:name="_Toc120282473"/>
      <w:bookmarkStart w:id="639" w:name="_Toc70424901"/>
      <w:r>
        <w:rPr>
          <w:rFonts w:hint="eastAsia" w:ascii="宋体" w:hAnsi="宋体" w:eastAsia="宋体" w:cs="宋体"/>
          <w:color w:val="000000" w:themeColor="text1"/>
          <w:sz w:val="24"/>
          <w:szCs w:val="24"/>
          <w14:textFill>
            <w14:solidFill>
              <w14:schemeClr w14:val="tx1"/>
            </w14:solidFill>
          </w14:textFill>
        </w:rPr>
        <w:t>二、投标函</w:t>
      </w:r>
      <w:bookmarkEnd w:id="632"/>
      <w:bookmarkEnd w:id="633"/>
      <w:bookmarkEnd w:id="634"/>
      <w:bookmarkEnd w:id="635"/>
      <w:bookmarkEnd w:id="636"/>
      <w:bookmarkEnd w:id="637"/>
      <w:bookmarkEnd w:id="638"/>
      <w:bookmarkEnd w:id="639"/>
    </w:p>
    <w:p w14:paraId="00BA7D58">
      <w:pPr>
        <w:spacing w:line="360" w:lineRule="auto"/>
        <w:rPr>
          <w:rFonts w:ascii="宋体" w:hAnsi="宋体" w:eastAsia="宋体" w:cs="Times New Roman"/>
          <w:color w:val="000000" w:themeColor="text1"/>
          <w14:textFill>
            <w14:solidFill>
              <w14:schemeClr w14:val="tx1"/>
            </w14:solidFill>
          </w14:textFill>
        </w:rPr>
      </w:pPr>
    </w:p>
    <w:p w14:paraId="0D67501F">
      <w:pPr>
        <w:spacing w:line="360" w:lineRule="auto"/>
        <w:rPr>
          <w:rFonts w:ascii="宋体" w:hAnsi="宋体" w:eastAsia="宋体" w:cs="Times New Roman"/>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（采购人名称）</w:t>
      </w:r>
      <w:r>
        <w:rPr>
          <w:rFonts w:hint="eastAsia" w:ascii="宋体" w:hAnsi="宋体" w:eastAsia="宋体" w:cs="宋体"/>
          <w:color w:val="000000" w:themeColor="text1"/>
          <w14:textFill>
            <w14:solidFill>
              <w14:schemeClr w14:val="tx1"/>
            </w14:solidFill>
          </w14:textFill>
        </w:rPr>
        <w:t>：</w:t>
      </w:r>
    </w:p>
    <w:p w14:paraId="4F795CC0">
      <w:pPr>
        <w:spacing w:line="360" w:lineRule="auto"/>
        <w:ind w:firstLine="420" w:firstLineChars="200"/>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1</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我方已仔细研究了</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 xml:space="preserve">（项目名称） </w:t>
      </w:r>
      <w:r>
        <w:rPr>
          <w:rFonts w:hint="eastAsia" w:ascii="宋体" w:hAnsi="宋体" w:eastAsia="宋体"/>
          <w:color w:val="000000" w:themeColor="text1"/>
          <w14:textFill>
            <w14:solidFill>
              <w14:schemeClr w14:val="tx1"/>
            </w14:solidFill>
          </w14:textFill>
        </w:rPr>
        <w:t>招标文件的全部内容，愿意以投标报价一览表中的投标报价，按照招标文件的规定履行合同责任和义务。</w:t>
      </w:r>
    </w:p>
    <w:p w14:paraId="7DE80C8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我方承诺除商务偏差表列出的偏差外，我方响应招标文件的全部要求。</w:t>
      </w:r>
    </w:p>
    <w:p w14:paraId="4A355FD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我方承诺在招标文件规定的投标文件有效期内不撤销投标文件。</w:t>
      </w:r>
    </w:p>
    <w:p w14:paraId="7CABDD2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如我方中标，我方承诺：</w:t>
      </w:r>
    </w:p>
    <w:p w14:paraId="684F232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）在收到中标通知书后，在中标通知书规定的期限内与你方签订合同；</w:t>
      </w:r>
    </w:p>
    <w:p w14:paraId="3F03E223">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）在签订合同时不向你方提出附加条件；</w:t>
      </w:r>
    </w:p>
    <w:p w14:paraId="0AD0DE85">
      <w:pPr>
        <w:spacing w:line="360" w:lineRule="auto"/>
        <w:ind w:firstLine="424" w:firstLineChars="202"/>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r>
        <w:rPr>
          <w:rFonts w:ascii="宋体" w:hAnsi="宋体" w:eastAsia="宋体" w:cs="宋体"/>
          <w:color w:val="000000" w:themeColor="text1"/>
          <w14:textFill>
            <w14:solidFill>
              <w14:schemeClr w14:val="tx1"/>
            </w14:solidFill>
          </w14:textFill>
        </w:rPr>
        <w:t>按照招标文件要求递交履约保证金</w:t>
      </w:r>
      <w:r>
        <w:rPr>
          <w:rFonts w:hint="eastAsia" w:ascii="宋体" w:hAnsi="宋体" w:eastAsia="宋体" w:cs="宋体"/>
          <w:color w:val="000000" w:themeColor="text1"/>
          <w14:textFill>
            <w14:solidFill>
              <w14:schemeClr w14:val="tx1"/>
            </w14:solidFill>
          </w14:textFill>
        </w:rPr>
        <w:t>；</w:t>
      </w:r>
    </w:p>
    <w:p w14:paraId="1536EE4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（4）在合同约定的期限内完成合同规定的全部义务。</w:t>
      </w:r>
    </w:p>
    <w:p w14:paraId="775EEBA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我方在此声明，所递交的投标文件及有关资料内容完整、真实和准确，且不存在第二章“投标人须知”第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项中规定的投标人不得存在的情形。</w:t>
      </w:r>
    </w:p>
    <w:p w14:paraId="0F83872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（其他补充说明）</w:t>
      </w:r>
      <w:r>
        <w:rPr>
          <w:rFonts w:hint="eastAsia" w:ascii="宋体" w:hAnsi="宋体" w:eastAsia="宋体"/>
          <w:color w:val="000000" w:themeColor="text1"/>
          <w14:textFill>
            <w14:solidFill>
              <w14:schemeClr w14:val="tx1"/>
            </w14:solidFill>
          </w14:textFill>
        </w:rPr>
        <w:t>。</w:t>
      </w:r>
    </w:p>
    <w:p w14:paraId="43E43456">
      <w:pPr>
        <w:spacing w:line="360" w:lineRule="auto"/>
        <w:rPr>
          <w:rFonts w:ascii="宋体" w:hAnsi="宋体" w:eastAsia="宋体" w:cs="Times New Roman"/>
          <w:color w:val="000000" w:themeColor="text1"/>
          <w14:textFill>
            <w14:solidFill>
              <w14:schemeClr w14:val="tx1"/>
            </w14:solidFill>
          </w14:textFill>
        </w:rPr>
      </w:pPr>
    </w:p>
    <w:p w14:paraId="24B8B34A">
      <w:pPr>
        <w:spacing w:line="360" w:lineRule="auto"/>
        <w:rPr>
          <w:rFonts w:ascii="宋体" w:hAnsi="宋体" w:eastAsia="宋体" w:cs="Times New Roman"/>
          <w:color w:val="000000" w:themeColor="text1"/>
          <w14:textFill>
            <w14:solidFill>
              <w14:schemeClr w14:val="tx1"/>
            </w14:solidFill>
          </w14:textFill>
        </w:rPr>
      </w:pPr>
    </w:p>
    <w:p w14:paraId="5CC2F4E0">
      <w:pPr>
        <w:spacing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投 标 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3E390ACB">
      <w:pPr>
        <w:spacing w:line="360" w:lineRule="auto"/>
        <w:jc w:val="right"/>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 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r>
        <w:rPr>
          <w:rFonts w:hint="eastAsia" w:ascii="宋体" w:hAnsi="宋体" w:eastAsia="宋体"/>
          <w:color w:val="000000" w:themeColor="text1"/>
          <w:u w:val="single"/>
          <w:lang w:val="en-US" w:eastAsia="zh-CN"/>
          <w14:textFill>
            <w14:solidFill>
              <w14:schemeClr w14:val="tx1"/>
            </w14:solidFill>
          </w14:textFill>
        </w:rPr>
        <w:t>或电子签字</w:t>
      </w:r>
      <w:r>
        <w:rPr>
          <w:rFonts w:hint="eastAsia" w:ascii="宋体" w:hAnsi="宋体" w:eastAsia="宋体"/>
          <w:color w:val="000000" w:themeColor="text1"/>
          <w:u w:val="single"/>
          <w14:textFill>
            <w14:solidFill>
              <w14:schemeClr w14:val="tx1"/>
            </w14:solidFill>
          </w14:textFill>
        </w:rPr>
        <w:t>）</w:t>
      </w:r>
    </w:p>
    <w:p w14:paraId="2D5FEA49">
      <w:pPr>
        <w:wordWrap w:val="0"/>
        <w:spacing w:line="360" w:lineRule="auto"/>
        <w:jc w:val="righ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地 </w:t>
      </w:r>
      <w:r>
        <w:rPr>
          <w:rFonts w:ascii="宋体" w:hAnsi="宋体" w:eastAsia="宋体"/>
          <w:color w:val="000000" w:themeColor="text1"/>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址：</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53ABB282">
      <w:pPr>
        <w:wordWrap w:val="0"/>
        <w:spacing w:line="360" w:lineRule="auto"/>
        <w:jc w:val="righ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电子邮箱：</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7CEC03B5">
      <w:pPr>
        <w:wordWrap w:val="0"/>
        <w:spacing w:line="360" w:lineRule="auto"/>
        <w:jc w:val="righ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电 </w:t>
      </w:r>
      <w:r>
        <w:rPr>
          <w:rFonts w:ascii="宋体" w:hAnsi="宋体" w:eastAsia="宋体"/>
          <w:color w:val="000000" w:themeColor="text1"/>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话：</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7E2C0370">
      <w:pPr>
        <w:wordWrap w:val="0"/>
        <w:spacing w:line="360" w:lineRule="auto"/>
        <w:jc w:val="right"/>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邮政编码：</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798CEB80">
      <w:pPr>
        <w:spacing w:line="360" w:lineRule="auto"/>
        <w:jc w:val="right"/>
        <w:rPr>
          <w:rFonts w:ascii="宋体" w:hAnsi="宋体" w:eastAsia="宋体"/>
          <w:color w:val="000000" w:themeColor="text1"/>
          <w14:textFill>
            <w14:solidFill>
              <w14:schemeClr w14:val="tx1"/>
            </w14:solidFill>
          </w14:textFill>
        </w:rPr>
      </w:pPr>
    </w:p>
    <w:p w14:paraId="2E338B9B">
      <w:pPr>
        <w:spacing w:line="360" w:lineRule="auto"/>
        <w:jc w:val="right"/>
        <w:rPr>
          <w:rFonts w:ascii="宋体" w:hAnsi="宋体" w:eastAsia="宋体" w:cs="Times New Roman"/>
          <w:color w:val="000000" w:themeColor="text1"/>
          <w:u w:val="single"/>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0A7F87C3">
      <w:pPr>
        <w:spacing w:line="360" w:lineRule="auto"/>
        <w:rPr>
          <w:rFonts w:ascii="宋体" w:hAnsi="宋体" w:eastAsia="宋体" w:cs="Times New Roman"/>
          <w:color w:val="000000" w:themeColor="text1"/>
          <w14:textFill>
            <w14:solidFill>
              <w14:schemeClr w14:val="tx1"/>
            </w14:solidFill>
          </w14:textFill>
        </w:rPr>
      </w:pPr>
    </w:p>
    <w:p w14:paraId="5987FE22">
      <w:pPr>
        <w:spacing w:line="360" w:lineRule="auto"/>
        <w:rPr>
          <w:rFonts w:ascii="宋体" w:hAnsi="宋体" w:eastAsia="宋体" w:cs="Times New Roman"/>
          <w:color w:val="000000" w:themeColor="text1"/>
          <w14:textFill>
            <w14:solidFill>
              <w14:schemeClr w14:val="tx1"/>
            </w14:solidFill>
          </w14:textFill>
        </w:rPr>
      </w:pPr>
    </w:p>
    <w:p w14:paraId="512D4454">
      <w:pPr>
        <w:pStyle w:val="4"/>
        <w:spacing w:before="0" w:after="0" w:line="360" w:lineRule="auto"/>
        <w:jc w:val="center"/>
        <w:rPr>
          <w:rFonts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40" w:name="_Toc77658127"/>
      <w:bookmarkStart w:id="641" w:name="_Toc107396246"/>
      <w:bookmarkStart w:id="642" w:name="_Toc77504117"/>
      <w:bookmarkStart w:id="643" w:name="_Toc77116719"/>
      <w:bookmarkStart w:id="644" w:name="_Toc70424902"/>
      <w:bookmarkStart w:id="645" w:name="_Toc120282474"/>
      <w:bookmarkStart w:id="646" w:name="_Toc15913"/>
      <w:bookmarkStart w:id="647" w:name="_Toc164432970"/>
      <w:r>
        <w:rPr>
          <w:rFonts w:hint="eastAsia" w:ascii="宋体" w:hAnsi="宋体" w:eastAsia="宋体" w:cs="宋体"/>
          <w:color w:val="000000" w:themeColor="text1"/>
          <w:sz w:val="24"/>
          <w:szCs w:val="24"/>
          <w14:textFill>
            <w14:solidFill>
              <w14:schemeClr w14:val="tx1"/>
            </w14:solidFill>
          </w14:textFill>
        </w:rPr>
        <w:t>三、法定代表人（单位负责人）身份证明或授权委托书</w:t>
      </w:r>
      <w:bookmarkEnd w:id="640"/>
      <w:bookmarkEnd w:id="641"/>
      <w:bookmarkEnd w:id="642"/>
      <w:bookmarkEnd w:id="643"/>
      <w:bookmarkEnd w:id="644"/>
      <w:bookmarkEnd w:id="645"/>
      <w:bookmarkEnd w:id="646"/>
      <w:bookmarkEnd w:id="647"/>
    </w:p>
    <w:p w14:paraId="50A32C85">
      <w:pPr>
        <w:spacing w:line="360" w:lineRule="auto"/>
        <w:rPr>
          <w:rFonts w:ascii="宋体" w:hAnsi="宋体" w:eastAsia="宋体" w:cs="Times New Roman"/>
          <w:color w:val="000000" w:themeColor="text1"/>
          <w14:textFill>
            <w14:solidFill>
              <w14:schemeClr w14:val="tx1"/>
            </w14:solidFill>
          </w14:textFill>
        </w:rPr>
      </w:pPr>
    </w:p>
    <w:p w14:paraId="1EEFDAA3">
      <w:pPr>
        <w:spacing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（一）法定代表人（单位负责人）身份证明</w:t>
      </w:r>
    </w:p>
    <w:p w14:paraId="72A35D67">
      <w:pPr>
        <w:spacing w:line="360" w:lineRule="auto"/>
        <w:rPr>
          <w:rFonts w:ascii="宋体" w:hAnsi="宋体" w:eastAsia="宋体" w:cs="Times New Roman"/>
          <w:color w:val="000000" w:themeColor="text1"/>
          <w14:textFill>
            <w14:solidFill>
              <w14:schemeClr w14:val="tx1"/>
            </w14:solidFill>
          </w14:textFill>
        </w:rPr>
      </w:pPr>
    </w:p>
    <w:p w14:paraId="00432F7C">
      <w:pPr>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投标人名称：</w:t>
      </w:r>
    </w:p>
    <w:p w14:paraId="2C814D4A">
      <w:pPr>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姓名：</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性别：</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年龄：</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职务：</w:t>
      </w:r>
    </w:p>
    <w:p w14:paraId="777ECDEC">
      <w:pPr>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系</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（投标人名称）</w:t>
      </w:r>
      <w:r>
        <w:rPr>
          <w:rFonts w:hint="eastAsia" w:ascii="宋体" w:hAnsi="宋体" w:eastAsia="宋体" w:cs="宋体"/>
          <w:color w:val="000000" w:themeColor="text1"/>
          <w14:textFill>
            <w14:solidFill>
              <w14:schemeClr w14:val="tx1"/>
            </w14:solidFill>
          </w14:textFill>
        </w:rPr>
        <w:t>的法定代表人。</w:t>
      </w:r>
    </w:p>
    <w:p w14:paraId="56AECE3E">
      <w:pPr>
        <w:spacing w:line="360" w:lineRule="auto"/>
        <w:rPr>
          <w:rFonts w:ascii="宋体" w:hAnsi="宋体" w:eastAsia="宋体" w:cs="Times New Roman"/>
          <w:color w:val="000000" w:themeColor="text1"/>
          <w14:textFill>
            <w14:solidFill>
              <w14:schemeClr w14:val="tx1"/>
            </w14:solidFill>
          </w14:textFill>
        </w:rPr>
      </w:pPr>
    </w:p>
    <w:p w14:paraId="0B2B15F1">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特此证明。</w:t>
      </w:r>
    </w:p>
    <w:p w14:paraId="0EF563DE">
      <w:pPr>
        <w:spacing w:line="360" w:lineRule="auto"/>
        <w:rPr>
          <w:rFonts w:ascii="宋体" w:hAnsi="宋体" w:eastAsia="宋体" w:cs="Times New Roman"/>
          <w:color w:val="000000" w:themeColor="text1"/>
          <w14:textFill>
            <w14:solidFill>
              <w14:schemeClr w14:val="tx1"/>
            </w14:solidFill>
          </w14:textFill>
        </w:rPr>
      </w:pPr>
    </w:p>
    <w:p w14:paraId="770500A8">
      <w:pPr>
        <w:spacing w:line="360" w:lineRule="auto"/>
        <w:rPr>
          <w:rFonts w:ascii="宋体" w:hAnsi="宋体" w:eastAsia="宋体" w:cs="Times New Roman"/>
          <w:color w:val="000000" w:themeColor="text1"/>
          <w14:textFill>
            <w14:solidFill>
              <w14:schemeClr w14:val="tx1"/>
            </w14:solidFill>
          </w14:textFill>
        </w:rPr>
      </w:pPr>
    </w:p>
    <w:p w14:paraId="15F7120A">
      <w:pPr>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附：法定代表人身份证扫描件。</w:t>
      </w:r>
    </w:p>
    <w:p w14:paraId="427BB76A">
      <w:pPr>
        <w:spacing w:line="360" w:lineRule="auto"/>
        <w:rPr>
          <w:rFonts w:ascii="宋体" w:hAnsi="宋体" w:eastAsia="宋体" w:cs="Times New Roman"/>
          <w:color w:val="000000" w:themeColor="text1"/>
          <w14:textFill>
            <w14:solidFill>
              <w14:schemeClr w14:val="tx1"/>
            </w14:solidFill>
          </w14:textFill>
        </w:rPr>
      </w:pPr>
    </w:p>
    <w:p w14:paraId="1F3836AD">
      <w:pPr>
        <w:spacing w:line="360" w:lineRule="auto"/>
        <w:rPr>
          <w:rFonts w:ascii="宋体" w:hAnsi="宋体" w:eastAsia="宋体" w:cs="Times New Roman"/>
          <w:color w:val="000000" w:themeColor="text1"/>
          <w14:textFill>
            <w14:solidFill>
              <w14:schemeClr w14:val="tx1"/>
            </w14:solidFill>
          </w14:textFill>
        </w:rPr>
      </w:pPr>
    </w:p>
    <w:p w14:paraId="4A96442B">
      <w:pPr>
        <w:spacing w:line="360" w:lineRule="auto"/>
        <w:rPr>
          <w:rFonts w:ascii="宋体" w:hAnsi="宋体" w:eastAsia="宋体" w:cs="Times New Roman"/>
          <w:color w:val="000000" w:themeColor="text1"/>
          <w14:textFill>
            <w14:solidFill>
              <w14:schemeClr w14:val="tx1"/>
            </w14:solidFill>
          </w14:textFill>
        </w:rPr>
      </w:pPr>
    </w:p>
    <w:p w14:paraId="01C1FDBE">
      <w:pPr>
        <w:spacing w:line="360" w:lineRule="auto"/>
        <w:rPr>
          <w:rFonts w:ascii="宋体" w:hAnsi="宋体" w:eastAsia="宋体" w:cs="Times New Roman"/>
          <w:color w:val="000000" w:themeColor="text1"/>
          <w14:textFill>
            <w14:solidFill>
              <w14:schemeClr w14:val="tx1"/>
            </w14:solidFill>
          </w14:textFill>
        </w:rPr>
      </w:pPr>
    </w:p>
    <w:p w14:paraId="0A300684">
      <w:pPr>
        <w:spacing w:line="360" w:lineRule="auto"/>
        <w:rPr>
          <w:rFonts w:ascii="宋体" w:hAnsi="宋体" w:eastAsia="宋体" w:cs="Times New Roman"/>
          <w:color w:val="000000" w:themeColor="text1"/>
          <w14:textFill>
            <w14:solidFill>
              <w14:schemeClr w14:val="tx1"/>
            </w14:solidFill>
          </w14:textFill>
        </w:rPr>
      </w:pPr>
    </w:p>
    <w:p w14:paraId="6F76BB09">
      <w:pPr>
        <w:spacing w:line="360" w:lineRule="auto"/>
        <w:rPr>
          <w:rFonts w:ascii="宋体" w:hAnsi="宋体" w:eastAsia="宋体" w:cs="Times New Roman"/>
          <w:color w:val="000000" w:themeColor="text1"/>
          <w14:textFill>
            <w14:solidFill>
              <w14:schemeClr w14:val="tx1"/>
            </w14:solidFill>
          </w14:textFill>
        </w:rPr>
      </w:pPr>
    </w:p>
    <w:p w14:paraId="38F24B3C">
      <w:pPr>
        <w:spacing w:line="360" w:lineRule="auto"/>
        <w:rPr>
          <w:rFonts w:ascii="宋体" w:hAnsi="宋体" w:eastAsia="宋体" w:cs="Times New Roman"/>
          <w:color w:val="000000" w:themeColor="text1"/>
          <w14:textFill>
            <w14:solidFill>
              <w14:schemeClr w14:val="tx1"/>
            </w14:solidFill>
          </w14:textFill>
        </w:rPr>
      </w:pPr>
    </w:p>
    <w:p w14:paraId="423D1AFB">
      <w:pPr>
        <w:spacing w:line="360" w:lineRule="auto"/>
        <w:rPr>
          <w:rFonts w:ascii="宋体" w:hAnsi="宋体" w:eastAsia="宋体" w:cs="Times New Roman"/>
          <w:color w:val="000000" w:themeColor="text1"/>
          <w14:textFill>
            <w14:solidFill>
              <w14:schemeClr w14:val="tx1"/>
            </w14:solidFill>
          </w14:textFill>
        </w:rPr>
      </w:pPr>
    </w:p>
    <w:p w14:paraId="3D40F563">
      <w:pPr>
        <w:spacing w:line="360" w:lineRule="auto"/>
        <w:jc w:val="right"/>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投标人：</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0012A784">
      <w:pPr>
        <w:spacing w:line="360" w:lineRule="auto"/>
        <w:jc w:val="right"/>
        <w:rPr>
          <w:rFonts w:ascii="宋体" w:hAnsi="宋体" w:eastAsia="宋体"/>
          <w:color w:val="000000" w:themeColor="text1"/>
          <w14:textFill>
            <w14:solidFill>
              <w14:schemeClr w14:val="tx1"/>
            </w14:solidFill>
          </w14:textFill>
        </w:rPr>
      </w:pPr>
    </w:p>
    <w:p w14:paraId="66B1308B">
      <w:pPr>
        <w:wordWrap w:val="0"/>
        <w:spacing w:line="360" w:lineRule="auto"/>
        <w:ind w:firstLine="420" w:firstLineChars="200"/>
        <w:jc w:val="right"/>
        <w:rPr>
          <w:rFonts w:ascii="宋体" w:hAnsi="宋体" w:eastAsia="宋体" w:cs="Times New Roman"/>
          <w:color w:val="000000" w:themeColor="text1"/>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36A02A2D">
      <w:pPr>
        <w:spacing w:line="360" w:lineRule="auto"/>
        <w:rPr>
          <w:rFonts w:ascii="宋体" w:hAnsi="宋体" w:eastAsia="宋体" w:cs="Times New Roman"/>
          <w:color w:val="000000" w:themeColor="text1"/>
          <w14:textFill>
            <w14:solidFill>
              <w14:schemeClr w14:val="tx1"/>
            </w14:solidFill>
          </w14:textFill>
        </w:rPr>
      </w:pPr>
    </w:p>
    <w:p w14:paraId="397ED41E">
      <w:pPr>
        <w:spacing w:line="360" w:lineRule="auto"/>
        <w:rPr>
          <w:rFonts w:ascii="宋体" w:hAnsi="宋体" w:eastAsia="宋体" w:cs="Times New Roman"/>
          <w:color w:val="000000" w:themeColor="text1"/>
          <w14:textFill>
            <w14:solidFill>
              <w14:schemeClr w14:val="tx1"/>
            </w14:solidFill>
          </w14:textFill>
        </w:rPr>
      </w:pPr>
    </w:p>
    <w:p w14:paraId="519C5F96">
      <w:pPr>
        <w:spacing w:line="360" w:lineRule="auto"/>
        <w:rPr>
          <w:rFonts w:ascii="宋体" w:hAnsi="宋体" w:eastAsia="宋体" w:cs="Times New Roman"/>
          <w:color w:val="000000" w:themeColor="text1"/>
          <w14:textFill>
            <w14:solidFill>
              <w14:schemeClr w14:val="tx1"/>
            </w14:solidFill>
          </w14:textFill>
        </w:rPr>
      </w:pPr>
    </w:p>
    <w:p w14:paraId="770BCB6A">
      <w:pPr>
        <w:spacing w:line="360" w:lineRule="auto"/>
        <w:jc w:val="center"/>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br w:type="page"/>
      </w:r>
      <w:r>
        <w:rPr>
          <w:rFonts w:hint="eastAsia" w:ascii="宋体" w:hAnsi="宋体" w:eastAsia="宋体" w:cs="宋体"/>
          <w:color w:val="000000" w:themeColor="text1"/>
          <w14:textFill>
            <w14:solidFill>
              <w14:schemeClr w14:val="tx1"/>
            </w14:solidFill>
          </w14:textFill>
        </w:rPr>
        <w:t>（二）授权委托书</w:t>
      </w:r>
    </w:p>
    <w:p w14:paraId="1A879E1E">
      <w:pPr>
        <w:spacing w:line="360" w:lineRule="auto"/>
        <w:rPr>
          <w:rFonts w:ascii="宋体" w:hAnsi="宋体" w:eastAsia="宋体" w:cs="Times New Roman"/>
          <w:color w:val="000000" w:themeColor="text1"/>
          <w14:textFill>
            <w14:solidFill>
              <w14:schemeClr w14:val="tx1"/>
            </w14:solidFill>
          </w14:textFill>
        </w:rPr>
      </w:pPr>
    </w:p>
    <w:p w14:paraId="5FC99B1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本人</w:t>
      </w:r>
      <w:r>
        <w:rPr>
          <w:rFonts w:hint="eastAsia" w:ascii="宋体" w:hAnsi="宋体" w:eastAsia="宋体" w:cs="宋体"/>
          <w:color w:val="000000" w:themeColor="text1"/>
          <w:u w:val="single"/>
          <w14:textFill>
            <w14:solidFill>
              <w14:schemeClr w14:val="tx1"/>
            </w14:solidFill>
          </w14:textFill>
        </w:rPr>
        <w:t>（姓名）</w:t>
      </w:r>
      <w:r>
        <w:rPr>
          <w:rFonts w:hint="eastAsia" w:ascii="宋体" w:hAnsi="宋体" w:eastAsia="宋体" w:cs="宋体"/>
          <w:color w:val="000000" w:themeColor="text1"/>
          <w14:textFill>
            <w14:solidFill>
              <w14:schemeClr w14:val="tx1"/>
            </w14:solidFill>
          </w14:textFill>
        </w:rPr>
        <w:t>系</w:t>
      </w:r>
      <w:r>
        <w:rPr>
          <w:rFonts w:hint="eastAsia" w:ascii="宋体" w:hAnsi="宋体" w:eastAsia="宋体" w:cs="宋体"/>
          <w:color w:val="000000" w:themeColor="text1"/>
          <w:u w:val="single"/>
          <w14:textFill>
            <w14:solidFill>
              <w14:schemeClr w14:val="tx1"/>
            </w14:solidFill>
          </w14:textFill>
        </w:rPr>
        <w:t>（投标人名称）</w:t>
      </w:r>
      <w:r>
        <w:rPr>
          <w:rFonts w:hint="eastAsia" w:ascii="宋体" w:hAnsi="宋体" w:eastAsia="宋体" w:cs="宋体"/>
          <w:color w:val="000000" w:themeColor="text1"/>
          <w14:textFill>
            <w14:solidFill>
              <w14:schemeClr w14:val="tx1"/>
            </w14:solidFill>
          </w14:textFill>
        </w:rPr>
        <w:t>的法定代表人（单位负责人），现委托</w:t>
      </w:r>
      <w:r>
        <w:rPr>
          <w:rFonts w:hint="eastAsia" w:ascii="宋体" w:hAnsi="宋体" w:eastAsia="宋体" w:cs="宋体"/>
          <w:color w:val="000000" w:themeColor="text1"/>
          <w:u w:val="single"/>
          <w14:textFill>
            <w14:solidFill>
              <w14:schemeClr w14:val="tx1"/>
            </w14:solidFill>
          </w14:textFill>
        </w:rPr>
        <w:t>（姓名）</w:t>
      </w:r>
      <w:r>
        <w:rPr>
          <w:rFonts w:hint="eastAsia" w:ascii="宋体" w:hAnsi="宋体" w:eastAsia="宋体" w:cs="宋体"/>
          <w:color w:val="000000" w:themeColor="text1"/>
          <w14:textFill>
            <w14:solidFill>
              <w14:schemeClr w14:val="tx1"/>
            </w14:solidFill>
          </w14:textFill>
        </w:rPr>
        <w:t>为我方代理人。代理人根据授权，以我方名义签署、澄清确认、递交、撤回、修改</w:t>
      </w:r>
      <w:r>
        <w:rPr>
          <w:rFonts w:hint="eastAsia" w:ascii="宋体" w:hAnsi="宋体" w:eastAsia="宋体" w:cs="宋体"/>
          <w:color w:val="000000" w:themeColor="text1"/>
          <w:u w:val="single"/>
          <w14:textFill>
            <w14:solidFill>
              <w14:schemeClr w14:val="tx1"/>
            </w14:solidFill>
          </w14:textFill>
        </w:rPr>
        <w:t>（项目名称）</w:t>
      </w:r>
      <w:r>
        <w:rPr>
          <w:rFonts w:hint="eastAsia" w:ascii="宋体" w:hAnsi="宋体" w:eastAsia="宋体" w:cs="宋体"/>
          <w:color w:val="000000" w:themeColor="text1"/>
          <w14:textFill>
            <w14:solidFill>
              <w14:schemeClr w14:val="tx1"/>
            </w14:solidFill>
          </w14:textFill>
        </w:rPr>
        <w:t>投标文件、签订合同和处理有关事宜，其法律后果由我方承担。</w:t>
      </w:r>
    </w:p>
    <w:p w14:paraId="544EE7E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委托期限：自本委托书签署之日起至</w:t>
      </w:r>
      <w:r>
        <w:rPr>
          <w:rFonts w:hint="eastAsia" w:ascii="宋体" w:hAnsi="宋体" w:eastAsia="宋体" w:cs="宋体"/>
          <w:color w:val="000000" w:themeColor="text1"/>
          <w:u w:val="single"/>
          <w14:textFill>
            <w14:solidFill>
              <w14:schemeClr w14:val="tx1"/>
            </w14:solidFill>
          </w14:textFill>
        </w:rPr>
        <w:t>（项目名称）</w:t>
      </w:r>
      <w:r>
        <w:rPr>
          <w:rFonts w:hint="eastAsia" w:ascii="宋体" w:hAnsi="宋体" w:eastAsia="宋体" w:cs="宋体"/>
          <w:color w:val="000000" w:themeColor="text1"/>
          <w14:textFill>
            <w14:solidFill>
              <w14:schemeClr w14:val="tx1"/>
            </w14:solidFill>
          </w14:textFill>
        </w:rPr>
        <w:t>签订采购合同之日止。</w:t>
      </w:r>
    </w:p>
    <w:p w14:paraId="7222F44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代理人无转委托权。</w:t>
      </w:r>
    </w:p>
    <w:p w14:paraId="42037CC6">
      <w:pPr>
        <w:spacing w:line="360" w:lineRule="auto"/>
        <w:ind w:firstLine="420" w:firstLineChars="200"/>
        <w:rPr>
          <w:rFonts w:ascii="宋体" w:hAnsi="宋体" w:eastAsia="宋体" w:cs="Times New Roman"/>
          <w:color w:val="000000" w:themeColor="text1"/>
          <w14:textFill>
            <w14:solidFill>
              <w14:schemeClr w14:val="tx1"/>
            </w14:solidFill>
          </w14:textFill>
        </w:rPr>
      </w:pPr>
    </w:p>
    <w:p w14:paraId="1AD69E5C">
      <w:pPr>
        <w:spacing w:line="360" w:lineRule="auto"/>
        <w:ind w:firstLine="420" w:firstLineChars="200"/>
        <w:rPr>
          <w:rFonts w:ascii="宋体" w:hAnsi="宋体" w:eastAsia="宋体" w:cs="Times New Roman"/>
          <w:color w:val="000000" w:themeColor="text1"/>
          <w14:textFill>
            <w14:solidFill>
              <w14:schemeClr w14:val="tx1"/>
            </w14:solidFill>
          </w14:textFill>
        </w:rPr>
      </w:pPr>
    </w:p>
    <w:p w14:paraId="3685EE8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附：委托代理人身份证扫描件。</w:t>
      </w:r>
    </w:p>
    <w:p w14:paraId="4B1BEF2E">
      <w:pPr>
        <w:spacing w:line="360" w:lineRule="auto"/>
        <w:rPr>
          <w:rFonts w:ascii="宋体" w:hAnsi="宋体" w:eastAsia="宋体" w:cs="Times New Roman"/>
          <w:color w:val="000000" w:themeColor="text1"/>
          <w14:textFill>
            <w14:solidFill>
              <w14:schemeClr w14:val="tx1"/>
            </w14:solidFill>
          </w14:textFill>
        </w:rPr>
      </w:pPr>
    </w:p>
    <w:p w14:paraId="09B39E84">
      <w:pPr>
        <w:spacing w:line="360" w:lineRule="auto"/>
        <w:rPr>
          <w:rFonts w:ascii="宋体" w:hAnsi="宋体" w:eastAsia="宋体" w:cs="Times New Roman"/>
          <w:color w:val="000000" w:themeColor="text1"/>
          <w14:textFill>
            <w14:solidFill>
              <w14:schemeClr w14:val="tx1"/>
            </w14:solidFill>
          </w14:textFill>
        </w:rPr>
      </w:pPr>
    </w:p>
    <w:p w14:paraId="4AD4E985">
      <w:pPr>
        <w:spacing w:line="360" w:lineRule="auto"/>
        <w:rPr>
          <w:rFonts w:ascii="宋体" w:hAnsi="宋体" w:eastAsia="宋体" w:cs="Times New Roman"/>
          <w:color w:val="000000" w:themeColor="text1"/>
          <w14:textFill>
            <w14:solidFill>
              <w14:schemeClr w14:val="tx1"/>
            </w14:solidFill>
          </w14:textFill>
        </w:rPr>
      </w:pPr>
    </w:p>
    <w:p w14:paraId="650F7CAA">
      <w:pPr>
        <w:spacing w:line="360" w:lineRule="auto"/>
        <w:rPr>
          <w:rFonts w:ascii="宋体" w:hAnsi="宋体" w:eastAsia="宋体" w:cs="Times New Roman"/>
          <w:color w:val="000000" w:themeColor="text1"/>
          <w14:textFill>
            <w14:solidFill>
              <w14:schemeClr w14:val="tx1"/>
            </w14:solidFill>
          </w14:textFill>
        </w:rPr>
      </w:pPr>
    </w:p>
    <w:p w14:paraId="1E2E6E6F">
      <w:pPr>
        <w:spacing w:line="360" w:lineRule="auto"/>
        <w:rPr>
          <w:rFonts w:ascii="宋体" w:hAnsi="宋体" w:eastAsia="宋体" w:cs="Times New Roman"/>
          <w:color w:val="000000" w:themeColor="text1"/>
          <w14:textFill>
            <w14:solidFill>
              <w14:schemeClr w14:val="tx1"/>
            </w14:solidFill>
          </w14:textFill>
        </w:rPr>
      </w:pPr>
    </w:p>
    <w:p w14:paraId="764F68A5">
      <w:pPr>
        <w:spacing w:line="360" w:lineRule="auto"/>
        <w:rPr>
          <w:rFonts w:ascii="宋体" w:hAnsi="宋体" w:eastAsia="宋体" w:cs="Times New Roman"/>
          <w:color w:val="000000" w:themeColor="text1"/>
          <w14:textFill>
            <w14:solidFill>
              <w14:schemeClr w14:val="tx1"/>
            </w14:solidFill>
          </w14:textFill>
        </w:rPr>
      </w:pPr>
    </w:p>
    <w:p w14:paraId="5F6E775A">
      <w:pPr>
        <w:spacing w:line="360" w:lineRule="auto"/>
        <w:rPr>
          <w:rFonts w:ascii="宋体" w:hAnsi="宋体" w:eastAsia="宋体" w:cs="Times New Roman"/>
          <w:color w:val="000000" w:themeColor="text1"/>
          <w14:textFill>
            <w14:solidFill>
              <w14:schemeClr w14:val="tx1"/>
            </w14:solidFill>
          </w14:textFill>
        </w:rPr>
      </w:pPr>
    </w:p>
    <w:p w14:paraId="2BE5A9D0">
      <w:pPr>
        <w:spacing w:line="360" w:lineRule="auto"/>
        <w:rPr>
          <w:rFonts w:ascii="宋体" w:hAnsi="宋体" w:eastAsia="宋体" w:cs="Times New Roman"/>
          <w:color w:val="000000" w:themeColor="text1"/>
          <w14:textFill>
            <w14:solidFill>
              <w14:schemeClr w14:val="tx1"/>
            </w14:solidFill>
          </w14:textFill>
        </w:rPr>
      </w:pPr>
    </w:p>
    <w:p w14:paraId="24B05C8B">
      <w:pPr>
        <w:spacing w:line="360" w:lineRule="auto"/>
        <w:jc w:val="center"/>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投标人：</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1CDAFB04">
      <w:pPr>
        <w:wordWrap w:val="0"/>
        <w:spacing w:line="360" w:lineRule="auto"/>
        <w:jc w:val="right"/>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法定代表人（单位负责人）：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r>
        <w:rPr>
          <w:rFonts w:hint="eastAsia" w:ascii="宋体" w:hAnsi="宋体" w:eastAsia="宋体"/>
          <w:color w:val="000000" w:themeColor="text1"/>
          <w:u w:val="single"/>
          <w:lang w:val="en-US" w:eastAsia="zh-CN"/>
          <w14:textFill>
            <w14:solidFill>
              <w14:schemeClr w14:val="tx1"/>
            </w14:solidFill>
          </w14:textFill>
        </w:rPr>
        <w:t>或电子签字</w:t>
      </w:r>
      <w:r>
        <w:rPr>
          <w:rFonts w:hint="eastAsia" w:ascii="宋体" w:hAnsi="宋体" w:eastAsia="宋体"/>
          <w:color w:val="000000" w:themeColor="text1"/>
          <w:u w:val="single"/>
          <w14:textFill>
            <w14:solidFill>
              <w14:schemeClr w14:val="tx1"/>
            </w14:solidFill>
          </w14:textFill>
        </w:rPr>
        <w:t>）</w:t>
      </w:r>
    </w:p>
    <w:p w14:paraId="17DC9CFA">
      <w:pPr>
        <w:wordWrap w:val="0"/>
        <w:spacing w:line="360" w:lineRule="auto"/>
        <w:jc w:val="center"/>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身份证号码：</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057ED21B">
      <w:pPr>
        <w:wordWrap w:val="0"/>
        <w:spacing w:line="360" w:lineRule="auto"/>
        <w:jc w:val="center"/>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委托代理人：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r>
        <w:rPr>
          <w:rFonts w:hint="eastAsia" w:ascii="宋体" w:hAnsi="宋体" w:eastAsia="宋体"/>
          <w:color w:val="000000" w:themeColor="text1"/>
          <w:u w:val="single"/>
          <w:lang w:val="en-US" w:eastAsia="zh-CN"/>
          <w14:textFill>
            <w14:solidFill>
              <w14:schemeClr w14:val="tx1"/>
            </w14:solidFill>
          </w14:textFill>
        </w:rPr>
        <w:t>或电子签字</w:t>
      </w:r>
      <w:r>
        <w:rPr>
          <w:rFonts w:hint="eastAsia" w:ascii="宋体" w:hAnsi="宋体" w:eastAsia="宋体"/>
          <w:color w:val="000000" w:themeColor="text1"/>
          <w:u w:val="single"/>
          <w14:textFill>
            <w14:solidFill>
              <w14:schemeClr w14:val="tx1"/>
            </w14:solidFill>
          </w14:textFill>
        </w:rPr>
        <w:t>）</w:t>
      </w:r>
    </w:p>
    <w:p w14:paraId="6D4EFA85">
      <w:pPr>
        <w:wordWrap w:val="0"/>
        <w:spacing w:line="360" w:lineRule="auto"/>
        <w:ind w:firstLine="4830" w:firstLineChars="2300"/>
        <w:jc w:val="both"/>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身份证号码：</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09EDC0AC">
      <w:pPr>
        <w:spacing w:line="360" w:lineRule="auto"/>
        <w:jc w:val="right"/>
        <w:rPr>
          <w:rFonts w:ascii="宋体" w:hAnsi="宋体" w:eastAsia="宋体"/>
          <w:color w:val="000000" w:themeColor="text1"/>
          <w14:textFill>
            <w14:solidFill>
              <w14:schemeClr w14:val="tx1"/>
            </w14:solidFill>
          </w14:textFill>
        </w:rPr>
      </w:pPr>
    </w:p>
    <w:p w14:paraId="01053FCF">
      <w:pPr>
        <w:wordWrap w:val="0"/>
        <w:spacing w:line="360" w:lineRule="auto"/>
        <w:ind w:firstLine="420" w:firstLineChars="200"/>
        <w:jc w:val="right"/>
        <w:rPr>
          <w:rFonts w:ascii="宋体" w:hAnsi="宋体" w:eastAsia="宋体" w:cs="Times New Roman"/>
          <w:color w:val="000000" w:themeColor="text1"/>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416D99F4">
      <w:pPr>
        <w:spacing w:line="360" w:lineRule="auto"/>
        <w:rPr>
          <w:rFonts w:ascii="宋体" w:hAnsi="宋体" w:eastAsia="宋体" w:cs="Times New Roman"/>
          <w:color w:val="000000" w:themeColor="text1"/>
          <w14:textFill>
            <w14:solidFill>
              <w14:schemeClr w14:val="tx1"/>
            </w14:solidFill>
          </w14:textFill>
        </w:rPr>
      </w:pPr>
    </w:p>
    <w:p w14:paraId="24B7F07F">
      <w:pPr>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注：无授权委托的无需提供。</w:t>
      </w:r>
    </w:p>
    <w:p w14:paraId="3F9208AF">
      <w:pPr>
        <w:spacing w:line="360" w:lineRule="auto"/>
        <w:rPr>
          <w:rFonts w:ascii="宋体" w:hAnsi="宋体" w:eastAsia="宋体" w:cs="Times New Roman"/>
          <w:color w:val="000000" w:themeColor="text1"/>
          <w14:textFill>
            <w14:solidFill>
              <w14:schemeClr w14:val="tx1"/>
            </w14:solidFill>
          </w14:textFill>
        </w:rPr>
      </w:pPr>
    </w:p>
    <w:p w14:paraId="60640587">
      <w:pPr>
        <w:spacing w:line="360" w:lineRule="auto"/>
        <w:rPr>
          <w:rFonts w:ascii="宋体" w:hAnsi="宋体" w:eastAsia="宋体" w:cs="Times New Roman"/>
          <w:color w:val="000000" w:themeColor="text1"/>
          <w14:textFill>
            <w14:solidFill>
              <w14:schemeClr w14:val="tx1"/>
            </w14:solidFill>
          </w14:textFill>
        </w:rPr>
      </w:pPr>
    </w:p>
    <w:p w14:paraId="514E6976">
      <w:pPr>
        <w:spacing w:line="360" w:lineRule="auto"/>
        <w:jc w:val="center"/>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p>
    <w:p w14:paraId="3EF4DCA8">
      <w:pPr>
        <w:pStyle w:val="4"/>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eastAsia="宋体" w:cs="宋体"/>
          <w:color w:val="000000" w:themeColor="text1"/>
          <w:sz w:val="21"/>
          <w:szCs w:val="21"/>
          <w14:textFill>
            <w14:solidFill>
              <w14:schemeClr w14:val="tx1"/>
            </w14:solidFill>
          </w14:textFill>
        </w:rPr>
      </w:pPr>
      <w:bookmarkStart w:id="648" w:name="_Toc164432973"/>
      <w:bookmarkStart w:id="649" w:name="_Toc107396249"/>
      <w:bookmarkStart w:id="650" w:name="_Toc77116722"/>
      <w:bookmarkStart w:id="651" w:name="_Toc77504120"/>
      <w:bookmarkStart w:id="652" w:name="_Toc17820"/>
      <w:bookmarkStart w:id="653" w:name="_Toc77658130"/>
      <w:bookmarkStart w:id="654" w:name="_Toc70424905"/>
      <w:bookmarkStart w:id="655" w:name="_Toc120282477"/>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、商务偏差表</w:t>
      </w:r>
      <w:bookmarkEnd w:id="648"/>
      <w:bookmarkEnd w:id="649"/>
      <w:bookmarkEnd w:id="650"/>
      <w:bookmarkEnd w:id="651"/>
      <w:bookmarkEnd w:id="652"/>
      <w:bookmarkEnd w:id="653"/>
      <w:bookmarkEnd w:id="654"/>
      <w:bookmarkEnd w:id="655"/>
    </w:p>
    <w:p w14:paraId="52C1DECA">
      <w:pPr>
        <w:spacing w:line="360" w:lineRule="auto"/>
        <w:rPr>
          <w:rFonts w:ascii="宋体" w:hAnsi="宋体" w:eastAsia="宋体" w:cs="Times New Roman"/>
          <w:color w:val="000000" w:themeColor="text1"/>
          <w14:textFill>
            <w14:solidFill>
              <w14:schemeClr w14:val="tx1"/>
            </w14:solidFill>
          </w14:textFill>
        </w:rPr>
      </w:pPr>
    </w:p>
    <w:tbl>
      <w:tblPr>
        <w:tblStyle w:val="42"/>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1"/>
        <w:gridCol w:w="2552"/>
        <w:gridCol w:w="3565"/>
      </w:tblGrid>
      <w:tr w14:paraId="3F0F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28CC957">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2551" w:type="dxa"/>
            <w:vAlign w:val="center"/>
          </w:tcPr>
          <w:p w14:paraId="1E150645">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招标文件章节及条款号</w:t>
            </w:r>
          </w:p>
        </w:tc>
        <w:tc>
          <w:tcPr>
            <w:tcW w:w="2552" w:type="dxa"/>
            <w:vAlign w:val="center"/>
          </w:tcPr>
          <w:p w14:paraId="279E3BB1">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投标文件章节及条款号</w:t>
            </w:r>
          </w:p>
        </w:tc>
        <w:tc>
          <w:tcPr>
            <w:tcW w:w="3565" w:type="dxa"/>
            <w:vAlign w:val="center"/>
          </w:tcPr>
          <w:p w14:paraId="7C64B8BC">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偏差说明</w:t>
            </w:r>
          </w:p>
        </w:tc>
      </w:tr>
      <w:tr w14:paraId="4D10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18716E8">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p>
        </w:tc>
        <w:tc>
          <w:tcPr>
            <w:tcW w:w="2551" w:type="dxa"/>
            <w:vAlign w:val="center"/>
          </w:tcPr>
          <w:p w14:paraId="16869A8D">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552" w:type="dxa"/>
            <w:vAlign w:val="center"/>
          </w:tcPr>
          <w:p w14:paraId="44E3C5A6">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3565" w:type="dxa"/>
            <w:vAlign w:val="center"/>
          </w:tcPr>
          <w:p w14:paraId="71225482">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3B36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D389256">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p>
        </w:tc>
        <w:tc>
          <w:tcPr>
            <w:tcW w:w="2551" w:type="dxa"/>
            <w:vAlign w:val="center"/>
          </w:tcPr>
          <w:p w14:paraId="1E52A48B">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552" w:type="dxa"/>
            <w:vAlign w:val="center"/>
          </w:tcPr>
          <w:p w14:paraId="637F1DEB">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3565" w:type="dxa"/>
            <w:vAlign w:val="center"/>
          </w:tcPr>
          <w:p w14:paraId="1EABADC5">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3A16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57E74BD">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p>
        </w:tc>
        <w:tc>
          <w:tcPr>
            <w:tcW w:w="2551" w:type="dxa"/>
            <w:vAlign w:val="center"/>
          </w:tcPr>
          <w:p w14:paraId="7F513393">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552" w:type="dxa"/>
            <w:vAlign w:val="center"/>
          </w:tcPr>
          <w:p w14:paraId="69348217">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3565" w:type="dxa"/>
            <w:vAlign w:val="center"/>
          </w:tcPr>
          <w:p w14:paraId="1E6F9795">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5C8AC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A95CAC5">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w:t>
            </w:r>
          </w:p>
        </w:tc>
        <w:tc>
          <w:tcPr>
            <w:tcW w:w="2551" w:type="dxa"/>
            <w:vAlign w:val="center"/>
          </w:tcPr>
          <w:p w14:paraId="7F90999D">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552" w:type="dxa"/>
            <w:vAlign w:val="center"/>
          </w:tcPr>
          <w:p w14:paraId="6962291F">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3565" w:type="dxa"/>
            <w:vAlign w:val="center"/>
          </w:tcPr>
          <w:p w14:paraId="75D08BA9">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2014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2FABDB5">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p>
        </w:tc>
        <w:tc>
          <w:tcPr>
            <w:tcW w:w="2551" w:type="dxa"/>
            <w:vAlign w:val="center"/>
          </w:tcPr>
          <w:p w14:paraId="784CAAE8">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552" w:type="dxa"/>
            <w:vAlign w:val="center"/>
          </w:tcPr>
          <w:p w14:paraId="30458489">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3565" w:type="dxa"/>
            <w:vAlign w:val="center"/>
          </w:tcPr>
          <w:p w14:paraId="75FA5827">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39A1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95400A4">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2551" w:type="dxa"/>
            <w:vAlign w:val="center"/>
          </w:tcPr>
          <w:p w14:paraId="06A96E8B">
            <w:pPr>
              <w:spacing w:before="120" w:beforeLines="50" w:line="360" w:lineRule="auto"/>
              <w:jc w:val="center"/>
              <w:rPr>
                <w:rFonts w:ascii="宋体" w:hAnsi="宋体" w:eastAsia="宋体" w:cs="Times New Roman"/>
                <w:color w:val="000000" w:themeColor="text1"/>
                <w14:textFill>
                  <w14:solidFill>
                    <w14:schemeClr w14:val="tx1"/>
                  </w14:solidFill>
                </w14:textFill>
              </w:rPr>
            </w:pPr>
          </w:p>
        </w:tc>
        <w:tc>
          <w:tcPr>
            <w:tcW w:w="2552" w:type="dxa"/>
            <w:vAlign w:val="center"/>
          </w:tcPr>
          <w:p w14:paraId="2D02919B">
            <w:pPr>
              <w:spacing w:before="120" w:beforeLines="50" w:line="360" w:lineRule="auto"/>
              <w:jc w:val="center"/>
              <w:rPr>
                <w:rFonts w:ascii="宋体" w:hAnsi="宋体" w:eastAsia="宋体" w:cs="Times New Roman"/>
                <w:color w:val="000000" w:themeColor="text1"/>
                <w14:textFill>
                  <w14:solidFill>
                    <w14:schemeClr w14:val="tx1"/>
                  </w14:solidFill>
                </w14:textFill>
              </w:rPr>
            </w:pPr>
          </w:p>
        </w:tc>
        <w:tc>
          <w:tcPr>
            <w:tcW w:w="3565" w:type="dxa"/>
            <w:vAlign w:val="center"/>
          </w:tcPr>
          <w:p w14:paraId="5698A93F">
            <w:pPr>
              <w:spacing w:before="120" w:beforeLines="50" w:line="360" w:lineRule="auto"/>
              <w:jc w:val="center"/>
              <w:rPr>
                <w:rFonts w:ascii="宋体" w:hAnsi="宋体" w:eastAsia="宋体" w:cs="Times New Roman"/>
                <w:color w:val="000000" w:themeColor="text1"/>
                <w14:textFill>
                  <w14:solidFill>
                    <w14:schemeClr w14:val="tx1"/>
                  </w14:solidFill>
                </w14:textFill>
              </w:rPr>
            </w:pPr>
          </w:p>
        </w:tc>
      </w:tr>
    </w:tbl>
    <w:p w14:paraId="09F94E98">
      <w:pPr>
        <w:spacing w:line="360" w:lineRule="auto"/>
        <w:rPr>
          <w:rFonts w:ascii="宋体" w:hAnsi="宋体" w:eastAsia="宋体" w:cs="Times New Roman"/>
          <w:color w:val="000000" w:themeColor="text1"/>
          <w14:textFill>
            <w14:solidFill>
              <w14:schemeClr w14:val="tx1"/>
            </w14:solidFill>
          </w14:textFill>
        </w:rPr>
      </w:pPr>
    </w:p>
    <w:p w14:paraId="3C48C0A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投标人保证：除商务条款偏差表列出的偏差外，投标人响应招标文件的全部要求。</w:t>
      </w:r>
    </w:p>
    <w:p w14:paraId="4E13EA03">
      <w:pPr>
        <w:spacing w:line="360" w:lineRule="auto"/>
        <w:rPr>
          <w:rFonts w:ascii="宋体" w:hAnsi="宋体" w:eastAsia="宋体" w:cs="Times New Roman"/>
          <w:color w:val="000000" w:themeColor="text1"/>
          <w14:textFill>
            <w14:solidFill>
              <w14:schemeClr w14:val="tx1"/>
            </w14:solidFill>
          </w14:textFill>
        </w:rPr>
      </w:pPr>
    </w:p>
    <w:p w14:paraId="6D054E07">
      <w:pPr>
        <w:spacing w:line="360" w:lineRule="auto"/>
        <w:jc w:val="center"/>
        <w:rPr>
          <w:rFonts w:ascii="宋体" w:hAnsi="宋体" w:eastAsia="宋体" w:cs="宋体"/>
          <w:color w:val="000000" w:themeColor="text1"/>
          <w14:textFill>
            <w14:solidFill>
              <w14:schemeClr w14:val="tx1"/>
            </w14:solidFill>
          </w14:textFill>
        </w:rPr>
      </w:pPr>
      <w:bookmarkStart w:id="656" w:name="_Hlk167351804"/>
      <w:r>
        <w:rPr>
          <w:rFonts w:ascii="宋体" w:hAnsi="宋体" w:eastAsia="宋体" w:cs="宋体"/>
          <w:color w:val="000000" w:themeColor="text1"/>
          <w14:textFill>
            <w14:solidFill>
              <w14:schemeClr w14:val="tx1"/>
            </w14:solidFill>
          </w14:textFill>
        </w:rPr>
        <w:br w:type="page"/>
      </w:r>
    </w:p>
    <w:p w14:paraId="7F8F53AE">
      <w:pPr>
        <w:pStyle w:val="4"/>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技术规格偏差表</w:t>
      </w:r>
    </w:p>
    <w:tbl>
      <w:tblPr>
        <w:tblStyle w:val="42"/>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207"/>
        <w:gridCol w:w="2268"/>
        <w:gridCol w:w="2268"/>
        <w:gridCol w:w="2951"/>
      </w:tblGrid>
      <w:tr w14:paraId="44339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88A4534">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207" w:type="dxa"/>
            <w:vAlign w:val="center"/>
          </w:tcPr>
          <w:p w14:paraId="2B8DB3A2">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产品</w:t>
            </w:r>
            <w:r>
              <w:rPr>
                <w:rFonts w:hint="eastAsia" w:ascii="宋体" w:hAnsi="宋体" w:eastAsia="宋体" w:cs="宋体"/>
                <w:color w:val="000000" w:themeColor="text1"/>
                <w14:textFill>
                  <w14:solidFill>
                    <w14:schemeClr w14:val="tx1"/>
                  </w14:solidFill>
                </w14:textFill>
              </w:rPr>
              <w:t>名称</w:t>
            </w:r>
          </w:p>
        </w:tc>
        <w:tc>
          <w:tcPr>
            <w:tcW w:w="2268" w:type="dxa"/>
          </w:tcPr>
          <w:p w14:paraId="76311C39">
            <w:pPr>
              <w:spacing w:before="120" w:beforeLines="50"/>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招标文件技术</w:t>
            </w:r>
          </w:p>
          <w:p w14:paraId="5514B6C2">
            <w:pPr>
              <w:spacing w:before="120" w:beforeLines="50"/>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参数要求</w:t>
            </w:r>
          </w:p>
        </w:tc>
        <w:tc>
          <w:tcPr>
            <w:tcW w:w="2268" w:type="dxa"/>
            <w:vAlign w:val="center"/>
          </w:tcPr>
          <w:p w14:paraId="16B41AA7">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投标产品的品牌、型号、技术参数及配置</w:t>
            </w:r>
          </w:p>
        </w:tc>
        <w:tc>
          <w:tcPr>
            <w:tcW w:w="2951" w:type="dxa"/>
            <w:vAlign w:val="center"/>
          </w:tcPr>
          <w:p w14:paraId="166F3AE8">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偏差说明</w:t>
            </w:r>
          </w:p>
        </w:tc>
      </w:tr>
      <w:tr w14:paraId="423E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B800364">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p>
        </w:tc>
        <w:tc>
          <w:tcPr>
            <w:tcW w:w="1207" w:type="dxa"/>
            <w:vAlign w:val="center"/>
          </w:tcPr>
          <w:p w14:paraId="490EB844">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tcPr>
          <w:p w14:paraId="54BFF799">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vAlign w:val="center"/>
          </w:tcPr>
          <w:p w14:paraId="638A7BD3">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951" w:type="dxa"/>
            <w:vAlign w:val="center"/>
          </w:tcPr>
          <w:p w14:paraId="52BD4649">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4E5B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6A8E95DD">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p>
        </w:tc>
        <w:tc>
          <w:tcPr>
            <w:tcW w:w="1207" w:type="dxa"/>
            <w:vAlign w:val="center"/>
          </w:tcPr>
          <w:p w14:paraId="7B183465">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tcPr>
          <w:p w14:paraId="6A9F0338">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vAlign w:val="center"/>
          </w:tcPr>
          <w:p w14:paraId="714B7759">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951" w:type="dxa"/>
            <w:vAlign w:val="center"/>
          </w:tcPr>
          <w:p w14:paraId="772E82C5">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30AB1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0E439CC">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p>
        </w:tc>
        <w:tc>
          <w:tcPr>
            <w:tcW w:w="1207" w:type="dxa"/>
            <w:vAlign w:val="center"/>
          </w:tcPr>
          <w:p w14:paraId="3E8A16FC">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tcPr>
          <w:p w14:paraId="52A08D26">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vAlign w:val="center"/>
          </w:tcPr>
          <w:p w14:paraId="7453CF35">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951" w:type="dxa"/>
            <w:vAlign w:val="center"/>
          </w:tcPr>
          <w:p w14:paraId="4E410D61">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0340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2E7B0749">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w:t>
            </w:r>
          </w:p>
        </w:tc>
        <w:tc>
          <w:tcPr>
            <w:tcW w:w="1207" w:type="dxa"/>
            <w:vAlign w:val="center"/>
          </w:tcPr>
          <w:p w14:paraId="40D34553">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tcPr>
          <w:p w14:paraId="041757C6">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vAlign w:val="center"/>
          </w:tcPr>
          <w:p w14:paraId="0E8EF982">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951" w:type="dxa"/>
            <w:vAlign w:val="center"/>
          </w:tcPr>
          <w:p w14:paraId="1E06BB02">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1DD5D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6EBD9D32">
            <w:pPr>
              <w:spacing w:before="120" w:beforeLines="50" w:line="360" w:lineRule="auto"/>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p>
        </w:tc>
        <w:tc>
          <w:tcPr>
            <w:tcW w:w="1207" w:type="dxa"/>
            <w:vAlign w:val="center"/>
          </w:tcPr>
          <w:p w14:paraId="7B447D2D">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tcPr>
          <w:p w14:paraId="0D831B6A">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268" w:type="dxa"/>
            <w:vAlign w:val="center"/>
          </w:tcPr>
          <w:p w14:paraId="79BF72EB">
            <w:pPr>
              <w:spacing w:before="120" w:beforeLines="50" w:line="360" w:lineRule="auto"/>
              <w:jc w:val="center"/>
              <w:rPr>
                <w:rFonts w:ascii="宋体" w:hAnsi="宋体" w:eastAsia="宋体" w:cs="宋体"/>
                <w:color w:val="000000" w:themeColor="text1"/>
                <w14:textFill>
                  <w14:solidFill>
                    <w14:schemeClr w14:val="tx1"/>
                  </w14:solidFill>
                </w14:textFill>
              </w:rPr>
            </w:pPr>
          </w:p>
        </w:tc>
        <w:tc>
          <w:tcPr>
            <w:tcW w:w="2951" w:type="dxa"/>
            <w:vAlign w:val="center"/>
          </w:tcPr>
          <w:p w14:paraId="40A8912A">
            <w:pPr>
              <w:spacing w:before="120" w:beforeLines="50" w:line="360" w:lineRule="auto"/>
              <w:jc w:val="center"/>
              <w:rPr>
                <w:rFonts w:ascii="宋体" w:hAnsi="宋体" w:eastAsia="宋体" w:cs="宋体"/>
                <w:color w:val="000000" w:themeColor="text1"/>
                <w14:textFill>
                  <w14:solidFill>
                    <w14:schemeClr w14:val="tx1"/>
                  </w14:solidFill>
                </w14:textFill>
              </w:rPr>
            </w:pPr>
          </w:p>
        </w:tc>
      </w:tr>
      <w:tr w14:paraId="4FB8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2EF55A3D">
            <w:pPr>
              <w:spacing w:before="120" w:beforeLines="50"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1207" w:type="dxa"/>
            <w:vAlign w:val="center"/>
          </w:tcPr>
          <w:p w14:paraId="15939F11">
            <w:pPr>
              <w:spacing w:before="120" w:beforeLines="50" w:line="360" w:lineRule="auto"/>
              <w:jc w:val="center"/>
              <w:rPr>
                <w:rFonts w:ascii="宋体" w:hAnsi="宋体" w:eastAsia="宋体" w:cs="Times New Roman"/>
                <w:color w:val="000000" w:themeColor="text1"/>
                <w14:textFill>
                  <w14:solidFill>
                    <w14:schemeClr w14:val="tx1"/>
                  </w14:solidFill>
                </w14:textFill>
              </w:rPr>
            </w:pPr>
          </w:p>
        </w:tc>
        <w:tc>
          <w:tcPr>
            <w:tcW w:w="2268" w:type="dxa"/>
          </w:tcPr>
          <w:p w14:paraId="5B4A1EE6">
            <w:pPr>
              <w:spacing w:before="120" w:beforeLines="50" w:line="360" w:lineRule="auto"/>
              <w:jc w:val="center"/>
              <w:rPr>
                <w:rFonts w:ascii="宋体" w:hAnsi="宋体" w:eastAsia="宋体" w:cs="Times New Roman"/>
                <w:color w:val="000000" w:themeColor="text1"/>
                <w14:textFill>
                  <w14:solidFill>
                    <w14:schemeClr w14:val="tx1"/>
                  </w14:solidFill>
                </w14:textFill>
              </w:rPr>
            </w:pPr>
          </w:p>
        </w:tc>
        <w:tc>
          <w:tcPr>
            <w:tcW w:w="2268" w:type="dxa"/>
            <w:vAlign w:val="center"/>
          </w:tcPr>
          <w:p w14:paraId="45904195">
            <w:pPr>
              <w:spacing w:before="120" w:beforeLines="50" w:line="360" w:lineRule="auto"/>
              <w:jc w:val="center"/>
              <w:rPr>
                <w:rFonts w:ascii="宋体" w:hAnsi="宋体" w:eastAsia="宋体" w:cs="Times New Roman"/>
                <w:color w:val="000000" w:themeColor="text1"/>
                <w14:textFill>
                  <w14:solidFill>
                    <w14:schemeClr w14:val="tx1"/>
                  </w14:solidFill>
                </w14:textFill>
              </w:rPr>
            </w:pPr>
          </w:p>
        </w:tc>
        <w:tc>
          <w:tcPr>
            <w:tcW w:w="2951" w:type="dxa"/>
            <w:vAlign w:val="center"/>
          </w:tcPr>
          <w:p w14:paraId="4A30DDC6">
            <w:pPr>
              <w:spacing w:before="120" w:beforeLines="50" w:line="360" w:lineRule="auto"/>
              <w:jc w:val="center"/>
              <w:rPr>
                <w:rFonts w:ascii="宋体" w:hAnsi="宋体" w:eastAsia="宋体" w:cs="Times New Roman"/>
                <w:color w:val="000000" w:themeColor="text1"/>
                <w14:textFill>
                  <w14:solidFill>
                    <w14:schemeClr w14:val="tx1"/>
                  </w14:solidFill>
                </w14:textFill>
              </w:rPr>
            </w:pPr>
          </w:p>
        </w:tc>
      </w:tr>
      <w:bookmarkEnd w:id="656"/>
    </w:tbl>
    <w:p w14:paraId="020ED427">
      <w:pPr>
        <w:spacing w:line="360" w:lineRule="auto"/>
        <w:rPr>
          <w:rFonts w:ascii="宋体" w:hAnsi="宋体" w:eastAsia="宋体" w:cs="Times New Roman"/>
          <w:color w:val="000000" w:themeColor="text1"/>
          <w14:textFill>
            <w14:solidFill>
              <w14:schemeClr w14:val="tx1"/>
            </w14:solidFill>
          </w14:textFill>
        </w:rPr>
      </w:pPr>
    </w:p>
    <w:p w14:paraId="0DED9557">
      <w:pPr>
        <w:spacing w:line="360" w:lineRule="auto"/>
        <w:rPr>
          <w:rFonts w:ascii="宋体" w:hAnsi="宋体" w:eastAsia="宋体" w:cs="Times New Roman"/>
          <w:b/>
          <w:bCs/>
          <w:color w:val="000000" w:themeColor="text1"/>
          <w14:textFill>
            <w14:solidFill>
              <w14:schemeClr w14:val="tx1"/>
            </w14:solidFill>
          </w14:textFill>
        </w:rPr>
      </w:pPr>
      <w:bookmarkStart w:id="657" w:name="_Hlk167351811"/>
      <w:r>
        <w:rPr>
          <w:rFonts w:hint="eastAsia" w:ascii="宋体" w:hAnsi="宋体" w:eastAsia="宋体" w:cs="宋体"/>
          <w:b/>
          <w:bCs/>
          <w:color w:val="000000" w:themeColor="text1"/>
          <w14:textFill>
            <w14:solidFill>
              <w14:schemeClr w14:val="tx1"/>
            </w14:solidFill>
          </w14:textFill>
        </w:rPr>
        <w:t>表格填写说明：</w:t>
      </w:r>
    </w:p>
    <w:p w14:paraId="6E86F4C9">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投标人应按所投产品的实际技术参数，逐条对应招标文件的第五章“采购需求”中要求的技术规范如实、完整、准确的填写该表，不得虚假响应，否则将取消其投标或中标资格。</w:t>
      </w:r>
    </w:p>
    <w:p w14:paraId="4A69AD1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本表格将作为评标委员会对投标人技术部分的评审依据，未填写本表格的投标人将不能通过符合性审查。</w:t>
      </w:r>
    </w:p>
    <w:p w14:paraId="5323398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表格中“</w:t>
      </w:r>
      <w:r>
        <w:rPr>
          <w:rFonts w:hint="eastAsia" w:ascii="宋体" w:hAnsi="宋体" w:eastAsia="宋体" w:cs="宋体"/>
          <w:color w:val="000000" w:themeColor="text1"/>
          <w:lang w:val="en-US" w:eastAsia="zh-CN"/>
          <w14:textFill>
            <w14:solidFill>
              <w14:schemeClr w14:val="tx1"/>
            </w14:solidFill>
          </w14:textFill>
        </w:rPr>
        <w:t>产品</w:t>
      </w:r>
      <w:r>
        <w:rPr>
          <w:rFonts w:hint="eastAsia" w:ascii="宋体" w:hAnsi="宋体" w:eastAsia="宋体" w:cs="宋体"/>
          <w:color w:val="000000" w:themeColor="text1"/>
          <w14:textFill>
            <w14:solidFill>
              <w14:schemeClr w14:val="tx1"/>
            </w14:solidFill>
          </w14:textFill>
        </w:rPr>
        <w:t>名称”及“招标文件技术参数要求”可按“采购需求”内容复制。</w:t>
      </w:r>
    </w:p>
    <w:p w14:paraId="0962E3E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表格中“投标产品的品牌、型号、技术参数及配置”请投标人根据实际投标情况如实、完整、准确地填写，请勿复制、粘贴采购需求。若由于投标人的疏忽大意或未能完整、如实填写，导致的一切后果由投标人自行承担。</w:t>
      </w:r>
    </w:p>
    <w:p w14:paraId="31CD27E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表格中“偏差说明”部分，投标人如实填写“正偏离”或“负偏离”，</w:t>
      </w:r>
      <w:r>
        <w:rPr>
          <w:rFonts w:hint="eastAsia" w:ascii="宋体" w:hAnsi="宋体" w:eastAsia="宋体" w:cs="宋体"/>
          <w:b/>
          <w:bCs/>
          <w:color w:val="000000" w:themeColor="text1"/>
          <w14:textFill>
            <w14:solidFill>
              <w14:schemeClr w14:val="tx1"/>
            </w14:solidFill>
          </w14:textFill>
        </w:rPr>
        <w:t>若为正偏离，须提供相关依据及说明，否则视为负偏离处理</w:t>
      </w:r>
      <w:r>
        <w:rPr>
          <w:rFonts w:hint="eastAsia" w:ascii="宋体" w:hAnsi="宋体" w:eastAsia="宋体" w:cs="宋体"/>
          <w:color w:val="000000" w:themeColor="text1"/>
          <w14:textFill>
            <w14:solidFill>
              <w14:schemeClr w14:val="tx1"/>
            </w14:solidFill>
          </w14:textFill>
        </w:rPr>
        <w:t>。凡投标产品与采购需求有区别的均按有偏离处理，并写明技术指标。若无偏离，则不填写其他内容。</w:t>
      </w:r>
    </w:p>
    <w:p w14:paraId="26807162">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货物验收时采购人将依据此表对投标人提供的产品进行验收。</w:t>
      </w:r>
    </w:p>
    <w:p w14:paraId="288A736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本表格中内容与投标文件其余部分不一致的，以本表格为准。</w:t>
      </w:r>
    </w:p>
    <w:bookmarkEnd w:id="657"/>
    <w:p w14:paraId="6278FB3F">
      <w:pPr>
        <w:spacing w:line="360" w:lineRule="auto"/>
        <w:rPr>
          <w:rFonts w:ascii="宋体" w:hAnsi="宋体" w:eastAsia="宋体" w:cs="Times New Roman"/>
          <w:color w:val="000000" w:themeColor="text1"/>
          <w14:textFill>
            <w14:solidFill>
              <w14:schemeClr w14:val="tx1"/>
            </w14:solidFill>
          </w14:textFill>
        </w:rPr>
      </w:pPr>
    </w:p>
    <w:p w14:paraId="564B83C4">
      <w:pPr>
        <w:spacing w:line="360" w:lineRule="auto"/>
        <w:jc w:val="left"/>
        <w:rPr>
          <w:rFonts w:ascii="宋体" w:hAnsi="宋体" w:eastAsia="宋体" w:cs="Times New Roman"/>
          <w:color w:val="000000" w:themeColor="text1"/>
          <w14:textFill>
            <w14:solidFill>
              <w14:schemeClr w14:val="tx1"/>
            </w14:solidFill>
          </w14:textFill>
        </w:rPr>
      </w:pPr>
    </w:p>
    <w:p w14:paraId="2A0AD4EA">
      <w:pPr>
        <w:spacing w:line="360" w:lineRule="auto"/>
        <w:jc w:val="center"/>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br w:type="page"/>
      </w:r>
    </w:p>
    <w:p w14:paraId="7C96DF42">
      <w:pPr>
        <w:pStyle w:val="4"/>
        <w:spacing w:before="0" w:after="0" w:line="360" w:lineRule="auto"/>
        <w:jc w:val="center"/>
        <w:rPr>
          <w:rFonts w:ascii="宋体" w:hAnsi="宋体" w:eastAsia="宋体" w:cs="宋体"/>
          <w:color w:val="000000" w:themeColor="text1"/>
          <w:sz w:val="21"/>
          <w:szCs w:val="21"/>
          <w14:textFill>
            <w14:solidFill>
              <w14:schemeClr w14:val="tx1"/>
            </w14:solidFill>
          </w14:textFill>
        </w:rPr>
      </w:pPr>
      <w:bookmarkStart w:id="658" w:name="_Toc70424906"/>
      <w:bookmarkStart w:id="659" w:name="_Toc120282478"/>
      <w:bookmarkStart w:id="660" w:name="_Toc107396250"/>
      <w:bookmarkStart w:id="661" w:name="_Toc164432974"/>
      <w:bookmarkStart w:id="662" w:name="_Toc77504121"/>
      <w:bookmarkStart w:id="663" w:name="_Toc20270"/>
      <w:bookmarkStart w:id="664" w:name="_Toc77658131"/>
      <w:bookmarkStart w:id="665" w:name="_Toc77116723"/>
      <w:r>
        <w:rPr>
          <w:rFonts w:hint="eastAsia" w:ascii="宋体" w:hAnsi="宋体" w:eastAsia="宋体" w:cs="宋体"/>
          <w:color w:val="000000" w:themeColor="text1"/>
          <w:sz w:val="24"/>
          <w:szCs w:val="24"/>
          <w:lang w:val="en-US" w:eastAsia="zh-CN"/>
          <w14:textFill>
            <w14:solidFill>
              <w14:schemeClr w14:val="tx1"/>
            </w14:solidFill>
          </w14:textFill>
        </w:rPr>
        <w:t>六</w:t>
      </w:r>
      <w:r>
        <w:rPr>
          <w:rFonts w:hint="eastAsia" w:ascii="宋体" w:hAnsi="宋体" w:eastAsia="宋体" w:cs="宋体"/>
          <w:color w:val="000000" w:themeColor="text1"/>
          <w:sz w:val="24"/>
          <w:szCs w:val="24"/>
          <w14:textFill>
            <w14:solidFill>
              <w14:schemeClr w14:val="tx1"/>
            </w14:solidFill>
          </w14:textFill>
        </w:rPr>
        <w:t>、报价表</w:t>
      </w:r>
      <w:bookmarkEnd w:id="658"/>
      <w:bookmarkEnd w:id="659"/>
      <w:bookmarkEnd w:id="660"/>
      <w:bookmarkEnd w:id="661"/>
      <w:bookmarkEnd w:id="662"/>
      <w:bookmarkEnd w:id="663"/>
      <w:bookmarkEnd w:id="664"/>
      <w:bookmarkEnd w:id="665"/>
    </w:p>
    <w:p w14:paraId="42FFE767">
      <w:pPr>
        <w:spacing w:line="360" w:lineRule="auto"/>
        <w:rPr>
          <w:rFonts w:ascii="宋体" w:hAnsi="宋体" w:eastAsia="宋体" w:cs="Times New Roman"/>
          <w:color w:val="000000" w:themeColor="text1"/>
          <w14:textFill>
            <w14:solidFill>
              <w14:schemeClr w14:val="tx1"/>
            </w14:solidFill>
          </w14:textFill>
        </w:rPr>
      </w:pPr>
    </w:p>
    <w:p w14:paraId="2B24740A">
      <w:pPr>
        <w:spacing w:line="360" w:lineRule="auto"/>
        <w:rPr>
          <w:rFonts w:ascii="宋体" w:hAnsi="宋体" w:eastAsia="宋体" w:cs="Times New Roman"/>
          <w:color w:val="000000" w:themeColor="text1"/>
          <w14:textFill>
            <w14:solidFill>
              <w14:schemeClr w14:val="tx1"/>
            </w14:solidFill>
          </w14:textFill>
        </w:rPr>
      </w:pPr>
      <w:bookmarkStart w:id="666" w:name="_Hlk167351827"/>
      <w:bookmarkStart w:id="667" w:name="_Hlk137906829"/>
    </w:p>
    <w:p w14:paraId="30847382">
      <w:pPr>
        <w:spacing w:line="360" w:lineRule="auto"/>
        <w:jc w:val="right"/>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单位：人民币</w:t>
      </w:r>
    </w:p>
    <w:tbl>
      <w:tblPr>
        <w:tblStyle w:val="42"/>
        <w:tblW w:w="992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02"/>
        <w:gridCol w:w="1985"/>
        <w:gridCol w:w="708"/>
        <w:gridCol w:w="709"/>
        <w:gridCol w:w="772"/>
        <w:gridCol w:w="950"/>
        <w:gridCol w:w="1483"/>
        <w:gridCol w:w="1483"/>
      </w:tblGrid>
      <w:tr w14:paraId="07F8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36" w:type="dxa"/>
            <w:vAlign w:val="center"/>
          </w:tcPr>
          <w:p w14:paraId="64500DD4">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202" w:type="dxa"/>
            <w:vAlign w:val="center"/>
          </w:tcPr>
          <w:p w14:paraId="6E2F626B">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产品</w:t>
            </w:r>
            <w:r>
              <w:rPr>
                <w:rFonts w:hint="eastAsia" w:ascii="宋体" w:hAnsi="宋体" w:eastAsia="宋体" w:cs="宋体"/>
                <w:color w:val="000000" w:themeColor="text1"/>
                <w14:textFill>
                  <w14:solidFill>
                    <w14:schemeClr w14:val="tx1"/>
                  </w14:solidFill>
                </w14:textFill>
              </w:rPr>
              <w:t>名称</w:t>
            </w:r>
          </w:p>
        </w:tc>
        <w:tc>
          <w:tcPr>
            <w:tcW w:w="1985" w:type="dxa"/>
            <w:vAlign w:val="center"/>
          </w:tcPr>
          <w:p w14:paraId="2ADF8BFF">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品牌（如有）</w:t>
            </w:r>
          </w:p>
          <w:p w14:paraId="5D0A897B">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及规格型号</w:t>
            </w:r>
          </w:p>
        </w:tc>
        <w:tc>
          <w:tcPr>
            <w:tcW w:w="708" w:type="dxa"/>
            <w:vAlign w:val="center"/>
          </w:tcPr>
          <w:p w14:paraId="78491756">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单位</w:t>
            </w:r>
          </w:p>
        </w:tc>
        <w:tc>
          <w:tcPr>
            <w:tcW w:w="709" w:type="dxa"/>
            <w:vAlign w:val="center"/>
          </w:tcPr>
          <w:p w14:paraId="27112E69">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数量</w:t>
            </w:r>
          </w:p>
        </w:tc>
        <w:tc>
          <w:tcPr>
            <w:tcW w:w="772" w:type="dxa"/>
            <w:vAlign w:val="center"/>
          </w:tcPr>
          <w:p w14:paraId="592E48D6">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单价</w:t>
            </w:r>
          </w:p>
        </w:tc>
        <w:tc>
          <w:tcPr>
            <w:tcW w:w="950" w:type="dxa"/>
            <w:vAlign w:val="center"/>
          </w:tcPr>
          <w:p w14:paraId="5FAD19A6">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合计价</w:t>
            </w:r>
          </w:p>
        </w:tc>
        <w:tc>
          <w:tcPr>
            <w:tcW w:w="1483" w:type="dxa"/>
            <w:vAlign w:val="center"/>
          </w:tcPr>
          <w:p w14:paraId="25A06F02">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制造商名称</w:t>
            </w:r>
          </w:p>
        </w:tc>
        <w:tc>
          <w:tcPr>
            <w:tcW w:w="1483" w:type="dxa"/>
            <w:vAlign w:val="center"/>
          </w:tcPr>
          <w:p w14:paraId="5D90B065">
            <w:pPr>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备注</w:t>
            </w:r>
          </w:p>
        </w:tc>
      </w:tr>
      <w:tr w14:paraId="4E93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0DA712E4">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1202" w:type="dxa"/>
            <w:vAlign w:val="center"/>
          </w:tcPr>
          <w:p w14:paraId="5D8C76FD">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70BDB0A8">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382F1AB0">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021F9CF2">
            <w:pPr>
              <w:jc w:val="center"/>
              <w:rPr>
                <w:rFonts w:hint="eastAsia" w:ascii="宋体" w:hAnsi="宋体" w:eastAsia="宋体" w:cs="宋体"/>
                <w:color w:val="000000" w:themeColor="text1"/>
                <w14:textFill>
                  <w14:solidFill>
                    <w14:schemeClr w14:val="tx1"/>
                  </w14:solidFill>
                </w14:textFill>
              </w:rPr>
            </w:pPr>
          </w:p>
        </w:tc>
        <w:tc>
          <w:tcPr>
            <w:tcW w:w="772" w:type="dxa"/>
            <w:vAlign w:val="center"/>
          </w:tcPr>
          <w:p w14:paraId="7AFE1D57">
            <w:pPr>
              <w:jc w:val="center"/>
              <w:rPr>
                <w:rFonts w:hint="eastAsia" w:ascii="宋体" w:hAnsi="宋体" w:eastAsia="宋体" w:cs="宋体"/>
                <w:color w:val="000000" w:themeColor="text1"/>
                <w14:textFill>
                  <w14:solidFill>
                    <w14:schemeClr w14:val="tx1"/>
                  </w14:solidFill>
                </w14:textFill>
              </w:rPr>
            </w:pPr>
          </w:p>
        </w:tc>
        <w:tc>
          <w:tcPr>
            <w:tcW w:w="950" w:type="dxa"/>
            <w:vAlign w:val="center"/>
          </w:tcPr>
          <w:p w14:paraId="01B88267">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1E6F5D32">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4DDB7224">
            <w:pPr>
              <w:jc w:val="center"/>
              <w:rPr>
                <w:rFonts w:hint="eastAsia" w:ascii="宋体" w:hAnsi="宋体" w:eastAsia="宋体" w:cs="宋体"/>
                <w:color w:val="000000" w:themeColor="text1"/>
                <w14:textFill>
                  <w14:solidFill>
                    <w14:schemeClr w14:val="tx1"/>
                  </w14:solidFill>
                </w14:textFill>
              </w:rPr>
            </w:pPr>
          </w:p>
        </w:tc>
      </w:tr>
      <w:tr w14:paraId="19E1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73CE4C3D">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1202" w:type="dxa"/>
            <w:vAlign w:val="center"/>
          </w:tcPr>
          <w:p w14:paraId="4C4FAD2E">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27B3A2A4">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31733AC1">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2CA1DB67">
            <w:pPr>
              <w:jc w:val="center"/>
              <w:rPr>
                <w:rFonts w:hint="eastAsia" w:ascii="宋体" w:hAnsi="宋体" w:eastAsia="宋体" w:cs="宋体"/>
                <w:color w:val="000000" w:themeColor="text1"/>
                <w14:textFill>
                  <w14:solidFill>
                    <w14:schemeClr w14:val="tx1"/>
                  </w14:solidFill>
                </w14:textFill>
              </w:rPr>
            </w:pPr>
          </w:p>
        </w:tc>
        <w:tc>
          <w:tcPr>
            <w:tcW w:w="772" w:type="dxa"/>
            <w:vAlign w:val="center"/>
          </w:tcPr>
          <w:p w14:paraId="2BDF7CB2">
            <w:pPr>
              <w:jc w:val="center"/>
              <w:rPr>
                <w:rFonts w:hint="eastAsia" w:ascii="宋体" w:hAnsi="宋体" w:eastAsia="宋体" w:cs="宋体"/>
                <w:color w:val="000000" w:themeColor="text1"/>
                <w14:textFill>
                  <w14:solidFill>
                    <w14:schemeClr w14:val="tx1"/>
                  </w14:solidFill>
                </w14:textFill>
              </w:rPr>
            </w:pPr>
          </w:p>
        </w:tc>
        <w:tc>
          <w:tcPr>
            <w:tcW w:w="950" w:type="dxa"/>
            <w:vAlign w:val="center"/>
          </w:tcPr>
          <w:p w14:paraId="37BF7BE0">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48001797">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04B4CC3F">
            <w:pPr>
              <w:jc w:val="center"/>
              <w:rPr>
                <w:rFonts w:hint="eastAsia" w:ascii="宋体" w:hAnsi="宋体" w:eastAsia="宋体" w:cs="宋体"/>
                <w:color w:val="000000" w:themeColor="text1"/>
                <w14:textFill>
                  <w14:solidFill>
                    <w14:schemeClr w14:val="tx1"/>
                  </w14:solidFill>
                </w14:textFill>
              </w:rPr>
            </w:pPr>
          </w:p>
        </w:tc>
      </w:tr>
      <w:tr w14:paraId="1AF9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7FAC42E1">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1202" w:type="dxa"/>
            <w:vAlign w:val="center"/>
          </w:tcPr>
          <w:p w14:paraId="0E8EBF95">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155864C3">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7B1E5811">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56256C1A">
            <w:pPr>
              <w:jc w:val="center"/>
              <w:rPr>
                <w:rFonts w:hint="eastAsia" w:ascii="宋体" w:hAnsi="宋体" w:eastAsia="宋体" w:cs="宋体"/>
                <w:color w:val="000000" w:themeColor="text1"/>
                <w14:textFill>
                  <w14:solidFill>
                    <w14:schemeClr w14:val="tx1"/>
                  </w14:solidFill>
                </w14:textFill>
              </w:rPr>
            </w:pPr>
          </w:p>
        </w:tc>
        <w:tc>
          <w:tcPr>
            <w:tcW w:w="772" w:type="dxa"/>
            <w:vAlign w:val="center"/>
          </w:tcPr>
          <w:p w14:paraId="3DF881D7">
            <w:pPr>
              <w:jc w:val="center"/>
              <w:rPr>
                <w:rFonts w:hint="eastAsia" w:ascii="宋体" w:hAnsi="宋体" w:eastAsia="宋体" w:cs="宋体"/>
                <w:color w:val="000000" w:themeColor="text1"/>
                <w14:textFill>
                  <w14:solidFill>
                    <w14:schemeClr w14:val="tx1"/>
                  </w14:solidFill>
                </w14:textFill>
              </w:rPr>
            </w:pPr>
          </w:p>
        </w:tc>
        <w:tc>
          <w:tcPr>
            <w:tcW w:w="950" w:type="dxa"/>
            <w:vAlign w:val="center"/>
          </w:tcPr>
          <w:p w14:paraId="0199E548">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07FDBC46">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4110F54D">
            <w:pPr>
              <w:jc w:val="center"/>
              <w:rPr>
                <w:rFonts w:hint="eastAsia" w:ascii="宋体" w:hAnsi="宋体" w:eastAsia="宋体" w:cs="宋体"/>
                <w:color w:val="000000" w:themeColor="text1"/>
                <w14:textFill>
                  <w14:solidFill>
                    <w14:schemeClr w14:val="tx1"/>
                  </w14:solidFill>
                </w14:textFill>
              </w:rPr>
            </w:pPr>
          </w:p>
        </w:tc>
      </w:tr>
      <w:tr w14:paraId="7984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40DD97AC">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p>
        </w:tc>
        <w:tc>
          <w:tcPr>
            <w:tcW w:w="1202" w:type="dxa"/>
            <w:vAlign w:val="center"/>
          </w:tcPr>
          <w:p w14:paraId="101075D2">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6284AA4A">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1685D125">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26B54060">
            <w:pPr>
              <w:jc w:val="center"/>
              <w:rPr>
                <w:rFonts w:hint="eastAsia" w:ascii="宋体" w:hAnsi="宋体" w:eastAsia="宋体" w:cs="宋体"/>
                <w:color w:val="000000" w:themeColor="text1"/>
                <w14:textFill>
                  <w14:solidFill>
                    <w14:schemeClr w14:val="tx1"/>
                  </w14:solidFill>
                </w14:textFill>
              </w:rPr>
            </w:pPr>
          </w:p>
        </w:tc>
        <w:tc>
          <w:tcPr>
            <w:tcW w:w="772" w:type="dxa"/>
            <w:vAlign w:val="center"/>
          </w:tcPr>
          <w:p w14:paraId="5D19368B">
            <w:pPr>
              <w:jc w:val="center"/>
              <w:rPr>
                <w:rFonts w:hint="eastAsia" w:ascii="宋体" w:hAnsi="宋体" w:eastAsia="宋体" w:cs="宋体"/>
                <w:color w:val="000000" w:themeColor="text1"/>
                <w14:textFill>
                  <w14:solidFill>
                    <w14:schemeClr w14:val="tx1"/>
                  </w14:solidFill>
                </w14:textFill>
              </w:rPr>
            </w:pPr>
          </w:p>
        </w:tc>
        <w:tc>
          <w:tcPr>
            <w:tcW w:w="950" w:type="dxa"/>
            <w:vAlign w:val="center"/>
          </w:tcPr>
          <w:p w14:paraId="2B4E625E">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79206AE4">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6C9B662A">
            <w:pPr>
              <w:jc w:val="center"/>
              <w:rPr>
                <w:rFonts w:hint="eastAsia" w:ascii="宋体" w:hAnsi="宋体" w:eastAsia="宋体" w:cs="宋体"/>
                <w:color w:val="000000" w:themeColor="text1"/>
                <w14:textFill>
                  <w14:solidFill>
                    <w14:schemeClr w14:val="tx1"/>
                  </w14:solidFill>
                </w14:textFill>
              </w:rPr>
            </w:pPr>
          </w:p>
        </w:tc>
      </w:tr>
      <w:tr w14:paraId="49C77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16DE04F9">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w:t>
            </w:r>
          </w:p>
        </w:tc>
        <w:tc>
          <w:tcPr>
            <w:tcW w:w="1202" w:type="dxa"/>
            <w:vAlign w:val="center"/>
          </w:tcPr>
          <w:p w14:paraId="5E717156">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4115E8E1">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0093C427">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3FD8B96D">
            <w:pPr>
              <w:jc w:val="center"/>
              <w:rPr>
                <w:rFonts w:hint="eastAsia" w:ascii="宋体" w:hAnsi="宋体" w:eastAsia="宋体" w:cs="宋体"/>
                <w:color w:val="000000" w:themeColor="text1"/>
                <w14:textFill>
                  <w14:solidFill>
                    <w14:schemeClr w14:val="tx1"/>
                  </w14:solidFill>
                </w14:textFill>
              </w:rPr>
            </w:pPr>
          </w:p>
        </w:tc>
        <w:tc>
          <w:tcPr>
            <w:tcW w:w="772" w:type="dxa"/>
            <w:vAlign w:val="center"/>
          </w:tcPr>
          <w:p w14:paraId="0C1AAD49">
            <w:pPr>
              <w:jc w:val="center"/>
              <w:rPr>
                <w:rFonts w:hint="eastAsia" w:ascii="宋体" w:hAnsi="宋体" w:eastAsia="宋体" w:cs="宋体"/>
                <w:color w:val="000000" w:themeColor="text1"/>
                <w14:textFill>
                  <w14:solidFill>
                    <w14:schemeClr w14:val="tx1"/>
                  </w14:solidFill>
                </w14:textFill>
              </w:rPr>
            </w:pPr>
          </w:p>
        </w:tc>
        <w:tc>
          <w:tcPr>
            <w:tcW w:w="950" w:type="dxa"/>
            <w:vAlign w:val="center"/>
          </w:tcPr>
          <w:p w14:paraId="76767CFE">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3AA6144F">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0F60C668">
            <w:pPr>
              <w:jc w:val="center"/>
              <w:rPr>
                <w:rFonts w:hint="eastAsia" w:ascii="宋体" w:hAnsi="宋体" w:eastAsia="宋体" w:cs="宋体"/>
                <w:color w:val="000000" w:themeColor="text1"/>
                <w14:textFill>
                  <w14:solidFill>
                    <w14:schemeClr w14:val="tx1"/>
                  </w14:solidFill>
                </w14:textFill>
              </w:rPr>
            </w:pPr>
          </w:p>
        </w:tc>
      </w:tr>
      <w:tr w14:paraId="6518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3257A453">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1202" w:type="dxa"/>
            <w:vAlign w:val="center"/>
          </w:tcPr>
          <w:p w14:paraId="6747C7A9">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47C3917C">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34B11BE3">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0987A524">
            <w:pPr>
              <w:jc w:val="center"/>
              <w:rPr>
                <w:rFonts w:hint="eastAsia" w:ascii="宋体" w:hAnsi="宋体" w:eastAsia="宋体" w:cs="宋体"/>
                <w:color w:val="000000" w:themeColor="text1"/>
                <w14:textFill>
                  <w14:solidFill>
                    <w14:schemeClr w14:val="tx1"/>
                  </w14:solidFill>
                </w14:textFill>
              </w:rPr>
            </w:pPr>
          </w:p>
        </w:tc>
        <w:tc>
          <w:tcPr>
            <w:tcW w:w="772" w:type="dxa"/>
            <w:vAlign w:val="center"/>
          </w:tcPr>
          <w:p w14:paraId="1D046806">
            <w:pPr>
              <w:jc w:val="center"/>
              <w:rPr>
                <w:rFonts w:hint="eastAsia" w:ascii="宋体" w:hAnsi="宋体" w:eastAsia="宋体" w:cs="宋体"/>
                <w:color w:val="000000" w:themeColor="text1"/>
                <w14:textFill>
                  <w14:solidFill>
                    <w14:schemeClr w14:val="tx1"/>
                  </w14:solidFill>
                </w14:textFill>
              </w:rPr>
            </w:pPr>
          </w:p>
        </w:tc>
        <w:tc>
          <w:tcPr>
            <w:tcW w:w="950" w:type="dxa"/>
            <w:vAlign w:val="center"/>
          </w:tcPr>
          <w:p w14:paraId="4D177A28">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18B6316B">
            <w:pPr>
              <w:jc w:val="center"/>
              <w:rPr>
                <w:rFonts w:hint="eastAsia" w:ascii="宋体" w:hAnsi="宋体" w:eastAsia="宋体" w:cs="宋体"/>
                <w:color w:val="000000" w:themeColor="text1"/>
                <w14:textFill>
                  <w14:solidFill>
                    <w14:schemeClr w14:val="tx1"/>
                  </w14:solidFill>
                </w14:textFill>
              </w:rPr>
            </w:pPr>
          </w:p>
        </w:tc>
        <w:tc>
          <w:tcPr>
            <w:tcW w:w="1483" w:type="dxa"/>
            <w:vAlign w:val="center"/>
          </w:tcPr>
          <w:p w14:paraId="36D6F4A5">
            <w:pPr>
              <w:jc w:val="center"/>
              <w:rPr>
                <w:rFonts w:hint="eastAsia" w:ascii="宋体" w:hAnsi="宋体" w:eastAsia="宋体" w:cs="宋体"/>
                <w:color w:val="000000" w:themeColor="text1"/>
                <w14:textFill>
                  <w14:solidFill>
                    <w14:schemeClr w14:val="tx1"/>
                  </w14:solidFill>
                </w14:textFill>
              </w:rPr>
            </w:pPr>
          </w:p>
        </w:tc>
      </w:tr>
      <w:tr w14:paraId="3524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838" w:type="dxa"/>
            <w:gridSpan w:val="2"/>
            <w:vAlign w:val="center"/>
          </w:tcPr>
          <w:p w14:paraId="66CDBE3E">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 标 总 报 价</w:t>
            </w:r>
            <w:r>
              <w:rPr>
                <w:rFonts w:hint="eastAsia" w:ascii="宋体" w:hAnsi="宋体" w:eastAsia="宋体" w:cs="宋体"/>
                <w:b/>
                <w:bCs/>
                <w:color w:val="000000" w:themeColor="text1"/>
                <w:highlight w:val="none"/>
                <w14:textFill>
                  <w14:solidFill>
                    <w14:schemeClr w14:val="tx1"/>
                  </w14:solidFill>
                </w14:textFill>
              </w:rPr>
              <w:t>(人民币/元</w:t>
            </w:r>
            <w:r>
              <w:rPr>
                <w:rFonts w:hint="eastAsia" w:ascii="宋体" w:hAnsi="宋体" w:eastAsia="宋体" w:cs="宋体"/>
                <w:color w:val="000000" w:themeColor="text1"/>
                <w14:textFill>
                  <w14:solidFill>
                    <w14:schemeClr w14:val="tx1"/>
                  </w14:solidFill>
                </w14:textFill>
              </w:rPr>
              <w:t>）</w:t>
            </w:r>
          </w:p>
        </w:tc>
        <w:tc>
          <w:tcPr>
            <w:tcW w:w="6607" w:type="dxa"/>
            <w:gridSpan w:val="6"/>
            <w:shd w:val="clear" w:color="auto" w:fill="auto"/>
            <w:vAlign w:val="center"/>
          </w:tcPr>
          <w:p w14:paraId="5A3C0FC7">
            <w:pPr>
              <w:keepNext w:val="0"/>
              <w:keepLines w:val="0"/>
              <w:pageBreakBefore w:val="0"/>
              <w:widowControl/>
              <w:kinsoku w:val="0"/>
              <w:wordWrap/>
              <w:overflowPunct/>
              <w:topLinePunct w:val="0"/>
              <w:autoSpaceDE w:val="0"/>
              <w:autoSpaceDN w:val="0"/>
              <w:bidi w:val="0"/>
              <w:adjustRightInd w:val="0"/>
              <w:snapToGrid w:val="0"/>
              <w:ind w:firstLine="0" w:firstLineChars="0"/>
              <w:jc w:val="left"/>
              <w:textAlignment w:val="baseline"/>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小写</w:t>
            </w:r>
            <w:r>
              <w:rPr>
                <w:rFonts w:hint="eastAsia" w:ascii="宋体" w:hAnsi="宋体" w:eastAsia="宋体" w:cs="宋体"/>
                <w:b/>
                <w:bCs/>
                <w:color w:val="000000" w:themeColor="text1"/>
                <w:highlight w:val="none"/>
                <w:lang w:eastAsia="zh-CN"/>
                <w14:textFill>
                  <w14:solidFill>
                    <w14:schemeClr w14:val="tx1"/>
                  </w14:solidFill>
                </w14:textFill>
              </w:rPr>
              <w:t>：</w:t>
            </w:r>
          </w:p>
          <w:p w14:paraId="087DB9B8">
            <w:pPr>
              <w:keepNext w:val="0"/>
              <w:keepLines w:val="0"/>
              <w:pageBreakBefore w:val="0"/>
              <w:widowControl/>
              <w:kinsoku w:val="0"/>
              <w:wordWrap/>
              <w:overflowPunct/>
              <w:topLinePunct w:val="0"/>
              <w:autoSpaceDE w:val="0"/>
              <w:autoSpaceDN w:val="0"/>
              <w:bidi w:val="0"/>
              <w:adjustRightInd w:val="0"/>
              <w:snapToGrid w:val="0"/>
              <w:ind w:firstLine="0" w:firstLineChars="0"/>
              <w:jc w:val="left"/>
              <w:textAlignment w:val="baseline"/>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大写</w:t>
            </w:r>
            <w:r>
              <w:rPr>
                <w:rFonts w:hint="eastAsia" w:ascii="宋体" w:hAnsi="宋体" w:eastAsia="宋体" w:cs="宋体"/>
                <w:b/>
                <w:bCs/>
                <w:color w:val="000000" w:themeColor="text1"/>
                <w:highlight w:val="none"/>
                <w:lang w:eastAsia="zh-CN"/>
                <w14:textFill>
                  <w14:solidFill>
                    <w14:schemeClr w14:val="tx1"/>
                  </w14:solidFill>
                </w14:textFill>
              </w:rPr>
              <w:t>：</w:t>
            </w:r>
          </w:p>
        </w:tc>
        <w:tc>
          <w:tcPr>
            <w:tcW w:w="1483" w:type="dxa"/>
            <w:shd w:val="clear" w:color="auto" w:fill="auto"/>
            <w:vAlign w:val="center"/>
          </w:tcPr>
          <w:p w14:paraId="445FA92E">
            <w:pPr>
              <w:keepNext w:val="0"/>
              <w:keepLines w:val="0"/>
              <w:pageBreakBefore w:val="0"/>
              <w:widowControl/>
              <w:kinsoku w:val="0"/>
              <w:wordWrap/>
              <w:overflowPunct/>
              <w:topLinePunct w:val="0"/>
              <w:autoSpaceDE w:val="0"/>
              <w:autoSpaceDN w:val="0"/>
              <w:bidi w:val="0"/>
              <w:adjustRightInd w:val="0"/>
              <w:snapToGrid w:val="0"/>
              <w:ind w:firstLine="0" w:firstLineChars="0"/>
              <w:jc w:val="left"/>
              <w:textAlignment w:val="baseline"/>
              <w:rPr>
                <w:rFonts w:hint="eastAsia" w:ascii="宋体" w:hAnsi="宋体" w:eastAsia="宋体" w:cs="宋体"/>
                <w:b/>
                <w:bCs/>
                <w:color w:val="000000" w:themeColor="text1"/>
                <w:highlight w:val="none"/>
                <w14:textFill>
                  <w14:solidFill>
                    <w14:schemeClr w14:val="tx1"/>
                  </w14:solidFill>
                </w14:textFill>
              </w:rPr>
            </w:pPr>
          </w:p>
        </w:tc>
      </w:tr>
    </w:tbl>
    <w:p w14:paraId="050C3FC1">
      <w:pPr>
        <w:spacing w:line="360" w:lineRule="auto"/>
        <w:rPr>
          <w:rFonts w:ascii="宋体" w:hAnsi="宋体" w:eastAsia="宋体" w:cs="Times New Roman"/>
          <w:color w:val="000000" w:themeColor="text1"/>
          <w14:textFill>
            <w14:solidFill>
              <w14:schemeClr w14:val="tx1"/>
            </w14:solidFill>
          </w14:textFill>
        </w:rPr>
      </w:pPr>
    </w:p>
    <w:p w14:paraId="5A7EF32B">
      <w:pPr>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注：此表中无需详列货物技术参数。</w:t>
      </w:r>
    </w:p>
    <w:p w14:paraId="53438D40">
      <w:pPr>
        <w:spacing w:line="360" w:lineRule="auto"/>
        <w:rPr>
          <w:rFonts w:ascii="宋体" w:hAnsi="宋体" w:eastAsia="宋体" w:cs="Times New Roman"/>
          <w:color w:val="000000" w:themeColor="text1"/>
          <w14:textFill>
            <w14:solidFill>
              <w14:schemeClr w14:val="tx1"/>
            </w14:solidFill>
          </w14:textFill>
        </w:rPr>
      </w:pPr>
    </w:p>
    <w:bookmarkEnd w:id="666"/>
    <w:p w14:paraId="23D24CDF">
      <w:pPr>
        <w:spacing w:line="360" w:lineRule="auto"/>
        <w:rPr>
          <w:rFonts w:ascii="宋体" w:hAnsi="宋体" w:eastAsia="宋体" w:cs="Times New Roman"/>
          <w:color w:val="000000" w:themeColor="text1"/>
          <w14:textFill>
            <w14:solidFill>
              <w14:schemeClr w14:val="tx1"/>
            </w14:solidFill>
          </w14:textFill>
        </w:rPr>
      </w:pPr>
    </w:p>
    <w:p w14:paraId="55DBBAC9">
      <w:pPr>
        <w:spacing w:line="360" w:lineRule="auto"/>
        <w:rPr>
          <w:rFonts w:ascii="宋体" w:hAnsi="宋体" w:eastAsia="宋体" w:cs="Times New Roman"/>
          <w:color w:val="000000" w:themeColor="text1"/>
          <w14:textFill>
            <w14:solidFill>
              <w14:schemeClr w14:val="tx1"/>
            </w14:solidFill>
          </w14:textFill>
        </w:rPr>
      </w:pPr>
    </w:p>
    <w:bookmarkEnd w:id="667"/>
    <w:p w14:paraId="69999E90">
      <w:pPr>
        <w:pStyle w:val="4"/>
        <w:spacing w:before="0" w:after="0" w:line="360" w:lineRule="auto"/>
        <w:jc w:val="center"/>
        <w:rPr>
          <w:rFonts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68" w:name="_Toc77658133"/>
      <w:bookmarkStart w:id="669" w:name="_Toc70424908"/>
      <w:bookmarkStart w:id="670" w:name="_Toc21384"/>
      <w:bookmarkStart w:id="671" w:name="_Toc77116725"/>
      <w:bookmarkStart w:id="672" w:name="_Toc77504123"/>
      <w:bookmarkStart w:id="673" w:name="_Toc164432975"/>
      <w:bookmarkStart w:id="674" w:name="_Toc120282480"/>
      <w:bookmarkStart w:id="675" w:name="_Toc107396252"/>
      <w:r>
        <w:rPr>
          <w:rFonts w:hint="eastAsia" w:ascii="宋体" w:hAnsi="宋体" w:eastAsia="宋体" w:cs="宋体"/>
          <w:color w:val="000000" w:themeColor="text1"/>
          <w:sz w:val="24"/>
          <w:szCs w:val="24"/>
          <w:lang w:val="en-US" w:eastAsia="zh-CN"/>
          <w14:textFill>
            <w14:solidFill>
              <w14:schemeClr w14:val="tx1"/>
            </w14:solidFill>
          </w14:textFill>
        </w:rPr>
        <w:t>七</w:t>
      </w:r>
      <w:r>
        <w:rPr>
          <w:rFonts w:hint="eastAsia" w:ascii="宋体" w:hAnsi="宋体" w:eastAsia="宋体" w:cs="宋体"/>
          <w:color w:val="000000" w:themeColor="text1"/>
          <w:sz w:val="24"/>
          <w:szCs w:val="24"/>
          <w14:textFill>
            <w14:solidFill>
              <w14:schemeClr w14:val="tx1"/>
            </w14:solidFill>
          </w14:textFill>
        </w:rPr>
        <w:t>、</w:t>
      </w:r>
      <w:bookmarkEnd w:id="668"/>
      <w:bookmarkEnd w:id="669"/>
      <w:bookmarkEnd w:id="670"/>
      <w:bookmarkEnd w:id="671"/>
      <w:bookmarkEnd w:id="672"/>
      <w:r>
        <w:rPr>
          <w:rFonts w:hint="eastAsia" w:ascii="宋体" w:hAnsi="宋体" w:eastAsia="宋体" w:cs="宋体"/>
          <w:color w:val="000000" w:themeColor="text1"/>
          <w:sz w:val="24"/>
          <w:szCs w:val="24"/>
          <w14:textFill>
            <w14:solidFill>
              <w14:schemeClr w14:val="tx1"/>
            </w14:solidFill>
          </w14:textFill>
        </w:rPr>
        <w:t>响应方案</w:t>
      </w:r>
      <w:bookmarkEnd w:id="673"/>
      <w:bookmarkEnd w:id="674"/>
      <w:bookmarkEnd w:id="675"/>
    </w:p>
    <w:p w14:paraId="4564E995">
      <w:pPr>
        <w:spacing w:line="360" w:lineRule="auto"/>
        <w:jc w:val="both"/>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（一）</w:t>
      </w:r>
      <w:r>
        <w:rPr>
          <w:rFonts w:hint="eastAsia" w:ascii="宋体" w:hAnsi="宋体" w:eastAsia="宋体" w:cs="宋体"/>
          <w:b/>
          <w:bCs/>
          <w:color w:val="000000" w:themeColor="text1"/>
          <w:lang w:val="en-US" w:eastAsia="zh-CN"/>
          <w14:textFill>
            <w14:solidFill>
              <w14:schemeClr w14:val="tx1"/>
            </w14:solidFill>
          </w14:textFill>
        </w:rPr>
        <w:t>产品</w:t>
      </w:r>
      <w:r>
        <w:rPr>
          <w:rFonts w:hint="eastAsia" w:ascii="宋体" w:hAnsi="宋体" w:eastAsia="宋体" w:cs="宋体"/>
          <w:b/>
          <w:bCs/>
          <w:color w:val="000000" w:themeColor="text1"/>
          <w14:textFill>
            <w14:solidFill>
              <w14:schemeClr w14:val="tx1"/>
            </w14:solidFill>
          </w14:textFill>
        </w:rPr>
        <w:t>主要技术指标、参数及性能的详细说明</w:t>
      </w:r>
    </w:p>
    <w:p w14:paraId="564A725A">
      <w:pPr>
        <w:spacing w:line="360" w:lineRule="auto"/>
        <w:ind w:firstLine="420" w:firstLineChars="200"/>
        <w:jc w:val="left"/>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格式自拟</w:t>
      </w:r>
    </w:p>
    <w:p w14:paraId="5261D98D">
      <w:pPr>
        <w:spacing w:line="360" w:lineRule="auto"/>
        <w:jc w:val="both"/>
        <w:rPr>
          <w:rFonts w:hint="eastAsia" w:ascii="宋体" w:hAnsi="宋体" w:eastAsia="宋体" w:cs="宋体"/>
          <w:b/>
          <w:bCs/>
          <w:color w:val="000000" w:themeColor="text1"/>
          <w14:textFill>
            <w14:solidFill>
              <w14:schemeClr w14:val="tx1"/>
            </w14:solidFill>
          </w14:textFill>
        </w:rPr>
      </w:pPr>
    </w:p>
    <w:p w14:paraId="0111CF13">
      <w:pPr>
        <w:spacing w:line="360" w:lineRule="auto"/>
        <w:jc w:val="both"/>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（二）技术支持资料</w:t>
      </w:r>
    </w:p>
    <w:p w14:paraId="41973118">
      <w:pPr>
        <w:bidi w:val="0"/>
        <w:rPr>
          <w:rFonts w:eastAsia="宋体"/>
          <w:color w:val="auto"/>
          <w:highlight w:val="none"/>
        </w:rPr>
      </w:pPr>
      <w:r>
        <w:rPr>
          <w:rFonts w:eastAsia="宋体"/>
          <w:color w:val="auto"/>
          <w:highlight w:val="none"/>
        </w:rPr>
        <w:t>厂家官网资料或第三方证明材料、产品合格证、性能说明、产品图片、功能截图</w:t>
      </w:r>
      <w:r>
        <w:rPr>
          <w:rFonts w:hint="eastAsia" w:eastAsia="宋体"/>
          <w:color w:val="auto"/>
          <w:highlight w:val="none"/>
          <w:lang w:val="en-US" w:eastAsia="zh-CN"/>
        </w:rPr>
        <w:t>等</w:t>
      </w:r>
      <w:r>
        <w:rPr>
          <w:rFonts w:eastAsia="宋体"/>
          <w:color w:val="auto"/>
          <w:highlight w:val="none"/>
        </w:rPr>
        <w:t>。</w:t>
      </w:r>
    </w:p>
    <w:p w14:paraId="5158EFEB">
      <w:pPr>
        <w:bidi w:val="0"/>
        <w:rPr>
          <w:rFonts w:eastAsia="宋体"/>
          <w:color w:val="auto"/>
          <w:highlight w:val="none"/>
        </w:rPr>
      </w:pPr>
    </w:p>
    <w:p w14:paraId="4278C7FB">
      <w:pPr>
        <w:spacing w:line="360" w:lineRule="auto"/>
        <w:jc w:val="both"/>
        <w:rPr>
          <w:rFonts w:hint="eastAsia" w:ascii="宋体" w:hAnsi="宋体" w:eastAsia="宋体" w:cs="宋体"/>
          <w:b/>
          <w:bCs/>
          <w:color w:val="000000" w:themeColor="text1"/>
          <w14:textFill>
            <w14:solidFill>
              <w14:schemeClr w14:val="tx1"/>
            </w14:solidFill>
          </w14:textFill>
        </w:rPr>
      </w:pPr>
    </w:p>
    <w:p w14:paraId="142725A1">
      <w:pPr>
        <w:spacing w:line="360" w:lineRule="auto"/>
        <w:jc w:val="both"/>
        <w:rPr>
          <w:rFonts w:eastAsia="宋体"/>
          <w:color w:val="auto"/>
          <w:highlight w:val="none"/>
        </w:rPr>
      </w:pPr>
      <w:r>
        <w:rPr>
          <w:rFonts w:hint="eastAsia" w:ascii="宋体" w:hAnsi="宋体" w:eastAsia="宋体" w:cs="宋体"/>
          <w:b/>
          <w:bCs/>
          <w:color w:val="000000" w:themeColor="text1"/>
          <w14:textFill>
            <w14:solidFill>
              <w14:schemeClr w14:val="tx1"/>
            </w14:solidFill>
          </w14:textFill>
        </w:rPr>
        <w:t>（三）相关服务计划</w:t>
      </w:r>
    </w:p>
    <w:p w14:paraId="1B7967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包含但不限于以下方案（</w:t>
      </w:r>
      <w:r>
        <w:rPr>
          <w:rFonts w:hint="eastAsia" w:ascii="宋体" w:hAnsi="宋体" w:eastAsia="宋体" w:cs="宋体"/>
          <w:color w:val="000000" w:themeColor="text1"/>
          <w14:textFill>
            <w14:solidFill>
              <w14:schemeClr w14:val="tx1"/>
            </w14:solidFill>
          </w14:textFill>
        </w:rPr>
        <w:t>格式自拟</w:t>
      </w:r>
      <w:r>
        <w:rPr>
          <w:rFonts w:hint="eastAsia" w:ascii="宋体" w:hAnsi="宋体" w:eastAsia="宋体" w:cs="宋体"/>
          <w:color w:val="auto"/>
          <w:highlight w:val="none"/>
          <w:lang w:val="en-US" w:eastAsia="zh-CN"/>
        </w:rPr>
        <w:t>）：</w:t>
      </w:r>
    </w:p>
    <w:p w14:paraId="2E287EC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项目实施方案</w:t>
      </w:r>
    </w:p>
    <w:p w14:paraId="04A0BCF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总体设计方案</w:t>
      </w:r>
    </w:p>
    <w:p w14:paraId="05930DA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项目需求重难点分析</w:t>
      </w:r>
    </w:p>
    <w:p w14:paraId="2F79E80F">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系统运行维护方案</w:t>
      </w:r>
    </w:p>
    <w:p w14:paraId="7DE160C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应急预案</w:t>
      </w:r>
    </w:p>
    <w:p w14:paraId="74E123E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售后服务方案</w:t>
      </w:r>
    </w:p>
    <w:p w14:paraId="05AA29D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培训方案</w:t>
      </w:r>
    </w:p>
    <w:p w14:paraId="0412667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sectPr>
          <w:footerReference r:id="rId17" w:type="default"/>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auto"/>
          <w:highlight w:val="none"/>
          <w:lang w:val="en-US" w:eastAsia="zh-CN"/>
        </w:rPr>
        <w:t>业绩</w:t>
      </w:r>
    </w:p>
    <w:p w14:paraId="03F1D4E7">
      <w:pPr>
        <w:pStyle w:val="4"/>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八</w:t>
      </w:r>
      <w:r>
        <w:rPr>
          <w:rFonts w:hint="eastAsia" w:ascii="宋体" w:hAnsi="宋体" w:eastAsia="宋体" w:cs="宋体"/>
          <w:color w:val="000000" w:themeColor="text1"/>
          <w:sz w:val="24"/>
          <w:szCs w:val="24"/>
          <w14:textFill>
            <w14:solidFill>
              <w14:schemeClr w14:val="tx1"/>
            </w14:solidFill>
          </w14:textFill>
        </w:rPr>
        <w:t>、其他资料</w:t>
      </w:r>
    </w:p>
    <w:p w14:paraId="6F816174">
      <w:pPr>
        <w:spacing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投标人认为需要提交的其他资料，有格式的按照要求填写，无格式的自拟。</w:t>
      </w:r>
    </w:p>
    <w:p w14:paraId="5184A08B">
      <w:pPr>
        <w:spacing w:line="360" w:lineRule="auto"/>
        <w:rPr>
          <w:rFonts w:ascii="宋体" w:hAnsi="宋体" w:eastAsia="宋体" w:cs="Times New Roman"/>
          <w:color w:val="000000" w:themeColor="text1"/>
          <w14:textFill>
            <w14:solidFill>
              <w14:schemeClr w14:val="tx1"/>
            </w14:solidFill>
          </w14:textFill>
        </w:rPr>
      </w:pPr>
    </w:p>
    <w:p w14:paraId="680FC2A5">
      <w:pPr>
        <w:spacing w:line="360" w:lineRule="auto"/>
        <w:rPr>
          <w:rFonts w:ascii="宋体" w:hAnsi="宋体" w:eastAsia="宋体" w:cs="Times New Roman"/>
          <w:color w:val="000000" w:themeColor="text1"/>
          <w14:textFill>
            <w14:solidFill>
              <w14:schemeClr w14:val="tx1"/>
            </w14:solidFill>
          </w14:textFill>
        </w:rPr>
      </w:pPr>
    </w:p>
    <w:p w14:paraId="3FAB1F17">
      <w:pPr>
        <w:pStyle w:val="5"/>
        <w:spacing w:before="0" w:after="0"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14:textFill>
            <w14:solidFill>
              <w14:schemeClr w14:val="tx1"/>
            </w14:solidFill>
          </w14:textFill>
        </w:rPr>
        <w:br w:type="page"/>
      </w:r>
      <w:bookmarkStart w:id="676" w:name="_Toc30433"/>
      <w:bookmarkStart w:id="677" w:name="_Toc77658135"/>
      <w:bookmarkStart w:id="678" w:name="_Toc120282482"/>
      <w:bookmarkStart w:id="679" w:name="_Toc77504125"/>
      <w:bookmarkStart w:id="680" w:name="_Toc164432977"/>
      <w:bookmarkStart w:id="681" w:name="_Toc107396254"/>
      <w:r>
        <w:rPr>
          <w:rFonts w:hint="eastAsia" w:ascii="宋体" w:hAnsi="宋体" w:cs="宋体"/>
          <w:color w:val="000000" w:themeColor="text1"/>
          <w:sz w:val="21"/>
          <w:szCs w:val="21"/>
          <w14:textFill>
            <w14:solidFill>
              <w14:schemeClr w14:val="tx1"/>
            </w14:solidFill>
          </w14:textFill>
        </w:rPr>
        <w:t>附件一：</w:t>
      </w:r>
      <w:bookmarkEnd w:id="676"/>
      <w:bookmarkEnd w:id="677"/>
      <w:bookmarkEnd w:id="678"/>
      <w:bookmarkEnd w:id="679"/>
      <w:bookmarkEnd w:id="680"/>
      <w:bookmarkEnd w:id="681"/>
    </w:p>
    <w:p w14:paraId="35F66236">
      <w:pPr>
        <w:pStyle w:val="5"/>
        <w:spacing w:before="0" w:after="0" w:line="360" w:lineRule="auto"/>
        <w:rPr>
          <w:rFonts w:ascii="宋体" w:hAnsi="宋体" w:cs="宋体"/>
          <w:color w:val="000000" w:themeColor="text1"/>
          <w:sz w:val="21"/>
          <w:szCs w:val="21"/>
          <w14:textFill>
            <w14:solidFill>
              <w14:schemeClr w14:val="tx1"/>
            </w14:solidFill>
          </w14:textFill>
        </w:rPr>
      </w:pPr>
      <w:bookmarkStart w:id="682" w:name="_Toc107396256"/>
      <w:bookmarkStart w:id="683" w:name="_Toc164432979"/>
      <w:bookmarkStart w:id="684" w:name="_Toc77658137"/>
      <w:bookmarkStart w:id="685" w:name="_Toc77504127"/>
      <w:bookmarkStart w:id="686" w:name="_Toc1814"/>
      <w:bookmarkStart w:id="687" w:name="_Toc120282484"/>
    </w:p>
    <w:p w14:paraId="482270DB">
      <w:pPr>
        <w:spacing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中小企业声明函</w:t>
      </w:r>
    </w:p>
    <w:p w14:paraId="6C506716">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本公司（联合体）郑重声明，根据《政府采购促进中小企业发展暂行办法》（财库〔</w:t>
      </w:r>
      <w:r>
        <w:rPr>
          <w:rFonts w:ascii="宋体" w:hAnsi="宋体" w:eastAsia="宋体" w:cs="宋体"/>
          <w:color w:val="000000" w:themeColor="text1"/>
          <w14:textFill>
            <w14:solidFill>
              <w14:schemeClr w14:val="tx1"/>
            </w14:solidFill>
          </w14:textFill>
        </w:rPr>
        <w:t>2020</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46</w:t>
      </w:r>
      <w:r>
        <w:rPr>
          <w:rFonts w:hint="eastAsia" w:ascii="宋体" w:hAnsi="宋体" w:eastAsia="宋体" w:cs="宋体"/>
          <w:color w:val="000000" w:themeColor="text1"/>
          <w14:textFill>
            <w14:solidFill>
              <w14:schemeClr w14:val="tx1"/>
            </w14:solidFill>
          </w14:textFill>
        </w:rPr>
        <w:t>号）的规定，本公司（联合体）参加</w:t>
      </w:r>
      <w:r>
        <w:rPr>
          <w:rFonts w:hint="eastAsia" w:ascii="宋体" w:hAnsi="宋体" w:eastAsia="宋体" w:cs="宋体"/>
          <w:color w:val="000000" w:themeColor="text1"/>
          <w:u w:val="single"/>
          <w14:textFill>
            <w14:solidFill>
              <w14:schemeClr w14:val="tx1"/>
            </w14:solidFill>
          </w14:textFill>
        </w:rPr>
        <w:t>（单位名称）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的</w:t>
      </w:r>
      <w:r>
        <w:rPr>
          <w:rFonts w:hint="eastAsia" w:ascii="宋体" w:hAnsi="宋体" w:eastAsia="宋体" w:cs="宋体"/>
          <w:color w:val="000000" w:themeColor="text1"/>
          <w:u w:val="single"/>
          <w14:textFill>
            <w14:solidFill>
              <w14:schemeClr w14:val="tx1"/>
            </w14:solidFill>
          </w14:textFill>
        </w:rPr>
        <w:t>（项目名称）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采购活动，提供的货物全部由符合政策要求的中小企业制造。相关企业（含联合体中的中小企业，签订分包意向协议的中小企业）的具体情况如下：</w:t>
      </w:r>
    </w:p>
    <w:p w14:paraId="638F958D">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（标的名称）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，属于</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（采购文件中明确的所属行业）</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；制造商为</w:t>
      </w:r>
      <w:r>
        <w:rPr>
          <w:rFonts w:hint="eastAsia" w:ascii="宋体" w:hAnsi="宋体" w:eastAsia="宋体" w:cs="宋体"/>
          <w:color w:val="000000" w:themeColor="text1"/>
          <w:u w:val="single"/>
          <w14:textFill>
            <w14:solidFill>
              <w14:schemeClr w14:val="tx1"/>
            </w14:solidFill>
          </w14:textFill>
        </w:rPr>
        <w:t>（企业名称）</w:t>
      </w:r>
      <w:r>
        <w:rPr>
          <w:rFonts w:hint="eastAsia" w:ascii="宋体" w:hAnsi="宋体" w:eastAsia="宋体" w:cs="宋体"/>
          <w:color w:val="000000" w:themeColor="text1"/>
          <w14:textFill>
            <w14:solidFill>
              <w14:schemeClr w14:val="tx1"/>
            </w14:solidFill>
          </w14:textFill>
        </w:rPr>
        <w:t>，从业人员人，营业收入为万元，资产总额为万元</w:t>
      </w:r>
      <w:r>
        <w:rPr>
          <w:rFonts w:ascii="宋体" w:hAnsi="宋体" w:eastAsia="宋体" w:cs="Times New Roman"/>
          <w:color w:val="000000" w:themeColor="text1"/>
          <w:vertAlign w:val="superscript"/>
          <w14:textFill>
            <w14:solidFill>
              <w14:schemeClr w14:val="tx1"/>
            </w14:solidFill>
          </w14:textFill>
        </w:rPr>
        <w:footnoteReference w:id="0"/>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（中型企业、小型企业、</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微型企业）</w:t>
      </w:r>
      <w:r>
        <w:rPr>
          <w:rFonts w:hint="eastAsia" w:ascii="宋体" w:hAnsi="宋体" w:eastAsia="宋体" w:cs="宋体"/>
          <w:color w:val="000000" w:themeColor="text1"/>
          <w14:textFill>
            <w14:solidFill>
              <w14:schemeClr w14:val="tx1"/>
            </w14:solidFill>
          </w14:textFill>
        </w:rPr>
        <w:t>；</w:t>
      </w:r>
    </w:p>
    <w:p w14:paraId="1669250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（标的名称）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，属于</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（采购文件中明确的所属行业）</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；制造商为</w:t>
      </w:r>
      <w:r>
        <w:rPr>
          <w:rFonts w:hint="eastAsia" w:ascii="宋体" w:hAnsi="宋体" w:eastAsia="宋体" w:cs="宋体"/>
          <w:color w:val="000000" w:themeColor="text1"/>
          <w:u w:val="single"/>
          <w14:textFill>
            <w14:solidFill>
              <w14:schemeClr w14:val="tx1"/>
            </w14:solidFill>
          </w14:textFill>
        </w:rPr>
        <w:t>（企业名称）</w:t>
      </w:r>
      <w:r>
        <w:rPr>
          <w:rFonts w:hint="eastAsia" w:ascii="宋体" w:hAnsi="宋体" w:eastAsia="宋体" w:cs="宋体"/>
          <w:color w:val="000000" w:themeColor="text1"/>
          <w14:textFill>
            <w14:solidFill>
              <w14:schemeClr w14:val="tx1"/>
            </w14:solidFill>
          </w14:textFill>
        </w:rPr>
        <w:t>，从业人员人，营业收入为万元，资产总额为万元，属于</w:t>
      </w:r>
      <w:r>
        <w:rPr>
          <w:rFonts w:hint="eastAsia" w:ascii="宋体" w:hAnsi="宋体" w:eastAsia="宋体" w:cs="宋体"/>
          <w:color w:val="000000" w:themeColor="text1"/>
          <w:u w:val="single"/>
          <w14:textFill>
            <w14:solidFill>
              <w14:schemeClr w14:val="tx1"/>
            </w14:solidFill>
          </w14:textFill>
        </w:rPr>
        <w:t>（中型企业、小型企业、</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微型企业）</w:t>
      </w:r>
      <w:r>
        <w:rPr>
          <w:rFonts w:hint="eastAsia" w:ascii="宋体" w:hAnsi="宋体" w:eastAsia="宋体" w:cs="宋体"/>
          <w:color w:val="000000" w:themeColor="text1"/>
          <w14:textFill>
            <w14:solidFill>
              <w14:schemeClr w14:val="tx1"/>
            </w14:solidFill>
          </w14:textFill>
        </w:rPr>
        <w:t>；</w:t>
      </w:r>
    </w:p>
    <w:p w14:paraId="5ABF53F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p w14:paraId="79050850">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511CE03E">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本企业对上述声明内容的真实性负责。如有虚假，将依法承担相应责任。</w:t>
      </w:r>
    </w:p>
    <w:p w14:paraId="5BD39C0A">
      <w:pPr>
        <w:spacing w:line="360" w:lineRule="auto"/>
        <w:rPr>
          <w:rFonts w:ascii="宋体" w:hAnsi="宋体" w:eastAsia="宋体" w:cs="Times New Roman"/>
          <w:color w:val="000000" w:themeColor="text1"/>
          <w14:textFill>
            <w14:solidFill>
              <w14:schemeClr w14:val="tx1"/>
            </w14:solidFill>
          </w14:textFill>
        </w:rPr>
      </w:pPr>
    </w:p>
    <w:p w14:paraId="60160C97">
      <w:pPr>
        <w:spacing w:line="360" w:lineRule="auto"/>
        <w:rPr>
          <w:rFonts w:ascii="宋体" w:hAnsi="宋体" w:eastAsia="宋体" w:cs="Times New Roman"/>
          <w:color w:val="000000" w:themeColor="text1"/>
          <w14:textFill>
            <w14:solidFill>
              <w14:schemeClr w14:val="tx1"/>
            </w14:solidFill>
          </w14:textFill>
        </w:rPr>
      </w:pPr>
    </w:p>
    <w:p w14:paraId="48EDD858">
      <w:pPr>
        <w:wordWrap w:val="0"/>
        <w:spacing w:line="360" w:lineRule="auto"/>
        <w:jc w:val="righ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企业名称（</w:t>
      </w:r>
      <w:r>
        <w:rPr>
          <w:rFonts w:hint="eastAsia" w:ascii="宋体" w:hAnsi="宋体" w:eastAsia="宋体"/>
          <w:color w:val="000000" w:themeColor="text1"/>
          <w:lang w:val="en-US" w:eastAsia="zh-CN"/>
          <w14:textFill>
            <w14:solidFill>
              <w14:schemeClr w14:val="tx1"/>
            </w14:solidFill>
          </w14:textFill>
        </w:rPr>
        <w:t>电子签章</w:t>
      </w:r>
      <w:r>
        <w:rPr>
          <w:rFonts w:hint="eastAsia" w:ascii="宋体" w:hAnsi="宋体" w:eastAsia="宋体"/>
          <w:color w:val="000000" w:themeColor="text1"/>
          <w14:textFill>
            <w14:solidFill>
              <w14:schemeClr w14:val="tx1"/>
            </w14:solidFill>
          </w14:textFill>
        </w:rPr>
        <w:t>）：</w:t>
      </w:r>
      <w:r>
        <w:rPr>
          <w:rFonts w:ascii="宋体" w:hAnsi="宋体" w:eastAsia="宋体"/>
          <w:color w:val="000000" w:themeColor="text1"/>
          <w14:textFill>
            <w14:solidFill>
              <w14:schemeClr w14:val="tx1"/>
            </w14:solidFill>
          </w14:textFill>
        </w:rPr>
        <w:t xml:space="preserve">                </w:t>
      </w:r>
    </w:p>
    <w:p w14:paraId="6791797D">
      <w:pPr>
        <w:wordWrap w:val="0"/>
        <w:spacing w:line="360" w:lineRule="auto"/>
        <w:jc w:val="right"/>
        <w:rPr>
          <w:rFonts w:ascii="宋体" w:hAnsi="宋体" w:eastAsia="宋体" w:cs="Times New Roman"/>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日</w:t>
      </w:r>
      <w:r>
        <w:rPr>
          <w:rFonts w:ascii="宋体" w:hAnsi="宋体" w:eastAsia="宋体"/>
          <w:color w:val="000000" w:themeColor="text1"/>
          <w14:textFill>
            <w14:solidFill>
              <w14:schemeClr w14:val="tx1"/>
            </w14:solidFill>
          </w14:textFill>
        </w:rPr>
        <w:t xml:space="preserve"> 期：</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                         </w:t>
      </w:r>
    </w:p>
    <w:p w14:paraId="52EEA23A">
      <w:pPr>
        <w:spacing w:line="360" w:lineRule="auto"/>
        <w:jc w:val="left"/>
        <w:rPr>
          <w:rFonts w:ascii="宋体" w:hAnsi="宋体" w:eastAsia="宋体" w:cs="Times New Roman"/>
          <w:color w:val="000000" w:themeColor="text1"/>
          <w14:textFill>
            <w14:solidFill>
              <w14:schemeClr w14:val="tx1"/>
            </w14:solidFill>
          </w14:textFill>
        </w:rPr>
      </w:pPr>
    </w:p>
    <w:p w14:paraId="4CF4B623">
      <w:pPr>
        <w:spacing w:line="360" w:lineRule="auto"/>
        <w:jc w:val="left"/>
        <w:rPr>
          <w:rFonts w:ascii="宋体" w:hAnsi="宋体" w:eastAsia="宋体" w:cs="Times New Roman"/>
          <w:color w:val="000000" w:themeColor="text1"/>
          <w14:textFill>
            <w14:solidFill>
              <w14:schemeClr w14:val="tx1"/>
            </w14:solidFill>
          </w14:textFill>
        </w:rPr>
      </w:pPr>
    </w:p>
    <w:p w14:paraId="090C9452">
      <w:pPr>
        <w:spacing w:line="360" w:lineRule="auto"/>
        <w:jc w:val="left"/>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标的名称应填写所投产品货物名称，且逐条列明本次采购所有产品制造商。</w:t>
      </w:r>
    </w:p>
    <w:p w14:paraId="42A2BA12">
      <w:pPr>
        <w:spacing w:line="360" w:lineRule="auto"/>
        <w:ind w:firstLine="420" w:firstLineChars="200"/>
        <w:jc w:val="left"/>
        <w:rPr>
          <w:rFonts w:ascii="宋体" w:hAnsi="宋体" w:eastAsia="宋体" w:cs="Times New Roman"/>
          <w:color w:val="auto"/>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本次采购货物所属行业为</w:t>
      </w:r>
      <w:r>
        <w:rPr>
          <w:rFonts w:hint="eastAsia" w:ascii="宋体" w:hAnsi="宋体" w:eastAsia="宋体" w:cs="宋体"/>
          <w:color w:val="auto"/>
        </w:rPr>
        <w:t>：</w:t>
      </w:r>
      <w:r>
        <w:rPr>
          <w:rFonts w:hint="eastAsia" w:ascii="宋体" w:hAnsi="宋体" w:eastAsia="宋体" w:cs="宋体"/>
          <w:b/>
          <w:bCs/>
          <w:color w:val="auto"/>
          <w:u w:val="single"/>
        </w:rPr>
        <w:t>工业</w:t>
      </w:r>
      <w:r>
        <w:rPr>
          <w:rFonts w:hint="eastAsia" w:ascii="宋体" w:hAnsi="宋体" w:eastAsia="宋体" w:cs="宋体"/>
          <w:b/>
          <w:bCs/>
          <w:color w:val="auto"/>
        </w:rPr>
        <w:t>。</w:t>
      </w:r>
    </w:p>
    <w:p w14:paraId="77C92BCA">
      <w:pPr>
        <w:spacing w:line="360" w:lineRule="auto"/>
        <w:ind w:firstLine="420" w:firstLineChars="200"/>
        <w:jc w:val="left"/>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投标人提供的货物既有中小企业制造货物，也有大型企业制造货物的，不享受价格扣除优惠政策，不用填写此声明函。</w:t>
      </w:r>
    </w:p>
    <w:p w14:paraId="0AE97E6E">
      <w:pPr>
        <w:spacing w:line="360" w:lineRule="auto"/>
        <w:jc w:val="left"/>
        <w:rPr>
          <w:rFonts w:hint="eastAsia" w:ascii="宋体" w:hAnsi="宋体" w:eastAsia="宋体" w:cs="Times New Roman"/>
          <w:color w:val="000000" w:themeColor="text1"/>
          <w:lang w:val="en-US" w:eastAsia="zh-CN"/>
          <w14:textFill>
            <w14:solidFill>
              <w14:schemeClr w14:val="tx1"/>
            </w14:solidFill>
          </w14:textFill>
        </w:rPr>
      </w:pPr>
    </w:p>
    <w:p w14:paraId="087E3FA2">
      <w:pPr>
        <w:spacing w:line="360" w:lineRule="auto"/>
        <w:jc w:val="left"/>
        <w:rPr>
          <w:rFonts w:hint="eastAsia" w:ascii="宋体" w:hAnsi="宋体" w:eastAsia="宋体" w:cs="Times New Roman"/>
          <w:color w:val="000000" w:themeColor="text1"/>
          <w:lang w:val="en-US" w:eastAsia="zh-CN"/>
          <w14:textFill>
            <w14:solidFill>
              <w14:schemeClr w14:val="tx1"/>
            </w14:solidFill>
          </w14:textFill>
        </w:rPr>
      </w:pPr>
    </w:p>
    <w:p w14:paraId="263323C9">
      <w:pPr>
        <w:spacing w:line="360" w:lineRule="auto"/>
        <w:jc w:val="left"/>
        <w:rPr>
          <w:rFonts w:hint="eastAsia" w:ascii="宋体" w:hAnsi="宋体" w:eastAsia="宋体" w:cs="Times New Roman"/>
          <w:color w:val="000000" w:themeColor="text1"/>
          <w:lang w:val="en-US" w:eastAsia="zh-CN"/>
          <w14:textFill>
            <w14:solidFill>
              <w14:schemeClr w14:val="tx1"/>
            </w14:solidFill>
          </w14:textFill>
        </w:rPr>
      </w:pPr>
      <w:r>
        <w:rPr>
          <w:rFonts w:hint="eastAsia" w:ascii="宋体" w:hAnsi="宋体" w:eastAsia="宋体" w:cs="Times New Roman"/>
          <w:color w:val="000000" w:themeColor="text1"/>
          <w:lang w:val="en-US" w:eastAsia="zh-CN"/>
          <w14:textFill>
            <w14:solidFill>
              <w14:schemeClr w14:val="tx1"/>
            </w14:solidFill>
          </w14:textFill>
        </w:rPr>
        <w:t>附表：</w:t>
      </w:r>
    </w:p>
    <w:tbl>
      <w:tblPr>
        <w:tblStyle w:val="42"/>
        <w:tblW w:w="0" w:type="auto"/>
        <w:jc w:val="center"/>
        <w:tblLayout w:type="fixed"/>
        <w:tblCellMar>
          <w:top w:w="0" w:type="dxa"/>
          <w:left w:w="108" w:type="dxa"/>
          <w:bottom w:w="0" w:type="dxa"/>
          <w:right w:w="108" w:type="dxa"/>
        </w:tblCellMar>
      </w:tblPr>
      <w:tblGrid>
        <w:gridCol w:w="1151"/>
        <w:gridCol w:w="1695"/>
        <w:gridCol w:w="855"/>
        <w:gridCol w:w="1140"/>
        <w:gridCol w:w="1770"/>
        <w:gridCol w:w="1650"/>
        <w:gridCol w:w="1174"/>
      </w:tblGrid>
      <w:tr w14:paraId="4EEB0027">
        <w:tblPrEx>
          <w:tblCellMar>
            <w:top w:w="0" w:type="dxa"/>
            <w:left w:w="108" w:type="dxa"/>
            <w:bottom w:w="0" w:type="dxa"/>
            <w:right w:w="108" w:type="dxa"/>
          </w:tblCellMar>
        </w:tblPrEx>
        <w:trPr>
          <w:trHeight w:val="622" w:hRule="exact"/>
          <w:jc w:val="center"/>
        </w:trPr>
        <w:tc>
          <w:tcPr>
            <w:tcW w:w="1151" w:type="dxa"/>
            <w:tcBorders>
              <w:top w:val="single" w:color="auto" w:sz="4" w:space="0"/>
              <w:left w:val="single" w:color="auto" w:sz="4" w:space="0"/>
              <w:bottom w:val="single" w:color="auto" w:sz="4" w:space="0"/>
              <w:right w:val="single" w:color="auto" w:sz="4" w:space="0"/>
            </w:tcBorders>
            <w:noWrap w:val="0"/>
            <w:vAlign w:val="center"/>
          </w:tcPr>
          <w:p w14:paraId="34CAD607">
            <w:pPr>
              <w:widowControl/>
              <w:spacing w:line="240" w:lineRule="exact"/>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行业名称</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12F66E32">
            <w:pPr>
              <w:widowControl/>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指标名称</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AC10EDF">
            <w:pPr>
              <w:widowControl/>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计量</w:t>
            </w:r>
            <w:r>
              <w:rPr>
                <w:rFonts w:hint="eastAsia" w:ascii="宋体" w:hAnsi="宋体" w:eastAsia="宋体" w:cs="宋体"/>
                <w:b/>
                <w:bCs/>
                <w:color w:val="000000"/>
                <w:kern w:val="0"/>
                <w:sz w:val="21"/>
                <w:szCs w:val="21"/>
              </w:rPr>
              <w:br w:type="textWrapping"/>
            </w:r>
            <w:r>
              <w:rPr>
                <w:rFonts w:hint="eastAsia" w:ascii="宋体" w:hAnsi="宋体" w:eastAsia="宋体" w:cs="宋体"/>
                <w:b/>
                <w:bCs/>
                <w:color w:val="000000"/>
                <w:kern w:val="0"/>
                <w:sz w:val="21"/>
                <w:szCs w:val="21"/>
              </w:rPr>
              <w:t>单位</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7FD30CB8">
            <w:pPr>
              <w:widowControl/>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大型</w:t>
            </w:r>
          </w:p>
        </w:tc>
        <w:tc>
          <w:tcPr>
            <w:tcW w:w="1770" w:type="dxa"/>
            <w:tcBorders>
              <w:top w:val="single" w:color="auto" w:sz="4" w:space="0"/>
              <w:left w:val="single" w:color="auto" w:sz="4" w:space="0"/>
              <w:bottom w:val="single" w:color="auto" w:sz="4" w:space="0"/>
              <w:right w:val="single" w:color="auto" w:sz="4" w:space="0"/>
            </w:tcBorders>
            <w:noWrap w:val="0"/>
            <w:vAlign w:val="center"/>
          </w:tcPr>
          <w:p w14:paraId="01811BE3">
            <w:pPr>
              <w:widowControl/>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中型</w:t>
            </w:r>
          </w:p>
        </w:tc>
        <w:tc>
          <w:tcPr>
            <w:tcW w:w="1650" w:type="dxa"/>
            <w:tcBorders>
              <w:top w:val="single" w:color="auto" w:sz="4" w:space="0"/>
              <w:left w:val="single" w:color="auto" w:sz="4" w:space="0"/>
              <w:bottom w:val="single" w:color="auto" w:sz="4" w:space="0"/>
              <w:right w:val="single" w:color="auto" w:sz="4" w:space="0"/>
            </w:tcBorders>
            <w:noWrap w:val="0"/>
            <w:vAlign w:val="center"/>
          </w:tcPr>
          <w:p w14:paraId="70FB8292">
            <w:pPr>
              <w:widowControl/>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小型</w:t>
            </w:r>
          </w:p>
        </w:tc>
        <w:tc>
          <w:tcPr>
            <w:tcW w:w="1174" w:type="dxa"/>
            <w:tcBorders>
              <w:top w:val="single" w:color="auto" w:sz="4" w:space="0"/>
              <w:left w:val="single" w:color="auto" w:sz="4" w:space="0"/>
              <w:bottom w:val="single" w:color="auto" w:sz="4" w:space="0"/>
              <w:right w:val="single" w:color="auto" w:sz="4" w:space="0"/>
            </w:tcBorders>
            <w:noWrap w:val="0"/>
            <w:vAlign w:val="center"/>
          </w:tcPr>
          <w:p w14:paraId="2994CEEA">
            <w:pPr>
              <w:widowControl/>
              <w:jc w:val="left"/>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微型</w:t>
            </w:r>
          </w:p>
        </w:tc>
      </w:tr>
      <w:tr w14:paraId="7888C88A">
        <w:tblPrEx>
          <w:tblCellMar>
            <w:top w:w="0" w:type="dxa"/>
            <w:left w:w="108" w:type="dxa"/>
            <w:bottom w:w="0" w:type="dxa"/>
            <w:right w:w="108" w:type="dxa"/>
          </w:tblCellMar>
        </w:tblPrEx>
        <w:trPr>
          <w:trHeight w:val="397" w:hRule="exact"/>
          <w:jc w:val="center"/>
        </w:trPr>
        <w:tc>
          <w:tcPr>
            <w:tcW w:w="1151" w:type="dxa"/>
            <w:vMerge w:val="restart"/>
            <w:tcBorders>
              <w:top w:val="single" w:color="auto" w:sz="4" w:space="0"/>
              <w:left w:val="single" w:color="auto" w:sz="4" w:space="0"/>
              <w:bottom w:val="single" w:color="auto" w:sz="4" w:space="0"/>
              <w:right w:val="single" w:color="auto" w:sz="4" w:space="0"/>
            </w:tcBorders>
            <w:noWrap w:val="0"/>
            <w:vAlign w:val="center"/>
          </w:tcPr>
          <w:p w14:paraId="21D828EF">
            <w:pPr>
              <w:widowControl/>
              <w:spacing w:line="240" w:lineRule="exact"/>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工业 *</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558CABBF">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从业人员(X)</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F9FA27B">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人</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5765A267">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X≥1000</w:t>
            </w:r>
          </w:p>
        </w:tc>
        <w:tc>
          <w:tcPr>
            <w:tcW w:w="1770" w:type="dxa"/>
            <w:tcBorders>
              <w:top w:val="single" w:color="auto" w:sz="4" w:space="0"/>
              <w:left w:val="single" w:color="auto" w:sz="4" w:space="0"/>
              <w:bottom w:val="single" w:color="auto" w:sz="4" w:space="0"/>
              <w:right w:val="single" w:color="auto" w:sz="4" w:space="0"/>
            </w:tcBorders>
            <w:noWrap w:val="0"/>
            <w:vAlign w:val="center"/>
          </w:tcPr>
          <w:p w14:paraId="58D5B022">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300≤X＜1000</w:t>
            </w:r>
          </w:p>
        </w:tc>
        <w:tc>
          <w:tcPr>
            <w:tcW w:w="1650" w:type="dxa"/>
            <w:tcBorders>
              <w:top w:val="single" w:color="auto" w:sz="4" w:space="0"/>
              <w:left w:val="single" w:color="auto" w:sz="4" w:space="0"/>
              <w:bottom w:val="single" w:color="auto" w:sz="4" w:space="0"/>
              <w:right w:val="single" w:color="auto" w:sz="4" w:space="0"/>
            </w:tcBorders>
            <w:noWrap w:val="0"/>
            <w:vAlign w:val="center"/>
          </w:tcPr>
          <w:p w14:paraId="4988C2AE">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20≤X＜300</w:t>
            </w:r>
          </w:p>
        </w:tc>
        <w:tc>
          <w:tcPr>
            <w:tcW w:w="1174" w:type="dxa"/>
            <w:tcBorders>
              <w:top w:val="single" w:color="auto" w:sz="4" w:space="0"/>
              <w:left w:val="single" w:color="auto" w:sz="4" w:space="0"/>
              <w:bottom w:val="single" w:color="auto" w:sz="4" w:space="0"/>
              <w:right w:val="single" w:color="auto" w:sz="4" w:space="0"/>
            </w:tcBorders>
            <w:noWrap w:val="0"/>
            <w:vAlign w:val="center"/>
          </w:tcPr>
          <w:p w14:paraId="33F20F8A">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X＜20</w:t>
            </w:r>
          </w:p>
        </w:tc>
      </w:tr>
      <w:tr w14:paraId="2959D6A5">
        <w:tblPrEx>
          <w:tblCellMar>
            <w:top w:w="0" w:type="dxa"/>
            <w:left w:w="108" w:type="dxa"/>
            <w:bottom w:w="0" w:type="dxa"/>
            <w:right w:w="108" w:type="dxa"/>
          </w:tblCellMar>
        </w:tblPrEx>
        <w:trPr>
          <w:trHeight w:val="397" w:hRule="exact"/>
          <w:jc w:val="center"/>
        </w:trPr>
        <w:tc>
          <w:tcPr>
            <w:tcW w:w="1151" w:type="dxa"/>
            <w:vMerge w:val="continue"/>
            <w:tcBorders>
              <w:top w:val="single" w:color="auto" w:sz="4" w:space="0"/>
              <w:left w:val="single" w:color="auto" w:sz="4" w:space="0"/>
              <w:bottom w:val="single" w:color="auto" w:sz="4" w:space="0"/>
              <w:right w:val="single" w:color="auto" w:sz="4" w:space="0"/>
            </w:tcBorders>
            <w:noWrap w:val="0"/>
            <w:vAlign w:val="center"/>
          </w:tcPr>
          <w:p w14:paraId="27C55CB0">
            <w:pPr>
              <w:widowControl/>
              <w:jc w:val="left"/>
              <w:rPr>
                <w:rFonts w:hint="eastAsia" w:ascii="宋体" w:hAnsi="宋体" w:eastAsia="宋体" w:cs="宋体"/>
                <w:color w:val="000000"/>
                <w:kern w:val="0"/>
                <w:sz w:val="21"/>
                <w:szCs w:val="21"/>
              </w:rPr>
            </w:pPr>
          </w:p>
        </w:tc>
        <w:tc>
          <w:tcPr>
            <w:tcW w:w="1695" w:type="dxa"/>
            <w:tcBorders>
              <w:top w:val="single" w:color="auto" w:sz="4" w:space="0"/>
              <w:left w:val="single" w:color="auto" w:sz="4" w:space="0"/>
              <w:bottom w:val="single" w:color="auto" w:sz="4" w:space="0"/>
              <w:right w:val="single" w:color="auto" w:sz="4" w:space="0"/>
            </w:tcBorders>
            <w:noWrap w:val="0"/>
            <w:vAlign w:val="center"/>
          </w:tcPr>
          <w:p w14:paraId="050771A9">
            <w:pPr>
              <w:widowControl/>
              <w:spacing w:line="240" w:lineRule="exact"/>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营业收入(Y)</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134068FF">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万元</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0B4C6D43">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Y≥40000</w:t>
            </w:r>
          </w:p>
        </w:tc>
        <w:tc>
          <w:tcPr>
            <w:tcW w:w="1770" w:type="dxa"/>
            <w:tcBorders>
              <w:top w:val="single" w:color="auto" w:sz="4" w:space="0"/>
              <w:left w:val="single" w:color="auto" w:sz="4" w:space="0"/>
              <w:bottom w:val="single" w:color="auto" w:sz="4" w:space="0"/>
              <w:right w:val="single" w:color="auto" w:sz="4" w:space="0"/>
            </w:tcBorders>
            <w:noWrap w:val="0"/>
            <w:vAlign w:val="center"/>
          </w:tcPr>
          <w:p w14:paraId="49175BA1">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2000≤Y＜40000</w:t>
            </w:r>
          </w:p>
        </w:tc>
        <w:tc>
          <w:tcPr>
            <w:tcW w:w="1650" w:type="dxa"/>
            <w:tcBorders>
              <w:top w:val="single" w:color="auto" w:sz="4" w:space="0"/>
              <w:left w:val="single" w:color="auto" w:sz="4" w:space="0"/>
              <w:bottom w:val="single" w:color="auto" w:sz="4" w:space="0"/>
              <w:right w:val="single" w:color="auto" w:sz="4" w:space="0"/>
            </w:tcBorders>
            <w:noWrap w:val="0"/>
            <w:vAlign w:val="center"/>
          </w:tcPr>
          <w:p w14:paraId="25AA81C7">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300≤Y＜2000</w:t>
            </w:r>
          </w:p>
        </w:tc>
        <w:tc>
          <w:tcPr>
            <w:tcW w:w="1174" w:type="dxa"/>
            <w:tcBorders>
              <w:top w:val="single" w:color="auto" w:sz="4" w:space="0"/>
              <w:left w:val="single" w:color="auto" w:sz="4" w:space="0"/>
              <w:bottom w:val="single" w:color="auto" w:sz="4" w:space="0"/>
              <w:right w:val="single" w:color="auto" w:sz="4" w:space="0"/>
            </w:tcBorders>
            <w:noWrap w:val="0"/>
            <w:vAlign w:val="center"/>
          </w:tcPr>
          <w:p w14:paraId="0A930216">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Y＜300</w:t>
            </w:r>
          </w:p>
        </w:tc>
      </w:tr>
    </w:tbl>
    <w:p w14:paraId="7B15DC59">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spacing w:val="8"/>
          <w:kern w:val="0"/>
          <w:sz w:val="21"/>
          <w:szCs w:val="21"/>
          <w:lang w:eastAsia="zh-CN"/>
        </w:rPr>
        <w:t>（</w:t>
      </w:r>
      <w:r>
        <w:rPr>
          <w:rFonts w:hint="eastAsia" w:ascii="宋体" w:hAnsi="宋体" w:eastAsia="宋体" w:cs="宋体"/>
          <w:color w:val="000000"/>
          <w:spacing w:val="8"/>
          <w:kern w:val="0"/>
          <w:sz w:val="21"/>
          <w:szCs w:val="21"/>
        </w:rPr>
        <w:t>工业包括采矿业，制造业，电力、热力、燃气及水生产和供应业</w:t>
      </w:r>
      <w:r>
        <w:rPr>
          <w:rFonts w:hint="eastAsia" w:ascii="宋体" w:hAnsi="宋体" w:eastAsia="宋体" w:cs="宋体"/>
          <w:color w:val="000000"/>
          <w:spacing w:val="8"/>
          <w:kern w:val="0"/>
          <w:sz w:val="21"/>
          <w:szCs w:val="21"/>
          <w:lang w:eastAsia="zh-CN"/>
        </w:rPr>
        <w:t>）</w:t>
      </w:r>
    </w:p>
    <w:p w14:paraId="31288FBD">
      <w:pPr>
        <w:pStyle w:val="5"/>
        <w:keepNext w:val="0"/>
        <w:keepLines w:val="0"/>
        <w:pageBreakBefore/>
        <w:widowControl w:val="0"/>
        <w:kinsoku/>
        <w:wordWrap/>
        <w:overflowPunct/>
        <w:topLinePunct w:val="0"/>
        <w:autoSpaceDE/>
        <w:autoSpaceDN/>
        <w:bidi w:val="0"/>
        <w:adjustRightInd/>
        <w:snapToGrid/>
        <w:spacing w:before="0" w:after="0" w:line="360" w:lineRule="auto"/>
        <w:textAlignment w:val="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附件</w:t>
      </w:r>
      <w:r>
        <w:rPr>
          <w:rFonts w:hint="eastAsia" w:ascii="宋体" w:hAnsi="宋体" w:cs="宋体"/>
          <w:color w:val="000000" w:themeColor="text1"/>
          <w:sz w:val="21"/>
          <w:szCs w:val="21"/>
          <w:lang w:val="en-US" w:eastAsia="zh-CN"/>
          <w14:textFill>
            <w14:solidFill>
              <w14:schemeClr w14:val="tx1"/>
            </w14:solidFill>
          </w14:textFill>
        </w:rPr>
        <w:t>二</w:t>
      </w:r>
      <w:r>
        <w:rPr>
          <w:rFonts w:hint="eastAsia" w:ascii="宋体" w:hAnsi="宋体" w:cs="宋体"/>
          <w:color w:val="000000" w:themeColor="text1"/>
          <w:sz w:val="21"/>
          <w:szCs w:val="21"/>
          <w14:textFill>
            <w14:solidFill>
              <w14:schemeClr w14:val="tx1"/>
            </w14:solidFill>
          </w14:textFill>
        </w:rPr>
        <w:t>：</w:t>
      </w:r>
      <w:bookmarkEnd w:id="682"/>
      <w:bookmarkEnd w:id="683"/>
      <w:bookmarkEnd w:id="684"/>
      <w:bookmarkEnd w:id="685"/>
      <w:bookmarkEnd w:id="686"/>
      <w:bookmarkEnd w:id="687"/>
    </w:p>
    <w:p w14:paraId="7C1F03B3">
      <w:pPr>
        <w:spacing w:line="360" w:lineRule="auto"/>
        <w:jc w:val="left"/>
        <w:rPr>
          <w:rFonts w:ascii="宋体" w:hAnsi="宋体" w:eastAsia="宋体" w:cs="Times New Roman"/>
          <w:color w:val="000000" w:themeColor="text1"/>
          <w14:textFill>
            <w14:solidFill>
              <w14:schemeClr w14:val="tx1"/>
            </w14:solidFill>
          </w14:textFill>
        </w:rPr>
      </w:pPr>
    </w:p>
    <w:p w14:paraId="4CDDD327">
      <w:pPr>
        <w:spacing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残疾人福利性单位声明函</w:t>
      </w:r>
    </w:p>
    <w:p w14:paraId="74FA5303">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本单位郑重声明，根据《财政部</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民政部</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中国残疾人联合会关于促进残疾人就业政府采购政策的通知》（财库〔</w:t>
      </w:r>
      <w:r>
        <w:rPr>
          <w:rFonts w:ascii="宋体" w:hAnsi="宋体" w:eastAsia="宋体" w:cs="宋体"/>
          <w:color w:val="000000" w:themeColor="text1"/>
          <w14:textFill>
            <w14:solidFill>
              <w14:schemeClr w14:val="tx1"/>
            </w14:solidFill>
          </w14:textFill>
        </w:rPr>
        <w:t>2017</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号）的规定，本单位为符合条件的残疾人福利性单位，且本单位参加单位的项目采购活动提供本单位制造的货物（由本单位承担工程</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提供服务），或者提供其他残疾人福利性单位制造的货物（不包括使用非残疾人福利性单位注册商标的货物）。</w:t>
      </w:r>
    </w:p>
    <w:p w14:paraId="424F7DBF">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本单位对上述声明的真实性负责。如有虚假，将依法承担相应责任。</w:t>
      </w:r>
    </w:p>
    <w:p w14:paraId="7E97D256">
      <w:pPr>
        <w:spacing w:line="360" w:lineRule="auto"/>
        <w:rPr>
          <w:rFonts w:ascii="宋体" w:hAnsi="宋体" w:eastAsia="宋体" w:cs="Times New Roman"/>
          <w:color w:val="000000" w:themeColor="text1"/>
          <w14:textFill>
            <w14:solidFill>
              <w14:schemeClr w14:val="tx1"/>
            </w14:solidFill>
          </w14:textFill>
        </w:rPr>
      </w:pPr>
    </w:p>
    <w:p w14:paraId="216D3829">
      <w:pPr>
        <w:spacing w:line="360" w:lineRule="auto"/>
        <w:rPr>
          <w:rFonts w:ascii="宋体" w:hAnsi="宋体" w:eastAsia="宋体" w:cs="Times New Roman"/>
          <w:color w:val="000000" w:themeColor="text1"/>
          <w14:textFill>
            <w14:solidFill>
              <w14:schemeClr w14:val="tx1"/>
            </w14:solidFill>
          </w14:textFill>
        </w:rPr>
      </w:pPr>
    </w:p>
    <w:p w14:paraId="76104DBD">
      <w:pPr>
        <w:wordWrap w:val="0"/>
        <w:spacing w:line="360" w:lineRule="auto"/>
        <w:jc w:val="right"/>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单位名称（</w:t>
      </w:r>
      <w:r>
        <w:rPr>
          <w:rFonts w:hint="eastAsia" w:ascii="宋体" w:hAnsi="宋体" w:eastAsia="宋体"/>
          <w:color w:val="000000" w:themeColor="text1"/>
          <w:lang w:val="en-US" w:eastAsia="zh-CN"/>
          <w14:textFill>
            <w14:solidFill>
              <w14:schemeClr w14:val="tx1"/>
            </w14:solidFill>
          </w14:textFill>
        </w:rPr>
        <w:t>电子签章</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               </w:t>
      </w:r>
    </w:p>
    <w:p w14:paraId="6A834B7C">
      <w:pPr>
        <w:wordWrap w:val="0"/>
        <w:spacing w:line="360" w:lineRule="auto"/>
        <w:jc w:val="right"/>
        <w:rPr>
          <w:rFonts w:ascii="宋体" w:hAnsi="宋体" w:eastAsia="宋体" w:cs="Times New Roman"/>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日  期：</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                        </w:t>
      </w:r>
    </w:p>
    <w:p w14:paraId="49F3CFC1">
      <w:pPr>
        <w:spacing w:line="360" w:lineRule="auto"/>
        <w:rPr>
          <w:rFonts w:ascii="宋体" w:hAnsi="宋体" w:eastAsia="宋体" w:cs="Times New Roman"/>
          <w:color w:val="000000" w:themeColor="text1"/>
          <w14:textFill>
            <w14:solidFill>
              <w14:schemeClr w14:val="tx1"/>
            </w14:solidFill>
          </w14:textFill>
        </w:rPr>
      </w:pPr>
    </w:p>
    <w:p w14:paraId="2975F4AF">
      <w:pPr>
        <w:spacing w:line="360" w:lineRule="auto"/>
        <w:rPr>
          <w:rFonts w:ascii="宋体" w:hAnsi="宋体" w:eastAsia="宋体" w:cs="Times New Roman"/>
          <w:color w:val="000000" w:themeColor="text1"/>
          <w14:textFill>
            <w14:solidFill>
              <w14:schemeClr w14:val="tx1"/>
            </w14:solidFill>
          </w14:textFill>
        </w:rPr>
      </w:pPr>
    </w:p>
    <w:p w14:paraId="2D38A1AF">
      <w:pPr>
        <w:pStyle w:val="5"/>
        <w:spacing w:before="0" w:after="0"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14:textFill>
            <w14:solidFill>
              <w14:schemeClr w14:val="tx1"/>
            </w14:solidFill>
          </w14:textFill>
        </w:rPr>
        <w:br w:type="page"/>
      </w:r>
      <w:bookmarkStart w:id="688" w:name="_Toc77658138"/>
      <w:bookmarkStart w:id="689" w:name="_Toc14018"/>
      <w:bookmarkStart w:id="690" w:name="_Toc77504128"/>
      <w:bookmarkStart w:id="691" w:name="_Toc164432980"/>
      <w:bookmarkStart w:id="692" w:name="_Toc107396257"/>
      <w:bookmarkStart w:id="693" w:name="_Toc120282485"/>
      <w:r>
        <w:rPr>
          <w:rFonts w:hint="eastAsia" w:ascii="宋体" w:hAnsi="宋体" w:cs="宋体"/>
          <w:color w:val="000000" w:themeColor="text1"/>
          <w:sz w:val="21"/>
          <w:szCs w:val="21"/>
          <w14:textFill>
            <w14:solidFill>
              <w14:schemeClr w14:val="tx1"/>
            </w14:solidFill>
          </w14:textFill>
        </w:rPr>
        <w:t>附件</w:t>
      </w:r>
      <w:r>
        <w:rPr>
          <w:rFonts w:hint="eastAsia" w:ascii="宋体" w:hAnsi="宋体" w:cs="宋体"/>
          <w:color w:val="000000" w:themeColor="text1"/>
          <w:sz w:val="21"/>
          <w:szCs w:val="21"/>
          <w:lang w:val="en-US" w:eastAsia="zh-CN"/>
          <w14:textFill>
            <w14:solidFill>
              <w14:schemeClr w14:val="tx1"/>
            </w14:solidFill>
          </w14:textFill>
        </w:rPr>
        <w:t>三</w:t>
      </w:r>
      <w:r>
        <w:rPr>
          <w:rFonts w:hint="eastAsia" w:ascii="宋体" w:hAnsi="宋体" w:cs="宋体"/>
          <w:color w:val="000000" w:themeColor="text1"/>
          <w:sz w:val="21"/>
          <w:szCs w:val="21"/>
          <w14:textFill>
            <w14:solidFill>
              <w14:schemeClr w14:val="tx1"/>
            </w14:solidFill>
          </w14:textFill>
        </w:rPr>
        <w:t>：</w:t>
      </w:r>
      <w:bookmarkEnd w:id="688"/>
      <w:bookmarkEnd w:id="689"/>
      <w:bookmarkEnd w:id="690"/>
      <w:bookmarkEnd w:id="691"/>
      <w:bookmarkEnd w:id="692"/>
      <w:bookmarkEnd w:id="693"/>
    </w:p>
    <w:p w14:paraId="709F94AE">
      <w:pPr>
        <w:spacing w:line="360" w:lineRule="auto"/>
        <w:rPr>
          <w:rFonts w:ascii="宋体" w:hAnsi="宋体" w:eastAsia="宋体" w:cs="Times New Roman"/>
          <w:color w:val="000000" w:themeColor="text1"/>
          <w14:textFill>
            <w14:solidFill>
              <w14:schemeClr w14:val="tx1"/>
            </w14:solidFill>
          </w14:textFill>
        </w:rPr>
      </w:pPr>
    </w:p>
    <w:p w14:paraId="3517DCCF">
      <w:pPr>
        <w:spacing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监狱企业证明文件</w:t>
      </w:r>
    </w:p>
    <w:p w14:paraId="6F7EC5F1">
      <w:pPr>
        <w:spacing w:line="360" w:lineRule="auto"/>
        <w:ind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根据《财政部</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司法部关于政府采购支持监狱企业发展有关问题的通知》（财库〔</w:t>
      </w:r>
      <w:r>
        <w:rPr>
          <w:rFonts w:ascii="宋体" w:hAnsi="宋体" w:eastAsia="宋体" w:cs="宋体"/>
          <w:color w:val="000000" w:themeColor="text1"/>
          <w14:textFill>
            <w14:solidFill>
              <w14:schemeClr w14:val="tx1"/>
            </w14:solidFill>
          </w14:textFill>
        </w:rPr>
        <w:t>2014</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68</w:t>
      </w:r>
      <w:r>
        <w:rPr>
          <w:rFonts w:hint="eastAsia" w:ascii="宋体" w:hAnsi="宋体" w:eastAsia="宋体" w:cs="宋体"/>
          <w:color w:val="000000" w:themeColor="text1"/>
          <w14:textFill>
            <w14:solidFill>
              <w14:schemeClr w14:val="tx1"/>
            </w14:solidFill>
          </w14:textFill>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D7C9919">
      <w:pPr>
        <w:pStyle w:val="5"/>
        <w:spacing w:before="0" w:after="0" w:line="360" w:lineRule="auto"/>
        <w:rPr>
          <w:rFonts w:ascii="宋体" w:hAnsi="宋体" w:cs="宋体"/>
          <w:color w:val="000000" w:themeColor="text1"/>
          <w:sz w:val="21"/>
          <w:szCs w:val="21"/>
          <w14:textFill>
            <w14:solidFill>
              <w14:schemeClr w14:val="tx1"/>
            </w14:solidFill>
          </w14:textFill>
        </w:rPr>
      </w:pPr>
      <w:bookmarkStart w:id="694" w:name="_Toc120282486"/>
      <w:bookmarkStart w:id="695" w:name="_Toc107396258"/>
      <w:r>
        <w:rPr>
          <w:rFonts w:ascii="宋体" w:hAnsi="宋体" w:cs="宋体"/>
          <w:color w:val="000000" w:themeColor="text1"/>
          <w:sz w:val="21"/>
          <w:szCs w:val="21"/>
          <w14:textFill>
            <w14:solidFill>
              <w14:schemeClr w14:val="tx1"/>
            </w14:solidFill>
          </w14:textFill>
        </w:rPr>
        <w:br w:type="page"/>
      </w:r>
    </w:p>
    <w:p w14:paraId="600A394F">
      <w:pPr>
        <w:pStyle w:val="5"/>
        <w:spacing w:before="0" w:after="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附件</w:t>
      </w:r>
      <w:r>
        <w:rPr>
          <w:rFonts w:hint="eastAsia" w:ascii="宋体" w:hAnsi="宋体" w:cs="宋体"/>
          <w:color w:val="000000" w:themeColor="text1"/>
          <w:sz w:val="21"/>
          <w:szCs w:val="21"/>
          <w:lang w:val="en-US" w:eastAsia="zh-CN"/>
          <w14:textFill>
            <w14:solidFill>
              <w14:schemeClr w14:val="tx1"/>
            </w14:solidFill>
          </w14:textFill>
        </w:rPr>
        <w:t>四</w:t>
      </w:r>
      <w:r>
        <w:rPr>
          <w:rFonts w:hint="eastAsia" w:ascii="宋体" w:hAnsi="宋体" w:cs="宋体"/>
          <w:color w:val="000000" w:themeColor="text1"/>
          <w:sz w:val="21"/>
          <w:szCs w:val="21"/>
          <w14:textFill>
            <w14:solidFill>
              <w14:schemeClr w14:val="tx1"/>
            </w14:solidFill>
          </w14:textFill>
        </w:rPr>
        <w:t>：</w:t>
      </w:r>
      <w:bookmarkEnd w:id="694"/>
      <w:bookmarkEnd w:id="695"/>
    </w:p>
    <w:p w14:paraId="034574D4">
      <w:pPr>
        <w:spacing w:line="360" w:lineRule="auto"/>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政府采购节能产品、环境标志产品声明函</w:t>
      </w:r>
    </w:p>
    <w:p w14:paraId="1A9F966D">
      <w:pPr>
        <w:spacing w:line="360" w:lineRule="auto"/>
        <w:rPr>
          <w:rFonts w:ascii="宋体" w:hAnsi="宋体" w:eastAsia="宋体" w:cs="Times New Roman"/>
          <w:color w:val="000000" w:themeColor="text1"/>
          <w14:textFill>
            <w14:solidFill>
              <w14:schemeClr w14:val="tx1"/>
            </w14:solidFill>
          </w14:textFill>
        </w:rPr>
      </w:pPr>
    </w:p>
    <w:p w14:paraId="775A89EC">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本单位承诺，本次参加的</w:t>
      </w:r>
      <w:r>
        <w:rPr>
          <w:rFonts w:ascii="宋体" w:hAnsi="宋体" w:eastAsia="宋体" w:cs="宋体"/>
          <w:color w:val="000000" w:themeColor="text1"/>
          <w14:textFill>
            <w14:solidFill>
              <w14:schemeClr w14:val="tx1"/>
            </w14:solidFill>
          </w14:textFill>
        </w:rPr>
        <w:t>_________________________</w:t>
      </w:r>
      <w:r>
        <w:rPr>
          <w:rFonts w:hint="eastAsia" w:ascii="宋体" w:hAnsi="宋体" w:eastAsia="宋体" w:cs="宋体"/>
          <w:color w:val="000000" w:themeColor="text1"/>
          <w14:textFill>
            <w14:solidFill>
              <w14:schemeClr w14:val="tx1"/>
            </w14:solidFill>
          </w14:textFill>
        </w:rPr>
        <w:t>采购项目（项目编号：</w:t>
      </w:r>
      <w:r>
        <w:rPr>
          <w:rFonts w:ascii="宋体" w:hAnsi="宋体" w:eastAsia="宋体" w:cs="宋体"/>
          <w:color w:val="000000" w:themeColor="text1"/>
          <w14:textFill>
            <w14:solidFill>
              <w14:schemeClr w14:val="tx1"/>
            </w14:solidFill>
          </w14:textFill>
        </w:rPr>
        <w:t>____________</w:t>
      </w:r>
      <w:r>
        <w:rPr>
          <w:rFonts w:hint="eastAsia" w:ascii="宋体" w:hAnsi="宋体" w:eastAsia="宋体" w:cs="宋体"/>
          <w:color w:val="000000" w:themeColor="text1"/>
          <w14:textFill>
            <w14:solidFill>
              <w14:schemeClr w14:val="tx1"/>
            </w14:solidFill>
          </w14:textFill>
        </w:rPr>
        <w:t>），所投的下列产品属于《节能产品、环境标志产品政府采购品目清单》内的产品，并且具有法定认证资格的认证机构出具的认证证明，符合优先采购</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强制采购政策。本单位对以下填列的各项信息以及相关产品认证证明的真实性负责。如有虚假，将依法承担相应责任。</w:t>
      </w:r>
    </w:p>
    <w:tbl>
      <w:tblPr>
        <w:tblStyle w:val="42"/>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
        <w:gridCol w:w="791"/>
        <w:gridCol w:w="811"/>
        <w:gridCol w:w="781"/>
        <w:gridCol w:w="1270"/>
        <w:gridCol w:w="1065"/>
        <w:gridCol w:w="1067"/>
        <w:gridCol w:w="709"/>
        <w:gridCol w:w="696"/>
        <w:gridCol w:w="818"/>
        <w:gridCol w:w="1146"/>
      </w:tblGrid>
      <w:tr w14:paraId="37436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vAlign w:val="center"/>
          </w:tcPr>
          <w:p w14:paraId="676A07A9">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791" w:type="dxa"/>
            <w:vAlign w:val="center"/>
          </w:tcPr>
          <w:p w14:paraId="69B4D202">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所投产品</w:t>
            </w:r>
          </w:p>
        </w:tc>
        <w:tc>
          <w:tcPr>
            <w:tcW w:w="811" w:type="dxa"/>
            <w:vAlign w:val="center"/>
          </w:tcPr>
          <w:p w14:paraId="58E97AFB">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产品属性</w:t>
            </w:r>
          </w:p>
        </w:tc>
        <w:tc>
          <w:tcPr>
            <w:tcW w:w="781" w:type="dxa"/>
            <w:vAlign w:val="center"/>
          </w:tcPr>
          <w:p w14:paraId="101FCA60">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产品类别</w:t>
            </w:r>
          </w:p>
        </w:tc>
        <w:tc>
          <w:tcPr>
            <w:tcW w:w="1270" w:type="dxa"/>
            <w:vAlign w:val="center"/>
          </w:tcPr>
          <w:p w14:paraId="2EA37A86">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是否为强制采购产品</w:t>
            </w:r>
          </w:p>
        </w:tc>
        <w:tc>
          <w:tcPr>
            <w:tcW w:w="1065" w:type="dxa"/>
            <w:vAlign w:val="center"/>
          </w:tcPr>
          <w:p w14:paraId="50A0429E">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规格型号</w:t>
            </w:r>
          </w:p>
        </w:tc>
        <w:tc>
          <w:tcPr>
            <w:tcW w:w="1067" w:type="dxa"/>
            <w:vAlign w:val="center"/>
          </w:tcPr>
          <w:p w14:paraId="2F287C5E">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计量单位</w:t>
            </w:r>
          </w:p>
        </w:tc>
        <w:tc>
          <w:tcPr>
            <w:tcW w:w="709" w:type="dxa"/>
            <w:vAlign w:val="center"/>
          </w:tcPr>
          <w:p w14:paraId="3F37FB3D">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数量</w:t>
            </w:r>
          </w:p>
        </w:tc>
        <w:tc>
          <w:tcPr>
            <w:tcW w:w="696" w:type="dxa"/>
            <w:vAlign w:val="center"/>
          </w:tcPr>
          <w:p w14:paraId="61AE2BE0">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单价</w:t>
            </w:r>
          </w:p>
        </w:tc>
        <w:tc>
          <w:tcPr>
            <w:tcW w:w="818" w:type="dxa"/>
            <w:vAlign w:val="center"/>
          </w:tcPr>
          <w:p w14:paraId="71D60C9C">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金额合计</w:t>
            </w:r>
          </w:p>
        </w:tc>
        <w:tc>
          <w:tcPr>
            <w:tcW w:w="1146" w:type="dxa"/>
            <w:vAlign w:val="center"/>
          </w:tcPr>
          <w:p w14:paraId="3BAEAD84">
            <w:pPr>
              <w:jc w:val="center"/>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认证证书编号</w:t>
            </w:r>
          </w:p>
        </w:tc>
      </w:tr>
      <w:tr w14:paraId="1371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tcPr>
          <w:p w14:paraId="303B2CE8">
            <w:pPr>
              <w:ind w:firstLine="310"/>
              <w:jc w:val="left"/>
              <w:rPr>
                <w:rFonts w:ascii="宋体" w:hAnsi="宋体" w:eastAsia="宋体" w:cs="Times New Roman"/>
                <w:color w:val="000000" w:themeColor="text1"/>
                <w14:textFill>
                  <w14:solidFill>
                    <w14:schemeClr w14:val="tx1"/>
                  </w14:solidFill>
                </w14:textFill>
              </w:rPr>
            </w:pPr>
          </w:p>
        </w:tc>
        <w:tc>
          <w:tcPr>
            <w:tcW w:w="791" w:type="dxa"/>
          </w:tcPr>
          <w:p w14:paraId="69368630">
            <w:pPr>
              <w:ind w:firstLine="310"/>
              <w:jc w:val="left"/>
              <w:rPr>
                <w:rFonts w:ascii="宋体" w:hAnsi="宋体" w:eastAsia="宋体" w:cs="Times New Roman"/>
                <w:color w:val="000000" w:themeColor="text1"/>
                <w14:textFill>
                  <w14:solidFill>
                    <w14:schemeClr w14:val="tx1"/>
                  </w14:solidFill>
                </w14:textFill>
              </w:rPr>
            </w:pPr>
          </w:p>
        </w:tc>
        <w:tc>
          <w:tcPr>
            <w:tcW w:w="811" w:type="dxa"/>
          </w:tcPr>
          <w:p w14:paraId="6BC6CB55">
            <w:pPr>
              <w:ind w:firstLine="310"/>
              <w:jc w:val="left"/>
              <w:rPr>
                <w:rFonts w:ascii="宋体" w:hAnsi="宋体" w:eastAsia="宋体" w:cs="Times New Roman"/>
                <w:color w:val="000000" w:themeColor="text1"/>
                <w14:textFill>
                  <w14:solidFill>
                    <w14:schemeClr w14:val="tx1"/>
                  </w14:solidFill>
                </w14:textFill>
              </w:rPr>
            </w:pPr>
          </w:p>
        </w:tc>
        <w:tc>
          <w:tcPr>
            <w:tcW w:w="781" w:type="dxa"/>
          </w:tcPr>
          <w:p w14:paraId="44736B4C">
            <w:pPr>
              <w:ind w:firstLine="310"/>
              <w:jc w:val="left"/>
              <w:rPr>
                <w:rFonts w:ascii="宋体" w:hAnsi="宋体" w:eastAsia="宋体" w:cs="Times New Roman"/>
                <w:color w:val="000000" w:themeColor="text1"/>
                <w14:textFill>
                  <w14:solidFill>
                    <w14:schemeClr w14:val="tx1"/>
                  </w14:solidFill>
                </w14:textFill>
              </w:rPr>
            </w:pPr>
          </w:p>
        </w:tc>
        <w:tc>
          <w:tcPr>
            <w:tcW w:w="1270" w:type="dxa"/>
          </w:tcPr>
          <w:p w14:paraId="1AE82059">
            <w:pPr>
              <w:ind w:firstLine="310"/>
              <w:jc w:val="left"/>
              <w:rPr>
                <w:rFonts w:ascii="宋体" w:hAnsi="宋体" w:eastAsia="宋体" w:cs="Times New Roman"/>
                <w:color w:val="000000" w:themeColor="text1"/>
                <w14:textFill>
                  <w14:solidFill>
                    <w14:schemeClr w14:val="tx1"/>
                  </w14:solidFill>
                </w14:textFill>
              </w:rPr>
            </w:pPr>
          </w:p>
        </w:tc>
        <w:tc>
          <w:tcPr>
            <w:tcW w:w="1065" w:type="dxa"/>
          </w:tcPr>
          <w:p w14:paraId="562DB2B9">
            <w:pPr>
              <w:ind w:firstLine="310"/>
              <w:jc w:val="left"/>
              <w:rPr>
                <w:rFonts w:ascii="宋体" w:hAnsi="宋体" w:eastAsia="宋体" w:cs="Times New Roman"/>
                <w:color w:val="000000" w:themeColor="text1"/>
                <w14:textFill>
                  <w14:solidFill>
                    <w14:schemeClr w14:val="tx1"/>
                  </w14:solidFill>
                </w14:textFill>
              </w:rPr>
            </w:pPr>
          </w:p>
        </w:tc>
        <w:tc>
          <w:tcPr>
            <w:tcW w:w="1067" w:type="dxa"/>
          </w:tcPr>
          <w:p w14:paraId="322E4C7C">
            <w:pPr>
              <w:ind w:firstLine="310"/>
              <w:jc w:val="left"/>
              <w:rPr>
                <w:rFonts w:ascii="宋体" w:hAnsi="宋体" w:eastAsia="宋体" w:cs="Times New Roman"/>
                <w:color w:val="000000" w:themeColor="text1"/>
                <w14:textFill>
                  <w14:solidFill>
                    <w14:schemeClr w14:val="tx1"/>
                  </w14:solidFill>
                </w14:textFill>
              </w:rPr>
            </w:pPr>
          </w:p>
        </w:tc>
        <w:tc>
          <w:tcPr>
            <w:tcW w:w="709" w:type="dxa"/>
          </w:tcPr>
          <w:p w14:paraId="3538EC64">
            <w:pPr>
              <w:ind w:firstLine="310"/>
              <w:jc w:val="left"/>
              <w:rPr>
                <w:rFonts w:ascii="宋体" w:hAnsi="宋体" w:eastAsia="宋体" w:cs="Times New Roman"/>
                <w:color w:val="000000" w:themeColor="text1"/>
                <w14:textFill>
                  <w14:solidFill>
                    <w14:schemeClr w14:val="tx1"/>
                  </w14:solidFill>
                </w14:textFill>
              </w:rPr>
            </w:pPr>
          </w:p>
        </w:tc>
        <w:tc>
          <w:tcPr>
            <w:tcW w:w="696" w:type="dxa"/>
          </w:tcPr>
          <w:p w14:paraId="63D18CC5">
            <w:pPr>
              <w:ind w:firstLine="310"/>
              <w:jc w:val="left"/>
              <w:rPr>
                <w:rFonts w:ascii="宋体" w:hAnsi="宋体" w:eastAsia="宋体" w:cs="Times New Roman"/>
                <w:color w:val="000000" w:themeColor="text1"/>
                <w14:textFill>
                  <w14:solidFill>
                    <w14:schemeClr w14:val="tx1"/>
                  </w14:solidFill>
                </w14:textFill>
              </w:rPr>
            </w:pPr>
          </w:p>
        </w:tc>
        <w:tc>
          <w:tcPr>
            <w:tcW w:w="818" w:type="dxa"/>
          </w:tcPr>
          <w:p w14:paraId="7912569A">
            <w:pPr>
              <w:ind w:firstLine="310"/>
              <w:jc w:val="left"/>
              <w:rPr>
                <w:rFonts w:ascii="宋体" w:hAnsi="宋体" w:eastAsia="宋体" w:cs="Times New Roman"/>
                <w:color w:val="000000" w:themeColor="text1"/>
                <w14:textFill>
                  <w14:solidFill>
                    <w14:schemeClr w14:val="tx1"/>
                  </w14:solidFill>
                </w14:textFill>
              </w:rPr>
            </w:pPr>
          </w:p>
        </w:tc>
        <w:tc>
          <w:tcPr>
            <w:tcW w:w="1146" w:type="dxa"/>
          </w:tcPr>
          <w:p w14:paraId="4F914782">
            <w:pPr>
              <w:ind w:firstLine="310"/>
              <w:jc w:val="left"/>
              <w:rPr>
                <w:rFonts w:ascii="宋体" w:hAnsi="宋体" w:eastAsia="宋体" w:cs="Times New Roman"/>
                <w:color w:val="000000" w:themeColor="text1"/>
                <w14:textFill>
                  <w14:solidFill>
                    <w14:schemeClr w14:val="tx1"/>
                  </w14:solidFill>
                </w14:textFill>
              </w:rPr>
            </w:pPr>
          </w:p>
        </w:tc>
      </w:tr>
      <w:tr w14:paraId="6242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tcPr>
          <w:p w14:paraId="75E23E1A">
            <w:pPr>
              <w:ind w:firstLine="310"/>
              <w:jc w:val="left"/>
              <w:rPr>
                <w:rFonts w:ascii="宋体" w:hAnsi="宋体" w:eastAsia="宋体" w:cs="Times New Roman"/>
                <w:color w:val="000000" w:themeColor="text1"/>
                <w14:textFill>
                  <w14:solidFill>
                    <w14:schemeClr w14:val="tx1"/>
                  </w14:solidFill>
                </w14:textFill>
              </w:rPr>
            </w:pPr>
          </w:p>
        </w:tc>
        <w:tc>
          <w:tcPr>
            <w:tcW w:w="791" w:type="dxa"/>
          </w:tcPr>
          <w:p w14:paraId="03757372">
            <w:pPr>
              <w:ind w:firstLine="310"/>
              <w:jc w:val="left"/>
              <w:rPr>
                <w:rFonts w:ascii="宋体" w:hAnsi="宋体" w:eastAsia="宋体" w:cs="Times New Roman"/>
                <w:color w:val="000000" w:themeColor="text1"/>
                <w14:textFill>
                  <w14:solidFill>
                    <w14:schemeClr w14:val="tx1"/>
                  </w14:solidFill>
                </w14:textFill>
              </w:rPr>
            </w:pPr>
          </w:p>
        </w:tc>
        <w:tc>
          <w:tcPr>
            <w:tcW w:w="811" w:type="dxa"/>
          </w:tcPr>
          <w:p w14:paraId="4BDA839A">
            <w:pPr>
              <w:ind w:firstLine="310"/>
              <w:jc w:val="left"/>
              <w:rPr>
                <w:rFonts w:ascii="宋体" w:hAnsi="宋体" w:eastAsia="宋体" w:cs="Times New Roman"/>
                <w:color w:val="000000" w:themeColor="text1"/>
                <w14:textFill>
                  <w14:solidFill>
                    <w14:schemeClr w14:val="tx1"/>
                  </w14:solidFill>
                </w14:textFill>
              </w:rPr>
            </w:pPr>
          </w:p>
        </w:tc>
        <w:tc>
          <w:tcPr>
            <w:tcW w:w="781" w:type="dxa"/>
          </w:tcPr>
          <w:p w14:paraId="18F784B6">
            <w:pPr>
              <w:ind w:firstLine="310"/>
              <w:jc w:val="left"/>
              <w:rPr>
                <w:rFonts w:ascii="宋体" w:hAnsi="宋体" w:eastAsia="宋体" w:cs="Times New Roman"/>
                <w:color w:val="000000" w:themeColor="text1"/>
                <w14:textFill>
                  <w14:solidFill>
                    <w14:schemeClr w14:val="tx1"/>
                  </w14:solidFill>
                </w14:textFill>
              </w:rPr>
            </w:pPr>
          </w:p>
        </w:tc>
        <w:tc>
          <w:tcPr>
            <w:tcW w:w="1270" w:type="dxa"/>
          </w:tcPr>
          <w:p w14:paraId="6AAB04D2">
            <w:pPr>
              <w:ind w:firstLine="310"/>
              <w:jc w:val="left"/>
              <w:rPr>
                <w:rFonts w:ascii="宋体" w:hAnsi="宋体" w:eastAsia="宋体" w:cs="Times New Roman"/>
                <w:color w:val="000000" w:themeColor="text1"/>
                <w14:textFill>
                  <w14:solidFill>
                    <w14:schemeClr w14:val="tx1"/>
                  </w14:solidFill>
                </w14:textFill>
              </w:rPr>
            </w:pPr>
          </w:p>
        </w:tc>
        <w:tc>
          <w:tcPr>
            <w:tcW w:w="1065" w:type="dxa"/>
          </w:tcPr>
          <w:p w14:paraId="3DE4C9CD">
            <w:pPr>
              <w:ind w:firstLine="310"/>
              <w:jc w:val="left"/>
              <w:rPr>
                <w:rFonts w:ascii="宋体" w:hAnsi="宋体" w:eastAsia="宋体" w:cs="Times New Roman"/>
                <w:color w:val="000000" w:themeColor="text1"/>
                <w14:textFill>
                  <w14:solidFill>
                    <w14:schemeClr w14:val="tx1"/>
                  </w14:solidFill>
                </w14:textFill>
              </w:rPr>
            </w:pPr>
          </w:p>
        </w:tc>
        <w:tc>
          <w:tcPr>
            <w:tcW w:w="1067" w:type="dxa"/>
          </w:tcPr>
          <w:p w14:paraId="0D1E8B54">
            <w:pPr>
              <w:ind w:firstLine="310"/>
              <w:jc w:val="left"/>
              <w:rPr>
                <w:rFonts w:ascii="宋体" w:hAnsi="宋体" w:eastAsia="宋体" w:cs="Times New Roman"/>
                <w:color w:val="000000" w:themeColor="text1"/>
                <w14:textFill>
                  <w14:solidFill>
                    <w14:schemeClr w14:val="tx1"/>
                  </w14:solidFill>
                </w14:textFill>
              </w:rPr>
            </w:pPr>
          </w:p>
        </w:tc>
        <w:tc>
          <w:tcPr>
            <w:tcW w:w="709" w:type="dxa"/>
          </w:tcPr>
          <w:p w14:paraId="67D3BE6D">
            <w:pPr>
              <w:ind w:firstLine="310"/>
              <w:jc w:val="left"/>
              <w:rPr>
                <w:rFonts w:ascii="宋体" w:hAnsi="宋体" w:eastAsia="宋体" w:cs="Times New Roman"/>
                <w:color w:val="000000" w:themeColor="text1"/>
                <w14:textFill>
                  <w14:solidFill>
                    <w14:schemeClr w14:val="tx1"/>
                  </w14:solidFill>
                </w14:textFill>
              </w:rPr>
            </w:pPr>
          </w:p>
        </w:tc>
        <w:tc>
          <w:tcPr>
            <w:tcW w:w="696" w:type="dxa"/>
          </w:tcPr>
          <w:p w14:paraId="413D3C2E">
            <w:pPr>
              <w:ind w:firstLine="310"/>
              <w:jc w:val="left"/>
              <w:rPr>
                <w:rFonts w:ascii="宋体" w:hAnsi="宋体" w:eastAsia="宋体" w:cs="Times New Roman"/>
                <w:color w:val="000000" w:themeColor="text1"/>
                <w14:textFill>
                  <w14:solidFill>
                    <w14:schemeClr w14:val="tx1"/>
                  </w14:solidFill>
                </w14:textFill>
              </w:rPr>
            </w:pPr>
          </w:p>
        </w:tc>
        <w:tc>
          <w:tcPr>
            <w:tcW w:w="818" w:type="dxa"/>
          </w:tcPr>
          <w:p w14:paraId="653A8FB8">
            <w:pPr>
              <w:ind w:firstLine="310"/>
              <w:jc w:val="left"/>
              <w:rPr>
                <w:rFonts w:ascii="宋体" w:hAnsi="宋体" w:eastAsia="宋体" w:cs="Times New Roman"/>
                <w:color w:val="000000" w:themeColor="text1"/>
                <w14:textFill>
                  <w14:solidFill>
                    <w14:schemeClr w14:val="tx1"/>
                  </w14:solidFill>
                </w14:textFill>
              </w:rPr>
            </w:pPr>
          </w:p>
        </w:tc>
        <w:tc>
          <w:tcPr>
            <w:tcW w:w="1146" w:type="dxa"/>
          </w:tcPr>
          <w:p w14:paraId="12A86BF9">
            <w:pPr>
              <w:ind w:firstLine="310"/>
              <w:jc w:val="left"/>
              <w:rPr>
                <w:rFonts w:ascii="宋体" w:hAnsi="宋体" w:eastAsia="宋体" w:cs="Times New Roman"/>
                <w:color w:val="000000" w:themeColor="text1"/>
                <w14:textFill>
                  <w14:solidFill>
                    <w14:schemeClr w14:val="tx1"/>
                  </w14:solidFill>
                </w14:textFill>
              </w:rPr>
            </w:pPr>
          </w:p>
        </w:tc>
      </w:tr>
    </w:tbl>
    <w:p w14:paraId="3E58B658">
      <w:pPr>
        <w:spacing w:line="360" w:lineRule="auto"/>
        <w:ind w:firstLine="420" w:firstLineChars="200"/>
        <w:rPr>
          <w:rFonts w:ascii="宋体" w:hAnsi="宋体" w:eastAsia="宋体" w:cs="Times New Roman"/>
          <w:color w:val="000000" w:themeColor="text1"/>
          <w14:textFill>
            <w14:solidFill>
              <w14:schemeClr w14:val="tx1"/>
            </w14:solidFill>
          </w14:textFill>
        </w:rPr>
      </w:pPr>
    </w:p>
    <w:p w14:paraId="6C583345">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附件：认证证明（可以是认证证书复印件或是法定信息发布平台公布的认证信息截图）</w:t>
      </w:r>
    </w:p>
    <w:p w14:paraId="0EB3CE16">
      <w:pPr>
        <w:spacing w:line="360" w:lineRule="auto"/>
        <w:ind w:firstLine="420" w:firstLineChars="200"/>
        <w:rPr>
          <w:rFonts w:ascii="宋体" w:hAnsi="宋体" w:eastAsia="宋体" w:cs="Times New Roman"/>
          <w:color w:val="000000" w:themeColor="text1"/>
          <w14:textFill>
            <w14:solidFill>
              <w14:schemeClr w14:val="tx1"/>
            </w14:solidFill>
          </w14:textFill>
        </w:rPr>
      </w:pPr>
    </w:p>
    <w:p w14:paraId="22F5EAC0">
      <w:pPr>
        <w:spacing w:line="360" w:lineRule="auto"/>
        <w:ind w:firstLine="420" w:firstLineChars="200"/>
        <w:rPr>
          <w:rFonts w:ascii="宋体" w:hAnsi="宋体" w:eastAsia="宋体" w:cs="Times New Roman"/>
          <w:color w:val="000000" w:themeColor="text1"/>
          <w14:textFill>
            <w14:solidFill>
              <w14:schemeClr w14:val="tx1"/>
            </w14:solidFill>
          </w14:textFill>
        </w:rPr>
      </w:pPr>
    </w:p>
    <w:p w14:paraId="4F3B8989">
      <w:pPr>
        <w:spacing w:line="360" w:lineRule="auto"/>
        <w:rPr>
          <w:rFonts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表格填写说明：</w:t>
      </w:r>
    </w:p>
    <w:p w14:paraId="3A18390B">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产品类别：是指国家有关部门发布的节能产品、环境标志产品政府采购品目清单规定的产品类别。如计算机、电冰箱等。</w:t>
      </w:r>
    </w:p>
    <w:p w14:paraId="4E51208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产品属性：节能、环境认证产品。</w:t>
      </w:r>
    </w:p>
    <w:p w14:paraId="1959CA77">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本表应逐项填写，并按规定签署，不得漏项，否则视为该《声明函》无效。</w:t>
      </w:r>
    </w:p>
    <w:p w14:paraId="24B8EE88">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认证证明应与所投产品、产品类别保持一致，否则视为认证证明无效。</w:t>
      </w:r>
    </w:p>
    <w:p w14:paraId="65A38CD4">
      <w:pPr>
        <w:spacing w:line="360" w:lineRule="auto"/>
        <w:ind w:firstLine="420" w:firstLineChars="200"/>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投标人应同时提供有效的《政府采购节能产品、环境标志产品声明函》及有效的节能环保产品认证证明，才能享受节能环保优惠政策。</w:t>
      </w:r>
    </w:p>
    <w:p w14:paraId="4E5E8E69">
      <w:pPr>
        <w:spacing w:line="360" w:lineRule="auto"/>
        <w:rPr>
          <w:rFonts w:ascii="宋体" w:hAnsi="宋体" w:eastAsia="宋体" w:cs="Times New Roman"/>
          <w:color w:val="000000" w:themeColor="text1"/>
          <w14:textFill>
            <w14:solidFill>
              <w14:schemeClr w14:val="tx1"/>
            </w14:solidFill>
          </w14:textFill>
        </w:rPr>
      </w:pPr>
    </w:p>
    <w:p w14:paraId="1C8A337B">
      <w:pPr>
        <w:spacing w:line="360" w:lineRule="auto"/>
        <w:rPr>
          <w:rFonts w:ascii="宋体" w:hAnsi="宋体" w:eastAsia="宋体" w:cs="Times New Roman"/>
          <w:color w:val="000000" w:themeColor="text1"/>
          <w14:textFill>
            <w14:solidFill>
              <w14:schemeClr w14:val="tx1"/>
            </w14:solidFill>
          </w14:textFill>
        </w:rPr>
      </w:pPr>
    </w:p>
    <w:p w14:paraId="7CE5A748">
      <w:pPr>
        <w:spacing w:line="360" w:lineRule="auto"/>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投 标 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114F7ECD">
      <w:pPr>
        <w:spacing w:line="360" w:lineRule="auto"/>
        <w:jc w:val="right"/>
        <w:rPr>
          <w:rFonts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 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r>
        <w:rPr>
          <w:rFonts w:hint="eastAsia" w:ascii="宋体" w:hAnsi="宋体" w:eastAsia="宋体"/>
          <w:color w:val="000000" w:themeColor="text1"/>
          <w:u w:val="single"/>
          <w:lang w:val="en-US" w:eastAsia="zh-CN"/>
          <w14:textFill>
            <w14:solidFill>
              <w14:schemeClr w14:val="tx1"/>
            </w14:solidFill>
          </w14:textFill>
        </w:rPr>
        <w:t>或电子签字</w:t>
      </w:r>
      <w:r>
        <w:rPr>
          <w:rFonts w:hint="eastAsia" w:ascii="宋体" w:hAnsi="宋体" w:eastAsia="宋体"/>
          <w:color w:val="000000" w:themeColor="text1"/>
          <w:u w:val="single"/>
          <w14:textFill>
            <w14:solidFill>
              <w14:schemeClr w14:val="tx1"/>
            </w14:solidFill>
          </w14:textFill>
        </w:rPr>
        <w:t>）</w:t>
      </w:r>
    </w:p>
    <w:p w14:paraId="31C04BE0">
      <w:pPr>
        <w:spacing w:line="360" w:lineRule="auto"/>
        <w:jc w:val="right"/>
        <w:rPr>
          <w:rFonts w:ascii="宋体" w:hAnsi="宋体" w:eastAsia="宋体" w:cs="Times New Roman"/>
          <w:color w:val="000000" w:themeColor="text1"/>
          <w:u w:val="single"/>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392B9C34">
      <w:pPr>
        <w:spacing w:line="360" w:lineRule="auto"/>
        <w:rPr>
          <w:rFonts w:ascii="宋体" w:hAnsi="宋体" w:eastAsia="宋体" w:cs="Times New Roman"/>
          <w:color w:val="000000" w:themeColor="text1"/>
          <w14:textFill>
            <w14:solidFill>
              <w14:schemeClr w14:val="tx1"/>
            </w14:solidFill>
          </w14:textFill>
        </w:rPr>
      </w:pPr>
    </w:p>
    <w:p w14:paraId="591449D6">
      <w:pPr>
        <w:spacing w:line="360" w:lineRule="auto"/>
        <w:rPr>
          <w:rFonts w:ascii="宋体" w:hAnsi="宋体" w:eastAsia="宋体" w:cs="Times New Roman"/>
          <w:color w:val="000000" w:themeColor="text1"/>
          <w14:textFill>
            <w14:solidFill>
              <w14:schemeClr w14:val="tx1"/>
            </w14:solidFill>
          </w14:textFill>
        </w:rPr>
      </w:pPr>
    </w:p>
    <w:p w14:paraId="7A617380">
      <w:pPr>
        <w:pStyle w:val="16"/>
        <w:ind w:left="63" w:right="63"/>
        <w:rPr>
          <w:color w:val="000000" w:themeColor="text1"/>
          <w14:textFill>
            <w14:solidFill>
              <w14:schemeClr w14:val="tx1"/>
            </w14:solidFill>
          </w14:textFill>
        </w:rPr>
      </w:pPr>
    </w:p>
    <w:sectPr>
      <w:footerReference r:id="rId19" w:type="default"/>
      <w:headerReference r:id="rId18" w:type="even"/>
      <w:footerReference r:id="rId20" w:type="even"/>
      <w:pgSz w:w="11906" w:h="16838"/>
      <w:pgMar w:top="1418" w:right="1134" w:bottom="1418" w:left="1134" w:header="851" w:footer="992" w:gutter="0"/>
      <w:pgNumType w:fmt="decimal"/>
      <w:cols w:space="720" w:num="1"/>
      <w:rtlGutter w:val="1"/>
      <w:docGrid w:linePitch="326" w:charSpace="483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mp;#23435;&amp;#20307;">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77BE7">
    <w:pPr>
      <w:pBdr>
        <w:bottom w:val="thickThinSmallGap" w:color="622423" w:sz="24" w:space="0"/>
      </w:pBdr>
      <w:jc w:val="left"/>
    </w:pPr>
  </w:p>
  <w:p w14:paraId="29746A3F">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7A35E">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06554">
    <w:pPr>
      <w:pBdr>
        <w:bottom w:val="thickThinSmallGap" w:color="622423" w:sz="24" w:space="0"/>
      </w:pBdr>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p>
  <w:p w14:paraId="7DE51858">
    <w:pPr>
      <w:pStyle w:val="26"/>
      <w:rPr>
        <w:rFonts w:hint="eastAsia"/>
        <w:lang w:val="en-US"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CF457">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A627D">
    <w:pPr>
      <w:pBdr>
        <w:bottom w:val="thickThinSmallGap" w:color="622423" w:sz="24" w:space="0"/>
      </w:pBdr>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p>
  <w:p w14:paraId="6053CC2B">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84F24">
                          <w:pPr>
                            <w:pStyle w:val="26"/>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F284F24">
                    <w:pPr>
                      <w:pStyle w:val="26"/>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DCB8C">
    <w:pPr>
      <w:pBdr>
        <w:bottom w:val="thickThinSmallGap" w:color="622423" w:sz="24" w:space="0"/>
      </w:pBdr>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p>
  <w:p w14:paraId="69E5E46C">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9CF40">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8E9CF40">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053F7">
    <w:pPr>
      <w:pBdr>
        <w:bottom w:val="thickThinSmallGap" w:color="622423" w:sz="24" w:space="0"/>
      </w:pBdr>
      <w:jc w:val="left"/>
    </w:pPr>
    <w:r>
      <w:rPr>
        <w:rFonts w:hint="eastAsia" w:ascii="华文新魏" w:hAnsi="宋体" w:eastAsia="华文新魏" w:cs="华文新魏"/>
        <w:sz w:val="18"/>
        <w:szCs w:val="18"/>
      </w:rPr>
      <w:t xml:space="preserve">                     </w:t>
    </w:r>
  </w:p>
  <w:p w14:paraId="4A59FC16">
    <w:pPr>
      <w:pStyle w:val="26"/>
      <w:jc w:val="both"/>
      <w:rPr>
        <w:rFonts w:hint="eastAsia"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71DD25">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D71DD25">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6522F8AC">
    <w:pPr>
      <w:pStyle w:val="26"/>
      <w:ind w:firstLine="360" w:firstLineChars="20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DF49C">
    <w:pPr>
      <w:pBdr>
        <w:bottom w:val="thickThinSmallGap" w:color="622423" w:sz="24" w:space="0"/>
      </w:pBdr>
      <w:jc w:val="left"/>
    </w:pPr>
    <w:r>
      <w:rPr>
        <w:rFonts w:ascii="华文新魏" w:hAnsi="宋体" w:eastAsia="华文新魏" w:cs="华文新魏"/>
        <w:sz w:val="18"/>
        <w:szCs w:val="18"/>
      </w:rPr>
      <w:t xml:space="preserve">    </w:t>
    </w:r>
  </w:p>
  <w:p w14:paraId="6395911D">
    <w:pPr>
      <w:spacing w:line="190" w:lineRule="auto"/>
      <w:ind w:left="4518"/>
      <w:rPr>
        <w:rFonts w:ascii="宋体" w:hAnsi="宋体" w:eastAsia="宋体" w:cs="宋体"/>
        <w:sz w:val="23"/>
        <w:szCs w:val="23"/>
      </w:rPr>
    </w:pPr>
    <w:r>
      <w:rPr>
        <w:sz w:val="23"/>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D3F1F8">
                          <w:pPr>
                            <w:pStyle w:val="26"/>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7D3F1F8">
                    <w:pPr>
                      <w:pStyle w:val="26"/>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ED306">
    <w:pPr>
      <w:pBdr>
        <w:bottom w:val="thickThinSmallGap" w:color="622423" w:sz="24" w:space="0"/>
      </w:pBdr>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p>
  <w:p w14:paraId="7CE7E151">
    <w:pPr>
      <w:pStyle w:val="2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70A14">
                          <w:pPr>
                            <w:pStyle w:val="26"/>
                          </w:pPr>
                          <w:r>
                            <w:t xml:space="preserve">第 </w:t>
                          </w:r>
                          <w:r>
                            <w:fldChar w:fldCharType="begin"/>
                          </w:r>
                          <w:r>
                            <w:instrText xml:space="preserve"> PAGE  \* MERGEFORMAT </w:instrText>
                          </w:r>
                          <w:r>
                            <w:fldChar w:fldCharType="separate"/>
                          </w:r>
                          <w:r>
                            <w:t>213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5E70A14">
                    <w:pPr>
                      <w:pStyle w:val="26"/>
                    </w:pPr>
                    <w:r>
                      <w:t xml:space="preserve">第 </w:t>
                    </w:r>
                    <w:r>
                      <w:fldChar w:fldCharType="begin"/>
                    </w:r>
                    <w:r>
                      <w:instrText xml:space="preserve"> PAGE  \* MERGEFORMAT </w:instrText>
                    </w:r>
                    <w:r>
                      <w:fldChar w:fldCharType="separate"/>
                    </w:r>
                    <w:r>
                      <w:t>213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CFD3D">
    <w:pPr>
      <w:pBdr>
        <w:bottom w:val="thickThinSmallGap" w:color="622423" w:sz="24" w:space="0"/>
      </w:pBdr>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p>
  <w:p w14:paraId="139E59F3">
    <w:pPr>
      <w:pStyle w:val="2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60A07D">
                          <w:pPr>
                            <w:pStyle w:val="26"/>
                          </w:pPr>
                          <w:r>
                            <w:t xml:space="preserve">第 </w:t>
                          </w:r>
                          <w:r>
                            <w:fldChar w:fldCharType="begin"/>
                          </w:r>
                          <w:r>
                            <w:instrText xml:space="preserve"> PAGE  \* MERGEFORMAT </w:instrText>
                          </w:r>
                          <w:r>
                            <w:fldChar w:fldCharType="separate"/>
                          </w:r>
                          <w:r>
                            <w:t>214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060A07D">
                    <w:pPr>
                      <w:pStyle w:val="26"/>
                    </w:pPr>
                    <w:r>
                      <w:t xml:space="preserve">第 </w:t>
                    </w:r>
                    <w:r>
                      <w:fldChar w:fldCharType="begin"/>
                    </w:r>
                    <w:r>
                      <w:instrText xml:space="preserve"> PAGE  \* MERGEFORMAT </w:instrText>
                    </w:r>
                    <w:r>
                      <w:fldChar w:fldCharType="separate"/>
                    </w:r>
                    <w:r>
                      <w:t>214</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34776946">
      <w:pPr>
        <w:rPr>
          <w:rFonts w:cs="Times New Roman"/>
        </w:rPr>
      </w:pPr>
      <w:r>
        <w:rPr>
          <w:rFonts w:ascii="宋体" w:hAnsi="宋体" w:eastAsia="宋体" w:cs="Times New Roman"/>
        </w:rPr>
        <w:footnoteRef/>
      </w:r>
      <w:r>
        <w:rPr>
          <w:rFonts w:hint="eastAsia" w:ascii="宋体" w:hAnsi="宋体" w:eastAsia="宋体" w:cs="宋体"/>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C2B5C">
    <w:pPr>
      <w:pBdr>
        <w:bottom w:val="thickThinSmallGap" w:color="622423" w:sz="24" w:space="0"/>
      </w:pBdr>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6A0B1">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591AD">
    <w:pPr>
      <w:pBdr>
        <w:bottom w:val="thickThinSmallGap" w:color="622423" w:sz="24" w:space="0"/>
      </w:pBdr>
      <w:ind w:firstLine="3600" w:firstLineChars="2000"/>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招标文件</w:t>
    </w:r>
  </w:p>
  <w:p w14:paraId="06388DEB">
    <w:pPr>
      <w:pStyle w:val="28"/>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3A045">
    <w:pPr>
      <w:pBdr>
        <w:bottom w:val="thickThinSmallGap" w:color="622423" w:sz="24" w:space="0"/>
      </w:pBdr>
      <w:jc w:val="left"/>
    </w:pPr>
    <w:r>
      <w:rPr>
        <w:rFonts w:hint="eastAsia" w:ascii="华文新魏" w:hAnsi="宋体" w:eastAsia="华文新魏" w:cs="华文新魏"/>
        <w:sz w:val="18"/>
        <w:szCs w:val="18"/>
        <w:lang w:eastAsia="zh-CN"/>
      </w:rPr>
      <w:t>威信县中医医院信息化系统升级改造项目</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招标文件</w:t>
    </w:r>
  </w:p>
  <w:p w14:paraId="2626A725">
    <w:pPr>
      <w:pStyle w:val="28"/>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4EE59">
    <w:pPr>
      <w:pBdr>
        <w:bottom w:val="thickThinSmallGap" w:color="622423" w:sz="24" w:space="0"/>
      </w:pBdr>
      <w:ind w:firstLine="3600" w:firstLineChars="2000"/>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招标文件</w:t>
    </w:r>
  </w:p>
  <w:p w14:paraId="24D17D50">
    <w:pPr>
      <w:pStyle w:val="28"/>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9FCDF">
    <w:pPr>
      <w:pBdr>
        <w:bottom w:val="thickThinSmallGap" w:color="622423" w:sz="24" w:space="0"/>
      </w:pBdr>
      <w:jc w:val="left"/>
    </w:pP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招标文件</w:t>
    </w:r>
  </w:p>
  <w:p w14:paraId="7C4A8368">
    <w:pPr>
      <w:pStyle w:val="28"/>
      <w:pBdr>
        <w:bottom w:val="none" w:color="auto" w:sz="0" w:space="1"/>
      </w:pBdr>
      <w:jc w:val="both"/>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81B3B">
    <w:pPr>
      <w:pBdr>
        <w:bottom w:val="thickThinSmallGap" w:color="622423" w:sz="24" w:space="0"/>
      </w:pBdr>
      <w:jc w:val="left"/>
    </w:pPr>
    <w:r>
      <w:rPr>
        <w:rFonts w:hint="eastAsia" w:ascii="华文新魏" w:hAnsi="宋体" w:eastAsia="华文新魏" w:cs="华文新魏"/>
        <w:sz w:val="18"/>
        <w:szCs w:val="18"/>
        <w:lang w:eastAsia="zh-CN"/>
      </w:rPr>
      <w:t>威信县中医医院信息化系统升级改造项目</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31732A"/>
    <w:multiLevelType w:val="singleLevel"/>
    <w:tmpl w:val="3531732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ZWIzNDg2MmIzZjExOTIzMmViNTBmYTMwYTk0ZWYifQ=="/>
  </w:docVars>
  <w:rsids>
    <w:rsidRoot w:val="00172A27"/>
    <w:rsid w:val="00000963"/>
    <w:rsid w:val="00000A5D"/>
    <w:rsid w:val="000022E7"/>
    <w:rsid w:val="000023B1"/>
    <w:rsid w:val="0000245A"/>
    <w:rsid w:val="000040FB"/>
    <w:rsid w:val="00004FE8"/>
    <w:rsid w:val="000056F9"/>
    <w:rsid w:val="000068D2"/>
    <w:rsid w:val="000077C1"/>
    <w:rsid w:val="000107A5"/>
    <w:rsid w:val="00010D89"/>
    <w:rsid w:val="00010E8C"/>
    <w:rsid w:val="00012424"/>
    <w:rsid w:val="000140FC"/>
    <w:rsid w:val="000166E3"/>
    <w:rsid w:val="00020D6D"/>
    <w:rsid w:val="000210F9"/>
    <w:rsid w:val="00023038"/>
    <w:rsid w:val="00023414"/>
    <w:rsid w:val="00023ADA"/>
    <w:rsid w:val="00023CE4"/>
    <w:rsid w:val="00025081"/>
    <w:rsid w:val="000252A2"/>
    <w:rsid w:val="0002554B"/>
    <w:rsid w:val="00033BE9"/>
    <w:rsid w:val="00033C30"/>
    <w:rsid w:val="00033CFD"/>
    <w:rsid w:val="00034E94"/>
    <w:rsid w:val="00034EB6"/>
    <w:rsid w:val="00037331"/>
    <w:rsid w:val="00041344"/>
    <w:rsid w:val="000418AC"/>
    <w:rsid w:val="000433C5"/>
    <w:rsid w:val="00043CFD"/>
    <w:rsid w:val="000446B9"/>
    <w:rsid w:val="0004672F"/>
    <w:rsid w:val="00050CAA"/>
    <w:rsid w:val="00050D03"/>
    <w:rsid w:val="00051B60"/>
    <w:rsid w:val="000608F5"/>
    <w:rsid w:val="000611EA"/>
    <w:rsid w:val="00061AC9"/>
    <w:rsid w:val="00062CE3"/>
    <w:rsid w:val="000638B6"/>
    <w:rsid w:val="00064E2F"/>
    <w:rsid w:val="00065E50"/>
    <w:rsid w:val="000673FD"/>
    <w:rsid w:val="000700F9"/>
    <w:rsid w:val="00071C69"/>
    <w:rsid w:val="000730B1"/>
    <w:rsid w:val="00073DD4"/>
    <w:rsid w:val="0007453F"/>
    <w:rsid w:val="00074F73"/>
    <w:rsid w:val="00077C1E"/>
    <w:rsid w:val="000809FB"/>
    <w:rsid w:val="00082000"/>
    <w:rsid w:val="00082456"/>
    <w:rsid w:val="000862F4"/>
    <w:rsid w:val="00087473"/>
    <w:rsid w:val="0009026E"/>
    <w:rsid w:val="000918F7"/>
    <w:rsid w:val="000927A4"/>
    <w:rsid w:val="00092C1F"/>
    <w:rsid w:val="00093168"/>
    <w:rsid w:val="00093B4B"/>
    <w:rsid w:val="00094582"/>
    <w:rsid w:val="0009601A"/>
    <w:rsid w:val="00097A1D"/>
    <w:rsid w:val="000A08C6"/>
    <w:rsid w:val="000A382F"/>
    <w:rsid w:val="000A4BD8"/>
    <w:rsid w:val="000A6955"/>
    <w:rsid w:val="000A6EAA"/>
    <w:rsid w:val="000B00BF"/>
    <w:rsid w:val="000B0EA3"/>
    <w:rsid w:val="000B151B"/>
    <w:rsid w:val="000B22AD"/>
    <w:rsid w:val="000B2411"/>
    <w:rsid w:val="000B41FA"/>
    <w:rsid w:val="000B4B77"/>
    <w:rsid w:val="000C0765"/>
    <w:rsid w:val="000C0DD9"/>
    <w:rsid w:val="000C1204"/>
    <w:rsid w:val="000C321D"/>
    <w:rsid w:val="000C5664"/>
    <w:rsid w:val="000C6866"/>
    <w:rsid w:val="000C6C05"/>
    <w:rsid w:val="000D007F"/>
    <w:rsid w:val="000D0F64"/>
    <w:rsid w:val="000D251D"/>
    <w:rsid w:val="000D474F"/>
    <w:rsid w:val="000D61A9"/>
    <w:rsid w:val="000D65D4"/>
    <w:rsid w:val="000E11E2"/>
    <w:rsid w:val="000E44AD"/>
    <w:rsid w:val="000E5C1A"/>
    <w:rsid w:val="000E6947"/>
    <w:rsid w:val="000E69CB"/>
    <w:rsid w:val="000F10C3"/>
    <w:rsid w:val="000F1EB8"/>
    <w:rsid w:val="000F2119"/>
    <w:rsid w:val="000F281E"/>
    <w:rsid w:val="000F4832"/>
    <w:rsid w:val="000F4F0D"/>
    <w:rsid w:val="000F5643"/>
    <w:rsid w:val="000F5DA9"/>
    <w:rsid w:val="000F602D"/>
    <w:rsid w:val="000F6D5D"/>
    <w:rsid w:val="00102871"/>
    <w:rsid w:val="00102A97"/>
    <w:rsid w:val="00104E4A"/>
    <w:rsid w:val="001114B7"/>
    <w:rsid w:val="001130E7"/>
    <w:rsid w:val="00116B2A"/>
    <w:rsid w:val="00116E5D"/>
    <w:rsid w:val="001178D4"/>
    <w:rsid w:val="00117CC8"/>
    <w:rsid w:val="00120239"/>
    <w:rsid w:val="00120670"/>
    <w:rsid w:val="00121102"/>
    <w:rsid w:val="00121266"/>
    <w:rsid w:val="00124C0D"/>
    <w:rsid w:val="00125564"/>
    <w:rsid w:val="00125709"/>
    <w:rsid w:val="0012578D"/>
    <w:rsid w:val="00125B4B"/>
    <w:rsid w:val="00126545"/>
    <w:rsid w:val="0013046C"/>
    <w:rsid w:val="001309C3"/>
    <w:rsid w:val="001312DD"/>
    <w:rsid w:val="00132477"/>
    <w:rsid w:val="001324F3"/>
    <w:rsid w:val="0013463E"/>
    <w:rsid w:val="001352B8"/>
    <w:rsid w:val="00137042"/>
    <w:rsid w:val="00140EAE"/>
    <w:rsid w:val="00141CCD"/>
    <w:rsid w:val="00142A41"/>
    <w:rsid w:val="00145465"/>
    <w:rsid w:val="00145D65"/>
    <w:rsid w:val="001504DA"/>
    <w:rsid w:val="0015079B"/>
    <w:rsid w:val="0015238B"/>
    <w:rsid w:val="001555E4"/>
    <w:rsid w:val="001559EB"/>
    <w:rsid w:val="00155A14"/>
    <w:rsid w:val="00157CDC"/>
    <w:rsid w:val="00160B2E"/>
    <w:rsid w:val="00160BF1"/>
    <w:rsid w:val="00161AE8"/>
    <w:rsid w:val="00162799"/>
    <w:rsid w:val="00163891"/>
    <w:rsid w:val="00163B44"/>
    <w:rsid w:val="00163F75"/>
    <w:rsid w:val="00165778"/>
    <w:rsid w:val="0016588F"/>
    <w:rsid w:val="001667B5"/>
    <w:rsid w:val="00167C68"/>
    <w:rsid w:val="001707D6"/>
    <w:rsid w:val="00170E38"/>
    <w:rsid w:val="00171210"/>
    <w:rsid w:val="00172A27"/>
    <w:rsid w:val="00175BB9"/>
    <w:rsid w:val="001763CD"/>
    <w:rsid w:val="00176930"/>
    <w:rsid w:val="00176BF1"/>
    <w:rsid w:val="0018012B"/>
    <w:rsid w:val="00181526"/>
    <w:rsid w:val="00181DD7"/>
    <w:rsid w:val="001830C6"/>
    <w:rsid w:val="0018588B"/>
    <w:rsid w:val="00185B33"/>
    <w:rsid w:val="0018630F"/>
    <w:rsid w:val="00186C2F"/>
    <w:rsid w:val="00186D79"/>
    <w:rsid w:val="0018767C"/>
    <w:rsid w:val="00190C03"/>
    <w:rsid w:val="0019270D"/>
    <w:rsid w:val="00192ECD"/>
    <w:rsid w:val="0019345A"/>
    <w:rsid w:val="00194468"/>
    <w:rsid w:val="0019492A"/>
    <w:rsid w:val="00195627"/>
    <w:rsid w:val="001956C5"/>
    <w:rsid w:val="001A115C"/>
    <w:rsid w:val="001A2B06"/>
    <w:rsid w:val="001A31FF"/>
    <w:rsid w:val="001A545B"/>
    <w:rsid w:val="001A56D5"/>
    <w:rsid w:val="001A5E8E"/>
    <w:rsid w:val="001A6D28"/>
    <w:rsid w:val="001A70CB"/>
    <w:rsid w:val="001B0C11"/>
    <w:rsid w:val="001B1BCF"/>
    <w:rsid w:val="001B1E9D"/>
    <w:rsid w:val="001B2935"/>
    <w:rsid w:val="001B3243"/>
    <w:rsid w:val="001B3694"/>
    <w:rsid w:val="001B53D6"/>
    <w:rsid w:val="001B694B"/>
    <w:rsid w:val="001C0492"/>
    <w:rsid w:val="001C096B"/>
    <w:rsid w:val="001C0FA9"/>
    <w:rsid w:val="001C1C7E"/>
    <w:rsid w:val="001C3F59"/>
    <w:rsid w:val="001C47AF"/>
    <w:rsid w:val="001C563C"/>
    <w:rsid w:val="001C61B7"/>
    <w:rsid w:val="001C694E"/>
    <w:rsid w:val="001C6A4E"/>
    <w:rsid w:val="001C76AC"/>
    <w:rsid w:val="001D0DE3"/>
    <w:rsid w:val="001D0E30"/>
    <w:rsid w:val="001D16D2"/>
    <w:rsid w:val="001D175A"/>
    <w:rsid w:val="001D1F33"/>
    <w:rsid w:val="001D2BC6"/>
    <w:rsid w:val="001D3E71"/>
    <w:rsid w:val="001D4F4E"/>
    <w:rsid w:val="001D5674"/>
    <w:rsid w:val="001D5D54"/>
    <w:rsid w:val="001D76EE"/>
    <w:rsid w:val="001D78C1"/>
    <w:rsid w:val="001E0E69"/>
    <w:rsid w:val="001E1ED9"/>
    <w:rsid w:val="001E2E18"/>
    <w:rsid w:val="001E30C9"/>
    <w:rsid w:val="001E448E"/>
    <w:rsid w:val="001E449A"/>
    <w:rsid w:val="001E5BC3"/>
    <w:rsid w:val="001E6BE5"/>
    <w:rsid w:val="001F1C0D"/>
    <w:rsid w:val="001F1E8C"/>
    <w:rsid w:val="001F204E"/>
    <w:rsid w:val="001F26CC"/>
    <w:rsid w:val="001F5EB8"/>
    <w:rsid w:val="001F6741"/>
    <w:rsid w:val="002008AC"/>
    <w:rsid w:val="002013E1"/>
    <w:rsid w:val="0020445B"/>
    <w:rsid w:val="002073D5"/>
    <w:rsid w:val="00213254"/>
    <w:rsid w:val="002143B7"/>
    <w:rsid w:val="0021619A"/>
    <w:rsid w:val="002161DF"/>
    <w:rsid w:val="002208D6"/>
    <w:rsid w:val="00221A36"/>
    <w:rsid w:val="002227BC"/>
    <w:rsid w:val="002233B2"/>
    <w:rsid w:val="002237FF"/>
    <w:rsid w:val="00223C81"/>
    <w:rsid w:val="00223D75"/>
    <w:rsid w:val="00226D69"/>
    <w:rsid w:val="00227F77"/>
    <w:rsid w:val="00230471"/>
    <w:rsid w:val="00230BD3"/>
    <w:rsid w:val="00232C08"/>
    <w:rsid w:val="002331B7"/>
    <w:rsid w:val="00233D91"/>
    <w:rsid w:val="00235EB9"/>
    <w:rsid w:val="0023630E"/>
    <w:rsid w:val="002372E3"/>
    <w:rsid w:val="00237A44"/>
    <w:rsid w:val="00237A76"/>
    <w:rsid w:val="00237FBC"/>
    <w:rsid w:val="002402E1"/>
    <w:rsid w:val="00240876"/>
    <w:rsid w:val="002408D7"/>
    <w:rsid w:val="00240B22"/>
    <w:rsid w:val="00240D5A"/>
    <w:rsid w:val="00241021"/>
    <w:rsid w:val="00242468"/>
    <w:rsid w:val="00244371"/>
    <w:rsid w:val="002471E2"/>
    <w:rsid w:val="00247A85"/>
    <w:rsid w:val="00247E85"/>
    <w:rsid w:val="00250056"/>
    <w:rsid w:val="00250C3B"/>
    <w:rsid w:val="002511B8"/>
    <w:rsid w:val="00253278"/>
    <w:rsid w:val="002552B7"/>
    <w:rsid w:val="0025796F"/>
    <w:rsid w:val="00262154"/>
    <w:rsid w:val="0026222C"/>
    <w:rsid w:val="00262C0E"/>
    <w:rsid w:val="00263B1A"/>
    <w:rsid w:val="00263F05"/>
    <w:rsid w:val="002641D0"/>
    <w:rsid w:val="00266531"/>
    <w:rsid w:val="002665A7"/>
    <w:rsid w:val="00266AEF"/>
    <w:rsid w:val="00266BD0"/>
    <w:rsid w:val="002678FC"/>
    <w:rsid w:val="00267C70"/>
    <w:rsid w:val="002708D6"/>
    <w:rsid w:val="0027268C"/>
    <w:rsid w:val="00272764"/>
    <w:rsid w:val="00272923"/>
    <w:rsid w:val="0027343C"/>
    <w:rsid w:val="002740C4"/>
    <w:rsid w:val="0027496B"/>
    <w:rsid w:val="00275498"/>
    <w:rsid w:val="00275FA6"/>
    <w:rsid w:val="00276B2E"/>
    <w:rsid w:val="00280BC0"/>
    <w:rsid w:val="00281819"/>
    <w:rsid w:val="00281CBB"/>
    <w:rsid w:val="002829CB"/>
    <w:rsid w:val="002842CB"/>
    <w:rsid w:val="00284461"/>
    <w:rsid w:val="002874BD"/>
    <w:rsid w:val="00290A49"/>
    <w:rsid w:val="00295696"/>
    <w:rsid w:val="00296B38"/>
    <w:rsid w:val="00297DF5"/>
    <w:rsid w:val="002A1BBC"/>
    <w:rsid w:val="002A25DA"/>
    <w:rsid w:val="002A3996"/>
    <w:rsid w:val="002A409D"/>
    <w:rsid w:val="002A5D28"/>
    <w:rsid w:val="002A671B"/>
    <w:rsid w:val="002A7327"/>
    <w:rsid w:val="002B0B14"/>
    <w:rsid w:val="002B5913"/>
    <w:rsid w:val="002B653F"/>
    <w:rsid w:val="002B6547"/>
    <w:rsid w:val="002C0173"/>
    <w:rsid w:val="002C02BB"/>
    <w:rsid w:val="002C033D"/>
    <w:rsid w:val="002C206E"/>
    <w:rsid w:val="002C3938"/>
    <w:rsid w:val="002C3CF6"/>
    <w:rsid w:val="002C5798"/>
    <w:rsid w:val="002C61E6"/>
    <w:rsid w:val="002C72C6"/>
    <w:rsid w:val="002C768C"/>
    <w:rsid w:val="002D03E9"/>
    <w:rsid w:val="002D43B9"/>
    <w:rsid w:val="002D5493"/>
    <w:rsid w:val="002D5B0D"/>
    <w:rsid w:val="002E0C26"/>
    <w:rsid w:val="002E12A7"/>
    <w:rsid w:val="002E163E"/>
    <w:rsid w:val="002E2444"/>
    <w:rsid w:val="002E5573"/>
    <w:rsid w:val="002E57DD"/>
    <w:rsid w:val="002E649C"/>
    <w:rsid w:val="002F07E3"/>
    <w:rsid w:val="002F0AF9"/>
    <w:rsid w:val="002F12DB"/>
    <w:rsid w:val="002F1F65"/>
    <w:rsid w:val="002F2790"/>
    <w:rsid w:val="002F2EEB"/>
    <w:rsid w:val="002F2F18"/>
    <w:rsid w:val="002F3FF5"/>
    <w:rsid w:val="002F69D5"/>
    <w:rsid w:val="002F7901"/>
    <w:rsid w:val="00301507"/>
    <w:rsid w:val="00301BC2"/>
    <w:rsid w:val="0030357E"/>
    <w:rsid w:val="00303A37"/>
    <w:rsid w:val="0031026D"/>
    <w:rsid w:val="0031283E"/>
    <w:rsid w:val="00312BAB"/>
    <w:rsid w:val="00315908"/>
    <w:rsid w:val="003205A4"/>
    <w:rsid w:val="003214DF"/>
    <w:rsid w:val="00321DF6"/>
    <w:rsid w:val="00322580"/>
    <w:rsid w:val="00323ADF"/>
    <w:rsid w:val="00324409"/>
    <w:rsid w:val="00324DBF"/>
    <w:rsid w:val="00325141"/>
    <w:rsid w:val="003272C3"/>
    <w:rsid w:val="00330024"/>
    <w:rsid w:val="00331672"/>
    <w:rsid w:val="00332123"/>
    <w:rsid w:val="00332B8B"/>
    <w:rsid w:val="00335424"/>
    <w:rsid w:val="00341C18"/>
    <w:rsid w:val="00343E66"/>
    <w:rsid w:val="003445BA"/>
    <w:rsid w:val="003446DF"/>
    <w:rsid w:val="00344EC9"/>
    <w:rsid w:val="00345A0A"/>
    <w:rsid w:val="003462B2"/>
    <w:rsid w:val="00346A32"/>
    <w:rsid w:val="0034733A"/>
    <w:rsid w:val="0034751A"/>
    <w:rsid w:val="003476A0"/>
    <w:rsid w:val="0034779E"/>
    <w:rsid w:val="003504E7"/>
    <w:rsid w:val="00351DC3"/>
    <w:rsid w:val="00352176"/>
    <w:rsid w:val="003524B1"/>
    <w:rsid w:val="00352D70"/>
    <w:rsid w:val="003537E2"/>
    <w:rsid w:val="00354812"/>
    <w:rsid w:val="00354B06"/>
    <w:rsid w:val="00354D34"/>
    <w:rsid w:val="00354EBF"/>
    <w:rsid w:val="00356ABB"/>
    <w:rsid w:val="00356E79"/>
    <w:rsid w:val="003575B4"/>
    <w:rsid w:val="003627A0"/>
    <w:rsid w:val="00364AAC"/>
    <w:rsid w:val="003652EA"/>
    <w:rsid w:val="00367A5C"/>
    <w:rsid w:val="00374B0A"/>
    <w:rsid w:val="00375025"/>
    <w:rsid w:val="00375806"/>
    <w:rsid w:val="00377059"/>
    <w:rsid w:val="003800DC"/>
    <w:rsid w:val="00381264"/>
    <w:rsid w:val="0038361F"/>
    <w:rsid w:val="00383779"/>
    <w:rsid w:val="00384152"/>
    <w:rsid w:val="003848E1"/>
    <w:rsid w:val="00384C30"/>
    <w:rsid w:val="00384C90"/>
    <w:rsid w:val="00386ABC"/>
    <w:rsid w:val="00386B74"/>
    <w:rsid w:val="00390240"/>
    <w:rsid w:val="00391508"/>
    <w:rsid w:val="00392B0C"/>
    <w:rsid w:val="0039523D"/>
    <w:rsid w:val="00395569"/>
    <w:rsid w:val="0039639A"/>
    <w:rsid w:val="003979B3"/>
    <w:rsid w:val="00397F97"/>
    <w:rsid w:val="003A0CB5"/>
    <w:rsid w:val="003A1113"/>
    <w:rsid w:val="003A3E57"/>
    <w:rsid w:val="003A7A80"/>
    <w:rsid w:val="003B0676"/>
    <w:rsid w:val="003B0FE2"/>
    <w:rsid w:val="003B196A"/>
    <w:rsid w:val="003B2701"/>
    <w:rsid w:val="003B2C8E"/>
    <w:rsid w:val="003B3BA9"/>
    <w:rsid w:val="003B4490"/>
    <w:rsid w:val="003B4949"/>
    <w:rsid w:val="003B4BBA"/>
    <w:rsid w:val="003B4F88"/>
    <w:rsid w:val="003B5B14"/>
    <w:rsid w:val="003C059B"/>
    <w:rsid w:val="003C1836"/>
    <w:rsid w:val="003C20F3"/>
    <w:rsid w:val="003C2D63"/>
    <w:rsid w:val="003C2DCC"/>
    <w:rsid w:val="003C3F3C"/>
    <w:rsid w:val="003C4894"/>
    <w:rsid w:val="003C724B"/>
    <w:rsid w:val="003C7B9A"/>
    <w:rsid w:val="003C7C9E"/>
    <w:rsid w:val="003D0AD0"/>
    <w:rsid w:val="003D0FFF"/>
    <w:rsid w:val="003D11A8"/>
    <w:rsid w:val="003D1949"/>
    <w:rsid w:val="003D31CA"/>
    <w:rsid w:val="003D6796"/>
    <w:rsid w:val="003D6FA2"/>
    <w:rsid w:val="003D77C5"/>
    <w:rsid w:val="003E0735"/>
    <w:rsid w:val="003E15BD"/>
    <w:rsid w:val="003E1D96"/>
    <w:rsid w:val="003E38FA"/>
    <w:rsid w:val="003E4428"/>
    <w:rsid w:val="003E471C"/>
    <w:rsid w:val="003E4A04"/>
    <w:rsid w:val="003E5B63"/>
    <w:rsid w:val="003E6D17"/>
    <w:rsid w:val="003E7371"/>
    <w:rsid w:val="003E77F9"/>
    <w:rsid w:val="003F13A1"/>
    <w:rsid w:val="003F2302"/>
    <w:rsid w:val="003F2A42"/>
    <w:rsid w:val="003F3907"/>
    <w:rsid w:val="003F3D12"/>
    <w:rsid w:val="003F7877"/>
    <w:rsid w:val="003F7D66"/>
    <w:rsid w:val="003F7DD9"/>
    <w:rsid w:val="00400389"/>
    <w:rsid w:val="00401833"/>
    <w:rsid w:val="00401F55"/>
    <w:rsid w:val="00402907"/>
    <w:rsid w:val="00404C54"/>
    <w:rsid w:val="004063B6"/>
    <w:rsid w:val="00406E68"/>
    <w:rsid w:val="004102B1"/>
    <w:rsid w:val="00413F0E"/>
    <w:rsid w:val="004146B8"/>
    <w:rsid w:val="004150CD"/>
    <w:rsid w:val="00416C13"/>
    <w:rsid w:val="00417D35"/>
    <w:rsid w:val="00420860"/>
    <w:rsid w:val="00420EAD"/>
    <w:rsid w:val="004213B6"/>
    <w:rsid w:val="00421631"/>
    <w:rsid w:val="00421648"/>
    <w:rsid w:val="00423471"/>
    <w:rsid w:val="004240B8"/>
    <w:rsid w:val="00424F0F"/>
    <w:rsid w:val="00426131"/>
    <w:rsid w:val="00426A2C"/>
    <w:rsid w:val="004353E2"/>
    <w:rsid w:val="004379A5"/>
    <w:rsid w:val="00442FC1"/>
    <w:rsid w:val="00443704"/>
    <w:rsid w:val="00443A03"/>
    <w:rsid w:val="00444E6D"/>
    <w:rsid w:val="004450AB"/>
    <w:rsid w:val="0044595F"/>
    <w:rsid w:val="00447EA2"/>
    <w:rsid w:val="00453D86"/>
    <w:rsid w:val="00454098"/>
    <w:rsid w:val="004564F5"/>
    <w:rsid w:val="00457689"/>
    <w:rsid w:val="00460EDD"/>
    <w:rsid w:val="004610EB"/>
    <w:rsid w:val="004633FD"/>
    <w:rsid w:val="00464238"/>
    <w:rsid w:val="00465719"/>
    <w:rsid w:val="00465ED2"/>
    <w:rsid w:val="00467444"/>
    <w:rsid w:val="00467FC4"/>
    <w:rsid w:val="00470EA2"/>
    <w:rsid w:val="00472A90"/>
    <w:rsid w:val="0047683F"/>
    <w:rsid w:val="00476D1B"/>
    <w:rsid w:val="00477096"/>
    <w:rsid w:val="0047748A"/>
    <w:rsid w:val="0048036F"/>
    <w:rsid w:val="00480492"/>
    <w:rsid w:val="00480CCE"/>
    <w:rsid w:val="00481B69"/>
    <w:rsid w:val="00482AD8"/>
    <w:rsid w:val="00484A9B"/>
    <w:rsid w:val="00491A85"/>
    <w:rsid w:val="004928AC"/>
    <w:rsid w:val="00494467"/>
    <w:rsid w:val="004964AA"/>
    <w:rsid w:val="004966E7"/>
    <w:rsid w:val="004A0790"/>
    <w:rsid w:val="004A288D"/>
    <w:rsid w:val="004A3A1B"/>
    <w:rsid w:val="004A7250"/>
    <w:rsid w:val="004B0691"/>
    <w:rsid w:val="004B06B4"/>
    <w:rsid w:val="004B2B1E"/>
    <w:rsid w:val="004B2CE2"/>
    <w:rsid w:val="004B4C51"/>
    <w:rsid w:val="004B69BB"/>
    <w:rsid w:val="004B77C5"/>
    <w:rsid w:val="004C00D6"/>
    <w:rsid w:val="004C0884"/>
    <w:rsid w:val="004C10D6"/>
    <w:rsid w:val="004C244F"/>
    <w:rsid w:val="004C287C"/>
    <w:rsid w:val="004C2EEA"/>
    <w:rsid w:val="004C51E4"/>
    <w:rsid w:val="004C51E8"/>
    <w:rsid w:val="004D04FC"/>
    <w:rsid w:val="004D0906"/>
    <w:rsid w:val="004D09DE"/>
    <w:rsid w:val="004D4BB1"/>
    <w:rsid w:val="004D4E3F"/>
    <w:rsid w:val="004D6200"/>
    <w:rsid w:val="004E0D96"/>
    <w:rsid w:val="004E1B48"/>
    <w:rsid w:val="004E2A83"/>
    <w:rsid w:val="004E33DF"/>
    <w:rsid w:val="004E33FF"/>
    <w:rsid w:val="004E3B70"/>
    <w:rsid w:val="004E67B6"/>
    <w:rsid w:val="004E6A1B"/>
    <w:rsid w:val="004E777C"/>
    <w:rsid w:val="004E7EF9"/>
    <w:rsid w:val="004F0178"/>
    <w:rsid w:val="004F028F"/>
    <w:rsid w:val="004F1A6B"/>
    <w:rsid w:val="004F1C0C"/>
    <w:rsid w:val="004F3142"/>
    <w:rsid w:val="004F399E"/>
    <w:rsid w:val="004F3C8E"/>
    <w:rsid w:val="004F4741"/>
    <w:rsid w:val="004F5015"/>
    <w:rsid w:val="004F57C4"/>
    <w:rsid w:val="004F57DD"/>
    <w:rsid w:val="00500203"/>
    <w:rsid w:val="005033A1"/>
    <w:rsid w:val="005048A1"/>
    <w:rsid w:val="0051089A"/>
    <w:rsid w:val="005109F0"/>
    <w:rsid w:val="00515660"/>
    <w:rsid w:val="00517E8A"/>
    <w:rsid w:val="005207BB"/>
    <w:rsid w:val="00520C06"/>
    <w:rsid w:val="005231BD"/>
    <w:rsid w:val="005235A1"/>
    <w:rsid w:val="005235BF"/>
    <w:rsid w:val="005236F2"/>
    <w:rsid w:val="005246D6"/>
    <w:rsid w:val="00525835"/>
    <w:rsid w:val="00525F16"/>
    <w:rsid w:val="00525F59"/>
    <w:rsid w:val="00527277"/>
    <w:rsid w:val="00530D7C"/>
    <w:rsid w:val="00531292"/>
    <w:rsid w:val="00531D2E"/>
    <w:rsid w:val="00532280"/>
    <w:rsid w:val="005325A4"/>
    <w:rsid w:val="00532AFF"/>
    <w:rsid w:val="0053311F"/>
    <w:rsid w:val="005332BC"/>
    <w:rsid w:val="00534123"/>
    <w:rsid w:val="00534595"/>
    <w:rsid w:val="00535292"/>
    <w:rsid w:val="00542A71"/>
    <w:rsid w:val="00542BBE"/>
    <w:rsid w:val="00543671"/>
    <w:rsid w:val="005459D5"/>
    <w:rsid w:val="0054773C"/>
    <w:rsid w:val="00547F5B"/>
    <w:rsid w:val="00550291"/>
    <w:rsid w:val="00550A28"/>
    <w:rsid w:val="005519E2"/>
    <w:rsid w:val="005525C0"/>
    <w:rsid w:val="005533B1"/>
    <w:rsid w:val="00553AC8"/>
    <w:rsid w:val="00553E35"/>
    <w:rsid w:val="00553EB2"/>
    <w:rsid w:val="005551B7"/>
    <w:rsid w:val="005601E8"/>
    <w:rsid w:val="0056142E"/>
    <w:rsid w:val="00561BD8"/>
    <w:rsid w:val="00562101"/>
    <w:rsid w:val="00565797"/>
    <w:rsid w:val="00565A28"/>
    <w:rsid w:val="00565B84"/>
    <w:rsid w:val="00565D57"/>
    <w:rsid w:val="005701C3"/>
    <w:rsid w:val="00570A95"/>
    <w:rsid w:val="00570E8D"/>
    <w:rsid w:val="00571FC5"/>
    <w:rsid w:val="005720C2"/>
    <w:rsid w:val="00575E22"/>
    <w:rsid w:val="00577701"/>
    <w:rsid w:val="00577EB4"/>
    <w:rsid w:val="00577FB7"/>
    <w:rsid w:val="00580C33"/>
    <w:rsid w:val="00582318"/>
    <w:rsid w:val="00582C96"/>
    <w:rsid w:val="00582F40"/>
    <w:rsid w:val="00583131"/>
    <w:rsid w:val="00583DF6"/>
    <w:rsid w:val="00584504"/>
    <w:rsid w:val="00584E76"/>
    <w:rsid w:val="00585930"/>
    <w:rsid w:val="00585F0E"/>
    <w:rsid w:val="00586086"/>
    <w:rsid w:val="00586892"/>
    <w:rsid w:val="0058696D"/>
    <w:rsid w:val="005904CC"/>
    <w:rsid w:val="005909B0"/>
    <w:rsid w:val="005916DF"/>
    <w:rsid w:val="00591F69"/>
    <w:rsid w:val="00593C93"/>
    <w:rsid w:val="00593EE8"/>
    <w:rsid w:val="00594397"/>
    <w:rsid w:val="005949F0"/>
    <w:rsid w:val="005A1A3A"/>
    <w:rsid w:val="005A277D"/>
    <w:rsid w:val="005A4D46"/>
    <w:rsid w:val="005A5BB9"/>
    <w:rsid w:val="005A6D0B"/>
    <w:rsid w:val="005A7247"/>
    <w:rsid w:val="005A7761"/>
    <w:rsid w:val="005B0D3C"/>
    <w:rsid w:val="005B2F3B"/>
    <w:rsid w:val="005B331D"/>
    <w:rsid w:val="005B4764"/>
    <w:rsid w:val="005B4B67"/>
    <w:rsid w:val="005B70F4"/>
    <w:rsid w:val="005B75B4"/>
    <w:rsid w:val="005C1A65"/>
    <w:rsid w:val="005C514B"/>
    <w:rsid w:val="005C6CF6"/>
    <w:rsid w:val="005D000D"/>
    <w:rsid w:val="005D1401"/>
    <w:rsid w:val="005D16BF"/>
    <w:rsid w:val="005D1CE0"/>
    <w:rsid w:val="005D21D4"/>
    <w:rsid w:val="005D2BE5"/>
    <w:rsid w:val="005D2E48"/>
    <w:rsid w:val="005D3867"/>
    <w:rsid w:val="005D47E4"/>
    <w:rsid w:val="005D60CA"/>
    <w:rsid w:val="005D6C71"/>
    <w:rsid w:val="005D6F35"/>
    <w:rsid w:val="005D7585"/>
    <w:rsid w:val="005D7E16"/>
    <w:rsid w:val="005E0829"/>
    <w:rsid w:val="005E0B84"/>
    <w:rsid w:val="005E12C7"/>
    <w:rsid w:val="005E198C"/>
    <w:rsid w:val="005E1C1E"/>
    <w:rsid w:val="005E31BF"/>
    <w:rsid w:val="005E39C0"/>
    <w:rsid w:val="005E52CA"/>
    <w:rsid w:val="005E551E"/>
    <w:rsid w:val="005E5D54"/>
    <w:rsid w:val="005E6D77"/>
    <w:rsid w:val="005E6DB8"/>
    <w:rsid w:val="005E79D6"/>
    <w:rsid w:val="005F07E0"/>
    <w:rsid w:val="005F325D"/>
    <w:rsid w:val="005F37F5"/>
    <w:rsid w:val="005F4B5E"/>
    <w:rsid w:val="005F4FE2"/>
    <w:rsid w:val="005F68D3"/>
    <w:rsid w:val="005F6DA9"/>
    <w:rsid w:val="00600209"/>
    <w:rsid w:val="006015AC"/>
    <w:rsid w:val="00602FDD"/>
    <w:rsid w:val="006031CD"/>
    <w:rsid w:val="00605A8F"/>
    <w:rsid w:val="00605F92"/>
    <w:rsid w:val="00606B81"/>
    <w:rsid w:val="00607DE8"/>
    <w:rsid w:val="00610ED4"/>
    <w:rsid w:val="00612849"/>
    <w:rsid w:val="006131E4"/>
    <w:rsid w:val="00613480"/>
    <w:rsid w:val="00614140"/>
    <w:rsid w:val="00614CC8"/>
    <w:rsid w:val="00614F2B"/>
    <w:rsid w:val="00616C5F"/>
    <w:rsid w:val="00616C8A"/>
    <w:rsid w:val="00617D16"/>
    <w:rsid w:val="0062059D"/>
    <w:rsid w:val="006211FB"/>
    <w:rsid w:val="006214DE"/>
    <w:rsid w:val="006237B8"/>
    <w:rsid w:val="0062548F"/>
    <w:rsid w:val="006263EF"/>
    <w:rsid w:val="0063164E"/>
    <w:rsid w:val="00631EF9"/>
    <w:rsid w:val="00632183"/>
    <w:rsid w:val="00632FB7"/>
    <w:rsid w:val="0063439C"/>
    <w:rsid w:val="00634AEB"/>
    <w:rsid w:val="00635BBF"/>
    <w:rsid w:val="0063620F"/>
    <w:rsid w:val="0063629E"/>
    <w:rsid w:val="00637082"/>
    <w:rsid w:val="006417FA"/>
    <w:rsid w:val="006427AA"/>
    <w:rsid w:val="006464BB"/>
    <w:rsid w:val="00646CFE"/>
    <w:rsid w:val="00651276"/>
    <w:rsid w:val="00653ACA"/>
    <w:rsid w:val="00655080"/>
    <w:rsid w:val="0065634B"/>
    <w:rsid w:val="00660891"/>
    <w:rsid w:val="00660C31"/>
    <w:rsid w:val="00660E62"/>
    <w:rsid w:val="00663033"/>
    <w:rsid w:val="00664DFF"/>
    <w:rsid w:val="00666071"/>
    <w:rsid w:val="00670046"/>
    <w:rsid w:val="00671ABD"/>
    <w:rsid w:val="0067240A"/>
    <w:rsid w:val="00672B80"/>
    <w:rsid w:val="006742B1"/>
    <w:rsid w:val="00675563"/>
    <w:rsid w:val="006757E8"/>
    <w:rsid w:val="00675C5B"/>
    <w:rsid w:val="00675FB6"/>
    <w:rsid w:val="006760EE"/>
    <w:rsid w:val="00676DBF"/>
    <w:rsid w:val="006773A0"/>
    <w:rsid w:val="0068433E"/>
    <w:rsid w:val="006853FB"/>
    <w:rsid w:val="00685669"/>
    <w:rsid w:val="0068642E"/>
    <w:rsid w:val="00686B36"/>
    <w:rsid w:val="006941D2"/>
    <w:rsid w:val="006947A2"/>
    <w:rsid w:val="0069542D"/>
    <w:rsid w:val="00696B9E"/>
    <w:rsid w:val="006A07FE"/>
    <w:rsid w:val="006A143F"/>
    <w:rsid w:val="006A19C1"/>
    <w:rsid w:val="006A2A09"/>
    <w:rsid w:val="006A2C0D"/>
    <w:rsid w:val="006A31EA"/>
    <w:rsid w:val="006A32C6"/>
    <w:rsid w:val="006A4BD0"/>
    <w:rsid w:val="006A61D3"/>
    <w:rsid w:val="006A6B87"/>
    <w:rsid w:val="006A753D"/>
    <w:rsid w:val="006B0A99"/>
    <w:rsid w:val="006B427C"/>
    <w:rsid w:val="006B69E2"/>
    <w:rsid w:val="006B7372"/>
    <w:rsid w:val="006C0FB7"/>
    <w:rsid w:val="006C20F3"/>
    <w:rsid w:val="006C2C59"/>
    <w:rsid w:val="006C3F86"/>
    <w:rsid w:val="006C456B"/>
    <w:rsid w:val="006C5CB4"/>
    <w:rsid w:val="006C5CC5"/>
    <w:rsid w:val="006C65D6"/>
    <w:rsid w:val="006C6AE6"/>
    <w:rsid w:val="006C77C7"/>
    <w:rsid w:val="006D0055"/>
    <w:rsid w:val="006D1AC4"/>
    <w:rsid w:val="006D2526"/>
    <w:rsid w:val="006D2BC3"/>
    <w:rsid w:val="006D33B4"/>
    <w:rsid w:val="006D373E"/>
    <w:rsid w:val="006D501E"/>
    <w:rsid w:val="006D5A64"/>
    <w:rsid w:val="006D5BB2"/>
    <w:rsid w:val="006D631A"/>
    <w:rsid w:val="006D6FAC"/>
    <w:rsid w:val="006D7790"/>
    <w:rsid w:val="006D79B0"/>
    <w:rsid w:val="006D7A5F"/>
    <w:rsid w:val="006E05BA"/>
    <w:rsid w:val="006E0749"/>
    <w:rsid w:val="006E074D"/>
    <w:rsid w:val="006E1899"/>
    <w:rsid w:val="006E2122"/>
    <w:rsid w:val="006E29AD"/>
    <w:rsid w:val="006E3DFC"/>
    <w:rsid w:val="006E6246"/>
    <w:rsid w:val="006E7476"/>
    <w:rsid w:val="006F0E0C"/>
    <w:rsid w:val="006F155D"/>
    <w:rsid w:val="006F2582"/>
    <w:rsid w:val="006F3ACC"/>
    <w:rsid w:val="006F4D21"/>
    <w:rsid w:val="006F5838"/>
    <w:rsid w:val="006F67C3"/>
    <w:rsid w:val="006F7183"/>
    <w:rsid w:val="006F726B"/>
    <w:rsid w:val="006F780E"/>
    <w:rsid w:val="006F79D1"/>
    <w:rsid w:val="00701205"/>
    <w:rsid w:val="00701F83"/>
    <w:rsid w:val="00703547"/>
    <w:rsid w:val="00704577"/>
    <w:rsid w:val="00705932"/>
    <w:rsid w:val="00706AA6"/>
    <w:rsid w:val="0070709D"/>
    <w:rsid w:val="007074E1"/>
    <w:rsid w:val="00707DF5"/>
    <w:rsid w:val="007100C4"/>
    <w:rsid w:val="00711231"/>
    <w:rsid w:val="00711995"/>
    <w:rsid w:val="00713F6C"/>
    <w:rsid w:val="0071486E"/>
    <w:rsid w:val="0071646C"/>
    <w:rsid w:val="007167BC"/>
    <w:rsid w:val="007172D3"/>
    <w:rsid w:val="007219F2"/>
    <w:rsid w:val="007219FB"/>
    <w:rsid w:val="00722A40"/>
    <w:rsid w:val="00723259"/>
    <w:rsid w:val="00724DF1"/>
    <w:rsid w:val="0072568D"/>
    <w:rsid w:val="00727BDE"/>
    <w:rsid w:val="007303DC"/>
    <w:rsid w:val="00730DC8"/>
    <w:rsid w:val="00733492"/>
    <w:rsid w:val="00733F9E"/>
    <w:rsid w:val="00734EE6"/>
    <w:rsid w:val="00735139"/>
    <w:rsid w:val="00740465"/>
    <w:rsid w:val="00740D03"/>
    <w:rsid w:val="007414C9"/>
    <w:rsid w:val="0074259D"/>
    <w:rsid w:val="00744C35"/>
    <w:rsid w:val="0074589D"/>
    <w:rsid w:val="00746266"/>
    <w:rsid w:val="00746D7B"/>
    <w:rsid w:val="00747D83"/>
    <w:rsid w:val="0075041A"/>
    <w:rsid w:val="00750E51"/>
    <w:rsid w:val="0075111F"/>
    <w:rsid w:val="007514B8"/>
    <w:rsid w:val="00752113"/>
    <w:rsid w:val="00752358"/>
    <w:rsid w:val="00752395"/>
    <w:rsid w:val="007528F9"/>
    <w:rsid w:val="0075349B"/>
    <w:rsid w:val="00754341"/>
    <w:rsid w:val="007566F7"/>
    <w:rsid w:val="00756BC8"/>
    <w:rsid w:val="0076082A"/>
    <w:rsid w:val="00761674"/>
    <w:rsid w:val="0076218F"/>
    <w:rsid w:val="007637F3"/>
    <w:rsid w:val="00763D9C"/>
    <w:rsid w:val="0076450B"/>
    <w:rsid w:val="00764A49"/>
    <w:rsid w:val="0076555B"/>
    <w:rsid w:val="007658FC"/>
    <w:rsid w:val="00766524"/>
    <w:rsid w:val="00767446"/>
    <w:rsid w:val="00767C0E"/>
    <w:rsid w:val="00770C7F"/>
    <w:rsid w:val="00771CAB"/>
    <w:rsid w:val="0077388E"/>
    <w:rsid w:val="00774ED4"/>
    <w:rsid w:val="00775ED0"/>
    <w:rsid w:val="00776181"/>
    <w:rsid w:val="00777450"/>
    <w:rsid w:val="0078027A"/>
    <w:rsid w:val="007823BB"/>
    <w:rsid w:val="00783024"/>
    <w:rsid w:val="00783571"/>
    <w:rsid w:val="007850EC"/>
    <w:rsid w:val="00786392"/>
    <w:rsid w:val="0078750C"/>
    <w:rsid w:val="00790548"/>
    <w:rsid w:val="00793546"/>
    <w:rsid w:val="00794DCF"/>
    <w:rsid w:val="007951A8"/>
    <w:rsid w:val="00795753"/>
    <w:rsid w:val="00797469"/>
    <w:rsid w:val="007975B8"/>
    <w:rsid w:val="007979BF"/>
    <w:rsid w:val="00797A6F"/>
    <w:rsid w:val="007A1D44"/>
    <w:rsid w:val="007A21BA"/>
    <w:rsid w:val="007A4B44"/>
    <w:rsid w:val="007A50F6"/>
    <w:rsid w:val="007A61D8"/>
    <w:rsid w:val="007A714E"/>
    <w:rsid w:val="007A7311"/>
    <w:rsid w:val="007A786E"/>
    <w:rsid w:val="007B1492"/>
    <w:rsid w:val="007B3D83"/>
    <w:rsid w:val="007B570B"/>
    <w:rsid w:val="007B5DAD"/>
    <w:rsid w:val="007B71E8"/>
    <w:rsid w:val="007B7504"/>
    <w:rsid w:val="007B7D7A"/>
    <w:rsid w:val="007C2404"/>
    <w:rsid w:val="007C2C59"/>
    <w:rsid w:val="007C352D"/>
    <w:rsid w:val="007C3E2B"/>
    <w:rsid w:val="007C521E"/>
    <w:rsid w:val="007C582F"/>
    <w:rsid w:val="007C5B14"/>
    <w:rsid w:val="007C5F7B"/>
    <w:rsid w:val="007C6DE1"/>
    <w:rsid w:val="007C7D1F"/>
    <w:rsid w:val="007D0004"/>
    <w:rsid w:val="007D0250"/>
    <w:rsid w:val="007D08FF"/>
    <w:rsid w:val="007D14AA"/>
    <w:rsid w:val="007D20B6"/>
    <w:rsid w:val="007D2958"/>
    <w:rsid w:val="007D2BDF"/>
    <w:rsid w:val="007D3624"/>
    <w:rsid w:val="007D5502"/>
    <w:rsid w:val="007D60EF"/>
    <w:rsid w:val="007D7DAB"/>
    <w:rsid w:val="007E161F"/>
    <w:rsid w:val="007E2EC8"/>
    <w:rsid w:val="007E41CB"/>
    <w:rsid w:val="007E4812"/>
    <w:rsid w:val="007E5937"/>
    <w:rsid w:val="007E5F2A"/>
    <w:rsid w:val="007E72CA"/>
    <w:rsid w:val="007E7425"/>
    <w:rsid w:val="007F35EA"/>
    <w:rsid w:val="007F54B0"/>
    <w:rsid w:val="007F68DA"/>
    <w:rsid w:val="008033C3"/>
    <w:rsid w:val="00804917"/>
    <w:rsid w:val="00804DEA"/>
    <w:rsid w:val="00805FCC"/>
    <w:rsid w:val="00806CF6"/>
    <w:rsid w:val="00810E09"/>
    <w:rsid w:val="00812194"/>
    <w:rsid w:val="0081223F"/>
    <w:rsid w:val="00812353"/>
    <w:rsid w:val="0081450A"/>
    <w:rsid w:val="00816B2E"/>
    <w:rsid w:val="00820221"/>
    <w:rsid w:val="00820B84"/>
    <w:rsid w:val="00821312"/>
    <w:rsid w:val="00823A37"/>
    <w:rsid w:val="008244FB"/>
    <w:rsid w:val="00824C41"/>
    <w:rsid w:val="00825231"/>
    <w:rsid w:val="008268E5"/>
    <w:rsid w:val="0083278C"/>
    <w:rsid w:val="00832DC6"/>
    <w:rsid w:val="0083312C"/>
    <w:rsid w:val="00834050"/>
    <w:rsid w:val="008355B7"/>
    <w:rsid w:val="0083589D"/>
    <w:rsid w:val="008361B7"/>
    <w:rsid w:val="00836BF1"/>
    <w:rsid w:val="00836DAD"/>
    <w:rsid w:val="0083708B"/>
    <w:rsid w:val="0084070D"/>
    <w:rsid w:val="00840B9C"/>
    <w:rsid w:val="00841404"/>
    <w:rsid w:val="00841709"/>
    <w:rsid w:val="008422FB"/>
    <w:rsid w:val="00843256"/>
    <w:rsid w:val="0084386C"/>
    <w:rsid w:val="008459D6"/>
    <w:rsid w:val="00850A8F"/>
    <w:rsid w:val="00851539"/>
    <w:rsid w:val="0085264D"/>
    <w:rsid w:val="00853E4D"/>
    <w:rsid w:val="00853FF3"/>
    <w:rsid w:val="008545E7"/>
    <w:rsid w:val="0085466B"/>
    <w:rsid w:val="00854684"/>
    <w:rsid w:val="00854BBB"/>
    <w:rsid w:val="00860BF6"/>
    <w:rsid w:val="00861EBD"/>
    <w:rsid w:val="008628A3"/>
    <w:rsid w:val="008629C2"/>
    <w:rsid w:val="00862DCD"/>
    <w:rsid w:val="008649E2"/>
    <w:rsid w:val="00865718"/>
    <w:rsid w:val="008722F9"/>
    <w:rsid w:val="008724FA"/>
    <w:rsid w:val="00872DEB"/>
    <w:rsid w:val="008737F7"/>
    <w:rsid w:val="0087482D"/>
    <w:rsid w:val="008759A2"/>
    <w:rsid w:val="0088013F"/>
    <w:rsid w:val="008817E0"/>
    <w:rsid w:val="00881B2B"/>
    <w:rsid w:val="00883587"/>
    <w:rsid w:val="008842FD"/>
    <w:rsid w:val="00884467"/>
    <w:rsid w:val="00885D9A"/>
    <w:rsid w:val="00890163"/>
    <w:rsid w:val="00890686"/>
    <w:rsid w:val="0089090B"/>
    <w:rsid w:val="00891229"/>
    <w:rsid w:val="00891927"/>
    <w:rsid w:val="00892252"/>
    <w:rsid w:val="00894960"/>
    <w:rsid w:val="0089544F"/>
    <w:rsid w:val="00895487"/>
    <w:rsid w:val="008968C8"/>
    <w:rsid w:val="008A0991"/>
    <w:rsid w:val="008A2B7E"/>
    <w:rsid w:val="008A2E91"/>
    <w:rsid w:val="008A463A"/>
    <w:rsid w:val="008A738B"/>
    <w:rsid w:val="008A7B0F"/>
    <w:rsid w:val="008A7F47"/>
    <w:rsid w:val="008B1670"/>
    <w:rsid w:val="008B16BC"/>
    <w:rsid w:val="008B1777"/>
    <w:rsid w:val="008B50F2"/>
    <w:rsid w:val="008B65FA"/>
    <w:rsid w:val="008B6FBF"/>
    <w:rsid w:val="008C101D"/>
    <w:rsid w:val="008C28AF"/>
    <w:rsid w:val="008C5736"/>
    <w:rsid w:val="008C6C59"/>
    <w:rsid w:val="008D00D1"/>
    <w:rsid w:val="008D0337"/>
    <w:rsid w:val="008D0E81"/>
    <w:rsid w:val="008D1144"/>
    <w:rsid w:val="008D67FF"/>
    <w:rsid w:val="008D7763"/>
    <w:rsid w:val="008D7DA9"/>
    <w:rsid w:val="008E08D1"/>
    <w:rsid w:val="008E09C4"/>
    <w:rsid w:val="008E2F3B"/>
    <w:rsid w:val="008E2FF6"/>
    <w:rsid w:val="008E3893"/>
    <w:rsid w:val="008E3EA3"/>
    <w:rsid w:val="008E3FA2"/>
    <w:rsid w:val="008E6F84"/>
    <w:rsid w:val="008E6FD9"/>
    <w:rsid w:val="008E7815"/>
    <w:rsid w:val="008F03FE"/>
    <w:rsid w:val="008F0D7F"/>
    <w:rsid w:val="008F212C"/>
    <w:rsid w:val="008F21B3"/>
    <w:rsid w:val="008F259B"/>
    <w:rsid w:val="008F4A03"/>
    <w:rsid w:val="008F584E"/>
    <w:rsid w:val="008F5C52"/>
    <w:rsid w:val="008F65B2"/>
    <w:rsid w:val="00901210"/>
    <w:rsid w:val="0090212B"/>
    <w:rsid w:val="00903193"/>
    <w:rsid w:val="00904781"/>
    <w:rsid w:val="009079F6"/>
    <w:rsid w:val="00911C06"/>
    <w:rsid w:val="0091251F"/>
    <w:rsid w:val="00913A59"/>
    <w:rsid w:val="00913B22"/>
    <w:rsid w:val="00915DF4"/>
    <w:rsid w:val="009170C9"/>
    <w:rsid w:val="0091746F"/>
    <w:rsid w:val="00922C5A"/>
    <w:rsid w:val="00924353"/>
    <w:rsid w:val="00924733"/>
    <w:rsid w:val="0092498D"/>
    <w:rsid w:val="00925125"/>
    <w:rsid w:val="009266ED"/>
    <w:rsid w:val="009274BE"/>
    <w:rsid w:val="009278B1"/>
    <w:rsid w:val="00927CEE"/>
    <w:rsid w:val="009311BF"/>
    <w:rsid w:val="0093144D"/>
    <w:rsid w:val="00932178"/>
    <w:rsid w:val="00933EAF"/>
    <w:rsid w:val="00933FC5"/>
    <w:rsid w:val="00935672"/>
    <w:rsid w:val="00935BBF"/>
    <w:rsid w:val="0093649E"/>
    <w:rsid w:val="00936D19"/>
    <w:rsid w:val="0093739B"/>
    <w:rsid w:val="00937E33"/>
    <w:rsid w:val="00941426"/>
    <w:rsid w:val="00941AE3"/>
    <w:rsid w:val="00941B74"/>
    <w:rsid w:val="009421EB"/>
    <w:rsid w:val="00942942"/>
    <w:rsid w:val="00943547"/>
    <w:rsid w:val="00943A9F"/>
    <w:rsid w:val="00944876"/>
    <w:rsid w:val="009460DD"/>
    <w:rsid w:val="0094795D"/>
    <w:rsid w:val="009511F6"/>
    <w:rsid w:val="00952538"/>
    <w:rsid w:val="009542B6"/>
    <w:rsid w:val="00954594"/>
    <w:rsid w:val="00955BC3"/>
    <w:rsid w:val="00957369"/>
    <w:rsid w:val="00960B70"/>
    <w:rsid w:val="0096324F"/>
    <w:rsid w:val="00963DE3"/>
    <w:rsid w:val="009655E4"/>
    <w:rsid w:val="00967923"/>
    <w:rsid w:val="00970470"/>
    <w:rsid w:val="00970643"/>
    <w:rsid w:val="00970912"/>
    <w:rsid w:val="00970A7E"/>
    <w:rsid w:val="00970BBC"/>
    <w:rsid w:val="0097190E"/>
    <w:rsid w:val="009743F0"/>
    <w:rsid w:val="00976E04"/>
    <w:rsid w:val="009778C4"/>
    <w:rsid w:val="00980967"/>
    <w:rsid w:val="00983C9D"/>
    <w:rsid w:val="00984648"/>
    <w:rsid w:val="00985773"/>
    <w:rsid w:val="00986776"/>
    <w:rsid w:val="00987CA9"/>
    <w:rsid w:val="00990141"/>
    <w:rsid w:val="00990615"/>
    <w:rsid w:val="00991BA1"/>
    <w:rsid w:val="00994283"/>
    <w:rsid w:val="009942F4"/>
    <w:rsid w:val="00995884"/>
    <w:rsid w:val="00996A4E"/>
    <w:rsid w:val="0099755E"/>
    <w:rsid w:val="009A0F6D"/>
    <w:rsid w:val="009A20AB"/>
    <w:rsid w:val="009A29AF"/>
    <w:rsid w:val="009A2C7A"/>
    <w:rsid w:val="009A3C00"/>
    <w:rsid w:val="009A3EFC"/>
    <w:rsid w:val="009A6456"/>
    <w:rsid w:val="009A72CA"/>
    <w:rsid w:val="009B063A"/>
    <w:rsid w:val="009B154D"/>
    <w:rsid w:val="009B1CFA"/>
    <w:rsid w:val="009B23BA"/>
    <w:rsid w:val="009B3671"/>
    <w:rsid w:val="009B4007"/>
    <w:rsid w:val="009B552E"/>
    <w:rsid w:val="009B646A"/>
    <w:rsid w:val="009B6766"/>
    <w:rsid w:val="009B70B0"/>
    <w:rsid w:val="009C03A2"/>
    <w:rsid w:val="009C0F14"/>
    <w:rsid w:val="009C214F"/>
    <w:rsid w:val="009C238A"/>
    <w:rsid w:val="009C3CBB"/>
    <w:rsid w:val="009C49D2"/>
    <w:rsid w:val="009C6206"/>
    <w:rsid w:val="009C6E70"/>
    <w:rsid w:val="009C6E81"/>
    <w:rsid w:val="009C7350"/>
    <w:rsid w:val="009D05BF"/>
    <w:rsid w:val="009D0766"/>
    <w:rsid w:val="009D199A"/>
    <w:rsid w:val="009D1B84"/>
    <w:rsid w:val="009D5762"/>
    <w:rsid w:val="009D57CA"/>
    <w:rsid w:val="009D5A90"/>
    <w:rsid w:val="009D60EB"/>
    <w:rsid w:val="009D7143"/>
    <w:rsid w:val="009D74AE"/>
    <w:rsid w:val="009E0379"/>
    <w:rsid w:val="009E0600"/>
    <w:rsid w:val="009E1821"/>
    <w:rsid w:val="009E1DAF"/>
    <w:rsid w:val="009E5E7B"/>
    <w:rsid w:val="009E69D8"/>
    <w:rsid w:val="009E6F38"/>
    <w:rsid w:val="009F0760"/>
    <w:rsid w:val="009F0F2A"/>
    <w:rsid w:val="009F171A"/>
    <w:rsid w:val="009F4F0C"/>
    <w:rsid w:val="009F5F9A"/>
    <w:rsid w:val="00A02FA5"/>
    <w:rsid w:val="00A1321C"/>
    <w:rsid w:val="00A136EC"/>
    <w:rsid w:val="00A138A8"/>
    <w:rsid w:val="00A156AF"/>
    <w:rsid w:val="00A1758B"/>
    <w:rsid w:val="00A215A8"/>
    <w:rsid w:val="00A249FC"/>
    <w:rsid w:val="00A2578B"/>
    <w:rsid w:val="00A25ABA"/>
    <w:rsid w:val="00A30D85"/>
    <w:rsid w:val="00A320A5"/>
    <w:rsid w:val="00A32554"/>
    <w:rsid w:val="00A32A20"/>
    <w:rsid w:val="00A33BE4"/>
    <w:rsid w:val="00A3579A"/>
    <w:rsid w:val="00A36591"/>
    <w:rsid w:val="00A36A7E"/>
    <w:rsid w:val="00A40336"/>
    <w:rsid w:val="00A4223C"/>
    <w:rsid w:val="00A425C6"/>
    <w:rsid w:val="00A43135"/>
    <w:rsid w:val="00A43592"/>
    <w:rsid w:val="00A4382E"/>
    <w:rsid w:val="00A43890"/>
    <w:rsid w:val="00A43D21"/>
    <w:rsid w:val="00A442C1"/>
    <w:rsid w:val="00A46148"/>
    <w:rsid w:val="00A465E7"/>
    <w:rsid w:val="00A4744A"/>
    <w:rsid w:val="00A506CA"/>
    <w:rsid w:val="00A509B8"/>
    <w:rsid w:val="00A50AF4"/>
    <w:rsid w:val="00A51D46"/>
    <w:rsid w:val="00A5225B"/>
    <w:rsid w:val="00A52A99"/>
    <w:rsid w:val="00A52F6A"/>
    <w:rsid w:val="00A53844"/>
    <w:rsid w:val="00A53E2D"/>
    <w:rsid w:val="00A544D1"/>
    <w:rsid w:val="00A5534D"/>
    <w:rsid w:val="00A5540E"/>
    <w:rsid w:val="00A55D17"/>
    <w:rsid w:val="00A563C9"/>
    <w:rsid w:val="00A61D06"/>
    <w:rsid w:val="00A632CB"/>
    <w:rsid w:val="00A640EB"/>
    <w:rsid w:val="00A644A9"/>
    <w:rsid w:val="00A66E15"/>
    <w:rsid w:val="00A67C3D"/>
    <w:rsid w:val="00A67C4E"/>
    <w:rsid w:val="00A7346C"/>
    <w:rsid w:val="00A73857"/>
    <w:rsid w:val="00A7443B"/>
    <w:rsid w:val="00A747C9"/>
    <w:rsid w:val="00A74DAB"/>
    <w:rsid w:val="00A75D7A"/>
    <w:rsid w:val="00A75E2E"/>
    <w:rsid w:val="00A76992"/>
    <w:rsid w:val="00A76AED"/>
    <w:rsid w:val="00A7701F"/>
    <w:rsid w:val="00A778A8"/>
    <w:rsid w:val="00A80278"/>
    <w:rsid w:val="00A8108E"/>
    <w:rsid w:val="00A811E1"/>
    <w:rsid w:val="00A82D4C"/>
    <w:rsid w:val="00A839DF"/>
    <w:rsid w:val="00A83B30"/>
    <w:rsid w:val="00A843D3"/>
    <w:rsid w:val="00A84A67"/>
    <w:rsid w:val="00A859E9"/>
    <w:rsid w:val="00A85DD5"/>
    <w:rsid w:val="00A865D4"/>
    <w:rsid w:val="00A86D8C"/>
    <w:rsid w:val="00A90FB4"/>
    <w:rsid w:val="00A9162A"/>
    <w:rsid w:val="00A92545"/>
    <w:rsid w:val="00A9377C"/>
    <w:rsid w:val="00A9441D"/>
    <w:rsid w:val="00A9678E"/>
    <w:rsid w:val="00A9742D"/>
    <w:rsid w:val="00AA0AAE"/>
    <w:rsid w:val="00AA0F04"/>
    <w:rsid w:val="00AA2353"/>
    <w:rsid w:val="00AA344B"/>
    <w:rsid w:val="00AA4C31"/>
    <w:rsid w:val="00AA691A"/>
    <w:rsid w:val="00AA700D"/>
    <w:rsid w:val="00AA71AA"/>
    <w:rsid w:val="00AA758A"/>
    <w:rsid w:val="00AA7BC4"/>
    <w:rsid w:val="00AB0961"/>
    <w:rsid w:val="00AB1CF3"/>
    <w:rsid w:val="00AB2BC7"/>
    <w:rsid w:val="00AB5623"/>
    <w:rsid w:val="00AB5D0F"/>
    <w:rsid w:val="00AB662A"/>
    <w:rsid w:val="00AC1218"/>
    <w:rsid w:val="00AC28FC"/>
    <w:rsid w:val="00AC4730"/>
    <w:rsid w:val="00AC4891"/>
    <w:rsid w:val="00AC7526"/>
    <w:rsid w:val="00AD0962"/>
    <w:rsid w:val="00AD2300"/>
    <w:rsid w:val="00AD259E"/>
    <w:rsid w:val="00AD4096"/>
    <w:rsid w:val="00AD4120"/>
    <w:rsid w:val="00AD4B0B"/>
    <w:rsid w:val="00AD51E6"/>
    <w:rsid w:val="00AD5AF0"/>
    <w:rsid w:val="00AD60BF"/>
    <w:rsid w:val="00AD6F70"/>
    <w:rsid w:val="00AE060F"/>
    <w:rsid w:val="00AE0BEE"/>
    <w:rsid w:val="00AE27B5"/>
    <w:rsid w:val="00AE410A"/>
    <w:rsid w:val="00AE4573"/>
    <w:rsid w:val="00AE4D1B"/>
    <w:rsid w:val="00AE57DF"/>
    <w:rsid w:val="00AE62D5"/>
    <w:rsid w:val="00AE69C1"/>
    <w:rsid w:val="00AE710F"/>
    <w:rsid w:val="00AE7DF3"/>
    <w:rsid w:val="00AF283C"/>
    <w:rsid w:val="00AF4955"/>
    <w:rsid w:val="00AF6CAF"/>
    <w:rsid w:val="00AF72B4"/>
    <w:rsid w:val="00B00F74"/>
    <w:rsid w:val="00B020EB"/>
    <w:rsid w:val="00B02491"/>
    <w:rsid w:val="00B02FC5"/>
    <w:rsid w:val="00B031CA"/>
    <w:rsid w:val="00B03361"/>
    <w:rsid w:val="00B0747B"/>
    <w:rsid w:val="00B07EFE"/>
    <w:rsid w:val="00B07F84"/>
    <w:rsid w:val="00B11409"/>
    <w:rsid w:val="00B12B88"/>
    <w:rsid w:val="00B1325F"/>
    <w:rsid w:val="00B1564B"/>
    <w:rsid w:val="00B16937"/>
    <w:rsid w:val="00B16B96"/>
    <w:rsid w:val="00B17F67"/>
    <w:rsid w:val="00B218CF"/>
    <w:rsid w:val="00B226F1"/>
    <w:rsid w:val="00B23E52"/>
    <w:rsid w:val="00B25B41"/>
    <w:rsid w:val="00B26242"/>
    <w:rsid w:val="00B262B3"/>
    <w:rsid w:val="00B277DA"/>
    <w:rsid w:val="00B30385"/>
    <w:rsid w:val="00B317CB"/>
    <w:rsid w:val="00B31CFF"/>
    <w:rsid w:val="00B31EEF"/>
    <w:rsid w:val="00B327F1"/>
    <w:rsid w:val="00B34B03"/>
    <w:rsid w:val="00B36C49"/>
    <w:rsid w:val="00B36F78"/>
    <w:rsid w:val="00B370DC"/>
    <w:rsid w:val="00B376F0"/>
    <w:rsid w:val="00B40A48"/>
    <w:rsid w:val="00B413DD"/>
    <w:rsid w:val="00B415B2"/>
    <w:rsid w:val="00B42152"/>
    <w:rsid w:val="00B423EF"/>
    <w:rsid w:val="00B4281B"/>
    <w:rsid w:val="00B43B00"/>
    <w:rsid w:val="00B451C8"/>
    <w:rsid w:val="00B454B7"/>
    <w:rsid w:val="00B45D07"/>
    <w:rsid w:val="00B46943"/>
    <w:rsid w:val="00B5058E"/>
    <w:rsid w:val="00B50C5A"/>
    <w:rsid w:val="00B51A10"/>
    <w:rsid w:val="00B5236A"/>
    <w:rsid w:val="00B550FC"/>
    <w:rsid w:val="00B5698F"/>
    <w:rsid w:val="00B57425"/>
    <w:rsid w:val="00B607B4"/>
    <w:rsid w:val="00B627D5"/>
    <w:rsid w:val="00B63FD4"/>
    <w:rsid w:val="00B63FEC"/>
    <w:rsid w:val="00B6461A"/>
    <w:rsid w:val="00B65B96"/>
    <w:rsid w:val="00B65C30"/>
    <w:rsid w:val="00B66AEB"/>
    <w:rsid w:val="00B66B5C"/>
    <w:rsid w:val="00B67867"/>
    <w:rsid w:val="00B67CC7"/>
    <w:rsid w:val="00B67F2A"/>
    <w:rsid w:val="00B71299"/>
    <w:rsid w:val="00B744DB"/>
    <w:rsid w:val="00B7475C"/>
    <w:rsid w:val="00B74E0F"/>
    <w:rsid w:val="00B75150"/>
    <w:rsid w:val="00B771A0"/>
    <w:rsid w:val="00B806BA"/>
    <w:rsid w:val="00B81A2C"/>
    <w:rsid w:val="00B81A6E"/>
    <w:rsid w:val="00B81BE1"/>
    <w:rsid w:val="00B83919"/>
    <w:rsid w:val="00B8484B"/>
    <w:rsid w:val="00B853A0"/>
    <w:rsid w:val="00B854A9"/>
    <w:rsid w:val="00B85CE1"/>
    <w:rsid w:val="00B8686B"/>
    <w:rsid w:val="00B87141"/>
    <w:rsid w:val="00B90AFF"/>
    <w:rsid w:val="00B91926"/>
    <w:rsid w:val="00B96BE4"/>
    <w:rsid w:val="00B972BA"/>
    <w:rsid w:val="00BA055B"/>
    <w:rsid w:val="00BA1FA2"/>
    <w:rsid w:val="00BA38F3"/>
    <w:rsid w:val="00BA6836"/>
    <w:rsid w:val="00BA761E"/>
    <w:rsid w:val="00BB03F6"/>
    <w:rsid w:val="00BB0671"/>
    <w:rsid w:val="00BB5905"/>
    <w:rsid w:val="00BB597F"/>
    <w:rsid w:val="00BB5D10"/>
    <w:rsid w:val="00BB64CB"/>
    <w:rsid w:val="00BB78DF"/>
    <w:rsid w:val="00BB7ADA"/>
    <w:rsid w:val="00BC07AE"/>
    <w:rsid w:val="00BC1D7D"/>
    <w:rsid w:val="00BC6B51"/>
    <w:rsid w:val="00BC6F2E"/>
    <w:rsid w:val="00BC7C4B"/>
    <w:rsid w:val="00BC7D54"/>
    <w:rsid w:val="00BD1197"/>
    <w:rsid w:val="00BD1902"/>
    <w:rsid w:val="00BD28E3"/>
    <w:rsid w:val="00BD31AE"/>
    <w:rsid w:val="00BD3B64"/>
    <w:rsid w:val="00BD4EF5"/>
    <w:rsid w:val="00BD547B"/>
    <w:rsid w:val="00BE00DB"/>
    <w:rsid w:val="00BE0E8C"/>
    <w:rsid w:val="00BE109C"/>
    <w:rsid w:val="00BE377C"/>
    <w:rsid w:val="00BE4B33"/>
    <w:rsid w:val="00BE591E"/>
    <w:rsid w:val="00BE62FB"/>
    <w:rsid w:val="00BE7150"/>
    <w:rsid w:val="00BF2714"/>
    <w:rsid w:val="00BF3A16"/>
    <w:rsid w:val="00BF4278"/>
    <w:rsid w:val="00BF62A5"/>
    <w:rsid w:val="00C00AA9"/>
    <w:rsid w:val="00C01B89"/>
    <w:rsid w:val="00C02307"/>
    <w:rsid w:val="00C028FC"/>
    <w:rsid w:val="00C02D14"/>
    <w:rsid w:val="00C035D2"/>
    <w:rsid w:val="00C03C3C"/>
    <w:rsid w:val="00C03E44"/>
    <w:rsid w:val="00C0623D"/>
    <w:rsid w:val="00C07473"/>
    <w:rsid w:val="00C0759C"/>
    <w:rsid w:val="00C111A3"/>
    <w:rsid w:val="00C11506"/>
    <w:rsid w:val="00C1189F"/>
    <w:rsid w:val="00C11ADC"/>
    <w:rsid w:val="00C11F64"/>
    <w:rsid w:val="00C13475"/>
    <w:rsid w:val="00C13FE4"/>
    <w:rsid w:val="00C140A0"/>
    <w:rsid w:val="00C14FF3"/>
    <w:rsid w:val="00C15BA1"/>
    <w:rsid w:val="00C244AC"/>
    <w:rsid w:val="00C25682"/>
    <w:rsid w:val="00C3185B"/>
    <w:rsid w:val="00C31C2E"/>
    <w:rsid w:val="00C34A0C"/>
    <w:rsid w:val="00C35A80"/>
    <w:rsid w:val="00C35C11"/>
    <w:rsid w:val="00C35C1F"/>
    <w:rsid w:val="00C3610D"/>
    <w:rsid w:val="00C3611F"/>
    <w:rsid w:val="00C37381"/>
    <w:rsid w:val="00C37BD9"/>
    <w:rsid w:val="00C37ECE"/>
    <w:rsid w:val="00C4059B"/>
    <w:rsid w:val="00C408DA"/>
    <w:rsid w:val="00C40F32"/>
    <w:rsid w:val="00C41877"/>
    <w:rsid w:val="00C41DD8"/>
    <w:rsid w:val="00C429CB"/>
    <w:rsid w:val="00C42BC0"/>
    <w:rsid w:val="00C4333F"/>
    <w:rsid w:val="00C43C8B"/>
    <w:rsid w:val="00C44F50"/>
    <w:rsid w:val="00C4725C"/>
    <w:rsid w:val="00C475F4"/>
    <w:rsid w:val="00C51121"/>
    <w:rsid w:val="00C51564"/>
    <w:rsid w:val="00C5230A"/>
    <w:rsid w:val="00C535BE"/>
    <w:rsid w:val="00C53735"/>
    <w:rsid w:val="00C5646E"/>
    <w:rsid w:val="00C56B19"/>
    <w:rsid w:val="00C61775"/>
    <w:rsid w:val="00C63BCC"/>
    <w:rsid w:val="00C63DE5"/>
    <w:rsid w:val="00C63EEA"/>
    <w:rsid w:val="00C64901"/>
    <w:rsid w:val="00C65973"/>
    <w:rsid w:val="00C676DF"/>
    <w:rsid w:val="00C706C0"/>
    <w:rsid w:val="00C707A7"/>
    <w:rsid w:val="00C71199"/>
    <w:rsid w:val="00C71521"/>
    <w:rsid w:val="00C721FC"/>
    <w:rsid w:val="00C72B76"/>
    <w:rsid w:val="00C732F2"/>
    <w:rsid w:val="00C736AC"/>
    <w:rsid w:val="00C742FF"/>
    <w:rsid w:val="00C745A3"/>
    <w:rsid w:val="00C74934"/>
    <w:rsid w:val="00C74F3E"/>
    <w:rsid w:val="00C75144"/>
    <w:rsid w:val="00C763BA"/>
    <w:rsid w:val="00C7742B"/>
    <w:rsid w:val="00C80E7A"/>
    <w:rsid w:val="00C82413"/>
    <w:rsid w:val="00C847C0"/>
    <w:rsid w:val="00C84A6B"/>
    <w:rsid w:val="00C84C82"/>
    <w:rsid w:val="00C8557A"/>
    <w:rsid w:val="00C855EE"/>
    <w:rsid w:val="00C86535"/>
    <w:rsid w:val="00C86C57"/>
    <w:rsid w:val="00C90557"/>
    <w:rsid w:val="00C90C7C"/>
    <w:rsid w:val="00C90E51"/>
    <w:rsid w:val="00C91153"/>
    <w:rsid w:val="00C91FAD"/>
    <w:rsid w:val="00C92957"/>
    <w:rsid w:val="00C929EE"/>
    <w:rsid w:val="00C93A89"/>
    <w:rsid w:val="00C94AC3"/>
    <w:rsid w:val="00C96887"/>
    <w:rsid w:val="00C97A24"/>
    <w:rsid w:val="00CA2585"/>
    <w:rsid w:val="00CA2A82"/>
    <w:rsid w:val="00CA4DF3"/>
    <w:rsid w:val="00CA6C8E"/>
    <w:rsid w:val="00CA72A8"/>
    <w:rsid w:val="00CA76CB"/>
    <w:rsid w:val="00CB11C1"/>
    <w:rsid w:val="00CB1B68"/>
    <w:rsid w:val="00CB1DBF"/>
    <w:rsid w:val="00CB1DED"/>
    <w:rsid w:val="00CB2CDF"/>
    <w:rsid w:val="00CB3983"/>
    <w:rsid w:val="00CB498B"/>
    <w:rsid w:val="00CB4AE0"/>
    <w:rsid w:val="00CB6872"/>
    <w:rsid w:val="00CB6A9B"/>
    <w:rsid w:val="00CB6E1C"/>
    <w:rsid w:val="00CB776D"/>
    <w:rsid w:val="00CC1F6B"/>
    <w:rsid w:val="00CC3243"/>
    <w:rsid w:val="00CC396A"/>
    <w:rsid w:val="00CC5E58"/>
    <w:rsid w:val="00CC6836"/>
    <w:rsid w:val="00CD0738"/>
    <w:rsid w:val="00CD0A4D"/>
    <w:rsid w:val="00CD1BA4"/>
    <w:rsid w:val="00CD251D"/>
    <w:rsid w:val="00CD63C8"/>
    <w:rsid w:val="00CD7862"/>
    <w:rsid w:val="00CE166D"/>
    <w:rsid w:val="00CE18B4"/>
    <w:rsid w:val="00CE1F4A"/>
    <w:rsid w:val="00CE2D18"/>
    <w:rsid w:val="00CE3A0D"/>
    <w:rsid w:val="00CE462D"/>
    <w:rsid w:val="00CE7467"/>
    <w:rsid w:val="00CF04B5"/>
    <w:rsid w:val="00CF1067"/>
    <w:rsid w:val="00CF3399"/>
    <w:rsid w:val="00CF387D"/>
    <w:rsid w:val="00CF3D04"/>
    <w:rsid w:val="00CF4BF6"/>
    <w:rsid w:val="00CF4E7D"/>
    <w:rsid w:val="00CF6178"/>
    <w:rsid w:val="00CF6480"/>
    <w:rsid w:val="00CF66C1"/>
    <w:rsid w:val="00CF77FF"/>
    <w:rsid w:val="00CF7FA0"/>
    <w:rsid w:val="00D027CE"/>
    <w:rsid w:val="00D0308E"/>
    <w:rsid w:val="00D0640A"/>
    <w:rsid w:val="00D0795A"/>
    <w:rsid w:val="00D12A59"/>
    <w:rsid w:val="00D13318"/>
    <w:rsid w:val="00D1360F"/>
    <w:rsid w:val="00D13F4D"/>
    <w:rsid w:val="00D15EF8"/>
    <w:rsid w:val="00D17920"/>
    <w:rsid w:val="00D20C87"/>
    <w:rsid w:val="00D21976"/>
    <w:rsid w:val="00D221D4"/>
    <w:rsid w:val="00D22B00"/>
    <w:rsid w:val="00D234D7"/>
    <w:rsid w:val="00D24E91"/>
    <w:rsid w:val="00D25120"/>
    <w:rsid w:val="00D25D3C"/>
    <w:rsid w:val="00D2618A"/>
    <w:rsid w:val="00D262E2"/>
    <w:rsid w:val="00D26743"/>
    <w:rsid w:val="00D317F8"/>
    <w:rsid w:val="00D31903"/>
    <w:rsid w:val="00D32847"/>
    <w:rsid w:val="00D333DF"/>
    <w:rsid w:val="00D3433E"/>
    <w:rsid w:val="00D35E16"/>
    <w:rsid w:val="00D370AE"/>
    <w:rsid w:val="00D40B67"/>
    <w:rsid w:val="00D4273D"/>
    <w:rsid w:val="00D43350"/>
    <w:rsid w:val="00D433F6"/>
    <w:rsid w:val="00D45D8A"/>
    <w:rsid w:val="00D45DBD"/>
    <w:rsid w:val="00D46AAF"/>
    <w:rsid w:val="00D47845"/>
    <w:rsid w:val="00D50EC8"/>
    <w:rsid w:val="00D52200"/>
    <w:rsid w:val="00D52375"/>
    <w:rsid w:val="00D5280F"/>
    <w:rsid w:val="00D52EC9"/>
    <w:rsid w:val="00D5304F"/>
    <w:rsid w:val="00D53476"/>
    <w:rsid w:val="00D53E93"/>
    <w:rsid w:val="00D54425"/>
    <w:rsid w:val="00D55394"/>
    <w:rsid w:val="00D57B09"/>
    <w:rsid w:val="00D6018C"/>
    <w:rsid w:val="00D604E8"/>
    <w:rsid w:val="00D609F3"/>
    <w:rsid w:val="00D629B0"/>
    <w:rsid w:val="00D62B7F"/>
    <w:rsid w:val="00D6313B"/>
    <w:rsid w:val="00D632BC"/>
    <w:rsid w:val="00D63F81"/>
    <w:rsid w:val="00D645C9"/>
    <w:rsid w:val="00D6550C"/>
    <w:rsid w:val="00D66B7E"/>
    <w:rsid w:val="00D70924"/>
    <w:rsid w:val="00D70BE4"/>
    <w:rsid w:val="00D7107B"/>
    <w:rsid w:val="00D71399"/>
    <w:rsid w:val="00D72196"/>
    <w:rsid w:val="00D72E24"/>
    <w:rsid w:val="00D72FA4"/>
    <w:rsid w:val="00D7367D"/>
    <w:rsid w:val="00D753F9"/>
    <w:rsid w:val="00D76C3F"/>
    <w:rsid w:val="00D77694"/>
    <w:rsid w:val="00D82129"/>
    <w:rsid w:val="00D82E7E"/>
    <w:rsid w:val="00D84911"/>
    <w:rsid w:val="00D853A8"/>
    <w:rsid w:val="00D87FEA"/>
    <w:rsid w:val="00D90C02"/>
    <w:rsid w:val="00D91604"/>
    <w:rsid w:val="00D93B90"/>
    <w:rsid w:val="00D9427C"/>
    <w:rsid w:val="00D94677"/>
    <w:rsid w:val="00DA05BB"/>
    <w:rsid w:val="00DA10C5"/>
    <w:rsid w:val="00DA2DD6"/>
    <w:rsid w:val="00DA3E28"/>
    <w:rsid w:val="00DA4407"/>
    <w:rsid w:val="00DA50DF"/>
    <w:rsid w:val="00DA674F"/>
    <w:rsid w:val="00DA778D"/>
    <w:rsid w:val="00DA78BF"/>
    <w:rsid w:val="00DB2330"/>
    <w:rsid w:val="00DB2535"/>
    <w:rsid w:val="00DB274F"/>
    <w:rsid w:val="00DB394E"/>
    <w:rsid w:val="00DB4C4D"/>
    <w:rsid w:val="00DB5E76"/>
    <w:rsid w:val="00DB6F4B"/>
    <w:rsid w:val="00DB6FB9"/>
    <w:rsid w:val="00DB70E7"/>
    <w:rsid w:val="00DC1BB4"/>
    <w:rsid w:val="00DC3461"/>
    <w:rsid w:val="00DC7136"/>
    <w:rsid w:val="00DC7329"/>
    <w:rsid w:val="00DD07D9"/>
    <w:rsid w:val="00DD08B8"/>
    <w:rsid w:val="00DD1700"/>
    <w:rsid w:val="00DD2165"/>
    <w:rsid w:val="00DD3084"/>
    <w:rsid w:val="00DD3796"/>
    <w:rsid w:val="00DD4789"/>
    <w:rsid w:val="00DD4F2B"/>
    <w:rsid w:val="00DD51C8"/>
    <w:rsid w:val="00DD67A1"/>
    <w:rsid w:val="00DD6DCA"/>
    <w:rsid w:val="00DD740B"/>
    <w:rsid w:val="00DD7785"/>
    <w:rsid w:val="00DE1903"/>
    <w:rsid w:val="00DE1C81"/>
    <w:rsid w:val="00DE2A58"/>
    <w:rsid w:val="00DE4F85"/>
    <w:rsid w:val="00DE4FBD"/>
    <w:rsid w:val="00DE5442"/>
    <w:rsid w:val="00DE63BA"/>
    <w:rsid w:val="00DE7F02"/>
    <w:rsid w:val="00DF0647"/>
    <w:rsid w:val="00DF1244"/>
    <w:rsid w:val="00DF184F"/>
    <w:rsid w:val="00DF40FE"/>
    <w:rsid w:val="00DF48CD"/>
    <w:rsid w:val="00DF5386"/>
    <w:rsid w:val="00DF70FC"/>
    <w:rsid w:val="00E001E0"/>
    <w:rsid w:val="00E0218D"/>
    <w:rsid w:val="00E03CBA"/>
    <w:rsid w:val="00E05235"/>
    <w:rsid w:val="00E05700"/>
    <w:rsid w:val="00E10B9C"/>
    <w:rsid w:val="00E11C45"/>
    <w:rsid w:val="00E12671"/>
    <w:rsid w:val="00E136DD"/>
    <w:rsid w:val="00E13CFA"/>
    <w:rsid w:val="00E15A90"/>
    <w:rsid w:val="00E20C0F"/>
    <w:rsid w:val="00E21256"/>
    <w:rsid w:val="00E215E1"/>
    <w:rsid w:val="00E227F5"/>
    <w:rsid w:val="00E22A2C"/>
    <w:rsid w:val="00E23D87"/>
    <w:rsid w:val="00E2404F"/>
    <w:rsid w:val="00E25353"/>
    <w:rsid w:val="00E303BA"/>
    <w:rsid w:val="00E3046A"/>
    <w:rsid w:val="00E3106D"/>
    <w:rsid w:val="00E31271"/>
    <w:rsid w:val="00E32252"/>
    <w:rsid w:val="00E325CC"/>
    <w:rsid w:val="00E32EFA"/>
    <w:rsid w:val="00E3449A"/>
    <w:rsid w:val="00E357BB"/>
    <w:rsid w:val="00E40496"/>
    <w:rsid w:val="00E405FA"/>
    <w:rsid w:val="00E41DD1"/>
    <w:rsid w:val="00E42662"/>
    <w:rsid w:val="00E42DC3"/>
    <w:rsid w:val="00E430CF"/>
    <w:rsid w:val="00E4468A"/>
    <w:rsid w:val="00E46001"/>
    <w:rsid w:val="00E460B8"/>
    <w:rsid w:val="00E47152"/>
    <w:rsid w:val="00E51FF5"/>
    <w:rsid w:val="00E5337F"/>
    <w:rsid w:val="00E53FAB"/>
    <w:rsid w:val="00E5531D"/>
    <w:rsid w:val="00E56F81"/>
    <w:rsid w:val="00E576C2"/>
    <w:rsid w:val="00E60D2F"/>
    <w:rsid w:val="00E62A50"/>
    <w:rsid w:val="00E63682"/>
    <w:rsid w:val="00E6705C"/>
    <w:rsid w:val="00E73339"/>
    <w:rsid w:val="00E73777"/>
    <w:rsid w:val="00E73BC4"/>
    <w:rsid w:val="00E76AA6"/>
    <w:rsid w:val="00E8041A"/>
    <w:rsid w:val="00E81455"/>
    <w:rsid w:val="00E85649"/>
    <w:rsid w:val="00E85AD9"/>
    <w:rsid w:val="00E87B67"/>
    <w:rsid w:val="00E87C70"/>
    <w:rsid w:val="00E87F2E"/>
    <w:rsid w:val="00E90831"/>
    <w:rsid w:val="00E90FE3"/>
    <w:rsid w:val="00E910BB"/>
    <w:rsid w:val="00E91892"/>
    <w:rsid w:val="00E92A58"/>
    <w:rsid w:val="00E937B1"/>
    <w:rsid w:val="00E94924"/>
    <w:rsid w:val="00E94EED"/>
    <w:rsid w:val="00E97100"/>
    <w:rsid w:val="00E9785E"/>
    <w:rsid w:val="00EA0908"/>
    <w:rsid w:val="00EA12D5"/>
    <w:rsid w:val="00EA38EF"/>
    <w:rsid w:val="00EA6660"/>
    <w:rsid w:val="00EA7673"/>
    <w:rsid w:val="00EA78BA"/>
    <w:rsid w:val="00EB0068"/>
    <w:rsid w:val="00EB292E"/>
    <w:rsid w:val="00EB3231"/>
    <w:rsid w:val="00EB3F40"/>
    <w:rsid w:val="00EB548A"/>
    <w:rsid w:val="00EB5EAA"/>
    <w:rsid w:val="00EB6BC8"/>
    <w:rsid w:val="00EB743C"/>
    <w:rsid w:val="00EB7DB6"/>
    <w:rsid w:val="00EC1176"/>
    <w:rsid w:val="00EC2F5F"/>
    <w:rsid w:val="00EC3BAB"/>
    <w:rsid w:val="00EC3D2E"/>
    <w:rsid w:val="00EC6ADE"/>
    <w:rsid w:val="00EC7BBE"/>
    <w:rsid w:val="00ED074C"/>
    <w:rsid w:val="00ED104B"/>
    <w:rsid w:val="00ED3ED9"/>
    <w:rsid w:val="00ED6957"/>
    <w:rsid w:val="00EE00FB"/>
    <w:rsid w:val="00EE2769"/>
    <w:rsid w:val="00EE29D6"/>
    <w:rsid w:val="00EE3439"/>
    <w:rsid w:val="00EE4DF9"/>
    <w:rsid w:val="00EE5082"/>
    <w:rsid w:val="00EE5603"/>
    <w:rsid w:val="00EE7A4D"/>
    <w:rsid w:val="00EF32E6"/>
    <w:rsid w:val="00EF3E05"/>
    <w:rsid w:val="00EF4F9A"/>
    <w:rsid w:val="00EF5035"/>
    <w:rsid w:val="00EF524E"/>
    <w:rsid w:val="00EF52E9"/>
    <w:rsid w:val="00EF79AC"/>
    <w:rsid w:val="00F011CF"/>
    <w:rsid w:val="00F01F0C"/>
    <w:rsid w:val="00F01FC0"/>
    <w:rsid w:val="00F02A4D"/>
    <w:rsid w:val="00F04A90"/>
    <w:rsid w:val="00F052C4"/>
    <w:rsid w:val="00F06D11"/>
    <w:rsid w:val="00F0793A"/>
    <w:rsid w:val="00F11868"/>
    <w:rsid w:val="00F123E5"/>
    <w:rsid w:val="00F125A0"/>
    <w:rsid w:val="00F125EC"/>
    <w:rsid w:val="00F129B6"/>
    <w:rsid w:val="00F13D62"/>
    <w:rsid w:val="00F1443F"/>
    <w:rsid w:val="00F15439"/>
    <w:rsid w:val="00F15681"/>
    <w:rsid w:val="00F15B89"/>
    <w:rsid w:val="00F15CBD"/>
    <w:rsid w:val="00F163FE"/>
    <w:rsid w:val="00F17F86"/>
    <w:rsid w:val="00F216D6"/>
    <w:rsid w:val="00F245C9"/>
    <w:rsid w:val="00F256A5"/>
    <w:rsid w:val="00F25FEE"/>
    <w:rsid w:val="00F261D5"/>
    <w:rsid w:val="00F263B0"/>
    <w:rsid w:val="00F264EF"/>
    <w:rsid w:val="00F27EE6"/>
    <w:rsid w:val="00F3173C"/>
    <w:rsid w:val="00F31B5B"/>
    <w:rsid w:val="00F32FEA"/>
    <w:rsid w:val="00F32FFF"/>
    <w:rsid w:val="00F34846"/>
    <w:rsid w:val="00F35EE7"/>
    <w:rsid w:val="00F37BD4"/>
    <w:rsid w:val="00F42F30"/>
    <w:rsid w:val="00F43E62"/>
    <w:rsid w:val="00F43FE5"/>
    <w:rsid w:val="00F443B4"/>
    <w:rsid w:val="00F455F8"/>
    <w:rsid w:val="00F4579B"/>
    <w:rsid w:val="00F46B3C"/>
    <w:rsid w:val="00F471EF"/>
    <w:rsid w:val="00F47A31"/>
    <w:rsid w:val="00F50D34"/>
    <w:rsid w:val="00F52E83"/>
    <w:rsid w:val="00F534A9"/>
    <w:rsid w:val="00F53755"/>
    <w:rsid w:val="00F539D1"/>
    <w:rsid w:val="00F542E2"/>
    <w:rsid w:val="00F54565"/>
    <w:rsid w:val="00F55FD2"/>
    <w:rsid w:val="00F57337"/>
    <w:rsid w:val="00F60C3E"/>
    <w:rsid w:val="00F62F8C"/>
    <w:rsid w:val="00F650A5"/>
    <w:rsid w:val="00F70BE4"/>
    <w:rsid w:val="00F71A9B"/>
    <w:rsid w:val="00F76F66"/>
    <w:rsid w:val="00F77303"/>
    <w:rsid w:val="00F82C47"/>
    <w:rsid w:val="00F84435"/>
    <w:rsid w:val="00F844A2"/>
    <w:rsid w:val="00F8458E"/>
    <w:rsid w:val="00F84A2C"/>
    <w:rsid w:val="00F84EE8"/>
    <w:rsid w:val="00F85C00"/>
    <w:rsid w:val="00F86384"/>
    <w:rsid w:val="00F86ABC"/>
    <w:rsid w:val="00F86D31"/>
    <w:rsid w:val="00F90AC4"/>
    <w:rsid w:val="00F93C75"/>
    <w:rsid w:val="00F94A21"/>
    <w:rsid w:val="00F94E99"/>
    <w:rsid w:val="00F95E5C"/>
    <w:rsid w:val="00FA0740"/>
    <w:rsid w:val="00FA0CD0"/>
    <w:rsid w:val="00FA1286"/>
    <w:rsid w:val="00FA154E"/>
    <w:rsid w:val="00FA1DFE"/>
    <w:rsid w:val="00FA322F"/>
    <w:rsid w:val="00FA451D"/>
    <w:rsid w:val="00FA4F4D"/>
    <w:rsid w:val="00FA603F"/>
    <w:rsid w:val="00FA7320"/>
    <w:rsid w:val="00FB4895"/>
    <w:rsid w:val="00FB4A4E"/>
    <w:rsid w:val="00FB4CEB"/>
    <w:rsid w:val="00FB63B8"/>
    <w:rsid w:val="00FC08BA"/>
    <w:rsid w:val="00FC0A3B"/>
    <w:rsid w:val="00FC0FD7"/>
    <w:rsid w:val="00FC23A1"/>
    <w:rsid w:val="00FC2C83"/>
    <w:rsid w:val="00FC3EFC"/>
    <w:rsid w:val="00FC51EE"/>
    <w:rsid w:val="00FC6F22"/>
    <w:rsid w:val="00FD0F28"/>
    <w:rsid w:val="00FD1C8F"/>
    <w:rsid w:val="00FD1E8F"/>
    <w:rsid w:val="00FD34B5"/>
    <w:rsid w:val="00FD3B14"/>
    <w:rsid w:val="00FD4275"/>
    <w:rsid w:val="00FD4A44"/>
    <w:rsid w:val="00FD541A"/>
    <w:rsid w:val="00FD5599"/>
    <w:rsid w:val="00FD66E2"/>
    <w:rsid w:val="00FD7126"/>
    <w:rsid w:val="00FE1093"/>
    <w:rsid w:val="00FE1B2C"/>
    <w:rsid w:val="00FE3074"/>
    <w:rsid w:val="00FE4A83"/>
    <w:rsid w:val="00FE5B0E"/>
    <w:rsid w:val="00FF159D"/>
    <w:rsid w:val="00FF38F1"/>
    <w:rsid w:val="00FF43B2"/>
    <w:rsid w:val="00FF54B9"/>
    <w:rsid w:val="00FF693E"/>
    <w:rsid w:val="00FF7B2C"/>
    <w:rsid w:val="00FF7EE1"/>
    <w:rsid w:val="011C4CE0"/>
    <w:rsid w:val="01510F6A"/>
    <w:rsid w:val="01815D11"/>
    <w:rsid w:val="018501D7"/>
    <w:rsid w:val="019976DF"/>
    <w:rsid w:val="01B97B51"/>
    <w:rsid w:val="0211605B"/>
    <w:rsid w:val="023F3C09"/>
    <w:rsid w:val="02494EAB"/>
    <w:rsid w:val="0289105B"/>
    <w:rsid w:val="03254534"/>
    <w:rsid w:val="03552817"/>
    <w:rsid w:val="037E06C9"/>
    <w:rsid w:val="03BF0E42"/>
    <w:rsid w:val="03D36888"/>
    <w:rsid w:val="03E47ECB"/>
    <w:rsid w:val="03FD316C"/>
    <w:rsid w:val="04113704"/>
    <w:rsid w:val="0431192B"/>
    <w:rsid w:val="04805232"/>
    <w:rsid w:val="04BA432B"/>
    <w:rsid w:val="04DB0651"/>
    <w:rsid w:val="04E12A7C"/>
    <w:rsid w:val="05355B4E"/>
    <w:rsid w:val="054B35C3"/>
    <w:rsid w:val="055301AF"/>
    <w:rsid w:val="05966896"/>
    <w:rsid w:val="05A260BD"/>
    <w:rsid w:val="063F6C05"/>
    <w:rsid w:val="064076F6"/>
    <w:rsid w:val="06535E86"/>
    <w:rsid w:val="066F5387"/>
    <w:rsid w:val="06940870"/>
    <w:rsid w:val="0695777D"/>
    <w:rsid w:val="06E77E7D"/>
    <w:rsid w:val="073118DD"/>
    <w:rsid w:val="07467C81"/>
    <w:rsid w:val="076245A4"/>
    <w:rsid w:val="076426D2"/>
    <w:rsid w:val="076430D9"/>
    <w:rsid w:val="080C46B4"/>
    <w:rsid w:val="081569BF"/>
    <w:rsid w:val="08171526"/>
    <w:rsid w:val="084B6CA0"/>
    <w:rsid w:val="08873BD2"/>
    <w:rsid w:val="089F1DC3"/>
    <w:rsid w:val="08AF007A"/>
    <w:rsid w:val="08DC2F7B"/>
    <w:rsid w:val="08EA64E9"/>
    <w:rsid w:val="091664EF"/>
    <w:rsid w:val="09352A8E"/>
    <w:rsid w:val="093D63DB"/>
    <w:rsid w:val="09465332"/>
    <w:rsid w:val="095247CE"/>
    <w:rsid w:val="0965010C"/>
    <w:rsid w:val="097B191A"/>
    <w:rsid w:val="097B1985"/>
    <w:rsid w:val="09E802D7"/>
    <w:rsid w:val="0A286AFD"/>
    <w:rsid w:val="0A4D3396"/>
    <w:rsid w:val="0A970851"/>
    <w:rsid w:val="0A9B00BB"/>
    <w:rsid w:val="0AA819A1"/>
    <w:rsid w:val="0ACF0D68"/>
    <w:rsid w:val="0AD30B97"/>
    <w:rsid w:val="0B85103A"/>
    <w:rsid w:val="0BFE38B9"/>
    <w:rsid w:val="0C96182C"/>
    <w:rsid w:val="0CDE4C19"/>
    <w:rsid w:val="0D110E48"/>
    <w:rsid w:val="0D1351A0"/>
    <w:rsid w:val="0D293496"/>
    <w:rsid w:val="0D2E1D3E"/>
    <w:rsid w:val="0D625C40"/>
    <w:rsid w:val="0D7B1395"/>
    <w:rsid w:val="0DAD1C6D"/>
    <w:rsid w:val="0DB1640A"/>
    <w:rsid w:val="0DBC5E31"/>
    <w:rsid w:val="0DC4376A"/>
    <w:rsid w:val="0E0115AB"/>
    <w:rsid w:val="0E18129F"/>
    <w:rsid w:val="0E3249F6"/>
    <w:rsid w:val="0E564DD8"/>
    <w:rsid w:val="0EAD1857"/>
    <w:rsid w:val="0EDF0664"/>
    <w:rsid w:val="0EF71239"/>
    <w:rsid w:val="0EF77148"/>
    <w:rsid w:val="0F135B12"/>
    <w:rsid w:val="0F4F33AD"/>
    <w:rsid w:val="0F762EF7"/>
    <w:rsid w:val="0FAC59D7"/>
    <w:rsid w:val="0FB948AE"/>
    <w:rsid w:val="0FEE29F6"/>
    <w:rsid w:val="10175612"/>
    <w:rsid w:val="10205CF2"/>
    <w:rsid w:val="1040753E"/>
    <w:rsid w:val="1044379E"/>
    <w:rsid w:val="105355D0"/>
    <w:rsid w:val="10636E9B"/>
    <w:rsid w:val="106377E6"/>
    <w:rsid w:val="10985E83"/>
    <w:rsid w:val="10A12F4F"/>
    <w:rsid w:val="10AE3848"/>
    <w:rsid w:val="10C64997"/>
    <w:rsid w:val="10E92BE2"/>
    <w:rsid w:val="110D42E6"/>
    <w:rsid w:val="110E5BD1"/>
    <w:rsid w:val="11494AEB"/>
    <w:rsid w:val="11BA2787"/>
    <w:rsid w:val="12051BE7"/>
    <w:rsid w:val="121976A7"/>
    <w:rsid w:val="122C3DE0"/>
    <w:rsid w:val="123B1276"/>
    <w:rsid w:val="1293633C"/>
    <w:rsid w:val="129B1E88"/>
    <w:rsid w:val="12D44875"/>
    <w:rsid w:val="12EA4D6C"/>
    <w:rsid w:val="13053966"/>
    <w:rsid w:val="132B2D0A"/>
    <w:rsid w:val="1330400B"/>
    <w:rsid w:val="136B4CAC"/>
    <w:rsid w:val="137C6268"/>
    <w:rsid w:val="137E3EE3"/>
    <w:rsid w:val="13D16840"/>
    <w:rsid w:val="14166FC1"/>
    <w:rsid w:val="14443037"/>
    <w:rsid w:val="14866E6B"/>
    <w:rsid w:val="149F7372"/>
    <w:rsid w:val="14BB161A"/>
    <w:rsid w:val="154F270F"/>
    <w:rsid w:val="15757A4B"/>
    <w:rsid w:val="15D00EEA"/>
    <w:rsid w:val="15FA0A51"/>
    <w:rsid w:val="1630715A"/>
    <w:rsid w:val="16324A37"/>
    <w:rsid w:val="1640187C"/>
    <w:rsid w:val="16584589"/>
    <w:rsid w:val="1678174D"/>
    <w:rsid w:val="168A2ED6"/>
    <w:rsid w:val="16DB1293"/>
    <w:rsid w:val="16DC407B"/>
    <w:rsid w:val="16E25FA5"/>
    <w:rsid w:val="1718244E"/>
    <w:rsid w:val="17303631"/>
    <w:rsid w:val="1734478B"/>
    <w:rsid w:val="173E7946"/>
    <w:rsid w:val="17472494"/>
    <w:rsid w:val="17561A66"/>
    <w:rsid w:val="17811ABB"/>
    <w:rsid w:val="178136C2"/>
    <w:rsid w:val="17922547"/>
    <w:rsid w:val="179E02BC"/>
    <w:rsid w:val="17AC2E19"/>
    <w:rsid w:val="17F606D3"/>
    <w:rsid w:val="18231030"/>
    <w:rsid w:val="183E68A8"/>
    <w:rsid w:val="18891143"/>
    <w:rsid w:val="188F4B2B"/>
    <w:rsid w:val="189579A7"/>
    <w:rsid w:val="18A52931"/>
    <w:rsid w:val="18C03BCE"/>
    <w:rsid w:val="18D02C5A"/>
    <w:rsid w:val="191571B4"/>
    <w:rsid w:val="1919451A"/>
    <w:rsid w:val="197C7149"/>
    <w:rsid w:val="199B71C2"/>
    <w:rsid w:val="19AB3C78"/>
    <w:rsid w:val="19FD0337"/>
    <w:rsid w:val="1A0D384B"/>
    <w:rsid w:val="1A162679"/>
    <w:rsid w:val="1A25218F"/>
    <w:rsid w:val="1A2C78E7"/>
    <w:rsid w:val="1A3F0DBB"/>
    <w:rsid w:val="1A7A0AB9"/>
    <w:rsid w:val="1A8A7DAD"/>
    <w:rsid w:val="1AE946D3"/>
    <w:rsid w:val="1AFB1F43"/>
    <w:rsid w:val="1B14457A"/>
    <w:rsid w:val="1B280373"/>
    <w:rsid w:val="1B9B2757"/>
    <w:rsid w:val="1BA0427D"/>
    <w:rsid w:val="1BC53862"/>
    <w:rsid w:val="1BE9654D"/>
    <w:rsid w:val="1C113C5F"/>
    <w:rsid w:val="1C232C24"/>
    <w:rsid w:val="1C492C98"/>
    <w:rsid w:val="1C4B1025"/>
    <w:rsid w:val="1C66500F"/>
    <w:rsid w:val="1C9A7EBC"/>
    <w:rsid w:val="1CA37593"/>
    <w:rsid w:val="1CB85F11"/>
    <w:rsid w:val="1CEF07CD"/>
    <w:rsid w:val="1CF10ED7"/>
    <w:rsid w:val="1D092FBF"/>
    <w:rsid w:val="1D155BB5"/>
    <w:rsid w:val="1D6230C1"/>
    <w:rsid w:val="1DDD0716"/>
    <w:rsid w:val="1E111AF3"/>
    <w:rsid w:val="1E114BBB"/>
    <w:rsid w:val="1E1F1FE0"/>
    <w:rsid w:val="1E3E49F9"/>
    <w:rsid w:val="1E6B1DA2"/>
    <w:rsid w:val="1EB02FA7"/>
    <w:rsid w:val="1F0253BA"/>
    <w:rsid w:val="1F046E55"/>
    <w:rsid w:val="1F206B53"/>
    <w:rsid w:val="1F3A3820"/>
    <w:rsid w:val="1F914451"/>
    <w:rsid w:val="1F93729F"/>
    <w:rsid w:val="1FC93E8D"/>
    <w:rsid w:val="1FDF5E5C"/>
    <w:rsid w:val="1FE81EA3"/>
    <w:rsid w:val="1FF37A7C"/>
    <w:rsid w:val="200C2834"/>
    <w:rsid w:val="202E69F9"/>
    <w:rsid w:val="202E7115"/>
    <w:rsid w:val="207A4F82"/>
    <w:rsid w:val="20C30D1C"/>
    <w:rsid w:val="20C93B3D"/>
    <w:rsid w:val="20D919BC"/>
    <w:rsid w:val="20DA2975"/>
    <w:rsid w:val="20F609F7"/>
    <w:rsid w:val="219A56BA"/>
    <w:rsid w:val="21F74B95"/>
    <w:rsid w:val="220019DA"/>
    <w:rsid w:val="223A22C0"/>
    <w:rsid w:val="2243467D"/>
    <w:rsid w:val="227D3527"/>
    <w:rsid w:val="22AF202D"/>
    <w:rsid w:val="22EE6CE9"/>
    <w:rsid w:val="232C255C"/>
    <w:rsid w:val="238C4EC0"/>
    <w:rsid w:val="23925395"/>
    <w:rsid w:val="2392582D"/>
    <w:rsid w:val="23AF5CC1"/>
    <w:rsid w:val="23C967AF"/>
    <w:rsid w:val="23F27FE1"/>
    <w:rsid w:val="242B5315"/>
    <w:rsid w:val="2431700F"/>
    <w:rsid w:val="24971029"/>
    <w:rsid w:val="24A2595B"/>
    <w:rsid w:val="24AF068C"/>
    <w:rsid w:val="24C677EB"/>
    <w:rsid w:val="24E011DB"/>
    <w:rsid w:val="24F26C50"/>
    <w:rsid w:val="25242551"/>
    <w:rsid w:val="25347374"/>
    <w:rsid w:val="255A1483"/>
    <w:rsid w:val="255F059D"/>
    <w:rsid w:val="25792174"/>
    <w:rsid w:val="257C22AF"/>
    <w:rsid w:val="257F173A"/>
    <w:rsid w:val="25832276"/>
    <w:rsid w:val="25B55DE8"/>
    <w:rsid w:val="25D67ADA"/>
    <w:rsid w:val="25EA65B3"/>
    <w:rsid w:val="2610692C"/>
    <w:rsid w:val="261B174E"/>
    <w:rsid w:val="262D27D3"/>
    <w:rsid w:val="262E7C72"/>
    <w:rsid w:val="267A4013"/>
    <w:rsid w:val="26915BBB"/>
    <w:rsid w:val="26D2767C"/>
    <w:rsid w:val="26D56CAD"/>
    <w:rsid w:val="26E727A3"/>
    <w:rsid w:val="27220587"/>
    <w:rsid w:val="27481706"/>
    <w:rsid w:val="27722906"/>
    <w:rsid w:val="27A61F5A"/>
    <w:rsid w:val="27AC50A7"/>
    <w:rsid w:val="27D922A7"/>
    <w:rsid w:val="27F945AE"/>
    <w:rsid w:val="28222D87"/>
    <w:rsid w:val="28304560"/>
    <w:rsid w:val="285C7B2A"/>
    <w:rsid w:val="28701479"/>
    <w:rsid w:val="289B20E1"/>
    <w:rsid w:val="28F273BC"/>
    <w:rsid w:val="2A432A25"/>
    <w:rsid w:val="2A521023"/>
    <w:rsid w:val="2A5805D0"/>
    <w:rsid w:val="2A5C5823"/>
    <w:rsid w:val="2A70086B"/>
    <w:rsid w:val="2A973BBB"/>
    <w:rsid w:val="2A975FAC"/>
    <w:rsid w:val="2ACF6EB9"/>
    <w:rsid w:val="2B0258B4"/>
    <w:rsid w:val="2B042634"/>
    <w:rsid w:val="2B382A1D"/>
    <w:rsid w:val="2B396AD4"/>
    <w:rsid w:val="2B497030"/>
    <w:rsid w:val="2B9357BD"/>
    <w:rsid w:val="2BAD0DF3"/>
    <w:rsid w:val="2C1E3945"/>
    <w:rsid w:val="2C3B542F"/>
    <w:rsid w:val="2C581EBD"/>
    <w:rsid w:val="2C7F509F"/>
    <w:rsid w:val="2C964D85"/>
    <w:rsid w:val="2CBF362E"/>
    <w:rsid w:val="2CD1227C"/>
    <w:rsid w:val="2CE350C7"/>
    <w:rsid w:val="2CEB7CC9"/>
    <w:rsid w:val="2CFC6FBE"/>
    <w:rsid w:val="2D1D6B90"/>
    <w:rsid w:val="2D3D3E01"/>
    <w:rsid w:val="2D50045D"/>
    <w:rsid w:val="2DB11BEF"/>
    <w:rsid w:val="2DB2388D"/>
    <w:rsid w:val="2DCB2313"/>
    <w:rsid w:val="2DE469B4"/>
    <w:rsid w:val="2E1F5A81"/>
    <w:rsid w:val="2E7B08FC"/>
    <w:rsid w:val="2E8E3679"/>
    <w:rsid w:val="2E9059D0"/>
    <w:rsid w:val="2E9544A9"/>
    <w:rsid w:val="2EE5408B"/>
    <w:rsid w:val="2EF9635C"/>
    <w:rsid w:val="2F010B99"/>
    <w:rsid w:val="2F576692"/>
    <w:rsid w:val="2F7D31DD"/>
    <w:rsid w:val="2F841A36"/>
    <w:rsid w:val="2FBB2639"/>
    <w:rsid w:val="2FC62DA8"/>
    <w:rsid w:val="2FD20C7E"/>
    <w:rsid w:val="2FDC4032"/>
    <w:rsid w:val="301A50D0"/>
    <w:rsid w:val="301D7B02"/>
    <w:rsid w:val="302B7D44"/>
    <w:rsid w:val="304A65C1"/>
    <w:rsid w:val="304B29A0"/>
    <w:rsid w:val="30503A16"/>
    <w:rsid w:val="3063163A"/>
    <w:rsid w:val="309A6261"/>
    <w:rsid w:val="30CA46DB"/>
    <w:rsid w:val="30CC72F2"/>
    <w:rsid w:val="312E25D8"/>
    <w:rsid w:val="3150022B"/>
    <w:rsid w:val="315D4FD3"/>
    <w:rsid w:val="318F3C7B"/>
    <w:rsid w:val="31A10B0D"/>
    <w:rsid w:val="31A51CA3"/>
    <w:rsid w:val="31B0692E"/>
    <w:rsid w:val="31CB2FC8"/>
    <w:rsid w:val="31DC44BA"/>
    <w:rsid w:val="31EC2F41"/>
    <w:rsid w:val="32043729"/>
    <w:rsid w:val="322A1CE7"/>
    <w:rsid w:val="322E70C9"/>
    <w:rsid w:val="3253482F"/>
    <w:rsid w:val="32706E09"/>
    <w:rsid w:val="32B50B05"/>
    <w:rsid w:val="32B653B6"/>
    <w:rsid w:val="3300748F"/>
    <w:rsid w:val="3319479D"/>
    <w:rsid w:val="3339402F"/>
    <w:rsid w:val="334E339F"/>
    <w:rsid w:val="33686885"/>
    <w:rsid w:val="338107BF"/>
    <w:rsid w:val="33B34B5D"/>
    <w:rsid w:val="342D7516"/>
    <w:rsid w:val="343E2C24"/>
    <w:rsid w:val="34667B13"/>
    <w:rsid w:val="348E71A3"/>
    <w:rsid w:val="349464F6"/>
    <w:rsid w:val="34C27F6B"/>
    <w:rsid w:val="34C61EB9"/>
    <w:rsid w:val="34EF721B"/>
    <w:rsid w:val="34FE4132"/>
    <w:rsid w:val="34FF38FF"/>
    <w:rsid w:val="35313F9C"/>
    <w:rsid w:val="35354863"/>
    <w:rsid w:val="35370332"/>
    <w:rsid w:val="35614329"/>
    <w:rsid w:val="358647D1"/>
    <w:rsid w:val="358A38F4"/>
    <w:rsid w:val="35B84885"/>
    <w:rsid w:val="36044203"/>
    <w:rsid w:val="361B12C6"/>
    <w:rsid w:val="3672604E"/>
    <w:rsid w:val="36755480"/>
    <w:rsid w:val="36AB18EF"/>
    <w:rsid w:val="36BA6912"/>
    <w:rsid w:val="36E02BB1"/>
    <w:rsid w:val="36F46CB4"/>
    <w:rsid w:val="36FA207E"/>
    <w:rsid w:val="3751733A"/>
    <w:rsid w:val="37E41CE7"/>
    <w:rsid w:val="380A1A69"/>
    <w:rsid w:val="380C7580"/>
    <w:rsid w:val="38114C66"/>
    <w:rsid w:val="38201DF1"/>
    <w:rsid w:val="389922EE"/>
    <w:rsid w:val="38A75503"/>
    <w:rsid w:val="38D3005C"/>
    <w:rsid w:val="38E4732A"/>
    <w:rsid w:val="38FB761B"/>
    <w:rsid w:val="39042F32"/>
    <w:rsid w:val="39AE76A2"/>
    <w:rsid w:val="39C15473"/>
    <w:rsid w:val="39CB0253"/>
    <w:rsid w:val="39F10A33"/>
    <w:rsid w:val="3A1C104D"/>
    <w:rsid w:val="3A1F234D"/>
    <w:rsid w:val="3A6A4418"/>
    <w:rsid w:val="3A8252B8"/>
    <w:rsid w:val="3A8F451A"/>
    <w:rsid w:val="3AA95E95"/>
    <w:rsid w:val="3ABD3C15"/>
    <w:rsid w:val="3AEA5509"/>
    <w:rsid w:val="3B105229"/>
    <w:rsid w:val="3B317355"/>
    <w:rsid w:val="3B521AD8"/>
    <w:rsid w:val="3B7E0429"/>
    <w:rsid w:val="3BB3089B"/>
    <w:rsid w:val="3BCF48EB"/>
    <w:rsid w:val="3BE276A0"/>
    <w:rsid w:val="3C1A4784"/>
    <w:rsid w:val="3C384E8C"/>
    <w:rsid w:val="3C7D6F4F"/>
    <w:rsid w:val="3CA80765"/>
    <w:rsid w:val="3CFE5F5D"/>
    <w:rsid w:val="3D15068B"/>
    <w:rsid w:val="3DC36807"/>
    <w:rsid w:val="3DCA3D00"/>
    <w:rsid w:val="3DDA6A92"/>
    <w:rsid w:val="3DE001D5"/>
    <w:rsid w:val="3E2C3799"/>
    <w:rsid w:val="3E3A79FE"/>
    <w:rsid w:val="3E4E2B2A"/>
    <w:rsid w:val="3E503C9C"/>
    <w:rsid w:val="3E681673"/>
    <w:rsid w:val="3EB167F8"/>
    <w:rsid w:val="3F2563AD"/>
    <w:rsid w:val="3F307C8A"/>
    <w:rsid w:val="3F944B70"/>
    <w:rsid w:val="3F9A134C"/>
    <w:rsid w:val="3FFA1080"/>
    <w:rsid w:val="40122870"/>
    <w:rsid w:val="40190C81"/>
    <w:rsid w:val="40490124"/>
    <w:rsid w:val="40563910"/>
    <w:rsid w:val="40563F28"/>
    <w:rsid w:val="409067C7"/>
    <w:rsid w:val="409B60FD"/>
    <w:rsid w:val="409C654A"/>
    <w:rsid w:val="409D02AC"/>
    <w:rsid w:val="40F657FB"/>
    <w:rsid w:val="41427788"/>
    <w:rsid w:val="414F2840"/>
    <w:rsid w:val="41580950"/>
    <w:rsid w:val="41824001"/>
    <w:rsid w:val="41D54DB1"/>
    <w:rsid w:val="41E719A3"/>
    <w:rsid w:val="41FB5B1A"/>
    <w:rsid w:val="42193DD3"/>
    <w:rsid w:val="422B7AF9"/>
    <w:rsid w:val="4385024B"/>
    <w:rsid w:val="438511AD"/>
    <w:rsid w:val="43C87AB4"/>
    <w:rsid w:val="442A2AAB"/>
    <w:rsid w:val="44867AD4"/>
    <w:rsid w:val="44C10726"/>
    <w:rsid w:val="44C30BAE"/>
    <w:rsid w:val="44EE1426"/>
    <w:rsid w:val="452E5D88"/>
    <w:rsid w:val="45333A05"/>
    <w:rsid w:val="453E5D7D"/>
    <w:rsid w:val="45551E9B"/>
    <w:rsid w:val="4581216E"/>
    <w:rsid w:val="45E30DF7"/>
    <w:rsid w:val="45F1626B"/>
    <w:rsid w:val="461F4D66"/>
    <w:rsid w:val="46BA09DE"/>
    <w:rsid w:val="47132DCC"/>
    <w:rsid w:val="472612A1"/>
    <w:rsid w:val="47422F5B"/>
    <w:rsid w:val="475B1027"/>
    <w:rsid w:val="47783DE6"/>
    <w:rsid w:val="47894698"/>
    <w:rsid w:val="47973DF8"/>
    <w:rsid w:val="47C71D2E"/>
    <w:rsid w:val="480D03EB"/>
    <w:rsid w:val="486B4635"/>
    <w:rsid w:val="48D83B2D"/>
    <w:rsid w:val="48F41599"/>
    <w:rsid w:val="49402646"/>
    <w:rsid w:val="49426600"/>
    <w:rsid w:val="49501125"/>
    <w:rsid w:val="49584D91"/>
    <w:rsid w:val="499B48DE"/>
    <w:rsid w:val="4A0623E8"/>
    <w:rsid w:val="4A107D83"/>
    <w:rsid w:val="4A4B636D"/>
    <w:rsid w:val="4A4B7BC9"/>
    <w:rsid w:val="4A586703"/>
    <w:rsid w:val="4A9B4293"/>
    <w:rsid w:val="4AC5320F"/>
    <w:rsid w:val="4ADC0A64"/>
    <w:rsid w:val="4AF42035"/>
    <w:rsid w:val="4B1D6435"/>
    <w:rsid w:val="4B2A483E"/>
    <w:rsid w:val="4BA55F9D"/>
    <w:rsid w:val="4BC62575"/>
    <w:rsid w:val="4C89775B"/>
    <w:rsid w:val="4CE53991"/>
    <w:rsid w:val="4CE66A36"/>
    <w:rsid w:val="4DA55DD0"/>
    <w:rsid w:val="4DA91DD3"/>
    <w:rsid w:val="4DD76B06"/>
    <w:rsid w:val="4E0B7FB7"/>
    <w:rsid w:val="4E1277B0"/>
    <w:rsid w:val="4E346130"/>
    <w:rsid w:val="4E4C5979"/>
    <w:rsid w:val="4E724290"/>
    <w:rsid w:val="4E7C2084"/>
    <w:rsid w:val="4EA423EB"/>
    <w:rsid w:val="4EAA39B4"/>
    <w:rsid w:val="4EAC658E"/>
    <w:rsid w:val="4EEE3732"/>
    <w:rsid w:val="4EF90C97"/>
    <w:rsid w:val="4F006D97"/>
    <w:rsid w:val="4F480F7A"/>
    <w:rsid w:val="4FB918E2"/>
    <w:rsid w:val="4FC7008D"/>
    <w:rsid w:val="4FE55FC4"/>
    <w:rsid w:val="5022482D"/>
    <w:rsid w:val="50352445"/>
    <w:rsid w:val="50422D17"/>
    <w:rsid w:val="50731C3A"/>
    <w:rsid w:val="5082091A"/>
    <w:rsid w:val="50845EB0"/>
    <w:rsid w:val="50B84CEF"/>
    <w:rsid w:val="50BE4C2D"/>
    <w:rsid w:val="50D13482"/>
    <w:rsid w:val="50DA7B7A"/>
    <w:rsid w:val="50F1639A"/>
    <w:rsid w:val="50F659F1"/>
    <w:rsid w:val="511E11A7"/>
    <w:rsid w:val="51680B2D"/>
    <w:rsid w:val="518D3C2F"/>
    <w:rsid w:val="51A8385F"/>
    <w:rsid w:val="51CB3C1B"/>
    <w:rsid w:val="51E47051"/>
    <w:rsid w:val="521722E0"/>
    <w:rsid w:val="522307D5"/>
    <w:rsid w:val="52385975"/>
    <w:rsid w:val="526458A5"/>
    <w:rsid w:val="528F2955"/>
    <w:rsid w:val="52EF73DB"/>
    <w:rsid w:val="531113D4"/>
    <w:rsid w:val="531311BD"/>
    <w:rsid w:val="532D0747"/>
    <w:rsid w:val="53346A12"/>
    <w:rsid w:val="537327A6"/>
    <w:rsid w:val="53801E4F"/>
    <w:rsid w:val="539F63E5"/>
    <w:rsid w:val="53A81F6C"/>
    <w:rsid w:val="53B7187A"/>
    <w:rsid w:val="54171639"/>
    <w:rsid w:val="54743C06"/>
    <w:rsid w:val="54DB182B"/>
    <w:rsid w:val="54F7546D"/>
    <w:rsid w:val="5570404A"/>
    <w:rsid w:val="558B17B1"/>
    <w:rsid w:val="55C27C38"/>
    <w:rsid w:val="55CF3F93"/>
    <w:rsid w:val="55E06F25"/>
    <w:rsid w:val="560627D8"/>
    <w:rsid w:val="561F3061"/>
    <w:rsid w:val="56377721"/>
    <w:rsid w:val="563E61A5"/>
    <w:rsid w:val="56615890"/>
    <w:rsid w:val="56C11AF3"/>
    <w:rsid w:val="5711240F"/>
    <w:rsid w:val="572C0070"/>
    <w:rsid w:val="573751BE"/>
    <w:rsid w:val="576676C4"/>
    <w:rsid w:val="57741183"/>
    <w:rsid w:val="57987837"/>
    <w:rsid w:val="57A402EF"/>
    <w:rsid w:val="57BF3107"/>
    <w:rsid w:val="57DB271C"/>
    <w:rsid w:val="5820648D"/>
    <w:rsid w:val="583579A6"/>
    <w:rsid w:val="58637D8E"/>
    <w:rsid w:val="586E483B"/>
    <w:rsid w:val="58C82AB4"/>
    <w:rsid w:val="59132A78"/>
    <w:rsid w:val="59483892"/>
    <w:rsid w:val="59786D98"/>
    <w:rsid w:val="59AC2DD5"/>
    <w:rsid w:val="59B3287C"/>
    <w:rsid w:val="59C717FE"/>
    <w:rsid w:val="59D97D74"/>
    <w:rsid w:val="59E268D4"/>
    <w:rsid w:val="59E65452"/>
    <w:rsid w:val="5A1E71D0"/>
    <w:rsid w:val="5A663081"/>
    <w:rsid w:val="5A857729"/>
    <w:rsid w:val="5AA62387"/>
    <w:rsid w:val="5AB839DF"/>
    <w:rsid w:val="5B0214E4"/>
    <w:rsid w:val="5B2315B3"/>
    <w:rsid w:val="5BC921D4"/>
    <w:rsid w:val="5C0D09E5"/>
    <w:rsid w:val="5C1D49CE"/>
    <w:rsid w:val="5C3F5881"/>
    <w:rsid w:val="5C4127FF"/>
    <w:rsid w:val="5C51666F"/>
    <w:rsid w:val="5C6824DE"/>
    <w:rsid w:val="5C8F3CBF"/>
    <w:rsid w:val="5CA70749"/>
    <w:rsid w:val="5CB670CD"/>
    <w:rsid w:val="5D005646"/>
    <w:rsid w:val="5D355346"/>
    <w:rsid w:val="5D455DD6"/>
    <w:rsid w:val="5D5C3B7F"/>
    <w:rsid w:val="5D5D1D9C"/>
    <w:rsid w:val="5D7427A1"/>
    <w:rsid w:val="5D86327D"/>
    <w:rsid w:val="5D8F5CF3"/>
    <w:rsid w:val="5DA41116"/>
    <w:rsid w:val="5DA41811"/>
    <w:rsid w:val="5DAD705C"/>
    <w:rsid w:val="5DFC52C0"/>
    <w:rsid w:val="5E1D79D5"/>
    <w:rsid w:val="5E263845"/>
    <w:rsid w:val="5E303F03"/>
    <w:rsid w:val="5E3B6B77"/>
    <w:rsid w:val="5EDC09D0"/>
    <w:rsid w:val="5F11293C"/>
    <w:rsid w:val="5F352513"/>
    <w:rsid w:val="5F667B53"/>
    <w:rsid w:val="5F9764B5"/>
    <w:rsid w:val="5FC768FF"/>
    <w:rsid w:val="5FED1035"/>
    <w:rsid w:val="604B3B4F"/>
    <w:rsid w:val="604C4C33"/>
    <w:rsid w:val="604C7CBE"/>
    <w:rsid w:val="605B1A8E"/>
    <w:rsid w:val="60924BA4"/>
    <w:rsid w:val="60F77CDD"/>
    <w:rsid w:val="61386184"/>
    <w:rsid w:val="61513185"/>
    <w:rsid w:val="617A4B5C"/>
    <w:rsid w:val="61DC1174"/>
    <w:rsid w:val="62033C52"/>
    <w:rsid w:val="620E367A"/>
    <w:rsid w:val="62450503"/>
    <w:rsid w:val="62580B9F"/>
    <w:rsid w:val="627F1628"/>
    <w:rsid w:val="62861BE8"/>
    <w:rsid w:val="62BD667F"/>
    <w:rsid w:val="62DF3EC6"/>
    <w:rsid w:val="62F7046B"/>
    <w:rsid w:val="62FE3160"/>
    <w:rsid w:val="62FF09BD"/>
    <w:rsid w:val="63240741"/>
    <w:rsid w:val="633A5414"/>
    <w:rsid w:val="63EE5729"/>
    <w:rsid w:val="640229B7"/>
    <w:rsid w:val="64076D91"/>
    <w:rsid w:val="64325FAA"/>
    <w:rsid w:val="643805DD"/>
    <w:rsid w:val="64406DE4"/>
    <w:rsid w:val="64793419"/>
    <w:rsid w:val="648570CD"/>
    <w:rsid w:val="64A07383"/>
    <w:rsid w:val="64ED3277"/>
    <w:rsid w:val="6509742B"/>
    <w:rsid w:val="65255D2C"/>
    <w:rsid w:val="653E72CE"/>
    <w:rsid w:val="657274B0"/>
    <w:rsid w:val="65E222EB"/>
    <w:rsid w:val="660507CF"/>
    <w:rsid w:val="660B2763"/>
    <w:rsid w:val="663463E2"/>
    <w:rsid w:val="66670E41"/>
    <w:rsid w:val="66AC114F"/>
    <w:rsid w:val="67042F1C"/>
    <w:rsid w:val="67137813"/>
    <w:rsid w:val="67172E52"/>
    <w:rsid w:val="671B6FA4"/>
    <w:rsid w:val="671C6F7E"/>
    <w:rsid w:val="673A1AB6"/>
    <w:rsid w:val="67736F69"/>
    <w:rsid w:val="67A474E0"/>
    <w:rsid w:val="67E07A3D"/>
    <w:rsid w:val="67ED3405"/>
    <w:rsid w:val="68006234"/>
    <w:rsid w:val="683D4176"/>
    <w:rsid w:val="684B4803"/>
    <w:rsid w:val="688007EE"/>
    <w:rsid w:val="6880789D"/>
    <w:rsid w:val="689C4802"/>
    <w:rsid w:val="689D2BCD"/>
    <w:rsid w:val="68B14215"/>
    <w:rsid w:val="68B66794"/>
    <w:rsid w:val="691130C1"/>
    <w:rsid w:val="69200D44"/>
    <w:rsid w:val="69504E29"/>
    <w:rsid w:val="69660969"/>
    <w:rsid w:val="69925135"/>
    <w:rsid w:val="699500AE"/>
    <w:rsid w:val="699B6865"/>
    <w:rsid w:val="69D958BF"/>
    <w:rsid w:val="6A0A63F4"/>
    <w:rsid w:val="6A242EE4"/>
    <w:rsid w:val="6A29568D"/>
    <w:rsid w:val="6A444F44"/>
    <w:rsid w:val="6A807B52"/>
    <w:rsid w:val="6AAF6B3C"/>
    <w:rsid w:val="6AC104C9"/>
    <w:rsid w:val="6AC55ECE"/>
    <w:rsid w:val="6AE0714C"/>
    <w:rsid w:val="6AF659B8"/>
    <w:rsid w:val="6B045CF3"/>
    <w:rsid w:val="6B12145E"/>
    <w:rsid w:val="6B277F81"/>
    <w:rsid w:val="6B4553EE"/>
    <w:rsid w:val="6B6041A6"/>
    <w:rsid w:val="6BE02E5F"/>
    <w:rsid w:val="6C621A3B"/>
    <w:rsid w:val="6C6E7375"/>
    <w:rsid w:val="6C881035"/>
    <w:rsid w:val="6C8E0523"/>
    <w:rsid w:val="6CA66381"/>
    <w:rsid w:val="6CAA1191"/>
    <w:rsid w:val="6CAC1953"/>
    <w:rsid w:val="6CB07A5E"/>
    <w:rsid w:val="6CB82968"/>
    <w:rsid w:val="6D2938FC"/>
    <w:rsid w:val="6D560F49"/>
    <w:rsid w:val="6D9F6C9E"/>
    <w:rsid w:val="6E027DAF"/>
    <w:rsid w:val="6E4A14CE"/>
    <w:rsid w:val="6E535D18"/>
    <w:rsid w:val="6E784F9E"/>
    <w:rsid w:val="6E87224F"/>
    <w:rsid w:val="6EAE25EB"/>
    <w:rsid w:val="6ED25F21"/>
    <w:rsid w:val="6ED854A5"/>
    <w:rsid w:val="6EE164ED"/>
    <w:rsid w:val="6EFF6107"/>
    <w:rsid w:val="6F281788"/>
    <w:rsid w:val="6F2A7484"/>
    <w:rsid w:val="6F381A64"/>
    <w:rsid w:val="6F392F8E"/>
    <w:rsid w:val="6F401571"/>
    <w:rsid w:val="6F59718C"/>
    <w:rsid w:val="6F8B0D26"/>
    <w:rsid w:val="6FA209AA"/>
    <w:rsid w:val="70557428"/>
    <w:rsid w:val="70730AEC"/>
    <w:rsid w:val="70875F7B"/>
    <w:rsid w:val="70D07AB4"/>
    <w:rsid w:val="71481E25"/>
    <w:rsid w:val="714F0A43"/>
    <w:rsid w:val="716437C9"/>
    <w:rsid w:val="716925ED"/>
    <w:rsid w:val="71D972F7"/>
    <w:rsid w:val="72134882"/>
    <w:rsid w:val="721440E8"/>
    <w:rsid w:val="72952BD1"/>
    <w:rsid w:val="72D514F7"/>
    <w:rsid w:val="730F7A62"/>
    <w:rsid w:val="73233B28"/>
    <w:rsid w:val="732E1F2B"/>
    <w:rsid w:val="734737A0"/>
    <w:rsid w:val="735B3497"/>
    <w:rsid w:val="73C43C3D"/>
    <w:rsid w:val="73D32CDD"/>
    <w:rsid w:val="73E60902"/>
    <w:rsid w:val="73EB254C"/>
    <w:rsid w:val="743D7A39"/>
    <w:rsid w:val="74531068"/>
    <w:rsid w:val="748C1266"/>
    <w:rsid w:val="74917E3D"/>
    <w:rsid w:val="74D65307"/>
    <w:rsid w:val="74D6608D"/>
    <w:rsid w:val="74F75691"/>
    <w:rsid w:val="752B17C0"/>
    <w:rsid w:val="75437485"/>
    <w:rsid w:val="759007D6"/>
    <w:rsid w:val="759B2239"/>
    <w:rsid w:val="75B52D28"/>
    <w:rsid w:val="761A65A0"/>
    <w:rsid w:val="7621477C"/>
    <w:rsid w:val="76307CE4"/>
    <w:rsid w:val="76426500"/>
    <w:rsid w:val="76685121"/>
    <w:rsid w:val="767A0272"/>
    <w:rsid w:val="76AB6032"/>
    <w:rsid w:val="77225253"/>
    <w:rsid w:val="7744200E"/>
    <w:rsid w:val="77480C2D"/>
    <w:rsid w:val="778E2879"/>
    <w:rsid w:val="779E04D0"/>
    <w:rsid w:val="77DA2F50"/>
    <w:rsid w:val="77E85E2B"/>
    <w:rsid w:val="77F7148B"/>
    <w:rsid w:val="7811755F"/>
    <w:rsid w:val="783D7F8D"/>
    <w:rsid w:val="78576C29"/>
    <w:rsid w:val="786431E9"/>
    <w:rsid w:val="78BD3097"/>
    <w:rsid w:val="78E514BF"/>
    <w:rsid w:val="7925792C"/>
    <w:rsid w:val="79262D3D"/>
    <w:rsid w:val="792857C4"/>
    <w:rsid w:val="792F35E5"/>
    <w:rsid w:val="799F6247"/>
    <w:rsid w:val="79D21F00"/>
    <w:rsid w:val="79D3665E"/>
    <w:rsid w:val="7A1138F8"/>
    <w:rsid w:val="7A155A95"/>
    <w:rsid w:val="7A296B84"/>
    <w:rsid w:val="7A3012C6"/>
    <w:rsid w:val="7A4F4045"/>
    <w:rsid w:val="7A5B3A6F"/>
    <w:rsid w:val="7A6452EE"/>
    <w:rsid w:val="7A9C1191"/>
    <w:rsid w:val="7AA66F71"/>
    <w:rsid w:val="7AC64AA5"/>
    <w:rsid w:val="7ACB4A94"/>
    <w:rsid w:val="7AE65A86"/>
    <w:rsid w:val="7AFE2C3C"/>
    <w:rsid w:val="7B006599"/>
    <w:rsid w:val="7B301E3F"/>
    <w:rsid w:val="7B4F46E2"/>
    <w:rsid w:val="7B733713"/>
    <w:rsid w:val="7B9F3CEC"/>
    <w:rsid w:val="7BAA5A1F"/>
    <w:rsid w:val="7BD13B29"/>
    <w:rsid w:val="7BEC2350"/>
    <w:rsid w:val="7C0E7C51"/>
    <w:rsid w:val="7C4D1C08"/>
    <w:rsid w:val="7C8619E3"/>
    <w:rsid w:val="7C895230"/>
    <w:rsid w:val="7D0459C6"/>
    <w:rsid w:val="7D1B3D2D"/>
    <w:rsid w:val="7D2155E0"/>
    <w:rsid w:val="7D383A33"/>
    <w:rsid w:val="7D50592E"/>
    <w:rsid w:val="7D6F2271"/>
    <w:rsid w:val="7D8E2B19"/>
    <w:rsid w:val="7DB62F24"/>
    <w:rsid w:val="7E182FC5"/>
    <w:rsid w:val="7E234C22"/>
    <w:rsid w:val="7E3B666D"/>
    <w:rsid w:val="7E7B587C"/>
    <w:rsid w:val="7EB277E0"/>
    <w:rsid w:val="7EE42C8C"/>
    <w:rsid w:val="7EF7588D"/>
    <w:rsid w:val="7F2E3B38"/>
    <w:rsid w:val="7F47793B"/>
    <w:rsid w:val="7F543252"/>
    <w:rsid w:val="7F5B707B"/>
    <w:rsid w:val="7FA728CA"/>
    <w:rsid w:val="7FE77D36"/>
    <w:rsid w:val="7FF6606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9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0" w:semiHidden="0" w:name="page number"/>
    <w:lsdException w:qFormat="1" w:uiPriority="99" w:name="endnote reference" w:locked="1"/>
    <w:lsdException w:qFormat="1"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sdException w:uiPriority="99" w:name="Closing" w:locked="1"/>
    <w:lsdException w:uiPriority="99" w:name="Signature" w:locked="1"/>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qFormat="1" w:unhideWhenUsed="0" w:uiPriority="0" w:semiHidden="0" w:name="Body Text First Indent" w:locked="1"/>
    <w:lsdException w:qFormat="1" w:unhideWhenUsed="0" w:uiPriority="99" w:semiHidden="0" w:name="Body Text First Indent 2"/>
    <w:lsdException w:uiPriority="99" w:name="Note Heading" w:locked="1"/>
    <w:lsdException w:qFormat="1"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0" w:semiHidden="0" w:name="Table Grid"/>
    <w:lsdException w:uiPriority="99" w:name="Table Theme" w:locked="1"/>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等线"/>
      <w:kern w:val="2"/>
      <w:sz w:val="21"/>
      <w:szCs w:val="21"/>
      <w:lang w:val="en-US" w:eastAsia="zh-CN" w:bidi="ar-SA"/>
    </w:rPr>
  </w:style>
  <w:style w:type="paragraph" w:styleId="3">
    <w:name w:val="heading 1"/>
    <w:basedOn w:val="1"/>
    <w:next w:val="1"/>
    <w:link w:val="53"/>
    <w:qFormat/>
    <w:uiPriority w:val="9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54"/>
    <w:qFormat/>
    <w:uiPriority w:val="99"/>
    <w:pPr>
      <w:keepNext/>
      <w:keepLines/>
      <w:spacing w:before="260" w:after="260" w:line="416" w:lineRule="auto"/>
      <w:outlineLvl w:val="1"/>
    </w:pPr>
    <w:rPr>
      <w:rFonts w:ascii="等线 Light" w:hAnsi="等线 Light" w:eastAsia="等线 Light" w:cs="等线 Light"/>
      <w:b/>
      <w:bCs/>
      <w:kern w:val="0"/>
      <w:sz w:val="32"/>
      <w:szCs w:val="32"/>
    </w:rPr>
  </w:style>
  <w:style w:type="paragraph" w:styleId="5">
    <w:name w:val="heading 3"/>
    <w:basedOn w:val="1"/>
    <w:next w:val="1"/>
    <w:link w:val="55"/>
    <w:qFormat/>
    <w:uiPriority w:val="99"/>
    <w:pPr>
      <w:keepNext/>
      <w:keepLines/>
      <w:spacing w:before="260" w:after="260" w:line="416" w:lineRule="auto"/>
      <w:outlineLvl w:val="2"/>
    </w:pPr>
    <w:rPr>
      <w:rFonts w:ascii="Times New Roman" w:hAnsi="Times New Roman" w:eastAsia="宋体" w:cs="Times New Roman"/>
      <w:b/>
      <w:bCs/>
      <w:kern w:val="0"/>
      <w:sz w:val="32"/>
      <w:szCs w:val="32"/>
    </w:rPr>
  </w:style>
  <w:style w:type="paragraph" w:styleId="6">
    <w:name w:val="heading 4"/>
    <w:basedOn w:val="1"/>
    <w:next w:val="1"/>
    <w:link w:val="56"/>
    <w:qFormat/>
    <w:uiPriority w:val="99"/>
    <w:pPr>
      <w:keepNext/>
      <w:keepLines/>
      <w:spacing w:before="280" w:after="290" w:line="376" w:lineRule="auto"/>
      <w:outlineLvl w:val="3"/>
    </w:pPr>
    <w:rPr>
      <w:rFonts w:ascii="等线 Light" w:hAnsi="等线 Light" w:eastAsia="等线 Light" w:cs="等线 Light"/>
      <w:b/>
      <w:bCs/>
      <w:kern w:val="0"/>
      <w:sz w:val="28"/>
      <w:szCs w:val="28"/>
    </w:rPr>
  </w:style>
  <w:style w:type="paragraph" w:styleId="7">
    <w:name w:val="heading 5"/>
    <w:basedOn w:val="1"/>
    <w:next w:val="1"/>
    <w:link w:val="57"/>
    <w:qFormat/>
    <w:uiPriority w:val="99"/>
    <w:pPr>
      <w:keepNext/>
      <w:keepLines/>
      <w:spacing w:before="280" w:after="290" w:line="372" w:lineRule="auto"/>
      <w:outlineLvl w:val="4"/>
    </w:pPr>
    <w:rPr>
      <w:rFonts w:ascii="Calibri" w:hAnsi="Calibri" w:eastAsia="宋体" w:cs="Calibri"/>
      <w:b/>
      <w:bCs/>
      <w:kern w:val="0"/>
      <w:sz w:val="28"/>
      <w:szCs w:val="28"/>
    </w:rPr>
  </w:style>
  <w:style w:type="paragraph" w:styleId="8">
    <w:name w:val="heading 6"/>
    <w:basedOn w:val="1"/>
    <w:next w:val="1"/>
    <w:link w:val="58"/>
    <w:qFormat/>
    <w:uiPriority w:val="99"/>
    <w:pPr>
      <w:keepNext/>
      <w:keepLines/>
      <w:spacing w:before="240" w:after="64" w:line="317" w:lineRule="auto"/>
      <w:outlineLvl w:val="5"/>
    </w:pPr>
    <w:rPr>
      <w:rFonts w:ascii="Cambria" w:hAnsi="Cambria" w:eastAsia="宋体" w:cs="Cambria"/>
      <w:b/>
      <w:bCs/>
      <w:kern w:val="0"/>
      <w:sz w:val="24"/>
      <w:szCs w:val="24"/>
    </w:rPr>
  </w:style>
  <w:style w:type="paragraph" w:styleId="9">
    <w:name w:val="heading 7"/>
    <w:basedOn w:val="1"/>
    <w:next w:val="1"/>
    <w:link w:val="59"/>
    <w:qFormat/>
    <w:uiPriority w:val="99"/>
    <w:pPr>
      <w:keepNext/>
      <w:keepLines/>
      <w:spacing w:before="240" w:after="64" w:line="317" w:lineRule="auto"/>
      <w:outlineLvl w:val="6"/>
    </w:pPr>
    <w:rPr>
      <w:rFonts w:ascii="Calibri" w:hAnsi="Calibri" w:eastAsia="宋体" w:cs="Calibri"/>
      <w:b/>
      <w:bCs/>
      <w:kern w:val="0"/>
      <w:sz w:val="24"/>
      <w:szCs w:val="24"/>
    </w:rPr>
  </w:style>
  <w:style w:type="paragraph" w:styleId="10">
    <w:name w:val="heading 8"/>
    <w:basedOn w:val="1"/>
    <w:next w:val="1"/>
    <w:link w:val="60"/>
    <w:qFormat/>
    <w:uiPriority w:val="99"/>
    <w:pPr>
      <w:keepNext/>
      <w:keepLines/>
      <w:spacing w:before="240" w:after="64" w:line="317" w:lineRule="auto"/>
      <w:outlineLvl w:val="7"/>
    </w:pPr>
    <w:rPr>
      <w:rFonts w:ascii="Cambria" w:hAnsi="Cambria" w:eastAsia="宋体" w:cs="Cambria"/>
      <w:kern w:val="0"/>
      <w:sz w:val="24"/>
      <w:szCs w:val="24"/>
    </w:rPr>
  </w:style>
  <w:style w:type="paragraph" w:styleId="11">
    <w:name w:val="heading 9"/>
    <w:basedOn w:val="1"/>
    <w:next w:val="1"/>
    <w:link w:val="61"/>
    <w:qFormat/>
    <w:uiPriority w:val="99"/>
    <w:pPr>
      <w:keepNext/>
      <w:keepLines/>
      <w:spacing w:before="240" w:after="64" w:line="317" w:lineRule="auto"/>
      <w:outlineLvl w:val="8"/>
    </w:pPr>
    <w:rPr>
      <w:rFonts w:ascii="Cambria" w:hAnsi="Cambria" w:eastAsia="宋体" w:cs="Cambria"/>
      <w:kern w:val="0"/>
      <w:sz w:val="20"/>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99"/>
    <w:pPr>
      <w:adjustRightInd w:val="0"/>
      <w:spacing w:line="360" w:lineRule="atLeast"/>
      <w:ind w:firstLine="482"/>
      <w:textAlignment w:val="baseline"/>
    </w:pPr>
    <w:rPr>
      <w:rFonts w:ascii="Times New Roman" w:hAnsi="Times New Roman" w:eastAsia="宋体" w:cs="Times New Roman"/>
      <w:kern w:val="0"/>
      <w:sz w:val="24"/>
      <w:szCs w:val="24"/>
    </w:rPr>
  </w:style>
  <w:style w:type="paragraph" w:styleId="12">
    <w:name w:val="toc 7"/>
    <w:basedOn w:val="1"/>
    <w:next w:val="1"/>
    <w:qFormat/>
    <w:uiPriority w:val="99"/>
    <w:pPr>
      <w:ind w:left="2520" w:leftChars="1200"/>
    </w:pPr>
  </w:style>
  <w:style w:type="paragraph" w:styleId="13">
    <w:name w:val="caption"/>
    <w:basedOn w:val="1"/>
    <w:next w:val="1"/>
    <w:qFormat/>
    <w:uiPriority w:val="99"/>
    <w:rPr>
      <w:rFonts w:ascii="Cambria" w:hAnsi="Cambria" w:eastAsia="黑体" w:cs="Cambria"/>
      <w:sz w:val="20"/>
      <w:szCs w:val="20"/>
    </w:rPr>
  </w:style>
  <w:style w:type="paragraph" w:styleId="14">
    <w:name w:val="Document Map"/>
    <w:basedOn w:val="1"/>
    <w:link w:val="62"/>
    <w:qFormat/>
    <w:uiPriority w:val="99"/>
    <w:pPr>
      <w:shd w:val="clear" w:color="auto" w:fill="000080"/>
    </w:pPr>
    <w:rPr>
      <w:rFonts w:ascii="Times New Roman" w:hAnsi="Times New Roman" w:eastAsia="宋体" w:cs="Times New Roman"/>
      <w:kern w:val="0"/>
      <w:sz w:val="20"/>
      <w:szCs w:val="20"/>
      <w:shd w:val="clear" w:color="auto" w:fill="000080"/>
    </w:rPr>
  </w:style>
  <w:style w:type="paragraph" w:styleId="15">
    <w:name w:val="annotation text"/>
    <w:basedOn w:val="1"/>
    <w:link w:val="63"/>
    <w:qFormat/>
    <w:uiPriority w:val="99"/>
    <w:pPr>
      <w:jc w:val="left"/>
    </w:pPr>
  </w:style>
  <w:style w:type="paragraph" w:styleId="16">
    <w:name w:val="Body Text"/>
    <w:basedOn w:val="1"/>
    <w:next w:val="17"/>
    <w:link w:val="64"/>
    <w:qFormat/>
    <w:uiPriority w:val="0"/>
    <w:pPr>
      <w:adjustRightInd w:val="0"/>
      <w:spacing w:after="60" w:line="360" w:lineRule="atLeast"/>
      <w:ind w:left="72" w:leftChars="30" w:right="30" w:rightChars="30"/>
      <w:jc w:val="center"/>
      <w:textAlignment w:val="baseline"/>
    </w:pPr>
    <w:rPr>
      <w:rFonts w:ascii="Times New Roman" w:hAnsi="Times New Roman" w:eastAsia="宋体" w:cs="Times New Roman"/>
      <w:kern w:val="0"/>
      <w:sz w:val="20"/>
      <w:szCs w:val="20"/>
    </w:rPr>
  </w:style>
  <w:style w:type="paragraph" w:styleId="17">
    <w:name w:val="toc 5"/>
    <w:basedOn w:val="1"/>
    <w:next w:val="1"/>
    <w:qFormat/>
    <w:uiPriority w:val="39"/>
    <w:pPr>
      <w:ind w:left="1680" w:leftChars="800"/>
    </w:pPr>
  </w:style>
  <w:style w:type="paragraph" w:styleId="18">
    <w:name w:val="Body Text Indent"/>
    <w:basedOn w:val="1"/>
    <w:link w:val="65"/>
    <w:qFormat/>
    <w:uiPriority w:val="99"/>
    <w:pPr>
      <w:spacing w:after="120"/>
      <w:ind w:left="420" w:leftChars="200"/>
    </w:pPr>
    <w:rPr>
      <w:rFonts w:ascii="Times New Roman" w:hAnsi="Times New Roman" w:eastAsia="宋体" w:cs="Times New Roman"/>
    </w:rPr>
  </w:style>
  <w:style w:type="paragraph" w:styleId="19">
    <w:name w:val="index 4"/>
    <w:basedOn w:val="1"/>
    <w:next w:val="1"/>
    <w:qFormat/>
    <w:uiPriority w:val="99"/>
    <w:pPr>
      <w:ind w:left="600" w:leftChars="600"/>
    </w:pPr>
    <w:rPr>
      <w:rFonts w:ascii="Times New Roman" w:hAnsi="Times New Roman" w:eastAsia="宋体" w:cs="Times New Roman"/>
    </w:rPr>
  </w:style>
  <w:style w:type="paragraph" w:styleId="20">
    <w:name w:val="toc 3"/>
    <w:basedOn w:val="1"/>
    <w:next w:val="1"/>
    <w:qFormat/>
    <w:uiPriority w:val="39"/>
    <w:pPr>
      <w:ind w:left="840" w:leftChars="400"/>
    </w:pPr>
  </w:style>
  <w:style w:type="paragraph" w:styleId="21">
    <w:name w:val="Plain Text"/>
    <w:basedOn w:val="1"/>
    <w:link w:val="66"/>
    <w:qFormat/>
    <w:uiPriority w:val="0"/>
    <w:rPr>
      <w:rFonts w:ascii="宋体" w:hAnsi="Courier New" w:cs="宋体"/>
      <w:kern w:val="0"/>
      <w:sz w:val="20"/>
      <w:szCs w:val="20"/>
    </w:rPr>
  </w:style>
  <w:style w:type="paragraph" w:styleId="22">
    <w:name w:val="toc 8"/>
    <w:basedOn w:val="1"/>
    <w:next w:val="1"/>
    <w:qFormat/>
    <w:uiPriority w:val="39"/>
    <w:pPr>
      <w:ind w:left="2940" w:leftChars="1400"/>
    </w:pPr>
  </w:style>
  <w:style w:type="paragraph" w:styleId="23">
    <w:name w:val="Date"/>
    <w:basedOn w:val="1"/>
    <w:next w:val="1"/>
    <w:link w:val="67"/>
    <w:qFormat/>
    <w:uiPriority w:val="0"/>
    <w:pPr>
      <w:ind w:left="100" w:leftChars="2500"/>
    </w:pPr>
    <w:rPr>
      <w:rFonts w:ascii="宋体" w:hAnsi="Times New Roman" w:eastAsia="宋体" w:cs="宋体"/>
      <w:kern w:val="0"/>
      <w:sz w:val="28"/>
      <w:szCs w:val="28"/>
    </w:rPr>
  </w:style>
  <w:style w:type="paragraph" w:styleId="24">
    <w:name w:val="endnote text"/>
    <w:basedOn w:val="1"/>
    <w:link w:val="184"/>
    <w:semiHidden/>
    <w:unhideWhenUsed/>
    <w:qFormat/>
    <w:locked/>
    <w:uiPriority w:val="99"/>
    <w:pPr>
      <w:snapToGrid w:val="0"/>
      <w:jc w:val="left"/>
    </w:pPr>
  </w:style>
  <w:style w:type="paragraph" w:styleId="25">
    <w:name w:val="Balloon Text"/>
    <w:basedOn w:val="1"/>
    <w:link w:val="68"/>
    <w:qFormat/>
    <w:uiPriority w:val="99"/>
    <w:rPr>
      <w:rFonts w:ascii="宋体" w:hAnsi="Times New Roman" w:eastAsia="宋体" w:cs="宋体"/>
      <w:kern w:val="0"/>
      <w:sz w:val="18"/>
      <w:szCs w:val="18"/>
    </w:rPr>
  </w:style>
  <w:style w:type="paragraph" w:styleId="26">
    <w:name w:val="footer"/>
    <w:basedOn w:val="1"/>
    <w:next w:val="27"/>
    <w:link w:val="69"/>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customStyle="1" w:styleId="27">
    <w:name w:val="TOC 标题1"/>
    <w:basedOn w:val="3"/>
    <w:qFormat/>
    <w:uiPriority w:val="99"/>
    <w:pPr>
      <w:widowControl/>
      <w:spacing w:before="240" w:after="0" w:line="259" w:lineRule="auto"/>
      <w:jc w:val="left"/>
      <w:outlineLvl w:val="9"/>
    </w:pPr>
    <w:rPr>
      <w:rFonts w:ascii="等线 Light" w:hAnsi="等线 Light" w:eastAsia="等线 Light" w:cs="等线 Light"/>
      <w:b w:val="0"/>
      <w:bCs w:val="0"/>
      <w:color w:val="2F5496"/>
      <w:kern w:val="0"/>
      <w:sz w:val="32"/>
      <w:szCs w:val="32"/>
    </w:rPr>
  </w:style>
  <w:style w:type="paragraph" w:styleId="28">
    <w:name w:val="header"/>
    <w:basedOn w:val="1"/>
    <w:link w:val="70"/>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29">
    <w:name w:val="toc 1"/>
    <w:basedOn w:val="1"/>
    <w:next w:val="1"/>
    <w:qFormat/>
    <w:uiPriority w:val="39"/>
    <w:pPr>
      <w:tabs>
        <w:tab w:val="right" w:leader="dot" w:pos="9514"/>
      </w:tabs>
      <w:spacing w:line="480" w:lineRule="auto"/>
    </w:pPr>
  </w:style>
  <w:style w:type="paragraph" w:styleId="30">
    <w:name w:val="toc 4"/>
    <w:basedOn w:val="1"/>
    <w:next w:val="1"/>
    <w:qFormat/>
    <w:uiPriority w:val="39"/>
    <w:pPr>
      <w:ind w:left="1260" w:leftChars="600"/>
    </w:pPr>
  </w:style>
  <w:style w:type="paragraph" w:styleId="31">
    <w:name w:val="Subtitle"/>
    <w:basedOn w:val="1"/>
    <w:next w:val="1"/>
    <w:link w:val="71"/>
    <w:qFormat/>
    <w:uiPriority w:val="99"/>
    <w:pPr>
      <w:spacing w:before="240" w:after="60" w:line="312" w:lineRule="auto"/>
      <w:jc w:val="center"/>
      <w:outlineLvl w:val="1"/>
    </w:pPr>
    <w:rPr>
      <w:rFonts w:ascii="Cambria" w:hAnsi="Cambria" w:eastAsia="宋体" w:cs="Cambria"/>
      <w:b/>
      <w:bCs/>
      <w:kern w:val="28"/>
      <w:sz w:val="32"/>
      <w:szCs w:val="32"/>
    </w:rPr>
  </w:style>
  <w:style w:type="paragraph" w:styleId="32">
    <w:name w:val="footnote text"/>
    <w:basedOn w:val="1"/>
    <w:link w:val="72"/>
    <w:qFormat/>
    <w:uiPriority w:val="99"/>
    <w:pPr>
      <w:snapToGrid w:val="0"/>
      <w:jc w:val="left"/>
    </w:pPr>
    <w:rPr>
      <w:rFonts w:ascii="Times New Roman" w:hAnsi="Times New Roman" w:eastAsia="宋体" w:cs="Times New Roman"/>
      <w:sz w:val="18"/>
      <w:szCs w:val="18"/>
    </w:rPr>
  </w:style>
  <w:style w:type="paragraph" w:styleId="33">
    <w:name w:val="toc 6"/>
    <w:basedOn w:val="1"/>
    <w:next w:val="1"/>
    <w:qFormat/>
    <w:uiPriority w:val="39"/>
    <w:pPr>
      <w:ind w:left="2100" w:leftChars="1000"/>
    </w:pPr>
  </w:style>
  <w:style w:type="paragraph" w:styleId="34">
    <w:name w:val="toc 2"/>
    <w:basedOn w:val="1"/>
    <w:next w:val="1"/>
    <w:qFormat/>
    <w:uiPriority w:val="39"/>
    <w:pPr>
      <w:ind w:left="420" w:leftChars="200"/>
    </w:pPr>
  </w:style>
  <w:style w:type="paragraph" w:styleId="35">
    <w:name w:val="toc 9"/>
    <w:basedOn w:val="1"/>
    <w:next w:val="1"/>
    <w:qFormat/>
    <w:uiPriority w:val="39"/>
    <w:pPr>
      <w:ind w:left="3360" w:leftChars="1600"/>
    </w:pPr>
  </w:style>
  <w:style w:type="paragraph" w:styleId="36">
    <w:name w:val="Body Text 2"/>
    <w:basedOn w:val="1"/>
    <w:link w:val="177"/>
    <w:semiHidden/>
    <w:unhideWhenUsed/>
    <w:qFormat/>
    <w:locked/>
    <w:uiPriority w:val="99"/>
    <w:pPr>
      <w:spacing w:after="120" w:line="480" w:lineRule="auto"/>
    </w:pPr>
  </w:style>
  <w:style w:type="paragraph" w:styleId="37">
    <w:name w:val="Normal (Web)"/>
    <w:basedOn w:val="1"/>
    <w:qFormat/>
    <w:uiPriority w:val="99"/>
    <w:pPr>
      <w:widowControl/>
      <w:spacing w:before="100" w:beforeAutospacing="1" w:after="100" w:afterAutospacing="1" w:line="320" w:lineRule="atLeast"/>
      <w:jc w:val="left"/>
    </w:pPr>
    <w:rPr>
      <w:rFonts w:ascii="宋体" w:hAnsi="宋体" w:eastAsia="宋体" w:cs="宋体"/>
      <w:kern w:val="0"/>
      <w:sz w:val="18"/>
      <w:szCs w:val="18"/>
    </w:rPr>
  </w:style>
  <w:style w:type="paragraph" w:styleId="38">
    <w:name w:val="Title"/>
    <w:basedOn w:val="1"/>
    <w:next w:val="1"/>
    <w:link w:val="73"/>
    <w:qFormat/>
    <w:uiPriority w:val="10"/>
    <w:pPr>
      <w:spacing w:before="240" w:after="60"/>
      <w:jc w:val="center"/>
      <w:outlineLvl w:val="0"/>
    </w:pPr>
    <w:rPr>
      <w:rFonts w:ascii="Cambria" w:hAnsi="Cambria" w:eastAsia="宋体" w:cs="Cambria"/>
      <w:b/>
      <w:bCs/>
      <w:kern w:val="0"/>
      <w:sz w:val="32"/>
      <w:szCs w:val="32"/>
    </w:rPr>
  </w:style>
  <w:style w:type="paragraph" w:styleId="39">
    <w:name w:val="annotation subject"/>
    <w:basedOn w:val="15"/>
    <w:next w:val="15"/>
    <w:link w:val="74"/>
    <w:qFormat/>
    <w:uiPriority w:val="99"/>
    <w:rPr>
      <w:rFonts w:ascii="宋体" w:hAnsi="Times New Roman" w:eastAsia="宋体" w:cs="宋体"/>
      <w:b/>
      <w:bCs/>
      <w:kern w:val="0"/>
      <w:sz w:val="28"/>
      <w:szCs w:val="28"/>
    </w:rPr>
  </w:style>
  <w:style w:type="paragraph" w:styleId="40">
    <w:name w:val="Body Text First Indent"/>
    <w:basedOn w:val="16"/>
    <w:next w:val="1"/>
    <w:qFormat/>
    <w:locked/>
    <w:uiPriority w:val="0"/>
    <w:pPr>
      <w:ind w:firstLine="420" w:firstLineChars="100"/>
    </w:pPr>
  </w:style>
  <w:style w:type="paragraph" w:styleId="41">
    <w:name w:val="Body Text First Indent 2"/>
    <w:basedOn w:val="18"/>
    <w:link w:val="75"/>
    <w:qFormat/>
    <w:uiPriority w:val="99"/>
    <w:pPr>
      <w:ind w:firstLine="420" w:firstLineChars="200"/>
    </w:pPr>
  </w:style>
  <w:style w:type="table" w:styleId="43">
    <w:name w:val="Table Grid"/>
    <w:basedOn w:val="4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endnote reference"/>
    <w:basedOn w:val="44"/>
    <w:semiHidden/>
    <w:unhideWhenUsed/>
    <w:qFormat/>
    <w:locked/>
    <w:uiPriority w:val="99"/>
    <w:rPr>
      <w:vertAlign w:val="superscript"/>
    </w:rPr>
  </w:style>
  <w:style w:type="character" w:styleId="47">
    <w:name w:val="page number"/>
    <w:basedOn w:val="44"/>
    <w:qFormat/>
    <w:uiPriority w:val="0"/>
  </w:style>
  <w:style w:type="character" w:styleId="48">
    <w:name w:val="FollowedHyperlink"/>
    <w:semiHidden/>
    <w:unhideWhenUsed/>
    <w:qFormat/>
    <w:locked/>
    <w:uiPriority w:val="99"/>
    <w:rPr>
      <w:color w:val="FF00FF"/>
      <w:u w:val="single"/>
    </w:rPr>
  </w:style>
  <w:style w:type="character" w:styleId="49">
    <w:name w:val="Emphasis"/>
    <w:qFormat/>
    <w:uiPriority w:val="99"/>
    <w:rPr>
      <w:i/>
      <w:iCs/>
    </w:rPr>
  </w:style>
  <w:style w:type="character" w:styleId="50">
    <w:name w:val="Hyperlink"/>
    <w:qFormat/>
    <w:uiPriority w:val="99"/>
    <w:rPr>
      <w:color w:val="auto"/>
      <w:u w:val="single"/>
    </w:rPr>
  </w:style>
  <w:style w:type="character" w:styleId="51">
    <w:name w:val="annotation reference"/>
    <w:qFormat/>
    <w:uiPriority w:val="99"/>
    <w:rPr>
      <w:sz w:val="21"/>
      <w:szCs w:val="21"/>
    </w:rPr>
  </w:style>
  <w:style w:type="character" w:styleId="52">
    <w:name w:val="footnote reference"/>
    <w:qFormat/>
    <w:uiPriority w:val="99"/>
    <w:rPr>
      <w:vertAlign w:val="superscript"/>
    </w:rPr>
  </w:style>
  <w:style w:type="character" w:customStyle="1" w:styleId="53">
    <w:name w:val="标题 1 字符"/>
    <w:link w:val="3"/>
    <w:qFormat/>
    <w:locked/>
    <w:uiPriority w:val="99"/>
    <w:rPr>
      <w:b/>
      <w:bCs/>
      <w:kern w:val="44"/>
      <w:sz w:val="44"/>
      <w:szCs w:val="44"/>
    </w:rPr>
  </w:style>
  <w:style w:type="character" w:customStyle="1" w:styleId="54">
    <w:name w:val="标题 2 字符"/>
    <w:link w:val="4"/>
    <w:qFormat/>
    <w:locked/>
    <w:uiPriority w:val="99"/>
    <w:rPr>
      <w:rFonts w:ascii="等线 Light" w:hAnsi="等线 Light" w:eastAsia="等线 Light" w:cs="等线 Light"/>
      <w:b/>
      <w:bCs/>
      <w:sz w:val="32"/>
      <w:szCs w:val="32"/>
    </w:rPr>
  </w:style>
  <w:style w:type="character" w:customStyle="1" w:styleId="55">
    <w:name w:val="标题 3 字符"/>
    <w:link w:val="5"/>
    <w:qFormat/>
    <w:locked/>
    <w:uiPriority w:val="99"/>
    <w:rPr>
      <w:b/>
      <w:bCs/>
      <w:sz w:val="32"/>
      <w:szCs w:val="32"/>
    </w:rPr>
  </w:style>
  <w:style w:type="character" w:customStyle="1" w:styleId="56">
    <w:name w:val="标题 4 字符"/>
    <w:link w:val="6"/>
    <w:qFormat/>
    <w:locked/>
    <w:uiPriority w:val="99"/>
    <w:rPr>
      <w:rFonts w:ascii="等线 Light" w:hAnsi="等线 Light" w:eastAsia="等线 Light" w:cs="等线 Light"/>
      <w:b/>
      <w:bCs/>
      <w:sz w:val="28"/>
      <w:szCs w:val="28"/>
    </w:rPr>
  </w:style>
  <w:style w:type="character" w:customStyle="1" w:styleId="57">
    <w:name w:val="标题 5 字符"/>
    <w:link w:val="7"/>
    <w:qFormat/>
    <w:locked/>
    <w:uiPriority w:val="99"/>
    <w:rPr>
      <w:rFonts w:ascii="Calibri" w:hAnsi="Calibri" w:eastAsia="宋体" w:cs="Calibri"/>
      <w:b/>
      <w:bCs/>
      <w:sz w:val="28"/>
      <w:szCs w:val="28"/>
    </w:rPr>
  </w:style>
  <w:style w:type="character" w:customStyle="1" w:styleId="58">
    <w:name w:val="标题 6 字符"/>
    <w:link w:val="8"/>
    <w:qFormat/>
    <w:locked/>
    <w:uiPriority w:val="99"/>
    <w:rPr>
      <w:rFonts w:ascii="Cambria" w:hAnsi="Cambria" w:eastAsia="宋体" w:cs="Cambria"/>
      <w:b/>
      <w:bCs/>
      <w:sz w:val="24"/>
      <w:szCs w:val="24"/>
    </w:rPr>
  </w:style>
  <w:style w:type="character" w:customStyle="1" w:styleId="59">
    <w:name w:val="标题 7 字符"/>
    <w:link w:val="9"/>
    <w:qFormat/>
    <w:locked/>
    <w:uiPriority w:val="99"/>
    <w:rPr>
      <w:rFonts w:ascii="Calibri" w:hAnsi="Calibri" w:eastAsia="宋体" w:cs="Calibri"/>
      <w:b/>
      <w:bCs/>
      <w:sz w:val="24"/>
      <w:szCs w:val="24"/>
    </w:rPr>
  </w:style>
  <w:style w:type="character" w:customStyle="1" w:styleId="60">
    <w:name w:val="标题 8 字符"/>
    <w:link w:val="10"/>
    <w:qFormat/>
    <w:locked/>
    <w:uiPriority w:val="99"/>
    <w:rPr>
      <w:rFonts w:ascii="Cambria" w:hAnsi="Cambria" w:eastAsia="宋体" w:cs="Cambria"/>
      <w:sz w:val="24"/>
      <w:szCs w:val="24"/>
    </w:rPr>
  </w:style>
  <w:style w:type="character" w:customStyle="1" w:styleId="61">
    <w:name w:val="标题 9 字符"/>
    <w:link w:val="11"/>
    <w:qFormat/>
    <w:locked/>
    <w:uiPriority w:val="99"/>
    <w:rPr>
      <w:rFonts w:ascii="Cambria" w:hAnsi="Cambria" w:eastAsia="宋体" w:cs="Cambria"/>
      <w:sz w:val="21"/>
      <w:szCs w:val="21"/>
    </w:rPr>
  </w:style>
  <w:style w:type="character" w:customStyle="1" w:styleId="62">
    <w:name w:val="文档结构图 字符"/>
    <w:link w:val="14"/>
    <w:qFormat/>
    <w:locked/>
    <w:uiPriority w:val="99"/>
    <w:rPr>
      <w:rFonts w:ascii="Times New Roman" w:hAnsi="Times New Roman" w:cs="Times New Roman"/>
      <w:sz w:val="24"/>
      <w:szCs w:val="24"/>
      <w:shd w:val="clear" w:color="auto" w:fill="000080"/>
    </w:rPr>
  </w:style>
  <w:style w:type="character" w:customStyle="1" w:styleId="63">
    <w:name w:val="批注文字 字符1"/>
    <w:basedOn w:val="44"/>
    <w:link w:val="15"/>
    <w:semiHidden/>
    <w:qFormat/>
    <w:locked/>
    <w:uiPriority w:val="99"/>
  </w:style>
  <w:style w:type="character" w:customStyle="1" w:styleId="64">
    <w:name w:val="正文文本 字符"/>
    <w:link w:val="16"/>
    <w:qFormat/>
    <w:locked/>
    <w:uiPriority w:val="0"/>
    <w:rPr>
      <w:rFonts w:ascii="Times New Roman" w:hAnsi="Times New Roman" w:cs="Times New Roman"/>
    </w:rPr>
  </w:style>
  <w:style w:type="character" w:customStyle="1" w:styleId="65">
    <w:name w:val="正文文本缩进 字符"/>
    <w:link w:val="18"/>
    <w:qFormat/>
    <w:locked/>
    <w:uiPriority w:val="99"/>
    <w:rPr>
      <w:kern w:val="2"/>
      <w:sz w:val="22"/>
      <w:szCs w:val="22"/>
    </w:rPr>
  </w:style>
  <w:style w:type="character" w:customStyle="1" w:styleId="66">
    <w:name w:val="纯文本 字符"/>
    <w:link w:val="21"/>
    <w:qFormat/>
    <w:uiPriority w:val="0"/>
    <w:rPr>
      <w:rFonts w:ascii="宋体" w:hAnsi="Courier New" w:cs="Courier New"/>
      <w:szCs w:val="21"/>
    </w:rPr>
  </w:style>
  <w:style w:type="character" w:customStyle="1" w:styleId="67">
    <w:name w:val="日期 字符"/>
    <w:link w:val="23"/>
    <w:qFormat/>
    <w:locked/>
    <w:uiPriority w:val="0"/>
    <w:rPr>
      <w:rFonts w:ascii="宋体" w:hAnsi="Times New Roman" w:cs="宋体"/>
      <w:sz w:val="28"/>
      <w:szCs w:val="28"/>
    </w:rPr>
  </w:style>
  <w:style w:type="character" w:customStyle="1" w:styleId="68">
    <w:name w:val="批注框文本 字符"/>
    <w:link w:val="25"/>
    <w:qFormat/>
    <w:locked/>
    <w:uiPriority w:val="99"/>
    <w:rPr>
      <w:rFonts w:ascii="宋体" w:hAnsi="Times New Roman" w:cs="宋体"/>
      <w:sz w:val="18"/>
      <w:szCs w:val="18"/>
    </w:rPr>
  </w:style>
  <w:style w:type="character" w:customStyle="1" w:styleId="69">
    <w:name w:val="页脚 字符"/>
    <w:link w:val="26"/>
    <w:qFormat/>
    <w:locked/>
    <w:uiPriority w:val="99"/>
    <w:rPr>
      <w:sz w:val="18"/>
      <w:szCs w:val="18"/>
    </w:rPr>
  </w:style>
  <w:style w:type="character" w:customStyle="1" w:styleId="70">
    <w:name w:val="页眉 字符"/>
    <w:link w:val="28"/>
    <w:qFormat/>
    <w:locked/>
    <w:uiPriority w:val="99"/>
    <w:rPr>
      <w:sz w:val="18"/>
      <w:szCs w:val="18"/>
    </w:rPr>
  </w:style>
  <w:style w:type="character" w:customStyle="1" w:styleId="71">
    <w:name w:val="副标题 字符"/>
    <w:link w:val="31"/>
    <w:qFormat/>
    <w:locked/>
    <w:uiPriority w:val="99"/>
    <w:rPr>
      <w:rFonts w:ascii="Cambria" w:hAnsi="Cambria" w:cs="Cambria"/>
      <w:b/>
      <w:bCs/>
      <w:kern w:val="28"/>
      <w:sz w:val="32"/>
      <w:szCs w:val="32"/>
    </w:rPr>
  </w:style>
  <w:style w:type="character" w:customStyle="1" w:styleId="72">
    <w:name w:val="脚注文本 字符"/>
    <w:link w:val="32"/>
    <w:qFormat/>
    <w:locked/>
    <w:uiPriority w:val="99"/>
    <w:rPr>
      <w:kern w:val="2"/>
      <w:sz w:val="18"/>
      <w:szCs w:val="18"/>
    </w:rPr>
  </w:style>
  <w:style w:type="character" w:customStyle="1" w:styleId="73">
    <w:name w:val="标题 字符"/>
    <w:link w:val="38"/>
    <w:qFormat/>
    <w:locked/>
    <w:uiPriority w:val="10"/>
    <w:rPr>
      <w:rFonts w:ascii="Cambria" w:hAnsi="Cambria" w:cs="Cambria"/>
      <w:b/>
      <w:bCs/>
      <w:sz w:val="32"/>
      <w:szCs w:val="32"/>
    </w:rPr>
  </w:style>
  <w:style w:type="character" w:customStyle="1" w:styleId="74">
    <w:name w:val="批注主题 字符"/>
    <w:link w:val="39"/>
    <w:qFormat/>
    <w:locked/>
    <w:uiPriority w:val="99"/>
    <w:rPr>
      <w:rFonts w:ascii="宋体" w:hAnsi="Times New Roman" w:cs="宋体"/>
      <w:b/>
      <w:bCs/>
      <w:sz w:val="28"/>
      <w:szCs w:val="28"/>
    </w:rPr>
  </w:style>
  <w:style w:type="character" w:customStyle="1" w:styleId="75">
    <w:name w:val="正文文本首行缩进 2 字符"/>
    <w:link w:val="41"/>
    <w:qFormat/>
    <w:locked/>
    <w:uiPriority w:val="99"/>
    <w:rPr>
      <w:kern w:val="2"/>
      <w:sz w:val="22"/>
      <w:szCs w:val="22"/>
    </w:rPr>
  </w:style>
  <w:style w:type="character" w:customStyle="1" w:styleId="76">
    <w:name w:val="未处理的提及1"/>
    <w:qFormat/>
    <w:uiPriority w:val="99"/>
    <w:rPr>
      <w:color w:val="auto"/>
      <w:shd w:val="clear" w:color="auto" w:fill="auto"/>
    </w:rPr>
  </w:style>
  <w:style w:type="character" w:customStyle="1" w:styleId="77">
    <w:name w:val="正文文本 Char1"/>
    <w:qFormat/>
    <w:uiPriority w:val="99"/>
    <w:rPr>
      <w:kern w:val="2"/>
      <w:sz w:val="22"/>
      <w:szCs w:val="22"/>
    </w:rPr>
  </w:style>
  <w:style w:type="character" w:customStyle="1" w:styleId="78">
    <w:name w:val="Intense Quote Char"/>
    <w:qFormat/>
    <w:locked/>
    <w:uiPriority w:val="99"/>
    <w:rPr>
      <w:b/>
      <w:bCs/>
      <w:i/>
      <w:iCs/>
      <w:color w:val="4F81BD"/>
    </w:rPr>
  </w:style>
  <w:style w:type="paragraph" w:styleId="79">
    <w:name w:val="Intense Quote"/>
    <w:basedOn w:val="1"/>
    <w:next w:val="1"/>
    <w:link w:val="80"/>
    <w:qFormat/>
    <w:uiPriority w:val="99"/>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80">
    <w:name w:val="明显引用 字符"/>
    <w:link w:val="79"/>
    <w:qFormat/>
    <w:uiPriority w:val="99"/>
    <w:rPr>
      <w:rFonts w:ascii="等线" w:hAnsi="等线" w:eastAsia="等线" w:cs="等线"/>
      <w:b/>
      <w:bCs/>
      <w:i/>
      <w:iCs/>
      <w:color w:val="4F81BD"/>
      <w:szCs w:val="21"/>
    </w:rPr>
  </w:style>
  <w:style w:type="character" w:customStyle="1" w:styleId="81">
    <w:name w:val="不明显强调1"/>
    <w:qFormat/>
    <w:uiPriority w:val="99"/>
    <w:rPr>
      <w:i/>
      <w:iCs/>
      <w:color w:val="808080"/>
    </w:rPr>
  </w:style>
  <w:style w:type="character" w:customStyle="1" w:styleId="82">
    <w:name w:val="标题4 Char Char"/>
    <w:link w:val="83"/>
    <w:qFormat/>
    <w:locked/>
    <w:uiPriority w:val="99"/>
    <w:rPr>
      <w:rFonts w:ascii="Arial" w:hAnsi="Arial" w:cs="Arial"/>
      <w:b/>
      <w:bCs/>
      <w:sz w:val="32"/>
      <w:szCs w:val="32"/>
    </w:rPr>
  </w:style>
  <w:style w:type="paragraph" w:customStyle="1" w:styleId="83">
    <w:name w:val="标题4"/>
    <w:basedOn w:val="4"/>
    <w:next w:val="19"/>
    <w:link w:val="82"/>
    <w:qFormat/>
    <w:uiPriority w:val="99"/>
    <w:pPr>
      <w:spacing w:line="413" w:lineRule="auto"/>
    </w:pPr>
    <w:rPr>
      <w:rFonts w:ascii="Arial" w:hAnsi="Arial" w:eastAsia="宋体" w:cs="Arial"/>
      <w:sz w:val="24"/>
      <w:szCs w:val="24"/>
    </w:rPr>
  </w:style>
  <w:style w:type="character" w:customStyle="1" w:styleId="84">
    <w:name w:val="标题5 Char Char"/>
    <w:link w:val="85"/>
    <w:qFormat/>
    <w:locked/>
    <w:uiPriority w:val="99"/>
    <w:rPr>
      <w:rFonts w:ascii="Arial" w:hAnsi="Arial" w:cs="Arial"/>
      <w:b/>
      <w:bCs/>
      <w:sz w:val="32"/>
      <w:szCs w:val="32"/>
    </w:rPr>
  </w:style>
  <w:style w:type="paragraph" w:customStyle="1" w:styleId="85">
    <w:name w:val="标题5"/>
    <w:basedOn w:val="5"/>
    <w:link w:val="84"/>
    <w:qFormat/>
    <w:uiPriority w:val="99"/>
    <w:pPr>
      <w:spacing w:line="413" w:lineRule="auto"/>
    </w:pPr>
    <w:rPr>
      <w:rFonts w:ascii="Arial" w:hAnsi="Arial" w:cs="Arial"/>
      <w:sz w:val="24"/>
      <w:szCs w:val="24"/>
    </w:rPr>
  </w:style>
  <w:style w:type="character" w:customStyle="1" w:styleId="86">
    <w:name w:val="明显参考1"/>
    <w:qFormat/>
    <w:uiPriority w:val="99"/>
    <w:rPr>
      <w:b/>
      <w:bCs/>
      <w:smallCaps/>
      <w:color w:val="auto"/>
      <w:spacing w:val="5"/>
      <w:u w:val="single"/>
    </w:rPr>
  </w:style>
  <w:style w:type="character" w:customStyle="1" w:styleId="87">
    <w:name w:val="书籍标题1"/>
    <w:qFormat/>
    <w:uiPriority w:val="99"/>
    <w:rPr>
      <w:b/>
      <w:bCs/>
      <w:smallCaps/>
      <w:spacing w:val="5"/>
    </w:rPr>
  </w:style>
  <w:style w:type="character" w:customStyle="1" w:styleId="88">
    <w:name w:val="批注框文本 Char1"/>
    <w:qFormat/>
    <w:uiPriority w:val="99"/>
    <w:rPr>
      <w:kern w:val="2"/>
      <w:sz w:val="18"/>
      <w:szCs w:val="18"/>
    </w:rPr>
  </w:style>
  <w:style w:type="character" w:customStyle="1" w:styleId="89">
    <w:name w:val="Quote Char"/>
    <w:qFormat/>
    <w:locked/>
    <w:uiPriority w:val="99"/>
    <w:rPr>
      <w:i/>
      <w:iCs/>
      <w:color w:val="000000"/>
    </w:rPr>
  </w:style>
  <w:style w:type="paragraph" w:styleId="90">
    <w:name w:val="Quote"/>
    <w:basedOn w:val="1"/>
    <w:next w:val="1"/>
    <w:link w:val="91"/>
    <w:qFormat/>
    <w:uiPriority w:val="99"/>
    <w:rPr>
      <w:rFonts w:ascii="Times New Roman" w:hAnsi="Times New Roman" w:eastAsia="宋体" w:cs="Times New Roman"/>
      <w:i/>
      <w:iCs/>
      <w:color w:val="000000"/>
      <w:kern w:val="0"/>
      <w:sz w:val="20"/>
      <w:szCs w:val="20"/>
    </w:rPr>
  </w:style>
  <w:style w:type="character" w:customStyle="1" w:styleId="91">
    <w:name w:val="引用 字符"/>
    <w:link w:val="90"/>
    <w:qFormat/>
    <w:uiPriority w:val="99"/>
    <w:rPr>
      <w:rFonts w:ascii="等线" w:hAnsi="等线" w:eastAsia="等线" w:cs="等线"/>
      <w:i/>
      <w:iCs/>
      <w:color w:val="000000"/>
      <w:szCs w:val="21"/>
    </w:rPr>
  </w:style>
  <w:style w:type="character" w:customStyle="1" w:styleId="92">
    <w:name w:val="批注主题 Char1"/>
    <w:qFormat/>
    <w:uiPriority w:val="99"/>
    <w:rPr>
      <w:b/>
      <w:bCs/>
      <w:kern w:val="2"/>
      <w:sz w:val="22"/>
      <w:szCs w:val="22"/>
    </w:rPr>
  </w:style>
  <w:style w:type="character" w:customStyle="1" w:styleId="93">
    <w:name w:val="日期 Char1"/>
    <w:qFormat/>
    <w:uiPriority w:val="99"/>
    <w:rPr>
      <w:kern w:val="2"/>
      <w:sz w:val="22"/>
      <w:szCs w:val="22"/>
    </w:rPr>
  </w:style>
  <w:style w:type="character" w:customStyle="1" w:styleId="94">
    <w:name w:val="明显强调1"/>
    <w:qFormat/>
    <w:uiPriority w:val="99"/>
    <w:rPr>
      <w:b/>
      <w:bCs/>
      <w:i/>
      <w:iCs/>
      <w:color w:val="4F81BD"/>
    </w:rPr>
  </w:style>
  <w:style w:type="character" w:customStyle="1" w:styleId="95">
    <w:name w:val="textcontents"/>
    <w:qFormat/>
    <w:uiPriority w:val="99"/>
  </w:style>
  <w:style w:type="character" w:customStyle="1" w:styleId="96">
    <w:name w:val="不明显参考1"/>
    <w:qFormat/>
    <w:uiPriority w:val="99"/>
    <w:rPr>
      <w:smallCaps/>
      <w:color w:val="auto"/>
      <w:u w:val="single"/>
    </w:rPr>
  </w:style>
  <w:style w:type="character" w:customStyle="1" w:styleId="97">
    <w:name w:val="批注文字 Char Char"/>
    <w:qFormat/>
    <w:uiPriority w:val="99"/>
    <w:rPr>
      <w:rFonts w:ascii="宋体" w:hAnsi="Times New Roman" w:eastAsia="宋体" w:cs="宋体"/>
      <w:sz w:val="20"/>
      <w:szCs w:val="20"/>
    </w:rPr>
  </w:style>
  <w:style w:type="character" w:customStyle="1" w:styleId="98">
    <w:name w:val="批注文字 字符"/>
    <w:qFormat/>
    <w:uiPriority w:val="99"/>
    <w:rPr>
      <w:kern w:val="2"/>
      <w:sz w:val="22"/>
      <w:szCs w:val="22"/>
    </w:rPr>
  </w:style>
  <w:style w:type="character" w:customStyle="1" w:styleId="99">
    <w:name w:val="文档结构图 Char1"/>
    <w:qFormat/>
    <w:uiPriority w:val="99"/>
    <w:rPr>
      <w:rFonts w:ascii="宋体" w:cs="宋体"/>
      <w:kern w:val="2"/>
      <w:sz w:val="18"/>
      <w:szCs w:val="18"/>
    </w:rPr>
  </w:style>
  <w:style w:type="paragraph" w:customStyle="1" w:styleId="100">
    <w:name w:val="修订1"/>
    <w:qFormat/>
    <w:uiPriority w:val="99"/>
    <w:rPr>
      <w:rFonts w:ascii="Times New Roman" w:hAnsi="Times New Roman" w:eastAsia="宋体" w:cs="Times New Roman"/>
      <w:kern w:val="2"/>
      <w:sz w:val="21"/>
      <w:szCs w:val="21"/>
      <w:lang w:val="en-US" w:eastAsia="zh-CN" w:bidi="ar-SA"/>
    </w:rPr>
  </w:style>
  <w:style w:type="paragraph" w:customStyle="1" w:styleId="101">
    <w:name w:val="样式 标题 2 + Times New Roman 四号 非加粗 段前: 5 磅 段后: 0 磅 行距: 固定值 20..."/>
    <w:basedOn w:val="4"/>
    <w:qFormat/>
    <w:uiPriority w:val="99"/>
    <w:pPr>
      <w:spacing w:before="100" w:after="0" w:line="400" w:lineRule="exact"/>
    </w:pPr>
    <w:rPr>
      <w:rFonts w:ascii="Times New Roman" w:hAnsi="Times New Roman" w:eastAsia="黑体" w:cs="Times New Roman"/>
      <w:b w:val="0"/>
      <w:bCs w:val="0"/>
      <w:sz w:val="28"/>
      <w:szCs w:val="28"/>
    </w:rPr>
  </w:style>
  <w:style w:type="character" w:customStyle="1" w:styleId="102">
    <w:name w:val="批注框文本 字符1"/>
    <w:semiHidden/>
    <w:qFormat/>
    <w:uiPriority w:val="99"/>
    <w:rPr>
      <w:sz w:val="18"/>
      <w:szCs w:val="18"/>
    </w:rPr>
  </w:style>
  <w:style w:type="character" w:customStyle="1" w:styleId="103">
    <w:name w:val="批注主题 字符1"/>
    <w:semiHidden/>
    <w:qFormat/>
    <w:uiPriority w:val="99"/>
    <w:rPr>
      <w:b/>
      <w:bCs/>
    </w:rPr>
  </w:style>
  <w:style w:type="character" w:customStyle="1" w:styleId="104">
    <w:name w:val="文档结构图 字符1"/>
    <w:semiHidden/>
    <w:qFormat/>
    <w:uiPriority w:val="99"/>
    <w:rPr>
      <w:rFonts w:ascii="Microsoft YaHei UI" w:eastAsia="Microsoft YaHei UI" w:cs="Microsoft YaHei UI"/>
      <w:sz w:val="18"/>
      <w:szCs w:val="18"/>
    </w:rPr>
  </w:style>
  <w:style w:type="character" w:customStyle="1" w:styleId="105">
    <w:name w:val="日期 字符1"/>
    <w:semiHidden/>
    <w:qFormat/>
    <w:uiPriority w:val="99"/>
  </w:style>
  <w:style w:type="character" w:customStyle="1" w:styleId="106">
    <w:name w:val="正文文本 字符1"/>
    <w:semiHidden/>
    <w:qFormat/>
    <w:uiPriority w:val="99"/>
  </w:style>
  <w:style w:type="character" w:customStyle="1" w:styleId="107">
    <w:name w:val="标题 字符1"/>
    <w:qFormat/>
    <w:uiPriority w:val="99"/>
    <w:rPr>
      <w:rFonts w:ascii="等线 Light" w:hAnsi="等线 Light" w:eastAsia="等线 Light" w:cs="等线 Light"/>
      <w:b/>
      <w:bCs/>
      <w:sz w:val="32"/>
      <w:szCs w:val="32"/>
    </w:rPr>
  </w:style>
  <w:style w:type="character" w:customStyle="1" w:styleId="108">
    <w:name w:val="副标题 字符1"/>
    <w:qFormat/>
    <w:uiPriority w:val="99"/>
    <w:rPr>
      <w:b/>
      <w:bCs/>
      <w:kern w:val="28"/>
      <w:sz w:val="32"/>
      <w:szCs w:val="32"/>
    </w:rPr>
  </w:style>
  <w:style w:type="character" w:customStyle="1" w:styleId="109">
    <w:name w:val="明显引用 字符1"/>
    <w:qFormat/>
    <w:uiPriority w:val="99"/>
    <w:rPr>
      <w:i/>
      <w:iCs/>
      <w:color w:val="auto"/>
    </w:rPr>
  </w:style>
  <w:style w:type="paragraph" w:customStyle="1" w:styleId="110">
    <w:name w:val="样式 标题 3 + (中文) 黑体 小四 非加粗 段前: 7.8 磅 段后: 0 磅 行距: 固定值 20 磅"/>
    <w:basedOn w:val="5"/>
    <w:qFormat/>
    <w:uiPriority w:val="99"/>
    <w:pPr>
      <w:spacing w:before="0" w:after="0" w:line="400" w:lineRule="exact"/>
    </w:pPr>
    <w:rPr>
      <w:rFonts w:eastAsia="黑体"/>
      <w:b w:val="0"/>
      <w:bCs w:val="0"/>
      <w:sz w:val="24"/>
      <w:szCs w:val="24"/>
    </w:rPr>
  </w:style>
  <w:style w:type="paragraph" w:customStyle="1" w:styleId="111">
    <w:name w:val="空半行"/>
    <w:basedOn w:val="1"/>
    <w:qFormat/>
    <w:uiPriority w:val="99"/>
    <w:pPr>
      <w:adjustRightInd w:val="0"/>
      <w:spacing w:line="120" w:lineRule="exact"/>
      <w:textAlignment w:val="baseline"/>
    </w:pPr>
    <w:rPr>
      <w:rFonts w:ascii="Times New Roman" w:hAnsi="Times New Roman" w:eastAsia="仿宋_GB2312" w:cs="Times New Roman"/>
      <w:color w:val="FFFFFF"/>
      <w:kern w:val="0"/>
      <w:sz w:val="30"/>
      <w:szCs w:val="30"/>
    </w:rPr>
  </w:style>
  <w:style w:type="paragraph" w:styleId="112">
    <w:name w:val="No Spacing"/>
    <w:qFormat/>
    <w:uiPriority w:val="99"/>
    <w:pPr>
      <w:widowControl w:val="0"/>
      <w:jc w:val="both"/>
    </w:pPr>
    <w:rPr>
      <w:rFonts w:ascii="Calibri" w:hAnsi="Calibri" w:eastAsia="宋体" w:cs="Calibri"/>
      <w:kern w:val="2"/>
      <w:sz w:val="21"/>
      <w:szCs w:val="21"/>
      <w:lang w:val="en-US" w:eastAsia="zh-CN" w:bidi="ar-SA"/>
    </w:rPr>
  </w:style>
  <w:style w:type="character" w:customStyle="1" w:styleId="113">
    <w:name w:val="引用 字符1"/>
    <w:qFormat/>
    <w:uiPriority w:val="99"/>
    <w:rPr>
      <w:i/>
      <w:iCs/>
      <w:color w:val="auto"/>
    </w:rPr>
  </w:style>
  <w:style w:type="paragraph" w:styleId="114">
    <w:name w:val="List Paragraph"/>
    <w:basedOn w:val="1"/>
    <w:qFormat/>
    <w:uiPriority w:val="34"/>
    <w:pPr>
      <w:ind w:firstLine="420" w:firstLineChars="200"/>
    </w:pPr>
    <w:rPr>
      <w:rFonts w:ascii="Calibri" w:hAnsi="Calibri" w:eastAsia="宋体" w:cs="Calibri"/>
    </w:rPr>
  </w:style>
  <w:style w:type="paragraph" w:customStyle="1" w:styleId="115">
    <w:name w:val="flNote"/>
    <w:basedOn w:val="1"/>
    <w:qFormat/>
    <w:uiPriority w:val="99"/>
    <w:pPr>
      <w:adjustRightInd w:val="0"/>
      <w:spacing w:before="320" w:after="160" w:line="360" w:lineRule="atLeast"/>
      <w:jc w:val="center"/>
      <w:textAlignment w:val="baseline"/>
    </w:pPr>
    <w:rPr>
      <w:rFonts w:ascii="Arial" w:hAnsi="Times New Roman" w:eastAsia="黑体" w:cs="Arial"/>
      <w:kern w:val="0"/>
      <w:sz w:val="30"/>
      <w:szCs w:val="30"/>
    </w:rPr>
  </w:style>
  <w:style w:type="table" w:customStyle="1" w:styleId="116">
    <w:name w:val="网格型1"/>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7">
    <w:name w:val="未处理的提及2"/>
    <w:qFormat/>
    <w:uiPriority w:val="99"/>
    <w:rPr>
      <w:color w:val="auto"/>
      <w:shd w:val="clear" w:color="auto" w:fill="auto"/>
    </w:rPr>
  </w:style>
  <w:style w:type="character" w:customStyle="1" w:styleId="118">
    <w:name w:val="font101"/>
    <w:qFormat/>
    <w:uiPriority w:val="99"/>
    <w:rPr>
      <w:rFonts w:ascii="宋体" w:hAnsi="宋体" w:eastAsia="宋体" w:cs="宋体"/>
      <w:color w:val="000000"/>
      <w:sz w:val="20"/>
      <w:szCs w:val="20"/>
      <w:u w:val="none"/>
    </w:rPr>
  </w:style>
  <w:style w:type="character" w:customStyle="1" w:styleId="119">
    <w:name w:val="font61"/>
    <w:qFormat/>
    <w:uiPriority w:val="99"/>
    <w:rPr>
      <w:rFonts w:ascii="宋体" w:hAnsi="宋体" w:eastAsia="宋体" w:cs="宋体"/>
      <w:color w:val="000000"/>
      <w:sz w:val="18"/>
      <w:szCs w:val="18"/>
      <w:u w:val="none"/>
    </w:rPr>
  </w:style>
  <w:style w:type="character" w:customStyle="1" w:styleId="120">
    <w:name w:val="font81"/>
    <w:qFormat/>
    <w:uiPriority w:val="99"/>
    <w:rPr>
      <w:rFonts w:ascii="宋体" w:hAnsi="宋体" w:eastAsia="宋体" w:cs="宋体"/>
      <w:color w:val="000000"/>
      <w:sz w:val="21"/>
      <w:szCs w:val="21"/>
      <w:u w:val="none"/>
    </w:rPr>
  </w:style>
  <w:style w:type="character" w:customStyle="1" w:styleId="121">
    <w:name w:val="font11"/>
    <w:qFormat/>
    <w:uiPriority w:val="99"/>
    <w:rPr>
      <w:rFonts w:ascii="宋体" w:hAnsi="宋体" w:eastAsia="宋体" w:cs="宋体"/>
      <w:color w:val="000000"/>
      <w:sz w:val="21"/>
      <w:szCs w:val="21"/>
      <w:u w:val="none"/>
    </w:rPr>
  </w:style>
  <w:style w:type="character" w:customStyle="1" w:styleId="122">
    <w:name w:val="未处理的提及3"/>
    <w:semiHidden/>
    <w:qFormat/>
    <w:uiPriority w:val="99"/>
    <w:rPr>
      <w:color w:val="auto"/>
      <w:shd w:val="clear" w:color="auto" w:fill="auto"/>
    </w:rPr>
  </w:style>
  <w:style w:type="character" w:styleId="123">
    <w:name w:val="Placeholder Text"/>
    <w:semiHidden/>
    <w:qFormat/>
    <w:uiPriority w:val="99"/>
    <w:rPr>
      <w:color w:val="808080"/>
    </w:rPr>
  </w:style>
  <w:style w:type="character" w:customStyle="1" w:styleId="124">
    <w:name w:val="未处理的提及4"/>
    <w:qFormat/>
    <w:uiPriority w:val="99"/>
    <w:rPr>
      <w:color w:val="auto"/>
      <w:shd w:val="clear" w:color="auto" w:fill="auto"/>
    </w:rPr>
  </w:style>
  <w:style w:type="character" w:customStyle="1" w:styleId="125">
    <w:name w:val="NormalCharacter"/>
    <w:qFormat/>
    <w:uiPriority w:val="0"/>
  </w:style>
  <w:style w:type="paragraph" w:customStyle="1" w:styleId="126">
    <w:name w:val="p12"/>
    <w:basedOn w:val="1"/>
    <w:qFormat/>
    <w:uiPriority w:val="0"/>
    <w:pPr>
      <w:widowControl/>
      <w:spacing w:before="100" w:beforeAutospacing="1" w:after="100" w:afterAutospacing="1"/>
      <w:jc w:val="left"/>
    </w:pPr>
    <w:rPr>
      <w:rFonts w:ascii="&amp;#23435;&amp;#20307;" w:hAnsi="&amp;#23435;&amp;#20307;" w:eastAsia="宋体" w:cs="Times New Roman"/>
      <w:kern w:val="0"/>
      <w:sz w:val="18"/>
      <w:szCs w:val="18"/>
    </w:rPr>
  </w:style>
  <w:style w:type="character" w:customStyle="1" w:styleId="127">
    <w:name w:val="未处理的提及5"/>
    <w:unhideWhenUsed/>
    <w:qFormat/>
    <w:uiPriority w:val="99"/>
    <w:rPr>
      <w:color w:val="605E5C"/>
      <w:shd w:val="clear" w:color="auto" w:fill="E1DFDD"/>
    </w:rPr>
  </w:style>
  <w:style w:type="paragraph" w:customStyle="1" w:styleId="128">
    <w:name w:val="Normal_1"/>
    <w:qFormat/>
    <w:uiPriority w:val="0"/>
    <w:rPr>
      <w:rFonts w:ascii="Times New Roman" w:hAnsi="Times New Roman" w:eastAsia="Times New Roman" w:cs="Times New Roman"/>
      <w:sz w:val="24"/>
      <w:szCs w:val="24"/>
      <w:lang w:val="en-US" w:eastAsia="zh-CN" w:bidi="ar-SA"/>
    </w:rPr>
  </w:style>
  <w:style w:type="character" w:customStyle="1" w:styleId="129">
    <w:name w:val="明显参考2"/>
    <w:qFormat/>
    <w:uiPriority w:val="32"/>
    <w:rPr>
      <w:b/>
      <w:bCs/>
      <w:smallCaps/>
      <w:color w:val="4F81BD"/>
      <w:spacing w:val="5"/>
    </w:rPr>
  </w:style>
  <w:style w:type="character" w:customStyle="1" w:styleId="130">
    <w:name w:val="未处理的提及6"/>
    <w:qFormat/>
    <w:uiPriority w:val="99"/>
    <w:rPr>
      <w:color w:val="605E5C"/>
      <w:shd w:val="clear" w:color="auto" w:fill="E1DFDD"/>
    </w:rPr>
  </w:style>
  <w:style w:type="character" w:customStyle="1" w:styleId="131">
    <w:name w:val="未处理的提及7"/>
    <w:qFormat/>
    <w:uiPriority w:val="99"/>
    <w:rPr>
      <w:color w:val="605E5C"/>
      <w:shd w:val="clear" w:color="auto" w:fill="E1DFDD"/>
    </w:rPr>
  </w:style>
  <w:style w:type="paragraph" w:customStyle="1" w:styleId="132">
    <w:name w:val="中等深浅网格 21"/>
    <w:qFormat/>
    <w:uiPriority w:val="1"/>
    <w:rPr>
      <w:rFonts w:ascii="Calibri" w:hAnsi="Calibri" w:eastAsia="宋体" w:cs="Times New Roman"/>
      <w:sz w:val="22"/>
      <w:szCs w:val="22"/>
      <w:lang w:val="en-US" w:eastAsia="zh-CN" w:bidi="ar-SA"/>
    </w:rPr>
  </w:style>
  <w:style w:type="paragraph" w:customStyle="1" w:styleId="133">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4">
    <w:name w:val="font5"/>
    <w:basedOn w:val="1"/>
    <w:qFormat/>
    <w:uiPriority w:val="0"/>
    <w:pPr>
      <w:widowControl/>
      <w:spacing w:before="100" w:beforeAutospacing="1" w:after="100" w:afterAutospacing="1"/>
      <w:jc w:val="left"/>
    </w:pPr>
    <w:rPr>
      <w:rFonts w:ascii="宋体" w:hAnsi="宋体" w:eastAsia="宋体" w:cs="宋体"/>
      <w:kern w:val="0"/>
      <w:sz w:val="22"/>
      <w:szCs w:val="22"/>
    </w:rPr>
  </w:style>
  <w:style w:type="paragraph" w:customStyle="1" w:styleId="135">
    <w:name w:val="font6"/>
    <w:basedOn w:val="1"/>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36">
    <w:name w:val="font7"/>
    <w:basedOn w:val="1"/>
    <w:qFormat/>
    <w:uiPriority w:val="0"/>
    <w:pPr>
      <w:widowControl/>
      <w:spacing w:before="100" w:beforeAutospacing="1" w:after="100" w:afterAutospacing="1"/>
      <w:jc w:val="left"/>
    </w:pPr>
    <w:rPr>
      <w:rFonts w:ascii="Calibri" w:hAnsi="Calibri" w:eastAsia="宋体" w:cs="Calibri"/>
      <w:kern w:val="0"/>
    </w:rPr>
  </w:style>
  <w:style w:type="paragraph" w:customStyle="1" w:styleId="137">
    <w:name w:val="font8"/>
    <w:basedOn w:val="1"/>
    <w:qFormat/>
    <w:uiPriority w:val="0"/>
    <w:pPr>
      <w:widowControl/>
      <w:spacing w:before="100" w:beforeAutospacing="1" w:after="100" w:afterAutospacing="1"/>
      <w:jc w:val="left"/>
    </w:pPr>
    <w:rPr>
      <w:rFonts w:ascii="Arial" w:hAnsi="Arial" w:eastAsia="宋体" w:cs="Arial"/>
      <w:color w:val="000000"/>
      <w:kern w:val="0"/>
      <w:sz w:val="22"/>
      <w:szCs w:val="22"/>
    </w:rPr>
  </w:style>
  <w:style w:type="paragraph" w:customStyle="1" w:styleId="138">
    <w:name w:val="font9"/>
    <w:basedOn w:val="1"/>
    <w:qFormat/>
    <w:uiPriority w:val="0"/>
    <w:pPr>
      <w:widowControl/>
      <w:spacing w:before="100" w:beforeAutospacing="1" w:after="100" w:afterAutospacing="1"/>
      <w:jc w:val="left"/>
    </w:pPr>
    <w:rPr>
      <w:rFonts w:ascii="Verdana" w:hAnsi="Verdana" w:eastAsia="宋体" w:cs="宋体"/>
      <w:kern w:val="0"/>
      <w:sz w:val="18"/>
      <w:szCs w:val="18"/>
    </w:rPr>
  </w:style>
  <w:style w:type="paragraph" w:customStyle="1" w:styleId="139">
    <w:name w:val="xl63"/>
    <w:basedOn w:val="1"/>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40">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41">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42">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43">
    <w:name w:val="xl67"/>
    <w:basedOn w:val="1"/>
    <w:qFormat/>
    <w:uiPriority w:val="0"/>
    <w:pPr>
      <w:widowControl/>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44">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5">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6">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7">
    <w:name w:val="xl71"/>
    <w:basedOn w:val="1"/>
    <w:qFormat/>
    <w:uiPriority w:val="0"/>
    <w:pPr>
      <w:widowControl/>
      <w:shd w:val="clear" w:color="000000" w:fill="FFFFFF"/>
      <w:spacing w:before="100" w:beforeAutospacing="1" w:after="100" w:afterAutospacing="1"/>
      <w:jc w:val="left"/>
    </w:pPr>
    <w:rPr>
      <w:rFonts w:ascii="宋体" w:hAnsi="宋体" w:eastAsia="宋体" w:cs="宋体"/>
      <w:color w:val="FF0000"/>
      <w:kern w:val="0"/>
      <w:sz w:val="24"/>
      <w:szCs w:val="24"/>
    </w:rPr>
  </w:style>
  <w:style w:type="paragraph" w:customStyle="1" w:styleId="148">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9">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0">
    <w:name w:val="xl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51">
    <w:name w:val="xl7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52">
    <w:name w:val="xl7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3">
    <w:name w:val="xl7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4">
    <w:name w:val="xl7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5">
    <w:name w:val="xl7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6">
    <w:name w:val="xl80"/>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7">
    <w:name w:val="xl81"/>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9">
    <w:name w:val="xl83"/>
    <w:basedOn w:val="1"/>
    <w:qFormat/>
    <w:uiPriority w:val="0"/>
    <w:pPr>
      <w:widowControl/>
      <w:pBdr>
        <w:top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6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color w:val="000000"/>
      <w:kern w:val="0"/>
      <w:sz w:val="22"/>
      <w:szCs w:val="22"/>
    </w:rPr>
  </w:style>
  <w:style w:type="paragraph" w:customStyle="1" w:styleId="16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color w:val="000000"/>
      <w:kern w:val="0"/>
      <w:sz w:val="22"/>
      <w:szCs w:val="22"/>
    </w:rPr>
  </w:style>
  <w:style w:type="paragraph" w:customStyle="1" w:styleId="1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2"/>
      <w:szCs w:val="22"/>
    </w:rPr>
  </w:style>
  <w:style w:type="paragraph" w:customStyle="1" w:styleId="16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7">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b/>
      <w:bCs/>
      <w:kern w:val="0"/>
      <w:sz w:val="22"/>
      <w:szCs w:val="22"/>
    </w:rPr>
  </w:style>
  <w:style w:type="paragraph" w:customStyle="1" w:styleId="1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kern w:val="0"/>
      <w:sz w:val="22"/>
      <w:szCs w:val="22"/>
    </w:rPr>
  </w:style>
  <w:style w:type="paragraph" w:customStyle="1" w:styleId="16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7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7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72">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character" w:customStyle="1" w:styleId="175">
    <w:name w:val="fontstyle01"/>
    <w:qFormat/>
    <w:uiPriority w:val="0"/>
    <w:rPr>
      <w:rFonts w:hint="eastAsia" w:ascii="宋体" w:hAnsi="宋体" w:eastAsia="宋体"/>
      <w:color w:val="000000"/>
      <w:sz w:val="28"/>
      <w:szCs w:val="28"/>
    </w:rPr>
  </w:style>
  <w:style w:type="character" w:customStyle="1" w:styleId="176">
    <w:name w:val="未处理的提及8"/>
    <w:semiHidden/>
    <w:unhideWhenUsed/>
    <w:qFormat/>
    <w:uiPriority w:val="99"/>
    <w:rPr>
      <w:color w:val="605E5C"/>
      <w:shd w:val="clear" w:color="auto" w:fill="E1DFDD"/>
    </w:rPr>
  </w:style>
  <w:style w:type="character" w:customStyle="1" w:styleId="177">
    <w:name w:val="正文文本 2 字符"/>
    <w:link w:val="36"/>
    <w:semiHidden/>
    <w:qFormat/>
    <w:uiPriority w:val="99"/>
    <w:rPr>
      <w:rFonts w:ascii="等线" w:hAnsi="等线" w:eastAsia="等线" w:cs="等线"/>
      <w:kern w:val="2"/>
      <w:sz w:val="21"/>
      <w:szCs w:val="21"/>
    </w:rPr>
  </w:style>
  <w:style w:type="character" w:customStyle="1" w:styleId="178">
    <w:name w:val="font21"/>
    <w:qFormat/>
    <w:uiPriority w:val="0"/>
    <w:rPr>
      <w:rFonts w:hint="eastAsia" w:ascii="宋体" w:hAnsi="宋体" w:eastAsia="宋体" w:cs="宋体"/>
      <w:b/>
      <w:bCs/>
      <w:color w:val="000000"/>
      <w:sz w:val="20"/>
      <w:szCs w:val="20"/>
      <w:u w:val="none"/>
    </w:rPr>
  </w:style>
  <w:style w:type="character" w:customStyle="1" w:styleId="179">
    <w:name w:val="font31"/>
    <w:qFormat/>
    <w:uiPriority w:val="0"/>
    <w:rPr>
      <w:rFonts w:hint="eastAsia" w:ascii="宋体" w:hAnsi="宋体" w:eastAsia="宋体" w:cs="宋体"/>
      <w:color w:val="000000"/>
      <w:sz w:val="18"/>
      <w:szCs w:val="18"/>
      <w:u w:val="none"/>
    </w:rPr>
  </w:style>
  <w:style w:type="paragraph" w:customStyle="1" w:styleId="180">
    <w:name w:val="列出段落1"/>
    <w:basedOn w:val="1"/>
    <w:qFormat/>
    <w:uiPriority w:val="34"/>
    <w:pPr>
      <w:ind w:firstLine="420" w:firstLineChars="200"/>
    </w:pPr>
    <w:rPr>
      <w:rFonts w:asciiTheme="minorHAnsi" w:hAnsiTheme="minorHAnsi" w:eastAsiaTheme="minorEastAsia" w:cstheme="minorBidi"/>
      <w:szCs w:val="22"/>
    </w:rPr>
  </w:style>
  <w:style w:type="paragraph" w:customStyle="1" w:styleId="181">
    <w:name w:val="段落"/>
    <w:autoRedefine/>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82">
    <w:name w:val="首行缩进"/>
    <w:basedOn w:val="1"/>
    <w:qFormat/>
    <w:uiPriority w:val="0"/>
    <w:pPr>
      <w:ind w:firstLine="480" w:firstLineChars="200"/>
    </w:pPr>
    <w:rPr>
      <w:rFonts w:asciiTheme="minorHAnsi" w:hAnsiTheme="minorHAnsi" w:eastAsiaTheme="minorEastAsia" w:cstheme="minorBidi"/>
      <w:szCs w:val="22"/>
      <w:lang w:val="zh-CN"/>
    </w:rPr>
  </w:style>
  <w:style w:type="character" w:customStyle="1" w:styleId="183">
    <w:name w:val="未处理的提及9"/>
    <w:basedOn w:val="44"/>
    <w:semiHidden/>
    <w:unhideWhenUsed/>
    <w:qFormat/>
    <w:uiPriority w:val="99"/>
    <w:rPr>
      <w:color w:val="605E5C"/>
      <w:shd w:val="clear" w:color="auto" w:fill="E1DFDD"/>
    </w:rPr>
  </w:style>
  <w:style w:type="character" w:customStyle="1" w:styleId="184">
    <w:name w:val="尾注文本 字符"/>
    <w:basedOn w:val="44"/>
    <w:link w:val="24"/>
    <w:semiHidden/>
    <w:qFormat/>
    <w:uiPriority w:val="99"/>
    <w:rPr>
      <w:rFonts w:ascii="等线" w:hAnsi="等线" w:eastAsia="等线" w:cs="等线"/>
      <w:kern w:val="2"/>
      <w:sz w:val="21"/>
      <w:szCs w:val="21"/>
    </w:rPr>
  </w:style>
  <w:style w:type="table" w:customStyle="1" w:styleId="185">
    <w:name w:val="Table Normal_0"/>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7.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FAE7C4-2CC9-4ACB-A1A4-AF6023ABDDAA}">
  <ds:schemaRefs/>
</ds:datastoreItem>
</file>

<file path=docProps/app.xml><?xml version="1.0" encoding="utf-8"?>
<Properties xmlns="http://schemas.openxmlformats.org/officeDocument/2006/extended-properties" xmlns:vt="http://schemas.openxmlformats.org/officeDocument/2006/docPropsVTypes">
  <Template>Normal.dotm</Template>
  <Pages>217</Pages>
  <Words>11051</Words>
  <Characters>12228</Characters>
  <Lines>464</Lines>
  <Paragraphs>130</Paragraphs>
  <TotalTime>34</TotalTime>
  <ScaleCrop>false</ScaleCrop>
  <LinksUpToDate>false</LinksUpToDate>
  <CharactersWithSpaces>12395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2024-05-29T06:50:00Z</dcterms:created>
  <dc:creator>Zuzu</dc:creator>
  <cp:lastModifiedBy>Administrator</cp:lastModifiedBy>
  <cp:lastPrinted>2024-05-29T07:53:00Z</cp:lastPrinted>
  <dcterms:modified xsi:type="dcterms:W3CDTF">2025-09-15T03:54:21Z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616235C4FBE44A728EBEE5ABDA2A372C_13</vt:lpwstr>
  </property>
  <property fmtid="{D5CDD505-2E9C-101B-9397-08002B2CF9AE}" pid="3" name="KSOProductBuildVer">
    <vt:lpwstr>2052-12.1.0.21915</vt:lpwstr>
  </property>
  <property fmtid="{D5CDD505-2E9C-101B-9397-08002B2CF9AE}" pid="4" name="KSOTemplateDocerSaveRecord">
    <vt:lpwstr>eyJoZGlkIjoiN2U5ZTMzZWQ3MjVmNTliZWMyNjhiZTY2MGJiMTkyNjgiLCJ1c2VySWQiOiIzMTM3MDc3NiJ9</vt:lpwstr>
  </property>
</Properties>
</file>