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1C8FA862">
      <w:pPr>
        <w:rPr>
          <w:rFonts w:cs="宋体"/>
          <w:highlight w:val="none"/>
        </w:rPr>
      </w:pPr>
    </w:p>
    <w:p w14:paraId="1C7B939B">
      <w:pPr>
        <w:pStyle w:val="45"/>
        <w:spacing w:line="600" w:lineRule="auto"/>
        <w:jc w:val="center"/>
        <w:rPr>
          <w:rFonts w:cs="宋体"/>
          <w:b/>
          <w:bCs/>
          <w:sz w:val="60"/>
          <w:szCs w:val="18"/>
          <w:highlight w:val="none"/>
        </w:rPr>
      </w:pPr>
      <w:bookmarkStart w:id="0" w:name="_Hlk24317540"/>
      <w:bookmarkStart w:id="1" w:name="_Hlk528667721"/>
      <w:r>
        <w:rPr>
          <w:rFonts w:hint="eastAsia" w:cs="宋体"/>
          <w:b/>
          <w:bCs/>
          <w:sz w:val="56"/>
          <w:szCs w:val="56"/>
          <w:highlight w:val="none"/>
          <w:lang w:eastAsia="zh-CN"/>
        </w:rPr>
        <w:t>云南政协报社报纸印刷服务采购（2026-2028服务期限三年）第一年</w:t>
      </w:r>
    </w:p>
    <w:bookmarkEnd w:id="0"/>
    <w:bookmarkEnd w:id="1"/>
    <w:p w14:paraId="658D093E">
      <w:pPr>
        <w:pStyle w:val="45"/>
        <w:jc w:val="center"/>
        <w:rPr>
          <w:rFonts w:cs="宋体"/>
          <w:b/>
          <w:bCs/>
          <w:sz w:val="72"/>
          <w:highlight w:val="none"/>
        </w:rPr>
      </w:pPr>
    </w:p>
    <w:p w14:paraId="31A2C8A9">
      <w:pPr>
        <w:pStyle w:val="45"/>
        <w:tabs>
          <w:tab w:val="left" w:pos="7560"/>
        </w:tabs>
        <w:jc w:val="center"/>
        <w:rPr>
          <w:rFonts w:cs="宋体"/>
          <w:b/>
          <w:bCs/>
          <w:sz w:val="72"/>
          <w:highlight w:val="none"/>
        </w:rPr>
      </w:pPr>
    </w:p>
    <w:p w14:paraId="77F6C240">
      <w:pPr>
        <w:pStyle w:val="45"/>
        <w:jc w:val="center"/>
        <w:rPr>
          <w:rFonts w:cs="宋体"/>
          <w:b/>
          <w:bCs/>
          <w:sz w:val="72"/>
          <w:highlight w:val="none"/>
        </w:rPr>
      </w:pPr>
    </w:p>
    <w:p w14:paraId="2DACBCA6">
      <w:pPr>
        <w:pStyle w:val="45"/>
        <w:jc w:val="center"/>
        <w:rPr>
          <w:rFonts w:cs="宋体"/>
          <w:b/>
          <w:bCs/>
          <w:sz w:val="72"/>
          <w:highlight w:val="none"/>
        </w:rPr>
      </w:pPr>
      <w:r>
        <w:rPr>
          <w:rFonts w:hint="eastAsia" w:cs="宋体"/>
          <w:b/>
          <w:bCs/>
          <w:sz w:val="72"/>
          <w:highlight w:val="none"/>
        </w:rPr>
        <w:t>招 标 文 件</w:t>
      </w:r>
    </w:p>
    <w:p w14:paraId="61F9C698">
      <w:pPr>
        <w:pStyle w:val="45"/>
        <w:jc w:val="center"/>
        <w:rPr>
          <w:rFonts w:hint="eastAsia" w:eastAsia="宋体" w:cs="宋体"/>
          <w:b/>
          <w:bCs/>
          <w:sz w:val="30"/>
          <w:szCs w:val="30"/>
          <w:highlight w:val="none"/>
          <w:lang w:eastAsia="zh-CN"/>
        </w:rPr>
      </w:pPr>
      <w:r>
        <w:rPr>
          <w:rFonts w:hint="eastAsia" w:cs="宋体"/>
          <w:b/>
          <w:bCs/>
          <w:sz w:val="30"/>
          <w:szCs w:val="30"/>
          <w:highlight w:val="none"/>
        </w:rPr>
        <w:t>项目编号</w:t>
      </w:r>
      <w:r>
        <w:rPr>
          <w:rFonts w:hint="eastAsia" w:cs="宋体"/>
          <w:b/>
          <w:bCs/>
          <w:w w:val="95"/>
          <w:sz w:val="30"/>
          <w:szCs w:val="30"/>
          <w:highlight w:val="none"/>
        </w:rPr>
        <w:t>：</w:t>
      </w:r>
      <w:r>
        <w:rPr>
          <w:rFonts w:hint="eastAsia" w:cs="宋体"/>
          <w:b/>
          <w:bCs/>
          <w:w w:val="95"/>
          <w:sz w:val="30"/>
          <w:szCs w:val="30"/>
          <w:highlight w:val="none"/>
          <w:lang w:eastAsia="zh-CN"/>
        </w:rPr>
        <w:t>YNZC2026-G3-05056-YZGF-1189</w:t>
      </w:r>
    </w:p>
    <w:p w14:paraId="28D6B0B3">
      <w:pPr>
        <w:pStyle w:val="45"/>
        <w:jc w:val="center"/>
        <w:rPr>
          <w:rFonts w:hint="eastAsia" w:eastAsia="宋体" w:cs="宋体"/>
          <w:highlight w:val="none"/>
          <w:lang w:eastAsia="zh-CN"/>
        </w:rPr>
      </w:pPr>
      <w:r>
        <w:rPr>
          <w:rFonts w:hint="eastAsia" w:cs="宋体"/>
          <w:b/>
          <w:bCs/>
          <w:sz w:val="30"/>
          <w:szCs w:val="30"/>
          <w:highlight w:val="none"/>
        </w:rPr>
        <w:t>招标编号</w:t>
      </w:r>
      <w:r>
        <w:rPr>
          <w:rFonts w:hint="eastAsia" w:cs="宋体"/>
          <w:b/>
          <w:bCs/>
          <w:w w:val="95"/>
          <w:sz w:val="30"/>
          <w:szCs w:val="30"/>
          <w:highlight w:val="none"/>
        </w:rPr>
        <w:t>：</w:t>
      </w:r>
      <w:r>
        <w:rPr>
          <w:rFonts w:hint="eastAsia" w:cs="宋体"/>
          <w:b/>
          <w:bCs/>
          <w:w w:val="95"/>
          <w:sz w:val="30"/>
          <w:szCs w:val="30"/>
          <w:highlight w:val="none"/>
          <w:lang w:eastAsia="zh-CN"/>
        </w:rPr>
        <w:t>O53A01026001365</w:t>
      </w:r>
    </w:p>
    <w:p w14:paraId="14A93B8B">
      <w:pPr>
        <w:rPr>
          <w:rFonts w:cs="宋体"/>
          <w:highlight w:val="none"/>
        </w:rPr>
      </w:pPr>
    </w:p>
    <w:p w14:paraId="276EE547">
      <w:pPr>
        <w:pStyle w:val="45"/>
        <w:jc w:val="center"/>
        <w:rPr>
          <w:rFonts w:cs="宋体"/>
          <w:highlight w:val="none"/>
        </w:rPr>
      </w:pPr>
    </w:p>
    <w:p w14:paraId="7F172FBC">
      <w:pPr>
        <w:pStyle w:val="45"/>
        <w:jc w:val="center"/>
        <w:rPr>
          <w:rFonts w:cs="宋体"/>
          <w:highlight w:val="none"/>
        </w:rPr>
      </w:pPr>
    </w:p>
    <w:p w14:paraId="4443F9B6">
      <w:pPr>
        <w:pStyle w:val="45"/>
        <w:jc w:val="center"/>
        <w:rPr>
          <w:rFonts w:cs="宋体"/>
          <w:b/>
          <w:bCs/>
          <w:w w:val="95"/>
          <w:sz w:val="32"/>
          <w:highlight w:val="none"/>
          <w:u w:val="single"/>
        </w:rPr>
      </w:pPr>
    </w:p>
    <w:p w14:paraId="7D373BEC">
      <w:pPr>
        <w:pStyle w:val="45"/>
        <w:jc w:val="center"/>
        <w:rPr>
          <w:rFonts w:cs="宋体"/>
          <w:b/>
          <w:bCs/>
          <w:w w:val="95"/>
          <w:sz w:val="32"/>
          <w:highlight w:val="none"/>
          <w:u w:val="single"/>
        </w:rPr>
      </w:pPr>
    </w:p>
    <w:p w14:paraId="4F5E340A">
      <w:pPr>
        <w:pStyle w:val="45"/>
        <w:jc w:val="center"/>
        <w:rPr>
          <w:rFonts w:cs="宋体"/>
          <w:b/>
          <w:bCs/>
          <w:w w:val="95"/>
          <w:sz w:val="32"/>
          <w:highlight w:val="none"/>
        </w:rPr>
      </w:pPr>
      <w:r>
        <w:rPr>
          <w:rFonts w:hint="eastAsia" w:cs="宋体"/>
          <w:b/>
          <w:bCs/>
          <w:w w:val="95"/>
          <w:sz w:val="32"/>
          <w:highlight w:val="none"/>
        </w:rPr>
        <w:t>采购人：云南政协报社</w:t>
      </w:r>
    </w:p>
    <w:p w14:paraId="20115007">
      <w:pPr>
        <w:pStyle w:val="45"/>
        <w:jc w:val="center"/>
        <w:rPr>
          <w:rFonts w:cs="宋体"/>
          <w:b/>
          <w:bCs/>
          <w:w w:val="95"/>
          <w:sz w:val="32"/>
          <w:highlight w:val="none"/>
        </w:rPr>
      </w:pPr>
      <w:r>
        <w:rPr>
          <w:rFonts w:hint="eastAsia" w:cs="宋体"/>
          <w:b/>
          <w:bCs/>
          <w:w w:val="95"/>
          <w:sz w:val="32"/>
          <w:highlight w:val="none"/>
        </w:rPr>
        <w:t>采购代理机构：云南招标股份有限公司</w:t>
      </w:r>
    </w:p>
    <w:p w14:paraId="3789012E">
      <w:pPr>
        <w:pStyle w:val="45"/>
        <w:jc w:val="center"/>
        <w:rPr>
          <w:rFonts w:cs="宋体"/>
          <w:b/>
          <w:bCs/>
          <w:w w:val="95"/>
          <w:sz w:val="32"/>
          <w:highlight w:val="none"/>
        </w:rPr>
      </w:pPr>
      <w:r>
        <w:rPr>
          <w:rFonts w:hint="eastAsia" w:cs="宋体"/>
          <w:b/>
          <w:bCs/>
          <w:w w:val="95"/>
          <w:sz w:val="32"/>
          <w:highlight w:val="none"/>
        </w:rPr>
        <w:t>2026年8月</w:t>
      </w:r>
    </w:p>
    <w:sdt>
      <w:sdtPr>
        <w:rPr>
          <w:rFonts w:hint="eastAsia" w:ascii="宋体" w:hAnsi="宋体" w:eastAsia="宋体" w:cs="宋体"/>
          <w:color w:val="auto"/>
          <w:kern w:val="2"/>
          <w:highlight w:val="none"/>
          <w:lang w:val="zh-CN"/>
        </w:rPr>
        <w:id w:val="-980144260"/>
        <w:docPartObj>
          <w:docPartGallery w:val="Table of Contents"/>
          <w:docPartUnique/>
        </w:docPartObj>
      </w:sdtPr>
      <w:sdtEndPr>
        <w:rPr>
          <w:rFonts w:hint="eastAsia" w:ascii="宋体" w:hAnsi="宋体" w:eastAsia="宋体" w:cs="宋体"/>
          <w:b/>
          <w:bCs/>
          <w:color w:val="auto"/>
          <w:kern w:val="2"/>
          <w:sz w:val="21"/>
          <w:szCs w:val="24"/>
          <w:highlight w:val="none"/>
          <w:lang w:val="zh-CN"/>
        </w:rPr>
      </w:sdtEndPr>
      <w:sdtContent>
        <w:p w14:paraId="36DB5302">
          <w:pPr>
            <w:pStyle w:val="366"/>
            <w:spacing w:before="0" w:line="360" w:lineRule="auto"/>
            <w:jc w:val="center"/>
            <w:rPr>
              <w:rFonts w:ascii="宋体" w:hAnsi="宋体" w:eastAsia="宋体" w:cs="宋体"/>
              <w:b/>
              <w:bCs/>
              <w:color w:val="auto"/>
              <w:highlight w:val="none"/>
            </w:rPr>
          </w:pPr>
          <w:r>
            <w:rPr>
              <w:rFonts w:hint="eastAsia" w:ascii="宋体" w:hAnsi="宋体" w:eastAsia="宋体" w:cs="宋体"/>
              <w:b/>
              <w:bCs/>
              <w:color w:val="auto"/>
              <w:highlight w:val="none"/>
              <w:lang w:val="zh-CN"/>
            </w:rPr>
            <w:t>目  录</w:t>
          </w:r>
        </w:p>
        <w:p w14:paraId="0C310D7C">
          <w:pPr>
            <w:pStyle w:val="59"/>
            <w:tabs>
              <w:tab w:val="right" w:leader="dot" w:pos="9746"/>
              <w:tab w:val="clear" w:pos="9072"/>
            </w:tabs>
            <w:spacing w:line="240" w:lineRule="auto"/>
            <w:rPr>
              <w:highlight w:val="none"/>
            </w:rPr>
          </w:pPr>
          <w:r>
            <w:rPr>
              <w:rFonts w:hint="eastAsia" w:cs="宋体"/>
              <w:sz w:val="22"/>
              <w:szCs w:val="22"/>
              <w:highlight w:val="none"/>
            </w:rPr>
            <w:fldChar w:fldCharType="begin"/>
          </w:r>
          <w:r>
            <w:rPr>
              <w:rFonts w:hint="eastAsia" w:cs="宋体"/>
              <w:sz w:val="22"/>
              <w:szCs w:val="22"/>
              <w:highlight w:val="none"/>
            </w:rPr>
            <w:instrText xml:space="preserve">TOC \o "1-2" \h \u </w:instrText>
          </w:r>
          <w:r>
            <w:rPr>
              <w:rFonts w:hint="eastAsia" w:cs="宋体"/>
              <w:sz w:val="22"/>
              <w:szCs w:val="22"/>
              <w:highlight w:val="none"/>
            </w:rPr>
            <w:fldChar w:fldCharType="separate"/>
          </w:r>
          <w:r>
            <w:rPr>
              <w:rFonts w:hint="eastAsia" w:cs="宋体"/>
              <w:szCs w:val="22"/>
              <w:highlight w:val="none"/>
            </w:rPr>
            <w:fldChar w:fldCharType="begin"/>
          </w:r>
          <w:r>
            <w:rPr>
              <w:rFonts w:hint="eastAsia" w:cs="宋体"/>
              <w:szCs w:val="22"/>
              <w:highlight w:val="none"/>
            </w:rPr>
            <w:instrText xml:space="preserve"> HYPERLINK \l _Toc17652 </w:instrText>
          </w:r>
          <w:r>
            <w:rPr>
              <w:rFonts w:hint="eastAsia" w:cs="宋体"/>
              <w:szCs w:val="22"/>
              <w:highlight w:val="none"/>
            </w:rPr>
            <w:fldChar w:fldCharType="separate"/>
          </w:r>
          <w:r>
            <w:rPr>
              <w:rFonts w:hint="eastAsia" w:eastAsia="宋体" w:cs="宋体"/>
              <w:bCs/>
              <w:highlight w:val="none"/>
            </w:rPr>
            <w:t>第一章  招标公告</w:t>
          </w:r>
          <w:r>
            <w:rPr>
              <w:highlight w:val="none"/>
            </w:rPr>
            <w:tab/>
          </w:r>
          <w:r>
            <w:rPr>
              <w:highlight w:val="none"/>
            </w:rPr>
            <w:fldChar w:fldCharType="begin"/>
          </w:r>
          <w:r>
            <w:rPr>
              <w:highlight w:val="none"/>
            </w:rPr>
            <w:instrText xml:space="preserve"> PAGEREF _Toc17652 \h </w:instrText>
          </w:r>
          <w:r>
            <w:rPr>
              <w:highlight w:val="none"/>
            </w:rPr>
            <w:fldChar w:fldCharType="separate"/>
          </w:r>
          <w:r>
            <w:rPr>
              <w:highlight w:val="none"/>
            </w:rPr>
            <w:t>1</w:t>
          </w:r>
          <w:r>
            <w:rPr>
              <w:highlight w:val="none"/>
            </w:rPr>
            <w:fldChar w:fldCharType="end"/>
          </w:r>
          <w:r>
            <w:rPr>
              <w:rFonts w:hint="eastAsia" w:cs="宋体"/>
              <w:szCs w:val="22"/>
              <w:highlight w:val="none"/>
            </w:rPr>
            <w:fldChar w:fldCharType="end"/>
          </w:r>
        </w:p>
        <w:p w14:paraId="7310E337">
          <w:pPr>
            <w:pStyle w:val="74"/>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_Toc15197 </w:instrText>
          </w:r>
          <w:r>
            <w:rPr>
              <w:rFonts w:hint="eastAsia" w:cs="宋体"/>
              <w:szCs w:val="22"/>
              <w:highlight w:val="none"/>
            </w:rPr>
            <w:fldChar w:fldCharType="separate"/>
          </w:r>
          <w:r>
            <w:rPr>
              <w:rFonts w:hint="eastAsia" w:eastAsia="宋体" w:cs="宋体"/>
              <w:szCs w:val="21"/>
              <w:highlight w:val="none"/>
            </w:rPr>
            <w:t>一、项目基本情况</w:t>
          </w:r>
          <w:r>
            <w:rPr>
              <w:highlight w:val="none"/>
            </w:rPr>
            <w:tab/>
          </w:r>
          <w:r>
            <w:rPr>
              <w:highlight w:val="none"/>
            </w:rPr>
            <w:fldChar w:fldCharType="begin"/>
          </w:r>
          <w:r>
            <w:rPr>
              <w:highlight w:val="none"/>
            </w:rPr>
            <w:instrText xml:space="preserve"> PAGEREF _Toc15197 \h </w:instrText>
          </w:r>
          <w:r>
            <w:rPr>
              <w:highlight w:val="none"/>
            </w:rPr>
            <w:fldChar w:fldCharType="separate"/>
          </w:r>
          <w:r>
            <w:rPr>
              <w:highlight w:val="none"/>
            </w:rPr>
            <w:t>1</w:t>
          </w:r>
          <w:r>
            <w:rPr>
              <w:highlight w:val="none"/>
            </w:rPr>
            <w:fldChar w:fldCharType="end"/>
          </w:r>
          <w:r>
            <w:rPr>
              <w:rFonts w:hint="eastAsia" w:cs="宋体"/>
              <w:szCs w:val="22"/>
              <w:highlight w:val="none"/>
            </w:rPr>
            <w:fldChar w:fldCharType="end"/>
          </w:r>
        </w:p>
        <w:p w14:paraId="2F0012FE">
          <w:pPr>
            <w:pStyle w:val="74"/>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_Toc3063 </w:instrText>
          </w:r>
          <w:r>
            <w:rPr>
              <w:rFonts w:hint="eastAsia" w:cs="宋体"/>
              <w:szCs w:val="22"/>
              <w:highlight w:val="none"/>
            </w:rPr>
            <w:fldChar w:fldCharType="separate"/>
          </w:r>
          <w:r>
            <w:rPr>
              <w:rFonts w:hint="eastAsia" w:eastAsia="宋体" w:cs="宋体"/>
              <w:szCs w:val="21"/>
              <w:highlight w:val="none"/>
            </w:rPr>
            <w:t>★二、投标人的资格要求：</w:t>
          </w:r>
          <w:r>
            <w:rPr>
              <w:highlight w:val="none"/>
            </w:rPr>
            <w:tab/>
          </w:r>
          <w:r>
            <w:rPr>
              <w:highlight w:val="none"/>
            </w:rPr>
            <w:fldChar w:fldCharType="begin"/>
          </w:r>
          <w:r>
            <w:rPr>
              <w:highlight w:val="none"/>
            </w:rPr>
            <w:instrText xml:space="preserve"> PAGEREF _Toc3063 \h </w:instrText>
          </w:r>
          <w:r>
            <w:rPr>
              <w:highlight w:val="none"/>
            </w:rPr>
            <w:fldChar w:fldCharType="separate"/>
          </w:r>
          <w:r>
            <w:rPr>
              <w:highlight w:val="none"/>
            </w:rPr>
            <w:t>1</w:t>
          </w:r>
          <w:r>
            <w:rPr>
              <w:highlight w:val="none"/>
            </w:rPr>
            <w:fldChar w:fldCharType="end"/>
          </w:r>
          <w:r>
            <w:rPr>
              <w:rFonts w:hint="eastAsia" w:cs="宋体"/>
              <w:szCs w:val="22"/>
              <w:highlight w:val="none"/>
            </w:rPr>
            <w:fldChar w:fldCharType="end"/>
          </w:r>
        </w:p>
        <w:p w14:paraId="4CAA5916">
          <w:pPr>
            <w:pStyle w:val="74"/>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_Toc12823 </w:instrText>
          </w:r>
          <w:r>
            <w:rPr>
              <w:rFonts w:hint="eastAsia" w:cs="宋体"/>
              <w:szCs w:val="22"/>
              <w:highlight w:val="none"/>
            </w:rPr>
            <w:fldChar w:fldCharType="separate"/>
          </w:r>
          <w:r>
            <w:rPr>
              <w:rFonts w:hint="eastAsia" w:eastAsia="宋体" w:cs="宋体"/>
              <w:szCs w:val="21"/>
              <w:highlight w:val="none"/>
            </w:rPr>
            <w:t>三、获取招标文件</w:t>
          </w:r>
          <w:r>
            <w:rPr>
              <w:highlight w:val="none"/>
            </w:rPr>
            <w:tab/>
          </w:r>
          <w:r>
            <w:rPr>
              <w:highlight w:val="none"/>
            </w:rPr>
            <w:fldChar w:fldCharType="begin"/>
          </w:r>
          <w:r>
            <w:rPr>
              <w:highlight w:val="none"/>
            </w:rPr>
            <w:instrText xml:space="preserve"> PAGEREF _Toc12823 \h </w:instrText>
          </w:r>
          <w:r>
            <w:rPr>
              <w:highlight w:val="none"/>
            </w:rPr>
            <w:fldChar w:fldCharType="separate"/>
          </w:r>
          <w:r>
            <w:rPr>
              <w:highlight w:val="none"/>
            </w:rPr>
            <w:t>2</w:t>
          </w:r>
          <w:r>
            <w:rPr>
              <w:highlight w:val="none"/>
            </w:rPr>
            <w:fldChar w:fldCharType="end"/>
          </w:r>
          <w:r>
            <w:rPr>
              <w:rFonts w:hint="eastAsia" w:cs="宋体"/>
              <w:szCs w:val="22"/>
              <w:highlight w:val="none"/>
            </w:rPr>
            <w:fldChar w:fldCharType="end"/>
          </w:r>
        </w:p>
        <w:p w14:paraId="0A467BF8">
          <w:pPr>
            <w:pStyle w:val="74"/>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_Toc7582 </w:instrText>
          </w:r>
          <w:r>
            <w:rPr>
              <w:rFonts w:hint="eastAsia" w:cs="宋体"/>
              <w:szCs w:val="22"/>
              <w:highlight w:val="none"/>
            </w:rPr>
            <w:fldChar w:fldCharType="separate"/>
          </w:r>
          <w:r>
            <w:rPr>
              <w:rFonts w:hint="eastAsia" w:eastAsia="宋体" w:cs="宋体"/>
              <w:szCs w:val="21"/>
              <w:highlight w:val="none"/>
            </w:rPr>
            <w:t>四、投标文件提交</w:t>
          </w:r>
          <w:r>
            <w:rPr>
              <w:highlight w:val="none"/>
            </w:rPr>
            <w:tab/>
          </w:r>
          <w:r>
            <w:rPr>
              <w:highlight w:val="none"/>
            </w:rPr>
            <w:fldChar w:fldCharType="begin"/>
          </w:r>
          <w:r>
            <w:rPr>
              <w:highlight w:val="none"/>
            </w:rPr>
            <w:instrText xml:space="preserve"> PAGEREF _Toc7582 \h </w:instrText>
          </w:r>
          <w:r>
            <w:rPr>
              <w:highlight w:val="none"/>
            </w:rPr>
            <w:fldChar w:fldCharType="separate"/>
          </w:r>
          <w:r>
            <w:rPr>
              <w:highlight w:val="none"/>
            </w:rPr>
            <w:t>2</w:t>
          </w:r>
          <w:r>
            <w:rPr>
              <w:highlight w:val="none"/>
            </w:rPr>
            <w:fldChar w:fldCharType="end"/>
          </w:r>
          <w:r>
            <w:rPr>
              <w:rFonts w:hint="eastAsia" w:cs="宋体"/>
              <w:szCs w:val="22"/>
              <w:highlight w:val="none"/>
            </w:rPr>
            <w:fldChar w:fldCharType="end"/>
          </w:r>
        </w:p>
        <w:p w14:paraId="5D480E3F">
          <w:pPr>
            <w:pStyle w:val="74"/>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_Toc4164 </w:instrText>
          </w:r>
          <w:r>
            <w:rPr>
              <w:rFonts w:hint="eastAsia" w:cs="宋体"/>
              <w:szCs w:val="22"/>
              <w:highlight w:val="none"/>
            </w:rPr>
            <w:fldChar w:fldCharType="separate"/>
          </w:r>
          <w:r>
            <w:rPr>
              <w:rFonts w:hint="eastAsia" w:eastAsia="宋体" w:cs="宋体"/>
              <w:szCs w:val="21"/>
              <w:highlight w:val="none"/>
            </w:rPr>
            <w:t>五、开启</w:t>
          </w:r>
          <w:r>
            <w:rPr>
              <w:highlight w:val="none"/>
            </w:rPr>
            <w:tab/>
          </w:r>
          <w:r>
            <w:rPr>
              <w:highlight w:val="none"/>
            </w:rPr>
            <w:fldChar w:fldCharType="begin"/>
          </w:r>
          <w:r>
            <w:rPr>
              <w:highlight w:val="none"/>
            </w:rPr>
            <w:instrText xml:space="preserve"> PAGEREF _Toc4164 \h </w:instrText>
          </w:r>
          <w:r>
            <w:rPr>
              <w:highlight w:val="none"/>
            </w:rPr>
            <w:fldChar w:fldCharType="separate"/>
          </w:r>
          <w:r>
            <w:rPr>
              <w:highlight w:val="none"/>
            </w:rPr>
            <w:t>2</w:t>
          </w:r>
          <w:r>
            <w:rPr>
              <w:highlight w:val="none"/>
            </w:rPr>
            <w:fldChar w:fldCharType="end"/>
          </w:r>
          <w:r>
            <w:rPr>
              <w:rFonts w:hint="eastAsia" w:cs="宋体"/>
              <w:szCs w:val="22"/>
              <w:highlight w:val="none"/>
            </w:rPr>
            <w:fldChar w:fldCharType="end"/>
          </w:r>
        </w:p>
        <w:p w14:paraId="568C239E">
          <w:pPr>
            <w:pStyle w:val="74"/>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_Toc27602 </w:instrText>
          </w:r>
          <w:r>
            <w:rPr>
              <w:rFonts w:hint="eastAsia" w:cs="宋体"/>
              <w:szCs w:val="22"/>
              <w:highlight w:val="none"/>
            </w:rPr>
            <w:fldChar w:fldCharType="separate"/>
          </w:r>
          <w:r>
            <w:rPr>
              <w:rFonts w:hint="eastAsia" w:eastAsia="宋体" w:cs="宋体"/>
              <w:szCs w:val="21"/>
              <w:highlight w:val="none"/>
            </w:rPr>
            <w:t>六、公告期限</w:t>
          </w:r>
          <w:r>
            <w:rPr>
              <w:highlight w:val="none"/>
            </w:rPr>
            <w:tab/>
          </w:r>
          <w:r>
            <w:rPr>
              <w:highlight w:val="none"/>
            </w:rPr>
            <w:fldChar w:fldCharType="begin"/>
          </w:r>
          <w:r>
            <w:rPr>
              <w:highlight w:val="none"/>
            </w:rPr>
            <w:instrText xml:space="preserve"> PAGEREF _Toc27602 \h </w:instrText>
          </w:r>
          <w:r>
            <w:rPr>
              <w:highlight w:val="none"/>
            </w:rPr>
            <w:fldChar w:fldCharType="separate"/>
          </w:r>
          <w:r>
            <w:rPr>
              <w:highlight w:val="none"/>
            </w:rPr>
            <w:t>2</w:t>
          </w:r>
          <w:r>
            <w:rPr>
              <w:highlight w:val="none"/>
            </w:rPr>
            <w:fldChar w:fldCharType="end"/>
          </w:r>
          <w:r>
            <w:rPr>
              <w:rFonts w:hint="eastAsia" w:cs="宋体"/>
              <w:szCs w:val="22"/>
              <w:highlight w:val="none"/>
            </w:rPr>
            <w:fldChar w:fldCharType="end"/>
          </w:r>
        </w:p>
        <w:p w14:paraId="5C569D4C">
          <w:pPr>
            <w:pStyle w:val="74"/>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_Toc1308 </w:instrText>
          </w:r>
          <w:r>
            <w:rPr>
              <w:rFonts w:hint="eastAsia" w:cs="宋体"/>
              <w:szCs w:val="22"/>
              <w:highlight w:val="none"/>
            </w:rPr>
            <w:fldChar w:fldCharType="separate"/>
          </w:r>
          <w:r>
            <w:rPr>
              <w:rFonts w:hint="eastAsia" w:eastAsia="宋体" w:cs="宋体"/>
              <w:szCs w:val="21"/>
              <w:highlight w:val="none"/>
            </w:rPr>
            <w:t>七、其他补充事宜</w:t>
          </w:r>
          <w:r>
            <w:rPr>
              <w:highlight w:val="none"/>
            </w:rPr>
            <w:tab/>
          </w:r>
          <w:r>
            <w:rPr>
              <w:highlight w:val="none"/>
            </w:rPr>
            <w:fldChar w:fldCharType="begin"/>
          </w:r>
          <w:r>
            <w:rPr>
              <w:highlight w:val="none"/>
            </w:rPr>
            <w:instrText xml:space="preserve"> PAGEREF _Toc1308 \h </w:instrText>
          </w:r>
          <w:r>
            <w:rPr>
              <w:highlight w:val="none"/>
            </w:rPr>
            <w:fldChar w:fldCharType="separate"/>
          </w:r>
          <w:r>
            <w:rPr>
              <w:highlight w:val="none"/>
            </w:rPr>
            <w:t>3</w:t>
          </w:r>
          <w:r>
            <w:rPr>
              <w:highlight w:val="none"/>
            </w:rPr>
            <w:fldChar w:fldCharType="end"/>
          </w:r>
          <w:r>
            <w:rPr>
              <w:rFonts w:hint="eastAsia" w:cs="宋体"/>
              <w:szCs w:val="22"/>
              <w:highlight w:val="none"/>
            </w:rPr>
            <w:fldChar w:fldCharType="end"/>
          </w:r>
        </w:p>
        <w:p w14:paraId="45675529">
          <w:pPr>
            <w:pStyle w:val="74"/>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_Toc8722 </w:instrText>
          </w:r>
          <w:r>
            <w:rPr>
              <w:rFonts w:hint="eastAsia" w:cs="宋体"/>
              <w:szCs w:val="22"/>
              <w:highlight w:val="none"/>
            </w:rPr>
            <w:fldChar w:fldCharType="separate"/>
          </w:r>
          <w:r>
            <w:rPr>
              <w:rFonts w:hint="eastAsia" w:eastAsia="宋体" w:cs="宋体"/>
              <w:szCs w:val="21"/>
              <w:highlight w:val="none"/>
            </w:rPr>
            <w:t>八、对本次招标提出询问，请按以下方式联系。</w:t>
          </w:r>
          <w:r>
            <w:rPr>
              <w:highlight w:val="none"/>
            </w:rPr>
            <w:tab/>
          </w:r>
          <w:r>
            <w:rPr>
              <w:highlight w:val="none"/>
            </w:rPr>
            <w:fldChar w:fldCharType="begin"/>
          </w:r>
          <w:r>
            <w:rPr>
              <w:highlight w:val="none"/>
            </w:rPr>
            <w:instrText xml:space="preserve"> PAGEREF _Toc8722 \h </w:instrText>
          </w:r>
          <w:r>
            <w:rPr>
              <w:highlight w:val="none"/>
            </w:rPr>
            <w:fldChar w:fldCharType="separate"/>
          </w:r>
          <w:r>
            <w:rPr>
              <w:highlight w:val="none"/>
            </w:rPr>
            <w:t>3</w:t>
          </w:r>
          <w:r>
            <w:rPr>
              <w:highlight w:val="none"/>
            </w:rPr>
            <w:fldChar w:fldCharType="end"/>
          </w:r>
          <w:r>
            <w:rPr>
              <w:rFonts w:hint="eastAsia" w:cs="宋体"/>
              <w:szCs w:val="22"/>
              <w:highlight w:val="none"/>
            </w:rPr>
            <w:fldChar w:fldCharType="end"/>
          </w:r>
        </w:p>
        <w:p w14:paraId="34B8FFD6">
          <w:pPr>
            <w:pStyle w:val="59"/>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_Toc2718 </w:instrText>
          </w:r>
          <w:r>
            <w:rPr>
              <w:rFonts w:hint="eastAsia" w:cs="宋体"/>
              <w:szCs w:val="22"/>
              <w:highlight w:val="none"/>
            </w:rPr>
            <w:fldChar w:fldCharType="separate"/>
          </w:r>
          <w:r>
            <w:rPr>
              <w:rFonts w:hint="eastAsia" w:eastAsia="宋体" w:cs="宋体"/>
              <w:bCs/>
              <w:highlight w:val="none"/>
            </w:rPr>
            <w:t>第二章  投标人须知</w:t>
          </w:r>
          <w:r>
            <w:rPr>
              <w:highlight w:val="none"/>
            </w:rPr>
            <w:tab/>
          </w:r>
          <w:r>
            <w:rPr>
              <w:highlight w:val="none"/>
            </w:rPr>
            <w:fldChar w:fldCharType="begin"/>
          </w:r>
          <w:r>
            <w:rPr>
              <w:highlight w:val="none"/>
            </w:rPr>
            <w:instrText xml:space="preserve"> PAGEREF _Toc2718 \h </w:instrText>
          </w:r>
          <w:r>
            <w:rPr>
              <w:highlight w:val="none"/>
            </w:rPr>
            <w:fldChar w:fldCharType="separate"/>
          </w:r>
          <w:r>
            <w:rPr>
              <w:highlight w:val="none"/>
            </w:rPr>
            <w:t>5</w:t>
          </w:r>
          <w:r>
            <w:rPr>
              <w:highlight w:val="none"/>
            </w:rPr>
            <w:fldChar w:fldCharType="end"/>
          </w:r>
          <w:r>
            <w:rPr>
              <w:rFonts w:hint="eastAsia" w:cs="宋体"/>
              <w:szCs w:val="22"/>
              <w:highlight w:val="none"/>
            </w:rPr>
            <w:fldChar w:fldCharType="end"/>
          </w:r>
        </w:p>
        <w:p w14:paraId="037233E8">
          <w:pPr>
            <w:pStyle w:val="74"/>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_Toc25824 </w:instrText>
          </w:r>
          <w:r>
            <w:rPr>
              <w:rFonts w:hint="eastAsia" w:cs="宋体"/>
              <w:szCs w:val="22"/>
              <w:highlight w:val="none"/>
            </w:rPr>
            <w:fldChar w:fldCharType="separate"/>
          </w:r>
          <w:r>
            <w:rPr>
              <w:rFonts w:hint="eastAsia" w:eastAsia="宋体" w:cs="宋体"/>
              <w:szCs w:val="28"/>
              <w:highlight w:val="none"/>
            </w:rPr>
            <w:t>投标人须知前附表</w:t>
          </w:r>
          <w:r>
            <w:rPr>
              <w:highlight w:val="none"/>
            </w:rPr>
            <w:tab/>
          </w:r>
          <w:r>
            <w:rPr>
              <w:highlight w:val="none"/>
            </w:rPr>
            <w:fldChar w:fldCharType="begin"/>
          </w:r>
          <w:r>
            <w:rPr>
              <w:highlight w:val="none"/>
            </w:rPr>
            <w:instrText xml:space="preserve"> PAGEREF _Toc25824 \h </w:instrText>
          </w:r>
          <w:r>
            <w:rPr>
              <w:highlight w:val="none"/>
            </w:rPr>
            <w:fldChar w:fldCharType="separate"/>
          </w:r>
          <w:r>
            <w:rPr>
              <w:highlight w:val="none"/>
            </w:rPr>
            <w:t>5</w:t>
          </w:r>
          <w:r>
            <w:rPr>
              <w:highlight w:val="none"/>
            </w:rPr>
            <w:fldChar w:fldCharType="end"/>
          </w:r>
          <w:r>
            <w:rPr>
              <w:rFonts w:hint="eastAsia" w:cs="宋体"/>
              <w:szCs w:val="22"/>
              <w:highlight w:val="none"/>
            </w:rPr>
            <w:fldChar w:fldCharType="end"/>
          </w:r>
        </w:p>
        <w:p w14:paraId="243DCD43">
          <w:pPr>
            <w:pStyle w:val="74"/>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_Toc25566 </w:instrText>
          </w:r>
          <w:r>
            <w:rPr>
              <w:rFonts w:hint="eastAsia" w:cs="宋体"/>
              <w:szCs w:val="22"/>
              <w:highlight w:val="none"/>
            </w:rPr>
            <w:fldChar w:fldCharType="separate"/>
          </w:r>
          <w:r>
            <w:rPr>
              <w:rFonts w:hint="eastAsia" w:eastAsia="宋体" w:cs="宋体"/>
              <w:szCs w:val="28"/>
              <w:highlight w:val="none"/>
            </w:rPr>
            <w:t>一、总  则</w:t>
          </w:r>
          <w:r>
            <w:rPr>
              <w:highlight w:val="none"/>
            </w:rPr>
            <w:tab/>
          </w:r>
          <w:r>
            <w:rPr>
              <w:highlight w:val="none"/>
            </w:rPr>
            <w:fldChar w:fldCharType="begin"/>
          </w:r>
          <w:r>
            <w:rPr>
              <w:highlight w:val="none"/>
            </w:rPr>
            <w:instrText xml:space="preserve"> PAGEREF _Toc25566 \h </w:instrText>
          </w:r>
          <w:r>
            <w:rPr>
              <w:highlight w:val="none"/>
            </w:rPr>
            <w:fldChar w:fldCharType="separate"/>
          </w:r>
          <w:r>
            <w:rPr>
              <w:highlight w:val="none"/>
            </w:rPr>
            <w:t>10</w:t>
          </w:r>
          <w:r>
            <w:rPr>
              <w:highlight w:val="none"/>
            </w:rPr>
            <w:fldChar w:fldCharType="end"/>
          </w:r>
          <w:r>
            <w:rPr>
              <w:rFonts w:hint="eastAsia" w:cs="宋体"/>
              <w:szCs w:val="22"/>
              <w:highlight w:val="none"/>
            </w:rPr>
            <w:fldChar w:fldCharType="end"/>
          </w:r>
        </w:p>
        <w:p w14:paraId="37BE58FF">
          <w:pPr>
            <w:pStyle w:val="74"/>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_Toc8517 </w:instrText>
          </w:r>
          <w:r>
            <w:rPr>
              <w:rFonts w:hint="eastAsia" w:cs="宋体"/>
              <w:szCs w:val="22"/>
              <w:highlight w:val="none"/>
            </w:rPr>
            <w:fldChar w:fldCharType="separate"/>
          </w:r>
          <w:r>
            <w:rPr>
              <w:rFonts w:hint="eastAsia" w:eastAsia="宋体" w:cs="宋体"/>
              <w:szCs w:val="28"/>
              <w:highlight w:val="none"/>
            </w:rPr>
            <w:t>二、招标文件</w:t>
          </w:r>
          <w:r>
            <w:rPr>
              <w:highlight w:val="none"/>
            </w:rPr>
            <w:tab/>
          </w:r>
          <w:r>
            <w:rPr>
              <w:highlight w:val="none"/>
            </w:rPr>
            <w:fldChar w:fldCharType="begin"/>
          </w:r>
          <w:r>
            <w:rPr>
              <w:highlight w:val="none"/>
            </w:rPr>
            <w:instrText xml:space="preserve"> PAGEREF _Toc8517 \h </w:instrText>
          </w:r>
          <w:r>
            <w:rPr>
              <w:highlight w:val="none"/>
            </w:rPr>
            <w:fldChar w:fldCharType="separate"/>
          </w:r>
          <w:r>
            <w:rPr>
              <w:highlight w:val="none"/>
            </w:rPr>
            <w:t>13</w:t>
          </w:r>
          <w:r>
            <w:rPr>
              <w:highlight w:val="none"/>
            </w:rPr>
            <w:fldChar w:fldCharType="end"/>
          </w:r>
          <w:r>
            <w:rPr>
              <w:rFonts w:hint="eastAsia" w:cs="宋体"/>
              <w:szCs w:val="22"/>
              <w:highlight w:val="none"/>
            </w:rPr>
            <w:fldChar w:fldCharType="end"/>
          </w:r>
        </w:p>
        <w:p w14:paraId="3778E089">
          <w:pPr>
            <w:pStyle w:val="74"/>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_Toc20190 </w:instrText>
          </w:r>
          <w:r>
            <w:rPr>
              <w:rFonts w:hint="eastAsia" w:cs="宋体"/>
              <w:szCs w:val="22"/>
              <w:highlight w:val="none"/>
            </w:rPr>
            <w:fldChar w:fldCharType="separate"/>
          </w:r>
          <w:r>
            <w:rPr>
              <w:rFonts w:hint="eastAsia" w:eastAsia="宋体" w:cs="宋体"/>
              <w:szCs w:val="28"/>
              <w:highlight w:val="none"/>
            </w:rPr>
            <w:t>三、投标文件</w:t>
          </w:r>
          <w:r>
            <w:rPr>
              <w:highlight w:val="none"/>
            </w:rPr>
            <w:tab/>
          </w:r>
          <w:r>
            <w:rPr>
              <w:highlight w:val="none"/>
            </w:rPr>
            <w:fldChar w:fldCharType="begin"/>
          </w:r>
          <w:r>
            <w:rPr>
              <w:highlight w:val="none"/>
            </w:rPr>
            <w:instrText xml:space="preserve"> PAGEREF _Toc20190 \h </w:instrText>
          </w:r>
          <w:r>
            <w:rPr>
              <w:highlight w:val="none"/>
            </w:rPr>
            <w:fldChar w:fldCharType="separate"/>
          </w:r>
          <w:r>
            <w:rPr>
              <w:highlight w:val="none"/>
            </w:rPr>
            <w:t>14</w:t>
          </w:r>
          <w:r>
            <w:rPr>
              <w:highlight w:val="none"/>
            </w:rPr>
            <w:fldChar w:fldCharType="end"/>
          </w:r>
          <w:r>
            <w:rPr>
              <w:rFonts w:hint="eastAsia" w:cs="宋体"/>
              <w:szCs w:val="22"/>
              <w:highlight w:val="none"/>
            </w:rPr>
            <w:fldChar w:fldCharType="end"/>
          </w:r>
        </w:p>
        <w:p w14:paraId="00DAB87B">
          <w:pPr>
            <w:pStyle w:val="74"/>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_Toc5591 </w:instrText>
          </w:r>
          <w:r>
            <w:rPr>
              <w:rFonts w:hint="eastAsia" w:cs="宋体"/>
              <w:szCs w:val="22"/>
              <w:highlight w:val="none"/>
            </w:rPr>
            <w:fldChar w:fldCharType="separate"/>
          </w:r>
          <w:r>
            <w:rPr>
              <w:rFonts w:hint="eastAsia" w:eastAsia="宋体" w:cs="宋体"/>
              <w:szCs w:val="28"/>
              <w:highlight w:val="none"/>
            </w:rPr>
            <w:t>四、投标文件的提交</w:t>
          </w:r>
          <w:r>
            <w:rPr>
              <w:highlight w:val="none"/>
            </w:rPr>
            <w:tab/>
          </w:r>
          <w:r>
            <w:rPr>
              <w:highlight w:val="none"/>
            </w:rPr>
            <w:fldChar w:fldCharType="begin"/>
          </w:r>
          <w:r>
            <w:rPr>
              <w:highlight w:val="none"/>
            </w:rPr>
            <w:instrText xml:space="preserve"> PAGEREF _Toc5591 \h </w:instrText>
          </w:r>
          <w:r>
            <w:rPr>
              <w:highlight w:val="none"/>
            </w:rPr>
            <w:fldChar w:fldCharType="separate"/>
          </w:r>
          <w:r>
            <w:rPr>
              <w:highlight w:val="none"/>
            </w:rPr>
            <w:t>16</w:t>
          </w:r>
          <w:r>
            <w:rPr>
              <w:highlight w:val="none"/>
            </w:rPr>
            <w:fldChar w:fldCharType="end"/>
          </w:r>
          <w:r>
            <w:rPr>
              <w:rFonts w:hint="eastAsia" w:cs="宋体"/>
              <w:szCs w:val="22"/>
              <w:highlight w:val="none"/>
            </w:rPr>
            <w:fldChar w:fldCharType="end"/>
          </w:r>
        </w:p>
        <w:p w14:paraId="758EEAE2">
          <w:pPr>
            <w:pStyle w:val="74"/>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_Toc3598 </w:instrText>
          </w:r>
          <w:r>
            <w:rPr>
              <w:rFonts w:hint="eastAsia" w:cs="宋体"/>
              <w:szCs w:val="22"/>
              <w:highlight w:val="none"/>
            </w:rPr>
            <w:fldChar w:fldCharType="separate"/>
          </w:r>
          <w:r>
            <w:rPr>
              <w:rFonts w:hint="eastAsia" w:eastAsia="宋体" w:cs="宋体"/>
              <w:szCs w:val="28"/>
              <w:highlight w:val="none"/>
            </w:rPr>
            <w:t>五、开标与评标</w:t>
          </w:r>
          <w:r>
            <w:rPr>
              <w:highlight w:val="none"/>
            </w:rPr>
            <w:tab/>
          </w:r>
          <w:r>
            <w:rPr>
              <w:highlight w:val="none"/>
            </w:rPr>
            <w:fldChar w:fldCharType="begin"/>
          </w:r>
          <w:r>
            <w:rPr>
              <w:highlight w:val="none"/>
            </w:rPr>
            <w:instrText xml:space="preserve"> PAGEREF _Toc3598 \h </w:instrText>
          </w:r>
          <w:r>
            <w:rPr>
              <w:highlight w:val="none"/>
            </w:rPr>
            <w:fldChar w:fldCharType="separate"/>
          </w:r>
          <w:r>
            <w:rPr>
              <w:highlight w:val="none"/>
            </w:rPr>
            <w:t>17</w:t>
          </w:r>
          <w:r>
            <w:rPr>
              <w:highlight w:val="none"/>
            </w:rPr>
            <w:fldChar w:fldCharType="end"/>
          </w:r>
          <w:r>
            <w:rPr>
              <w:rFonts w:hint="eastAsia" w:cs="宋体"/>
              <w:szCs w:val="22"/>
              <w:highlight w:val="none"/>
            </w:rPr>
            <w:fldChar w:fldCharType="end"/>
          </w:r>
        </w:p>
        <w:p w14:paraId="5CFAAFE2">
          <w:pPr>
            <w:pStyle w:val="74"/>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_Toc18608 </w:instrText>
          </w:r>
          <w:r>
            <w:rPr>
              <w:rFonts w:hint="eastAsia" w:cs="宋体"/>
              <w:szCs w:val="22"/>
              <w:highlight w:val="none"/>
            </w:rPr>
            <w:fldChar w:fldCharType="separate"/>
          </w:r>
          <w:r>
            <w:rPr>
              <w:rFonts w:hint="eastAsia" w:eastAsia="宋体" w:cs="宋体"/>
              <w:szCs w:val="28"/>
              <w:highlight w:val="none"/>
            </w:rPr>
            <w:t>六、中标结果</w:t>
          </w:r>
          <w:r>
            <w:rPr>
              <w:highlight w:val="none"/>
            </w:rPr>
            <w:tab/>
          </w:r>
          <w:r>
            <w:rPr>
              <w:highlight w:val="none"/>
            </w:rPr>
            <w:fldChar w:fldCharType="begin"/>
          </w:r>
          <w:r>
            <w:rPr>
              <w:highlight w:val="none"/>
            </w:rPr>
            <w:instrText xml:space="preserve"> PAGEREF _Toc18608 \h </w:instrText>
          </w:r>
          <w:r>
            <w:rPr>
              <w:highlight w:val="none"/>
            </w:rPr>
            <w:fldChar w:fldCharType="separate"/>
          </w:r>
          <w:r>
            <w:rPr>
              <w:highlight w:val="none"/>
            </w:rPr>
            <w:t>19</w:t>
          </w:r>
          <w:r>
            <w:rPr>
              <w:highlight w:val="none"/>
            </w:rPr>
            <w:fldChar w:fldCharType="end"/>
          </w:r>
          <w:r>
            <w:rPr>
              <w:rFonts w:hint="eastAsia" w:cs="宋体"/>
              <w:szCs w:val="22"/>
              <w:highlight w:val="none"/>
            </w:rPr>
            <w:fldChar w:fldCharType="end"/>
          </w:r>
        </w:p>
        <w:p w14:paraId="6DB380AE">
          <w:pPr>
            <w:pStyle w:val="74"/>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_Toc20198 </w:instrText>
          </w:r>
          <w:r>
            <w:rPr>
              <w:rFonts w:hint="eastAsia" w:cs="宋体"/>
              <w:szCs w:val="22"/>
              <w:highlight w:val="none"/>
            </w:rPr>
            <w:fldChar w:fldCharType="separate"/>
          </w:r>
          <w:r>
            <w:rPr>
              <w:rFonts w:hint="eastAsia" w:eastAsia="宋体" w:cs="宋体"/>
              <w:szCs w:val="28"/>
              <w:highlight w:val="none"/>
            </w:rPr>
            <w:t>七、其他事项</w:t>
          </w:r>
          <w:r>
            <w:rPr>
              <w:highlight w:val="none"/>
            </w:rPr>
            <w:tab/>
          </w:r>
          <w:r>
            <w:rPr>
              <w:highlight w:val="none"/>
            </w:rPr>
            <w:fldChar w:fldCharType="begin"/>
          </w:r>
          <w:r>
            <w:rPr>
              <w:highlight w:val="none"/>
            </w:rPr>
            <w:instrText xml:space="preserve"> PAGEREF _Toc20198 \h </w:instrText>
          </w:r>
          <w:r>
            <w:rPr>
              <w:highlight w:val="none"/>
            </w:rPr>
            <w:fldChar w:fldCharType="separate"/>
          </w:r>
          <w:r>
            <w:rPr>
              <w:highlight w:val="none"/>
            </w:rPr>
            <w:t>20</w:t>
          </w:r>
          <w:r>
            <w:rPr>
              <w:highlight w:val="none"/>
            </w:rPr>
            <w:fldChar w:fldCharType="end"/>
          </w:r>
          <w:r>
            <w:rPr>
              <w:rFonts w:hint="eastAsia" w:cs="宋体"/>
              <w:szCs w:val="22"/>
              <w:highlight w:val="none"/>
            </w:rPr>
            <w:fldChar w:fldCharType="end"/>
          </w:r>
        </w:p>
        <w:p w14:paraId="5C7B0C71">
          <w:pPr>
            <w:pStyle w:val="59"/>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_Toc31268 </w:instrText>
          </w:r>
          <w:r>
            <w:rPr>
              <w:rFonts w:hint="eastAsia" w:cs="宋体"/>
              <w:szCs w:val="22"/>
              <w:highlight w:val="none"/>
            </w:rPr>
            <w:fldChar w:fldCharType="separate"/>
          </w:r>
          <w:r>
            <w:rPr>
              <w:rFonts w:hint="eastAsia" w:eastAsia="宋体" w:cs="宋体"/>
              <w:bCs/>
              <w:highlight w:val="none"/>
            </w:rPr>
            <w:t>第三章  合同书样式及主要条款</w:t>
          </w:r>
          <w:r>
            <w:rPr>
              <w:highlight w:val="none"/>
            </w:rPr>
            <w:tab/>
          </w:r>
          <w:r>
            <w:rPr>
              <w:highlight w:val="none"/>
            </w:rPr>
            <w:fldChar w:fldCharType="begin"/>
          </w:r>
          <w:r>
            <w:rPr>
              <w:highlight w:val="none"/>
            </w:rPr>
            <w:instrText xml:space="preserve"> PAGEREF _Toc31268 \h </w:instrText>
          </w:r>
          <w:r>
            <w:rPr>
              <w:highlight w:val="none"/>
            </w:rPr>
            <w:fldChar w:fldCharType="separate"/>
          </w:r>
          <w:r>
            <w:rPr>
              <w:highlight w:val="none"/>
            </w:rPr>
            <w:t>22</w:t>
          </w:r>
          <w:r>
            <w:rPr>
              <w:highlight w:val="none"/>
            </w:rPr>
            <w:fldChar w:fldCharType="end"/>
          </w:r>
          <w:r>
            <w:rPr>
              <w:rFonts w:hint="eastAsia" w:cs="宋体"/>
              <w:szCs w:val="22"/>
              <w:highlight w:val="none"/>
            </w:rPr>
            <w:fldChar w:fldCharType="end"/>
          </w:r>
        </w:p>
        <w:p w14:paraId="04122933">
          <w:pPr>
            <w:pStyle w:val="59"/>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_Toc701 </w:instrText>
          </w:r>
          <w:r>
            <w:rPr>
              <w:rFonts w:hint="eastAsia" w:cs="宋体"/>
              <w:szCs w:val="22"/>
              <w:highlight w:val="none"/>
            </w:rPr>
            <w:fldChar w:fldCharType="separate"/>
          </w:r>
          <w:r>
            <w:rPr>
              <w:rFonts w:hint="eastAsia" w:cs="宋体"/>
              <w:bCs/>
              <w:highlight w:val="none"/>
            </w:rPr>
            <w:t>第四章  投标文件格式</w:t>
          </w:r>
          <w:r>
            <w:rPr>
              <w:highlight w:val="none"/>
            </w:rPr>
            <w:tab/>
          </w:r>
          <w:r>
            <w:rPr>
              <w:highlight w:val="none"/>
            </w:rPr>
            <w:fldChar w:fldCharType="begin"/>
          </w:r>
          <w:r>
            <w:rPr>
              <w:highlight w:val="none"/>
            </w:rPr>
            <w:instrText xml:space="preserve"> PAGEREF _Toc701 \h </w:instrText>
          </w:r>
          <w:r>
            <w:rPr>
              <w:highlight w:val="none"/>
            </w:rPr>
            <w:fldChar w:fldCharType="separate"/>
          </w:r>
          <w:r>
            <w:rPr>
              <w:highlight w:val="none"/>
            </w:rPr>
            <w:t>30</w:t>
          </w:r>
          <w:r>
            <w:rPr>
              <w:highlight w:val="none"/>
            </w:rPr>
            <w:fldChar w:fldCharType="end"/>
          </w:r>
          <w:r>
            <w:rPr>
              <w:rFonts w:hint="eastAsia" w:cs="宋体"/>
              <w:szCs w:val="22"/>
              <w:highlight w:val="none"/>
            </w:rPr>
            <w:fldChar w:fldCharType="end"/>
          </w:r>
        </w:p>
        <w:p w14:paraId="1684FA38">
          <w:pPr>
            <w:pStyle w:val="74"/>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_Toc22034 </w:instrText>
          </w:r>
          <w:r>
            <w:rPr>
              <w:rFonts w:hint="eastAsia" w:cs="宋体"/>
              <w:szCs w:val="22"/>
              <w:highlight w:val="none"/>
            </w:rPr>
            <w:fldChar w:fldCharType="separate"/>
          </w:r>
          <w:r>
            <w:rPr>
              <w:rFonts w:hint="eastAsia" w:cs="宋体"/>
              <w:bCs/>
              <w:szCs w:val="21"/>
              <w:highlight w:val="none"/>
            </w:rPr>
            <w:t>★一、开标一览表</w:t>
          </w:r>
          <w:r>
            <w:rPr>
              <w:highlight w:val="none"/>
            </w:rPr>
            <w:tab/>
          </w:r>
          <w:r>
            <w:rPr>
              <w:highlight w:val="none"/>
            </w:rPr>
            <w:fldChar w:fldCharType="begin"/>
          </w:r>
          <w:r>
            <w:rPr>
              <w:highlight w:val="none"/>
            </w:rPr>
            <w:instrText xml:space="preserve"> PAGEREF _Toc22034 \h </w:instrText>
          </w:r>
          <w:r>
            <w:rPr>
              <w:highlight w:val="none"/>
            </w:rPr>
            <w:fldChar w:fldCharType="separate"/>
          </w:r>
          <w:r>
            <w:rPr>
              <w:highlight w:val="none"/>
            </w:rPr>
            <w:t>30</w:t>
          </w:r>
          <w:r>
            <w:rPr>
              <w:highlight w:val="none"/>
            </w:rPr>
            <w:fldChar w:fldCharType="end"/>
          </w:r>
          <w:r>
            <w:rPr>
              <w:rFonts w:hint="eastAsia" w:cs="宋体"/>
              <w:szCs w:val="22"/>
              <w:highlight w:val="none"/>
            </w:rPr>
            <w:fldChar w:fldCharType="end"/>
          </w:r>
        </w:p>
        <w:p w14:paraId="69C8233D">
          <w:pPr>
            <w:pStyle w:val="74"/>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_Toc20004 </w:instrText>
          </w:r>
          <w:r>
            <w:rPr>
              <w:rFonts w:hint="eastAsia" w:cs="宋体"/>
              <w:szCs w:val="22"/>
              <w:highlight w:val="none"/>
            </w:rPr>
            <w:fldChar w:fldCharType="separate"/>
          </w:r>
          <w:r>
            <w:rPr>
              <w:rFonts w:hint="eastAsia" w:cs="宋体"/>
              <w:bCs/>
              <w:szCs w:val="21"/>
              <w:highlight w:val="none"/>
            </w:rPr>
            <w:t>二、资格证明文件</w:t>
          </w:r>
          <w:r>
            <w:rPr>
              <w:highlight w:val="none"/>
            </w:rPr>
            <w:tab/>
          </w:r>
          <w:r>
            <w:rPr>
              <w:highlight w:val="none"/>
            </w:rPr>
            <w:fldChar w:fldCharType="begin"/>
          </w:r>
          <w:r>
            <w:rPr>
              <w:highlight w:val="none"/>
            </w:rPr>
            <w:instrText xml:space="preserve"> PAGEREF _Toc20004 \h </w:instrText>
          </w:r>
          <w:r>
            <w:rPr>
              <w:highlight w:val="none"/>
            </w:rPr>
            <w:fldChar w:fldCharType="separate"/>
          </w:r>
          <w:r>
            <w:rPr>
              <w:highlight w:val="none"/>
            </w:rPr>
            <w:t>31</w:t>
          </w:r>
          <w:r>
            <w:rPr>
              <w:highlight w:val="none"/>
            </w:rPr>
            <w:fldChar w:fldCharType="end"/>
          </w:r>
          <w:r>
            <w:rPr>
              <w:rFonts w:hint="eastAsia" w:cs="宋体"/>
              <w:szCs w:val="22"/>
              <w:highlight w:val="none"/>
            </w:rPr>
            <w:fldChar w:fldCharType="end"/>
          </w:r>
        </w:p>
        <w:p w14:paraId="067DFFDE">
          <w:pPr>
            <w:pStyle w:val="74"/>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_Toc2352 </w:instrText>
          </w:r>
          <w:r>
            <w:rPr>
              <w:rFonts w:hint="eastAsia" w:cs="宋体"/>
              <w:szCs w:val="22"/>
              <w:highlight w:val="none"/>
            </w:rPr>
            <w:fldChar w:fldCharType="separate"/>
          </w:r>
          <w:r>
            <w:rPr>
              <w:rFonts w:hint="eastAsia" w:cs="宋体"/>
              <w:bCs/>
              <w:szCs w:val="21"/>
              <w:highlight w:val="none"/>
            </w:rPr>
            <w:t>三、商务部分</w:t>
          </w:r>
          <w:r>
            <w:rPr>
              <w:highlight w:val="none"/>
            </w:rPr>
            <w:tab/>
          </w:r>
          <w:r>
            <w:rPr>
              <w:highlight w:val="none"/>
            </w:rPr>
            <w:fldChar w:fldCharType="begin"/>
          </w:r>
          <w:r>
            <w:rPr>
              <w:highlight w:val="none"/>
            </w:rPr>
            <w:instrText xml:space="preserve"> PAGEREF _Toc2352 \h </w:instrText>
          </w:r>
          <w:r>
            <w:rPr>
              <w:highlight w:val="none"/>
            </w:rPr>
            <w:fldChar w:fldCharType="separate"/>
          </w:r>
          <w:r>
            <w:rPr>
              <w:highlight w:val="none"/>
            </w:rPr>
            <w:t>42</w:t>
          </w:r>
          <w:r>
            <w:rPr>
              <w:highlight w:val="none"/>
            </w:rPr>
            <w:fldChar w:fldCharType="end"/>
          </w:r>
          <w:r>
            <w:rPr>
              <w:rFonts w:hint="eastAsia" w:cs="宋体"/>
              <w:szCs w:val="22"/>
              <w:highlight w:val="none"/>
            </w:rPr>
            <w:fldChar w:fldCharType="end"/>
          </w:r>
        </w:p>
        <w:p w14:paraId="2F9700EE">
          <w:pPr>
            <w:pStyle w:val="74"/>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_Toc31404 </w:instrText>
          </w:r>
          <w:r>
            <w:rPr>
              <w:rFonts w:hint="eastAsia" w:cs="宋体"/>
              <w:szCs w:val="22"/>
              <w:highlight w:val="none"/>
            </w:rPr>
            <w:fldChar w:fldCharType="separate"/>
          </w:r>
          <w:r>
            <w:rPr>
              <w:rFonts w:hint="eastAsia" w:cs="宋体"/>
              <w:bCs/>
              <w:szCs w:val="21"/>
              <w:highlight w:val="none"/>
            </w:rPr>
            <w:t>四、技术部分</w:t>
          </w:r>
          <w:r>
            <w:rPr>
              <w:highlight w:val="none"/>
            </w:rPr>
            <w:tab/>
          </w:r>
          <w:r>
            <w:rPr>
              <w:highlight w:val="none"/>
            </w:rPr>
            <w:fldChar w:fldCharType="begin"/>
          </w:r>
          <w:r>
            <w:rPr>
              <w:highlight w:val="none"/>
            </w:rPr>
            <w:instrText xml:space="preserve"> PAGEREF _Toc31404 \h </w:instrText>
          </w:r>
          <w:r>
            <w:rPr>
              <w:highlight w:val="none"/>
            </w:rPr>
            <w:fldChar w:fldCharType="separate"/>
          </w:r>
          <w:r>
            <w:rPr>
              <w:highlight w:val="none"/>
            </w:rPr>
            <w:t>59</w:t>
          </w:r>
          <w:r>
            <w:rPr>
              <w:highlight w:val="none"/>
            </w:rPr>
            <w:fldChar w:fldCharType="end"/>
          </w:r>
          <w:r>
            <w:rPr>
              <w:rFonts w:hint="eastAsia" w:cs="宋体"/>
              <w:szCs w:val="22"/>
              <w:highlight w:val="none"/>
            </w:rPr>
            <w:fldChar w:fldCharType="end"/>
          </w:r>
        </w:p>
        <w:p w14:paraId="4B5D62C7">
          <w:pPr>
            <w:pStyle w:val="59"/>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_Toc31071 </w:instrText>
          </w:r>
          <w:r>
            <w:rPr>
              <w:rFonts w:hint="eastAsia" w:cs="宋体"/>
              <w:szCs w:val="22"/>
              <w:highlight w:val="none"/>
            </w:rPr>
            <w:fldChar w:fldCharType="separate"/>
          </w:r>
          <w:r>
            <w:rPr>
              <w:rFonts w:hint="eastAsia" w:cs="宋体"/>
              <w:highlight w:val="none"/>
            </w:rPr>
            <w:t>第五章  采购需求</w:t>
          </w:r>
          <w:r>
            <w:rPr>
              <w:highlight w:val="none"/>
            </w:rPr>
            <w:tab/>
          </w:r>
          <w:r>
            <w:rPr>
              <w:highlight w:val="none"/>
            </w:rPr>
            <w:fldChar w:fldCharType="begin"/>
          </w:r>
          <w:r>
            <w:rPr>
              <w:highlight w:val="none"/>
            </w:rPr>
            <w:instrText xml:space="preserve"> PAGEREF _Toc31071 \h </w:instrText>
          </w:r>
          <w:r>
            <w:rPr>
              <w:highlight w:val="none"/>
            </w:rPr>
            <w:fldChar w:fldCharType="separate"/>
          </w:r>
          <w:r>
            <w:rPr>
              <w:highlight w:val="none"/>
            </w:rPr>
            <w:t>64</w:t>
          </w:r>
          <w:r>
            <w:rPr>
              <w:highlight w:val="none"/>
            </w:rPr>
            <w:fldChar w:fldCharType="end"/>
          </w:r>
          <w:r>
            <w:rPr>
              <w:rFonts w:hint="eastAsia" w:cs="宋体"/>
              <w:szCs w:val="22"/>
              <w:highlight w:val="none"/>
            </w:rPr>
            <w:fldChar w:fldCharType="end"/>
          </w:r>
        </w:p>
        <w:p w14:paraId="74719202">
          <w:pPr>
            <w:pStyle w:val="59"/>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_Toc19256 </w:instrText>
          </w:r>
          <w:r>
            <w:rPr>
              <w:rFonts w:hint="eastAsia" w:cs="宋体"/>
              <w:szCs w:val="22"/>
              <w:highlight w:val="none"/>
            </w:rPr>
            <w:fldChar w:fldCharType="separate"/>
          </w:r>
          <w:r>
            <w:rPr>
              <w:rFonts w:hint="eastAsia" w:eastAsia="宋体" w:cs="宋体"/>
              <w:bCs/>
              <w:szCs w:val="36"/>
              <w:highlight w:val="none"/>
            </w:rPr>
            <w:t>第六章  资格评审标准</w:t>
          </w:r>
          <w:r>
            <w:rPr>
              <w:highlight w:val="none"/>
            </w:rPr>
            <w:tab/>
          </w:r>
          <w:r>
            <w:rPr>
              <w:highlight w:val="none"/>
            </w:rPr>
            <w:fldChar w:fldCharType="begin"/>
          </w:r>
          <w:r>
            <w:rPr>
              <w:highlight w:val="none"/>
            </w:rPr>
            <w:instrText xml:space="preserve"> PAGEREF _Toc19256 \h </w:instrText>
          </w:r>
          <w:r>
            <w:rPr>
              <w:highlight w:val="none"/>
            </w:rPr>
            <w:fldChar w:fldCharType="separate"/>
          </w:r>
          <w:r>
            <w:rPr>
              <w:highlight w:val="none"/>
            </w:rPr>
            <w:t>67</w:t>
          </w:r>
          <w:r>
            <w:rPr>
              <w:highlight w:val="none"/>
            </w:rPr>
            <w:fldChar w:fldCharType="end"/>
          </w:r>
          <w:r>
            <w:rPr>
              <w:rFonts w:hint="eastAsia" w:cs="宋体"/>
              <w:szCs w:val="22"/>
              <w:highlight w:val="none"/>
            </w:rPr>
            <w:fldChar w:fldCharType="end"/>
          </w:r>
        </w:p>
        <w:p w14:paraId="28E9BF5F">
          <w:pPr>
            <w:pStyle w:val="59"/>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_Toc26130 </w:instrText>
          </w:r>
          <w:r>
            <w:rPr>
              <w:rFonts w:hint="eastAsia" w:cs="宋体"/>
              <w:szCs w:val="22"/>
              <w:highlight w:val="none"/>
            </w:rPr>
            <w:fldChar w:fldCharType="separate"/>
          </w:r>
          <w:r>
            <w:rPr>
              <w:rFonts w:hint="eastAsia" w:eastAsia="宋体" w:cs="宋体"/>
              <w:bCs/>
              <w:highlight w:val="none"/>
            </w:rPr>
            <w:t>第七章  评标办法</w:t>
          </w:r>
          <w:r>
            <w:rPr>
              <w:highlight w:val="none"/>
            </w:rPr>
            <w:tab/>
          </w:r>
          <w:r>
            <w:rPr>
              <w:highlight w:val="none"/>
            </w:rPr>
            <w:fldChar w:fldCharType="begin"/>
          </w:r>
          <w:r>
            <w:rPr>
              <w:highlight w:val="none"/>
            </w:rPr>
            <w:instrText xml:space="preserve"> PAGEREF _Toc26130 \h </w:instrText>
          </w:r>
          <w:r>
            <w:rPr>
              <w:highlight w:val="none"/>
            </w:rPr>
            <w:fldChar w:fldCharType="separate"/>
          </w:r>
          <w:r>
            <w:rPr>
              <w:highlight w:val="none"/>
            </w:rPr>
            <w:t>69</w:t>
          </w:r>
          <w:r>
            <w:rPr>
              <w:highlight w:val="none"/>
            </w:rPr>
            <w:fldChar w:fldCharType="end"/>
          </w:r>
          <w:r>
            <w:rPr>
              <w:rFonts w:hint="eastAsia" w:cs="宋体"/>
              <w:szCs w:val="22"/>
              <w:highlight w:val="none"/>
            </w:rPr>
            <w:fldChar w:fldCharType="end"/>
          </w:r>
        </w:p>
        <w:p w14:paraId="2EDA7EBD">
          <w:pPr>
            <w:pStyle w:val="74"/>
            <w:tabs>
              <w:tab w:val="right" w:leader="dot" w:pos="9746"/>
              <w:tab w:val="clear" w:pos="9072"/>
            </w:tabs>
            <w:spacing w:line="240" w:lineRule="auto"/>
            <w:rPr>
              <w:highlight w:val="none"/>
            </w:rPr>
          </w:pPr>
          <w:r>
            <w:rPr>
              <w:rFonts w:hint="eastAsia" w:cs="宋体"/>
              <w:szCs w:val="22"/>
              <w:highlight w:val="none"/>
            </w:rPr>
            <w:fldChar w:fldCharType="begin"/>
          </w:r>
          <w:r>
            <w:rPr>
              <w:rFonts w:hint="eastAsia" w:cs="宋体"/>
              <w:szCs w:val="22"/>
              <w:highlight w:val="none"/>
            </w:rPr>
            <w:instrText xml:space="preserve"> HYPERLINK \l _Toc24720 </w:instrText>
          </w:r>
          <w:r>
            <w:rPr>
              <w:rFonts w:hint="eastAsia" w:cs="宋体"/>
              <w:szCs w:val="22"/>
              <w:highlight w:val="none"/>
            </w:rPr>
            <w:fldChar w:fldCharType="separate"/>
          </w:r>
          <w:r>
            <w:rPr>
              <w:rFonts w:hint="eastAsia" w:cs="宋体"/>
              <w:bCs/>
              <w:szCs w:val="28"/>
              <w:highlight w:val="none"/>
            </w:rPr>
            <w:t>评标办法前附表</w:t>
          </w:r>
          <w:r>
            <w:rPr>
              <w:highlight w:val="none"/>
            </w:rPr>
            <w:tab/>
          </w:r>
          <w:r>
            <w:rPr>
              <w:highlight w:val="none"/>
            </w:rPr>
            <w:fldChar w:fldCharType="begin"/>
          </w:r>
          <w:r>
            <w:rPr>
              <w:highlight w:val="none"/>
            </w:rPr>
            <w:instrText xml:space="preserve"> PAGEREF _Toc24720 \h </w:instrText>
          </w:r>
          <w:r>
            <w:rPr>
              <w:highlight w:val="none"/>
            </w:rPr>
            <w:fldChar w:fldCharType="separate"/>
          </w:r>
          <w:r>
            <w:rPr>
              <w:highlight w:val="none"/>
            </w:rPr>
            <w:t>69</w:t>
          </w:r>
          <w:r>
            <w:rPr>
              <w:highlight w:val="none"/>
            </w:rPr>
            <w:fldChar w:fldCharType="end"/>
          </w:r>
          <w:r>
            <w:rPr>
              <w:rFonts w:hint="eastAsia" w:cs="宋体"/>
              <w:szCs w:val="22"/>
              <w:highlight w:val="none"/>
            </w:rPr>
            <w:fldChar w:fldCharType="end"/>
          </w:r>
        </w:p>
        <w:p w14:paraId="58CECA8C">
          <w:pPr>
            <w:spacing w:line="240" w:lineRule="auto"/>
            <w:rPr>
              <w:rFonts w:cs="宋体"/>
              <w:highlight w:val="none"/>
            </w:rPr>
          </w:pPr>
          <w:r>
            <w:rPr>
              <w:rFonts w:hint="eastAsia" w:cs="宋体"/>
              <w:szCs w:val="22"/>
              <w:highlight w:val="none"/>
            </w:rPr>
            <w:fldChar w:fldCharType="end"/>
          </w:r>
        </w:p>
      </w:sdtContent>
    </w:sdt>
    <w:p w14:paraId="34D1F9FB">
      <w:pPr>
        <w:pStyle w:val="74"/>
        <w:spacing w:line="240" w:lineRule="auto"/>
        <w:ind w:firstLine="0" w:firstLineChars="0"/>
        <w:jc w:val="distribute"/>
        <w:rPr>
          <w:rFonts w:cs="宋体"/>
          <w:bCs/>
          <w:caps/>
          <w:smallCaps w:val="0"/>
          <w:szCs w:val="24"/>
          <w:highlight w:val="none"/>
        </w:rPr>
        <w:sectPr>
          <w:headerReference r:id="rId5" w:type="default"/>
          <w:footerReference r:id="rId6" w:type="default"/>
          <w:pgSz w:w="11906" w:h="16838"/>
          <w:pgMar w:top="1440" w:right="1080" w:bottom="1440" w:left="1080" w:header="907" w:footer="907" w:gutter="0"/>
          <w:pgNumType w:fmt="upperRoman" w:start="1"/>
          <w:cols w:space="720" w:num="1"/>
          <w:docGrid w:type="lines" w:linePitch="331" w:charSpace="0"/>
        </w:sectPr>
      </w:pPr>
    </w:p>
    <w:p w14:paraId="5BB1F41C">
      <w:pPr>
        <w:pStyle w:val="3"/>
        <w:numPr>
          <w:ilvl w:val="0"/>
          <w:numId w:val="0"/>
        </w:numPr>
        <w:ind w:left="284" w:hanging="284"/>
        <w:jc w:val="center"/>
        <w:rPr>
          <w:rFonts w:eastAsia="宋体" w:cs="宋体"/>
          <w:bCs/>
          <w:sz w:val="36"/>
          <w:highlight w:val="none"/>
        </w:rPr>
      </w:pPr>
      <w:bookmarkStart w:id="2" w:name="_Toc6567"/>
      <w:bookmarkStart w:id="3" w:name="_Toc27108"/>
      <w:bookmarkStart w:id="4" w:name="_Toc11131"/>
      <w:bookmarkStart w:id="5" w:name="_Toc17652"/>
      <w:r>
        <w:rPr>
          <w:rFonts w:hint="eastAsia" w:eastAsia="宋体" w:cs="宋体"/>
          <w:bCs/>
          <w:sz w:val="36"/>
          <w:highlight w:val="none"/>
        </w:rPr>
        <w:t>第一章  招标公告</w:t>
      </w:r>
      <w:bookmarkEnd w:id="2"/>
      <w:bookmarkEnd w:id="3"/>
      <w:bookmarkEnd w:id="4"/>
      <w:bookmarkEnd w:id="5"/>
      <w:bookmarkStart w:id="6" w:name="OLE_LINK1"/>
    </w:p>
    <w:p w14:paraId="73E2D2A8">
      <w:pPr>
        <w:pBdr>
          <w:top w:val="single" w:color="auto" w:sz="4" w:space="1"/>
          <w:left w:val="single" w:color="auto" w:sz="4" w:space="4"/>
          <w:bottom w:val="single" w:color="auto" w:sz="4" w:space="1"/>
          <w:right w:val="single" w:color="auto" w:sz="4" w:space="4"/>
        </w:pBdr>
        <w:ind w:firstLine="420" w:firstLineChars="200"/>
        <w:jc w:val="left"/>
        <w:rPr>
          <w:rFonts w:cs="宋体"/>
          <w:b/>
          <w:bCs/>
          <w:szCs w:val="21"/>
          <w:highlight w:val="none"/>
        </w:rPr>
      </w:pPr>
      <w:bookmarkStart w:id="7" w:name="OLE_LINK2"/>
      <w:bookmarkStart w:id="8" w:name="OLE_LINK3"/>
      <w:r>
        <w:rPr>
          <w:rFonts w:hint="eastAsia" w:cs="宋体"/>
          <w:b/>
          <w:bCs/>
          <w:szCs w:val="21"/>
          <w:highlight w:val="none"/>
        </w:rPr>
        <w:t>项目概况</w:t>
      </w:r>
    </w:p>
    <w:p w14:paraId="313578D7">
      <w:pPr>
        <w:pBdr>
          <w:top w:val="single" w:color="auto" w:sz="4" w:space="1"/>
          <w:left w:val="single" w:color="auto" w:sz="4" w:space="4"/>
          <w:bottom w:val="single" w:color="auto" w:sz="4" w:space="1"/>
          <w:right w:val="single" w:color="auto" w:sz="4" w:space="4"/>
        </w:pBdr>
        <w:tabs>
          <w:tab w:val="left" w:pos="3119"/>
        </w:tabs>
        <w:ind w:firstLine="420" w:firstLineChars="200"/>
        <w:rPr>
          <w:rFonts w:cs="宋体"/>
          <w:szCs w:val="21"/>
          <w:highlight w:val="none"/>
        </w:rPr>
      </w:pPr>
      <w:bookmarkStart w:id="637" w:name="_GoBack"/>
      <w:r>
        <w:rPr>
          <w:rFonts w:hint="eastAsia" w:cs="宋体"/>
          <w:b/>
          <w:bCs/>
          <w:szCs w:val="21"/>
          <w:highlight w:val="none"/>
          <w:u w:val="single"/>
          <w:lang w:eastAsia="zh-CN"/>
        </w:rPr>
        <w:t>云南政协报社报纸印刷服务采购（2026-2028服务期限三年）第一年</w:t>
      </w:r>
      <w:bookmarkEnd w:id="637"/>
      <w:r>
        <w:rPr>
          <w:rFonts w:hint="eastAsia" w:cs="宋体"/>
          <w:szCs w:val="21"/>
          <w:highlight w:val="none"/>
        </w:rPr>
        <w:t>招标项目的潜在投标人应在</w:t>
      </w:r>
      <w:r>
        <w:rPr>
          <w:rFonts w:hint="eastAsia" w:cs="宋体"/>
          <w:b/>
          <w:bCs/>
          <w:szCs w:val="21"/>
          <w:highlight w:val="none"/>
          <w:u w:val="single"/>
        </w:rPr>
        <w:t>云南省政府采购电子交易平台（政采云https://www.zcygov.cn/）</w:t>
      </w:r>
      <w:r>
        <w:rPr>
          <w:rFonts w:hint="eastAsia" w:cs="宋体"/>
          <w:szCs w:val="21"/>
          <w:highlight w:val="none"/>
          <w:u w:val="single"/>
        </w:rPr>
        <w:t>获取招标文件，并于</w:t>
      </w:r>
      <w:r>
        <w:rPr>
          <w:rFonts w:hint="eastAsia" w:cs="宋体"/>
          <w:b/>
          <w:bCs/>
          <w:color w:val="FF0000"/>
          <w:szCs w:val="21"/>
          <w:highlight w:val="none"/>
          <w:u w:val="single"/>
        </w:rPr>
        <w:t>2026年</w:t>
      </w:r>
      <w:r>
        <w:rPr>
          <w:rFonts w:hint="eastAsia" w:cs="宋体"/>
          <w:b/>
          <w:bCs/>
          <w:color w:val="FF0000"/>
          <w:szCs w:val="21"/>
          <w:highlight w:val="none"/>
          <w:u w:val="single"/>
          <w:lang w:val="en-US" w:eastAsia="zh-CN"/>
        </w:rPr>
        <w:t>0</w:t>
      </w:r>
      <w:r>
        <w:rPr>
          <w:rFonts w:hint="eastAsia" w:cs="宋体"/>
          <w:b/>
          <w:bCs/>
          <w:color w:val="FF0000"/>
          <w:szCs w:val="21"/>
          <w:highlight w:val="none"/>
          <w:u w:val="single"/>
        </w:rPr>
        <w:t>9月</w:t>
      </w:r>
      <w:r>
        <w:rPr>
          <w:rFonts w:hint="eastAsia" w:cs="宋体"/>
          <w:b/>
          <w:bCs/>
          <w:color w:val="FF0000"/>
          <w:szCs w:val="21"/>
          <w:highlight w:val="none"/>
          <w:u w:val="single"/>
          <w:lang w:val="en-US" w:eastAsia="zh-CN"/>
        </w:rPr>
        <w:t>08</w:t>
      </w:r>
      <w:r>
        <w:rPr>
          <w:rFonts w:hint="eastAsia" w:cs="宋体"/>
          <w:b/>
          <w:bCs/>
          <w:color w:val="FF0000"/>
          <w:szCs w:val="21"/>
          <w:highlight w:val="none"/>
          <w:u w:val="single"/>
        </w:rPr>
        <w:t>日09时30分</w:t>
      </w:r>
      <w:r>
        <w:rPr>
          <w:rFonts w:hint="eastAsia" w:cs="宋体"/>
          <w:szCs w:val="21"/>
          <w:highlight w:val="none"/>
        </w:rPr>
        <w:t>（</w:t>
      </w:r>
      <w:r>
        <w:rPr>
          <w:rFonts w:hint="eastAsia" w:cs="宋体"/>
          <w:bCs/>
          <w:szCs w:val="21"/>
          <w:highlight w:val="none"/>
        </w:rPr>
        <w:t>北京时间）前递交投标文件</w:t>
      </w:r>
      <w:r>
        <w:rPr>
          <w:rFonts w:hint="eastAsia" w:cs="宋体"/>
          <w:szCs w:val="21"/>
          <w:highlight w:val="none"/>
        </w:rPr>
        <w:t>。</w:t>
      </w:r>
    </w:p>
    <w:p w14:paraId="3975DCF3">
      <w:pPr>
        <w:pStyle w:val="4"/>
        <w:numPr>
          <w:ilvl w:val="0"/>
          <w:numId w:val="0"/>
        </w:numPr>
        <w:snapToGrid w:val="0"/>
        <w:spacing w:before="165" w:beforeLines="50"/>
        <w:rPr>
          <w:rFonts w:eastAsia="宋体" w:cs="宋体"/>
          <w:sz w:val="21"/>
          <w:szCs w:val="21"/>
          <w:highlight w:val="none"/>
        </w:rPr>
      </w:pPr>
      <w:bookmarkStart w:id="9" w:name="_Toc35393790"/>
      <w:bookmarkStart w:id="10" w:name="_Toc1212"/>
      <w:bookmarkStart w:id="11" w:name="_Toc28359002"/>
      <w:bookmarkStart w:id="12" w:name="_Toc28359079"/>
      <w:bookmarkStart w:id="13" w:name="_Toc35393621"/>
      <w:bookmarkStart w:id="14" w:name="_Toc15197"/>
      <w:bookmarkStart w:id="15" w:name="_Toc16225"/>
      <w:bookmarkStart w:id="16" w:name="_Toc12269"/>
      <w:bookmarkStart w:id="17" w:name="_Hlk24379207"/>
      <w:r>
        <w:rPr>
          <w:rFonts w:hint="eastAsia" w:eastAsia="宋体" w:cs="宋体"/>
          <w:sz w:val="21"/>
          <w:szCs w:val="21"/>
          <w:highlight w:val="none"/>
        </w:rPr>
        <w:t>一、项目基本情况</w:t>
      </w:r>
      <w:bookmarkEnd w:id="9"/>
      <w:bookmarkEnd w:id="10"/>
      <w:bookmarkEnd w:id="11"/>
      <w:bookmarkEnd w:id="12"/>
      <w:bookmarkEnd w:id="13"/>
      <w:bookmarkEnd w:id="14"/>
      <w:bookmarkEnd w:id="15"/>
      <w:bookmarkEnd w:id="16"/>
    </w:p>
    <w:p w14:paraId="51433B5C">
      <w:pPr>
        <w:spacing w:line="440" w:lineRule="exact"/>
        <w:ind w:firstLine="420" w:firstLineChars="200"/>
        <w:rPr>
          <w:rFonts w:hint="eastAsia" w:eastAsia="宋体" w:cs="宋体"/>
          <w:szCs w:val="21"/>
          <w:highlight w:val="none"/>
          <w:lang w:eastAsia="zh-CN"/>
        </w:rPr>
      </w:pPr>
      <w:r>
        <w:rPr>
          <w:rFonts w:hint="eastAsia" w:cs="宋体"/>
          <w:szCs w:val="21"/>
          <w:highlight w:val="none"/>
        </w:rPr>
        <w:t>项目编号：</w:t>
      </w:r>
      <w:r>
        <w:rPr>
          <w:rFonts w:hint="eastAsia" w:cs="宋体"/>
          <w:b/>
          <w:bCs/>
          <w:szCs w:val="21"/>
          <w:highlight w:val="none"/>
          <w:lang w:eastAsia="zh-CN"/>
        </w:rPr>
        <w:t>YNZC2026-G3-05056-YZGF-1189</w:t>
      </w:r>
    </w:p>
    <w:p w14:paraId="710CE125">
      <w:pPr>
        <w:spacing w:line="440" w:lineRule="exact"/>
        <w:ind w:firstLine="420" w:firstLineChars="200"/>
        <w:rPr>
          <w:rFonts w:hint="eastAsia" w:eastAsia="宋体" w:cs="宋体"/>
          <w:szCs w:val="21"/>
          <w:highlight w:val="none"/>
          <w:lang w:eastAsia="zh-CN"/>
        </w:rPr>
      </w:pPr>
      <w:r>
        <w:rPr>
          <w:rFonts w:hint="eastAsia" w:cs="宋体"/>
          <w:szCs w:val="21"/>
          <w:highlight w:val="none"/>
        </w:rPr>
        <w:t>项目名称：</w:t>
      </w:r>
      <w:r>
        <w:rPr>
          <w:rFonts w:hint="eastAsia" w:cs="宋体"/>
          <w:b/>
          <w:bCs/>
          <w:szCs w:val="21"/>
          <w:highlight w:val="none"/>
          <w:lang w:eastAsia="zh-CN"/>
        </w:rPr>
        <w:t>云南政协报社报纸印刷服务采购（2026-2028服务期限三年）第一年</w:t>
      </w:r>
    </w:p>
    <w:bookmarkEnd w:id="17"/>
    <w:p w14:paraId="3C8F05BC">
      <w:pPr>
        <w:spacing w:line="440" w:lineRule="exact"/>
        <w:ind w:firstLine="420" w:firstLineChars="200"/>
        <w:rPr>
          <w:rFonts w:cs="宋体"/>
          <w:szCs w:val="21"/>
          <w:highlight w:val="none"/>
        </w:rPr>
      </w:pPr>
      <w:r>
        <w:rPr>
          <w:rFonts w:hint="eastAsia" w:cs="宋体"/>
          <w:szCs w:val="21"/>
          <w:highlight w:val="none"/>
        </w:rPr>
        <w:t>预算金额(万元/年)：235.20</w:t>
      </w:r>
    </w:p>
    <w:p w14:paraId="2050AC87">
      <w:pPr>
        <w:ind w:firstLine="420" w:firstLineChars="200"/>
        <w:rPr>
          <w:rFonts w:hint="default" w:eastAsia="宋体" w:cs="宋体"/>
          <w:szCs w:val="21"/>
          <w:highlight w:val="none"/>
          <w:lang w:val="en-US" w:eastAsia="zh-CN"/>
        </w:rPr>
      </w:pPr>
      <w:r>
        <w:rPr>
          <w:rFonts w:hint="eastAsia" w:cs="宋体"/>
          <w:szCs w:val="21"/>
          <w:highlight w:val="none"/>
        </w:rPr>
        <w:t>最高限价(万元/年)：235.20</w:t>
      </w:r>
      <w:r>
        <w:rPr>
          <w:rFonts w:hint="eastAsia" w:cs="宋体"/>
          <w:szCs w:val="21"/>
          <w:highlight w:val="none"/>
          <w:lang w:eastAsia="zh-CN"/>
        </w:rPr>
        <w:t>，</w:t>
      </w:r>
      <w:r>
        <w:rPr>
          <w:rFonts w:hint="eastAsia" w:cs="宋体"/>
          <w:szCs w:val="21"/>
          <w:highlight w:val="none"/>
          <w:lang w:val="en-US" w:eastAsia="zh-CN"/>
        </w:rPr>
        <w:t>其中印刷服务费0.2元/</w:t>
      </w:r>
      <w:r>
        <w:rPr>
          <w:rFonts w:hint="eastAsia" w:cs="宋体"/>
          <w:color w:val="000000"/>
          <w:kern w:val="0"/>
          <w:szCs w:val="21"/>
          <w:highlight w:val="none"/>
          <w:lang w:val="en-US" w:eastAsia="zh-CN" w:bidi="ar"/>
        </w:rPr>
        <w:t>对开张（双面彩）,</w:t>
      </w:r>
      <w:r>
        <w:rPr>
          <w:rFonts w:hint="eastAsia" w:cs="宋体"/>
          <w:szCs w:val="21"/>
          <w:highlight w:val="none"/>
          <w:lang w:val="en-US" w:eastAsia="zh-CN"/>
        </w:rPr>
        <w:t>设计排版服务费230元/</w:t>
      </w:r>
      <w:r>
        <w:rPr>
          <w:rFonts w:hint="eastAsia" w:cs="宋体"/>
          <w:color w:val="000000"/>
          <w:kern w:val="0"/>
          <w:szCs w:val="21"/>
          <w:highlight w:val="none"/>
          <w:lang w:val="en-US" w:eastAsia="zh-CN" w:bidi="ar"/>
        </w:rPr>
        <w:t>版,</w:t>
      </w:r>
      <w:r>
        <w:rPr>
          <w:rFonts w:hint="eastAsia" w:cs="宋体"/>
          <w:szCs w:val="21"/>
          <w:highlight w:val="none"/>
          <w:lang w:val="en-US" w:eastAsia="zh-CN"/>
        </w:rPr>
        <w:t>校对服务费150元/</w:t>
      </w:r>
      <w:r>
        <w:rPr>
          <w:rFonts w:hint="eastAsia" w:cs="宋体"/>
          <w:color w:val="000000"/>
          <w:kern w:val="0"/>
          <w:szCs w:val="21"/>
          <w:highlight w:val="none"/>
          <w:lang w:val="en-US" w:eastAsia="zh-CN" w:bidi="ar"/>
        </w:rPr>
        <w:t>版。</w:t>
      </w:r>
    </w:p>
    <w:p w14:paraId="5FA198BF">
      <w:pPr>
        <w:ind w:firstLine="420" w:firstLineChars="200"/>
        <w:rPr>
          <w:rFonts w:cs="宋体"/>
          <w:szCs w:val="21"/>
          <w:highlight w:val="none"/>
        </w:rPr>
      </w:pPr>
      <w:r>
        <w:rPr>
          <w:rFonts w:hint="eastAsia" w:cs="宋体"/>
          <w:szCs w:val="21"/>
          <w:highlight w:val="none"/>
        </w:rPr>
        <w:t>采购需求：对云南政协报社报纸排版设计校对印刷服务采购；最高限价：</w:t>
      </w:r>
      <w:r>
        <w:rPr>
          <w:rFonts w:hint="eastAsia" w:cs="宋体"/>
          <w:szCs w:val="21"/>
          <w:highlight w:val="none"/>
          <w:lang w:val="en-US" w:eastAsia="zh-CN"/>
        </w:rPr>
        <w:t>印刷服务费0.2元/</w:t>
      </w:r>
      <w:r>
        <w:rPr>
          <w:rFonts w:hint="eastAsia" w:cs="宋体"/>
          <w:color w:val="000000"/>
          <w:kern w:val="0"/>
          <w:szCs w:val="21"/>
          <w:highlight w:val="none"/>
          <w:lang w:val="en-US" w:eastAsia="zh-CN" w:bidi="ar"/>
        </w:rPr>
        <w:t>对开张（双面彩）,</w:t>
      </w:r>
      <w:r>
        <w:rPr>
          <w:rFonts w:hint="eastAsia" w:cs="宋体"/>
          <w:szCs w:val="21"/>
          <w:highlight w:val="none"/>
          <w:lang w:val="en-US" w:eastAsia="zh-CN"/>
        </w:rPr>
        <w:t>设计排版服务费230元/</w:t>
      </w:r>
      <w:r>
        <w:rPr>
          <w:rFonts w:hint="eastAsia" w:cs="宋体"/>
          <w:color w:val="000000"/>
          <w:kern w:val="0"/>
          <w:szCs w:val="21"/>
          <w:highlight w:val="none"/>
          <w:lang w:val="en-US" w:eastAsia="zh-CN" w:bidi="ar"/>
        </w:rPr>
        <w:t>版,</w:t>
      </w:r>
      <w:r>
        <w:rPr>
          <w:rFonts w:hint="eastAsia" w:cs="宋体"/>
          <w:szCs w:val="21"/>
          <w:highlight w:val="none"/>
          <w:lang w:val="en-US" w:eastAsia="zh-CN"/>
        </w:rPr>
        <w:t>校对服务费150元/</w:t>
      </w:r>
      <w:r>
        <w:rPr>
          <w:rFonts w:hint="eastAsia" w:cs="宋体"/>
          <w:color w:val="000000"/>
          <w:kern w:val="0"/>
          <w:szCs w:val="21"/>
          <w:highlight w:val="none"/>
          <w:lang w:val="en-US" w:eastAsia="zh-CN" w:bidi="ar"/>
        </w:rPr>
        <w:t>版。</w:t>
      </w:r>
      <w:r>
        <w:rPr>
          <w:rFonts w:hint="eastAsia" w:cs="宋体"/>
          <w:szCs w:val="21"/>
          <w:highlight w:val="none"/>
        </w:rPr>
        <w:t>主要采购内容：《云南政协报》报纸的排版、设计、校对、印刷等服务，对开八至二十四版，使用48g优质新闻纸。每周二、四、六出版（全部彩色印刷），按采购方要求交付</w:t>
      </w:r>
      <w:r>
        <w:rPr>
          <w:rFonts w:hint="eastAsia"/>
          <w:highlight w:val="none"/>
        </w:rPr>
        <w:t>；印刷服务方面服务要求：（1）印刷安全要求：投标人须落实意识形态内容终审核查，做好版面资料保密管控；规范印刷设备、用电、消防及新闻纸仓储安全管理，合规处置废报残品，严防样报私自外流，保障报纸印刷全过程合法安全。（2）印刷纸张要求：用纸：使用48g优质新闻纸，纸张表面平整，无褶皱、破口。印刷版面无黑斑、无脏迹、无糊版，干净清晰。（3）印刷质量要求：1.图片:①图片要求层次分明，反差适中,网点清晰结实、不变形，不出龟纹、不缺色、不糊版、清晰度好、符合自然色调。②彩色图片套印准确，误差小于0.15mm，直观彩色照片边缘无漏色、无网点不实和变形。2.墨色:①整版墨色均匀一致，横向实地密度误差0.05，直观墨色深浅基本一致。②彩色图片的墨色饱满适中，包相纯正，不偏色等。</w:t>
      </w:r>
      <w:r>
        <w:rPr>
          <w:rFonts w:hint="eastAsia" w:cs="宋体"/>
          <w:b/>
          <w:bCs/>
          <w:szCs w:val="21"/>
          <w:highlight w:val="none"/>
        </w:rPr>
        <w:t>具体要求详见招标文件第五章“采购需求”。</w:t>
      </w:r>
    </w:p>
    <w:p w14:paraId="32819428">
      <w:pPr>
        <w:spacing w:line="440" w:lineRule="exact"/>
        <w:ind w:firstLine="420" w:firstLineChars="200"/>
        <w:rPr>
          <w:rFonts w:cs="宋体"/>
          <w:szCs w:val="21"/>
          <w:highlight w:val="none"/>
        </w:rPr>
      </w:pPr>
      <w:r>
        <w:rPr>
          <w:rFonts w:hint="eastAsia" w:cs="宋体"/>
          <w:szCs w:val="21"/>
          <w:highlight w:val="none"/>
        </w:rPr>
        <w:t>合同履行期限：三年，合同一年一签；每年期满采购人开展服务评估，评估合格续签、不合格不予续签，采购人无补偿责任。</w:t>
      </w:r>
    </w:p>
    <w:p w14:paraId="74C2263D">
      <w:pPr>
        <w:spacing w:line="440" w:lineRule="exact"/>
        <w:ind w:firstLine="420" w:firstLineChars="200"/>
        <w:rPr>
          <w:rFonts w:cs="宋体"/>
          <w:szCs w:val="21"/>
          <w:highlight w:val="none"/>
        </w:rPr>
      </w:pPr>
      <w:r>
        <w:rPr>
          <w:rFonts w:hint="eastAsia" w:cs="宋体"/>
          <w:szCs w:val="21"/>
          <w:highlight w:val="none"/>
        </w:rPr>
        <w:t>本项目（否）接受联合体投标。</w:t>
      </w:r>
    </w:p>
    <w:p w14:paraId="14CD4F6B">
      <w:pPr>
        <w:pStyle w:val="4"/>
        <w:numPr>
          <w:ilvl w:val="0"/>
          <w:numId w:val="0"/>
        </w:numPr>
        <w:snapToGrid w:val="0"/>
        <w:spacing w:before="165" w:beforeLines="50"/>
        <w:rPr>
          <w:rFonts w:eastAsia="宋体" w:cs="宋体"/>
          <w:sz w:val="21"/>
          <w:szCs w:val="21"/>
          <w:highlight w:val="none"/>
        </w:rPr>
      </w:pPr>
      <w:bookmarkStart w:id="18" w:name="_Toc35393622"/>
      <w:bookmarkStart w:id="19" w:name="_Toc28359003"/>
      <w:bookmarkStart w:id="20" w:name="_Toc35393791"/>
      <w:bookmarkStart w:id="21" w:name="_Toc28359080"/>
      <w:bookmarkStart w:id="22" w:name="_Toc6332"/>
      <w:bookmarkStart w:id="23" w:name="_Toc7106"/>
      <w:bookmarkStart w:id="24" w:name="_Toc3063"/>
      <w:bookmarkStart w:id="25" w:name="_Toc8995"/>
      <w:r>
        <w:rPr>
          <w:rFonts w:hint="eastAsia" w:eastAsia="宋体" w:cs="宋体"/>
          <w:sz w:val="21"/>
          <w:szCs w:val="21"/>
          <w:highlight w:val="none"/>
        </w:rPr>
        <w:t>★二、投标人的资格要求</w:t>
      </w:r>
      <w:bookmarkEnd w:id="18"/>
      <w:bookmarkEnd w:id="19"/>
      <w:bookmarkEnd w:id="20"/>
      <w:bookmarkEnd w:id="21"/>
      <w:bookmarkEnd w:id="22"/>
      <w:bookmarkEnd w:id="23"/>
      <w:r>
        <w:rPr>
          <w:rFonts w:hint="eastAsia" w:eastAsia="宋体" w:cs="宋体"/>
          <w:sz w:val="21"/>
          <w:szCs w:val="21"/>
          <w:highlight w:val="none"/>
        </w:rPr>
        <w:t>：</w:t>
      </w:r>
      <w:bookmarkEnd w:id="24"/>
      <w:bookmarkEnd w:id="25"/>
    </w:p>
    <w:p w14:paraId="568F9C4E">
      <w:pPr>
        <w:snapToGrid w:val="0"/>
        <w:spacing w:line="440" w:lineRule="exact"/>
        <w:ind w:firstLine="420" w:firstLineChars="200"/>
        <w:rPr>
          <w:rFonts w:cs="宋体"/>
          <w:b/>
          <w:bCs/>
          <w:szCs w:val="21"/>
          <w:highlight w:val="none"/>
        </w:rPr>
      </w:pPr>
      <w:bookmarkStart w:id="26" w:name="_Toc28359081"/>
      <w:bookmarkStart w:id="27" w:name="_Toc35393623"/>
      <w:bookmarkStart w:id="28" w:name="_Toc28359004"/>
      <w:bookmarkStart w:id="29" w:name="_Toc35393792"/>
      <w:r>
        <w:rPr>
          <w:rFonts w:hint="eastAsia" w:cs="宋体"/>
          <w:b/>
          <w:bCs/>
          <w:szCs w:val="21"/>
          <w:highlight w:val="none"/>
        </w:rPr>
        <w:t>1．满足《中华人民共和国政府采购法》第二十二条规定；</w:t>
      </w:r>
    </w:p>
    <w:p w14:paraId="73EB6D6F">
      <w:pPr>
        <w:snapToGrid w:val="0"/>
        <w:spacing w:line="440" w:lineRule="exact"/>
        <w:ind w:firstLine="420" w:firstLineChars="200"/>
        <w:rPr>
          <w:rFonts w:cs="宋体"/>
          <w:b/>
          <w:bCs/>
          <w:szCs w:val="21"/>
          <w:highlight w:val="none"/>
        </w:rPr>
      </w:pPr>
      <w:r>
        <w:rPr>
          <w:rFonts w:hint="eastAsia" w:cs="宋体"/>
          <w:b/>
          <w:bCs/>
          <w:szCs w:val="21"/>
          <w:highlight w:val="none"/>
        </w:rPr>
        <w:t>2．落实政府采购政策需满足的资格要求：本项目非专门面向中小企业采购项目</w:t>
      </w:r>
      <w:r>
        <w:rPr>
          <w:rFonts w:hint="eastAsia" w:cs="宋体"/>
          <w:b/>
          <w:bCs/>
          <w:kern w:val="0"/>
          <w:szCs w:val="21"/>
          <w:highlight w:val="none"/>
        </w:rPr>
        <w:t>；</w:t>
      </w:r>
    </w:p>
    <w:p w14:paraId="572F2D14">
      <w:pPr>
        <w:snapToGrid w:val="0"/>
        <w:spacing w:line="440" w:lineRule="exact"/>
        <w:ind w:firstLine="420" w:firstLineChars="200"/>
        <w:rPr>
          <w:rFonts w:cs="宋体"/>
          <w:b/>
          <w:bCs/>
          <w:szCs w:val="21"/>
          <w:highlight w:val="none"/>
        </w:rPr>
      </w:pPr>
      <w:r>
        <w:rPr>
          <w:rFonts w:hint="eastAsia" w:cs="宋体"/>
          <w:b/>
          <w:bCs/>
          <w:szCs w:val="21"/>
          <w:highlight w:val="none"/>
        </w:rPr>
        <w:t>3．本项目的特定资格要求：</w:t>
      </w:r>
    </w:p>
    <w:p w14:paraId="1083D3B1">
      <w:pPr>
        <w:snapToGrid w:val="0"/>
        <w:spacing w:line="440" w:lineRule="exact"/>
        <w:ind w:firstLine="420" w:firstLineChars="200"/>
        <w:rPr>
          <w:rFonts w:cs="宋体"/>
          <w:szCs w:val="21"/>
          <w:highlight w:val="none"/>
        </w:rPr>
      </w:pPr>
      <w:r>
        <w:rPr>
          <w:rFonts w:hint="eastAsia" w:cs="宋体"/>
          <w:szCs w:val="21"/>
          <w:highlight w:val="none"/>
        </w:rPr>
        <w:t>3.1</w:t>
      </w:r>
      <w:r>
        <w:rPr>
          <w:rFonts w:hint="eastAsia"/>
          <w:bCs/>
          <w:szCs w:val="21"/>
          <w:highlight w:val="none"/>
        </w:rPr>
        <w:t>投标人必须具备有效的</w:t>
      </w:r>
      <w:r>
        <w:rPr>
          <w:rFonts w:hint="eastAsia"/>
          <w:b/>
          <w:szCs w:val="21"/>
          <w:highlight w:val="none"/>
        </w:rPr>
        <w:t>《印刷经营许可证》</w:t>
      </w:r>
      <w:r>
        <w:rPr>
          <w:rFonts w:hint="eastAsia"/>
          <w:bCs/>
          <w:szCs w:val="21"/>
          <w:highlight w:val="none"/>
        </w:rPr>
        <w:t>。</w:t>
      </w:r>
    </w:p>
    <w:p w14:paraId="397F1B05">
      <w:pPr>
        <w:snapToGrid w:val="0"/>
        <w:spacing w:line="440" w:lineRule="exact"/>
        <w:ind w:firstLine="420" w:firstLineChars="200"/>
        <w:rPr>
          <w:rFonts w:cs="宋体"/>
          <w:b/>
          <w:bCs/>
          <w:szCs w:val="21"/>
          <w:highlight w:val="none"/>
        </w:rPr>
      </w:pPr>
      <w:r>
        <w:rPr>
          <w:rFonts w:hint="eastAsia" w:cs="宋体"/>
          <w:szCs w:val="21"/>
          <w:highlight w:val="none"/>
        </w:rPr>
        <w:t>3.2单位负责人为同一人或者存在直接控股、管理关系的不同投标人，不得参加同一合同项下的政府采购活动。</w:t>
      </w:r>
    </w:p>
    <w:p w14:paraId="18C2C5E0">
      <w:pPr>
        <w:snapToGrid w:val="0"/>
        <w:spacing w:line="440" w:lineRule="exact"/>
        <w:ind w:firstLine="420" w:firstLineChars="200"/>
        <w:rPr>
          <w:rFonts w:cs="宋体"/>
          <w:b/>
          <w:bCs/>
          <w:szCs w:val="21"/>
          <w:highlight w:val="none"/>
        </w:rPr>
      </w:pPr>
      <w:r>
        <w:rPr>
          <w:rFonts w:hint="eastAsia" w:cs="宋体"/>
          <w:szCs w:val="21"/>
          <w:highlight w:val="none"/>
        </w:rPr>
        <w:t>3.3投标人未被列入“信用中国”网站（www.creditchina.gov.cn）失信被执行人、</w:t>
      </w:r>
      <w:r>
        <w:rPr>
          <w:rFonts w:hint="eastAsia" w:cs="宋体"/>
          <w:bCs/>
          <w:kern w:val="0"/>
          <w:szCs w:val="21"/>
          <w:highlight w:val="none"/>
        </w:rPr>
        <w:t>重大税收违法失信主体</w:t>
      </w:r>
      <w:r>
        <w:rPr>
          <w:rFonts w:hint="eastAsia" w:cs="宋体"/>
          <w:szCs w:val="21"/>
          <w:highlight w:val="none"/>
        </w:rPr>
        <w:t>、政府采购严重违法失信行为记录名单，及未被列入中国政府采购网（www.ccgp.gov.cn）“政府采购严重违法失信行为信息记录”（以开标当天工作人员对上述信用信息进行查询核对的结果为准）。</w:t>
      </w:r>
    </w:p>
    <w:p w14:paraId="1401BD09">
      <w:pPr>
        <w:snapToGrid w:val="0"/>
        <w:spacing w:line="440" w:lineRule="exact"/>
        <w:ind w:firstLine="420" w:firstLineChars="200"/>
        <w:rPr>
          <w:rFonts w:cs="宋体"/>
          <w:szCs w:val="21"/>
          <w:highlight w:val="none"/>
        </w:rPr>
      </w:pPr>
      <w:r>
        <w:rPr>
          <w:rFonts w:hint="eastAsia" w:cs="宋体"/>
          <w:szCs w:val="21"/>
          <w:highlight w:val="none"/>
        </w:rPr>
        <w:t>3.4‌本项目不接受联合体投标。</w:t>
      </w:r>
    </w:p>
    <w:bookmarkEnd w:id="26"/>
    <w:bookmarkEnd w:id="27"/>
    <w:bookmarkEnd w:id="28"/>
    <w:bookmarkEnd w:id="29"/>
    <w:p w14:paraId="52BBAF3B">
      <w:pPr>
        <w:pStyle w:val="4"/>
        <w:numPr>
          <w:ilvl w:val="0"/>
          <w:numId w:val="0"/>
        </w:numPr>
        <w:snapToGrid w:val="0"/>
        <w:spacing w:before="165" w:beforeLines="50"/>
        <w:rPr>
          <w:rFonts w:eastAsia="宋体" w:cs="宋体"/>
          <w:sz w:val="21"/>
          <w:szCs w:val="21"/>
          <w:highlight w:val="none"/>
        </w:rPr>
      </w:pPr>
      <w:bookmarkStart w:id="30" w:name="_Toc17977"/>
      <w:bookmarkStart w:id="31" w:name="_Toc12774"/>
      <w:bookmarkStart w:id="32" w:name="_Toc12823"/>
      <w:bookmarkStart w:id="33" w:name="_Toc35393626"/>
      <w:bookmarkStart w:id="34" w:name="_Toc35393795"/>
      <w:bookmarkStart w:id="35" w:name="_Toc15325"/>
      <w:r>
        <w:rPr>
          <w:rFonts w:hint="eastAsia" w:eastAsia="宋体" w:cs="宋体"/>
          <w:sz w:val="21"/>
          <w:szCs w:val="21"/>
          <w:highlight w:val="none"/>
        </w:rPr>
        <w:t>三、获取招标文件</w:t>
      </w:r>
      <w:bookmarkEnd w:id="30"/>
      <w:bookmarkEnd w:id="31"/>
      <w:bookmarkEnd w:id="32"/>
    </w:p>
    <w:bookmarkEnd w:id="33"/>
    <w:bookmarkEnd w:id="34"/>
    <w:bookmarkEnd w:id="35"/>
    <w:p w14:paraId="795C3EB7">
      <w:pPr>
        <w:snapToGrid w:val="0"/>
        <w:ind w:firstLine="420" w:firstLineChars="200"/>
        <w:rPr>
          <w:rFonts w:cs="宋体"/>
          <w:szCs w:val="21"/>
          <w:highlight w:val="none"/>
        </w:rPr>
      </w:pPr>
      <w:bookmarkStart w:id="36" w:name="_Toc28359082"/>
      <w:bookmarkStart w:id="37" w:name="_Toc28359005"/>
      <w:bookmarkStart w:id="38" w:name="_Toc35393624"/>
      <w:bookmarkStart w:id="39" w:name="_Toc35393793"/>
      <w:bookmarkStart w:id="40" w:name="_Toc12076"/>
      <w:bookmarkStart w:id="41" w:name="_Toc54552203"/>
      <w:bookmarkStart w:id="42" w:name="_Toc28359085"/>
      <w:bookmarkStart w:id="43" w:name="_Toc35393796"/>
      <w:bookmarkStart w:id="44" w:name="_Toc35393627"/>
      <w:bookmarkStart w:id="45" w:name="_Toc28359008"/>
      <w:r>
        <w:rPr>
          <w:rFonts w:hint="eastAsia" w:cs="宋体"/>
          <w:szCs w:val="21"/>
          <w:highlight w:val="none"/>
        </w:rPr>
        <w:t>1.时间：</w:t>
      </w:r>
      <w:r>
        <w:rPr>
          <w:rFonts w:hint="eastAsia" w:cs="宋体"/>
          <w:b/>
          <w:bCs/>
          <w:color w:val="FF0000"/>
          <w:szCs w:val="21"/>
          <w:highlight w:val="none"/>
          <w:u w:val="single"/>
        </w:rPr>
        <w:t>2026年</w:t>
      </w:r>
      <w:r>
        <w:rPr>
          <w:rFonts w:hint="eastAsia" w:cs="宋体"/>
          <w:b/>
          <w:bCs/>
          <w:color w:val="FF0000"/>
          <w:szCs w:val="21"/>
          <w:highlight w:val="none"/>
          <w:u w:val="single"/>
          <w:lang w:val="en-US" w:eastAsia="zh-CN"/>
        </w:rPr>
        <w:t>0</w:t>
      </w:r>
      <w:r>
        <w:rPr>
          <w:rFonts w:hint="eastAsia" w:cs="宋体"/>
          <w:b/>
          <w:bCs/>
          <w:color w:val="FF0000"/>
          <w:szCs w:val="21"/>
          <w:highlight w:val="none"/>
          <w:u w:val="single"/>
        </w:rPr>
        <w:t>8月</w:t>
      </w:r>
      <w:r>
        <w:rPr>
          <w:rFonts w:hint="eastAsia" w:cs="宋体"/>
          <w:b/>
          <w:bCs/>
          <w:color w:val="FF0000"/>
          <w:szCs w:val="21"/>
          <w:highlight w:val="none"/>
          <w:u w:val="single"/>
          <w:lang w:val="en-US" w:eastAsia="zh-CN"/>
        </w:rPr>
        <w:t>18</w:t>
      </w:r>
      <w:r>
        <w:rPr>
          <w:rFonts w:hint="eastAsia" w:cs="宋体"/>
          <w:b/>
          <w:bCs/>
          <w:color w:val="FF0000"/>
          <w:szCs w:val="21"/>
          <w:highlight w:val="none"/>
          <w:u w:val="single"/>
        </w:rPr>
        <w:t xml:space="preserve"> 日06时00分至2026年</w:t>
      </w:r>
      <w:r>
        <w:rPr>
          <w:rFonts w:hint="eastAsia" w:cs="宋体"/>
          <w:b/>
          <w:bCs/>
          <w:color w:val="FF0000"/>
          <w:szCs w:val="21"/>
          <w:highlight w:val="none"/>
          <w:u w:val="single"/>
          <w:lang w:val="en-US" w:eastAsia="zh-CN"/>
        </w:rPr>
        <w:t>0</w:t>
      </w:r>
      <w:r>
        <w:rPr>
          <w:rFonts w:hint="eastAsia" w:cs="宋体"/>
          <w:b/>
          <w:bCs/>
          <w:color w:val="FF0000"/>
          <w:szCs w:val="21"/>
          <w:highlight w:val="none"/>
          <w:u w:val="single"/>
        </w:rPr>
        <w:t>8月</w:t>
      </w:r>
      <w:r>
        <w:rPr>
          <w:rFonts w:hint="eastAsia" w:cs="宋体"/>
          <w:b/>
          <w:bCs/>
          <w:color w:val="FF0000"/>
          <w:szCs w:val="21"/>
          <w:highlight w:val="none"/>
          <w:u w:val="single"/>
          <w:lang w:val="en-US" w:eastAsia="zh-CN"/>
        </w:rPr>
        <w:t>25</w:t>
      </w:r>
      <w:r>
        <w:rPr>
          <w:rFonts w:hint="eastAsia" w:cs="宋体"/>
          <w:b/>
          <w:bCs/>
          <w:color w:val="FF0000"/>
          <w:szCs w:val="21"/>
          <w:highlight w:val="none"/>
          <w:u w:val="single"/>
        </w:rPr>
        <w:t>日23时59分</w:t>
      </w:r>
      <w:r>
        <w:rPr>
          <w:rFonts w:hint="eastAsia" w:cs="宋体"/>
          <w:szCs w:val="21"/>
          <w:highlight w:val="none"/>
        </w:rPr>
        <w:t>，每天上午06:00至12:00，下午12:00至23:59（北京时间，法定节假日除外）。</w:t>
      </w:r>
    </w:p>
    <w:p w14:paraId="40A27E0F">
      <w:pPr>
        <w:snapToGrid w:val="0"/>
        <w:ind w:firstLine="420" w:firstLineChars="200"/>
        <w:rPr>
          <w:rFonts w:cs="宋体"/>
          <w:b/>
          <w:bCs/>
          <w:szCs w:val="21"/>
          <w:highlight w:val="none"/>
        </w:rPr>
      </w:pPr>
      <w:r>
        <w:rPr>
          <w:rFonts w:hint="eastAsia" w:cs="宋体"/>
          <w:szCs w:val="21"/>
          <w:highlight w:val="none"/>
        </w:rPr>
        <w:t>2.地点：</w:t>
      </w:r>
      <w:r>
        <w:rPr>
          <w:rFonts w:hint="eastAsia" w:cs="宋体"/>
          <w:b/>
          <w:bCs/>
          <w:szCs w:val="21"/>
          <w:highlight w:val="none"/>
        </w:rPr>
        <w:t>政采云平台（https://www.zcygov.cn/）</w:t>
      </w:r>
    </w:p>
    <w:p w14:paraId="378ADC21">
      <w:pPr>
        <w:adjustRightInd w:val="0"/>
        <w:snapToGrid w:val="0"/>
        <w:ind w:firstLine="420" w:firstLineChars="200"/>
        <w:rPr>
          <w:rFonts w:cs="宋体"/>
          <w:bCs/>
          <w:szCs w:val="22"/>
          <w:highlight w:val="none"/>
        </w:rPr>
      </w:pPr>
      <w:r>
        <w:rPr>
          <w:rFonts w:hint="eastAsia" w:cs="宋体"/>
          <w:szCs w:val="21"/>
          <w:highlight w:val="none"/>
        </w:rPr>
        <w:t>3.方式：</w:t>
      </w:r>
      <w:r>
        <w:rPr>
          <w:rFonts w:hint="eastAsia" w:cs="宋体"/>
          <w:b/>
          <w:szCs w:val="22"/>
          <w:highlight w:val="none"/>
        </w:rPr>
        <w:t>（1）</w:t>
      </w:r>
      <w:r>
        <w:rPr>
          <w:rFonts w:hint="eastAsia" w:cs="宋体"/>
          <w:bCs/>
          <w:szCs w:val="22"/>
          <w:highlight w:val="none"/>
        </w:rPr>
        <w:t>凡有意参加投标者，须在</w:t>
      </w:r>
      <w:r>
        <w:rPr>
          <w:rFonts w:hint="eastAsia" w:cs="宋体"/>
          <w:b/>
          <w:szCs w:val="22"/>
          <w:highlight w:val="none"/>
        </w:rPr>
        <w:t>政采云平台办理数字证书（CA）</w:t>
      </w:r>
      <w:r>
        <w:rPr>
          <w:rFonts w:hint="eastAsia" w:cs="宋体"/>
          <w:bCs/>
          <w:szCs w:val="22"/>
          <w:highlight w:val="none"/>
        </w:rPr>
        <w:t>，</w:t>
      </w:r>
      <w:r>
        <w:rPr>
          <w:rFonts w:hint="eastAsia" w:cs="宋体"/>
          <w:b/>
          <w:szCs w:val="22"/>
          <w:highlight w:val="none"/>
        </w:rPr>
        <w:t>CA申领链接：https://middle.zcygov.cn/ca/apply/list?_app_=zcy.sys</w:t>
      </w:r>
      <w:r>
        <w:rPr>
          <w:rFonts w:hint="eastAsia" w:cs="宋体"/>
          <w:bCs/>
          <w:szCs w:val="22"/>
          <w:highlight w:val="none"/>
        </w:rPr>
        <w:t>，并在政采云绑定数字证书（CA）后在网上获取采购文件及其它采购资料（如有），数字证书（CA）详见其办理流程。</w:t>
      </w:r>
    </w:p>
    <w:p w14:paraId="3343CEF9">
      <w:pPr>
        <w:adjustRightInd w:val="0"/>
        <w:snapToGrid w:val="0"/>
        <w:ind w:firstLine="420" w:firstLineChars="200"/>
        <w:rPr>
          <w:rFonts w:cs="宋体"/>
          <w:szCs w:val="21"/>
          <w:highlight w:val="none"/>
        </w:rPr>
      </w:pPr>
      <w:r>
        <w:rPr>
          <w:rFonts w:hint="eastAsia" w:cs="宋体"/>
          <w:b/>
          <w:szCs w:val="22"/>
          <w:highlight w:val="none"/>
        </w:rPr>
        <w:t>注：</w:t>
      </w:r>
      <w:r>
        <w:rPr>
          <w:rFonts w:hint="eastAsia" w:cs="宋体"/>
          <w:bCs/>
          <w:szCs w:val="22"/>
          <w:highlight w:val="none"/>
        </w:rPr>
        <w:t>云南本地投标人如之前已在云南 CA在线数字证书办理网进行过注册并办理过企业数字证书（CA），直接绑定即可，无需重复办理（2022年01月01日前办理的云南 CA 需到云南 CA 办理处进行升级）。外省投标人在政采云平台办理的其他 CA 可直接使用，无需重复办理。</w:t>
      </w:r>
    </w:p>
    <w:p w14:paraId="637C7703">
      <w:pPr>
        <w:snapToGrid w:val="0"/>
        <w:ind w:firstLine="420" w:firstLineChars="200"/>
        <w:rPr>
          <w:rFonts w:cs="宋体"/>
          <w:szCs w:val="21"/>
          <w:highlight w:val="none"/>
        </w:rPr>
      </w:pPr>
      <w:r>
        <w:rPr>
          <w:rFonts w:hint="eastAsia" w:cs="宋体"/>
          <w:b/>
          <w:szCs w:val="22"/>
          <w:highlight w:val="none"/>
        </w:rPr>
        <w:t>（2）</w:t>
      </w:r>
      <w:r>
        <w:rPr>
          <w:rFonts w:hint="eastAsia" w:cs="宋体"/>
          <w:bCs/>
          <w:szCs w:val="22"/>
          <w:highlight w:val="none"/>
        </w:rPr>
        <w:t>按上述要求获取文件的投标人视为合法获取了本项目采购文件，具备本项目的投标资格。</w:t>
      </w:r>
    </w:p>
    <w:p w14:paraId="089954EF">
      <w:pPr>
        <w:snapToGrid w:val="0"/>
        <w:ind w:firstLine="420" w:firstLineChars="200"/>
        <w:rPr>
          <w:rFonts w:cs="宋体"/>
          <w:szCs w:val="21"/>
          <w:highlight w:val="none"/>
        </w:rPr>
      </w:pPr>
      <w:r>
        <w:rPr>
          <w:rFonts w:hint="eastAsia" w:cs="宋体"/>
          <w:szCs w:val="21"/>
          <w:highlight w:val="none"/>
        </w:rPr>
        <w:t>4.招标文件售价：0元</w:t>
      </w:r>
    </w:p>
    <w:p w14:paraId="7CC5D045">
      <w:pPr>
        <w:pStyle w:val="4"/>
        <w:numPr>
          <w:ilvl w:val="0"/>
          <w:numId w:val="0"/>
        </w:numPr>
        <w:snapToGrid w:val="0"/>
        <w:spacing w:before="165" w:beforeLines="50"/>
        <w:rPr>
          <w:rFonts w:eastAsia="宋体" w:cs="宋体"/>
          <w:sz w:val="21"/>
          <w:szCs w:val="21"/>
          <w:highlight w:val="none"/>
        </w:rPr>
      </w:pPr>
      <w:bookmarkStart w:id="46" w:name="_Toc2460"/>
      <w:bookmarkStart w:id="47" w:name="_Toc19029"/>
      <w:bookmarkStart w:id="48" w:name="_Toc7582"/>
      <w:r>
        <w:rPr>
          <w:rFonts w:hint="eastAsia" w:eastAsia="宋体" w:cs="宋体"/>
          <w:sz w:val="21"/>
          <w:szCs w:val="21"/>
          <w:highlight w:val="none"/>
        </w:rPr>
        <w:t>四、</w:t>
      </w:r>
      <w:bookmarkEnd w:id="36"/>
      <w:bookmarkEnd w:id="37"/>
      <w:bookmarkEnd w:id="38"/>
      <w:bookmarkEnd w:id="39"/>
      <w:bookmarkEnd w:id="40"/>
      <w:bookmarkEnd w:id="41"/>
      <w:bookmarkEnd w:id="46"/>
      <w:r>
        <w:rPr>
          <w:rFonts w:hint="eastAsia" w:eastAsia="宋体" w:cs="宋体"/>
          <w:sz w:val="21"/>
          <w:szCs w:val="21"/>
          <w:highlight w:val="none"/>
        </w:rPr>
        <w:t>投标文件提交</w:t>
      </w:r>
      <w:bookmarkEnd w:id="47"/>
      <w:bookmarkEnd w:id="48"/>
    </w:p>
    <w:p w14:paraId="355C335D">
      <w:pPr>
        <w:snapToGrid w:val="0"/>
        <w:ind w:firstLine="420" w:firstLineChars="200"/>
        <w:rPr>
          <w:rFonts w:cs="宋体"/>
          <w:szCs w:val="21"/>
          <w:highlight w:val="none"/>
        </w:rPr>
      </w:pPr>
      <w:r>
        <w:rPr>
          <w:rFonts w:hint="eastAsia" w:cs="宋体"/>
          <w:szCs w:val="21"/>
          <w:highlight w:val="none"/>
        </w:rPr>
        <w:t>时间：</w:t>
      </w:r>
      <w:r>
        <w:rPr>
          <w:rFonts w:hint="eastAsia" w:cs="宋体"/>
          <w:b/>
          <w:bCs/>
          <w:color w:val="FF0000"/>
          <w:szCs w:val="21"/>
          <w:highlight w:val="none"/>
          <w:u w:val="single"/>
        </w:rPr>
        <w:t>2026年</w:t>
      </w:r>
      <w:r>
        <w:rPr>
          <w:rFonts w:hint="eastAsia" w:cs="宋体"/>
          <w:b/>
          <w:bCs/>
          <w:color w:val="FF0000"/>
          <w:szCs w:val="21"/>
          <w:highlight w:val="none"/>
          <w:u w:val="single"/>
          <w:lang w:val="en-US" w:eastAsia="zh-CN"/>
        </w:rPr>
        <w:t>0</w:t>
      </w:r>
      <w:r>
        <w:rPr>
          <w:rFonts w:hint="eastAsia" w:cs="宋体"/>
          <w:b/>
          <w:bCs/>
          <w:color w:val="FF0000"/>
          <w:szCs w:val="21"/>
          <w:highlight w:val="none"/>
          <w:u w:val="single"/>
        </w:rPr>
        <w:t>9月</w:t>
      </w:r>
      <w:r>
        <w:rPr>
          <w:rFonts w:hint="eastAsia" w:cs="宋体"/>
          <w:b/>
          <w:bCs/>
          <w:color w:val="FF0000"/>
          <w:szCs w:val="21"/>
          <w:highlight w:val="none"/>
          <w:u w:val="single"/>
          <w:lang w:val="en-US" w:eastAsia="zh-CN"/>
        </w:rPr>
        <w:t>08</w:t>
      </w:r>
      <w:r>
        <w:rPr>
          <w:rFonts w:hint="eastAsia" w:cs="宋体"/>
          <w:b/>
          <w:bCs/>
          <w:color w:val="FF0000"/>
          <w:szCs w:val="21"/>
          <w:highlight w:val="none"/>
          <w:u w:val="single"/>
        </w:rPr>
        <w:t>日</w:t>
      </w:r>
      <w:r>
        <w:rPr>
          <w:rFonts w:hint="eastAsia" w:cs="宋体"/>
          <w:b/>
          <w:bCs/>
          <w:color w:val="FF0000"/>
          <w:szCs w:val="21"/>
          <w:highlight w:val="none"/>
          <w:u w:val="single"/>
          <w:lang w:val="en-US" w:eastAsia="zh-CN"/>
        </w:rPr>
        <w:t>09</w:t>
      </w:r>
      <w:r>
        <w:rPr>
          <w:rFonts w:hint="eastAsia" w:cs="宋体"/>
          <w:b/>
          <w:bCs/>
          <w:color w:val="FF0000"/>
          <w:szCs w:val="21"/>
          <w:highlight w:val="none"/>
          <w:u w:val="single"/>
        </w:rPr>
        <w:t>时</w:t>
      </w:r>
      <w:r>
        <w:rPr>
          <w:rFonts w:hint="eastAsia" w:cs="宋体"/>
          <w:b/>
          <w:bCs/>
          <w:color w:val="FF0000"/>
          <w:szCs w:val="21"/>
          <w:highlight w:val="none"/>
          <w:u w:val="single"/>
          <w:lang w:val="en-US" w:eastAsia="zh-CN"/>
        </w:rPr>
        <w:t>3</w:t>
      </w:r>
      <w:r>
        <w:rPr>
          <w:rFonts w:hint="eastAsia" w:cs="宋体"/>
          <w:b/>
          <w:bCs/>
          <w:color w:val="FF0000"/>
          <w:szCs w:val="21"/>
          <w:highlight w:val="none"/>
          <w:u w:val="single"/>
        </w:rPr>
        <w:t>0分</w:t>
      </w:r>
      <w:r>
        <w:rPr>
          <w:rFonts w:hint="eastAsia" w:cs="宋体"/>
          <w:szCs w:val="21"/>
          <w:highlight w:val="none"/>
        </w:rPr>
        <w:t>（北京时间）；</w:t>
      </w:r>
    </w:p>
    <w:p w14:paraId="56FEEB31">
      <w:pPr>
        <w:adjustRightInd w:val="0"/>
        <w:snapToGrid w:val="0"/>
        <w:ind w:firstLine="420" w:firstLineChars="200"/>
        <w:rPr>
          <w:rFonts w:cs="宋体"/>
          <w:b/>
          <w:bCs/>
          <w:szCs w:val="21"/>
          <w:highlight w:val="none"/>
          <w:u w:val="single"/>
        </w:rPr>
      </w:pPr>
      <w:r>
        <w:rPr>
          <w:rFonts w:hint="eastAsia" w:cs="宋体"/>
          <w:szCs w:val="21"/>
          <w:highlight w:val="none"/>
        </w:rPr>
        <w:t>地点：</w:t>
      </w:r>
      <w:r>
        <w:rPr>
          <w:rFonts w:hint="eastAsia" w:cs="宋体"/>
          <w:b/>
          <w:bCs/>
          <w:szCs w:val="21"/>
          <w:highlight w:val="none"/>
          <w:u w:val="single"/>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22042EFA">
      <w:pPr>
        <w:pStyle w:val="4"/>
        <w:numPr>
          <w:ilvl w:val="0"/>
          <w:numId w:val="0"/>
        </w:numPr>
        <w:snapToGrid w:val="0"/>
        <w:spacing w:before="165" w:beforeLines="50"/>
        <w:rPr>
          <w:rFonts w:eastAsia="宋体" w:cs="宋体"/>
          <w:sz w:val="21"/>
          <w:szCs w:val="21"/>
          <w:highlight w:val="none"/>
        </w:rPr>
      </w:pPr>
      <w:bookmarkStart w:id="49" w:name="_Toc4164"/>
      <w:bookmarkStart w:id="50" w:name="_Toc11416"/>
      <w:bookmarkStart w:id="51" w:name="_Toc2892"/>
      <w:bookmarkStart w:id="52" w:name="_Toc2003"/>
      <w:bookmarkStart w:id="53" w:name="_Toc165922924"/>
      <w:r>
        <w:rPr>
          <w:rFonts w:hint="eastAsia" w:eastAsia="宋体" w:cs="宋体"/>
          <w:sz w:val="21"/>
          <w:szCs w:val="21"/>
          <w:highlight w:val="none"/>
        </w:rPr>
        <w:t>五、开启</w:t>
      </w:r>
      <w:bookmarkEnd w:id="49"/>
      <w:bookmarkEnd w:id="50"/>
      <w:bookmarkEnd w:id="51"/>
      <w:bookmarkEnd w:id="52"/>
      <w:bookmarkEnd w:id="53"/>
    </w:p>
    <w:p w14:paraId="35EF989D">
      <w:pPr>
        <w:tabs>
          <w:tab w:val="left" w:pos="360"/>
          <w:tab w:val="left" w:pos="596"/>
        </w:tabs>
        <w:ind w:firstLine="420" w:firstLineChars="200"/>
        <w:jc w:val="left"/>
        <w:rPr>
          <w:rFonts w:cs="宋体"/>
          <w:bCs/>
          <w:szCs w:val="22"/>
          <w:highlight w:val="none"/>
        </w:rPr>
      </w:pPr>
      <w:r>
        <w:rPr>
          <w:rFonts w:hint="eastAsia" w:cs="宋体"/>
          <w:b/>
          <w:szCs w:val="22"/>
          <w:highlight w:val="none"/>
        </w:rPr>
        <w:t>时间：</w:t>
      </w:r>
      <w:r>
        <w:rPr>
          <w:rFonts w:hint="eastAsia" w:cs="宋体"/>
          <w:b/>
          <w:bCs/>
          <w:color w:val="FF0000"/>
          <w:szCs w:val="21"/>
          <w:highlight w:val="none"/>
          <w:u w:val="single"/>
        </w:rPr>
        <w:t>2026年</w:t>
      </w:r>
      <w:r>
        <w:rPr>
          <w:rFonts w:hint="eastAsia" w:cs="宋体"/>
          <w:b/>
          <w:bCs/>
          <w:color w:val="FF0000"/>
          <w:szCs w:val="21"/>
          <w:highlight w:val="none"/>
          <w:u w:val="single"/>
          <w:lang w:val="en-US" w:eastAsia="zh-CN"/>
        </w:rPr>
        <w:t>0</w:t>
      </w:r>
      <w:r>
        <w:rPr>
          <w:rFonts w:hint="eastAsia" w:cs="宋体"/>
          <w:b/>
          <w:bCs/>
          <w:color w:val="FF0000"/>
          <w:szCs w:val="21"/>
          <w:highlight w:val="none"/>
          <w:u w:val="single"/>
        </w:rPr>
        <w:t>9月</w:t>
      </w:r>
      <w:r>
        <w:rPr>
          <w:rFonts w:hint="eastAsia" w:cs="宋体"/>
          <w:b/>
          <w:bCs/>
          <w:color w:val="FF0000"/>
          <w:szCs w:val="21"/>
          <w:highlight w:val="none"/>
          <w:u w:val="single"/>
          <w:lang w:val="en-US" w:eastAsia="zh-CN"/>
        </w:rPr>
        <w:t>08</w:t>
      </w:r>
      <w:r>
        <w:rPr>
          <w:rFonts w:hint="eastAsia" w:cs="宋体"/>
          <w:b/>
          <w:bCs/>
          <w:color w:val="FF0000"/>
          <w:szCs w:val="21"/>
          <w:highlight w:val="none"/>
          <w:u w:val="single"/>
        </w:rPr>
        <w:t>日</w:t>
      </w:r>
      <w:r>
        <w:rPr>
          <w:rFonts w:hint="eastAsia" w:cs="宋体"/>
          <w:b/>
          <w:bCs/>
          <w:color w:val="FF0000"/>
          <w:szCs w:val="21"/>
          <w:highlight w:val="none"/>
          <w:u w:val="single"/>
          <w:lang w:val="en-US" w:eastAsia="zh-CN"/>
        </w:rPr>
        <w:t>09</w:t>
      </w:r>
      <w:r>
        <w:rPr>
          <w:rFonts w:hint="eastAsia" w:cs="宋体"/>
          <w:b/>
          <w:bCs/>
          <w:color w:val="FF0000"/>
          <w:szCs w:val="21"/>
          <w:highlight w:val="none"/>
          <w:u w:val="single"/>
        </w:rPr>
        <w:t>时</w:t>
      </w:r>
      <w:r>
        <w:rPr>
          <w:rFonts w:hint="eastAsia" w:cs="宋体"/>
          <w:b/>
          <w:bCs/>
          <w:color w:val="FF0000"/>
          <w:szCs w:val="21"/>
          <w:highlight w:val="none"/>
          <w:u w:val="single"/>
          <w:lang w:val="en-US" w:eastAsia="zh-CN"/>
        </w:rPr>
        <w:t>3</w:t>
      </w:r>
      <w:r>
        <w:rPr>
          <w:rFonts w:hint="eastAsia" w:cs="宋体"/>
          <w:b/>
          <w:bCs/>
          <w:color w:val="FF0000"/>
          <w:szCs w:val="21"/>
          <w:highlight w:val="none"/>
          <w:u w:val="single"/>
        </w:rPr>
        <w:t>0分</w:t>
      </w:r>
      <w:r>
        <w:rPr>
          <w:rFonts w:hint="eastAsia" w:cs="宋体"/>
          <w:bCs/>
          <w:szCs w:val="22"/>
          <w:highlight w:val="none"/>
        </w:rPr>
        <w:t>（北京时间）</w:t>
      </w:r>
    </w:p>
    <w:p w14:paraId="1DF9EFB2">
      <w:pPr>
        <w:tabs>
          <w:tab w:val="left" w:pos="360"/>
          <w:tab w:val="left" w:pos="596"/>
        </w:tabs>
        <w:ind w:firstLine="420" w:firstLineChars="200"/>
        <w:jc w:val="left"/>
        <w:rPr>
          <w:rFonts w:cs="宋体"/>
          <w:bCs/>
          <w:szCs w:val="22"/>
          <w:highlight w:val="none"/>
        </w:rPr>
      </w:pPr>
      <w:r>
        <w:rPr>
          <w:rFonts w:hint="eastAsia" w:cs="宋体"/>
          <w:b/>
          <w:szCs w:val="22"/>
          <w:highlight w:val="none"/>
        </w:rPr>
        <w:t>地点：</w:t>
      </w:r>
      <w:r>
        <w:rPr>
          <w:rFonts w:hint="eastAsia" w:cs="宋体"/>
          <w:b/>
          <w:szCs w:val="22"/>
          <w:highlight w:val="none"/>
          <w:u w:val="single"/>
        </w:rPr>
        <w:t>政采云平台电子开标厅</w:t>
      </w:r>
    </w:p>
    <w:p w14:paraId="331B7F62">
      <w:pPr>
        <w:pStyle w:val="4"/>
        <w:numPr>
          <w:ilvl w:val="0"/>
          <w:numId w:val="0"/>
        </w:numPr>
        <w:snapToGrid w:val="0"/>
        <w:spacing w:before="165" w:beforeLines="50"/>
        <w:rPr>
          <w:rFonts w:eastAsia="宋体" w:cs="宋体"/>
          <w:sz w:val="21"/>
          <w:szCs w:val="21"/>
          <w:highlight w:val="none"/>
        </w:rPr>
      </w:pPr>
      <w:bookmarkStart w:id="54" w:name="_Toc28875"/>
      <w:bookmarkStart w:id="55" w:name="_Toc28359007"/>
      <w:bookmarkStart w:id="56" w:name="_Toc4544"/>
      <w:bookmarkStart w:id="57" w:name="_Toc35393625"/>
      <w:bookmarkStart w:id="58" w:name="_Toc22013"/>
      <w:bookmarkStart w:id="59" w:name="_Toc28359084"/>
      <w:bookmarkStart w:id="60" w:name="_Toc54552204"/>
      <w:bookmarkStart w:id="61" w:name="_Toc27602"/>
      <w:bookmarkStart w:id="62" w:name="_Toc35393794"/>
      <w:r>
        <w:rPr>
          <w:rFonts w:hint="eastAsia" w:eastAsia="宋体" w:cs="宋体"/>
          <w:sz w:val="21"/>
          <w:szCs w:val="21"/>
          <w:highlight w:val="none"/>
        </w:rPr>
        <w:t>六、公告期限</w:t>
      </w:r>
      <w:bookmarkEnd w:id="54"/>
      <w:bookmarkEnd w:id="55"/>
      <w:bookmarkEnd w:id="56"/>
      <w:bookmarkEnd w:id="57"/>
      <w:bookmarkEnd w:id="58"/>
      <w:bookmarkEnd w:id="59"/>
      <w:bookmarkEnd w:id="60"/>
      <w:bookmarkEnd w:id="61"/>
      <w:bookmarkEnd w:id="62"/>
    </w:p>
    <w:p w14:paraId="225E9316">
      <w:pPr>
        <w:snapToGrid w:val="0"/>
        <w:spacing w:line="440" w:lineRule="exact"/>
        <w:ind w:firstLine="420" w:firstLineChars="200"/>
        <w:rPr>
          <w:rFonts w:cs="宋体"/>
          <w:kern w:val="0"/>
          <w:szCs w:val="21"/>
          <w:highlight w:val="none"/>
        </w:rPr>
      </w:pPr>
      <w:r>
        <w:rPr>
          <w:rFonts w:hint="eastAsia" w:cs="宋体"/>
          <w:kern w:val="0"/>
          <w:szCs w:val="21"/>
          <w:highlight w:val="none"/>
        </w:rPr>
        <w:t>自本公告发布之日起5个工作日。</w:t>
      </w:r>
    </w:p>
    <w:p w14:paraId="021CB044">
      <w:pPr>
        <w:pStyle w:val="4"/>
        <w:numPr>
          <w:ilvl w:val="0"/>
          <w:numId w:val="0"/>
        </w:numPr>
        <w:snapToGrid w:val="0"/>
        <w:spacing w:before="165" w:beforeLines="50"/>
        <w:rPr>
          <w:rFonts w:eastAsia="宋体" w:cs="宋体"/>
          <w:sz w:val="21"/>
          <w:szCs w:val="21"/>
          <w:highlight w:val="none"/>
        </w:rPr>
      </w:pPr>
      <w:bookmarkStart w:id="63" w:name="_Toc21877"/>
      <w:bookmarkStart w:id="64" w:name="_Toc10366"/>
      <w:bookmarkStart w:id="65" w:name="_Toc1308"/>
      <w:r>
        <w:rPr>
          <w:rFonts w:hint="eastAsia" w:eastAsia="宋体" w:cs="宋体"/>
          <w:sz w:val="21"/>
          <w:szCs w:val="21"/>
          <w:highlight w:val="none"/>
        </w:rPr>
        <w:t>七、其他补充事宜</w:t>
      </w:r>
      <w:bookmarkEnd w:id="63"/>
      <w:bookmarkEnd w:id="64"/>
      <w:bookmarkEnd w:id="65"/>
    </w:p>
    <w:p w14:paraId="6E11ED73">
      <w:pPr>
        <w:spacing w:line="500" w:lineRule="exact"/>
        <w:ind w:firstLine="420" w:firstLineChars="200"/>
        <w:rPr>
          <w:rFonts w:cs="宋体"/>
          <w:highlight w:val="none"/>
        </w:rPr>
      </w:pPr>
      <w:r>
        <w:rPr>
          <w:rFonts w:hint="eastAsia" w:cs="宋体"/>
          <w:highlight w:val="none"/>
        </w:rPr>
        <w:t>开标方式：</w:t>
      </w:r>
      <w:r>
        <w:rPr>
          <w:rFonts w:hint="eastAsia" w:cs="宋体"/>
          <w:bCs/>
          <w:szCs w:val="21"/>
          <w:highlight w:val="none"/>
        </w:rPr>
        <w:t>网上开标</w:t>
      </w:r>
    </w:p>
    <w:p w14:paraId="317E81A6">
      <w:pPr>
        <w:spacing w:line="500" w:lineRule="exact"/>
        <w:ind w:firstLine="420" w:firstLineChars="200"/>
        <w:rPr>
          <w:rFonts w:cs="宋体"/>
          <w:b/>
          <w:bCs/>
          <w:highlight w:val="none"/>
        </w:rPr>
      </w:pPr>
      <w:r>
        <w:rPr>
          <w:rFonts w:hint="eastAsia" w:cs="宋体"/>
          <w:b/>
          <w:bCs/>
          <w:highlight w:val="none"/>
        </w:rPr>
        <w:t>投标有效期(日历天)：90</w:t>
      </w:r>
    </w:p>
    <w:p w14:paraId="4C8BAD2C">
      <w:pPr>
        <w:spacing w:line="500" w:lineRule="exact"/>
        <w:ind w:firstLine="420" w:firstLineChars="200"/>
        <w:rPr>
          <w:rFonts w:cs="宋体"/>
          <w:b/>
          <w:bCs/>
          <w:highlight w:val="none"/>
        </w:rPr>
      </w:pPr>
      <w:r>
        <w:rPr>
          <w:rFonts w:hint="eastAsia" w:cs="宋体"/>
          <w:b/>
          <w:bCs/>
          <w:highlight w:val="none"/>
        </w:rPr>
        <w:t>是否需要缴纳投标保证金：否</w:t>
      </w:r>
    </w:p>
    <w:p w14:paraId="288DBA22">
      <w:pPr>
        <w:spacing w:line="500" w:lineRule="exact"/>
        <w:ind w:firstLine="420" w:firstLineChars="200"/>
        <w:rPr>
          <w:rFonts w:cs="宋体"/>
          <w:b/>
          <w:bCs/>
          <w:highlight w:val="none"/>
        </w:rPr>
      </w:pPr>
      <w:r>
        <w:rPr>
          <w:rFonts w:hint="eastAsia" w:cs="宋体"/>
          <w:b/>
          <w:bCs/>
          <w:highlight w:val="none"/>
        </w:rPr>
        <w:t>其他：</w:t>
      </w:r>
    </w:p>
    <w:p w14:paraId="7F60CA22">
      <w:pPr>
        <w:ind w:firstLine="420" w:firstLineChars="200"/>
        <w:rPr>
          <w:rFonts w:cs="宋体"/>
          <w:szCs w:val="21"/>
          <w:highlight w:val="none"/>
        </w:rPr>
      </w:pPr>
      <w:r>
        <w:rPr>
          <w:rFonts w:hint="eastAsia" w:cs="宋体"/>
          <w:b/>
          <w:bCs/>
          <w:szCs w:val="21"/>
          <w:highlight w:val="none"/>
        </w:rPr>
        <w:t>★1、交付时间：</w:t>
      </w:r>
      <w:r>
        <w:rPr>
          <w:rFonts w:hint="eastAsia" w:cs="宋体"/>
          <w:szCs w:val="21"/>
          <w:highlight w:val="none"/>
        </w:rPr>
        <w:t>接到采购人通知后按通知规定时间内完成单次印制任务并完成交邮局工作。</w:t>
      </w:r>
    </w:p>
    <w:p w14:paraId="361AF029">
      <w:pPr>
        <w:ind w:firstLine="420" w:firstLineChars="200"/>
        <w:rPr>
          <w:rFonts w:cs="宋体"/>
          <w:szCs w:val="21"/>
          <w:highlight w:val="none"/>
        </w:rPr>
      </w:pPr>
      <w:r>
        <w:rPr>
          <w:rFonts w:hint="eastAsia" w:cs="宋体"/>
          <w:b/>
          <w:bCs/>
          <w:szCs w:val="21"/>
          <w:highlight w:val="none"/>
        </w:rPr>
        <w:t>★2、服务地点：</w:t>
      </w:r>
      <w:r>
        <w:rPr>
          <w:rFonts w:hint="eastAsia" w:cs="宋体"/>
          <w:szCs w:val="21"/>
          <w:highlight w:val="none"/>
        </w:rPr>
        <w:t>采购人指定地点。</w:t>
      </w:r>
    </w:p>
    <w:p w14:paraId="3B5AACEF">
      <w:pPr>
        <w:ind w:firstLine="420" w:firstLineChars="200"/>
        <w:rPr>
          <w:rFonts w:cs="宋体"/>
          <w:b/>
          <w:bCs/>
          <w:szCs w:val="21"/>
          <w:highlight w:val="none"/>
        </w:rPr>
      </w:pPr>
      <w:r>
        <w:rPr>
          <w:rFonts w:hint="eastAsia" w:cs="宋体"/>
          <w:b/>
          <w:bCs/>
          <w:szCs w:val="21"/>
          <w:highlight w:val="none"/>
        </w:rPr>
        <w:t>★</w:t>
      </w:r>
      <w:r>
        <w:rPr>
          <w:rFonts w:hint="eastAsia" w:cs="宋体"/>
          <w:b/>
          <w:bCs/>
          <w:highlight w:val="none"/>
        </w:rPr>
        <w:t>3、</w:t>
      </w:r>
      <w:r>
        <w:rPr>
          <w:rFonts w:hint="eastAsia" w:cs="宋体"/>
          <w:b/>
          <w:bCs/>
          <w:szCs w:val="21"/>
          <w:highlight w:val="none"/>
        </w:rPr>
        <w:t>服务标准：</w:t>
      </w:r>
      <w:r>
        <w:rPr>
          <w:rFonts w:hint="eastAsia" w:cs="宋体"/>
          <w:szCs w:val="21"/>
          <w:highlight w:val="none"/>
        </w:rPr>
        <w:t>符合国家相关标准、行业标准、地方标准或者其他标准、规范，满足采购文件及采购方要求。</w:t>
      </w:r>
    </w:p>
    <w:p w14:paraId="4452DA78">
      <w:pPr>
        <w:spacing w:line="440" w:lineRule="exact"/>
        <w:ind w:firstLine="420" w:firstLineChars="200"/>
        <w:rPr>
          <w:rFonts w:cs="宋体"/>
          <w:bCs/>
          <w:szCs w:val="22"/>
          <w:highlight w:val="none"/>
        </w:rPr>
      </w:pPr>
      <w:r>
        <w:rPr>
          <w:rFonts w:hint="eastAsia" w:cs="宋体"/>
          <w:b/>
          <w:bCs/>
          <w:szCs w:val="21"/>
          <w:highlight w:val="none"/>
          <w:lang w:val="en-US" w:eastAsia="zh-CN"/>
        </w:rPr>
        <w:t>4</w:t>
      </w:r>
      <w:r>
        <w:rPr>
          <w:rFonts w:hint="eastAsia" w:cs="宋体"/>
          <w:b/>
          <w:bCs/>
          <w:szCs w:val="21"/>
          <w:highlight w:val="none"/>
        </w:rPr>
        <w:t>、本项目公告发布媒体：在</w:t>
      </w:r>
      <w:r>
        <w:rPr>
          <w:rFonts w:hint="eastAsia" w:cs="宋体"/>
          <w:b/>
          <w:bCs/>
          <w:szCs w:val="22"/>
          <w:highlight w:val="none"/>
        </w:rPr>
        <w:t>《云南省政府采购网》、《政府采购云平台》上发布。</w:t>
      </w:r>
      <w:r>
        <w:rPr>
          <w:rFonts w:hint="eastAsia" w:cs="宋体"/>
          <w:bCs/>
          <w:szCs w:val="22"/>
          <w:highlight w:val="none"/>
        </w:rPr>
        <w:t>采购人及采购代理机构对其他网站发布或转载的公告内容不承担任何责任。</w:t>
      </w:r>
    </w:p>
    <w:p w14:paraId="040C290C">
      <w:pPr>
        <w:tabs>
          <w:tab w:val="left" w:pos="360"/>
          <w:tab w:val="left" w:pos="596"/>
        </w:tabs>
        <w:jc w:val="left"/>
        <w:rPr>
          <w:rFonts w:cs="宋体"/>
          <w:bCs/>
          <w:szCs w:val="22"/>
          <w:highlight w:val="none"/>
        </w:rPr>
      </w:pPr>
      <w:r>
        <w:rPr>
          <w:rFonts w:hint="eastAsia" w:cs="宋体"/>
          <w:b/>
          <w:szCs w:val="22"/>
          <w:highlight w:val="none"/>
        </w:rPr>
        <w:t>注：</w:t>
      </w:r>
      <w:r>
        <w:rPr>
          <w:rFonts w:hint="eastAsia" w:cs="宋体"/>
          <w:bCs/>
          <w:szCs w:val="22"/>
          <w:highlight w:val="none"/>
        </w:rPr>
        <w:t>1.本项目为不见面开标，投标单位无需到达现场；</w:t>
      </w:r>
    </w:p>
    <w:p w14:paraId="19ABFB5A">
      <w:pPr>
        <w:tabs>
          <w:tab w:val="left" w:pos="360"/>
          <w:tab w:val="left" w:pos="596"/>
        </w:tabs>
        <w:ind w:firstLine="420" w:firstLineChars="200"/>
        <w:jc w:val="left"/>
        <w:rPr>
          <w:rFonts w:cs="宋体"/>
          <w:bCs/>
          <w:szCs w:val="22"/>
          <w:highlight w:val="none"/>
        </w:rPr>
      </w:pPr>
      <w:r>
        <w:rPr>
          <w:rFonts w:hint="eastAsia" w:cs="宋体"/>
          <w:bCs/>
          <w:szCs w:val="22"/>
          <w:highlight w:val="none"/>
        </w:rPr>
        <w:t>2.本项目实行网上投标，采用电子投标文件；</w:t>
      </w:r>
    </w:p>
    <w:p w14:paraId="49A4DC25">
      <w:pPr>
        <w:tabs>
          <w:tab w:val="left" w:pos="360"/>
          <w:tab w:val="left" w:pos="596"/>
        </w:tabs>
        <w:ind w:firstLine="420" w:firstLineChars="200"/>
        <w:jc w:val="left"/>
        <w:rPr>
          <w:rFonts w:cs="宋体"/>
          <w:bCs/>
          <w:szCs w:val="22"/>
          <w:highlight w:val="none"/>
        </w:rPr>
      </w:pPr>
      <w:r>
        <w:rPr>
          <w:rFonts w:hint="eastAsia" w:cs="宋体"/>
          <w:bCs/>
          <w:szCs w:val="22"/>
          <w:highlight w:val="none"/>
        </w:rPr>
        <w:t>3.各投标人应在开标前应确保成为政采云平台供应商，并完成CA数字证书申领。因未注册入库、未办理CA数字证书等原因造成无法投标或投标失败等后果由供应商自行承担。凡有意参加投标的投标人，须在政采云平台办理数字证书（CA）CA申领链接：https://middle.zcygov.cn/ca/apply/list?_app_=zcy.sys，并通过政采云绑定数字证书（CA）后在网上获取采购文件及其它采购资料（如有），数字证书（CA）详见其办理流程；</w:t>
      </w:r>
    </w:p>
    <w:p w14:paraId="1CA6692B">
      <w:pPr>
        <w:pStyle w:val="34"/>
        <w:ind w:firstLine="420" w:firstLineChars="200"/>
        <w:rPr>
          <w:rFonts w:ascii="宋体" w:hAnsi="宋体" w:eastAsia="宋体" w:cs="宋体"/>
          <w:b w:val="0"/>
          <w:bCs/>
          <w:spacing w:val="0"/>
          <w:sz w:val="21"/>
          <w:szCs w:val="22"/>
          <w:highlight w:val="none"/>
        </w:rPr>
      </w:pPr>
      <w:r>
        <w:rPr>
          <w:rFonts w:hint="eastAsia" w:ascii="宋体" w:hAnsi="宋体" w:eastAsia="宋体" w:cs="宋体"/>
          <w:b w:val="0"/>
          <w:bCs/>
          <w:spacing w:val="0"/>
          <w:sz w:val="21"/>
          <w:szCs w:val="22"/>
          <w:highlight w:val="none"/>
        </w:rPr>
        <w:t>4.投标人将政采云电子交易客户端下载、安装完成后，可通过账号密码或CA登录客户端进行投标文件的制作。在使用政采云投标客户端时，建议使用WIN7（64位）及以上操作系统。客户端请至政采云公司网站</w:t>
      </w:r>
      <w:r>
        <w:rPr>
          <w:rFonts w:hint="eastAsia" w:ascii="宋体" w:hAnsi="宋体" w:eastAsia="宋体" w:cs="宋体"/>
          <w:b w:val="0"/>
          <w:spacing w:val="0"/>
          <w:sz w:val="21"/>
          <w:szCs w:val="22"/>
          <w:highlight w:val="none"/>
        </w:rPr>
        <w:t>（https://edu.zcygov.cn/luban/yunnan-dzjy-gys）</w:t>
      </w:r>
      <w:r>
        <w:rPr>
          <w:rFonts w:hint="eastAsia" w:ascii="宋体" w:hAnsi="宋体" w:eastAsia="宋体" w:cs="宋体"/>
          <w:b w:val="0"/>
          <w:bCs/>
          <w:spacing w:val="0"/>
          <w:sz w:val="21"/>
          <w:szCs w:val="22"/>
          <w:highlight w:val="none"/>
        </w:rPr>
        <w:t>进行查看下载，如有问题可拨打政采云客户服务热线</w:t>
      </w:r>
      <w:r>
        <w:rPr>
          <w:rFonts w:hint="eastAsia" w:ascii="宋体" w:hAnsi="宋体" w:eastAsia="宋体" w:cs="宋体"/>
          <w:bCs/>
          <w:spacing w:val="0"/>
          <w:sz w:val="21"/>
          <w:szCs w:val="22"/>
          <w:highlight w:val="none"/>
        </w:rPr>
        <w:t>95763</w:t>
      </w:r>
      <w:r>
        <w:rPr>
          <w:rFonts w:hint="eastAsia" w:ascii="宋体" w:hAnsi="宋体" w:eastAsia="宋体" w:cs="宋体"/>
          <w:b w:val="0"/>
          <w:bCs/>
          <w:spacing w:val="0"/>
          <w:sz w:val="21"/>
          <w:szCs w:val="22"/>
          <w:highlight w:val="none"/>
        </w:rPr>
        <w:t>进行咨询以及云南CA操作问题：请致电云南CA，</w:t>
      </w:r>
      <w:r>
        <w:rPr>
          <w:rFonts w:hint="eastAsia" w:ascii="宋体" w:hAnsi="宋体" w:eastAsia="宋体" w:cs="宋体"/>
          <w:b w:val="0"/>
          <w:spacing w:val="0"/>
          <w:sz w:val="21"/>
          <w:szCs w:val="22"/>
          <w:highlight w:val="none"/>
        </w:rPr>
        <w:t>4006727666</w:t>
      </w:r>
      <w:r>
        <w:rPr>
          <w:rFonts w:hint="eastAsia" w:ascii="宋体" w:hAnsi="宋体" w:eastAsia="宋体" w:cs="宋体"/>
          <w:b w:val="0"/>
          <w:bCs/>
          <w:spacing w:val="0"/>
          <w:sz w:val="21"/>
          <w:szCs w:val="22"/>
          <w:highlight w:val="none"/>
        </w:rPr>
        <w:t>；云南CA紧急联系方式：</w:t>
      </w:r>
      <w:r>
        <w:rPr>
          <w:rFonts w:hint="eastAsia" w:ascii="宋体" w:hAnsi="宋体" w:eastAsia="宋体" w:cs="宋体"/>
          <w:b w:val="0"/>
          <w:spacing w:val="0"/>
          <w:sz w:val="21"/>
          <w:szCs w:val="22"/>
          <w:highlight w:val="none"/>
        </w:rPr>
        <w:t>15288315056</w:t>
      </w:r>
      <w:r>
        <w:rPr>
          <w:rFonts w:hint="eastAsia" w:ascii="宋体" w:hAnsi="宋体" w:eastAsia="宋体" w:cs="宋体"/>
          <w:b w:val="0"/>
          <w:bCs/>
          <w:spacing w:val="0"/>
          <w:sz w:val="21"/>
          <w:szCs w:val="22"/>
          <w:highlight w:val="none"/>
        </w:rPr>
        <w:t>。如因投标人自身原因导致在规定时间内无法正常解密的（如：浏览器故障、未安装相关驱动、网络故障、加密CA与解密CA不一致等），代理机构不予异常处理，视为投标人自动弃标。</w:t>
      </w:r>
    </w:p>
    <w:p w14:paraId="06BD0BFB">
      <w:pPr>
        <w:pStyle w:val="34"/>
        <w:ind w:firstLine="420" w:firstLineChars="200"/>
        <w:rPr>
          <w:rFonts w:ascii="宋体" w:hAnsi="宋体" w:eastAsia="宋体" w:cs="宋体"/>
          <w:highlight w:val="none"/>
        </w:rPr>
      </w:pPr>
      <w:r>
        <w:rPr>
          <w:rFonts w:hint="eastAsia" w:ascii="宋体" w:hAnsi="宋体" w:eastAsia="宋体" w:cs="宋体"/>
          <w:b w:val="0"/>
          <w:bCs/>
          <w:spacing w:val="0"/>
          <w:sz w:val="21"/>
          <w:szCs w:val="22"/>
          <w:highlight w:val="none"/>
        </w:rPr>
        <w:t>云南壹证通CA操作问题请致电：4000040628；云南壹证通CA紧急联系方式：19988166369。</w:t>
      </w:r>
    </w:p>
    <w:bookmarkEnd w:id="6"/>
    <w:bookmarkEnd w:id="7"/>
    <w:bookmarkEnd w:id="8"/>
    <w:bookmarkEnd w:id="42"/>
    <w:bookmarkEnd w:id="43"/>
    <w:bookmarkEnd w:id="44"/>
    <w:bookmarkEnd w:id="45"/>
    <w:p w14:paraId="16631EB4">
      <w:pPr>
        <w:pStyle w:val="4"/>
        <w:numPr>
          <w:ilvl w:val="0"/>
          <w:numId w:val="0"/>
        </w:numPr>
        <w:snapToGrid w:val="0"/>
        <w:spacing w:before="165" w:beforeLines="50"/>
        <w:rPr>
          <w:rFonts w:eastAsia="宋体" w:cs="宋体"/>
          <w:sz w:val="21"/>
          <w:szCs w:val="21"/>
          <w:highlight w:val="none"/>
        </w:rPr>
      </w:pPr>
      <w:bookmarkStart w:id="66" w:name="_Toc20759"/>
      <w:bookmarkStart w:id="67" w:name="_Toc2074"/>
      <w:bookmarkStart w:id="68" w:name="_Toc24452"/>
      <w:bookmarkStart w:id="69" w:name="_Toc8722"/>
      <w:bookmarkStart w:id="70" w:name="_Toc1621"/>
      <w:bookmarkStart w:id="71" w:name="_Toc25059"/>
      <w:r>
        <w:rPr>
          <w:rFonts w:hint="eastAsia" w:eastAsia="宋体" w:cs="宋体"/>
          <w:sz w:val="21"/>
          <w:szCs w:val="21"/>
          <w:highlight w:val="none"/>
        </w:rPr>
        <w:t>八、对本次招标提出询问，请按以下方式联系</w:t>
      </w:r>
      <w:bookmarkEnd w:id="66"/>
      <w:bookmarkEnd w:id="67"/>
      <w:r>
        <w:rPr>
          <w:rFonts w:hint="eastAsia" w:eastAsia="宋体" w:cs="宋体"/>
          <w:sz w:val="21"/>
          <w:szCs w:val="21"/>
          <w:highlight w:val="none"/>
        </w:rPr>
        <w:t>。</w:t>
      </w:r>
      <w:bookmarkEnd w:id="68"/>
      <w:bookmarkEnd w:id="69"/>
    </w:p>
    <w:p w14:paraId="43EE4249">
      <w:pPr>
        <w:widowControl/>
        <w:snapToGrid w:val="0"/>
        <w:spacing w:line="440" w:lineRule="exact"/>
        <w:ind w:firstLine="420"/>
        <w:jc w:val="left"/>
        <w:rPr>
          <w:rFonts w:cs="宋体"/>
          <w:b/>
          <w:bCs/>
          <w:szCs w:val="21"/>
          <w:highlight w:val="none"/>
        </w:rPr>
      </w:pPr>
      <w:r>
        <w:rPr>
          <w:rFonts w:hint="eastAsia" w:cs="宋体"/>
          <w:b/>
          <w:bCs/>
          <w:szCs w:val="21"/>
          <w:highlight w:val="none"/>
        </w:rPr>
        <w:t>1.采购人信息</w:t>
      </w:r>
    </w:p>
    <w:p w14:paraId="73510AE6">
      <w:pPr>
        <w:spacing w:line="440" w:lineRule="exact"/>
        <w:ind w:firstLine="420" w:firstLineChars="200"/>
        <w:rPr>
          <w:rFonts w:cs="宋体"/>
          <w:szCs w:val="21"/>
          <w:highlight w:val="none"/>
          <w:u w:val="none"/>
        </w:rPr>
      </w:pPr>
      <w:r>
        <w:rPr>
          <w:rFonts w:hint="eastAsia" w:cs="宋体"/>
          <w:szCs w:val="21"/>
          <w:highlight w:val="none"/>
        </w:rPr>
        <w:t>名称：</w:t>
      </w:r>
      <w:r>
        <w:rPr>
          <w:rFonts w:hint="eastAsia" w:cs="宋体"/>
          <w:szCs w:val="21"/>
          <w:highlight w:val="none"/>
          <w:u w:val="none"/>
        </w:rPr>
        <w:t>云南政协报社</w:t>
      </w:r>
    </w:p>
    <w:p w14:paraId="1538D12A">
      <w:pPr>
        <w:spacing w:line="440" w:lineRule="exact"/>
        <w:ind w:firstLine="420" w:firstLineChars="200"/>
        <w:rPr>
          <w:rFonts w:cs="宋体"/>
          <w:szCs w:val="21"/>
          <w:highlight w:val="none"/>
          <w:u w:val="none"/>
        </w:rPr>
      </w:pPr>
      <w:bookmarkStart w:id="72" w:name="_Toc28359097"/>
      <w:bookmarkStart w:id="73" w:name="_Toc35393807"/>
      <w:bookmarkStart w:id="74" w:name="_Toc28359020"/>
      <w:bookmarkStart w:id="75" w:name="_Toc35393638"/>
      <w:r>
        <w:rPr>
          <w:rFonts w:hint="eastAsia" w:cs="宋体"/>
          <w:bCs/>
          <w:szCs w:val="21"/>
          <w:highlight w:val="none"/>
          <w:u w:val="none"/>
        </w:rPr>
        <w:t>地址</w:t>
      </w:r>
      <w:r>
        <w:rPr>
          <w:rFonts w:hint="eastAsia" w:cs="宋体"/>
          <w:szCs w:val="21"/>
          <w:highlight w:val="none"/>
          <w:u w:val="none"/>
        </w:rPr>
        <w:t>：昆明市西山区广福路2号</w:t>
      </w:r>
    </w:p>
    <w:p w14:paraId="56E275C8">
      <w:pPr>
        <w:spacing w:line="440" w:lineRule="exact"/>
        <w:ind w:firstLine="420" w:firstLineChars="200"/>
        <w:rPr>
          <w:rFonts w:cs="宋体"/>
          <w:bCs/>
          <w:szCs w:val="21"/>
          <w:highlight w:val="none"/>
          <w:u w:val="none"/>
        </w:rPr>
      </w:pPr>
      <w:r>
        <w:rPr>
          <w:rFonts w:hint="eastAsia" w:cs="宋体"/>
          <w:bCs/>
          <w:szCs w:val="21"/>
          <w:highlight w:val="none"/>
          <w:u w:val="none"/>
        </w:rPr>
        <w:t>联系方式：0871-63997407</w:t>
      </w:r>
    </w:p>
    <w:bookmarkEnd w:id="72"/>
    <w:bookmarkEnd w:id="73"/>
    <w:bookmarkEnd w:id="74"/>
    <w:bookmarkEnd w:id="75"/>
    <w:p w14:paraId="3D8A29E4">
      <w:pPr>
        <w:tabs>
          <w:tab w:val="left" w:pos="312"/>
        </w:tabs>
        <w:adjustRightInd w:val="0"/>
        <w:snapToGrid w:val="0"/>
        <w:ind w:firstLine="420" w:firstLineChars="200"/>
        <w:rPr>
          <w:rFonts w:cs="宋体"/>
          <w:b/>
          <w:szCs w:val="21"/>
          <w:highlight w:val="none"/>
        </w:rPr>
      </w:pPr>
      <w:r>
        <w:rPr>
          <w:rFonts w:hint="eastAsia" w:cs="宋体"/>
          <w:b/>
          <w:szCs w:val="21"/>
          <w:highlight w:val="none"/>
        </w:rPr>
        <w:t>2</w:t>
      </w:r>
      <w:r>
        <w:rPr>
          <w:rFonts w:cs="宋体"/>
          <w:b/>
          <w:szCs w:val="21"/>
          <w:highlight w:val="none"/>
        </w:rPr>
        <w:t>.</w:t>
      </w:r>
      <w:r>
        <w:rPr>
          <w:rFonts w:hint="eastAsia" w:cs="宋体"/>
          <w:b/>
          <w:szCs w:val="21"/>
          <w:highlight w:val="none"/>
        </w:rPr>
        <w:t>采购代理机构信息</w:t>
      </w:r>
    </w:p>
    <w:p w14:paraId="082BA4C5">
      <w:pPr>
        <w:widowControl/>
        <w:ind w:firstLine="424" w:firstLineChars="202"/>
        <w:jc w:val="left"/>
        <w:rPr>
          <w:rFonts w:cs="宋体"/>
          <w:szCs w:val="21"/>
          <w:highlight w:val="none"/>
        </w:rPr>
      </w:pPr>
      <w:r>
        <w:rPr>
          <w:rFonts w:hint="eastAsia" w:cs="宋体"/>
          <w:szCs w:val="21"/>
          <w:highlight w:val="none"/>
        </w:rPr>
        <w:t>2.采购代理机构信息</w:t>
      </w:r>
    </w:p>
    <w:p w14:paraId="0FF09AD2">
      <w:pPr>
        <w:widowControl/>
        <w:ind w:firstLine="424" w:firstLineChars="202"/>
        <w:jc w:val="left"/>
        <w:rPr>
          <w:rFonts w:cs="宋体"/>
          <w:szCs w:val="21"/>
          <w:highlight w:val="none"/>
        </w:rPr>
      </w:pPr>
      <w:r>
        <w:rPr>
          <w:rFonts w:hint="eastAsia" w:cs="宋体"/>
          <w:szCs w:val="21"/>
          <w:highlight w:val="none"/>
        </w:rPr>
        <w:t>名 称：云南招标股份有限公司</w:t>
      </w:r>
    </w:p>
    <w:p w14:paraId="4EDF0EFC">
      <w:pPr>
        <w:widowControl/>
        <w:ind w:firstLine="424" w:firstLineChars="202"/>
        <w:jc w:val="left"/>
        <w:rPr>
          <w:rFonts w:cs="宋体"/>
          <w:szCs w:val="21"/>
          <w:highlight w:val="none"/>
        </w:rPr>
      </w:pPr>
      <w:r>
        <w:rPr>
          <w:rFonts w:hint="eastAsia" w:cs="宋体"/>
          <w:szCs w:val="21"/>
          <w:highlight w:val="none"/>
        </w:rPr>
        <w:t>地址：云南省昆明市人民西路328号</w:t>
      </w:r>
    </w:p>
    <w:p w14:paraId="646C52AD">
      <w:pPr>
        <w:widowControl/>
        <w:ind w:firstLine="424" w:firstLineChars="202"/>
        <w:jc w:val="left"/>
        <w:rPr>
          <w:rFonts w:cs="宋体"/>
          <w:szCs w:val="21"/>
          <w:highlight w:val="none"/>
        </w:rPr>
      </w:pPr>
      <w:r>
        <w:rPr>
          <w:rFonts w:hint="eastAsia" w:cs="宋体"/>
          <w:szCs w:val="21"/>
          <w:highlight w:val="none"/>
        </w:rPr>
        <w:t>联系方式：</w:t>
      </w:r>
      <w:bookmarkStart w:id="76" w:name="_Hlk44863451"/>
      <w:bookmarkStart w:id="77" w:name="_Toc28359087"/>
      <w:bookmarkStart w:id="78" w:name="_Toc28359010"/>
      <w:r>
        <w:rPr>
          <w:rFonts w:hint="eastAsia" w:cs="宋体"/>
          <w:szCs w:val="21"/>
          <w:highlight w:val="none"/>
        </w:rPr>
        <w:t>0871-65</w:t>
      </w:r>
      <w:bookmarkEnd w:id="76"/>
      <w:r>
        <w:rPr>
          <w:rFonts w:hint="eastAsia" w:cs="宋体"/>
          <w:szCs w:val="21"/>
          <w:highlight w:val="none"/>
        </w:rPr>
        <w:t>718952</w:t>
      </w:r>
    </w:p>
    <w:p w14:paraId="1DAE4F91">
      <w:pPr>
        <w:widowControl/>
        <w:ind w:firstLine="424" w:firstLineChars="202"/>
        <w:jc w:val="left"/>
        <w:rPr>
          <w:rFonts w:cs="宋体"/>
          <w:szCs w:val="21"/>
          <w:highlight w:val="none"/>
        </w:rPr>
      </w:pPr>
      <w:r>
        <w:rPr>
          <w:rFonts w:hint="eastAsia" w:cs="宋体"/>
          <w:szCs w:val="21"/>
          <w:highlight w:val="none"/>
        </w:rPr>
        <w:t>3.项目联系方式</w:t>
      </w:r>
      <w:bookmarkEnd w:id="77"/>
      <w:bookmarkEnd w:id="78"/>
    </w:p>
    <w:p w14:paraId="24C97927">
      <w:pPr>
        <w:widowControl/>
        <w:ind w:firstLine="424" w:firstLineChars="202"/>
        <w:jc w:val="left"/>
        <w:rPr>
          <w:rFonts w:hint="default" w:eastAsia="宋体" w:cs="宋体"/>
          <w:szCs w:val="21"/>
          <w:highlight w:val="none"/>
          <w:lang w:val="en-US" w:eastAsia="zh-CN"/>
        </w:rPr>
      </w:pPr>
      <w:r>
        <w:rPr>
          <w:rFonts w:hint="eastAsia" w:cs="宋体"/>
          <w:szCs w:val="21"/>
          <w:highlight w:val="none"/>
        </w:rPr>
        <w:t>项目联系人：徐乐乐、罗渊、赵伟宏、雷海生</w:t>
      </w:r>
      <w:r>
        <w:rPr>
          <w:rFonts w:hint="eastAsia" w:cs="宋体"/>
          <w:szCs w:val="21"/>
          <w:highlight w:val="none"/>
          <w:lang w:eastAsia="zh-CN"/>
        </w:rPr>
        <w:t>、</w:t>
      </w:r>
      <w:r>
        <w:rPr>
          <w:rFonts w:hint="eastAsia" w:cs="宋体"/>
          <w:szCs w:val="21"/>
          <w:highlight w:val="none"/>
          <w:lang w:val="en-US" w:eastAsia="zh-CN"/>
        </w:rPr>
        <w:t>罗红坚</w:t>
      </w:r>
    </w:p>
    <w:p w14:paraId="1C659C2D">
      <w:pPr>
        <w:spacing w:line="440" w:lineRule="exact"/>
        <w:ind w:firstLine="420" w:firstLineChars="200"/>
        <w:rPr>
          <w:rFonts w:cs="宋体"/>
          <w:szCs w:val="21"/>
          <w:highlight w:val="none"/>
        </w:rPr>
      </w:pPr>
      <w:r>
        <w:rPr>
          <w:rFonts w:hint="eastAsia" w:cs="宋体"/>
          <w:szCs w:val="21"/>
          <w:highlight w:val="none"/>
        </w:rPr>
        <w:t>电　话：0871-65718952</w:t>
      </w:r>
    </w:p>
    <w:p w14:paraId="5DCB4E82">
      <w:pPr>
        <w:rPr>
          <w:rFonts w:cs="宋体"/>
          <w:b/>
          <w:bCs/>
          <w:sz w:val="36"/>
          <w:highlight w:val="none"/>
        </w:rPr>
      </w:pPr>
      <w:r>
        <w:rPr>
          <w:rFonts w:hint="eastAsia" w:cs="宋体"/>
          <w:b/>
          <w:bCs/>
          <w:sz w:val="36"/>
          <w:highlight w:val="none"/>
        </w:rPr>
        <w:br w:type="page"/>
      </w:r>
    </w:p>
    <w:p w14:paraId="4076846C">
      <w:pPr>
        <w:pStyle w:val="3"/>
        <w:numPr>
          <w:ilvl w:val="0"/>
          <w:numId w:val="0"/>
        </w:numPr>
        <w:jc w:val="center"/>
        <w:rPr>
          <w:rFonts w:eastAsia="宋体" w:cs="宋体"/>
          <w:bCs/>
          <w:sz w:val="36"/>
          <w:highlight w:val="none"/>
        </w:rPr>
      </w:pPr>
      <w:bookmarkStart w:id="79" w:name="_Toc30114"/>
      <w:bookmarkStart w:id="80" w:name="_Toc2718"/>
      <w:r>
        <w:rPr>
          <w:rFonts w:hint="eastAsia" w:eastAsia="宋体" w:cs="宋体"/>
          <w:bCs/>
          <w:sz w:val="36"/>
          <w:highlight w:val="none"/>
        </w:rPr>
        <w:t>第二章  投标人须知</w:t>
      </w:r>
      <w:bookmarkEnd w:id="70"/>
      <w:bookmarkEnd w:id="71"/>
      <w:bookmarkEnd w:id="79"/>
      <w:bookmarkEnd w:id="80"/>
    </w:p>
    <w:p w14:paraId="4C6FE6F3">
      <w:pPr>
        <w:pStyle w:val="4"/>
        <w:numPr>
          <w:ilvl w:val="1"/>
          <w:numId w:val="0"/>
        </w:numPr>
        <w:tabs>
          <w:tab w:val="left" w:pos="420"/>
          <w:tab w:val="left" w:pos="6090"/>
        </w:tabs>
        <w:ind w:left="-2" w:leftChars="-1"/>
        <w:jc w:val="center"/>
        <w:rPr>
          <w:rFonts w:eastAsia="宋体" w:cs="宋体"/>
          <w:szCs w:val="28"/>
          <w:highlight w:val="none"/>
        </w:rPr>
      </w:pPr>
      <w:bookmarkStart w:id="81" w:name="_Toc27995"/>
      <w:bookmarkStart w:id="82" w:name="_Toc25824"/>
      <w:bookmarkStart w:id="83" w:name="_Toc172205070"/>
      <w:bookmarkStart w:id="84" w:name="_Toc25256"/>
      <w:bookmarkStart w:id="85" w:name="_Toc16959"/>
      <w:r>
        <w:rPr>
          <w:rFonts w:hint="eastAsia" w:eastAsia="宋体" w:cs="宋体"/>
          <w:szCs w:val="28"/>
          <w:highlight w:val="none"/>
        </w:rPr>
        <w:t>投标人须知前附表</w:t>
      </w:r>
      <w:bookmarkEnd w:id="81"/>
      <w:bookmarkEnd w:id="82"/>
      <w:bookmarkEnd w:id="83"/>
      <w:bookmarkEnd w:id="84"/>
      <w:bookmarkEnd w:id="85"/>
    </w:p>
    <w:tbl>
      <w:tblPr>
        <w:tblStyle w:val="88"/>
        <w:tblW w:w="996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02"/>
        <w:gridCol w:w="853"/>
        <w:gridCol w:w="2480"/>
        <w:gridCol w:w="6025"/>
      </w:tblGrid>
      <w:tr w14:paraId="231987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2" w:hRule="atLeast"/>
          <w:jc w:val="center"/>
        </w:trPr>
        <w:tc>
          <w:tcPr>
            <w:tcW w:w="1455" w:type="dxa"/>
            <w:gridSpan w:val="2"/>
            <w:noWrap/>
            <w:vAlign w:val="center"/>
          </w:tcPr>
          <w:p w14:paraId="50BA42D8">
            <w:pPr>
              <w:pStyle w:val="45"/>
              <w:jc w:val="center"/>
              <w:rPr>
                <w:rFonts w:cs="宋体"/>
                <w:b/>
                <w:szCs w:val="21"/>
                <w:highlight w:val="none"/>
              </w:rPr>
            </w:pPr>
            <w:r>
              <w:rPr>
                <w:rFonts w:hint="eastAsia" w:cs="宋体"/>
                <w:b/>
                <w:szCs w:val="21"/>
                <w:highlight w:val="none"/>
              </w:rPr>
              <w:t>条款号</w:t>
            </w:r>
          </w:p>
        </w:tc>
        <w:tc>
          <w:tcPr>
            <w:tcW w:w="2480" w:type="dxa"/>
            <w:noWrap/>
            <w:vAlign w:val="center"/>
          </w:tcPr>
          <w:p w14:paraId="4B099419">
            <w:pPr>
              <w:pStyle w:val="45"/>
              <w:jc w:val="center"/>
              <w:rPr>
                <w:rFonts w:cs="宋体"/>
                <w:b/>
                <w:szCs w:val="21"/>
                <w:highlight w:val="none"/>
              </w:rPr>
            </w:pPr>
            <w:r>
              <w:rPr>
                <w:rFonts w:hint="eastAsia" w:cs="宋体"/>
                <w:b/>
                <w:szCs w:val="21"/>
                <w:highlight w:val="none"/>
              </w:rPr>
              <w:t>条 款 名 称</w:t>
            </w:r>
          </w:p>
        </w:tc>
        <w:tc>
          <w:tcPr>
            <w:tcW w:w="6025" w:type="dxa"/>
            <w:noWrap/>
            <w:vAlign w:val="center"/>
          </w:tcPr>
          <w:p w14:paraId="1A808A87">
            <w:pPr>
              <w:pStyle w:val="45"/>
              <w:jc w:val="center"/>
              <w:rPr>
                <w:rFonts w:cs="宋体"/>
                <w:b/>
                <w:szCs w:val="21"/>
                <w:highlight w:val="none"/>
              </w:rPr>
            </w:pPr>
            <w:r>
              <w:rPr>
                <w:rFonts w:hint="eastAsia" w:cs="宋体"/>
                <w:b/>
                <w:szCs w:val="21"/>
                <w:highlight w:val="none"/>
              </w:rPr>
              <w:t>编 列 内 容</w:t>
            </w:r>
          </w:p>
        </w:tc>
      </w:tr>
      <w:tr w14:paraId="4B792E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 w:hRule="atLeast"/>
          <w:jc w:val="center"/>
        </w:trPr>
        <w:tc>
          <w:tcPr>
            <w:tcW w:w="1455" w:type="dxa"/>
            <w:gridSpan w:val="2"/>
            <w:vMerge w:val="restart"/>
            <w:noWrap/>
            <w:vAlign w:val="center"/>
          </w:tcPr>
          <w:p w14:paraId="5A2D8A99">
            <w:pPr>
              <w:pStyle w:val="45"/>
              <w:jc w:val="center"/>
              <w:rPr>
                <w:rFonts w:cs="宋体"/>
                <w:szCs w:val="21"/>
                <w:highlight w:val="none"/>
              </w:rPr>
            </w:pPr>
            <w:r>
              <w:rPr>
                <w:rFonts w:hint="eastAsia" w:cs="宋体"/>
                <w:szCs w:val="21"/>
                <w:highlight w:val="none"/>
              </w:rPr>
              <w:t>1</w:t>
            </w:r>
          </w:p>
        </w:tc>
        <w:tc>
          <w:tcPr>
            <w:tcW w:w="2480" w:type="dxa"/>
            <w:noWrap/>
            <w:vAlign w:val="center"/>
          </w:tcPr>
          <w:p w14:paraId="33866BD6">
            <w:pPr>
              <w:pStyle w:val="45"/>
              <w:rPr>
                <w:rFonts w:cs="宋体"/>
                <w:szCs w:val="21"/>
                <w:highlight w:val="none"/>
                <w:u w:val="single"/>
              </w:rPr>
            </w:pPr>
            <w:r>
              <w:rPr>
                <w:rFonts w:hint="eastAsia" w:cs="宋体"/>
                <w:bCs/>
                <w:szCs w:val="21"/>
                <w:highlight w:val="none"/>
              </w:rPr>
              <w:t>采购人</w:t>
            </w:r>
          </w:p>
        </w:tc>
        <w:tc>
          <w:tcPr>
            <w:tcW w:w="6025" w:type="dxa"/>
            <w:noWrap/>
            <w:vAlign w:val="center"/>
          </w:tcPr>
          <w:p w14:paraId="386A99D7">
            <w:pPr>
              <w:pStyle w:val="45"/>
              <w:rPr>
                <w:rFonts w:cs="宋体"/>
                <w:szCs w:val="21"/>
                <w:highlight w:val="none"/>
              </w:rPr>
            </w:pPr>
            <w:r>
              <w:rPr>
                <w:rFonts w:hint="eastAsia" w:cs="宋体"/>
                <w:szCs w:val="21"/>
                <w:highlight w:val="none"/>
              </w:rPr>
              <w:t>云南政协报社</w:t>
            </w:r>
          </w:p>
        </w:tc>
      </w:tr>
      <w:tr w14:paraId="655D94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 w:hRule="atLeast"/>
          <w:jc w:val="center"/>
        </w:trPr>
        <w:tc>
          <w:tcPr>
            <w:tcW w:w="1455" w:type="dxa"/>
            <w:gridSpan w:val="2"/>
            <w:vMerge w:val="continue"/>
            <w:noWrap/>
            <w:vAlign w:val="center"/>
          </w:tcPr>
          <w:p w14:paraId="081CA04D">
            <w:pPr>
              <w:rPr>
                <w:rFonts w:cs="宋体"/>
                <w:szCs w:val="21"/>
                <w:highlight w:val="none"/>
              </w:rPr>
            </w:pPr>
          </w:p>
        </w:tc>
        <w:tc>
          <w:tcPr>
            <w:tcW w:w="2480" w:type="dxa"/>
            <w:noWrap/>
            <w:vAlign w:val="center"/>
          </w:tcPr>
          <w:p w14:paraId="475EFD0A">
            <w:pPr>
              <w:pStyle w:val="45"/>
              <w:rPr>
                <w:rFonts w:cs="宋体"/>
                <w:bCs/>
                <w:szCs w:val="21"/>
                <w:highlight w:val="none"/>
              </w:rPr>
            </w:pPr>
            <w:r>
              <w:rPr>
                <w:rFonts w:hint="eastAsia" w:cs="宋体"/>
                <w:bCs/>
                <w:szCs w:val="21"/>
                <w:highlight w:val="none"/>
              </w:rPr>
              <w:t>采购代理机构</w:t>
            </w:r>
          </w:p>
        </w:tc>
        <w:tc>
          <w:tcPr>
            <w:tcW w:w="6025" w:type="dxa"/>
            <w:noWrap/>
            <w:vAlign w:val="center"/>
          </w:tcPr>
          <w:p w14:paraId="7DED13A0">
            <w:pPr>
              <w:pStyle w:val="45"/>
              <w:rPr>
                <w:rFonts w:cs="宋体"/>
                <w:szCs w:val="21"/>
                <w:highlight w:val="none"/>
              </w:rPr>
            </w:pPr>
            <w:r>
              <w:rPr>
                <w:rFonts w:hint="eastAsia" w:cs="宋体"/>
                <w:szCs w:val="21"/>
                <w:highlight w:val="none"/>
              </w:rPr>
              <w:t>云南招标股份有限公司</w:t>
            </w:r>
          </w:p>
        </w:tc>
      </w:tr>
      <w:tr w14:paraId="629919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0" w:hRule="atLeast"/>
          <w:jc w:val="center"/>
        </w:trPr>
        <w:tc>
          <w:tcPr>
            <w:tcW w:w="1455" w:type="dxa"/>
            <w:gridSpan w:val="2"/>
            <w:vMerge w:val="continue"/>
            <w:noWrap/>
            <w:vAlign w:val="center"/>
          </w:tcPr>
          <w:p w14:paraId="0DC032A4">
            <w:pPr>
              <w:rPr>
                <w:rFonts w:cs="宋体"/>
                <w:szCs w:val="21"/>
                <w:highlight w:val="none"/>
              </w:rPr>
            </w:pPr>
          </w:p>
        </w:tc>
        <w:tc>
          <w:tcPr>
            <w:tcW w:w="2480" w:type="dxa"/>
            <w:noWrap/>
            <w:vAlign w:val="center"/>
          </w:tcPr>
          <w:p w14:paraId="71286C7D">
            <w:pPr>
              <w:pStyle w:val="45"/>
              <w:rPr>
                <w:rFonts w:cs="宋体"/>
                <w:szCs w:val="21"/>
                <w:highlight w:val="none"/>
              </w:rPr>
            </w:pPr>
            <w:r>
              <w:rPr>
                <w:rFonts w:hint="eastAsia" w:cs="宋体"/>
                <w:szCs w:val="21"/>
                <w:highlight w:val="none"/>
              </w:rPr>
              <w:t>项目名称</w:t>
            </w:r>
          </w:p>
        </w:tc>
        <w:tc>
          <w:tcPr>
            <w:tcW w:w="6025" w:type="dxa"/>
            <w:noWrap/>
            <w:vAlign w:val="center"/>
          </w:tcPr>
          <w:p w14:paraId="544BFDF4">
            <w:pPr>
              <w:pStyle w:val="45"/>
              <w:rPr>
                <w:rFonts w:hint="eastAsia" w:eastAsia="宋体" w:cs="宋体"/>
                <w:szCs w:val="21"/>
                <w:highlight w:val="none"/>
                <w:lang w:eastAsia="zh-CN"/>
              </w:rPr>
            </w:pPr>
            <w:r>
              <w:rPr>
                <w:rFonts w:hint="eastAsia" w:cs="宋体"/>
                <w:szCs w:val="21"/>
                <w:highlight w:val="none"/>
              </w:rPr>
              <w:t>项目名称：</w:t>
            </w:r>
            <w:r>
              <w:rPr>
                <w:rFonts w:hint="eastAsia" w:cs="宋体"/>
                <w:szCs w:val="21"/>
                <w:highlight w:val="none"/>
                <w:lang w:eastAsia="zh-CN"/>
              </w:rPr>
              <w:t>云南政协报社报纸印刷服务采购（2026-2028服务期限三年）第一年</w:t>
            </w:r>
          </w:p>
        </w:tc>
      </w:tr>
      <w:tr w14:paraId="64DF88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0" w:hRule="atLeast"/>
          <w:jc w:val="center"/>
        </w:trPr>
        <w:tc>
          <w:tcPr>
            <w:tcW w:w="1455" w:type="dxa"/>
            <w:gridSpan w:val="2"/>
            <w:noWrap/>
            <w:vAlign w:val="center"/>
          </w:tcPr>
          <w:p w14:paraId="04C9E9BF">
            <w:pPr>
              <w:jc w:val="center"/>
              <w:rPr>
                <w:rFonts w:cs="宋体"/>
                <w:szCs w:val="21"/>
                <w:highlight w:val="none"/>
              </w:rPr>
            </w:pPr>
            <w:r>
              <w:rPr>
                <w:rFonts w:hint="eastAsia" w:cs="宋体"/>
                <w:szCs w:val="21"/>
                <w:highlight w:val="none"/>
              </w:rPr>
              <w:t>2</w:t>
            </w:r>
          </w:p>
        </w:tc>
        <w:tc>
          <w:tcPr>
            <w:tcW w:w="2480" w:type="dxa"/>
            <w:noWrap/>
            <w:vAlign w:val="center"/>
          </w:tcPr>
          <w:p w14:paraId="421DBD07">
            <w:pPr>
              <w:pStyle w:val="45"/>
              <w:rPr>
                <w:rFonts w:cs="宋体"/>
                <w:szCs w:val="21"/>
                <w:highlight w:val="none"/>
              </w:rPr>
            </w:pPr>
            <w:r>
              <w:rPr>
                <w:rFonts w:hint="eastAsia" w:cs="宋体"/>
                <w:szCs w:val="21"/>
                <w:highlight w:val="none"/>
              </w:rPr>
              <w:t>采购预算</w:t>
            </w:r>
          </w:p>
        </w:tc>
        <w:tc>
          <w:tcPr>
            <w:tcW w:w="6025" w:type="dxa"/>
            <w:noWrap/>
            <w:vAlign w:val="center"/>
          </w:tcPr>
          <w:p w14:paraId="7217888E">
            <w:pPr>
              <w:pStyle w:val="45"/>
              <w:rPr>
                <w:rFonts w:cs="宋体"/>
                <w:szCs w:val="21"/>
                <w:highlight w:val="none"/>
              </w:rPr>
            </w:pPr>
            <w:r>
              <w:rPr>
                <w:rFonts w:hint="eastAsia" w:cs="宋体"/>
                <w:szCs w:val="21"/>
                <w:highlight w:val="none"/>
              </w:rPr>
              <w:t>详见第一章“招标公告”</w:t>
            </w:r>
          </w:p>
        </w:tc>
      </w:tr>
      <w:tr w14:paraId="08BEB9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 w:hRule="atLeast"/>
          <w:jc w:val="center"/>
        </w:trPr>
        <w:tc>
          <w:tcPr>
            <w:tcW w:w="1455" w:type="dxa"/>
            <w:gridSpan w:val="2"/>
            <w:noWrap/>
            <w:vAlign w:val="center"/>
          </w:tcPr>
          <w:p w14:paraId="70B7262B">
            <w:pPr>
              <w:pStyle w:val="45"/>
              <w:jc w:val="center"/>
              <w:rPr>
                <w:rFonts w:cs="宋体"/>
                <w:szCs w:val="21"/>
                <w:highlight w:val="none"/>
              </w:rPr>
            </w:pPr>
            <w:r>
              <w:rPr>
                <w:rFonts w:hint="eastAsia" w:cs="宋体"/>
                <w:szCs w:val="21"/>
                <w:highlight w:val="none"/>
              </w:rPr>
              <w:t>3.1</w:t>
            </w:r>
          </w:p>
        </w:tc>
        <w:tc>
          <w:tcPr>
            <w:tcW w:w="2480" w:type="dxa"/>
            <w:noWrap/>
            <w:vAlign w:val="center"/>
          </w:tcPr>
          <w:p w14:paraId="0B53342C">
            <w:pPr>
              <w:pStyle w:val="45"/>
              <w:rPr>
                <w:rFonts w:cs="宋体"/>
                <w:szCs w:val="21"/>
                <w:highlight w:val="none"/>
              </w:rPr>
            </w:pPr>
            <w:r>
              <w:rPr>
                <w:rFonts w:hint="eastAsia" w:cs="宋体"/>
                <w:szCs w:val="21"/>
                <w:highlight w:val="none"/>
              </w:rPr>
              <w:t>招标范围</w:t>
            </w:r>
          </w:p>
        </w:tc>
        <w:tc>
          <w:tcPr>
            <w:tcW w:w="6025" w:type="dxa"/>
            <w:noWrap/>
            <w:vAlign w:val="center"/>
          </w:tcPr>
          <w:p w14:paraId="624B117F">
            <w:pPr>
              <w:pStyle w:val="45"/>
              <w:jc w:val="left"/>
              <w:rPr>
                <w:rFonts w:cs="宋体"/>
                <w:szCs w:val="21"/>
                <w:highlight w:val="none"/>
              </w:rPr>
            </w:pPr>
            <w:r>
              <w:rPr>
                <w:rFonts w:hint="eastAsia" w:cs="宋体"/>
                <w:szCs w:val="21"/>
                <w:highlight w:val="none"/>
              </w:rPr>
              <w:t>详见</w:t>
            </w:r>
            <w:r>
              <w:rPr>
                <w:rFonts w:hint="eastAsia" w:cs="宋体"/>
                <w:bCs/>
                <w:szCs w:val="21"/>
                <w:highlight w:val="none"/>
              </w:rPr>
              <w:t>第五章《采购需求》</w:t>
            </w:r>
          </w:p>
        </w:tc>
      </w:tr>
      <w:tr w14:paraId="482DE4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8" w:hRule="atLeast"/>
          <w:jc w:val="center"/>
        </w:trPr>
        <w:tc>
          <w:tcPr>
            <w:tcW w:w="1455" w:type="dxa"/>
            <w:gridSpan w:val="2"/>
            <w:noWrap/>
            <w:vAlign w:val="center"/>
          </w:tcPr>
          <w:p w14:paraId="7D05B370">
            <w:pPr>
              <w:pStyle w:val="45"/>
              <w:jc w:val="center"/>
              <w:rPr>
                <w:rFonts w:cs="宋体"/>
                <w:b/>
                <w:bCs/>
                <w:szCs w:val="21"/>
                <w:highlight w:val="none"/>
              </w:rPr>
            </w:pPr>
            <w:r>
              <w:rPr>
                <w:rFonts w:hint="eastAsia" w:cs="宋体"/>
                <w:b/>
                <w:bCs/>
                <w:szCs w:val="21"/>
                <w:highlight w:val="none"/>
              </w:rPr>
              <w:t>★3.2</w:t>
            </w:r>
          </w:p>
        </w:tc>
        <w:tc>
          <w:tcPr>
            <w:tcW w:w="2480" w:type="dxa"/>
            <w:noWrap/>
            <w:vAlign w:val="center"/>
          </w:tcPr>
          <w:p w14:paraId="06F9F2CF">
            <w:pPr>
              <w:pStyle w:val="45"/>
              <w:rPr>
                <w:rFonts w:cs="宋体"/>
                <w:b/>
                <w:bCs/>
                <w:szCs w:val="21"/>
                <w:highlight w:val="none"/>
              </w:rPr>
            </w:pPr>
            <w:r>
              <w:rPr>
                <w:rFonts w:hint="eastAsia" w:cs="宋体"/>
                <w:b/>
                <w:bCs/>
                <w:szCs w:val="21"/>
                <w:highlight w:val="none"/>
              </w:rPr>
              <w:t>交付时间、服务地点、服务标准</w:t>
            </w:r>
          </w:p>
        </w:tc>
        <w:tc>
          <w:tcPr>
            <w:tcW w:w="6025" w:type="dxa"/>
            <w:noWrap/>
            <w:vAlign w:val="center"/>
          </w:tcPr>
          <w:p w14:paraId="0CAE46DD">
            <w:pPr>
              <w:jc w:val="left"/>
              <w:rPr>
                <w:rFonts w:cs="宋体"/>
                <w:b/>
                <w:bCs/>
                <w:szCs w:val="21"/>
                <w:highlight w:val="none"/>
              </w:rPr>
            </w:pPr>
            <w:r>
              <w:rPr>
                <w:rFonts w:hint="eastAsia" w:cs="宋体"/>
                <w:szCs w:val="21"/>
                <w:highlight w:val="none"/>
              </w:rPr>
              <w:t>详见第一章“招标公告”</w:t>
            </w:r>
          </w:p>
        </w:tc>
      </w:tr>
      <w:tr w14:paraId="054D0C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jc w:val="center"/>
        </w:trPr>
        <w:tc>
          <w:tcPr>
            <w:tcW w:w="602" w:type="dxa"/>
            <w:vMerge w:val="restart"/>
            <w:noWrap/>
            <w:vAlign w:val="center"/>
          </w:tcPr>
          <w:p w14:paraId="10234DB1">
            <w:pPr>
              <w:pStyle w:val="45"/>
              <w:jc w:val="center"/>
              <w:rPr>
                <w:rFonts w:cs="宋体"/>
                <w:szCs w:val="21"/>
                <w:highlight w:val="none"/>
              </w:rPr>
            </w:pPr>
            <w:r>
              <w:rPr>
                <w:rFonts w:hint="eastAsia" w:cs="宋体"/>
                <w:szCs w:val="21"/>
                <w:highlight w:val="none"/>
              </w:rPr>
              <w:t>★4</w:t>
            </w:r>
          </w:p>
        </w:tc>
        <w:tc>
          <w:tcPr>
            <w:tcW w:w="853" w:type="dxa"/>
            <w:noWrap/>
            <w:vAlign w:val="center"/>
          </w:tcPr>
          <w:p w14:paraId="428D8DE3">
            <w:pPr>
              <w:pStyle w:val="45"/>
              <w:jc w:val="center"/>
              <w:rPr>
                <w:rFonts w:hint="default" w:eastAsia="宋体" w:cs="宋体"/>
                <w:b/>
                <w:bCs/>
                <w:szCs w:val="21"/>
                <w:highlight w:val="none"/>
                <w:lang w:val="en-US" w:eastAsia="zh-CN"/>
              </w:rPr>
            </w:pPr>
            <w:r>
              <w:rPr>
                <w:rFonts w:hint="eastAsia" w:cs="宋体"/>
                <w:b/>
                <w:bCs/>
                <w:szCs w:val="21"/>
                <w:highlight w:val="none"/>
                <w:lang w:val="en-US" w:eastAsia="zh-CN"/>
              </w:rPr>
              <w:t>4.1.1</w:t>
            </w:r>
          </w:p>
        </w:tc>
        <w:tc>
          <w:tcPr>
            <w:tcW w:w="2480" w:type="dxa"/>
            <w:noWrap/>
            <w:vAlign w:val="center"/>
          </w:tcPr>
          <w:p w14:paraId="41F242A8">
            <w:pPr>
              <w:pStyle w:val="45"/>
              <w:rPr>
                <w:rFonts w:cs="宋体"/>
                <w:b/>
                <w:bCs/>
                <w:szCs w:val="21"/>
                <w:highlight w:val="none"/>
              </w:rPr>
            </w:pPr>
            <w:r>
              <w:rPr>
                <w:rFonts w:hint="eastAsia" w:cs="宋体"/>
                <w:szCs w:val="21"/>
                <w:highlight w:val="none"/>
              </w:rPr>
              <w:t>投标人必须具有独立承担民事责任的能力</w:t>
            </w:r>
          </w:p>
        </w:tc>
        <w:tc>
          <w:tcPr>
            <w:tcW w:w="6025" w:type="dxa"/>
            <w:noWrap/>
            <w:vAlign w:val="center"/>
          </w:tcPr>
          <w:p w14:paraId="703AA426">
            <w:pPr>
              <w:pStyle w:val="45"/>
              <w:rPr>
                <w:rFonts w:cs="宋体"/>
                <w:b/>
                <w:bCs/>
                <w:szCs w:val="21"/>
                <w:highlight w:val="none"/>
              </w:rPr>
            </w:pPr>
            <w:r>
              <w:rPr>
                <w:rFonts w:hint="eastAsia" w:cs="宋体"/>
                <w:szCs w:val="21"/>
                <w:highlight w:val="none"/>
              </w:rPr>
              <w:t>投标人必须是具有独立承担民事责任能力的法人、其他组织或者自然人；提供有效的三证合一营业执照（扫描件）或同等法定证明</w:t>
            </w:r>
            <w:r>
              <w:rPr>
                <w:rFonts w:hint="eastAsia" w:cs="宋体"/>
                <w:bCs/>
                <w:szCs w:val="21"/>
                <w:highlight w:val="none"/>
              </w:rPr>
              <w:t>。</w:t>
            </w:r>
          </w:p>
        </w:tc>
      </w:tr>
      <w:tr w14:paraId="2E04A2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jc w:val="center"/>
        </w:trPr>
        <w:tc>
          <w:tcPr>
            <w:tcW w:w="602" w:type="dxa"/>
            <w:vMerge w:val="continue"/>
            <w:noWrap/>
            <w:vAlign w:val="center"/>
          </w:tcPr>
          <w:p w14:paraId="69825670">
            <w:pPr>
              <w:pStyle w:val="45"/>
              <w:jc w:val="center"/>
              <w:rPr>
                <w:rFonts w:hint="eastAsia" w:cs="宋体"/>
                <w:szCs w:val="21"/>
                <w:highlight w:val="none"/>
              </w:rPr>
            </w:pPr>
          </w:p>
        </w:tc>
        <w:tc>
          <w:tcPr>
            <w:tcW w:w="853" w:type="dxa"/>
            <w:noWrap/>
            <w:vAlign w:val="center"/>
          </w:tcPr>
          <w:p w14:paraId="0C2911E9">
            <w:pPr>
              <w:pStyle w:val="45"/>
              <w:jc w:val="center"/>
              <w:rPr>
                <w:rFonts w:hint="eastAsia" w:cs="宋体"/>
                <w:b/>
                <w:bCs/>
                <w:szCs w:val="21"/>
                <w:highlight w:val="none"/>
              </w:rPr>
            </w:pPr>
            <w:r>
              <w:rPr>
                <w:rFonts w:hint="eastAsia" w:cs="宋体"/>
                <w:b/>
                <w:bCs/>
                <w:szCs w:val="21"/>
                <w:highlight w:val="none"/>
              </w:rPr>
              <w:t>4.1.2</w:t>
            </w:r>
          </w:p>
        </w:tc>
        <w:tc>
          <w:tcPr>
            <w:tcW w:w="2480" w:type="dxa"/>
            <w:noWrap/>
            <w:vAlign w:val="center"/>
          </w:tcPr>
          <w:p w14:paraId="24CC3E79">
            <w:pPr>
              <w:pStyle w:val="45"/>
              <w:rPr>
                <w:rFonts w:hint="eastAsia" w:cs="宋体"/>
                <w:b/>
                <w:bCs/>
                <w:szCs w:val="21"/>
                <w:highlight w:val="none"/>
              </w:rPr>
            </w:pPr>
            <w:r>
              <w:rPr>
                <w:rFonts w:hint="eastAsia" w:cs="宋体"/>
                <w:b/>
                <w:bCs/>
                <w:szCs w:val="21"/>
                <w:highlight w:val="none"/>
              </w:rPr>
              <w:t>财务状况报告</w:t>
            </w:r>
          </w:p>
        </w:tc>
        <w:tc>
          <w:tcPr>
            <w:tcW w:w="6025" w:type="dxa"/>
            <w:noWrap/>
            <w:vAlign w:val="center"/>
          </w:tcPr>
          <w:p w14:paraId="308DAFD3">
            <w:pPr>
              <w:pStyle w:val="45"/>
              <w:spacing w:line="276" w:lineRule="auto"/>
              <w:rPr>
                <w:rFonts w:cs="宋体"/>
                <w:b/>
                <w:bCs/>
                <w:szCs w:val="21"/>
                <w:highlight w:val="none"/>
              </w:rPr>
            </w:pPr>
            <w:r>
              <w:rPr>
                <w:rFonts w:hint="eastAsia" w:cs="宋体"/>
                <w:b/>
                <w:bCs/>
                <w:szCs w:val="21"/>
                <w:highlight w:val="none"/>
              </w:rPr>
              <w:t>投标人具有良好的商业信誉和健全的财务会计制度：</w:t>
            </w:r>
          </w:p>
          <w:p w14:paraId="1EBE600E">
            <w:pPr>
              <w:pStyle w:val="45"/>
              <w:spacing w:line="276" w:lineRule="auto"/>
              <w:rPr>
                <w:rFonts w:cs="宋体"/>
                <w:szCs w:val="21"/>
                <w:highlight w:val="none"/>
              </w:rPr>
            </w:pPr>
            <w:r>
              <w:rPr>
                <w:rFonts w:hint="eastAsia" w:cs="宋体"/>
                <w:szCs w:val="21"/>
                <w:highlight w:val="none"/>
              </w:rPr>
              <w:t>投标人须提供财务状况报告，可提供以下</w:t>
            </w:r>
            <w:r>
              <w:rPr>
                <w:rFonts w:hint="eastAsia" w:cs="宋体"/>
                <w:b/>
                <w:bCs/>
                <w:szCs w:val="21"/>
                <w:highlight w:val="none"/>
              </w:rPr>
              <w:t>（1）、（2）</w:t>
            </w:r>
            <w:r>
              <w:rPr>
                <w:rFonts w:hint="eastAsia" w:cs="宋体"/>
                <w:szCs w:val="21"/>
                <w:highlight w:val="none"/>
              </w:rPr>
              <w:t>二者之一；若投标人成立时间短，不足以出具经审计的财务审计报告的投标人，则提供第</w:t>
            </w:r>
            <w:r>
              <w:rPr>
                <w:rFonts w:hint="eastAsia" w:cs="宋体"/>
                <w:b/>
                <w:bCs/>
                <w:szCs w:val="21"/>
                <w:highlight w:val="none"/>
              </w:rPr>
              <w:t>（2）</w:t>
            </w:r>
            <w:r>
              <w:rPr>
                <w:rFonts w:hint="eastAsia" w:cs="宋体"/>
                <w:szCs w:val="21"/>
                <w:highlight w:val="none"/>
              </w:rPr>
              <w:t>项。</w:t>
            </w:r>
          </w:p>
          <w:p w14:paraId="228E29DE">
            <w:pPr>
              <w:pStyle w:val="45"/>
              <w:spacing w:line="276" w:lineRule="auto"/>
              <w:rPr>
                <w:rFonts w:cs="宋体"/>
                <w:szCs w:val="21"/>
                <w:highlight w:val="none"/>
              </w:rPr>
            </w:pPr>
            <w:r>
              <w:rPr>
                <w:rFonts w:hint="eastAsia" w:cs="宋体"/>
                <w:b/>
                <w:bCs/>
                <w:szCs w:val="21"/>
                <w:highlight w:val="none"/>
              </w:rPr>
              <w:t>（1）</w:t>
            </w:r>
            <w:r>
              <w:rPr>
                <w:rFonts w:hint="eastAsia" w:cs="宋体"/>
                <w:szCs w:val="21"/>
                <w:highlight w:val="none"/>
              </w:rPr>
              <w:t>2023年-2025年任意一年度经审计的财务审计报告，包括财务审计报告及“四表一注”，“四表一注”即资产负债表、利润表、现金流量表、所有者权益变动表（执行中小企业会计准则的投标人可不提供）及其附注；</w:t>
            </w:r>
          </w:p>
          <w:p w14:paraId="45D7ECB7">
            <w:pPr>
              <w:pStyle w:val="45"/>
              <w:spacing w:line="276" w:lineRule="auto"/>
              <w:rPr>
                <w:rFonts w:cs="宋体"/>
                <w:b/>
                <w:bCs/>
                <w:szCs w:val="21"/>
                <w:highlight w:val="none"/>
              </w:rPr>
            </w:pPr>
            <w:r>
              <w:rPr>
                <w:rFonts w:hint="eastAsia" w:cs="宋体"/>
                <w:b/>
                <w:bCs/>
                <w:color w:val="FF0000"/>
                <w:szCs w:val="21"/>
                <w:highlight w:val="none"/>
              </w:rPr>
              <w:t>注：根据《关于加强审计报告查验工作的通知》（财会〔2023〕15号）规定，在2022年10月以后出具的审计报告须在注册会计师行业统一监管平台（网址：http：//acc.mof.gov.cn）取得赋码，未取得赋码的财务报告视为无效。</w:t>
            </w:r>
          </w:p>
          <w:p w14:paraId="39327114">
            <w:pPr>
              <w:pStyle w:val="45"/>
              <w:spacing w:line="276" w:lineRule="auto"/>
              <w:rPr>
                <w:rFonts w:cs="宋体"/>
                <w:szCs w:val="21"/>
                <w:highlight w:val="none"/>
              </w:rPr>
            </w:pPr>
            <w:r>
              <w:rPr>
                <w:rFonts w:hint="eastAsia" w:cs="宋体"/>
                <w:b/>
                <w:bCs/>
                <w:szCs w:val="21"/>
                <w:highlight w:val="none"/>
              </w:rPr>
              <w:t>（2）</w:t>
            </w:r>
            <w:r>
              <w:rPr>
                <w:rFonts w:hint="eastAsia" w:cs="宋体"/>
                <w:szCs w:val="21"/>
                <w:highlight w:val="none"/>
              </w:rPr>
              <w:t>自投标文件提交截止时间前三个月内基本开户银行出具的资信证明。</w:t>
            </w:r>
          </w:p>
          <w:p w14:paraId="1497395A">
            <w:pPr>
              <w:pStyle w:val="45"/>
              <w:rPr>
                <w:rFonts w:hint="eastAsia" w:cs="宋体"/>
                <w:b/>
                <w:bCs/>
                <w:szCs w:val="21"/>
                <w:highlight w:val="none"/>
              </w:rPr>
            </w:pPr>
            <w:r>
              <w:rPr>
                <w:rFonts w:hint="eastAsia" w:cs="宋体"/>
                <w:b/>
                <w:bCs/>
                <w:szCs w:val="21"/>
                <w:highlight w:val="none"/>
              </w:rPr>
              <w:t>备注：投标人可根据自身情况提供上述任意一种证明材料。</w:t>
            </w:r>
          </w:p>
        </w:tc>
      </w:tr>
      <w:tr w14:paraId="6E318B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4" w:hRule="atLeast"/>
          <w:jc w:val="center"/>
        </w:trPr>
        <w:tc>
          <w:tcPr>
            <w:tcW w:w="602" w:type="dxa"/>
            <w:vMerge w:val="continue"/>
            <w:noWrap/>
            <w:vAlign w:val="center"/>
          </w:tcPr>
          <w:p w14:paraId="6E487425">
            <w:pPr>
              <w:pStyle w:val="45"/>
              <w:jc w:val="center"/>
              <w:rPr>
                <w:rFonts w:cs="宋体"/>
                <w:highlight w:val="none"/>
              </w:rPr>
            </w:pPr>
          </w:p>
        </w:tc>
        <w:tc>
          <w:tcPr>
            <w:tcW w:w="853" w:type="dxa"/>
            <w:noWrap/>
            <w:vAlign w:val="center"/>
          </w:tcPr>
          <w:p w14:paraId="08DA3043">
            <w:pPr>
              <w:pStyle w:val="45"/>
              <w:jc w:val="center"/>
              <w:rPr>
                <w:rFonts w:cs="宋体"/>
                <w:b/>
                <w:bCs/>
                <w:szCs w:val="21"/>
                <w:highlight w:val="none"/>
              </w:rPr>
            </w:pPr>
            <w:r>
              <w:rPr>
                <w:rFonts w:hint="eastAsia" w:cs="宋体"/>
                <w:b/>
                <w:bCs/>
                <w:szCs w:val="21"/>
                <w:highlight w:val="none"/>
              </w:rPr>
              <w:t>4.1.3</w:t>
            </w:r>
          </w:p>
        </w:tc>
        <w:tc>
          <w:tcPr>
            <w:tcW w:w="2480" w:type="dxa"/>
            <w:noWrap/>
            <w:vAlign w:val="center"/>
          </w:tcPr>
          <w:p w14:paraId="19A8E905">
            <w:pPr>
              <w:autoSpaceDE w:val="0"/>
              <w:autoSpaceDN w:val="0"/>
              <w:snapToGrid w:val="0"/>
              <w:textAlignment w:val="bottom"/>
              <w:rPr>
                <w:rFonts w:cs="宋体"/>
                <w:b/>
                <w:bCs/>
                <w:szCs w:val="21"/>
                <w:highlight w:val="none"/>
              </w:rPr>
            </w:pPr>
            <w:r>
              <w:rPr>
                <w:rFonts w:hint="eastAsia" w:cs="宋体"/>
                <w:b/>
                <w:bCs/>
                <w:szCs w:val="21"/>
                <w:highlight w:val="none"/>
              </w:rPr>
              <w:t>纳税证明材料的时间范围</w:t>
            </w:r>
          </w:p>
        </w:tc>
        <w:tc>
          <w:tcPr>
            <w:tcW w:w="6025" w:type="dxa"/>
            <w:noWrap/>
            <w:vAlign w:val="center"/>
          </w:tcPr>
          <w:p w14:paraId="28192DF8">
            <w:pPr>
              <w:autoSpaceDE w:val="0"/>
              <w:autoSpaceDN w:val="0"/>
              <w:snapToGrid w:val="0"/>
              <w:textAlignment w:val="bottom"/>
              <w:rPr>
                <w:rFonts w:cs="宋体"/>
                <w:szCs w:val="21"/>
                <w:highlight w:val="none"/>
              </w:rPr>
            </w:pPr>
            <w:r>
              <w:rPr>
                <w:rFonts w:hint="eastAsia" w:cs="宋体"/>
                <w:szCs w:val="21"/>
                <w:highlight w:val="none"/>
              </w:rPr>
              <w:t>缴税所属时间在</w:t>
            </w:r>
            <w:r>
              <w:rPr>
                <w:rFonts w:hint="eastAsia" w:cs="宋体"/>
                <w:b/>
                <w:bCs/>
                <w:szCs w:val="21"/>
                <w:highlight w:val="none"/>
              </w:rPr>
              <w:t>2025年1月至</w:t>
            </w:r>
            <w:r>
              <w:rPr>
                <w:rFonts w:hint="eastAsia" w:cs="宋体"/>
                <w:szCs w:val="21"/>
                <w:highlight w:val="none"/>
              </w:rPr>
              <w:t>投标截止日期前</w:t>
            </w:r>
            <w:r>
              <w:rPr>
                <w:rFonts w:hint="eastAsia" w:cs="宋体"/>
                <w:b/>
                <w:bCs/>
                <w:szCs w:val="21"/>
                <w:highlight w:val="none"/>
              </w:rPr>
              <w:t>任意1个月</w:t>
            </w:r>
            <w:r>
              <w:rPr>
                <w:rFonts w:hint="eastAsia" w:cs="宋体"/>
                <w:szCs w:val="21"/>
                <w:highlight w:val="none"/>
              </w:rPr>
              <w:t>的税务局税收通用缴款书复印件/扫描件或银行电子缴税（费）凭证复印件/扫描件或税务局出具纳税情况的相关证明复印件/扫描件。</w:t>
            </w:r>
            <w:r>
              <w:rPr>
                <w:rFonts w:hint="eastAsia" w:cs="宋体"/>
                <w:b/>
                <w:bCs/>
                <w:kern w:val="0"/>
                <w:szCs w:val="21"/>
                <w:highlight w:val="none"/>
              </w:rPr>
              <w:t>（成立时间不足3个月的投标人提供依法缴纳税收的承诺书；依法免税的投标人，应提供相应文件证明其依法免税。）</w:t>
            </w:r>
          </w:p>
        </w:tc>
      </w:tr>
      <w:tr w14:paraId="52682C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jc w:val="center"/>
        </w:trPr>
        <w:tc>
          <w:tcPr>
            <w:tcW w:w="602" w:type="dxa"/>
            <w:vMerge w:val="continue"/>
            <w:noWrap/>
            <w:vAlign w:val="center"/>
          </w:tcPr>
          <w:p w14:paraId="66782471">
            <w:pPr>
              <w:pStyle w:val="45"/>
              <w:jc w:val="center"/>
              <w:rPr>
                <w:rFonts w:cs="宋体"/>
                <w:szCs w:val="21"/>
                <w:highlight w:val="none"/>
              </w:rPr>
            </w:pPr>
          </w:p>
        </w:tc>
        <w:tc>
          <w:tcPr>
            <w:tcW w:w="853" w:type="dxa"/>
            <w:noWrap/>
            <w:vAlign w:val="center"/>
          </w:tcPr>
          <w:p w14:paraId="508943F9">
            <w:pPr>
              <w:pStyle w:val="45"/>
              <w:jc w:val="center"/>
              <w:rPr>
                <w:rFonts w:cs="宋体"/>
                <w:b/>
                <w:bCs/>
                <w:szCs w:val="21"/>
                <w:highlight w:val="none"/>
              </w:rPr>
            </w:pPr>
            <w:r>
              <w:rPr>
                <w:rFonts w:hint="eastAsia" w:cs="宋体"/>
                <w:b/>
                <w:bCs/>
                <w:szCs w:val="21"/>
                <w:highlight w:val="none"/>
              </w:rPr>
              <w:t>4.1.4</w:t>
            </w:r>
          </w:p>
        </w:tc>
        <w:tc>
          <w:tcPr>
            <w:tcW w:w="2480" w:type="dxa"/>
            <w:noWrap/>
            <w:vAlign w:val="center"/>
          </w:tcPr>
          <w:p w14:paraId="4D507984">
            <w:pPr>
              <w:pStyle w:val="45"/>
              <w:rPr>
                <w:rFonts w:cs="宋体"/>
                <w:b/>
                <w:bCs/>
                <w:szCs w:val="21"/>
                <w:highlight w:val="none"/>
              </w:rPr>
            </w:pPr>
            <w:r>
              <w:rPr>
                <w:rFonts w:hint="eastAsia" w:cs="宋体"/>
                <w:b/>
                <w:bCs/>
                <w:szCs w:val="21"/>
                <w:highlight w:val="none"/>
              </w:rPr>
              <w:t>缴纳社会保险证明材料的时间范围</w:t>
            </w:r>
          </w:p>
        </w:tc>
        <w:tc>
          <w:tcPr>
            <w:tcW w:w="6025" w:type="dxa"/>
            <w:noWrap/>
            <w:vAlign w:val="center"/>
          </w:tcPr>
          <w:p w14:paraId="13BFAE90">
            <w:pPr>
              <w:autoSpaceDE w:val="0"/>
              <w:autoSpaceDN w:val="0"/>
              <w:snapToGrid w:val="0"/>
              <w:textAlignment w:val="bottom"/>
              <w:rPr>
                <w:rFonts w:cs="宋体"/>
                <w:szCs w:val="21"/>
                <w:highlight w:val="none"/>
              </w:rPr>
            </w:pPr>
            <w:r>
              <w:rPr>
                <w:rFonts w:hint="eastAsia" w:cs="宋体"/>
                <w:szCs w:val="21"/>
                <w:highlight w:val="none"/>
              </w:rPr>
              <w:t>缴费所属时间在</w:t>
            </w:r>
            <w:r>
              <w:rPr>
                <w:rFonts w:hint="eastAsia" w:cs="宋体"/>
                <w:b/>
                <w:bCs/>
                <w:szCs w:val="21"/>
                <w:highlight w:val="none"/>
              </w:rPr>
              <w:t>2025年1月至</w:t>
            </w:r>
            <w:r>
              <w:rPr>
                <w:rFonts w:hint="eastAsia" w:cs="宋体"/>
                <w:szCs w:val="21"/>
                <w:highlight w:val="none"/>
              </w:rPr>
              <w:t>投标截止日期前</w:t>
            </w:r>
            <w:r>
              <w:rPr>
                <w:rFonts w:hint="eastAsia" w:cs="宋体"/>
                <w:b/>
                <w:bCs/>
                <w:szCs w:val="21"/>
                <w:highlight w:val="none"/>
              </w:rPr>
              <w:t>任意1个月</w:t>
            </w:r>
            <w:r>
              <w:rPr>
                <w:rFonts w:hint="eastAsia" w:cs="宋体"/>
                <w:szCs w:val="21"/>
                <w:highlight w:val="none"/>
              </w:rPr>
              <w:t>的社会保险费缴款书复印件/扫描件或银行电子缴税（费）凭证复印件/扫描件或社保管理部门出具的有效的缴款证明复印件/扫描件。</w:t>
            </w:r>
            <w:r>
              <w:rPr>
                <w:rFonts w:hint="eastAsia" w:cs="宋体"/>
                <w:b/>
                <w:bCs/>
                <w:szCs w:val="21"/>
                <w:highlight w:val="none"/>
              </w:rPr>
              <w:t>（</w:t>
            </w:r>
            <w:r>
              <w:rPr>
                <w:rFonts w:hint="eastAsia" w:cs="宋体"/>
                <w:b/>
                <w:bCs/>
                <w:kern w:val="0"/>
                <w:szCs w:val="21"/>
                <w:highlight w:val="none"/>
              </w:rPr>
              <w:t>成立时间不足3个月的投标人</w:t>
            </w:r>
            <w:r>
              <w:rPr>
                <w:rFonts w:hint="eastAsia" w:cs="宋体"/>
                <w:b/>
                <w:bCs/>
                <w:szCs w:val="21"/>
                <w:highlight w:val="none"/>
              </w:rPr>
              <w:t>提供依法缴纳社会保障资金的承诺书；依法不需要缴纳社会保障资金的投标人，应提供相应文件证明其不需要缴纳社会保障资金。）</w:t>
            </w:r>
          </w:p>
        </w:tc>
      </w:tr>
      <w:tr w14:paraId="06AB8E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jc w:val="center"/>
        </w:trPr>
        <w:tc>
          <w:tcPr>
            <w:tcW w:w="602" w:type="dxa"/>
            <w:vMerge w:val="continue"/>
            <w:noWrap/>
            <w:vAlign w:val="center"/>
          </w:tcPr>
          <w:p w14:paraId="53BA972E">
            <w:pPr>
              <w:pStyle w:val="45"/>
              <w:jc w:val="center"/>
              <w:rPr>
                <w:rFonts w:cs="宋体"/>
                <w:szCs w:val="21"/>
                <w:highlight w:val="none"/>
              </w:rPr>
            </w:pPr>
          </w:p>
        </w:tc>
        <w:tc>
          <w:tcPr>
            <w:tcW w:w="853" w:type="dxa"/>
            <w:noWrap/>
            <w:vAlign w:val="center"/>
          </w:tcPr>
          <w:p w14:paraId="47B4A3C4">
            <w:pPr>
              <w:pStyle w:val="45"/>
              <w:jc w:val="center"/>
              <w:rPr>
                <w:rFonts w:cs="宋体"/>
                <w:b/>
                <w:bCs/>
                <w:szCs w:val="21"/>
                <w:highlight w:val="none"/>
              </w:rPr>
            </w:pPr>
            <w:r>
              <w:rPr>
                <w:rFonts w:hint="eastAsia" w:cs="宋体"/>
                <w:b/>
                <w:bCs/>
                <w:szCs w:val="21"/>
                <w:highlight w:val="none"/>
              </w:rPr>
              <w:t>4.1.5</w:t>
            </w:r>
          </w:p>
        </w:tc>
        <w:tc>
          <w:tcPr>
            <w:tcW w:w="2480" w:type="dxa"/>
            <w:noWrap/>
            <w:vAlign w:val="center"/>
          </w:tcPr>
          <w:p w14:paraId="4A20FCCD">
            <w:pPr>
              <w:pStyle w:val="45"/>
              <w:rPr>
                <w:rFonts w:cs="宋体"/>
                <w:b/>
                <w:bCs/>
                <w:szCs w:val="21"/>
                <w:highlight w:val="none"/>
              </w:rPr>
            </w:pPr>
            <w:r>
              <w:rPr>
                <w:rFonts w:hint="eastAsia" w:cs="宋体"/>
                <w:b/>
                <w:bCs/>
                <w:szCs w:val="21"/>
                <w:highlight w:val="none"/>
              </w:rPr>
              <w:t>履行合同所必需的设备和专业技术能力</w:t>
            </w:r>
          </w:p>
        </w:tc>
        <w:tc>
          <w:tcPr>
            <w:tcW w:w="6025" w:type="dxa"/>
            <w:noWrap/>
            <w:vAlign w:val="center"/>
          </w:tcPr>
          <w:p w14:paraId="597C1E22">
            <w:pPr>
              <w:autoSpaceDE w:val="0"/>
              <w:autoSpaceDN w:val="0"/>
              <w:snapToGrid w:val="0"/>
              <w:textAlignment w:val="bottom"/>
              <w:rPr>
                <w:rFonts w:cs="宋体"/>
                <w:szCs w:val="21"/>
                <w:highlight w:val="none"/>
              </w:rPr>
            </w:pPr>
            <w:r>
              <w:rPr>
                <w:rFonts w:hint="eastAsia" w:cs="宋体"/>
                <w:szCs w:val="21"/>
                <w:highlight w:val="none"/>
              </w:rPr>
              <w:t>投标人须提供具备履行合同所必需的设备和专业技术能力的证明材料。（提供承诺书）</w:t>
            </w:r>
          </w:p>
        </w:tc>
      </w:tr>
      <w:tr w14:paraId="245915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jc w:val="center"/>
        </w:trPr>
        <w:tc>
          <w:tcPr>
            <w:tcW w:w="602" w:type="dxa"/>
            <w:vMerge w:val="continue"/>
            <w:noWrap/>
            <w:vAlign w:val="center"/>
          </w:tcPr>
          <w:p w14:paraId="618643E1">
            <w:pPr>
              <w:pStyle w:val="45"/>
              <w:jc w:val="center"/>
              <w:rPr>
                <w:rFonts w:cs="宋体"/>
                <w:szCs w:val="21"/>
                <w:highlight w:val="none"/>
              </w:rPr>
            </w:pPr>
          </w:p>
        </w:tc>
        <w:tc>
          <w:tcPr>
            <w:tcW w:w="853" w:type="dxa"/>
            <w:noWrap/>
            <w:vAlign w:val="center"/>
          </w:tcPr>
          <w:p w14:paraId="308C53CA">
            <w:pPr>
              <w:pStyle w:val="45"/>
              <w:jc w:val="center"/>
              <w:rPr>
                <w:rFonts w:cs="宋体"/>
                <w:b/>
                <w:bCs/>
                <w:szCs w:val="21"/>
                <w:highlight w:val="none"/>
              </w:rPr>
            </w:pPr>
            <w:r>
              <w:rPr>
                <w:rFonts w:hint="eastAsia" w:cs="宋体"/>
                <w:b/>
                <w:bCs/>
                <w:szCs w:val="21"/>
                <w:highlight w:val="none"/>
              </w:rPr>
              <w:t>4.1.6</w:t>
            </w:r>
          </w:p>
        </w:tc>
        <w:tc>
          <w:tcPr>
            <w:tcW w:w="2480" w:type="dxa"/>
            <w:noWrap/>
          </w:tcPr>
          <w:p w14:paraId="4900D65A">
            <w:pPr>
              <w:pStyle w:val="45"/>
              <w:rPr>
                <w:rFonts w:cs="宋体"/>
                <w:b/>
                <w:bCs/>
                <w:szCs w:val="21"/>
                <w:highlight w:val="none"/>
              </w:rPr>
            </w:pPr>
            <w:r>
              <w:rPr>
                <w:rFonts w:hint="eastAsia" w:cs="宋体"/>
                <w:b/>
                <w:bCs/>
                <w:highlight w:val="none"/>
              </w:rPr>
              <w:t>参加本项目政府采购活动前3年内在经营活动中没有重大违法记录的书面声明</w:t>
            </w:r>
          </w:p>
        </w:tc>
        <w:tc>
          <w:tcPr>
            <w:tcW w:w="6025" w:type="dxa"/>
            <w:noWrap/>
            <w:vAlign w:val="center"/>
          </w:tcPr>
          <w:p w14:paraId="599C4D28">
            <w:pPr>
              <w:autoSpaceDE w:val="0"/>
              <w:autoSpaceDN w:val="0"/>
              <w:snapToGrid w:val="0"/>
              <w:textAlignment w:val="bottom"/>
              <w:rPr>
                <w:rFonts w:cs="宋体"/>
                <w:szCs w:val="21"/>
                <w:highlight w:val="none"/>
              </w:rPr>
            </w:pPr>
            <w:r>
              <w:rPr>
                <w:rFonts w:hint="eastAsia" w:cs="宋体"/>
                <w:szCs w:val="21"/>
                <w:highlight w:val="none"/>
              </w:rPr>
              <w:t>投标人必须提供参加政府采购活动前3年内在经营活动中没有重大违法记录的书面声明（重大违法记录，是指投标人因违法经营受到刑事处罚或者责令停产停业、吊销许可证或者执照、较大数额罚款等行政处罚）。</w:t>
            </w:r>
          </w:p>
        </w:tc>
      </w:tr>
      <w:tr w14:paraId="11BE0B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jc w:val="center"/>
        </w:trPr>
        <w:tc>
          <w:tcPr>
            <w:tcW w:w="1455" w:type="dxa"/>
            <w:gridSpan w:val="2"/>
            <w:noWrap/>
            <w:vAlign w:val="center"/>
          </w:tcPr>
          <w:p w14:paraId="7D996D06">
            <w:pPr>
              <w:pStyle w:val="45"/>
              <w:jc w:val="center"/>
              <w:rPr>
                <w:rFonts w:cs="宋体"/>
                <w:b/>
                <w:bCs/>
                <w:szCs w:val="21"/>
                <w:highlight w:val="none"/>
              </w:rPr>
            </w:pPr>
            <w:r>
              <w:rPr>
                <w:rFonts w:hint="eastAsia" w:cs="宋体"/>
                <w:b/>
                <w:bCs/>
                <w:szCs w:val="21"/>
                <w:highlight w:val="none"/>
              </w:rPr>
              <w:t>★4.2</w:t>
            </w:r>
          </w:p>
        </w:tc>
        <w:tc>
          <w:tcPr>
            <w:tcW w:w="2480" w:type="dxa"/>
            <w:noWrap/>
            <w:vAlign w:val="center"/>
          </w:tcPr>
          <w:p w14:paraId="420C0018">
            <w:pPr>
              <w:pStyle w:val="45"/>
              <w:rPr>
                <w:rFonts w:cs="宋体"/>
                <w:b/>
                <w:bCs/>
                <w:szCs w:val="21"/>
                <w:highlight w:val="none"/>
              </w:rPr>
            </w:pPr>
            <w:r>
              <w:rPr>
                <w:rFonts w:hint="eastAsia" w:cs="宋体"/>
                <w:b/>
                <w:bCs/>
                <w:szCs w:val="21"/>
                <w:highlight w:val="none"/>
              </w:rPr>
              <w:t>落实政府采购政策需满足的资格要求</w:t>
            </w:r>
          </w:p>
        </w:tc>
        <w:tc>
          <w:tcPr>
            <w:tcW w:w="6025" w:type="dxa"/>
            <w:noWrap/>
            <w:vAlign w:val="center"/>
          </w:tcPr>
          <w:p w14:paraId="4AB92679">
            <w:pPr>
              <w:autoSpaceDE w:val="0"/>
              <w:autoSpaceDN w:val="0"/>
              <w:snapToGrid w:val="0"/>
              <w:textAlignment w:val="bottom"/>
              <w:rPr>
                <w:rFonts w:cs="宋体"/>
                <w:szCs w:val="21"/>
                <w:highlight w:val="none"/>
              </w:rPr>
            </w:pPr>
            <w:r>
              <w:rPr>
                <w:rFonts w:hint="eastAsia" w:cs="宋体"/>
                <w:szCs w:val="21"/>
                <w:highlight w:val="none"/>
              </w:rPr>
              <w:t>见第一章“招标公告”二、投标人的资格要求。</w:t>
            </w:r>
          </w:p>
        </w:tc>
      </w:tr>
      <w:tr w14:paraId="2DC62A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jc w:val="center"/>
        </w:trPr>
        <w:tc>
          <w:tcPr>
            <w:tcW w:w="1455" w:type="dxa"/>
            <w:gridSpan w:val="2"/>
            <w:noWrap/>
            <w:vAlign w:val="center"/>
          </w:tcPr>
          <w:p w14:paraId="29B66BEA">
            <w:pPr>
              <w:pStyle w:val="45"/>
              <w:jc w:val="center"/>
              <w:rPr>
                <w:rFonts w:cs="宋体"/>
                <w:b/>
                <w:bCs/>
                <w:szCs w:val="21"/>
                <w:highlight w:val="none"/>
              </w:rPr>
            </w:pPr>
            <w:r>
              <w:rPr>
                <w:rFonts w:hint="eastAsia" w:cs="宋体"/>
                <w:b/>
                <w:bCs/>
                <w:szCs w:val="21"/>
                <w:highlight w:val="none"/>
              </w:rPr>
              <w:t>★4.3</w:t>
            </w:r>
          </w:p>
        </w:tc>
        <w:tc>
          <w:tcPr>
            <w:tcW w:w="2480" w:type="dxa"/>
            <w:noWrap/>
            <w:vAlign w:val="center"/>
          </w:tcPr>
          <w:p w14:paraId="611BC15A">
            <w:pPr>
              <w:pStyle w:val="45"/>
              <w:rPr>
                <w:rFonts w:cs="宋体"/>
                <w:b/>
                <w:bCs/>
                <w:szCs w:val="21"/>
                <w:highlight w:val="none"/>
              </w:rPr>
            </w:pPr>
            <w:r>
              <w:rPr>
                <w:rFonts w:hint="eastAsia" w:cs="宋体"/>
                <w:b/>
                <w:bCs/>
                <w:szCs w:val="21"/>
                <w:highlight w:val="none"/>
              </w:rPr>
              <w:t>本项目的特定资格要求</w:t>
            </w:r>
          </w:p>
        </w:tc>
        <w:tc>
          <w:tcPr>
            <w:tcW w:w="6025" w:type="dxa"/>
            <w:noWrap/>
            <w:vAlign w:val="center"/>
          </w:tcPr>
          <w:p w14:paraId="1E50E5DC">
            <w:pPr>
              <w:autoSpaceDE w:val="0"/>
              <w:autoSpaceDN w:val="0"/>
              <w:snapToGrid w:val="0"/>
              <w:textAlignment w:val="bottom"/>
              <w:rPr>
                <w:rFonts w:cs="宋体"/>
                <w:szCs w:val="21"/>
                <w:highlight w:val="none"/>
              </w:rPr>
            </w:pPr>
            <w:r>
              <w:rPr>
                <w:rFonts w:hint="eastAsia" w:cs="宋体"/>
                <w:szCs w:val="21"/>
                <w:highlight w:val="none"/>
              </w:rPr>
              <w:t>见第一章“招标公告”二、投标人的资格要求。</w:t>
            </w:r>
          </w:p>
        </w:tc>
      </w:tr>
      <w:tr w14:paraId="0CE3EB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7" w:hRule="atLeast"/>
          <w:jc w:val="center"/>
        </w:trPr>
        <w:tc>
          <w:tcPr>
            <w:tcW w:w="1455" w:type="dxa"/>
            <w:gridSpan w:val="2"/>
            <w:noWrap/>
            <w:vAlign w:val="center"/>
          </w:tcPr>
          <w:p w14:paraId="498B386C">
            <w:pPr>
              <w:pStyle w:val="45"/>
              <w:jc w:val="center"/>
              <w:rPr>
                <w:rFonts w:cs="宋体"/>
                <w:b/>
                <w:bCs/>
                <w:szCs w:val="21"/>
                <w:highlight w:val="none"/>
              </w:rPr>
            </w:pPr>
            <w:r>
              <w:rPr>
                <w:rFonts w:hint="eastAsia" w:cs="宋体"/>
                <w:b/>
                <w:bCs/>
                <w:szCs w:val="21"/>
                <w:highlight w:val="none"/>
              </w:rPr>
              <w:t>★4.6</w:t>
            </w:r>
          </w:p>
        </w:tc>
        <w:tc>
          <w:tcPr>
            <w:tcW w:w="2480" w:type="dxa"/>
            <w:noWrap/>
            <w:vAlign w:val="center"/>
          </w:tcPr>
          <w:p w14:paraId="577EDBAA">
            <w:pPr>
              <w:pStyle w:val="45"/>
              <w:rPr>
                <w:rFonts w:cs="宋体"/>
                <w:b/>
                <w:bCs/>
                <w:szCs w:val="21"/>
                <w:highlight w:val="none"/>
              </w:rPr>
            </w:pPr>
            <w:r>
              <w:rPr>
                <w:rFonts w:hint="eastAsia" w:cs="宋体"/>
                <w:b/>
                <w:bCs/>
                <w:szCs w:val="21"/>
                <w:highlight w:val="none"/>
              </w:rPr>
              <w:t>是否接受联合体投标</w:t>
            </w:r>
          </w:p>
        </w:tc>
        <w:tc>
          <w:tcPr>
            <w:tcW w:w="6025" w:type="dxa"/>
            <w:noWrap/>
            <w:vAlign w:val="center"/>
          </w:tcPr>
          <w:p w14:paraId="7D1CBA5F">
            <w:pPr>
              <w:pStyle w:val="45"/>
              <w:jc w:val="left"/>
              <w:rPr>
                <w:rFonts w:cs="宋体"/>
                <w:szCs w:val="21"/>
                <w:highlight w:val="none"/>
              </w:rPr>
            </w:pPr>
            <w:r>
              <w:rPr>
                <w:rFonts w:hint="eastAsia" w:cs="宋体"/>
                <w:szCs w:val="21"/>
                <w:highlight w:val="none"/>
              </w:rPr>
              <w:t>本项目不接受联合体投标。</w:t>
            </w:r>
          </w:p>
        </w:tc>
      </w:tr>
      <w:tr w14:paraId="32242B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9" w:hRule="atLeast"/>
          <w:jc w:val="center"/>
        </w:trPr>
        <w:tc>
          <w:tcPr>
            <w:tcW w:w="1455" w:type="dxa"/>
            <w:gridSpan w:val="2"/>
            <w:noWrap/>
            <w:vAlign w:val="center"/>
          </w:tcPr>
          <w:p w14:paraId="2F6E5EA6">
            <w:pPr>
              <w:pStyle w:val="45"/>
              <w:jc w:val="center"/>
              <w:rPr>
                <w:rFonts w:cs="宋体"/>
                <w:szCs w:val="21"/>
                <w:highlight w:val="none"/>
              </w:rPr>
            </w:pPr>
            <w:r>
              <w:rPr>
                <w:rFonts w:hint="eastAsia" w:cs="宋体"/>
                <w:szCs w:val="21"/>
                <w:highlight w:val="none"/>
              </w:rPr>
              <w:t>10.2</w:t>
            </w:r>
          </w:p>
        </w:tc>
        <w:tc>
          <w:tcPr>
            <w:tcW w:w="2480" w:type="dxa"/>
            <w:noWrap/>
            <w:vAlign w:val="center"/>
          </w:tcPr>
          <w:p w14:paraId="72EEDB15">
            <w:pPr>
              <w:autoSpaceDE w:val="0"/>
              <w:autoSpaceDN w:val="0"/>
              <w:snapToGrid w:val="0"/>
              <w:spacing w:line="276" w:lineRule="auto"/>
              <w:textAlignment w:val="bottom"/>
              <w:rPr>
                <w:rFonts w:cs="宋体"/>
                <w:szCs w:val="21"/>
                <w:highlight w:val="none"/>
              </w:rPr>
            </w:pPr>
            <w:r>
              <w:rPr>
                <w:rFonts w:hint="eastAsia" w:cs="宋体"/>
                <w:szCs w:val="21"/>
                <w:highlight w:val="none"/>
              </w:rPr>
              <w:t>招标文件澄清截止时间</w:t>
            </w:r>
          </w:p>
        </w:tc>
        <w:tc>
          <w:tcPr>
            <w:tcW w:w="6025" w:type="dxa"/>
            <w:noWrap/>
            <w:vAlign w:val="center"/>
          </w:tcPr>
          <w:p w14:paraId="496F8424">
            <w:pPr>
              <w:pStyle w:val="45"/>
              <w:rPr>
                <w:rFonts w:cs="宋体"/>
                <w:bCs/>
                <w:szCs w:val="21"/>
                <w:highlight w:val="none"/>
              </w:rPr>
            </w:pPr>
            <w:r>
              <w:rPr>
                <w:rFonts w:hint="eastAsia" w:cs="宋体"/>
                <w:szCs w:val="21"/>
                <w:highlight w:val="none"/>
              </w:rPr>
              <w:t>提交投标文件截止时间十五日前。</w:t>
            </w:r>
          </w:p>
        </w:tc>
      </w:tr>
      <w:tr w14:paraId="2CE4E2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8" w:hRule="atLeast"/>
          <w:jc w:val="center"/>
        </w:trPr>
        <w:tc>
          <w:tcPr>
            <w:tcW w:w="1455" w:type="dxa"/>
            <w:gridSpan w:val="2"/>
            <w:noWrap/>
            <w:vAlign w:val="center"/>
          </w:tcPr>
          <w:p w14:paraId="391BDDB1">
            <w:pPr>
              <w:pStyle w:val="45"/>
              <w:jc w:val="center"/>
              <w:rPr>
                <w:rFonts w:cs="宋体"/>
                <w:szCs w:val="21"/>
                <w:highlight w:val="none"/>
              </w:rPr>
            </w:pPr>
            <w:r>
              <w:rPr>
                <w:rFonts w:hint="eastAsia" w:cs="宋体"/>
                <w:szCs w:val="21"/>
                <w:highlight w:val="none"/>
              </w:rPr>
              <w:t>13.1.1</w:t>
            </w:r>
          </w:p>
        </w:tc>
        <w:tc>
          <w:tcPr>
            <w:tcW w:w="2480" w:type="dxa"/>
            <w:noWrap/>
            <w:vAlign w:val="center"/>
          </w:tcPr>
          <w:p w14:paraId="33FBBDD2">
            <w:pPr>
              <w:autoSpaceDE w:val="0"/>
              <w:autoSpaceDN w:val="0"/>
              <w:snapToGrid w:val="0"/>
              <w:textAlignment w:val="bottom"/>
              <w:rPr>
                <w:rFonts w:cs="宋体"/>
                <w:szCs w:val="21"/>
                <w:highlight w:val="none"/>
              </w:rPr>
            </w:pPr>
            <w:r>
              <w:rPr>
                <w:rFonts w:hint="eastAsia" w:cs="宋体"/>
                <w:szCs w:val="21"/>
                <w:highlight w:val="none"/>
              </w:rPr>
              <w:t>构成投标文件技术部分的其他资料</w:t>
            </w:r>
          </w:p>
        </w:tc>
        <w:tc>
          <w:tcPr>
            <w:tcW w:w="6025" w:type="dxa"/>
            <w:noWrap/>
            <w:vAlign w:val="center"/>
          </w:tcPr>
          <w:p w14:paraId="2C58DC3E">
            <w:pPr>
              <w:autoSpaceDE w:val="0"/>
              <w:autoSpaceDN w:val="0"/>
              <w:snapToGrid w:val="0"/>
              <w:textAlignment w:val="bottom"/>
              <w:rPr>
                <w:rFonts w:cs="宋体"/>
                <w:bCs/>
                <w:szCs w:val="21"/>
                <w:highlight w:val="none"/>
              </w:rPr>
            </w:pPr>
            <w:r>
              <w:rPr>
                <w:rFonts w:hint="eastAsia" w:cs="宋体"/>
                <w:bCs/>
                <w:szCs w:val="21"/>
                <w:highlight w:val="none"/>
              </w:rPr>
              <w:t>1、第五章《采购需求》中要求提供的其他资料；</w:t>
            </w:r>
          </w:p>
          <w:p w14:paraId="4A7149D1">
            <w:pPr>
              <w:autoSpaceDE w:val="0"/>
              <w:autoSpaceDN w:val="0"/>
              <w:snapToGrid w:val="0"/>
              <w:textAlignment w:val="bottom"/>
              <w:rPr>
                <w:rFonts w:cs="宋体"/>
                <w:szCs w:val="21"/>
                <w:highlight w:val="none"/>
              </w:rPr>
            </w:pPr>
            <w:r>
              <w:rPr>
                <w:rFonts w:hint="eastAsia" w:cs="宋体"/>
                <w:bCs/>
                <w:szCs w:val="21"/>
                <w:highlight w:val="none"/>
              </w:rPr>
              <w:t>2、招标文件中所涉及到的相关资料及证明文件或投标人认为必须提供的其他相关资料。</w:t>
            </w:r>
          </w:p>
        </w:tc>
      </w:tr>
      <w:tr w14:paraId="26B6B2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8" w:hRule="atLeast"/>
          <w:jc w:val="center"/>
        </w:trPr>
        <w:tc>
          <w:tcPr>
            <w:tcW w:w="1455" w:type="dxa"/>
            <w:gridSpan w:val="2"/>
            <w:noWrap/>
            <w:vAlign w:val="center"/>
          </w:tcPr>
          <w:p w14:paraId="4FF8E217">
            <w:pPr>
              <w:pStyle w:val="45"/>
              <w:jc w:val="center"/>
              <w:rPr>
                <w:rFonts w:cs="宋体"/>
                <w:szCs w:val="21"/>
                <w:highlight w:val="none"/>
              </w:rPr>
            </w:pPr>
            <w:r>
              <w:rPr>
                <w:rFonts w:hint="eastAsia" w:cs="宋体"/>
                <w:szCs w:val="21"/>
                <w:highlight w:val="none"/>
              </w:rPr>
              <w:t>13.1.2</w:t>
            </w:r>
          </w:p>
        </w:tc>
        <w:tc>
          <w:tcPr>
            <w:tcW w:w="2480" w:type="dxa"/>
            <w:noWrap/>
            <w:vAlign w:val="center"/>
          </w:tcPr>
          <w:p w14:paraId="30E2DEB1">
            <w:pPr>
              <w:autoSpaceDE w:val="0"/>
              <w:autoSpaceDN w:val="0"/>
              <w:snapToGrid w:val="0"/>
              <w:textAlignment w:val="bottom"/>
              <w:rPr>
                <w:rFonts w:cs="宋体"/>
                <w:szCs w:val="21"/>
                <w:highlight w:val="none"/>
              </w:rPr>
            </w:pPr>
            <w:r>
              <w:rPr>
                <w:rFonts w:hint="eastAsia" w:cs="宋体"/>
                <w:szCs w:val="21"/>
                <w:highlight w:val="none"/>
              </w:rPr>
              <w:t>构成投标文件商务部分的其他资料</w:t>
            </w:r>
          </w:p>
        </w:tc>
        <w:tc>
          <w:tcPr>
            <w:tcW w:w="6025" w:type="dxa"/>
            <w:noWrap/>
            <w:vAlign w:val="center"/>
          </w:tcPr>
          <w:p w14:paraId="63A130AE">
            <w:pPr>
              <w:autoSpaceDE w:val="0"/>
              <w:autoSpaceDN w:val="0"/>
              <w:snapToGrid w:val="0"/>
              <w:textAlignment w:val="bottom"/>
              <w:rPr>
                <w:rFonts w:cs="宋体"/>
                <w:bCs/>
                <w:szCs w:val="21"/>
                <w:highlight w:val="none"/>
              </w:rPr>
            </w:pPr>
            <w:r>
              <w:rPr>
                <w:rFonts w:hint="eastAsia" w:cs="宋体"/>
                <w:szCs w:val="21"/>
                <w:highlight w:val="none"/>
              </w:rPr>
              <w:t>1、售后服务机构技术力量说明</w:t>
            </w:r>
            <w:r>
              <w:rPr>
                <w:rFonts w:hint="eastAsia" w:cs="宋体"/>
                <w:bCs/>
                <w:szCs w:val="21"/>
                <w:highlight w:val="none"/>
              </w:rPr>
              <w:t>；</w:t>
            </w:r>
          </w:p>
          <w:p w14:paraId="2BB76B8E">
            <w:pPr>
              <w:autoSpaceDE w:val="0"/>
              <w:autoSpaceDN w:val="0"/>
              <w:snapToGrid w:val="0"/>
              <w:textAlignment w:val="bottom"/>
              <w:rPr>
                <w:rFonts w:cs="宋体"/>
                <w:szCs w:val="21"/>
                <w:highlight w:val="none"/>
              </w:rPr>
            </w:pPr>
            <w:r>
              <w:rPr>
                <w:rFonts w:hint="eastAsia" w:cs="宋体"/>
                <w:bCs/>
                <w:szCs w:val="21"/>
                <w:highlight w:val="none"/>
              </w:rPr>
              <w:t>2、招标文件中所涉及到的相关资料及证明文件或投标人认为必须提供的其他相关资料。</w:t>
            </w:r>
          </w:p>
        </w:tc>
      </w:tr>
      <w:tr w14:paraId="42D1AA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455" w:type="dxa"/>
            <w:gridSpan w:val="2"/>
            <w:noWrap/>
            <w:vAlign w:val="center"/>
          </w:tcPr>
          <w:p w14:paraId="2E134F82">
            <w:pPr>
              <w:pStyle w:val="45"/>
              <w:jc w:val="center"/>
              <w:rPr>
                <w:rFonts w:cs="宋体"/>
                <w:szCs w:val="21"/>
                <w:highlight w:val="none"/>
              </w:rPr>
            </w:pPr>
            <w:r>
              <w:rPr>
                <w:rFonts w:hint="eastAsia" w:cs="宋体"/>
                <w:szCs w:val="21"/>
                <w:highlight w:val="none"/>
              </w:rPr>
              <w:t>★15.1</w:t>
            </w:r>
          </w:p>
        </w:tc>
        <w:tc>
          <w:tcPr>
            <w:tcW w:w="2480" w:type="dxa"/>
            <w:noWrap/>
            <w:vAlign w:val="center"/>
          </w:tcPr>
          <w:p w14:paraId="20842E90">
            <w:pPr>
              <w:pStyle w:val="45"/>
              <w:rPr>
                <w:rFonts w:cs="宋体"/>
                <w:szCs w:val="21"/>
                <w:highlight w:val="none"/>
              </w:rPr>
            </w:pPr>
            <w:r>
              <w:rPr>
                <w:rFonts w:hint="eastAsia" w:cs="宋体"/>
                <w:szCs w:val="21"/>
                <w:highlight w:val="none"/>
              </w:rPr>
              <w:t>本项目最高限价</w:t>
            </w:r>
          </w:p>
        </w:tc>
        <w:tc>
          <w:tcPr>
            <w:tcW w:w="6025" w:type="dxa"/>
            <w:noWrap/>
            <w:vAlign w:val="center"/>
          </w:tcPr>
          <w:p w14:paraId="092A57D5">
            <w:pPr>
              <w:autoSpaceDE w:val="0"/>
              <w:autoSpaceDN w:val="0"/>
              <w:snapToGrid w:val="0"/>
              <w:textAlignment w:val="bottom"/>
              <w:rPr>
                <w:rFonts w:cs="宋体"/>
                <w:bCs/>
                <w:szCs w:val="21"/>
                <w:highlight w:val="none"/>
              </w:rPr>
            </w:pPr>
            <w:r>
              <w:rPr>
                <w:rFonts w:hint="eastAsia"/>
                <w:szCs w:val="21"/>
                <w:highlight w:val="none"/>
              </w:rPr>
              <w:t>详见</w:t>
            </w:r>
            <w:r>
              <w:rPr>
                <w:szCs w:val="21"/>
                <w:highlight w:val="none"/>
              </w:rPr>
              <w:t>第一章“招标公告”</w:t>
            </w:r>
            <w:r>
              <w:rPr>
                <w:rFonts w:hint="eastAsia"/>
                <w:szCs w:val="21"/>
                <w:highlight w:val="none"/>
              </w:rPr>
              <w:t>。</w:t>
            </w:r>
          </w:p>
        </w:tc>
      </w:tr>
      <w:tr w14:paraId="6D490B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455" w:type="dxa"/>
            <w:gridSpan w:val="2"/>
            <w:noWrap/>
            <w:vAlign w:val="center"/>
          </w:tcPr>
          <w:p w14:paraId="5B642A51">
            <w:pPr>
              <w:pStyle w:val="45"/>
              <w:jc w:val="center"/>
              <w:rPr>
                <w:rFonts w:cs="宋体"/>
                <w:szCs w:val="21"/>
                <w:highlight w:val="none"/>
              </w:rPr>
            </w:pPr>
            <w:r>
              <w:rPr>
                <w:rFonts w:hint="eastAsia" w:cs="宋体"/>
                <w:szCs w:val="21"/>
                <w:highlight w:val="none"/>
              </w:rPr>
              <w:t>★17.1</w:t>
            </w:r>
          </w:p>
        </w:tc>
        <w:tc>
          <w:tcPr>
            <w:tcW w:w="2480" w:type="dxa"/>
            <w:noWrap/>
            <w:vAlign w:val="center"/>
          </w:tcPr>
          <w:p w14:paraId="7E95561A">
            <w:pPr>
              <w:pStyle w:val="45"/>
              <w:rPr>
                <w:rFonts w:cs="宋体"/>
                <w:szCs w:val="21"/>
                <w:highlight w:val="none"/>
              </w:rPr>
            </w:pPr>
            <w:r>
              <w:rPr>
                <w:rFonts w:hint="eastAsia" w:cs="宋体"/>
                <w:szCs w:val="21"/>
                <w:highlight w:val="none"/>
              </w:rPr>
              <w:t>投标文件有效期</w:t>
            </w:r>
          </w:p>
        </w:tc>
        <w:tc>
          <w:tcPr>
            <w:tcW w:w="6025" w:type="dxa"/>
            <w:noWrap/>
            <w:vAlign w:val="center"/>
          </w:tcPr>
          <w:p w14:paraId="3BCDBC0E">
            <w:pPr>
              <w:pStyle w:val="45"/>
              <w:rPr>
                <w:rFonts w:cs="宋体"/>
                <w:szCs w:val="21"/>
                <w:highlight w:val="none"/>
              </w:rPr>
            </w:pPr>
            <w:r>
              <w:rPr>
                <w:rFonts w:hint="eastAsia" w:cs="宋体"/>
                <w:szCs w:val="21"/>
                <w:highlight w:val="none"/>
              </w:rPr>
              <w:t>从提交投标文件截止之日起</w:t>
            </w:r>
            <w:r>
              <w:rPr>
                <w:rFonts w:hint="eastAsia" w:cs="宋体"/>
                <w:szCs w:val="21"/>
                <w:highlight w:val="none"/>
                <w:u w:val="single"/>
              </w:rPr>
              <w:t>90</w:t>
            </w:r>
            <w:r>
              <w:rPr>
                <w:rFonts w:hint="eastAsia" w:cs="宋体"/>
                <w:szCs w:val="21"/>
                <w:highlight w:val="none"/>
              </w:rPr>
              <w:t>日历天。</w:t>
            </w:r>
          </w:p>
        </w:tc>
      </w:tr>
      <w:tr w14:paraId="4AEFEF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6" w:hRule="atLeast"/>
          <w:jc w:val="center"/>
        </w:trPr>
        <w:tc>
          <w:tcPr>
            <w:tcW w:w="1455" w:type="dxa"/>
            <w:gridSpan w:val="2"/>
            <w:noWrap/>
            <w:vAlign w:val="center"/>
          </w:tcPr>
          <w:p w14:paraId="2780B424">
            <w:pPr>
              <w:pStyle w:val="45"/>
              <w:jc w:val="center"/>
              <w:rPr>
                <w:rFonts w:cs="宋体"/>
                <w:szCs w:val="21"/>
                <w:highlight w:val="none"/>
              </w:rPr>
            </w:pPr>
            <w:r>
              <w:rPr>
                <w:rFonts w:hint="eastAsia" w:cs="宋体"/>
                <w:szCs w:val="21"/>
                <w:highlight w:val="none"/>
              </w:rPr>
              <w:t>18.1</w:t>
            </w:r>
          </w:p>
        </w:tc>
        <w:tc>
          <w:tcPr>
            <w:tcW w:w="2480" w:type="dxa"/>
            <w:noWrap/>
            <w:vAlign w:val="center"/>
          </w:tcPr>
          <w:p w14:paraId="739A4A8F">
            <w:pPr>
              <w:pStyle w:val="45"/>
              <w:rPr>
                <w:rFonts w:cs="宋体"/>
                <w:szCs w:val="21"/>
                <w:highlight w:val="none"/>
              </w:rPr>
            </w:pPr>
            <w:r>
              <w:rPr>
                <w:rFonts w:hint="eastAsia" w:cs="宋体"/>
                <w:szCs w:val="21"/>
                <w:highlight w:val="none"/>
              </w:rPr>
              <w:t>分包</w:t>
            </w:r>
          </w:p>
        </w:tc>
        <w:tc>
          <w:tcPr>
            <w:tcW w:w="6025" w:type="dxa"/>
            <w:noWrap/>
            <w:vAlign w:val="center"/>
          </w:tcPr>
          <w:p w14:paraId="2972B9B8">
            <w:pPr>
              <w:pStyle w:val="45"/>
              <w:rPr>
                <w:rFonts w:cs="宋体"/>
                <w:szCs w:val="21"/>
                <w:highlight w:val="none"/>
              </w:rPr>
            </w:pPr>
            <w:r>
              <w:rPr>
                <w:rFonts w:hint="eastAsia" w:cs="宋体"/>
                <w:szCs w:val="21"/>
                <w:highlight w:val="none"/>
              </w:rPr>
              <w:t>■本项目不得分包。</w:t>
            </w:r>
          </w:p>
          <w:p w14:paraId="7AE7D732">
            <w:pPr>
              <w:pStyle w:val="45"/>
              <w:rPr>
                <w:rFonts w:cs="宋体"/>
                <w:szCs w:val="21"/>
                <w:highlight w:val="none"/>
              </w:rPr>
            </w:pPr>
            <w:r>
              <w:rPr>
                <w:rFonts w:hint="eastAsia" w:cs="宋体"/>
                <w:szCs w:val="21"/>
                <w:highlight w:val="none"/>
              </w:rPr>
              <w:t>□本项目中，可以分包。</w:t>
            </w:r>
          </w:p>
        </w:tc>
      </w:tr>
      <w:tr w14:paraId="616583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6" w:hRule="atLeast"/>
          <w:jc w:val="center"/>
        </w:trPr>
        <w:tc>
          <w:tcPr>
            <w:tcW w:w="1455" w:type="dxa"/>
            <w:gridSpan w:val="2"/>
            <w:noWrap/>
            <w:vAlign w:val="center"/>
          </w:tcPr>
          <w:p w14:paraId="5A48866B">
            <w:pPr>
              <w:pStyle w:val="45"/>
              <w:jc w:val="center"/>
              <w:rPr>
                <w:rFonts w:cs="宋体"/>
                <w:b/>
                <w:bCs/>
                <w:szCs w:val="21"/>
                <w:highlight w:val="none"/>
              </w:rPr>
            </w:pPr>
            <w:r>
              <w:rPr>
                <w:rFonts w:hint="eastAsia" w:cs="宋体"/>
                <w:b/>
                <w:bCs/>
                <w:szCs w:val="21"/>
                <w:highlight w:val="none"/>
              </w:rPr>
              <w:t>20</w:t>
            </w:r>
          </w:p>
        </w:tc>
        <w:tc>
          <w:tcPr>
            <w:tcW w:w="2480" w:type="dxa"/>
            <w:noWrap/>
            <w:vAlign w:val="center"/>
          </w:tcPr>
          <w:p w14:paraId="58F34CF6">
            <w:pPr>
              <w:pStyle w:val="45"/>
              <w:rPr>
                <w:rFonts w:cs="宋体"/>
                <w:b/>
                <w:bCs/>
                <w:szCs w:val="21"/>
                <w:highlight w:val="none"/>
              </w:rPr>
            </w:pPr>
            <w:r>
              <w:rPr>
                <w:rFonts w:hint="eastAsia" w:cs="宋体"/>
                <w:b/>
                <w:bCs/>
                <w:szCs w:val="21"/>
                <w:highlight w:val="none"/>
              </w:rPr>
              <w:t>投标文件的编制</w:t>
            </w:r>
          </w:p>
        </w:tc>
        <w:tc>
          <w:tcPr>
            <w:tcW w:w="6025" w:type="dxa"/>
            <w:noWrap/>
            <w:vAlign w:val="center"/>
          </w:tcPr>
          <w:p w14:paraId="1B4EA42E">
            <w:pPr>
              <w:snapToGrid w:val="0"/>
              <w:rPr>
                <w:rFonts w:cs="宋体"/>
                <w:szCs w:val="21"/>
                <w:highlight w:val="none"/>
              </w:rPr>
            </w:pPr>
            <w:r>
              <w:rPr>
                <w:rFonts w:hint="eastAsia" w:cs="宋体"/>
                <w:b/>
                <w:bCs/>
                <w:szCs w:val="21"/>
                <w:highlight w:val="none"/>
              </w:rPr>
              <w:t>1、</w:t>
            </w:r>
            <w:r>
              <w:rPr>
                <w:rFonts w:hint="eastAsia" w:cs="宋体"/>
                <w:szCs w:val="21"/>
                <w:highlight w:val="none"/>
              </w:rPr>
              <w:t>投标文件全部采用电子文档，投标人应安装客户端软件—“政采云电子交易客户端”，并按照招标文件和政采云电子交易平台的要求编制，编制后应进行电子签名及加密。</w:t>
            </w:r>
          </w:p>
          <w:p w14:paraId="5B7C991F">
            <w:pPr>
              <w:snapToGrid w:val="0"/>
              <w:rPr>
                <w:rFonts w:cs="宋体"/>
                <w:szCs w:val="21"/>
                <w:highlight w:val="none"/>
              </w:rPr>
            </w:pPr>
            <w:r>
              <w:rPr>
                <w:rFonts w:hint="eastAsia" w:cs="宋体"/>
                <w:b/>
                <w:bCs/>
                <w:szCs w:val="21"/>
                <w:highlight w:val="none"/>
              </w:rPr>
              <w:t>2、</w:t>
            </w:r>
            <w:r>
              <w:rPr>
                <w:rFonts w:hint="eastAsia" w:cs="宋体"/>
                <w:szCs w:val="21"/>
                <w:highlight w:val="none"/>
              </w:rPr>
              <w:t>如投标人提交的电子标书不符合招标文件要求或开标时无法读取导入或解密，其投标文件将不予受理。</w:t>
            </w:r>
          </w:p>
          <w:p w14:paraId="68B02E40">
            <w:pPr>
              <w:snapToGrid w:val="0"/>
              <w:rPr>
                <w:rFonts w:cs="宋体"/>
                <w:szCs w:val="21"/>
                <w:highlight w:val="none"/>
              </w:rPr>
            </w:pPr>
            <w:r>
              <w:rPr>
                <w:rFonts w:hint="eastAsia" w:cs="宋体"/>
                <w:b/>
                <w:bCs/>
                <w:szCs w:val="21"/>
                <w:highlight w:val="none"/>
              </w:rPr>
              <w:t>3、</w:t>
            </w:r>
            <w:r>
              <w:rPr>
                <w:rFonts w:hint="eastAsia" w:cs="宋体"/>
                <w:szCs w:val="21"/>
                <w:highlight w:val="none"/>
              </w:rPr>
              <w:t>投标文件应尽量避免涂改、行间插字或删除。如果出现上述情况，改动之处应加盖单位章或由投标人的法定代表人（签名或盖章）确认。</w:t>
            </w:r>
          </w:p>
          <w:p w14:paraId="08F00464">
            <w:pPr>
              <w:snapToGrid w:val="0"/>
              <w:rPr>
                <w:rFonts w:cs="宋体"/>
                <w:szCs w:val="21"/>
                <w:highlight w:val="none"/>
              </w:rPr>
            </w:pPr>
            <w:r>
              <w:rPr>
                <w:rFonts w:hint="eastAsia" w:cs="宋体"/>
                <w:b/>
                <w:bCs/>
                <w:szCs w:val="21"/>
                <w:highlight w:val="none"/>
              </w:rPr>
              <w:t>4、</w:t>
            </w:r>
            <w:r>
              <w:rPr>
                <w:rFonts w:hint="eastAsia" w:cs="宋体"/>
                <w:szCs w:val="21"/>
                <w:highlight w:val="none"/>
              </w:rPr>
              <w:t>关键内容字迹潦草、表达不清、未按要求填写而导致非唯一理解，视为未实质性响应招标文件的投标文件。</w:t>
            </w:r>
          </w:p>
          <w:p w14:paraId="7054C0F0">
            <w:pPr>
              <w:pStyle w:val="45"/>
              <w:rPr>
                <w:rFonts w:cs="宋体"/>
                <w:szCs w:val="21"/>
                <w:highlight w:val="none"/>
              </w:rPr>
            </w:pPr>
            <w:r>
              <w:rPr>
                <w:rFonts w:hint="eastAsia" w:cs="宋体"/>
                <w:b/>
                <w:bCs/>
                <w:szCs w:val="21"/>
                <w:highlight w:val="none"/>
              </w:rPr>
              <w:t>5、</w:t>
            </w:r>
            <w:r>
              <w:rPr>
                <w:rFonts w:hint="eastAsia" w:cs="宋体"/>
                <w:szCs w:val="21"/>
                <w:highlight w:val="none"/>
              </w:rPr>
              <w:t>投标文件中提供的资料（复印件或扫描件），内容必须清晰可辨，若内容模糊，无法辨识，均视为未提供。</w:t>
            </w:r>
          </w:p>
        </w:tc>
      </w:tr>
      <w:tr w14:paraId="4F6341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4" w:hRule="atLeast"/>
          <w:jc w:val="center"/>
        </w:trPr>
        <w:tc>
          <w:tcPr>
            <w:tcW w:w="1455" w:type="dxa"/>
            <w:gridSpan w:val="2"/>
            <w:noWrap/>
            <w:vAlign w:val="center"/>
          </w:tcPr>
          <w:p w14:paraId="56166D99">
            <w:pPr>
              <w:pStyle w:val="45"/>
              <w:jc w:val="center"/>
              <w:rPr>
                <w:rFonts w:cs="宋体"/>
                <w:b/>
                <w:bCs/>
                <w:szCs w:val="21"/>
                <w:highlight w:val="none"/>
              </w:rPr>
            </w:pPr>
            <w:r>
              <w:rPr>
                <w:rFonts w:hint="eastAsia" w:cs="宋体"/>
                <w:b/>
                <w:bCs/>
                <w:szCs w:val="21"/>
                <w:highlight w:val="none"/>
              </w:rPr>
              <w:t>★21</w:t>
            </w:r>
          </w:p>
        </w:tc>
        <w:tc>
          <w:tcPr>
            <w:tcW w:w="2480" w:type="dxa"/>
            <w:noWrap/>
            <w:vAlign w:val="center"/>
          </w:tcPr>
          <w:p w14:paraId="190901E6">
            <w:pPr>
              <w:pStyle w:val="45"/>
              <w:rPr>
                <w:rFonts w:cs="宋体"/>
                <w:b/>
                <w:bCs/>
                <w:szCs w:val="21"/>
                <w:highlight w:val="none"/>
              </w:rPr>
            </w:pPr>
            <w:r>
              <w:rPr>
                <w:rFonts w:hint="eastAsia" w:cs="宋体"/>
                <w:szCs w:val="21"/>
                <w:highlight w:val="none"/>
              </w:rPr>
              <w:t>投标保证金</w:t>
            </w:r>
          </w:p>
        </w:tc>
        <w:tc>
          <w:tcPr>
            <w:tcW w:w="6025" w:type="dxa"/>
            <w:noWrap/>
            <w:vAlign w:val="center"/>
          </w:tcPr>
          <w:p w14:paraId="265B31A6">
            <w:pPr>
              <w:widowControl/>
              <w:jc w:val="left"/>
              <w:rPr>
                <w:rFonts w:cs="宋体"/>
                <w:kern w:val="0"/>
                <w:szCs w:val="21"/>
                <w:highlight w:val="none"/>
              </w:rPr>
            </w:pPr>
            <w:r>
              <w:rPr>
                <w:rFonts w:hint="eastAsia" w:cs="宋体"/>
                <w:bCs/>
                <w:szCs w:val="22"/>
                <w:highlight w:val="none"/>
              </w:rPr>
              <w:t>本项目不缴纳</w:t>
            </w:r>
          </w:p>
        </w:tc>
      </w:tr>
      <w:tr w14:paraId="7C4905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1" w:hRule="atLeast"/>
          <w:jc w:val="center"/>
        </w:trPr>
        <w:tc>
          <w:tcPr>
            <w:tcW w:w="1455" w:type="dxa"/>
            <w:gridSpan w:val="2"/>
            <w:noWrap/>
            <w:vAlign w:val="center"/>
          </w:tcPr>
          <w:p w14:paraId="41B805D5">
            <w:pPr>
              <w:pStyle w:val="45"/>
              <w:jc w:val="center"/>
              <w:rPr>
                <w:rFonts w:cs="宋体"/>
                <w:szCs w:val="21"/>
                <w:highlight w:val="none"/>
              </w:rPr>
            </w:pPr>
            <w:r>
              <w:rPr>
                <w:rFonts w:hint="eastAsia" w:cs="宋体"/>
                <w:szCs w:val="21"/>
                <w:highlight w:val="none"/>
              </w:rPr>
              <w:t>23.1</w:t>
            </w:r>
          </w:p>
        </w:tc>
        <w:tc>
          <w:tcPr>
            <w:tcW w:w="2480" w:type="dxa"/>
            <w:noWrap/>
            <w:vAlign w:val="center"/>
          </w:tcPr>
          <w:p w14:paraId="26DB924D">
            <w:pPr>
              <w:pStyle w:val="45"/>
              <w:rPr>
                <w:rFonts w:cs="宋体"/>
                <w:szCs w:val="21"/>
                <w:highlight w:val="none"/>
              </w:rPr>
            </w:pPr>
            <w:r>
              <w:rPr>
                <w:rFonts w:hint="eastAsia" w:cs="宋体"/>
                <w:szCs w:val="21"/>
                <w:highlight w:val="none"/>
              </w:rPr>
              <w:t>提交投标文件截止时间</w:t>
            </w:r>
          </w:p>
        </w:tc>
        <w:tc>
          <w:tcPr>
            <w:tcW w:w="6025" w:type="dxa"/>
            <w:noWrap/>
            <w:vAlign w:val="center"/>
          </w:tcPr>
          <w:p w14:paraId="13C3403F">
            <w:pPr>
              <w:pStyle w:val="45"/>
              <w:rPr>
                <w:rFonts w:cs="宋体"/>
                <w:szCs w:val="21"/>
                <w:highlight w:val="none"/>
              </w:rPr>
            </w:pPr>
            <w:r>
              <w:rPr>
                <w:rFonts w:hint="eastAsia" w:cs="宋体"/>
                <w:szCs w:val="21"/>
                <w:highlight w:val="none"/>
              </w:rPr>
              <w:t>详见“第一章 招标公告”。</w:t>
            </w:r>
          </w:p>
        </w:tc>
      </w:tr>
      <w:tr w14:paraId="0FB0A9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1" w:hRule="atLeast"/>
          <w:jc w:val="center"/>
        </w:trPr>
        <w:tc>
          <w:tcPr>
            <w:tcW w:w="1455" w:type="dxa"/>
            <w:gridSpan w:val="2"/>
            <w:noWrap/>
            <w:vAlign w:val="center"/>
          </w:tcPr>
          <w:p w14:paraId="6E196399">
            <w:pPr>
              <w:pStyle w:val="45"/>
              <w:jc w:val="center"/>
              <w:rPr>
                <w:rFonts w:cs="宋体"/>
                <w:szCs w:val="21"/>
                <w:highlight w:val="none"/>
              </w:rPr>
            </w:pPr>
            <w:r>
              <w:rPr>
                <w:rFonts w:hint="eastAsia" w:cs="宋体"/>
                <w:szCs w:val="21"/>
                <w:highlight w:val="none"/>
              </w:rPr>
              <w:t>23.2</w:t>
            </w:r>
          </w:p>
        </w:tc>
        <w:tc>
          <w:tcPr>
            <w:tcW w:w="2480" w:type="dxa"/>
            <w:noWrap/>
            <w:vAlign w:val="center"/>
          </w:tcPr>
          <w:p w14:paraId="0B951D76">
            <w:pPr>
              <w:pStyle w:val="45"/>
              <w:rPr>
                <w:rFonts w:cs="宋体"/>
                <w:szCs w:val="24"/>
                <w:highlight w:val="none"/>
              </w:rPr>
            </w:pPr>
            <w:r>
              <w:rPr>
                <w:rFonts w:hint="eastAsia" w:cs="宋体"/>
                <w:szCs w:val="21"/>
                <w:highlight w:val="none"/>
              </w:rPr>
              <w:t>提交投标文件地点</w:t>
            </w:r>
          </w:p>
        </w:tc>
        <w:tc>
          <w:tcPr>
            <w:tcW w:w="6025" w:type="dxa"/>
            <w:noWrap/>
            <w:vAlign w:val="center"/>
          </w:tcPr>
          <w:p w14:paraId="5F28020A">
            <w:pPr>
              <w:pStyle w:val="45"/>
              <w:rPr>
                <w:rFonts w:cs="宋体"/>
                <w:szCs w:val="24"/>
                <w:highlight w:val="none"/>
              </w:rPr>
            </w:pPr>
            <w:r>
              <w:rPr>
                <w:rFonts w:hint="eastAsia" w:cs="宋体"/>
                <w:szCs w:val="21"/>
                <w:highlight w:val="none"/>
              </w:rPr>
              <w:t>详见“第一章 招标公告”。</w:t>
            </w:r>
          </w:p>
        </w:tc>
      </w:tr>
      <w:tr w14:paraId="0B740E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jc w:val="center"/>
        </w:trPr>
        <w:tc>
          <w:tcPr>
            <w:tcW w:w="1455" w:type="dxa"/>
            <w:gridSpan w:val="2"/>
            <w:noWrap/>
            <w:vAlign w:val="center"/>
          </w:tcPr>
          <w:p w14:paraId="44A2A1E3">
            <w:pPr>
              <w:pStyle w:val="45"/>
              <w:jc w:val="center"/>
              <w:rPr>
                <w:rFonts w:cs="宋体"/>
                <w:szCs w:val="21"/>
                <w:highlight w:val="none"/>
              </w:rPr>
            </w:pPr>
            <w:r>
              <w:rPr>
                <w:rFonts w:hint="eastAsia" w:cs="宋体"/>
                <w:szCs w:val="21"/>
                <w:highlight w:val="none"/>
              </w:rPr>
              <w:t>23.3</w:t>
            </w:r>
          </w:p>
        </w:tc>
        <w:tc>
          <w:tcPr>
            <w:tcW w:w="2480" w:type="dxa"/>
            <w:noWrap/>
            <w:vAlign w:val="center"/>
          </w:tcPr>
          <w:p w14:paraId="1D039124">
            <w:pPr>
              <w:pStyle w:val="45"/>
              <w:rPr>
                <w:rFonts w:cs="宋体"/>
                <w:szCs w:val="21"/>
                <w:highlight w:val="none"/>
              </w:rPr>
            </w:pPr>
            <w:r>
              <w:rPr>
                <w:rFonts w:hint="eastAsia" w:cs="宋体"/>
                <w:szCs w:val="21"/>
                <w:highlight w:val="none"/>
              </w:rPr>
              <w:t>投标文件的退还</w:t>
            </w:r>
          </w:p>
        </w:tc>
        <w:tc>
          <w:tcPr>
            <w:tcW w:w="6025" w:type="dxa"/>
            <w:noWrap/>
            <w:vAlign w:val="center"/>
          </w:tcPr>
          <w:p w14:paraId="2DDC86D1">
            <w:pPr>
              <w:pStyle w:val="45"/>
              <w:rPr>
                <w:rFonts w:cs="宋体"/>
                <w:szCs w:val="21"/>
                <w:highlight w:val="none"/>
              </w:rPr>
            </w:pPr>
            <w:r>
              <w:rPr>
                <w:rFonts w:hint="eastAsia" w:cs="宋体"/>
                <w:szCs w:val="21"/>
                <w:highlight w:val="none"/>
              </w:rPr>
              <w:t>不予退还。</w:t>
            </w:r>
          </w:p>
        </w:tc>
      </w:tr>
      <w:tr w14:paraId="30F241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jc w:val="center"/>
        </w:trPr>
        <w:tc>
          <w:tcPr>
            <w:tcW w:w="1455" w:type="dxa"/>
            <w:gridSpan w:val="2"/>
            <w:noWrap/>
            <w:vAlign w:val="center"/>
          </w:tcPr>
          <w:p w14:paraId="4E80857B">
            <w:pPr>
              <w:pStyle w:val="45"/>
              <w:jc w:val="center"/>
              <w:rPr>
                <w:rFonts w:cs="宋体"/>
                <w:szCs w:val="21"/>
                <w:highlight w:val="none"/>
              </w:rPr>
            </w:pPr>
            <w:r>
              <w:rPr>
                <w:rFonts w:hint="eastAsia" w:cs="宋体"/>
                <w:szCs w:val="21"/>
                <w:highlight w:val="none"/>
              </w:rPr>
              <w:t>24.1</w:t>
            </w:r>
          </w:p>
        </w:tc>
        <w:tc>
          <w:tcPr>
            <w:tcW w:w="2480" w:type="dxa"/>
            <w:noWrap/>
            <w:vAlign w:val="center"/>
          </w:tcPr>
          <w:p w14:paraId="497064C5">
            <w:pPr>
              <w:pStyle w:val="45"/>
              <w:rPr>
                <w:rFonts w:cs="宋体"/>
                <w:szCs w:val="21"/>
                <w:highlight w:val="none"/>
              </w:rPr>
            </w:pPr>
            <w:r>
              <w:rPr>
                <w:rFonts w:hint="eastAsia" w:cs="宋体"/>
                <w:szCs w:val="21"/>
                <w:highlight w:val="none"/>
              </w:rPr>
              <w:t>开标时间和地点</w:t>
            </w:r>
          </w:p>
        </w:tc>
        <w:tc>
          <w:tcPr>
            <w:tcW w:w="6025" w:type="dxa"/>
            <w:noWrap/>
            <w:vAlign w:val="center"/>
          </w:tcPr>
          <w:p w14:paraId="49CAAC66">
            <w:pPr>
              <w:pStyle w:val="45"/>
              <w:rPr>
                <w:rFonts w:cs="宋体"/>
                <w:szCs w:val="21"/>
                <w:highlight w:val="none"/>
              </w:rPr>
            </w:pPr>
            <w:r>
              <w:rPr>
                <w:rFonts w:hint="eastAsia" w:cs="宋体"/>
                <w:szCs w:val="21"/>
                <w:highlight w:val="none"/>
              </w:rPr>
              <w:t>开标时间：见招标公告；</w:t>
            </w:r>
          </w:p>
          <w:p w14:paraId="1AFE6A5D">
            <w:pPr>
              <w:snapToGrid w:val="0"/>
              <w:rPr>
                <w:rFonts w:cs="宋体"/>
                <w:szCs w:val="21"/>
                <w:highlight w:val="none"/>
              </w:rPr>
            </w:pPr>
            <w:r>
              <w:rPr>
                <w:rFonts w:hint="eastAsia" w:cs="宋体"/>
                <w:szCs w:val="21"/>
                <w:highlight w:val="none"/>
              </w:rPr>
              <w:t>开标地点：见招标公告。</w:t>
            </w:r>
          </w:p>
        </w:tc>
      </w:tr>
      <w:tr w14:paraId="55B9BA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455" w:type="dxa"/>
            <w:gridSpan w:val="2"/>
            <w:noWrap/>
            <w:vAlign w:val="center"/>
          </w:tcPr>
          <w:p w14:paraId="67F4B3B4">
            <w:pPr>
              <w:pStyle w:val="45"/>
              <w:jc w:val="center"/>
              <w:rPr>
                <w:rFonts w:cs="宋体"/>
                <w:szCs w:val="21"/>
                <w:highlight w:val="none"/>
              </w:rPr>
            </w:pPr>
            <w:r>
              <w:rPr>
                <w:rFonts w:hint="eastAsia" w:cs="宋体"/>
                <w:szCs w:val="21"/>
                <w:highlight w:val="none"/>
              </w:rPr>
              <w:t>26.3</w:t>
            </w:r>
          </w:p>
        </w:tc>
        <w:tc>
          <w:tcPr>
            <w:tcW w:w="2480" w:type="dxa"/>
            <w:noWrap/>
            <w:vAlign w:val="center"/>
          </w:tcPr>
          <w:p w14:paraId="3F57680F">
            <w:pPr>
              <w:pStyle w:val="45"/>
              <w:rPr>
                <w:rFonts w:cs="宋体"/>
                <w:szCs w:val="21"/>
                <w:highlight w:val="none"/>
              </w:rPr>
            </w:pPr>
            <w:r>
              <w:rPr>
                <w:rFonts w:hint="eastAsia" w:cs="宋体"/>
                <w:szCs w:val="21"/>
                <w:highlight w:val="none"/>
              </w:rPr>
              <w:t>评标方法</w:t>
            </w:r>
          </w:p>
        </w:tc>
        <w:tc>
          <w:tcPr>
            <w:tcW w:w="6025" w:type="dxa"/>
            <w:noWrap/>
            <w:vAlign w:val="center"/>
          </w:tcPr>
          <w:p w14:paraId="19975D94">
            <w:pPr>
              <w:rPr>
                <w:rFonts w:cs="宋体"/>
                <w:szCs w:val="21"/>
                <w:highlight w:val="none"/>
              </w:rPr>
            </w:pPr>
            <w:r>
              <w:rPr>
                <w:rFonts w:hint="eastAsia" w:cs="宋体"/>
                <w:szCs w:val="21"/>
                <w:highlight w:val="none"/>
              </w:rPr>
              <w:t>■综合评分法</w:t>
            </w:r>
          </w:p>
        </w:tc>
      </w:tr>
      <w:tr w14:paraId="473815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455" w:type="dxa"/>
            <w:gridSpan w:val="2"/>
            <w:noWrap/>
            <w:vAlign w:val="center"/>
          </w:tcPr>
          <w:p w14:paraId="1A5F0889">
            <w:pPr>
              <w:pStyle w:val="45"/>
              <w:jc w:val="center"/>
              <w:rPr>
                <w:rFonts w:cs="宋体"/>
                <w:szCs w:val="21"/>
                <w:highlight w:val="none"/>
              </w:rPr>
            </w:pPr>
            <w:r>
              <w:rPr>
                <w:rFonts w:hint="eastAsia" w:cs="宋体"/>
                <w:szCs w:val="21"/>
                <w:highlight w:val="none"/>
              </w:rPr>
              <w:t>31.1</w:t>
            </w:r>
          </w:p>
        </w:tc>
        <w:tc>
          <w:tcPr>
            <w:tcW w:w="2480" w:type="dxa"/>
            <w:noWrap/>
            <w:vAlign w:val="center"/>
          </w:tcPr>
          <w:p w14:paraId="18825F69">
            <w:pPr>
              <w:pStyle w:val="45"/>
              <w:rPr>
                <w:rFonts w:cs="宋体"/>
                <w:szCs w:val="21"/>
                <w:highlight w:val="none"/>
              </w:rPr>
            </w:pPr>
            <w:r>
              <w:rPr>
                <w:rFonts w:hint="eastAsia" w:cs="宋体"/>
                <w:bCs/>
                <w:szCs w:val="21"/>
                <w:highlight w:val="none"/>
              </w:rPr>
              <w:t>履约担保</w:t>
            </w:r>
          </w:p>
        </w:tc>
        <w:tc>
          <w:tcPr>
            <w:tcW w:w="6025" w:type="dxa"/>
            <w:noWrap/>
            <w:vAlign w:val="center"/>
          </w:tcPr>
          <w:p w14:paraId="340AE217">
            <w:pPr>
              <w:pStyle w:val="45"/>
              <w:rPr>
                <w:rFonts w:cs="宋体"/>
                <w:highlight w:val="none"/>
              </w:rPr>
            </w:pPr>
            <w:r>
              <w:rPr>
                <w:rFonts w:hint="eastAsia" w:cs="宋体"/>
                <w:highlight w:val="none"/>
              </w:rPr>
              <w:t>无</w:t>
            </w:r>
          </w:p>
        </w:tc>
      </w:tr>
      <w:tr w14:paraId="14F235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1455" w:type="dxa"/>
            <w:gridSpan w:val="2"/>
            <w:noWrap/>
            <w:vAlign w:val="center"/>
          </w:tcPr>
          <w:p w14:paraId="1BC0DCF9">
            <w:pPr>
              <w:pStyle w:val="45"/>
              <w:jc w:val="center"/>
              <w:rPr>
                <w:rFonts w:cs="宋体"/>
                <w:b/>
                <w:bCs/>
                <w:szCs w:val="21"/>
                <w:highlight w:val="none"/>
              </w:rPr>
            </w:pPr>
            <w:r>
              <w:rPr>
                <w:rFonts w:hint="eastAsia" w:cs="宋体"/>
                <w:b/>
                <w:bCs/>
                <w:szCs w:val="21"/>
                <w:highlight w:val="none"/>
              </w:rPr>
              <w:t>32.1</w:t>
            </w:r>
          </w:p>
        </w:tc>
        <w:tc>
          <w:tcPr>
            <w:tcW w:w="2480" w:type="dxa"/>
            <w:noWrap/>
            <w:vAlign w:val="center"/>
          </w:tcPr>
          <w:p w14:paraId="3444FA77">
            <w:pPr>
              <w:pStyle w:val="45"/>
              <w:rPr>
                <w:rFonts w:cs="宋体"/>
                <w:b/>
                <w:bCs/>
                <w:szCs w:val="21"/>
                <w:highlight w:val="none"/>
              </w:rPr>
            </w:pPr>
            <w:r>
              <w:rPr>
                <w:rFonts w:hint="eastAsia" w:cs="宋体"/>
                <w:b/>
                <w:bCs/>
                <w:szCs w:val="21"/>
                <w:highlight w:val="none"/>
              </w:rPr>
              <w:t xml:space="preserve">采购代理服务费 </w:t>
            </w:r>
          </w:p>
        </w:tc>
        <w:tc>
          <w:tcPr>
            <w:tcW w:w="6025" w:type="dxa"/>
            <w:shd w:val="clear" w:color="auto" w:fill="auto"/>
            <w:noWrap/>
            <w:vAlign w:val="center"/>
          </w:tcPr>
          <w:p w14:paraId="3B811A60">
            <w:pPr>
              <w:pStyle w:val="45"/>
              <w:adjustRightInd w:val="0"/>
              <w:snapToGrid w:val="0"/>
              <w:rPr>
                <w:rFonts w:cs="宋体"/>
                <w:b/>
                <w:szCs w:val="21"/>
                <w:highlight w:val="none"/>
              </w:rPr>
            </w:pPr>
            <w:r>
              <w:rPr>
                <w:rFonts w:hint="eastAsia" w:cs="宋体"/>
                <w:b/>
                <w:szCs w:val="21"/>
                <w:highlight w:val="none"/>
              </w:rPr>
              <w:t>1.本项目采购代理服务费由中标人支付，中标人收到中标通知书的同时，应向招标代理机构缴付采购代理服务费。</w:t>
            </w:r>
          </w:p>
          <w:p w14:paraId="7B2ACA54">
            <w:pPr>
              <w:pStyle w:val="45"/>
              <w:adjustRightInd w:val="0"/>
              <w:snapToGrid w:val="0"/>
              <w:rPr>
                <w:rFonts w:cs="宋体"/>
                <w:b/>
                <w:szCs w:val="21"/>
                <w:highlight w:val="none"/>
              </w:rPr>
            </w:pPr>
            <w:r>
              <w:rPr>
                <w:rFonts w:hint="eastAsia" w:cs="宋体"/>
                <w:b/>
                <w:szCs w:val="21"/>
                <w:highlight w:val="none"/>
              </w:rPr>
              <w:t>2.采购代理机构按以下服务招标收费标准向中标人收取采购代理服务费：</w:t>
            </w:r>
          </w:p>
          <w:tbl>
            <w:tblPr>
              <w:tblStyle w:val="88"/>
              <w:tblW w:w="557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56"/>
              <w:gridCol w:w="1420"/>
              <w:gridCol w:w="1337"/>
              <w:gridCol w:w="1366"/>
            </w:tblGrid>
            <w:tr w14:paraId="0DEDCB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52" w:hRule="atLeast"/>
              </w:trPr>
              <w:tc>
                <w:tcPr>
                  <w:tcW w:w="1456" w:type="dxa"/>
                  <w:vMerge w:val="restart"/>
                  <w:vAlign w:val="center"/>
                </w:tcPr>
                <w:p w14:paraId="32CB47AC">
                  <w:pPr>
                    <w:jc w:val="center"/>
                    <w:rPr>
                      <w:rFonts w:cs="宋体"/>
                      <w:b/>
                      <w:bCs/>
                      <w:kern w:val="0"/>
                      <w:szCs w:val="21"/>
                      <w:highlight w:val="none"/>
                    </w:rPr>
                  </w:pPr>
                  <w:r>
                    <w:rPr>
                      <w:rFonts w:hint="eastAsia" w:cs="宋体"/>
                      <w:b/>
                      <w:bCs/>
                      <w:kern w:val="0"/>
                      <w:szCs w:val="21"/>
                      <w:highlight w:val="none"/>
                    </w:rPr>
                    <w:t>中标金额</w:t>
                  </w:r>
                </w:p>
                <w:p w14:paraId="4DC50560">
                  <w:pPr>
                    <w:jc w:val="center"/>
                    <w:rPr>
                      <w:rFonts w:cs="宋体"/>
                      <w:b/>
                      <w:bCs/>
                      <w:kern w:val="0"/>
                      <w:szCs w:val="21"/>
                      <w:highlight w:val="none"/>
                    </w:rPr>
                  </w:pPr>
                  <w:r>
                    <w:rPr>
                      <w:rFonts w:hint="eastAsia" w:cs="宋体"/>
                      <w:b/>
                      <w:bCs/>
                      <w:kern w:val="0"/>
                      <w:szCs w:val="21"/>
                      <w:highlight w:val="none"/>
                    </w:rPr>
                    <w:t>（万元）</w:t>
                  </w:r>
                </w:p>
              </w:tc>
              <w:tc>
                <w:tcPr>
                  <w:tcW w:w="4123" w:type="dxa"/>
                  <w:gridSpan w:val="3"/>
                  <w:vAlign w:val="center"/>
                </w:tcPr>
                <w:p w14:paraId="7B435C48">
                  <w:pPr>
                    <w:jc w:val="center"/>
                    <w:rPr>
                      <w:rFonts w:cs="宋体"/>
                      <w:b/>
                      <w:bCs/>
                      <w:kern w:val="0"/>
                      <w:szCs w:val="21"/>
                      <w:highlight w:val="none"/>
                    </w:rPr>
                  </w:pPr>
                  <w:r>
                    <w:rPr>
                      <w:rFonts w:hint="eastAsia" w:cs="宋体"/>
                      <w:b/>
                      <w:bCs/>
                      <w:kern w:val="0"/>
                      <w:szCs w:val="21"/>
                      <w:highlight w:val="none"/>
                    </w:rPr>
                    <w:t>收费标准</w:t>
                  </w:r>
                </w:p>
              </w:tc>
            </w:tr>
            <w:tr w14:paraId="5D566F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1456" w:type="dxa"/>
                  <w:vMerge w:val="continue"/>
                  <w:shd w:val="clear" w:color="auto" w:fill="auto"/>
                  <w:vAlign w:val="center"/>
                </w:tcPr>
                <w:p w14:paraId="001043E7">
                  <w:pPr>
                    <w:jc w:val="center"/>
                    <w:rPr>
                      <w:rFonts w:cs="宋体"/>
                      <w:b/>
                      <w:bCs/>
                      <w:kern w:val="0"/>
                      <w:szCs w:val="21"/>
                      <w:highlight w:val="none"/>
                    </w:rPr>
                  </w:pPr>
                </w:p>
              </w:tc>
              <w:tc>
                <w:tcPr>
                  <w:tcW w:w="1420" w:type="dxa"/>
                  <w:shd w:val="clear" w:color="auto" w:fill="FFFFFF"/>
                  <w:vAlign w:val="center"/>
                </w:tcPr>
                <w:p w14:paraId="4BCA72F1">
                  <w:pPr>
                    <w:jc w:val="center"/>
                    <w:rPr>
                      <w:rFonts w:cs="宋体"/>
                      <w:b/>
                      <w:bCs/>
                      <w:kern w:val="0"/>
                      <w:szCs w:val="21"/>
                      <w:highlight w:val="none"/>
                    </w:rPr>
                  </w:pPr>
                  <w:r>
                    <w:rPr>
                      <w:rFonts w:hint="eastAsia" w:cs="宋体"/>
                      <w:b/>
                      <w:bCs/>
                      <w:kern w:val="0"/>
                      <w:szCs w:val="21"/>
                      <w:highlight w:val="none"/>
                    </w:rPr>
                    <w:t>货物招标</w:t>
                  </w:r>
                </w:p>
              </w:tc>
              <w:tc>
                <w:tcPr>
                  <w:tcW w:w="1337" w:type="dxa"/>
                  <w:vAlign w:val="center"/>
                </w:tcPr>
                <w:p w14:paraId="141AA631">
                  <w:pPr>
                    <w:jc w:val="center"/>
                    <w:rPr>
                      <w:rFonts w:cs="宋体"/>
                      <w:b/>
                      <w:bCs/>
                      <w:kern w:val="0"/>
                      <w:szCs w:val="21"/>
                      <w:highlight w:val="none"/>
                    </w:rPr>
                  </w:pPr>
                  <w:r>
                    <w:rPr>
                      <w:rFonts w:hint="eastAsia" w:cs="宋体"/>
                      <w:b/>
                      <w:bCs/>
                      <w:kern w:val="0"/>
                      <w:szCs w:val="21"/>
                      <w:highlight w:val="none"/>
                    </w:rPr>
                    <w:t>服务招标</w:t>
                  </w:r>
                </w:p>
              </w:tc>
              <w:tc>
                <w:tcPr>
                  <w:tcW w:w="1366" w:type="dxa"/>
                  <w:vAlign w:val="center"/>
                </w:tcPr>
                <w:p w14:paraId="29B98A40">
                  <w:pPr>
                    <w:jc w:val="center"/>
                    <w:rPr>
                      <w:rFonts w:cs="宋体"/>
                      <w:b/>
                      <w:bCs/>
                      <w:kern w:val="0"/>
                      <w:szCs w:val="21"/>
                      <w:highlight w:val="none"/>
                    </w:rPr>
                  </w:pPr>
                  <w:r>
                    <w:rPr>
                      <w:rFonts w:hint="eastAsia" w:cs="宋体"/>
                      <w:b/>
                      <w:bCs/>
                      <w:kern w:val="0"/>
                      <w:szCs w:val="21"/>
                      <w:highlight w:val="none"/>
                    </w:rPr>
                    <w:t>工程招标</w:t>
                  </w:r>
                </w:p>
              </w:tc>
            </w:tr>
            <w:tr w14:paraId="57DD94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1456" w:type="dxa"/>
                  <w:shd w:val="clear" w:color="auto" w:fill="auto"/>
                </w:tcPr>
                <w:p w14:paraId="06DBE6EB">
                  <w:pPr>
                    <w:rPr>
                      <w:rFonts w:cs="宋体"/>
                      <w:kern w:val="0"/>
                      <w:szCs w:val="21"/>
                      <w:highlight w:val="none"/>
                    </w:rPr>
                  </w:pPr>
                  <w:r>
                    <w:rPr>
                      <w:rFonts w:hint="eastAsia" w:cs="宋体"/>
                      <w:kern w:val="0"/>
                      <w:szCs w:val="21"/>
                      <w:highlight w:val="none"/>
                    </w:rPr>
                    <w:t>100以下</w:t>
                  </w:r>
                </w:p>
              </w:tc>
              <w:tc>
                <w:tcPr>
                  <w:tcW w:w="1420" w:type="dxa"/>
                  <w:shd w:val="clear" w:color="auto" w:fill="FFFFFF" w:themeFill="background1"/>
                </w:tcPr>
                <w:p w14:paraId="4F7A264A">
                  <w:pPr>
                    <w:jc w:val="center"/>
                    <w:rPr>
                      <w:rFonts w:cs="宋体"/>
                      <w:kern w:val="0"/>
                      <w:szCs w:val="21"/>
                      <w:highlight w:val="none"/>
                    </w:rPr>
                  </w:pPr>
                  <w:r>
                    <w:rPr>
                      <w:rFonts w:hint="eastAsia" w:cs="宋体"/>
                      <w:kern w:val="0"/>
                      <w:szCs w:val="21"/>
                      <w:highlight w:val="none"/>
                    </w:rPr>
                    <w:t>1.5%</w:t>
                  </w:r>
                </w:p>
              </w:tc>
              <w:tc>
                <w:tcPr>
                  <w:tcW w:w="1337" w:type="dxa"/>
                  <w:shd w:val="clear" w:color="auto" w:fill="92D050"/>
                </w:tcPr>
                <w:p w14:paraId="383DB762">
                  <w:pPr>
                    <w:jc w:val="center"/>
                    <w:rPr>
                      <w:rFonts w:cs="宋体"/>
                      <w:kern w:val="0"/>
                      <w:szCs w:val="21"/>
                      <w:highlight w:val="none"/>
                    </w:rPr>
                  </w:pPr>
                  <w:r>
                    <w:rPr>
                      <w:rFonts w:hint="eastAsia" w:cs="宋体"/>
                      <w:kern w:val="0"/>
                      <w:szCs w:val="21"/>
                      <w:highlight w:val="none"/>
                    </w:rPr>
                    <w:t>1.5%</w:t>
                  </w:r>
                </w:p>
              </w:tc>
              <w:tc>
                <w:tcPr>
                  <w:tcW w:w="1366" w:type="dxa"/>
                </w:tcPr>
                <w:p w14:paraId="76424CBE">
                  <w:pPr>
                    <w:jc w:val="center"/>
                    <w:rPr>
                      <w:rFonts w:cs="宋体"/>
                      <w:kern w:val="0"/>
                      <w:szCs w:val="21"/>
                      <w:highlight w:val="none"/>
                    </w:rPr>
                  </w:pPr>
                  <w:r>
                    <w:rPr>
                      <w:rFonts w:hint="eastAsia" w:cs="宋体"/>
                      <w:kern w:val="0"/>
                      <w:szCs w:val="21"/>
                      <w:highlight w:val="none"/>
                    </w:rPr>
                    <w:t>1.0%</w:t>
                  </w:r>
                </w:p>
              </w:tc>
            </w:tr>
            <w:tr w14:paraId="728AC4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1456" w:type="dxa"/>
                  <w:shd w:val="clear" w:color="auto" w:fill="auto"/>
                </w:tcPr>
                <w:p w14:paraId="62745973">
                  <w:pPr>
                    <w:rPr>
                      <w:rFonts w:cs="宋体"/>
                      <w:kern w:val="0"/>
                      <w:szCs w:val="21"/>
                      <w:highlight w:val="none"/>
                    </w:rPr>
                  </w:pPr>
                  <w:r>
                    <w:rPr>
                      <w:rFonts w:hint="eastAsia" w:cs="宋体"/>
                      <w:kern w:val="0"/>
                      <w:szCs w:val="21"/>
                      <w:highlight w:val="none"/>
                    </w:rPr>
                    <w:t>100—500</w:t>
                  </w:r>
                </w:p>
              </w:tc>
              <w:tc>
                <w:tcPr>
                  <w:tcW w:w="1420" w:type="dxa"/>
                  <w:shd w:val="clear" w:color="auto" w:fill="FFFFFF" w:themeFill="background1"/>
                </w:tcPr>
                <w:p w14:paraId="75BF6559">
                  <w:pPr>
                    <w:jc w:val="center"/>
                    <w:rPr>
                      <w:rFonts w:cs="宋体"/>
                      <w:kern w:val="0"/>
                      <w:szCs w:val="21"/>
                      <w:highlight w:val="none"/>
                    </w:rPr>
                  </w:pPr>
                  <w:r>
                    <w:rPr>
                      <w:rFonts w:hint="eastAsia" w:cs="宋体"/>
                      <w:kern w:val="0"/>
                      <w:szCs w:val="21"/>
                      <w:highlight w:val="none"/>
                    </w:rPr>
                    <w:t>1.1%</w:t>
                  </w:r>
                </w:p>
              </w:tc>
              <w:tc>
                <w:tcPr>
                  <w:tcW w:w="1337" w:type="dxa"/>
                  <w:shd w:val="clear" w:color="auto" w:fill="92D050"/>
                </w:tcPr>
                <w:p w14:paraId="4A2C374C">
                  <w:pPr>
                    <w:jc w:val="center"/>
                    <w:rPr>
                      <w:rFonts w:cs="宋体"/>
                      <w:kern w:val="0"/>
                      <w:szCs w:val="21"/>
                      <w:highlight w:val="none"/>
                    </w:rPr>
                  </w:pPr>
                  <w:r>
                    <w:rPr>
                      <w:rFonts w:hint="eastAsia" w:cs="宋体"/>
                      <w:kern w:val="0"/>
                      <w:szCs w:val="21"/>
                      <w:highlight w:val="none"/>
                    </w:rPr>
                    <w:t>0.8%</w:t>
                  </w:r>
                </w:p>
              </w:tc>
              <w:tc>
                <w:tcPr>
                  <w:tcW w:w="1366" w:type="dxa"/>
                </w:tcPr>
                <w:p w14:paraId="31BDD9A3">
                  <w:pPr>
                    <w:jc w:val="center"/>
                    <w:rPr>
                      <w:rFonts w:cs="宋体"/>
                      <w:kern w:val="0"/>
                      <w:szCs w:val="21"/>
                      <w:highlight w:val="none"/>
                    </w:rPr>
                  </w:pPr>
                  <w:r>
                    <w:rPr>
                      <w:rFonts w:hint="eastAsia" w:cs="宋体"/>
                      <w:kern w:val="0"/>
                      <w:szCs w:val="21"/>
                      <w:highlight w:val="none"/>
                    </w:rPr>
                    <w:t>0.7%</w:t>
                  </w:r>
                </w:p>
              </w:tc>
            </w:tr>
            <w:tr w14:paraId="34C0B9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1456" w:type="dxa"/>
                  <w:shd w:val="clear" w:color="auto" w:fill="auto"/>
                </w:tcPr>
                <w:p w14:paraId="1178B711">
                  <w:pPr>
                    <w:rPr>
                      <w:rFonts w:cs="宋体"/>
                      <w:kern w:val="0"/>
                      <w:szCs w:val="21"/>
                      <w:highlight w:val="none"/>
                    </w:rPr>
                  </w:pPr>
                  <w:r>
                    <w:rPr>
                      <w:rFonts w:hint="eastAsia" w:cs="宋体"/>
                      <w:kern w:val="0"/>
                      <w:szCs w:val="21"/>
                      <w:highlight w:val="none"/>
                    </w:rPr>
                    <w:t>500—1000</w:t>
                  </w:r>
                </w:p>
              </w:tc>
              <w:tc>
                <w:tcPr>
                  <w:tcW w:w="1420" w:type="dxa"/>
                  <w:shd w:val="clear" w:color="auto" w:fill="FFFFFF" w:themeFill="background1"/>
                </w:tcPr>
                <w:p w14:paraId="29D2E323">
                  <w:pPr>
                    <w:jc w:val="center"/>
                    <w:rPr>
                      <w:rFonts w:cs="宋体"/>
                      <w:kern w:val="0"/>
                      <w:szCs w:val="21"/>
                      <w:highlight w:val="none"/>
                    </w:rPr>
                  </w:pPr>
                  <w:r>
                    <w:rPr>
                      <w:rFonts w:hint="eastAsia" w:cs="宋体"/>
                      <w:kern w:val="0"/>
                      <w:szCs w:val="21"/>
                      <w:highlight w:val="none"/>
                    </w:rPr>
                    <w:t>0.8%</w:t>
                  </w:r>
                </w:p>
              </w:tc>
              <w:tc>
                <w:tcPr>
                  <w:tcW w:w="1337" w:type="dxa"/>
                  <w:shd w:val="clear" w:color="auto" w:fill="92D050"/>
                </w:tcPr>
                <w:p w14:paraId="37A904E2">
                  <w:pPr>
                    <w:jc w:val="center"/>
                    <w:rPr>
                      <w:rFonts w:cs="宋体"/>
                      <w:kern w:val="0"/>
                      <w:szCs w:val="21"/>
                      <w:highlight w:val="none"/>
                    </w:rPr>
                  </w:pPr>
                  <w:r>
                    <w:rPr>
                      <w:rFonts w:hint="eastAsia" w:cs="宋体"/>
                      <w:kern w:val="0"/>
                      <w:szCs w:val="21"/>
                      <w:highlight w:val="none"/>
                    </w:rPr>
                    <w:t>0.45%</w:t>
                  </w:r>
                </w:p>
              </w:tc>
              <w:tc>
                <w:tcPr>
                  <w:tcW w:w="1366" w:type="dxa"/>
                </w:tcPr>
                <w:p w14:paraId="45BF306A">
                  <w:pPr>
                    <w:jc w:val="center"/>
                    <w:rPr>
                      <w:rFonts w:cs="宋体"/>
                      <w:kern w:val="0"/>
                      <w:szCs w:val="21"/>
                      <w:highlight w:val="none"/>
                    </w:rPr>
                  </w:pPr>
                  <w:r>
                    <w:rPr>
                      <w:rFonts w:hint="eastAsia" w:cs="宋体"/>
                      <w:kern w:val="0"/>
                      <w:szCs w:val="21"/>
                      <w:highlight w:val="none"/>
                    </w:rPr>
                    <w:t>0.55%</w:t>
                  </w:r>
                </w:p>
              </w:tc>
            </w:tr>
            <w:tr w14:paraId="4C14C5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1456" w:type="dxa"/>
                  <w:shd w:val="clear" w:color="auto" w:fill="auto"/>
                </w:tcPr>
                <w:p w14:paraId="17318527">
                  <w:pPr>
                    <w:rPr>
                      <w:rFonts w:cs="宋体"/>
                      <w:kern w:val="0"/>
                      <w:szCs w:val="21"/>
                      <w:highlight w:val="none"/>
                    </w:rPr>
                  </w:pPr>
                  <w:r>
                    <w:rPr>
                      <w:rFonts w:hint="eastAsia" w:cs="宋体"/>
                      <w:kern w:val="0"/>
                      <w:szCs w:val="21"/>
                      <w:highlight w:val="none"/>
                    </w:rPr>
                    <w:t>1000—5000</w:t>
                  </w:r>
                </w:p>
              </w:tc>
              <w:tc>
                <w:tcPr>
                  <w:tcW w:w="1420" w:type="dxa"/>
                  <w:shd w:val="clear" w:color="auto" w:fill="FFFFFF" w:themeFill="background1"/>
                </w:tcPr>
                <w:p w14:paraId="78166AEE">
                  <w:pPr>
                    <w:jc w:val="center"/>
                    <w:rPr>
                      <w:rFonts w:cs="宋体"/>
                      <w:kern w:val="0"/>
                      <w:szCs w:val="21"/>
                      <w:highlight w:val="none"/>
                    </w:rPr>
                  </w:pPr>
                  <w:r>
                    <w:rPr>
                      <w:rFonts w:hint="eastAsia" w:cs="宋体"/>
                      <w:kern w:val="0"/>
                      <w:szCs w:val="21"/>
                      <w:highlight w:val="none"/>
                    </w:rPr>
                    <w:t>0.5%</w:t>
                  </w:r>
                </w:p>
              </w:tc>
              <w:tc>
                <w:tcPr>
                  <w:tcW w:w="1337" w:type="dxa"/>
                  <w:shd w:val="clear" w:color="auto" w:fill="92D050"/>
                </w:tcPr>
                <w:p w14:paraId="0F4C43E9">
                  <w:pPr>
                    <w:jc w:val="center"/>
                    <w:rPr>
                      <w:rFonts w:cs="宋体"/>
                      <w:kern w:val="0"/>
                      <w:szCs w:val="21"/>
                      <w:highlight w:val="none"/>
                    </w:rPr>
                  </w:pPr>
                  <w:r>
                    <w:rPr>
                      <w:rFonts w:hint="eastAsia" w:cs="宋体"/>
                      <w:kern w:val="0"/>
                      <w:szCs w:val="21"/>
                      <w:highlight w:val="none"/>
                    </w:rPr>
                    <w:t>0.25%</w:t>
                  </w:r>
                </w:p>
              </w:tc>
              <w:tc>
                <w:tcPr>
                  <w:tcW w:w="1366" w:type="dxa"/>
                </w:tcPr>
                <w:p w14:paraId="04538EE6">
                  <w:pPr>
                    <w:jc w:val="center"/>
                    <w:rPr>
                      <w:rFonts w:cs="宋体"/>
                      <w:kern w:val="0"/>
                      <w:szCs w:val="21"/>
                      <w:highlight w:val="none"/>
                    </w:rPr>
                  </w:pPr>
                  <w:r>
                    <w:rPr>
                      <w:rFonts w:hint="eastAsia" w:cs="宋体"/>
                      <w:kern w:val="0"/>
                      <w:szCs w:val="21"/>
                      <w:highlight w:val="none"/>
                    </w:rPr>
                    <w:t>0.35%</w:t>
                  </w:r>
                </w:p>
              </w:tc>
            </w:tr>
            <w:tr w14:paraId="199D47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4" w:hRule="atLeast"/>
              </w:trPr>
              <w:tc>
                <w:tcPr>
                  <w:tcW w:w="1456" w:type="dxa"/>
                  <w:shd w:val="clear" w:color="auto" w:fill="auto"/>
                </w:tcPr>
                <w:p w14:paraId="5996636E">
                  <w:pPr>
                    <w:rPr>
                      <w:rFonts w:cs="宋体"/>
                      <w:kern w:val="0"/>
                      <w:szCs w:val="21"/>
                      <w:highlight w:val="none"/>
                    </w:rPr>
                  </w:pPr>
                  <w:r>
                    <w:rPr>
                      <w:rFonts w:hint="eastAsia" w:cs="宋体"/>
                      <w:kern w:val="0"/>
                      <w:szCs w:val="21"/>
                      <w:highlight w:val="none"/>
                    </w:rPr>
                    <w:t>5000—10000</w:t>
                  </w:r>
                </w:p>
              </w:tc>
              <w:tc>
                <w:tcPr>
                  <w:tcW w:w="1420" w:type="dxa"/>
                  <w:shd w:val="clear" w:color="auto" w:fill="FFFFFF" w:themeFill="background1"/>
                </w:tcPr>
                <w:p w14:paraId="2F2AADF9">
                  <w:pPr>
                    <w:jc w:val="center"/>
                    <w:rPr>
                      <w:rFonts w:cs="宋体"/>
                      <w:kern w:val="0"/>
                      <w:szCs w:val="21"/>
                      <w:highlight w:val="none"/>
                    </w:rPr>
                  </w:pPr>
                  <w:r>
                    <w:rPr>
                      <w:rFonts w:hint="eastAsia" w:cs="宋体"/>
                      <w:kern w:val="0"/>
                      <w:szCs w:val="21"/>
                      <w:highlight w:val="none"/>
                    </w:rPr>
                    <w:t>0.25%</w:t>
                  </w:r>
                </w:p>
              </w:tc>
              <w:tc>
                <w:tcPr>
                  <w:tcW w:w="1337" w:type="dxa"/>
                  <w:shd w:val="clear" w:color="auto" w:fill="92D050"/>
                </w:tcPr>
                <w:p w14:paraId="7128F0C4">
                  <w:pPr>
                    <w:jc w:val="center"/>
                    <w:rPr>
                      <w:rFonts w:cs="宋体"/>
                      <w:kern w:val="0"/>
                      <w:szCs w:val="21"/>
                      <w:highlight w:val="none"/>
                    </w:rPr>
                  </w:pPr>
                  <w:r>
                    <w:rPr>
                      <w:rFonts w:hint="eastAsia" w:cs="宋体"/>
                      <w:kern w:val="0"/>
                      <w:szCs w:val="21"/>
                      <w:highlight w:val="none"/>
                    </w:rPr>
                    <w:t>0.1%</w:t>
                  </w:r>
                </w:p>
              </w:tc>
              <w:tc>
                <w:tcPr>
                  <w:tcW w:w="1366" w:type="dxa"/>
                </w:tcPr>
                <w:p w14:paraId="2FCC39C9">
                  <w:pPr>
                    <w:jc w:val="center"/>
                    <w:rPr>
                      <w:rFonts w:cs="宋体"/>
                      <w:kern w:val="0"/>
                      <w:szCs w:val="21"/>
                      <w:highlight w:val="none"/>
                    </w:rPr>
                  </w:pPr>
                  <w:r>
                    <w:rPr>
                      <w:rFonts w:hint="eastAsia" w:cs="宋体"/>
                      <w:kern w:val="0"/>
                      <w:szCs w:val="21"/>
                      <w:highlight w:val="none"/>
                    </w:rPr>
                    <w:t>0.2%</w:t>
                  </w:r>
                </w:p>
              </w:tc>
            </w:tr>
          </w:tbl>
          <w:p w14:paraId="0EA7A593">
            <w:pPr>
              <w:pStyle w:val="45"/>
              <w:adjustRightInd w:val="0"/>
              <w:snapToGrid w:val="0"/>
              <w:rPr>
                <w:rFonts w:cs="宋体"/>
                <w:b/>
                <w:szCs w:val="21"/>
                <w:highlight w:val="none"/>
              </w:rPr>
            </w:pPr>
            <w:r>
              <w:rPr>
                <w:rFonts w:hint="eastAsia" w:cs="宋体"/>
                <w:kern w:val="0"/>
                <w:szCs w:val="21"/>
                <w:highlight w:val="none"/>
              </w:rPr>
              <w:t>备注：招标代理服务收费按差额定率累进法计算，以本项目预算金额为计费基数。</w:t>
            </w:r>
          </w:p>
          <w:p w14:paraId="17506754">
            <w:pPr>
              <w:pStyle w:val="45"/>
              <w:adjustRightInd w:val="0"/>
              <w:snapToGrid w:val="0"/>
              <w:rPr>
                <w:rFonts w:cs="宋体"/>
                <w:highlight w:val="none"/>
              </w:rPr>
            </w:pPr>
            <w:r>
              <w:rPr>
                <w:rFonts w:hint="eastAsia" w:cs="宋体"/>
                <w:b/>
                <w:szCs w:val="21"/>
                <w:highlight w:val="none"/>
              </w:rPr>
              <w:t>3.招标方无义务对落选投标方和落标原因做出解释。</w:t>
            </w:r>
          </w:p>
        </w:tc>
      </w:tr>
      <w:tr w14:paraId="71CA6E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6" w:hRule="atLeast"/>
          <w:jc w:val="center"/>
        </w:trPr>
        <w:tc>
          <w:tcPr>
            <w:tcW w:w="1455" w:type="dxa"/>
            <w:gridSpan w:val="2"/>
            <w:noWrap/>
            <w:vAlign w:val="center"/>
          </w:tcPr>
          <w:p w14:paraId="39627560">
            <w:pPr>
              <w:pStyle w:val="45"/>
              <w:jc w:val="center"/>
              <w:rPr>
                <w:rFonts w:cs="宋体"/>
                <w:b/>
                <w:bCs/>
                <w:szCs w:val="21"/>
                <w:highlight w:val="none"/>
              </w:rPr>
            </w:pPr>
            <w:r>
              <w:rPr>
                <w:rFonts w:hint="eastAsia" w:cs="宋体"/>
                <w:b/>
                <w:bCs/>
                <w:szCs w:val="21"/>
                <w:highlight w:val="none"/>
              </w:rPr>
              <w:t>34.1</w:t>
            </w:r>
          </w:p>
        </w:tc>
        <w:tc>
          <w:tcPr>
            <w:tcW w:w="2480" w:type="dxa"/>
            <w:noWrap/>
            <w:vAlign w:val="center"/>
          </w:tcPr>
          <w:p w14:paraId="177BBB5B">
            <w:pPr>
              <w:pStyle w:val="45"/>
              <w:rPr>
                <w:rFonts w:cs="宋体"/>
                <w:b/>
                <w:bCs/>
                <w:szCs w:val="21"/>
                <w:highlight w:val="none"/>
              </w:rPr>
            </w:pPr>
            <w:r>
              <w:rPr>
                <w:rFonts w:hint="eastAsia" w:cs="宋体"/>
                <w:b/>
                <w:bCs/>
                <w:szCs w:val="21"/>
                <w:highlight w:val="none"/>
              </w:rPr>
              <w:t>备选方案</w:t>
            </w:r>
          </w:p>
        </w:tc>
        <w:tc>
          <w:tcPr>
            <w:tcW w:w="6025" w:type="dxa"/>
            <w:noWrap/>
            <w:vAlign w:val="center"/>
          </w:tcPr>
          <w:p w14:paraId="40DB95A3">
            <w:pPr>
              <w:pStyle w:val="45"/>
              <w:rPr>
                <w:rFonts w:cs="宋体"/>
                <w:b/>
                <w:bCs/>
                <w:szCs w:val="21"/>
                <w:highlight w:val="none"/>
              </w:rPr>
            </w:pPr>
            <w:r>
              <w:rPr>
                <w:rFonts w:hint="eastAsia" w:cs="宋体"/>
                <w:b/>
                <w:bCs/>
                <w:szCs w:val="21"/>
                <w:highlight w:val="none"/>
              </w:rPr>
              <w:t>不接受。</w:t>
            </w:r>
          </w:p>
        </w:tc>
      </w:tr>
      <w:tr w14:paraId="786383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6" w:hRule="atLeast"/>
          <w:jc w:val="center"/>
        </w:trPr>
        <w:tc>
          <w:tcPr>
            <w:tcW w:w="1455" w:type="dxa"/>
            <w:gridSpan w:val="2"/>
            <w:noWrap/>
            <w:vAlign w:val="center"/>
          </w:tcPr>
          <w:p w14:paraId="1D1E0223">
            <w:pPr>
              <w:pStyle w:val="45"/>
              <w:jc w:val="center"/>
              <w:rPr>
                <w:rFonts w:cs="宋体"/>
                <w:b/>
                <w:bCs/>
                <w:szCs w:val="21"/>
                <w:highlight w:val="none"/>
              </w:rPr>
            </w:pPr>
            <w:r>
              <w:rPr>
                <w:rFonts w:hint="eastAsia" w:cs="宋体"/>
                <w:b/>
                <w:bCs/>
                <w:szCs w:val="21"/>
                <w:highlight w:val="none"/>
              </w:rPr>
              <w:t>34.2</w:t>
            </w:r>
          </w:p>
        </w:tc>
        <w:tc>
          <w:tcPr>
            <w:tcW w:w="8505" w:type="dxa"/>
            <w:gridSpan w:val="2"/>
            <w:noWrap/>
            <w:vAlign w:val="center"/>
          </w:tcPr>
          <w:p w14:paraId="2B7E2450">
            <w:pPr>
              <w:pStyle w:val="45"/>
              <w:jc w:val="left"/>
              <w:rPr>
                <w:rFonts w:cs="宋体"/>
                <w:b/>
                <w:bCs/>
                <w:szCs w:val="21"/>
                <w:highlight w:val="none"/>
              </w:rPr>
            </w:pPr>
            <w:r>
              <w:rPr>
                <w:rFonts w:hint="eastAsia" w:cs="宋体"/>
                <w:b/>
                <w:bCs/>
                <w:szCs w:val="21"/>
                <w:highlight w:val="none"/>
              </w:rPr>
              <w:t>需要补充的其他内容</w:t>
            </w:r>
          </w:p>
        </w:tc>
      </w:tr>
      <w:tr w14:paraId="6C70A3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6" w:hRule="atLeast"/>
          <w:jc w:val="center"/>
        </w:trPr>
        <w:tc>
          <w:tcPr>
            <w:tcW w:w="1455" w:type="dxa"/>
            <w:gridSpan w:val="2"/>
            <w:noWrap/>
            <w:vAlign w:val="center"/>
          </w:tcPr>
          <w:p w14:paraId="2C0A082A">
            <w:pPr>
              <w:pStyle w:val="45"/>
              <w:jc w:val="center"/>
              <w:rPr>
                <w:rFonts w:cs="宋体"/>
                <w:b/>
                <w:bCs/>
                <w:szCs w:val="21"/>
                <w:highlight w:val="none"/>
              </w:rPr>
            </w:pPr>
            <w:r>
              <w:rPr>
                <w:rFonts w:hint="eastAsia" w:cs="宋体"/>
                <w:b/>
                <w:bCs/>
                <w:szCs w:val="21"/>
                <w:highlight w:val="none"/>
              </w:rPr>
              <w:t>（1）</w:t>
            </w:r>
          </w:p>
        </w:tc>
        <w:tc>
          <w:tcPr>
            <w:tcW w:w="8505" w:type="dxa"/>
            <w:gridSpan w:val="2"/>
            <w:noWrap/>
            <w:vAlign w:val="center"/>
          </w:tcPr>
          <w:p w14:paraId="6E42398F">
            <w:pPr>
              <w:rPr>
                <w:rFonts w:cs="宋体"/>
                <w:b/>
                <w:bCs/>
                <w:szCs w:val="21"/>
                <w:highlight w:val="none"/>
              </w:rPr>
            </w:pPr>
            <w:r>
              <w:rPr>
                <w:rFonts w:hint="eastAsia" w:cs="宋体"/>
                <w:b/>
                <w:bCs/>
                <w:szCs w:val="21"/>
                <w:highlight w:val="none"/>
              </w:rPr>
              <w:t>中标人在《云南省政府采购网》查询到中标公示后，需办理以下事宜：</w:t>
            </w:r>
          </w:p>
          <w:p w14:paraId="27E206E0">
            <w:pPr>
              <w:rPr>
                <w:rFonts w:cs="宋体"/>
                <w:b/>
                <w:bCs/>
                <w:szCs w:val="21"/>
                <w:highlight w:val="none"/>
              </w:rPr>
            </w:pPr>
            <w:r>
              <w:rPr>
                <w:rFonts w:hint="eastAsia" w:cs="宋体"/>
                <w:b/>
                <w:bCs/>
                <w:szCs w:val="21"/>
                <w:highlight w:val="none"/>
              </w:rPr>
              <w:t>1、缴纳采购代理服务费。</w:t>
            </w:r>
          </w:p>
          <w:p w14:paraId="4CC61105">
            <w:pPr>
              <w:pStyle w:val="45"/>
              <w:jc w:val="left"/>
              <w:rPr>
                <w:rFonts w:cs="宋体"/>
                <w:b/>
                <w:bCs/>
                <w:szCs w:val="21"/>
                <w:highlight w:val="none"/>
              </w:rPr>
            </w:pPr>
            <w:r>
              <w:rPr>
                <w:rFonts w:hint="eastAsia" w:cs="宋体"/>
                <w:b/>
                <w:bCs/>
                <w:highlight w:val="none"/>
              </w:rPr>
              <w:t>2、领取中标通知书，并与采购人联系、洽谈采购合同。</w:t>
            </w:r>
          </w:p>
        </w:tc>
      </w:tr>
      <w:tr w14:paraId="6515F1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6" w:hRule="atLeast"/>
          <w:jc w:val="center"/>
        </w:trPr>
        <w:tc>
          <w:tcPr>
            <w:tcW w:w="1455" w:type="dxa"/>
            <w:gridSpan w:val="2"/>
            <w:noWrap/>
            <w:vAlign w:val="center"/>
          </w:tcPr>
          <w:p w14:paraId="245AF86B">
            <w:pPr>
              <w:pStyle w:val="45"/>
              <w:jc w:val="center"/>
              <w:rPr>
                <w:rFonts w:cs="宋体"/>
                <w:b/>
                <w:bCs/>
                <w:szCs w:val="21"/>
                <w:highlight w:val="none"/>
              </w:rPr>
            </w:pPr>
            <w:r>
              <w:rPr>
                <w:rFonts w:hint="eastAsia" w:cs="宋体"/>
                <w:b/>
                <w:bCs/>
                <w:szCs w:val="21"/>
                <w:highlight w:val="none"/>
              </w:rPr>
              <w:t>（2）</w:t>
            </w:r>
          </w:p>
        </w:tc>
        <w:tc>
          <w:tcPr>
            <w:tcW w:w="8505" w:type="dxa"/>
            <w:gridSpan w:val="2"/>
            <w:noWrap/>
            <w:vAlign w:val="center"/>
          </w:tcPr>
          <w:p w14:paraId="26E27AE9">
            <w:pPr>
              <w:pStyle w:val="45"/>
              <w:jc w:val="left"/>
              <w:rPr>
                <w:rFonts w:cs="宋体"/>
                <w:b/>
                <w:bCs/>
                <w:highlight w:val="none"/>
              </w:rPr>
            </w:pPr>
            <w:r>
              <w:rPr>
                <w:rFonts w:hint="eastAsia" w:cs="宋体"/>
                <w:b/>
                <w:bCs/>
                <w:highlight w:val="none"/>
              </w:rPr>
              <w:t>支持本国产品；</w:t>
            </w:r>
          </w:p>
          <w:p w14:paraId="1ECA2274">
            <w:pPr>
              <w:pStyle w:val="45"/>
              <w:jc w:val="left"/>
              <w:rPr>
                <w:rFonts w:cs="宋体"/>
                <w:b/>
                <w:bCs/>
                <w:highlight w:val="none"/>
              </w:rPr>
            </w:pPr>
            <w:r>
              <w:rPr>
                <w:rFonts w:hint="eastAsia" w:cs="宋体"/>
                <w:b/>
                <w:bCs/>
                <w:highlight w:val="none"/>
              </w:rPr>
              <w:t>内容：□适用；☑不适用。</w:t>
            </w:r>
          </w:p>
        </w:tc>
      </w:tr>
      <w:tr w14:paraId="5B4F1B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6" w:hRule="atLeast"/>
          <w:jc w:val="center"/>
        </w:trPr>
        <w:tc>
          <w:tcPr>
            <w:tcW w:w="1455" w:type="dxa"/>
            <w:gridSpan w:val="2"/>
            <w:noWrap/>
            <w:vAlign w:val="center"/>
          </w:tcPr>
          <w:p w14:paraId="4C9CBD2F">
            <w:pPr>
              <w:pStyle w:val="45"/>
              <w:jc w:val="center"/>
              <w:rPr>
                <w:rFonts w:cs="宋体"/>
                <w:b/>
                <w:bCs/>
                <w:szCs w:val="21"/>
                <w:highlight w:val="none"/>
              </w:rPr>
            </w:pPr>
            <w:r>
              <w:rPr>
                <w:rFonts w:hint="eastAsia" w:cs="宋体"/>
                <w:b/>
                <w:bCs/>
                <w:szCs w:val="21"/>
                <w:highlight w:val="none"/>
              </w:rPr>
              <w:t>（3）</w:t>
            </w:r>
          </w:p>
        </w:tc>
        <w:tc>
          <w:tcPr>
            <w:tcW w:w="8505" w:type="dxa"/>
            <w:gridSpan w:val="2"/>
            <w:noWrap/>
            <w:vAlign w:val="center"/>
          </w:tcPr>
          <w:p w14:paraId="582020C8">
            <w:pPr>
              <w:jc w:val="left"/>
              <w:rPr>
                <w:rFonts w:cs="宋体"/>
                <w:b/>
                <w:bCs/>
                <w:szCs w:val="21"/>
                <w:highlight w:val="none"/>
              </w:rPr>
            </w:pPr>
            <w:r>
              <w:rPr>
                <w:rFonts w:hint="eastAsia" w:cs="宋体"/>
                <w:b/>
                <w:bCs/>
                <w:szCs w:val="21"/>
                <w:highlight w:val="none"/>
              </w:rPr>
              <w:t>异常低价投标（响应）审查程序：</w:t>
            </w:r>
          </w:p>
          <w:p w14:paraId="434D8377">
            <w:pPr>
              <w:ind w:firstLine="420" w:firstLineChars="200"/>
              <w:jc w:val="left"/>
              <w:rPr>
                <w:rFonts w:cs="宋体"/>
                <w:szCs w:val="21"/>
                <w:highlight w:val="none"/>
              </w:rPr>
            </w:pPr>
            <w:r>
              <w:rPr>
                <w:rFonts w:hint="eastAsia" w:cs="宋体"/>
                <w:szCs w:val="21"/>
                <w:highlight w:val="none"/>
              </w:rPr>
              <w:t>政府采购评审中出现下列情形之一的，评审委员会应当启动异常低价投标（响应）审查程序：</w:t>
            </w:r>
          </w:p>
          <w:p w14:paraId="2097D986">
            <w:pPr>
              <w:ind w:firstLine="420" w:firstLineChars="200"/>
              <w:jc w:val="left"/>
              <w:rPr>
                <w:rFonts w:cs="宋体"/>
                <w:szCs w:val="21"/>
                <w:highlight w:val="none"/>
              </w:rPr>
            </w:pPr>
            <w:r>
              <w:rPr>
                <w:rFonts w:hint="eastAsia" w:cs="宋体"/>
                <w:szCs w:val="21"/>
                <w:highlight w:val="none"/>
              </w:rPr>
              <w:t>1.投标（响应）报价低于全部通过符合性审查供应商投标（响应）报价平均值50%的，即投标（响应）报价&lt;全部通过符合性审查供应商投标（响应）报价平均值×50%；</w:t>
            </w:r>
          </w:p>
          <w:p w14:paraId="47F8BC8D">
            <w:pPr>
              <w:ind w:firstLine="420" w:firstLineChars="200"/>
              <w:jc w:val="left"/>
              <w:rPr>
                <w:rFonts w:cs="宋体"/>
                <w:szCs w:val="21"/>
                <w:highlight w:val="none"/>
              </w:rPr>
            </w:pPr>
            <w:r>
              <w:rPr>
                <w:rFonts w:hint="eastAsia" w:cs="宋体"/>
                <w:szCs w:val="21"/>
                <w:highlight w:val="none"/>
              </w:rPr>
              <w:t>2.投标（响应）报价低于通过符合性审查的次低报价供应商投标（响应）报价50%的，即投标（响应）报价&lt;通过符合性审查的次低报价供应商投标（响应）报价×50%；</w:t>
            </w:r>
          </w:p>
          <w:p w14:paraId="21C62FA2">
            <w:pPr>
              <w:ind w:firstLine="420" w:firstLineChars="200"/>
              <w:jc w:val="left"/>
              <w:rPr>
                <w:rFonts w:cs="宋体"/>
                <w:szCs w:val="21"/>
                <w:highlight w:val="none"/>
              </w:rPr>
            </w:pPr>
            <w:r>
              <w:rPr>
                <w:rFonts w:hint="eastAsia" w:cs="宋体"/>
                <w:szCs w:val="21"/>
                <w:highlight w:val="none"/>
              </w:rPr>
              <w:t>3.投标（响应）报价低于采购项目最高限价45%的，即投标（响应）报价&lt;采购项目最高限价×45%；</w:t>
            </w:r>
          </w:p>
          <w:p w14:paraId="2931D6E7">
            <w:pPr>
              <w:ind w:firstLine="420" w:firstLineChars="200"/>
              <w:jc w:val="left"/>
              <w:rPr>
                <w:rFonts w:cs="宋体"/>
                <w:szCs w:val="21"/>
                <w:highlight w:val="none"/>
              </w:rPr>
            </w:pPr>
            <w:r>
              <w:rPr>
                <w:rFonts w:hint="eastAsia" w:cs="宋体"/>
                <w:szCs w:val="21"/>
                <w:highlight w:val="none"/>
              </w:rPr>
              <w:t>4.评审委员会基于专业判断，认为供应商报价过低，有可能影响产品质量或者不能诚信履约的其他情形。</w:t>
            </w:r>
          </w:p>
          <w:p w14:paraId="285AF4FA">
            <w:pPr>
              <w:ind w:firstLine="420" w:firstLineChars="200"/>
              <w:jc w:val="left"/>
              <w:rPr>
                <w:rFonts w:cs="宋体"/>
                <w:szCs w:val="21"/>
                <w:highlight w:val="none"/>
              </w:rPr>
            </w:pPr>
            <w:r>
              <w:rPr>
                <w:rFonts w:hint="eastAsia" w:cs="宋体"/>
                <w:szCs w:val="21"/>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3A4B7FA">
            <w:pPr>
              <w:ind w:firstLine="420" w:firstLineChars="200"/>
              <w:jc w:val="left"/>
              <w:rPr>
                <w:rFonts w:cs="宋体"/>
                <w:szCs w:val="21"/>
                <w:highlight w:val="none"/>
              </w:rPr>
            </w:pPr>
            <w:r>
              <w:rPr>
                <w:rFonts w:hint="eastAsia" w:cs="宋体"/>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94373A4">
            <w:pPr>
              <w:ind w:firstLine="420" w:firstLineChars="200"/>
              <w:jc w:val="left"/>
              <w:rPr>
                <w:rFonts w:cs="宋体"/>
                <w:szCs w:val="21"/>
                <w:highlight w:val="none"/>
              </w:rPr>
            </w:pPr>
            <w:r>
              <w:rPr>
                <w:rFonts w:hint="eastAsia" w:cs="宋体"/>
                <w:szCs w:val="21"/>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37871C9">
            <w:pPr>
              <w:pStyle w:val="45"/>
              <w:jc w:val="left"/>
              <w:rPr>
                <w:rFonts w:cs="宋体"/>
                <w:b/>
                <w:bCs/>
                <w:highlight w:val="none"/>
              </w:rPr>
            </w:pPr>
            <w:r>
              <w:rPr>
                <w:rFonts w:hint="eastAsia" w:cs="宋体"/>
                <w:szCs w:val="21"/>
                <w:highlight w:val="none"/>
              </w:rPr>
              <w:t>异常低价投标（响应）审查的启动原因、审查意见和审查结果应当在评审报告中记录，并随供应商提供的相关书面说明及证明材料，以及评审委员会有关互联网浏览、查询历史一并归档。</w:t>
            </w:r>
          </w:p>
        </w:tc>
      </w:tr>
    </w:tbl>
    <w:p w14:paraId="24680736">
      <w:pPr>
        <w:widowControl/>
        <w:jc w:val="left"/>
        <w:rPr>
          <w:rFonts w:cs="宋体"/>
          <w:highlight w:val="none"/>
        </w:rPr>
      </w:pPr>
      <w:r>
        <w:rPr>
          <w:rFonts w:hint="eastAsia" w:cs="宋体"/>
          <w:highlight w:val="none"/>
        </w:rPr>
        <w:br w:type="page"/>
      </w:r>
    </w:p>
    <w:p w14:paraId="134094D2">
      <w:pPr>
        <w:pStyle w:val="4"/>
        <w:numPr>
          <w:ilvl w:val="1"/>
          <w:numId w:val="0"/>
        </w:numPr>
        <w:tabs>
          <w:tab w:val="clear" w:pos="596"/>
        </w:tabs>
        <w:jc w:val="center"/>
        <w:rPr>
          <w:rFonts w:eastAsia="宋体" w:cs="宋体"/>
          <w:szCs w:val="28"/>
          <w:highlight w:val="none"/>
        </w:rPr>
      </w:pPr>
      <w:bookmarkStart w:id="86" w:name="_Toc3165"/>
      <w:bookmarkStart w:id="87" w:name="_Toc172205071"/>
      <w:bookmarkStart w:id="88" w:name="_Toc25566"/>
      <w:bookmarkStart w:id="89" w:name="_Toc4896"/>
      <w:bookmarkStart w:id="90" w:name="_Toc3601"/>
      <w:r>
        <w:rPr>
          <w:rFonts w:hint="eastAsia" w:eastAsia="宋体" w:cs="宋体"/>
          <w:szCs w:val="28"/>
          <w:highlight w:val="none"/>
        </w:rPr>
        <w:t>一、总  则</w:t>
      </w:r>
      <w:bookmarkEnd w:id="86"/>
      <w:bookmarkEnd w:id="87"/>
      <w:bookmarkEnd w:id="88"/>
      <w:bookmarkEnd w:id="89"/>
      <w:bookmarkEnd w:id="90"/>
    </w:p>
    <w:p w14:paraId="258309C9">
      <w:pPr>
        <w:ind w:firstLine="420" w:firstLineChars="200"/>
        <w:jc w:val="left"/>
        <w:rPr>
          <w:rFonts w:cs="宋体"/>
          <w:szCs w:val="21"/>
          <w:highlight w:val="none"/>
        </w:rPr>
      </w:pPr>
      <w:bookmarkStart w:id="91" w:name="_Hlk50385447"/>
      <w:r>
        <w:rPr>
          <w:rFonts w:hint="eastAsia" w:cs="宋体"/>
          <w:bCs/>
          <w:szCs w:val="21"/>
          <w:highlight w:val="none"/>
        </w:rPr>
        <w:t>1.采购人、采购代理机构、</w:t>
      </w:r>
      <w:r>
        <w:rPr>
          <w:rFonts w:hint="eastAsia" w:cs="宋体"/>
          <w:szCs w:val="21"/>
          <w:highlight w:val="none"/>
        </w:rPr>
        <w:t>项目名称，详见招标文件“投标人须知前附表”。</w:t>
      </w:r>
    </w:p>
    <w:p w14:paraId="79F33F05">
      <w:pPr>
        <w:ind w:firstLine="420" w:firstLineChars="200"/>
        <w:jc w:val="left"/>
        <w:rPr>
          <w:rFonts w:cs="宋体"/>
          <w:b/>
          <w:szCs w:val="21"/>
          <w:highlight w:val="none"/>
        </w:rPr>
      </w:pPr>
      <w:r>
        <w:rPr>
          <w:rFonts w:hint="eastAsia" w:cs="宋体"/>
          <w:b/>
          <w:szCs w:val="21"/>
          <w:highlight w:val="none"/>
        </w:rPr>
        <w:t>2.采购预算：</w:t>
      </w:r>
      <w:r>
        <w:rPr>
          <w:rFonts w:hint="eastAsia" w:cs="宋体"/>
          <w:szCs w:val="21"/>
          <w:highlight w:val="none"/>
        </w:rPr>
        <w:t>“</w:t>
      </w:r>
      <w:r>
        <w:rPr>
          <w:rFonts w:hint="eastAsia" w:cs="宋体"/>
          <w:b/>
          <w:szCs w:val="21"/>
          <w:highlight w:val="none"/>
        </w:rPr>
        <w:t>投标人须知前附表</w:t>
      </w:r>
      <w:r>
        <w:rPr>
          <w:rFonts w:hint="eastAsia" w:cs="宋体"/>
          <w:szCs w:val="21"/>
          <w:highlight w:val="none"/>
        </w:rPr>
        <w:t>”中所述的资金，用于采购</w:t>
      </w:r>
      <w:r>
        <w:rPr>
          <w:rFonts w:hint="eastAsia" w:cs="宋体"/>
          <w:bCs/>
          <w:szCs w:val="21"/>
          <w:highlight w:val="none"/>
        </w:rPr>
        <w:t>第五章《采购需求》</w:t>
      </w:r>
      <w:r>
        <w:rPr>
          <w:rFonts w:hint="eastAsia" w:cs="宋体"/>
          <w:szCs w:val="21"/>
          <w:highlight w:val="none"/>
        </w:rPr>
        <w:t>所列内容。</w:t>
      </w:r>
    </w:p>
    <w:p w14:paraId="75B60F36">
      <w:pPr>
        <w:ind w:firstLine="420" w:firstLineChars="200"/>
        <w:jc w:val="left"/>
        <w:rPr>
          <w:rFonts w:cs="宋体"/>
          <w:b/>
          <w:szCs w:val="21"/>
          <w:highlight w:val="none"/>
        </w:rPr>
      </w:pPr>
      <w:r>
        <w:rPr>
          <w:rFonts w:hint="eastAsia" w:cs="宋体"/>
          <w:b/>
          <w:szCs w:val="21"/>
          <w:highlight w:val="none"/>
        </w:rPr>
        <w:t>3.招标范围</w:t>
      </w:r>
    </w:p>
    <w:p w14:paraId="3CC24481">
      <w:pPr>
        <w:ind w:firstLine="420" w:firstLineChars="200"/>
        <w:jc w:val="left"/>
        <w:rPr>
          <w:rFonts w:cs="宋体"/>
          <w:szCs w:val="21"/>
          <w:highlight w:val="none"/>
        </w:rPr>
      </w:pPr>
      <w:r>
        <w:rPr>
          <w:rFonts w:hint="eastAsia" w:cs="宋体"/>
          <w:szCs w:val="21"/>
          <w:highlight w:val="none"/>
        </w:rPr>
        <w:t>3.1本项目招标范围：见“</w:t>
      </w:r>
      <w:r>
        <w:rPr>
          <w:rFonts w:hint="eastAsia" w:cs="宋体"/>
          <w:b/>
          <w:szCs w:val="21"/>
          <w:highlight w:val="none"/>
        </w:rPr>
        <w:t>投标人须知前附表</w:t>
      </w:r>
      <w:r>
        <w:rPr>
          <w:rFonts w:hint="eastAsia" w:cs="宋体"/>
          <w:szCs w:val="21"/>
          <w:highlight w:val="none"/>
        </w:rPr>
        <w:t>”。</w:t>
      </w:r>
    </w:p>
    <w:p w14:paraId="3663E98E">
      <w:pPr>
        <w:ind w:firstLine="420" w:firstLineChars="200"/>
        <w:jc w:val="left"/>
        <w:rPr>
          <w:rFonts w:cs="宋体"/>
          <w:szCs w:val="21"/>
          <w:highlight w:val="none"/>
        </w:rPr>
      </w:pPr>
      <w:r>
        <w:rPr>
          <w:rFonts w:hint="eastAsia" w:cs="宋体"/>
          <w:szCs w:val="21"/>
          <w:highlight w:val="none"/>
        </w:rPr>
        <w:t>3.2本项目交付时间、服务地点、服务标准：见“</w:t>
      </w:r>
      <w:r>
        <w:rPr>
          <w:rFonts w:hint="eastAsia" w:cs="宋体"/>
          <w:b/>
          <w:szCs w:val="21"/>
          <w:highlight w:val="none"/>
        </w:rPr>
        <w:t>投标人须知前附表</w:t>
      </w:r>
      <w:r>
        <w:rPr>
          <w:rFonts w:hint="eastAsia" w:cs="宋体"/>
          <w:szCs w:val="21"/>
          <w:highlight w:val="none"/>
        </w:rPr>
        <w:t>”。</w:t>
      </w:r>
    </w:p>
    <w:p w14:paraId="1113377F">
      <w:pPr>
        <w:ind w:firstLine="420" w:firstLineChars="200"/>
        <w:jc w:val="left"/>
        <w:rPr>
          <w:rFonts w:cs="宋体"/>
          <w:b/>
          <w:szCs w:val="21"/>
          <w:highlight w:val="none"/>
        </w:rPr>
      </w:pPr>
      <w:r>
        <w:rPr>
          <w:rFonts w:hint="eastAsia" w:cs="宋体"/>
          <w:b/>
          <w:szCs w:val="21"/>
          <w:highlight w:val="none"/>
        </w:rPr>
        <w:t>★4.合格的投标人</w:t>
      </w:r>
    </w:p>
    <w:p w14:paraId="21ED8232">
      <w:pPr>
        <w:ind w:firstLine="420" w:firstLineChars="200"/>
        <w:jc w:val="left"/>
        <w:rPr>
          <w:rFonts w:cs="宋体"/>
          <w:b/>
          <w:bCs/>
          <w:szCs w:val="21"/>
          <w:highlight w:val="none"/>
        </w:rPr>
      </w:pPr>
      <w:r>
        <w:rPr>
          <w:rFonts w:hint="eastAsia" w:cs="宋体"/>
          <w:b/>
          <w:bCs/>
          <w:szCs w:val="21"/>
          <w:highlight w:val="none"/>
        </w:rPr>
        <w:t>4.1投标人应具备《中华人民共和国政府采购法》第二十二条规定的条件，并提供下列材料：</w:t>
      </w:r>
    </w:p>
    <w:p w14:paraId="74414E4A">
      <w:pPr>
        <w:ind w:firstLine="420" w:firstLineChars="200"/>
        <w:jc w:val="left"/>
        <w:rPr>
          <w:rFonts w:cs="宋体"/>
          <w:szCs w:val="21"/>
          <w:highlight w:val="none"/>
        </w:rPr>
      </w:pPr>
      <w:r>
        <w:rPr>
          <w:rFonts w:hint="eastAsia" w:cs="宋体"/>
          <w:szCs w:val="21"/>
          <w:highlight w:val="none"/>
        </w:rPr>
        <w:t>4.1.1投标人必须是具有独立承担民事责任能力的法人、其他组织或者自然人；提供有效的三证合一营业执照（扫描件）或同等法定证明。</w:t>
      </w:r>
    </w:p>
    <w:p w14:paraId="6E2DCC4D">
      <w:pPr>
        <w:ind w:firstLine="420" w:firstLineChars="200"/>
        <w:jc w:val="left"/>
        <w:rPr>
          <w:rFonts w:cs="宋体"/>
          <w:szCs w:val="21"/>
          <w:highlight w:val="none"/>
        </w:rPr>
      </w:pPr>
      <w:r>
        <w:rPr>
          <w:rFonts w:hint="eastAsia" w:cs="宋体"/>
          <w:szCs w:val="21"/>
          <w:highlight w:val="none"/>
        </w:rPr>
        <w:t>4.1.2投标人须提供财务状况报告，可提供以下</w:t>
      </w:r>
      <w:r>
        <w:rPr>
          <w:rFonts w:hint="eastAsia" w:cs="宋体"/>
          <w:b/>
          <w:bCs/>
          <w:szCs w:val="21"/>
          <w:highlight w:val="none"/>
        </w:rPr>
        <w:t>（1）、（2）</w:t>
      </w:r>
      <w:r>
        <w:rPr>
          <w:rFonts w:hint="eastAsia" w:cs="宋体"/>
          <w:szCs w:val="21"/>
          <w:highlight w:val="none"/>
        </w:rPr>
        <w:t>二者之一；若投标人成立时间短，不足以出具经审计的财务审计报告的投标人，则提供第</w:t>
      </w:r>
      <w:r>
        <w:rPr>
          <w:rFonts w:hint="eastAsia" w:cs="宋体"/>
          <w:b/>
          <w:bCs/>
          <w:szCs w:val="21"/>
          <w:highlight w:val="none"/>
        </w:rPr>
        <w:t>（2）</w:t>
      </w:r>
      <w:r>
        <w:rPr>
          <w:rFonts w:hint="eastAsia" w:cs="宋体"/>
          <w:szCs w:val="21"/>
          <w:highlight w:val="none"/>
        </w:rPr>
        <w:t>项。</w:t>
      </w:r>
    </w:p>
    <w:p w14:paraId="1556B522">
      <w:pPr>
        <w:ind w:firstLine="420" w:firstLineChars="200"/>
        <w:jc w:val="left"/>
        <w:rPr>
          <w:rFonts w:cs="宋体"/>
          <w:szCs w:val="21"/>
          <w:highlight w:val="none"/>
        </w:rPr>
      </w:pPr>
      <w:r>
        <w:rPr>
          <w:rFonts w:hint="eastAsia" w:cs="宋体"/>
          <w:b/>
          <w:bCs/>
          <w:szCs w:val="21"/>
          <w:highlight w:val="none"/>
        </w:rPr>
        <w:t>（1）</w:t>
      </w:r>
      <w:r>
        <w:rPr>
          <w:rFonts w:hint="eastAsia" w:cs="宋体"/>
          <w:szCs w:val="21"/>
          <w:highlight w:val="none"/>
        </w:rPr>
        <w:t>2023年-2025年任意一年度经审计的财务审计报告，包括财务审计报告及“四表一注”，“四表一注”即资产负债表、利润表、现金流量表、所有者权益变动表（执行中小企业会计准则的投标人可不提供）及其附注；</w:t>
      </w:r>
    </w:p>
    <w:p w14:paraId="35ECD030">
      <w:pPr>
        <w:ind w:firstLine="420" w:firstLineChars="200"/>
        <w:jc w:val="left"/>
        <w:rPr>
          <w:rFonts w:cs="宋体"/>
          <w:b/>
          <w:bCs/>
          <w:szCs w:val="21"/>
          <w:highlight w:val="none"/>
        </w:rPr>
      </w:pPr>
      <w:r>
        <w:rPr>
          <w:rFonts w:hint="eastAsia" w:cs="宋体"/>
          <w:b/>
          <w:bCs/>
          <w:color w:val="FF0000"/>
          <w:szCs w:val="21"/>
          <w:highlight w:val="none"/>
        </w:rPr>
        <w:t>注：根据《关于加强审计报告查验工作的通知》（财会〔2023〕15号）规定，在2022年10月以后出具的审计报告须在注册会计师行业统一监管平台（网址：http：//acc.mof.gov.cn）取得赋码，未取得赋码的财务报告视为无效。</w:t>
      </w:r>
    </w:p>
    <w:p w14:paraId="1797872F">
      <w:pPr>
        <w:ind w:firstLine="420" w:firstLineChars="200"/>
        <w:jc w:val="left"/>
        <w:rPr>
          <w:rFonts w:cs="宋体"/>
          <w:szCs w:val="21"/>
          <w:highlight w:val="none"/>
        </w:rPr>
      </w:pPr>
      <w:r>
        <w:rPr>
          <w:rFonts w:hint="eastAsia" w:cs="宋体"/>
          <w:b/>
          <w:bCs/>
          <w:szCs w:val="21"/>
          <w:highlight w:val="none"/>
        </w:rPr>
        <w:t>（2）</w:t>
      </w:r>
      <w:r>
        <w:rPr>
          <w:rFonts w:hint="eastAsia" w:cs="宋体"/>
          <w:szCs w:val="21"/>
          <w:highlight w:val="none"/>
        </w:rPr>
        <w:t>自投标文件提交截止时间前三个月内基本开户银行出具的资信证明。</w:t>
      </w:r>
    </w:p>
    <w:p w14:paraId="3D0CD7BF">
      <w:pPr>
        <w:ind w:firstLine="420" w:firstLineChars="200"/>
        <w:jc w:val="left"/>
        <w:rPr>
          <w:rFonts w:cs="宋体"/>
          <w:szCs w:val="21"/>
          <w:highlight w:val="none"/>
        </w:rPr>
      </w:pPr>
      <w:r>
        <w:rPr>
          <w:rFonts w:hint="eastAsia" w:cs="宋体"/>
          <w:b/>
          <w:bCs/>
          <w:szCs w:val="21"/>
          <w:highlight w:val="none"/>
        </w:rPr>
        <w:t>备注：投标人可根据自身情况提供上述任意一种证明材料。</w:t>
      </w:r>
    </w:p>
    <w:p w14:paraId="29B75000">
      <w:pPr>
        <w:ind w:firstLine="420" w:firstLineChars="200"/>
        <w:jc w:val="left"/>
        <w:rPr>
          <w:rFonts w:cs="宋体"/>
          <w:szCs w:val="21"/>
          <w:highlight w:val="none"/>
        </w:rPr>
      </w:pPr>
      <w:r>
        <w:rPr>
          <w:rFonts w:hint="eastAsia" w:cs="宋体"/>
          <w:szCs w:val="21"/>
          <w:highlight w:val="none"/>
        </w:rPr>
        <w:t>4.1.3投标人提供近期内（具体月份详见“</w:t>
      </w:r>
      <w:r>
        <w:rPr>
          <w:rFonts w:hint="eastAsia" w:cs="宋体"/>
          <w:b/>
          <w:bCs/>
          <w:szCs w:val="21"/>
          <w:highlight w:val="none"/>
        </w:rPr>
        <w:t>投标人须知前附表</w:t>
      </w:r>
      <w:r>
        <w:rPr>
          <w:rFonts w:hint="eastAsia" w:cs="宋体"/>
          <w:szCs w:val="21"/>
          <w:highlight w:val="none"/>
        </w:rPr>
        <w:t>”）的税务局税收通用缴款书复印件/扫描件或银行电子缴税（费）凭证复印件/扫描件或税务局出具纳税情况的相关证明复印件/扫描件；</w:t>
      </w:r>
      <w:r>
        <w:rPr>
          <w:rFonts w:hint="eastAsia"/>
          <w:b/>
          <w:bCs/>
          <w:kern w:val="0"/>
          <w:szCs w:val="21"/>
          <w:highlight w:val="none"/>
        </w:rPr>
        <w:t>（</w:t>
      </w:r>
      <w:r>
        <w:rPr>
          <w:rFonts w:hint="eastAsia" w:cs="宋体"/>
          <w:b/>
          <w:bCs/>
          <w:kern w:val="0"/>
          <w:szCs w:val="21"/>
          <w:highlight w:val="none"/>
        </w:rPr>
        <w:t>成立时间不足3个月的投标人</w:t>
      </w:r>
      <w:r>
        <w:rPr>
          <w:rFonts w:hint="eastAsia"/>
          <w:b/>
          <w:bCs/>
          <w:kern w:val="0"/>
          <w:szCs w:val="21"/>
          <w:highlight w:val="none"/>
        </w:rPr>
        <w:t>提供依法缴纳税收的承诺书；依法免税的投标人，应提供相应文件证明其依法免税。）</w:t>
      </w:r>
    </w:p>
    <w:p w14:paraId="178D7105">
      <w:pPr>
        <w:ind w:firstLine="420" w:firstLineChars="200"/>
        <w:jc w:val="left"/>
        <w:rPr>
          <w:rFonts w:cs="宋体"/>
          <w:szCs w:val="21"/>
          <w:highlight w:val="none"/>
        </w:rPr>
      </w:pPr>
      <w:r>
        <w:rPr>
          <w:rFonts w:hint="eastAsia" w:cs="宋体"/>
          <w:szCs w:val="21"/>
          <w:highlight w:val="none"/>
        </w:rPr>
        <w:t>4.1.4投标人提供近期内（具体月份详见“</w:t>
      </w:r>
      <w:r>
        <w:rPr>
          <w:rFonts w:hint="eastAsia" w:cs="宋体"/>
          <w:b/>
          <w:bCs/>
          <w:szCs w:val="21"/>
          <w:highlight w:val="none"/>
        </w:rPr>
        <w:t>投标人须知前附表</w:t>
      </w:r>
      <w:r>
        <w:rPr>
          <w:rFonts w:hint="eastAsia" w:cs="宋体"/>
          <w:szCs w:val="21"/>
          <w:highlight w:val="none"/>
        </w:rPr>
        <w:t>”）的社会保险费缴款书复印件/扫描件或银行电子缴税（费）凭证复印件/扫描件或社保管理部门出具的有效的缴款证明复印件/扫描件；</w:t>
      </w:r>
      <w:r>
        <w:rPr>
          <w:rFonts w:hint="eastAsia"/>
          <w:b/>
          <w:bCs/>
          <w:szCs w:val="21"/>
          <w:highlight w:val="none"/>
        </w:rPr>
        <w:t>（</w:t>
      </w:r>
      <w:r>
        <w:rPr>
          <w:rFonts w:hint="eastAsia" w:cs="宋体"/>
          <w:b/>
          <w:bCs/>
          <w:kern w:val="0"/>
          <w:szCs w:val="21"/>
          <w:highlight w:val="none"/>
        </w:rPr>
        <w:t>成立时间不足3个月的投标人</w:t>
      </w:r>
      <w:r>
        <w:rPr>
          <w:rFonts w:hint="eastAsia"/>
          <w:b/>
          <w:bCs/>
          <w:szCs w:val="21"/>
          <w:highlight w:val="none"/>
        </w:rPr>
        <w:t>提供依法缴纳社会保障资金的承诺书；依法不需要缴纳社会保障资金的投标人，应提供相应文件证明其不需要缴纳社会保障资金。）</w:t>
      </w:r>
    </w:p>
    <w:p w14:paraId="6F65F1DF">
      <w:pPr>
        <w:ind w:firstLine="420" w:firstLineChars="200"/>
        <w:jc w:val="left"/>
        <w:rPr>
          <w:rFonts w:cs="宋体"/>
          <w:szCs w:val="21"/>
          <w:highlight w:val="none"/>
        </w:rPr>
      </w:pPr>
      <w:r>
        <w:rPr>
          <w:rFonts w:hint="eastAsia" w:cs="宋体"/>
          <w:szCs w:val="21"/>
          <w:highlight w:val="none"/>
        </w:rPr>
        <w:t>4.1.5投标人须提供具备履行合同所必需的设备和专业技术能力的证明材料；（提供承诺书）</w:t>
      </w:r>
    </w:p>
    <w:p w14:paraId="14BEE0FB">
      <w:pPr>
        <w:ind w:firstLine="420" w:firstLineChars="200"/>
        <w:jc w:val="left"/>
        <w:rPr>
          <w:rFonts w:cs="宋体"/>
          <w:szCs w:val="21"/>
          <w:highlight w:val="none"/>
        </w:rPr>
      </w:pPr>
      <w:r>
        <w:rPr>
          <w:rFonts w:hint="eastAsia" w:cs="宋体"/>
          <w:szCs w:val="21"/>
          <w:highlight w:val="none"/>
        </w:rPr>
        <w:t>4.1.6投标人必须提供参加政府采购活动前3年内在经营活动中没有重大违法记录的书面声明（重大违法记录，是指投标人因违法经营受到刑事处罚或者责令停产停业、吊销许可证或者执照、较大数额罚款等行政处罚）。</w:t>
      </w:r>
    </w:p>
    <w:p w14:paraId="6AF886D0">
      <w:pPr>
        <w:ind w:firstLine="420" w:firstLineChars="200"/>
        <w:jc w:val="left"/>
        <w:rPr>
          <w:rFonts w:cs="宋体"/>
          <w:bCs/>
          <w:szCs w:val="21"/>
          <w:highlight w:val="none"/>
        </w:rPr>
      </w:pPr>
      <w:r>
        <w:rPr>
          <w:rFonts w:hint="eastAsia" w:cs="宋体"/>
          <w:bCs/>
          <w:szCs w:val="21"/>
          <w:highlight w:val="none"/>
        </w:rPr>
        <w:t>4.2</w:t>
      </w:r>
      <w:r>
        <w:rPr>
          <w:rFonts w:hint="eastAsia" w:cs="宋体"/>
          <w:highlight w:val="none"/>
        </w:rPr>
        <w:t>落实政府采购政策需满足的资格要求（详见</w:t>
      </w:r>
      <w:r>
        <w:rPr>
          <w:rFonts w:hint="eastAsia" w:cs="宋体"/>
          <w:b/>
          <w:highlight w:val="none"/>
        </w:rPr>
        <w:t>“投标人须知前附表”</w:t>
      </w:r>
      <w:r>
        <w:rPr>
          <w:rFonts w:hint="eastAsia" w:cs="宋体"/>
          <w:highlight w:val="none"/>
        </w:rPr>
        <w:t>）。</w:t>
      </w:r>
    </w:p>
    <w:p w14:paraId="6973EE68">
      <w:pPr>
        <w:ind w:firstLine="420" w:firstLineChars="200"/>
        <w:jc w:val="left"/>
        <w:rPr>
          <w:rFonts w:cs="宋体"/>
          <w:bCs/>
          <w:szCs w:val="21"/>
          <w:highlight w:val="none"/>
        </w:rPr>
      </w:pPr>
      <w:r>
        <w:rPr>
          <w:rFonts w:hint="eastAsia" w:cs="宋体"/>
          <w:highlight w:val="none"/>
        </w:rPr>
        <w:t>4.3</w:t>
      </w:r>
      <w:r>
        <w:rPr>
          <w:rFonts w:hint="eastAsia" w:cs="宋体"/>
          <w:bCs/>
          <w:szCs w:val="21"/>
          <w:highlight w:val="none"/>
        </w:rPr>
        <w:t>投标人应符合采购人根据采购项目的特殊要求规定的特定条件。特定条件见</w:t>
      </w:r>
      <w:r>
        <w:rPr>
          <w:rFonts w:hint="eastAsia" w:cs="宋体"/>
          <w:b/>
          <w:szCs w:val="21"/>
          <w:highlight w:val="none"/>
        </w:rPr>
        <w:t>“投标人须知前附表”。</w:t>
      </w:r>
    </w:p>
    <w:p w14:paraId="78401108">
      <w:pPr>
        <w:ind w:firstLine="420" w:firstLineChars="200"/>
        <w:jc w:val="left"/>
        <w:rPr>
          <w:rFonts w:cs="宋体"/>
          <w:bCs/>
          <w:szCs w:val="21"/>
          <w:highlight w:val="none"/>
        </w:rPr>
      </w:pPr>
      <w:r>
        <w:rPr>
          <w:rFonts w:hint="eastAsia" w:cs="宋体"/>
          <w:bCs/>
          <w:szCs w:val="21"/>
          <w:highlight w:val="none"/>
        </w:rPr>
        <w:t>4.4单位负责人为同一人或者存在直接控股、管理关系的不同投标人，不得参加同一合同项下的政府采购活动。</w:t>
      </w:r>
    </w:p>
    <w:p w14:paraId="2124ED62">
      <w:pPr>
        <w:ind w:firstLine="420" w:firstLineChars="200"/>
        <w:jc w:val="left"/>
        <w:rPr>
          <w:rFonts w:cs="宋体"/>
          <w:bCs/>
          <w:szCs w:val="21"/>
          <w:highlight w:val="none"/>
        </w:rPr>
      </w:pPr>
      <w:r>
        <w:rPr>
          <w:rFonts w:hint="eastAsia" w:cs="宋体"/>
          <w:bCs/>
          <w:szCs w:val="21"/>
          <w:highlight w:val="none"/>
        </w:rPr>
        <w:t>4.5</w:t>
      </w:r>
      <w:r>
        <w:rPr>
          <w:rFonts w:hint="eastAsia" w:cs="宋体"/>
          <w:szCs w:val="21"/>
          <w:highlight w:val="none"/>
        </w:rPr>
        <w:t>投标人未被列入“信用中国”网站（www.creditchina.gov.cn）失信被执行人、</w:t>
      </w:r>
      <w:r>
        <w:rPr>
          <w:rFonts w:hint="eastAsia" w:cs="宋体"/>
          <w:bCs/>
          <w:kern w:val="0"/>
          <w:szCs w:val="21"/>
          <w:highlight w:val="none"/>
        </w:rPr>
        <w:t>重大税收违法失信主体</w:t>
      </w:r>
      <w:r>
        <w:rPr>
          <w:rFonts w:hint="eastAsia" w:cs="宋体"/>
          <w:szCs w:val="21"/>
          <w:highlight w:val="none"/>
        </w:rPr>
        <w:t>、政府采购严重违法失信行为记录名单，及未被列入中国政府采购网（www.ccgp.gov.cn）“政府采购严重违法失信行为信息记录”（以开标当天工作人员对上述信用信息进行查询核对的结果为准）</w:t>
      </w:r>
      <w:r>
        <w:rPr>
          <w:rFonts w:hint="eastAsia" w:cs="宋体"/>
          <w:bCs/>
          <w:szCs w:val="21"/>
          <w:highlight w:val="none"/>
        </w:rPr>
        <w:t>。查询记录为上述网站信用信息查询结果的网页截图或网页打印稿。投标人存在不良信用记录的，不得参与政府采购活动。</w:t>
      </w:r>
    </w:p>
    <w:p w14:paraId="1BE38937">
      <w:pPr>
        <w:ind w:firstLine="420" w:firstLineChars="200"/>
        <w:jc w:val="left"/>
        <w:rPr>
          <w:rFonts w:cs="宋体"/>
          <w:bCs/>
          <w:szCs w:val="21"/>
          <w:highlight w:val="none"/>
        </w:rPr>
      </w:pPr>
      <w:r>
        <w:rPr>
          <w:rFonts w:hint="eastAsia" w:cs="宋体"/>
          <w:bCs/>
          <w:szCs w:val="21"/>
          <w:highlight w:val="none"/>
        </w:rPr>
        <w:t>4.6</w:t>
      </w:r>
      <w:r>
        <w:rPr>
          <w:rFonts w:hint="eastAsia" w:cs="宋体"/>
          <w:b/>
          <w:szCs w:val="21"/>
          <w:highlight w:val="none"/>
        </w:rPr>
        <w:t>“投标人须知前附表”</w:t>
      </w:r>
      <w:r>
        <w:rPr>
          <w:rFonts w:hint="eastAsia" w:cs="宋体"/>
          <w:bCs/>
          <w:szCs w:val="21"/>
          <w:highlight w:val="none"/>
        </w:rPr>
        <w:t>规定接受联合体投标的，除应符合本章第4.1-4.5项和</w:t>
      </w:r>
      <w:r>
        <w:rPr>
          <w:rFonts w:hint="eastAsia" w:cs="宋体"/>
          <w:b/>
          <w:szCs w:val="21"/>
          <w:highlight w:val="none"/>
        </w:rPr>
        <w:t>“投标人须知前附表”</w:t>
      </w:r>
      <w:r>
        <w:rPr>
          <w:rFonts w:hint="eastAsia" w:cs="宋体"/>
          <w:bCs/>
          <w:szCs w:val="21"/>
          <w:highlight w:val="none"/>
        </w:rPr>
        <w:t>的要求外，还应遵守以下规定：</w:t>
      </w:r>
    </w:p>
    <w:p w14:paraId="377FC344">
      <w:pPr>
        <w:ind w:firstLine="420" w:firstLineChars="200"/>
        <w:jc w:val="left"/>
        <w:rPr>
          <w:rFonts w:cs="宋体"/>
          <w:bCs/>
          <w:szCs w:val="21"/>
          <w:highlight w:val="none"/>
        </w:rPr>
      </w:pPr>
      <w:r>
        <w:rPr>
          <w:rFonts w:hint="eastAsia" w:cs="宋体"/>
          <w:bCs/>
          <w:szCs w:val="21"/>
          <w:highlight w:val="none"/>
        </w:rPr>
        <w:t>（1）联合体中有同类资质的投标人按照联合体分工承担相同工作的，应当按照资质等级较低的投标人确定资质等级；</w:t>
      </w:r>
    </w:p>
    <w:p w14:paraId="70BB375D">
      <w:pPr>
        <w:ind w:firstLine="420" w:firstLineChars="200"/>
        <w:jc w:val="left"/>
        <w:rPr>
          <w:rFonts w:cs="宋体"/>
          <w:bCs/>
          <w:szCs w:val="21"/>
          <w:highlight w:val="none"/>
        </w:rPr>
      </w:pPr>
      <w:r>
        <w:rPr>
          <w:rFonts w:hint="eastAsia" w:cs="宋体"/>
          <w:bCs/>
          <w:szCs w:val="21"/>
          <w:highlight w:val="none"/>
        </w:rPr>
        <w:t>（2）联合体各方之间应当签订共同投标协议，明确约定联合体各方承担的工作和相应的责任；</w:t>
      </w:r>
    </w:p>
    <w:p w14:paraId="6657B286">
      <w:pPr>
        <w:ind w:firstLine="420" w:firstLineChars="200"/>
        <w:jc w:val="left"/>
        <w:rPr>
          <w:rFonts w:cs="宋体"/>
          <w:bCs/>
          <w:szCs w:val="21"/>
          <w:highlight w:val="none"/>
        </w:rPr>
      </w:pPr>
      <w:r>
        <w:rPr>
          <w:rFonts w:hint="eastAsia" w:cs="宋体"/>
          <w:bCs/>
          <w:szCs w:val="21"/>
          <w:highlight w:val="none"/>
        </w:rPr>
        <w:t>（3）以联合体形式参加政府采购活动的，联合体各方不得再单独参加或者与其他投标人另外组成联合体参加同一合同项下的政府采购活动。</w:t>
      </w:r>
    </w:p>
    <w:p w14:paraId="21AFB131">
      <w:pPr>
        <w:ind w:firstLine="420" w:firstLineChars="200"/>
        <w:jc w:val="left"/>
        <w:rPr>
          <w:rFonts w:cs="宋体"/>
          <w:bCs/>
          <w:szCs w:val="21"/>
          <w:highlight w:val="none"/>
        </w:rPr>
      </w:pPr>
      <w:r>
        <w:rPr>
          <w:rFonts w:hint="eastAsia" w:cs="宋体"/>
          <w:bCs/>
          <w:szCs w:val="21"/>
          <w:highlight w:val="none"/>
        </w:rPr>
        <w:t>4.7符合上述条件的投标人应承担投标及履约中应承担的全部责任与义务。</w:t>
      </w:r>
    </w:p>
    <w:p w14:paraId="3A4E3D12">
      <w:pPr>
        <w:ind w:firstLine="420" w:firstLineChars="200"/>
        <w:jc w:val="left"/>
        <w:rPr>
          <w:rFonts w:cs="宋体"/>
          <w:b/>
          <w:szCs w:val="21"/>
          <w:highlight w:val="none"/>
        </w:rPr>
      </w:pPr>
      <w:r>
        <w:rPr>
          <w:rFonts w:hint="eastAsia" w:cs="宋体"/>
          <w:b/>
          <w:szCs w:val="21"/>
          <w:highlight w:val="none"/>
        </w:rPr>
        <w:t>5.投标费用</w:t>
      </w:r>
    </w:p>
    <w:p w14:paraId="7274E50E">
      <w:pPr>
        <w:pStyle w:val="45"/>
        <w:ind w:firstLine="420" w:firstLineChars="200"/>
        <w:rPr>
          <w:rFonts w:cs="宋体"/>
          <w:szCs w:val="21"/>
          <w:highlight w:val="none"/>
        </w:rPr>
      </w:pPr>
      <w:r>
        <w:rPr>
          <w:rFonts w:hint="eastAsia" w:cs="宋体"/>
          <w:szCs w:val="21"/>
          <w:highlight w:val="none"/>
        </w:rPr>
        <w:t>5.1不论投标结果如何，投标人均应自行承担所有与准备和参加投标活动有关的全部费用。</w:t>
      </w:r>
    </w:p>
    <w:bookmarkEnd w:id="91"/>
    <w:p w14:paraId="6A4A1F2F">
      <w:pPr>
        <w:ind w:firstLine="420" w:firstLineChars="200"/>
        <w:jc w:val="left"/>
        <w:rPr>
          <w:rFonts w:cs="宋体"/>
          <w:b/>
          <w:szCs w:val="21"/>
          <w:highlight w:val="none"/>
        </w:rPr>
      </w:pPr>
      <w:bookmarkStart w:id="92" w:name="_Toc491076990"/>
      <w:r>
        <w:rPr>
          <w:rFonts w:hint="eastAsia" w:cs="宋体"/>
          <w:b/>
          <w:szCs w:val="21"/>
          <w:highlight w:val="none"/>
        </w:rPr>
        <w:t>6.询问</w:t>
      </w:r>
    </w:p>
    <w:p w14:paraId="755099DE">
      <w:pPr>
        <w:ind w:firstLine="420" w:firstLineChars="200"/>
        <w:jc w:val="left"/>
        <w:rPr>
          <w:rFonts w:cs="宋体"/>
          <w:bCs/>
          <w:szCs w:val="21"/>
          <w:highlight w:val="none"/>
        </w:rPr>
      </w:pPr>
      <w:r>
        <w:rPr>
          <w:rFonts w:hint="eastAsia" w:cs="宋体"/>
          <w:bCs/>
          <w:szCs w:val="21"/>
          <w:highlight w:val="none"/>
        </w:rPr>
        <w:t>6.1投标人可向采购代理机构就招标文件的内容依法提出询问，采购代理机构将在收到询问后 3 个工作日内作出答复。</w:t>
      </w:r>
    </w:p>
    <w:p w14:paraId="19CEB140">
      <w:pPr>
        <w:ind w:firstLine="420" w:firstLineChars="200"/>
        <w:rPr>
          <w:rFonts w:cs="宋体"/>
          <w:b/>
          <w:szCs w:val="21"/>
          <w:highlight w:val="none"/>
        </w:rPr>
      </w:pPr>
      <w:r>
        <w:rPr>
          <w:rFonts w:hint="eastAsia" w:cs="宋体"/>
          <w:b/>
          <w:szCs w:val="21"/>
          <w:highlight w:val="none"/>
        </w:rPr>
        <w:t>7.质疑</w:t>
      </w:r>
    </w:p>
    <w:p w14:paraId="3F046637">
      <w:pPr>
        <w:ind w:firstLine="420" w:firstLineChars="200"/>
        <w:rPr>
          <w:rFonts w:cs="宋体"/>
          <w:szCs w:val="21"/>
          <w:highlight w:val="none"/>
        </w:rPr>
      </w:pPr>
      <w:r>
        <w:rPr>
          <w:rFonts w:hint="eastAsia" w:cs="宋体"/>
          <w:szCs w:val="21"/>
          <w:highlight w:val="none"/>
        </w:rPr>
        <w:t>7.1投标人认为招标文件、招标过程和中标结果使自己的权益受到损害的，应当在知道或者应知其权益受到损害之日起7个工作日内，以书面形式向采购代理机构或采购人一次性提出针对同一采购程序环节的质疑。质疑内容不得含有虚假、恶意成分。当事人对自己提出的主张，有责任提供证据，提出质疑时应同时提交相关证据材料和注明事实的确切来源且证据合法、真实、有效。采购人或采购代理机构应当在7个工作日内对投标人依法提出的质疑作出书面答复，但答复的内容不得涉及商业秘密。</w:t>
      </w:r>
    </w:p>
    <w:p w14:paraId="6F5BF46F">
      <w:pPr>
        <w:ind w:firstLine="420" w:firstLineChars="200"/>
        <w:jc w:val="left"/>
        <w:rPr>
          <w:rFonts w:cs="宋体"/>
          <w:szCs w:val="21"/>
          <w:highlight w:val="none"/>
        </w:rPr>
      </w:pPr>
      <w:r>
        <w:rPr>
          <w:rFonts w:hint="eastAsia" w:cs="宋体"/>
          <w:szCs w:val="21"/>
          <w:highlight w:val="none"/>
        </w:rPr>
        <w:t>7.2投标人应知其权益受到损害之日，是指：</w:t>
      </w:r>
    </w:p>
    <w:p w14:paraId="6256562F">
      <w:pPr>
        <w:ind w:firstLine="420" w:firstLineChars="200"/>
        <w:jc w:val="left"/>
        <w:rPr>
          <w:rFonts w:cs="宋体"/>
          <w:szCs w:val="21"/>
          <w:highlight w:val="none"/>
        </w:rPr>
      </w:pPr>
      <w:r>
        <w:rPr>
          <w:rFonts w:hint="eastAsia" w:cs="宋体"/>
          <w:szCs w:val="21"/>
          <w:highlight w:val="none"/>
        </w:rPr>
        <w:t>（1）对可以质疑的采购文件提出质疑的，为投标人实际下载采购文件之日或者采购文件公告届满之日；</w:t>
      </w:r>
    </w:p>
    <w:p w14:paraId="5DA98022">
      <w:pPr>
        <w:ind w:firstLine="420" w:firstLineChars="200"/>
        <w:jc w:val="left"/>
        <w:rPr>
          <w:rFonts w:cs="宋体"/>
          <w:szCs w:val="21"/>
          <w:highlight w:val="none"/>
        </w:rPr>
      </w:pPr>
      <w:r>
        <w:rPr>
          <w:rFonts w:hint="eastAsia" w:cs="宋体"/>
          <w:szCs w:val="21"/>
          <w:highlight w:val="none"/>
        </w:rPr>
        <w:t>（2）对采购过程提出质疑的，为各采购程序环节结束之日；</w:t>
      </w:r>
    </w:p>
    <w:p w14:paraId="56D48F73">
      <w:pPr>
        <w:ind w:firstLine="420" w:firstLineChars="200"/>
        <w:jc w:val="left"/>
        <w:rPr>
          <w:rFonts w:cs="宋体"/>
          <w:szCs w:val="21"/>
          <w:highlight w:val="none"/>
        </w:rPr>
      </w:pPr>
      <w:r>
        <w:rPr>
          <w:rFonts w:hint="eastAsia" w:cs="宋体"/>
          <w:szCs w:val="21"/>
          <w:highlight w:val="none"/>
        </w:rPr>
        <w:t>（3）对中标结果提出质疑的，为中标结果公告期限届满之日。</w:t>
      </w:r>
    </w:p>
    <w:p w14:paraId="520AB9CB">
      <w:pPr>
        <w:ind w:firstLine="420" w:firstLineChars="200"/>
        <w:jc w:val="left"/>
        <w:rPr>
          <w:rFonts w:cs="宋体"/>
          <w:szCs w:val="21"/>
          <w:highlight w:val="none"/>
        </w:rPr>
      </w:pPr>
      <w:bookmarkStart w:id="93" w:name="_Toc321836357"/>
      <w:r>
        <w:rPr>
          <w:rFonts w:hint="eastAsia" w:cs="宋体"/>
          <w:b/>
          <w:bCs/>
          <w:szCs w:val="21"/>
          <w:highlight w:val="none"/>
          <w:u w:val="single"/>
        </w:rPr>
        <w:t>7.3投标人提出质疑应符合中华人民共和国财政部第94号令《政府采购质疑和投诉办法》的规定。提出质疑应当提交质疑函和必要的证明材料。质疑函应当包括下列内容：</w:t>
      </w:r>
    </w:p>
    <w:p w14:paraId="1FEBC840">
      <w:pPr>
        <w:ind w:firstLine="420" w:firstLineChars="200"/>
        <w:jc w:val="left"/>
        <w:rPr>
          <w:rFonts w:cs="宋体"/>
          <w:szCs w:val="21"/>
          <w:highlight w:val="none"/>
        </w:rPr>
      </w:pPr>
      <w:r>
        <w:rPr>
          <w:rFonts w:hint="eastAsia" w:cs="宋体"/>
          <w:szCs w:val="21"/>
          <w:highlight w:val="none"/>
        </w:rPr>
        <w:t>（1）投标人名称、地址、邮编、联系人及联系电话；</w:t>
      </w:r>
    </w:p>
    <w:p w14:paraId="42B71E00">
      <w:pPr>
        <w:ind w:firstLine="420" w:firstLineChars="200"/>
        <w:jc w:val="left"/>
        <w:rPr>
          <w:rFonts w:cs="宋体"/>
          <w:szCs w:val="21"/>
          <w:highlight w:val="none"/>
        </w:rPr>
      </w:pPr>
      <w:r>
        <w:rPr>
          <w:rFonts w:hint="eastAsia" w:cs="宋体"/>
          <w:szCs w:val="21"/>
          <w:highlight w:val="none"/>
        </w:rPr>
        <w:t>（2）质疑项目的名称、编号；</w:t>
      </w:r>
    </w:p>
    <w:p w14:paraId="5337BBA2">
      <w:pPr>
        <w:ind w:firstLine="420" w:firstLineChars="200"/>
        <w:jc w:val="left"/>
        <w:rPr>
          <w:rFonts w:cs="宋体"/>
          <w:szCs w:val="21"/>
          <w:highlight w:val="none"/>
        </w:rPr>
      </w:pPr>
      <w:r>
        <w:rPr>
          <w:rFonts w:hint="eastAsia" w:cs="宋体"/>
          <w:szCs w:val="21"/>
          <w:highlight w:val="none"/>
        </w:rPr>
        <w:t>（3）具体、明确的质疑事项和与质疑事项相关的请求；</w:t>
      </w:r>
    </w:p>
    <w:p w14:paraId="15F1413C">
      <w:pPr>
        <w:ind w:firstLine="420" w:firstLineChars="200"/>
        <w:jc w:val="left"/>
        <w:rPr>
          <w:rFonts w:cs="宋体"/>
          <w:szCs w:val="21"/>
          <w:highlight w:val="none"/>
        </w:rPr>
      </w:pPr>
      <w:r>
        <w:rPr>
          <w:rFonts w:hint="eastAsia" w:cs="宋体"/>
          <w:szCs w:val="21"/>
          <w:highlight w:val="none"/>
        </w:rPr>
        <w:t>（4）事实依据；</w:t>
      </w:r>
    </w:p>
    <w:p w14:paraId="22DFFC18">
      <w:pPr>
        <w:ind w:firstLine="420" w:firstLineChars="200"/>
        <w:jc w:val="left"/>
        <w:rPr>
          <w:rFonts w:cs="宋体"/>
          <w:szCs w:val="21"/>
          <w:highlight w:val="none"/>
        </w:rPr>
      </w:pPr>
      <w:r>
        <w:rPr>
          <w:rFonts w:hint="eastAsia" w:cs="宋体"/>
          <w:szCs w:val="21"/>
          <w:highlight w:val="none"/>
        </w:rPr>
        <w:t>（5）必要的法律依据；</w:t>
      </w:r>
    </w:p>
    <w:p w14:paraId="65CDFF2C">
      <w:pPr>
        <w:ind w:firstLine="420" w:firstLineChars="200"/>
        <w:jc w:val="left"/>
        <w:rPr>
          <w:rFonts w:cs="宋体"/>
          <w:szCs w:val="21"/>
          <w:highlight w:val="none"/>
        </w:rPr>
      </w:pPr>
      <w:r>
        <w:rPr>
          <w:rFonts w:hint="eastAsia" w:cs="宋体"/>
          <w:szCs w:val="21"/>
          <w:highlight w:val="none"/>
        </w:rPr>
        <w:t>（6）提出质疑的日期。</w:t>
      </w:r>
    </w:p>
    <w:p w14:paraId="634EE2D0">
      <w:pPr>
        <w:ind w:firstLine="420" w:firstLineChars="200"/>
        <w:jc w:val="left"/>
        <w:rPr>
          <w:rFonts w:cs="宋体"/>
          <w:szCs w:val="21"/>
          <w:highlight w:val="none"/>
        </w:rPr>
      </w:pPr>
      <w:r>
        <w:rPr>
          <w:rFonts w:hint="eastAsia" w:cs="宋体"/>
          <w:szCs w:val="21"/>
          <w:highlight w:val="none"/>
        </w:rPr>
        <w:t>7.4质疑函应当由投标人的法定代表人、主要负责人，或者其授权代表签字或者盖章，并加盖公章。委托代理人进行质疑的，应当提交投标人的授权委托书。授权委托书应当载明代理人的姓名或者名称、代理事项、具体权限、期限和相关事项。授权委托书应当由法定代表人、主要负责人签字或者盖章，并加盖公章。</w:t>
      </w:r>
    </w:p>
    <w:p w14:paraId="3B2A67FF">
      <w:pPr>
        <w:ind w:firstLine="420" w:firstLineChars="200"/>
        <w:jc w:val="left"/>
        <w:rPr>
          <w:rFonts w:cs="宋体"/>
          <w:szCs w:val="21"/>
          <w:highlight w:val="none"/>
        </w:rPr>
      </w:pPr>
      <w:r>
        <w:rPr>
          <w:rFonts w:hint="eastAsia" w:cs="宋体"/>
          <w:szCs w:val="21"/>
          <w:highlight w:val="none"/>
        </w:rPr>
        <w:t>接收质疑函的方式：以书面形式递交由法定代表人、主要负责人签字或者盖章，并加盖公章的质疑函原件和必要的证明材料；邮寄送达的以邮件交邮日期为准。</w:t>
      </w:r>
    </w:p>
    <w:p w14:paraId="5FD89D37">
      <w:pPr>
        <w:ind w:firstLine="420" w:firstLineChars="200"/>
        <w:jc w:val="left"/>
        <w:rPr>
          <w:rFonts w:cs="宋体"/>
          <w:szCs w:val="21"/>
          <w:highlight w:val="none"/>
        </w:rPr>
      </w:pPr>
      <w:r>
        <w:rPr>
          <w:rFonts w:hint="eastAsia" w:cs="宋体"/>
          <w:szCs w:val="21"/>
          <w:highlight w:val="none"/>
        </w:rPr>
        <w:t>联系部门：招标十部</w:t>
      </w:r>
    </w:p>
    <w:p w14:paraId="2182F843">
      <w:pPr>
        <w:ind w:firstLine="420" w:firstLineChars="200"/>
        <w:jc w:val="left"/>
        <w:rPr>
          <w:rFonts w:cs="宋体"/>
          <w:szCs w:val="21"/>
          <w:highlight w:val="none"/>
        </w:rPr>
      </w:pPr>
      <w:r>
        <w:rPr>
          <w:rFonts w:hint="eastAsia" w:cs="宋体"/>
          <w:szCs w:val="21"/>
          <w:highlight w:val="none"/>
        </w:rPr>
        <w:t>联系电话：0871-65718952</w:t>
      </w:r>
    </w:p>
    <w:p w14:paraId="7D5A6112">
      <w:pPr>
        <w:ind w:firstLine="420" w:firstLineChars="200"/>
        <w:jc w:val="left"/>
        <w:rPr>
          <w:rFonts w:cs="宋体"/>
          <w:szCs w:val="21"/>
          <w:highlight w:val="none"/>
        </w:rPr>
      </w:pPr>
      <w:r>
        <w:rPr>
          <w:rFonts w:hint="eastAsia" w:cs="宋体"/>
          <w:szCs w:val="21"/>
          <w:highlight w:val="none"/>
        </w:rPr>
        <w:t>通讯地址：云南省昆明市人民西路328号办公楼314室</w:t>
      </w:r>
    </w:p>
    <w:p w14:paraId="3E417834">
      <w:pPr>
        <w:ind w:firstLine="420" w:firstLineChars="200"/>
        <w:jc w:val="left"/>
        <w:rPr>
          <w:rFonts w:cs="宋体"/>
          <w:bCs/>
          <w:szCs w:val="21"/>
          <w:highlight w:val="none"/>
        </w:rPr>
      </w:pPr>
      <w:r>
        <w:rPr>
          <w:rFonts w:hint="eastAsia" w:cs="宋体"/>
          <w:szCs w:val="21"/>
          <w:highlight w:val="none"/>
        </w:rPr>
        <w:t>7.5采购代理机构将在收到投标人的质疑函后7个工作日内作出答复，并以书面形式通知质疑投标人和其他有关投标人。</w:t>
      </w:r>
    </w:p>
    <w:p w14:paraId="35B97F7C">
      <w:pPr>
        <w:ind w:firstLine="420" w:firstLineChars="200"/>
        <w:rPr>
          <w:rFonts w:cs="宋体"/>
          <w:b/>
          <w:szCs w:val="21"/>
          <w:highlight w:val="none"/>
        </w:rPr>
      </w:pPr>
      <w:r>
        <w:rPr>
          <w:rFonts w:hint="eastAsia" w:cs="宋体"/>
          <w:b/>
          <w:szCs w:val="21"/>
          <w:highlight w:val="none"/>
        </w:rPr>
        <w:t>8.投诉</w:t>
      </w:r>
      <w:bookmarkEnd w:id="93"/>
    </w:p>
    <w:p w14:paraId="23696BF8">
      <w:pPr>
        <w:pStyle w:val="45"/>
        <w:ind w:firstLine="420" w:firstLineChars="200"/>
        <w:rPr>
          <w:rFonts w:cs="宋体"/>
          <w:szCs w:val="21"/>
          <w:highlight w:val="none"/>
        </w:rPr>
      </w:pPr>
      <w:r>
        <w:rPr>
          <w:rFonts w:hint="eastAsia" w:cs="宋体"/>
          <w:szCs w:val="21"/>
          <w:highlight w:val="none"/>
        </w:rPr>
        <w:t>8.1投诉必须首先经过质疑程序。质疑人对采购人、采购代理机构的答复不满意，或者采购人、采购代理机构未在规定的时间内做出答复的，可以在答复期满后15个工作日内书面向同级财政部门提出投诉。</w:t>
      </w:r>
    </w:p>
    <w:p w14:paraId="74360527">
      <w:pPr>
        <w:pStyle w:val="4"/>
        <w:numPr>
          <w:ilvl w:val="1"/>
          <w:numId w:val="0"/>
        </w:numPr>
        <w:tabs>
          <w:tab w:val="clear" w:pos="596"/>
        </w:tabs>
        <w:jc w:val="center"/>
        <w:rPr>
          <w:rFonts w:eastAsia="宋体" w:cs="宋体"/>
          <w:szCs w:val="28"/>
          <w:highlight w:val="none"/>
        </w:rPr>
      </w:pPr>
      <w:bookmarkStart w:id="94" w:name="_Toc27934"/>
      <w:bookmarkStart w:id="95" w:name="_Toc2416"/>
      <w:bookmarkStart w:id="96" w:name="_Toc8517"/>
      <w:bookmarkStart w:id="97" w:name="_Toc170120932"/>
      <w:bookmarkStart w:id="98" w:name="_Toc491076989"/>
      <w:bookmarkStart w:id="99" w:name="_Toc3941"/>
      <w:r>
        <w:rPr>
          <w:rFonts w:hint="eastAsia" w:eastAsia="宋体" w:cs="宋体"/>
          <w:szCs w:val="28"/>
          <w:highlight w:val="none"/>
        </w:rPr>
        <w:t>二、招标文件</w:t>
      </w:r>
      <w:bookmarkEnd w:id="94"/>
      <w:bookmarkEnd w:id="95"/>
      <w:bookmarkEnd w:id="96"/>
      <w:bookmarkEnd w:id="97"/>
      <w:bookmarkEnd w:id="98"/>
      <w:bookmarkEnd w:id="99"/>
    </w:p>
    <w:p w14:paraId="25D5470A">
      <w:pPr>
        <w:pStyle w:val="45"/>
        <w:ind w:firstLine="420" w:firstLineChars="200"/>
        <w:rPr>
          <w:rFonts w:cs="宋体"/>
          <w:b/>
          <w:bCs/>
          <w:szCs w:val="21"/>
          <w:highlight w:val="none"/>
        </w:rPr>
      </w:pPr>
      <w:r>
        <w:rPr>
          <w:rFonts w:hint="eastAsia" w:cs="宋体"/>
          <w:b/>
          <w:bCs/>
          <w:szCs w:val="21"/>
          <w:highlight w:val="none"/>
        </w:rPr>
        <w:t>9.招标文件构成</w:t>
      </w:r>
    </w:p>
    <w:p w14:paraId="78CDB2E4">
      <w:pPr>
        <w:ind w:firstLine="420" w:firstLineChars="200"/>
        <w:jc w:val="left"/>
        <w:rPr>
          <w:rFonts w:cs="宋体"/>
          <w:szCs w:val="21"/>
          <w:highlight w:val="none"/>
        </w:rPr>
      </w:pPr>
      <w:r>
        <w:rPr>
          <w:rFonts w:hint="eastAsia" w:cs="宋体"/>
          <w:szCs w:val="21"/>
          <w:highlight w:val="none"/>
        </w:rPr>
        <w:t>9.1要求提供的货物、采购过程及合同条款在招标文件中均有说明，招标文件共七章，各章的内容如下：</w:t>
      </w:r>
    </w:p>
    <w:p w14:paraId="6CBC997E">
      <w:pPr>
        <w:ind w:firstLine="420" w:firstLineChars="200"/>
        <w:jc w:val="left"/>
        <w:rPr>
          <w:rFonts w:cs="宋体"/>
          <w:szCs w:val="21"/>
          <w:highlight w:val="none"/>
        </w:rPr>
      </w:pPr>
      <w:r>
        <w:rPr>
          <w:rFonts w:hint="eastAsia" w:cs="宋体"/>
          <w:szCs w:val="21"/>
          <w:highlight w:val="none"/>
        </w:rPr>
        <w:t>第一章  招标公告</w:t>
      </w:r>
    </w:p>
    <w:p w14:paraId="6E9327BB">
      <w:pPr>
        <w:ind w:firstLine="420" w:firstLineChars="200"/>
        <w:jc w:val="left"/>
        <w:rPr>
          <w:rFonts w:cs="宋体"/>
          <w:szCs w:val="21"/>
          <w:highlight w:val="none"/>
        </w:rPr>
      </w:pPr>
      <w:r>
        <w:rPr>
          <w:rFonts w:hint="eastAsia" w:cs="宋体"/>
          <w:szCs w:val="21"/>
          <w:highlight w:val="none"/>
        </w:rPr>
        <w:t>第二章  投标人须知</w:t>
      </w:r>
    </w:p>
    <w:p w14:paraId="2207F55D">
      <w:pPr>
        <w:ind w:firstLine="420" w:firstLineChars="200"/>
        <w:jc w:val="left"/>
        <w:rPr>
          <w:rFonts w:cs="宋体"/>
          <w:szCs w:val="21"/>
          <w:highlight w:val="none"/>
        </w:rPr>
      </w:pPr>
      <w:r>
        <w:rPr>
          <w:rFonts w:hint="eastAsia" w:cs="宋体"/>
          <w:szCs w:val="21"/>
          <w:highlight w:val="none"/>
        </w:rPr>
        <w:t>第三章  合同书样式及主要条款</w:t>
      </w:r>
    </w:p>
    <w:p w14:paraId="0252A71C">
      <w:pPr>
        <w:ind w:firstLine="420" w:firstLineChars="200"/>
        <w:jc w:val="left"/>
        <w:rPr>
          <w:rFonts w:cs="宋体"/>
          <w:szCs w:val="21"/>
          <w:highlight w:val="none"/>
        </w:rPr>
      </w:pPr>
      <w:r>
        <w:rPr>
          <w:rFonts w:hint="eastAsia" w:cs="宋体"/>
          <w:szCs w:val="21"/>
          <w:highlight w:val="none"/>
        </w:rPr>
        <w:t>第四章  投标文件格式</w:t>
      </w:r>
    </w:p>
    <w:p w14:paraId="5A7DC184">
      <w:pPr>
        <w:ind w:firstLine="420" w:firstLineChars="200"/>
        <w:jc w:val="left"/>
        <w:rPr>
          <w:rFonts w:cs="宋体"/>
          <w:szCs w:val="21"/>
          <w:highlight w:val="none"/>
        </w:rPr>
      </w:pPr>
      <w:r>
        <w:rPr>
          <w:rFonts w:hint="eastAsia" w:cs="宋体"/>
          <w:szCs w:val="21"/>
          <w:highlight w:val="none"/>
        </w:rPr>
        <w:t>第五章  采购需求</w:t>
      </w:r>
    </w:p>
    <w:p w14:paraId="0A1215F1">
      <w:pPr>
        <w:ind w:firstLine="420" w:firstLineChars="200"/>
        <w:jc w:val="left"/>
        <w:rPr>
          <w:rFonts w:cs="宋体"/>
          <w:szCs w:val="21"/>
          <w:highlight w:val="none"/>
        </w:rPr>
      </w:pPr>
      <w:r>
        <w:rPr>
          <w:rFonts w:hint="eastAsia" w:cs="宋体"/>
          <w:szCs w:val="21"/>
          <w:highlight w:val="none"/>
        </w:rPr>
        <w:t>第六章  资格评审标准</w:t>
      </w:r>
    </w:p>
    <w:p w14:paraId="7E990C71">
      <w:pPr>
        <w:ind w:firstLine="420" w:firstLineChars="200"/>
        <w:jc w:val="left"/>
        <w:rPr>
          <w:rFonts w:cs="宋体"/>
          <w:szCs w:val="21"/>
          <w:highlight w:val="none"/>
        </w:rPr>
      </w:pPr>
      <w:r>
        <w:rPr>
          <w:rFonts w:hint="eastAsia" w:cs="宋体"/>
          <w:szCs w:val="21"/>
          <w:highlight w:val="none"/>
        </w:rPr>
        <w:t>第七章  评标办法</w:t>
      </w:r>
    </w:p>
    <w:p w14:paraId="28E56532">
      <w:pPr>
        <w:ind w:firstLine="420" w:firstLineChars="200"/>
        <w:jc w:val="left"/>
        <w:rPr>
          <w:rFonts w:cs="宋体"/>
          <w:b/>
          <w:bCs/>
          <w:szCs w:val="21"/>
          <w:highlight w:val="none"/>
        </w:rPr>
      </w:pPr>
      <w:r>
        <w:rPr>
          <w:rFonts w:hint="eastAsia" w:cs="宋体"/>
          <w:b/>
          <w:bCs/>
          <w:szCs w:val="21"/>
          <w:highlight w:val="none"/>
        </w:rPr>
        <w:t>10.招标文件的澄清或者修改</w:t>
      </w:r>
    </w:p>
    <w:p w14:paraId="041A0E68">
      <w:pPr>
        <w:ind w:firstLine="420" w:firstLineChars="200"/>
        <w:jc w:val="left"/>
        <w:rPr>
          <w:rFonts w:cs="宋体"/>
          <w:szCs w:val="21"/>
          <w:highlight w:val="none"/>
        </w:rPr>
      </w:pPr>
      <w:r>
        <w:rPr>
          <w:rFonts w:hint="eastAsia" w:cs="宋体"/>
          <w:szCs w:val="21"/>
          <w:highlight w:val="none"/>
        </w:rPr>
        <w:t>10.1采购代理机构对已发出的招标文件进行必要澄清或者修改的，在财政部门指定的政府采购信息发布媒体上发布更正公告，并以书面形式通知所有获取招标文件的投标人。该澄清或者修改的内容为招标文件的组成部分。</w:t>
      </w:r>
    </w:p>
    <w:p w14:paraId="03243EF5">
      <w:pPr>
        <w:ind w:firstLine="420" w:firstLineChars="200"/>
        <w:jc w:val="left"/>
        <w:rPr>
          <w:rFonts w:cs="宋体"/>
          <w:szCs w:val="21"/>
          <w:highlight w:val="none"/>
        </w:rPr>
      </w:pPr>
      <w:r>
        <w:rPr>
          <w:rFonts w:hint="eastAsia" w:cs="宋体"/>
          <w:szCs w:val="21"/>
          <w:highlight w:val="none"/>
        </w:rPr>
        <w:t>10.2澄清或者修改的内容可能影响投标文件编制的，采购代理机构在投标截止时间至少15日前，以书面形式通知所有获取招标文件的潜在投标人；不足15日的，采购代理机构将顺延提交投标文件的截止时间。</w:t>
      </w:r>
    </w:p>
    <w:p w14:paraId="17AF1E03">
      <w:pPr>
        <w:ind w:firstLine="420" w:firstLineChars="200"/>
        <w:jc w:val="left"/>
        <w:rPr>
          <w:rFonts w:cs="宋体"/>
          <w:szCs w:val="21"/>
          <w:highlight w:val="none"/>
        </w:rPr>
      </w:pPr>
      <w:r>
        <w:rPr>
          <w:rFonts w:hint="eastAsia" w:cs="宋体"/>
          <w:szCs w:val="21"/>
          <w:highlight w:val="none"/>
        </w:rPr>
        <w:t>10.3采购代理机构和采购单位可以视项目具体情况，延长投标截止时间和推迟开标时间，但至少在招标文件要求提交投标文件的截止时间前将变更时间书面通知所有获取招标文件的投标人，并在财政部门指定的政府采购信息发布媒体上发布变更公告。</w:t>
      </w:r>
    </w:p>
    <w:p w14:paraId="15527A9B">
      <w:pPr>
        <w:ind w:firstLine="420" w:firstLineChars="200"/>
        <w:jc w:val="left"/>
        <w:rPr>
          <w:rFonts w:cs="宋体"/>
          <w:szCs w:val="21"/>
          <w:highlight w:val="none"/>
        </w:rPr>
      </w:pPr>
      <w:r>
        <w:rPr>
          <w:rFonts w:hint="eastAsia" w:cs="宋体"/>
          <w:szCs w:val="21"/>
          <w:highlight w:val="none"/>
        </w:rPr>
        <w:t>10.4投标人应在投标截止时间前及时登录政府采购云平台（https://www.zcygov.cn/）中查看有关招标文件的答疑、补遗内容。否则，后果自负。</w:t>
      </w:r>
    </w:p>
    <w:p w14:paraId="086708D8">
      <w:pPr>
        <w:ind w:firstLine="420" w:firstLineChars="200"/>
        <w:jc w:val="left"/>
        <w:rPr>
          <w:rFonts w:cs="宋体"/>
          <w:szCs w:val="21"/>
          <w:highlight w:val="none"/>
        </w:rPr>
      </w:pPr>
      <w:r>
        <w:rPr>
          <w:rFonts w:hint="eastAsia" w:cs="宋体"/>
          <w:szCs w:val="21"/>
          <w:highlight w:val="none"/>
        </w:rPr>
        <w:t>10.5招标文件澄清、招标文件修改文件内容均以网上电子文件为准，当招标文件、招标文件澄清、招标文件修改文件内容后前相互矛盾时，以最后发出的为准。</w:t>
      </w:r>
    </w:p>
    <w:p w14:paraId="74DFBD1B">
      <w:pPr>
        <w:pStyle w:val="4"/>
        <w:numPr>
          <w:ilvl w:val="1"/>
          <w:numId w:val="0"/>
        </w:numPr>
        <w:tabs>
          <w:tab w:val="clear" w:pos="596"/>
        </w:tabs>
        <w:jc w:val="center"/>
        <w:rPr>
          <w:rFonts w:eastAsia="宋体" w:cs="宋体"/>
          <w:szCs w:val="28"/>
          <w:highlight w:val="none"/>
        </w:rPr>
      </w:pPr>
      <w:bookmarkStart w:id="100" w:name="_Toc1112"/>
      <w:bookmarkStart w:id="101" w:name="_Toc4438"/>
      <w:bookmarkStart w:id="102" w:name="_Toc172205073"/>
      <w:bookmarkStart w:id="103" w:name="_Toc11469"/>
      <w:bookmarkStart w:id="104" w:name="_Toc20190"/>
      <w:r>
        <w:rPr>
          <w:rFonts w:hint="eastAsia" w:eastAsia="宋体" w:cs="宋体"/>
          <w:szCs w:val="28"/>
          <w:highlight w:val="none"/>
        </w:rPr>
        <w:t>三、投标文件</w:t>
      </w:r>
      <w:bookmarkEnd w:id="92"/>
      <w:bookmarkEnd w:id="100"/>
      <w:bookmarkEnd w:id="101"/>
      <w:bookmarkEnd w:id="102"/>
      <w:bookmarkEnd w:id="103"/>
      <w:bookmarkEnd w:id="104"/>
    </w:p>
    <w:p w14:paraId="048864CD">
      <w:pPr>
        <w:ind w:firstLine="420" w:firstLineChars="200"/>
        <w:jc w:val="left"/>
        <w:rPr>
          <w:rFonts w:cs="宋体"/>
          <w:b/>
          <w:szCs w:val="21"/>
          <w:highlight w:val="none"/>
        </w:rPr>
      </w:pPr>
      <w:r>
        <w:rPr>
          <w:rFonts w:hint="eastAsia" w:cs="宋体"/>
          <w:b/>
          <w:szCs w:val="21"/>
          <w:highlight w:val="none"/>
        </w:rPr>
        <w:t>11.投标文件编写注意事项</w:t>
      </w:r>
    </w:p>
    <w:p w14:paraId="2FC4239C">
      <w:pPr>
        <w:ind w:firstLine="420" w:firstLineChars="200"/>
        <w:jc w:val="left"/>
        <w:rPr>
          <w:rFonts w:cs="宋体"/>
          <w:szCs w:val="21"/>
          <w:highlight w:val="none"/>
        </w:rPr>
      </w:pPr>
      <w:r>
        <w:rPr>
          <w:rFonts w:hint="eastAsia" w:cs="宋体"/>
          <w:szCs w:val="21"/>
          <w:highlight w:val="none"/>
        </w:rPr>
        <w:t>11.1投标人应仔细阅读招标文件，在完全了解采购的内容、技术性能要求(详见</w:t>
      </w:r>
      <w:r>
        <w:rPr>
          <w:rFonts w:hint="eastAsia" w:cs="宋体"/>
          <w:bCs/>
          <w:szCs w:val="21"/>
          <w:highlight w:val="none"/>
        </w:rPr>
        <w:t>第五章《采购需求》</w:t>
      </w:r>
      <w:r>
        <w:rPr>
          <w:rFonts w:hint="eastAsia" w:cs="宋体"/>
          <w:szCs w:val="21"/>
          <w:highlight w:val="none"/>
        </w:rPr>
        <w:t>)和商务条件后，编写投标文件。</w:t>
      </w:r>
      <w:r>
        <w:rPr>
          <w:rFonts w:hint="eastAsia" w:cs="宋体"/>
          <w:b/>
          <w:bCs/>
          <w:szCs w:val="21"/>
          <w:highlight w:val="none"/>
        </w:rPr>
        <w:t>招标文件中标注★号的条款为实质性要求和条件，投标文件必须响应招标文件的实质性要求和条件，不满足任何一条将导致投标无效。</w:t>
      </w:r>
    </w:p>
    <w:p w14:paraId="3E9E6B4B">
      <w:pPr>
        <w:ind w:firstLine="420" w:firstLineChars="200"/>
        <w:jc w:val="left"/>
        <w:rPr>
          <w:rFonts w:cs="宋体"/>
          <w:szCs w:val="21"/>
          <w:highlight w:val="none"/>
        </w:rPr>
      </w:pPr>
      <w:r>
        <w:rPr>
          <w:rFonts w:hint="eastAsia" w:cs="宋体"/>
          <w:szCs w:val="21"/>
          <w:highlight w:val="none"/>
        </w:rPr>
        <w:t>11.2对招标文件提出的实质性要求和条件作出响应是指：投标人必须对招标文件中的实质性要求和条件的内容作出满足或者优于原要求和条件的承诺，并提供相应的材料。</w:t>
      </w:r>
    </w:p>
    <w:p w14:paraId="67E1B7F9">
      <w:pPr>
        <w:ind w:firstLine="420" w:firstLineChars="200"/>
        <w:jc w:val="left"/>
        <w:rPr>
          <w:rFonts w:cs="宋体"/>
          <w:b/>
          <w:szCs w:val="21"/>
          <w:highlight w:val="none"/>
        </w:rPr>
      </w:pPr>
      <w:r>
        <w:rPr>
          <w:rFonts w:hint="eastAsia" w:cs="宋体"/>
          <w:b/>
          <w:szCs w:val="21"/>
          <w:highlight w:val="none"/>
        </w:rPr>
        <w:t>12.投标的语言及计量单位</w:t>
      </w:r>
    </w:p>
    <w:p w14:paraId="510EF797">
      <w:pPr>
        <w:ind w:firstLine="420" w:firstLineChars="200"/>
        <w:jc w:val="left"/>
        <w:rPr>
          <w:rFonts w:cs="宋体"/>
          <w:szCs w:val="21"/>
          <w:highlight w:val="none"/>
        </w:rPr>
      </w:pPr>
      <w:r>
        <w:rPr>
          <w:rFonts w:hint="eastAsia" w:cs="宋体"/>
          <w:szCs w:val="21"/>
          <w:highlight w:val="none"/>
        </w:rPr>
        <w:t>12.1投标人的投标文件以及投标人与采购代理机构就有关投标的所有来往函电统一使用中文（特别规定除外）。</w:t>
      </w:r>
    </w:p>
    <w:p w14:paraId="73843462">
      <w:pPr>
        <w:ind w:firstLine="420" w:firstLineChars="200"/>
        <w:jc w:val="left"/>
        <w:rPr>
          <w:rFonts w:cs="宋体"/>
          <w:szCs w:val="21"/>
          <w:highlight w:val="none"/>
        </w:rPr>
      </w:pPr>
      <w:r>
        <w:rPr>
          <w:rFonts w:hint="eastAsia" w:cs="宋体"/>
          <w:szCs w:val="21"/>
          <w:highlight w:val="none"/>
        </w:rPr>
        <w:t>12.2投标文件中使用的计量单位除招标文件中有特殊规定外，一律使用中国法定计量单位。</w:t>
      </w:r>
    </w:p>
    <w:p w14:paraId="7DDEBE45">
      <w:pPr>
        <w:ind w:firstLine="420" w:firstLineChars="200"/>
        <w:jc w:val="left"/>
        <w:rPr>
          <w:rFonts w:cs="宋体"/>
          <w:b/>
          <w:szCs w:val="21"/>
          <w:highlight w:val="none"/>
        </w:rPr>
      </w:pPr>
      <w:r>
        <w:rPr>
          <w:rFonts w:hint="eastAsia" w:cs="宋体"/>
          <w:b/>
          <w:szCs w:val="21"/>
          <w:highlight w:val="none"/>
        </w:rPr>
        <w:t>13.投标文件构成</w:t>
      </w:r>
    </w:p>
    <w:p w14:paraId="1DA02AA1">
      <w:pPr>
        <w:ind w:firstLine="420" w:firstLineChars="200"/>
        <w:jc w:val="left"/>
        <w:rPr>
          <w:rFonts w:cs="宋体"/>
          <w:szCs w:val="21"/>
          <w:highlight w:val="none"/>
        </w:rPr>
      </w:pPr>
      <w:r>
        <w:rPr>
          <w:rFonts w:hint="eastAsia" w:cs="宋体"/>
          <w:szCs w:val="21"/>
          <w:highlight w:val="none"/>
        </w:rPr>
        <w:t>13.1投标人编写的投标文件应由下列部分构成，并按第四章“投标文件格式”要求填写。有关文件的提交如未特别注明需提供原件的，可提供复印件/扫描件。</w:t>
      </w:r>
    </w:p>
    <w:p w14:paraId="6507176A">
      <w:pPr>
        <w:pStyle w:val="409"/>
        <w:ind w:firstLine="420" w:firstLineChars="200"/>
        <w:rPr>
          <w:szCs w:val="21"/>
          <w:highlight w:val="none"/>
        </w:rPr>
      </w:pPr>
      <w:r>
        <w:rPr>
          <w:rFonts w:hint="eastAsia"/>
          <w:highlight w:val="none"/>
        </w:rPr>
        <w:t>13.1.1</w:t>
      </w:r>
      <w:r>
        <w:rPr>
          <w:rFonts w:hint="eastAsia"/>
          <w:szCs w:val="21"/>
          <w:highlight w:val="none"/>
        </w:rPr>
        <w:t>构成投标文件技术部分的其他资料：详见</w:t>
      </w:r>
      <w:r>
        <w:rPr>
          <w:rFonts w:hint="eastAsia"/>
          <w:b/>
          <w:bCs w:val="0"/>
          <w:szCs w:val="21"/>
          <w:highlight w:val="none"/>
        </w:rPr>
        <w:t>“投标人须知前附表”</w:t>
      </w:r>
      <w:r>
        <w:rPr>
          <w:rFonts w:hint="eastAsia"/>
          <w:szCs w:val="21"/>
          <w:highlight w:val="none"/>
        </w:rPr>
        <w:t>要求。</w:t>
      </w:r>
    </w:p>
    <w:p w14:paraId="1FFF5587">
      <w:pPr>
        <w:pStyle w:val="409"/>
        <w:ind w:firstLine="420" w:firstLineChars="200"/>
        <w:rPr>
          <w:highlight w:val="none"/>
        </w:rPr>
      </w:pPr>
      <w:r>
        <w:rPr>
          <w:rFonts w:hint="eastAsia"/>
          <w:szCs w:val="21"/>
          <w:highlight w:val="none"/>
        </w:rPr>
        <w:t>13.1.2构成投标文件商务部分的其他资料：详见</w:t>
      </w:r>
      <w:r>
        <w:rPr>
          <w:rFonts w:hint="eastAsia"/>
          <w:b/>
          <w:bCs w:val="0"/>
          <w:szCs w:val="21"/>
          <w:highlight w:val="none"/>
        </w:rPr>
        <w:t>“投标人须知前附表”</w:t>
      </w:r>
      <w:r>
        <w:rPr>
          <w:rFonts w:hint="eastAsia"/>
          <w:szCs w:val="21"/>
          <w:highlight w:val="none"/>
        </w:rPr>
        <w:t>要求。</w:t>
      </w:r>
    </w:p>
    <w:p w14:paraId="678CAFDA">
      <w:pPr>
        <w:ind w:firstLine="420" w:firstLineChars="200"/>
        <w:jc w:val="left"/>
        <w:rPr>
          <w:rFonts w:cs="宋体"/>
          <w:szCs w:val="21"/>
          <w:highlight w:val="none"/>
        </w:rPr>
      </w:pPr>
      <w:r>
        <w:rPr>
          <w:rFonts w:hint="eastAsia" w:cs="宋体"/>
          <w:szCs w:val="21"/>
          <w:highlight w:val="none"/>
        </w:rPr>
        <w:t>13.2投标人同时投多个标段</w:t>
      </w:r>
      <w:r>
        <w:rPr>
          <w:rFonts w:hint="eastAsia" w:cs="宋体"/>
          <w:b/>
          <w:bCs/>
          <w:szCs w:val="21"/>
          <w:highlight w:val="none"/>
        </w:rPr>
        <w:t>（若分标段时）</w:t>
      </w:r>
      <w:r>
        <w:rPr>
          <w:rFonts w:hint="eastAsia" w:cs="宋体"/>
          <w:szCs w:val="21"/>
          <w:highlight w:val="none"/>
        </w:rPr>
        <w:t>的，投标文件应按标段分别编制，并按标段单独递交。</w:t>
      </w:r>
    </w:p>
    <w:p w14:paraId="64FF45B8">
      <w:pPr>
        <w:ind w:firstLine="420" w:firstLineChars="200"/>
        <w:jc w:val="left"/>
        <w:rPr>
          <w:rFonts w:cs="宋体"/>
          <w:b/>
          <w:szCs w:val="21"/>
          <w:highlight w:val="none"/>
        </w:rPr>
      </w:pPr>
      <w:r>
        <w:rPr>
          <w:rFonts w:hint="eastAsia" w:cs="宋体"/>
          <w:b/>
          <w:szCs w:val="21"/>
          <w:highlight w:val="none"/>
        </w:rPr>
        <w:t>14.投标文件的格式要求</w:t>
      </w:r>
    </w:p>
    <w:p w14:paraId="1DB0F44F">
      <w:pPr>
        <w:pStyle w:val="45"/>
        <w:tabs>
          <w:tab w:val="left" w:pos="3030"/>
        </w:tabs>
        <w:ind w:firstLine="420" w:firstLineChars="200"/>
        <w:rPr>
          <w:rFonts w:cs="宋体"/>
          <w:szCs w:val="21"/>
          <w:highlight w:val="none"/>
        </w:rPr>
      </w:pPr>
      <w:r>
        <w:rPr>
          <w:rFonts w:hint="eastAsia" w:cs="宋体"/>
          <w:szCs w:val="21"/>
          <w:highlight w:val="none"/>
        </w:rPr>
        <w:t>14.1投标人应按第四章</w:t>
      </w:r>
      <w:r>
        <w:rPr>
          <w:rFonts w:hint="eastAsia" w:cs="宋体"/>
          <w:b/>
          <w:bCs/>
          <w:szCs w:val="21"/>
          <w:highlight w:val="none"/>
        </w:rPr>
        <w:t>“投标文件格式”</w:t>
      </w:r>
      <w:r>
        <w:rPr>
          <w:rFonts w:hint="eastAsia" w:cs="宋体"/>
          <w:szCs w:val="21"/>
          <w:highlight w:val="none"/>
        </w:rPr>
        <w:t>提供的格式完整地填写。</w:t>
      </w:r>
    </w:p>
    <w:p w14:paraId="26EBC890">
      <w:pPr>
        <w:ind w:firstLine="420" w:firstLineChars="200"/>
        <w:jc w:val="left"/>
        <w:rPr>
          <w:rFonts w:cs="宋体"/>
          <w:b/>
          <w:szCs w:val="21"/>
          <w:highlight w:val="none"/>
        </w:rPr>
      </w:pPr>
      <w:r>
        <w:rPr>
          <w:rFonts w:hint="eastAsia" w:cs="宋体"/>
          <w:b/>
          <w:szCs w:val="21"/>
          <w:highlight w:val="none"/>
        </w:rPr>
        <w:t>15.投标报价</w:t>
      </w:r>
    </w:p>
    <w:p w14:paraId="57FE311B">
      <w:pPr>
        <w:ind w:firstLine="420" w:firstLineChars="200"/>
        <w:rPr>
          <w:rFonts w:cs="宋体"/>
          <w:bCs/>
          <w:szCs w:val="21"/>
          <w:highlight w:val="none"/>
        </w:rPr>
      </w:pPr>
      <w:r>
        <w:rPr>
          <w:rFonts w:hint="eastAsia" w:cs="宋体"/>
          <w:bCs/>
          <w:szCs w:val="21"/>
          <w:highlight w:val="none"/>
        </w:rPr>
        <w:t>★15.1本项目最高限价见</w:t>
      </w:r>
      <w:r>
        <w:rPr>
          <w:rFonts w:hint="eastAsia" w:cs="宋体"/>
          <w:b/>
          <w:szCs w:val="21"/>
          <w:highlight w:val="none"/>
        </w:rPr>
        <w:t>“投标人须知前附表”</w:t>
      </w:r>
      <w:r>
        <w:rPr>
          <w:rFonts w:hint="eastAsia" w:cs="宋体"/>
          <w:bCs/>
          <w:szCs w:val="21"/>
          <w:highlight w:val="none"/>
        </w:rPr>
        <w:t>，若投标人的投标报价超过最高限价，按未实质性响应招标文件要求处理。</w:t>
      </w:r>
    </w:p>
    <w:p w14:paraId="11243C19">
      <w:pPr>
        <w:ind w:firstLine="420" w:firstLineChars="200"/>
        <w:rPr>
          <w:rFonts w:cs="宋体"/>
          <w:bCs/>
          <w:szCs w:val="21"/>
          <w:highlight w:val="none"/>
        </w:rPr>
      </w:pPr>
      <w:r>
        <w:rPr>
          <w:rFonts w:hint="eastAsia" w:cs="宋体"/>
          <w:bCs/>
          <w:szCs w:val="21"/>
          <w:highlight w:val="none"/>
        </w:rPr>
        <w:t>15.2投标人须就第五章《采购需求》中的所有内容作完整唯一报价。</w:t>
      </w:r>
    </w:p>
    <w:p w14:paraId="2F7277A7">
      <w:pPr>
        <w:pStyle w:val="45"/>
        <w:ind w:firstLine="420" w:firstLineChars="200"/>
        <w:rPr>
          <w:rFonts w:cs="宋体"/>
          <w:szCs w:val="21"/>
          <w:highlight w:val="none"/>
        </w:rPr>
      </w:pPr>
      <w:r>
        <w:rPr>
          <w:rFonts w:hint="eastAsia" w:cs="宋体"/>
          <w:szCs w:val="21"/>
          <w:highlight w:val="none"/>
        </w:rPr>
        <w:t>15.3投标人应依据招标文件的要求及有关资料，按国家或行业现行技术经济标准、定额及规范，自行测算出满足招标要求的投标货物的竞争性报价。投标报价包含完成本项目所需的</w:t>
      </w:r>
      <w:r>
        <w:rPr>
          <w:rFonts w:hint="eastAsia" w:cs="宋体"/>
          <w:szCs w:val="21"/>
          <w:highlight w:val="none"/>
          <w:lang w:val="en-US" w:eastAsia="zh-CN"/>
        </w:rPr>
        <w:t>印刷费（</w:t>
      </w:r>
      <w:r>
        <w:rPr>
          <w:rFonts w:hint="eastAsia" w:cs="宋体"/>
          <w:color w:val="000000"/>
          <w:kern w:val="0"/>
          <w:szCs w:val="21"/>
          <w:highlight w:val="none"/>
          <w:lang w:bidi="ar"/>
        </w:rPr>
        <w:t>包含原材料费、</w:t>
      </w:r>
      <w:r>
        <w:rPr>
          <w:rFonts w:hint="eastAsia" w:cs="宋体"/>
          <w:color w:val="000000"/>
          <w:kern w:val="0"/>
          <w:szCs w:val="21"/>
          <w:highlight w:val="none"/>
          <w:lang w:val="en-US" w:eastAsia="zh-CN" w:bidi="ar"/>
        </w:rPr>
        <w:t>印刷费、人工费、配送费</w:t>
      </w:r>
      <w:r>
        <w:rPr>
          <w:rFonts w:hint="eastAsia" w:cs="宋体"/>
          <w:szCs w:val="21"/>
          <w:highlight w:val="none"/>
          <w:lang w:val="en-US" w:eastAsia="zh-CN"/>
        </w:rPr>
        <w:t>）、</w:t>
      </w:r>
      <w:r>
        <w:rPr>
          <w:rFonts w:hint="eastAsia" w:cs="宋体"/>
          <w:szCs w:val="21"/>
          <w:highlight w:val="none"/>
        </w:rPr>
        <w:t>设计</w:t>
      </w:r>
      <w:r>
        <w:rPr>
          <w:rFonts w:hint="eastAsia" w:cs="宋体"/>
          <w:szCs w:val="21"/>
          <w:highlight w:val="none"/>
          <w:lang w:val="en-US" w:eastAsia="zh-CN"/>
        </w:rPr>
        <w:t>排版费</w:t>
      </w:r>
      <w:r>
        <w:rPr>
          <w:rFonts w:hint="eastAsia" w:cs="宋体"/>
          <w:szCs w:val="21"/>
          <w:highlight w:val="none"/>
        </w:rPr>
        <w:t>、</w:t>
      </w:r>
      <w:r>
        <w:rPr>
          <w:rFonts w:hint="eastAsia" w:cs="宋体"/>
          <w:szCs w:val="21"/>
          <w:highlight w:val="none"/>
          <w:lang w:val="en-US" w:eastAsia="zh-CN"/>
        </w:rPr>
        <w:t>校对费、</w:t>
      </w:r>
      <w:r>
        <w:rPr>
          <w:rFonts w:hint="eastAsia" w:cs="宋体"/>
          <w:szCs w:val="21"/>
          <w:highlight w:val="none"/>
        </w:rPr>
        <w:t>利润及税费等一切相关费用。</w:t>
      </w:r>
      <w:r>
        <w:rPr>
          <w:rFonts w:hint="eastAsia" w:cs="宋体"/>
          <w:color w:val="000000"/>
          <w:highlight w:val="none"/>
        </w:rPr>
        <w:t>合同一旦签订，此合同价格在合同实施期间将不因市场价格的变化而调整。</w:t>
      </w:r>
    </w:p>
    <w:p w14:paraId="10E49137">
      <w:pPr>
        <w:pStyle w:val="45"/>
        <w:ind w:firstLine="420" w:firstLineChars="200"/>
        <w:rPr>
          <w:rFonts w:cs="宋体"/>
          <w:highlight w:val="none"/>
        </w:rPr>
      </w:pPr>
      <w:r>
        <w:rPr>
          <w:rFonts w:hint="eastAsia" w:cs="宋体"/>
          <w:color w:val="000000"/>
          <w:szCs w:val="21"/>
          <w:highlight w:val="none"/>
        </w:rPr>
        <w:t>15.4项目采用综合报价的形式，不因为在报价时的漏报、少报而获得价格的调整，其漏报、少报部分的费用视为已经包含在其他报价内，且不得因此擅自降低项目建设标准和不对项目缺陷进行弥补和调整。</w:t>
      </w:r>
    </w:p>
    <w:p w14:paraId="211A42EA">
      <w:pPr>
        <w:ind w:firstLine="420" w:firstLineChars="200"/>
        <w:jc w:val="left"/>
        <w:rPr>
          <w:rFonts w:cs="宋体"/>
          <w:b/>
          <w:szCs w:val="21"/>
          <w:highlight w:val="none"/>
        </w:rPr>
      </w:pPr>
      <w:r>
        <w:rPr>
          <w:rFonts w:hint="eastAsia" w:cs="宋体"/>
          <w:b/>
          <w:szCs w:val="21"/>
          <w:highlight w:val="none"/>
        </w:rPr>
        <w:t>16.投标货币</w:t>
      </w:r>
    </w:p>
    <w:p w14:paraId="5A14F7BF">
      <w:pPr>
        <w:pStyle w:val="45"/>
        <w:ind w:firstLine="420" w:firstLineChars="200"/>
        <w:rPr>
          <w:rFonts w:cs="宋体"/>
          <w:bCs/>
          <w:szCs w:val="21"/>
          <w:highlight w:val="none"/>
        </w:rPr>
      </w:pPr>
      <w:r>
        <w:rPr>
          <w:rFonts w:hint="eastAsia" w:cs="宋体"/>
          <w:szCs w:val="21"/>
          <w:highlight w:val="none"/>
        </w:rPr>
        <w:t>16.1投标以人民币报价。</w:t>
      </w:r>
    </w:p>
    <w:p w14:paraId="13CBD6C4">
      <w:pPr>
        <w:ind w:firstLine="420" w:firstLineChars="200"/>
        <w:jc w:val="left"/>
        <w:rPr>
          <w:rFonts w:cs="宋体"/>
          <w:b/>
          <w:szCs w:val="21"/>
          <w:highlight w:val="none"/>
        </w:rPr>
      </w:pPr>
      <w:r>
        <w:rPr>
          <w:rFonts w:hint="eastAsia" w:cs="宋体"/>
          <w:b/>
          <w:szCs w:val="21"/>
          <w:highlight w:val="none"/>
        </w:rPr>
        <w:t>17.投标文件有效期</w:t>
      </w:r>
    </w:p>
    <w:p w14:paraId="37854914">
      <w:pPr>
        <w:ind w:firstLine="420" w:firstLineChars="200"/>
        <w:jc w:val="left"/>
        <w:rPr>
          <w:rFonts w:cs="宋体"/>
          <w:szCs w:val="21"/>
          <w:highlight w:val="none"/>
        </w:rPr>
      </w:pPr>
      <w:r>
        <w:rPr>
          <w:rFonts w:hint="eastAsia" w:cs="宋体"/>
          <w:szCs w:val="21"/>
          <w:highlight w:val="none"/>
        </w:rPr>
        <w:t>★17.1在</w:t>
      </w:r>
      <w:r>
        <w:rPr>
          <w:rFonts w:hint="eastAsia" w:cs="宋体"/>
          <w:b/>
          <w:bCs/>
          <w:szCs w:val="21"/>
          <w:highlight w:val="none"/>
        </w:rPr>
        <w:t>“投标人须知前附表”</w:t>
      </w:r>
      <w:r>
        <w:rPr>
          <w:rFonts w:hint="eastAsia" w:cs="宋体"/>
          <w:szCs w:val="21"/>
          <w:highlight w:val="none"/>
        </w:rPr>
        <w:t>规定的投标有效期内，投标人不得要求撤销或修改其投标文件。</w:t>
      </w:r>
    </w:p>
    <w:p w14:paraId="0BC629B4">
      <w:pPr>
        <w:ind w:firstLine="420" w:firstLineChars="200"/>
        <w:jc w:val="left"/>
        <w:rPr>
          <w:rFonts w:cs="宋体"/>
          <w:szCs w:val="21"/>
          <w:highlight w:val="none"/>
        </w:rPr>
      </w:pPr>
      <w:r>
        <w:rPr>
          <w:rFonts w:hint="eastAsia" w:cs="宋体"/>
          <w:szCs w:val="21"/>
          <w:highlight w:val="none"/>
        </w:rPr>
        <w:t>17.2投标有效期从提交投标文件的截止之日起算。投标文件中承诺的投标有效期应当不少于招标文件中载明的投标有效期。投标有效期内投标人撤销投标文件的，采购代理机构可以不退还投标保证金。</w:t>
      </w:r>
    </w:p>
    <w:p w14:paraId="4C98328A">
      <w:pPr>
        <w:ind w:firstLine="420" w:firstLineChars="200"/>
        <w:jc w:val="left"/>
        <w:rPr>
          <w:rFonts w:cs="宋体"/>
          <w:szCs w:val="21"/>
          <w:highlight w:val="none"/>
        </w:rPr>
      </w:pPr>
      <w:r>
        <w:rPr>
          <w:rFonts w:hint="eastAsia" w:cs="宋体"/>
          <w:szCs w:val="21"/>
          <w:highlight w:val="none"/>
        </w:rPr>
        <w:t>17.3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61CE0715">
      <w:pPr>
        <w:ind w:firstLine="420" w:firstLineChars="200"/>
        <w:jc w:val="left"/>
        <w:rPr>
          <w:rFonts w:cs="宋体"/>
          <w:b/>
          <w:szCs w:val="21"/>
          <w:highlight w:val="none"/>
        </w:rPr>
      </w:pPr>
      <w:r>
        <w:rPr>
          <w:rFonts w:hint="eastAsia" w:cs="宋体"/>
          <w:b/>
          <w:szCs w:val="21"/>
          <w:highlight w:val="none"/>
        </w:rPr>
        <w:t>18.分包</w:t>
      </w:r>
    </w:p>
    <w:p w14:paraId="010562C6">
      <w:pPr>
        <w:ind w:firstLine="420" w:firstLineChars="200"/>
        <w:jc w:val="left"/>
        <w:rPr>
          <w:rFonts w:cs="宋体"/>
          <w:kern w:val="0"/>
          <w:szCs w:val="21"/>
          <w:highlight w:val="none"/>
        </w:rPr>
      </w:pPr>
      <w:r>
        <w:rPr>
          <w:rFonts w:hint="eastAsia" w:cs="宋体"/>
          <w:szCs w:val="21"/>
          <w:highlight w:val="none"/>
        </w:rPr>
        <w:t>18.1</w:t>
      </w:r>
      <w:r>
        <w:rPr>
          <w:rFonts w:hint="eastAsia" w:cs="宋体"/>
          <w:b/>
          <w:bCs/>
          <w:szCs w:val="21"/>
          <w:highlight w:val="none"/>
        </w:rPr>
        <w:t>“投标人须知前附表”</w:t>
      </w:r>
      <w:r>
        <w:rPr>
          <w:rFonts w:hint="eastAsia" w:cs="宋体"/>
          <w:szCs w:val="21"/>
          <w:highlight w:val="none"/>
        </w:rPr>
        <w:t>规定允许分包的项目，投标人在中标后只能将项目的非主体、</w:t>
      </w:r>
      <w:r>
        <w:rPr>
          <w:rFonts w:hint="eastAsia" w:cs="宋体"/>
          <w:kern w:val="0"/>
          <w:szCs w:val="21"/>
          <w:highlight w:val="none"/>
        </w:rPr>
        <w:t>非关键性工作分包。投标人应当在投标文件中载明分包承担主体，分包承担主体应当具备相应资质条件且不得再次分包。</w:t>
      </w:r>
    </w:p>
    <w:p w14:paraId="2BDCCEEF">
      <w:pPr>
        <w:ind w:firstLine="420" w:firstLineChars="200"/>
        <w:jc w:val="left"/>
        <w:rPr>
          <w:rFonts w:cs="宋体"/>
          <w:b/>
          <w:bCs/>
          <w:kern w:val="0"/>
          <w:szCs w:val="21"/>
          <w:highlight w:val="none"/>
        </w:rPr>
      </w:pPr>
      <w:r>
        <w:rPr>
          <w:rFonts w:hint="eastAsia" w:cs="宋体"/>
          <w:b/>
          <w:bCs/>
          <w:kern w:val="0"/>
          <w:szCs w:val="21"/>
          <w:highlight w:val="none"/>
        </w:rPr>
        <w:t>★19.投标人应当遵循公平竞争的原则，不得恶意串通，不得妨碍其他投标人的竞争行为，不得损害采购人或者其他投标人的合法权益。</w:t>
      </w:r>
    </w:p>
    <w:p w14:paraId="7B43B038">
      <w:pPr>
        <w:ind w:firstLine="420" w:firstLineChars="200"/>
        <w:jc w:val="left"/>
        <w:rPr>
          <w:rFonts w:cs="宋体"/>
          <w:b/>
          <w:szCs w:val="21"/>
          <w:highlight w:val="none"/>
        </w:rPr>
      </w:pPr>
      <w:r>
        <w:rPr>
          <w:rFonts w:hint="eastAsia" w:cs="宋体"/>
          <w:b/>
          <w:szCs w:val="21"/>
          <w:highlight w:val="none"/>
        </w:rPr>
        <w:t>20.投标文件的编制</w:t>
      </w:r>
    </w:p>
    <w:p w14:paraId="74997888">
      <w:pPr>
        <w:pStyle w:val="45"/>
        <w:ind w:firstLine="420" w:firstLineChars="200"/>
        <w:rPr>
          <w:rFonts w:cs="宋体"/>
          <w:szCs w:val="21"/>
          <w:highlight w:val="none"/>
        </w:rPr>
      </w:pPr>
      <w:r>
        <w:rPr>
          <w:rFonts w:hint="eastAsia" w:cs="宋体"/>
          <w:szCs w:val="21"/>
          <w:highlight w:val="none"/>
        </w:rPr>
        <w:t>20.1投标文件全部采用电子文档，投标人应安装客户端软件—</w:t>
      </w:r>
      <w:r>
        <w:rPr>
          <w:rFonts w:hint="eastAsia" w:cs="宋体"/>
          <w:b/>
          <w:bCs/>
          <w:szCs w:val="21"/>
          <w:highlight w:val="none"/>
        </w:rPr>
        <w:t>“政采云电子交易客户端”</w:t>
      </w:r>
      <w:r>
        <w:rPr>
          <w:rFonts w:hint="eastAsia" w:cs="宋体"/>
          <w:szCs w:val="21"/>
          <w:highlight w:val="none"/>
        </w:rPr>
        <w:t>，并按照招标文件和政采云电子交易平台的要求编制，编制后应进行电子签名及加密。</w:t>
      </w:r>
    </w:p>
    <w:p w14:paraId="0444848E">
      <w:pPr>
        <w:pStyle w:val="45"/>
        <w:ind w:firstLine="420" w:firstLineChars="200"/>
        <w:rPr>
          <w:rFonts w:cs="宋体"/>
          <w:szCs w:val="21"/>
          <w:highlight w:val="none"/>
        </w:rPr>
      </w:pPr>
      <w:r>
        <w:rPr>
          <w:rFonts w:hint="eastAsia" w:cs="宋体"/>
          <w:szCs w:val="21"/>
          <w:highlight w:val="none"/>
        </w:rPr>
        <w:t>★20.2如投标人提交的电子标书不符合20.1要求或开标时无法读取导入或解密，其投标文件将不予受理。</w:t>
      </w:r>
    </w:p>
    <w:p w14:paraId="3A2BE2FF">
      <w:pPr>
        <w:pStyle w:val="45"/>
        <w:ind w:firstLine="420" w:firstLineChars="200"/>
        <w:rPr>
          <w:rFonts w:cs="宋体"/>
          <w:szCs w:val="21"/>
          <w:highlight w:val="none"/>
        </w:rPr>
      </w:pPr>
      <w:r>
        <w:rPr>
          <w:rFonts w:hint="eastAsia" w:cs="宋体"/>
          <w:szCs w:val="21"/>
          <w:highlight w:val="none"/>
        </w:rPr>
        <w:t>20.3投标文件应尽量避免涂改、行间插字或删除。如果出现上述情况，改动之处应加盖单位章或由投标人的法定代表人/单位负责人（签名或盖章）确认。</w:t>
      </w:r>
    </w:p>
    <w:p w14:paraId="16BB70E5">
      <w:pPr>
        <w:pStyle w:val="45"/>
        <w:ind w:firstLine="420" w:firstLineChars="200"/>
        <w:rPr>
          <w:rFonts w:cs="宋体"/>
          <w:szCs w:val="21"/>
          <w:highlight w:val="none"/>
        </w:rPr>
      </w:pPr>
      <w:r>
        <w:rPr>
          <w:rFonts w:hint="eastAsia" w:cs="宋体"/>
          <w:szCs w:val="21"/>
          <w:highlight w:val="none"/>
        </w:rPr>
        <w:t>★20.4关键内容字迹潦草、表达不清、未按要求填写而导致非唯一理解，视为未实质性响应招标文件的投标文件。</w:t>
      </w:r>
    </w:p>
    <w:p w14:paraId="2BA21F51">
      <w:pPr>
        <w:pStyle w:val="45"/>
        <w:ind w:firstLine="420" w:firstLineChars="200"/>
        <w:rPr>
          <w:rFonts w:cs="宋体"/>
          <w:szCs w:val="21"/>
          <w:highlight w:val="none"/>
        </w:rPr>
      </w:pPr>
      <w:r>
        <w:rPr>
          <w:rFonts w:hint="eastAsia" w:cs="宋体"/>
          <w:szCs w:val="21"/>
          <w:highlight w:val="none"/>
        </w:rPr>
        <w:t>★20.5投标文件中提供的资料（复印件或扫描件），内容必须清晰可辨，若内容模糊，无法辨识，均视为未提供。</w:t>
      </w:r>
    </w:p>
    <w:p w14:paraId="24A8A371">
      <w:pPr>
        <w:pStyle w:val="45"/>
        <w:ind w:firstLine="420" w:firstLineChars="200"/>
        <w:rPr>
          <w:rFonts w:cs="宋体"/>
          <w:szCs w:val="21"/>
          <w:highlight w:val="none"/>
        </w:rPr>
      </w:pPr>
      <w:r>
        <w:rPr>
          <w:rFonts w:hint="eastAsia" w:cs="宋体"/>
          <w:highlight w:val="none"/>
        </w:rPr>
        <w:t>20.6投标文件应由法定代表人/单位负责人在凡规定（签字或电子签名）处逐一电子签名（电子签名或电子签章），要求盖章处应盖单位章（电子签章）。</w:t>
      </w:r>
    </w:p>
    <w:p w14:paraId="5991B4F4">
      <w:pPr>
        <w:ind w:firstLine="420" w:firstLineChars="200"/>
        <w:jc w:val="left"/>
        <w:rPr>
          <w:rFonts w:hint="default" w:eastAsia="宋体" w:cs="宋体"/>
          <w:b/>
          <w:szCs w:val="21"/>
          <w:highlight w:val="none"/>
          <w:lang w:val="en-US" w:eastAsia="zh-CN"/>
        </w:rPr>
      </w:pPr>
      <w:r>
        <w:rPr>
          <w:rFonts w:hint="eastAsia" w:cs="宋体"/>
          <w:b/>
          <w:szCs w:val="21"/>
          <w:highlight w:val="none"/>
        </w:rPr>
        <w:t>21.投标保证金</w:t>
      </w:r>
      <w:r>
        <w:rPr>
          <w:rFonts w:hint="eastAsia" w:cs="宋体"/>
          <w:b/>
          <w:szCs w:val="21"/>
          <w:highlight w:val="none"/>
          <w:lang w:eastAsia="zh-CN"/>
        </w:rPr>
        <w:t>（</w:t>
      </w:r>
      <w:r>
        <w:rPr>
          <w:rFonts w:hint="eastAsia" w:cs="宋体"/>
          <w:b/>
          <w:szCs w:val="21"/>
          <w:highlight w:val="none"/>
          <w:lang w:val="en-US" w:eastAsia="zh-CN"/>
        </w:rPr>
        <w:t>本项目无需缴纳）</w:t>
      </w:r>
    </w:p>
    <w:p w14:paraId="29093312">
      <w:pPr>
        <w:pStyle w:val="45"/>
        <w:tabs>
          <w:tab w:val="left" w:pos="710"/>
        </w:tabs>
        <w:ind w:firstLine="420" w:firstLineChars="200"/>
        <w:rPr>
          <w:rFonts w:cs="宋体"/>
          <w:szCs w:val="21"/>
          <w:highlight w:val="none"/>
        </w:rPr>
      </w:pPr>
      <w:r>
        <w:rPr>
          <w:rFonts w:hint="eastAsia" w:cs="宋体"/>
          <w:szCs w:val="21"/>
          <w:highlight w:val="none"/>
        </w:rPr>
        <w:t>21.1投标保证金为人民币。投标人应在提交投标文件截止时间以前按“</w:t>
      </w:r>
      <w:r>
        <w:rPr>
          <w:rFonts w:hint="eastAsia" w:cs="宋体"/>
          <w:b/>
          <w:szCs w:val="21"/>
          <w:highlight w:val="none"/>
        </w:rPr>
        <w:t>投标人须知前附表</w:t>
      </w:r>
      <w:r>
        <w:rPr>
          <w:rFonts w:hint="eastAsia" w:cs="宋体"/>
          <w:szCs w:val="21"/>
          <w:highlight w:val="none"/>
        </w:rPr>
        <w:t>”规定的金额提交，并在规定的时间内保持有效。</w:t>
      </w:r>
    </w:p>
    <w:p w14:paraId="409A292E">
      <w:pPr>
        <w:pStyle w:val="45"/>
        <w:ind w:firstLine="420" w:firstLineChars="200"/>
        <w:rPr>
          <w:rFonts w:cs="宋体"/>
          <w:szCs w:val="21"/>
          <w:highlight w:val="none"/>
        </w:rPr>
      </w:pPr>
      <w:r>
        <w:rPr>
          <w:rFonts w:hint="eastAsia" w:cs="宋体"/>
          <w:szCs w:val="21"/>
          <w:highlight w:val="none"/>
        </w:rPr>
        <w:t>21.2</w:t>
      </w:r>
      <w:r>
        <w:rPr>
          <w:rFonts w:hint="eastAsia" w:cs="宋体"/>
          <w:szCs w:val="24"/>
          <w:highlight w:val="none"/>
        </w:rPr>
        <w:t>投标保证金形式：投标保证金应按“</w:t>
      </w:r>
      <w:r>
        <w:rPr>
          <w:rFonts w:hint="eastAsia" w:cs="宋体"/>
          <w:b/>
          <w:szCs w:val="24"/>
          <w:highlight w:val="none"/>
        </w:rPr>
        <w:t>投标人须知前附表</w:t>
      </w:r>
      <w:r>
        <w:rPr>
          <w:rFonts w:hint="eastAsia" w:cs="宋体"/>
          <w:szCs w:val="24"/>
          <w:highlight w:val="none"/>
        </w:rPr>
        <w:t>”规定的形式提交。</w:t>
      </w:r>
    </w:p>
    <w:p w14:paraId="34971D0F">
      <w:pPr>
        <w:pStyle w:val="45"/>
        <w:ind w:firstLine="420" w:firstLineChars="200"/>
        <w:rPr>
          <w:rFonts w:cs="宋体"/>
          <w:szCs w:val="21"/>
          <w:highlight w:val="none"/>
        </w:rPr>
      </w:pPr>
      <w:r>
        <w:rPr>
          <w:rFonts w:hint="eastAsia" w:cs="宋体"/>
          <w:szCs w:val="21"/>
          <w:highlight w:val="none"/>
        </w:rPr>
        <w:t>21.3</w:t>
      </w:r>
      <w:r>
        <w:rPr>
          <w:rFonts w:hint="eastAsia" w:cs="宋体"/>
          <w:kern w:val="0"/>
          <w:szCs w:val="24"/>
          <w:highlight w:val="none"/>
        </w:rPr>
        <w:t>投标人在投标截止时间前撤回已提交的投标文件的，采购代理机构将在自收到投标人书面撤回通知之日起</w:t>
      </w:r>
      <w:r>
        <w:rPr>
          <w:rFonts w:hint="eastAsia" w:cs="宋体"/>
          <w:szCs w:val="24"/>
          <w:highlight w:val="none"/>
        </w:rPr>
        <w:t>5</w:t>
      </w:r>
      <w:r>
        <w:rPr>
          <w:rFonts w:hint="eastAsia" w:cs="宋体"/>
          <w:kern w:val="0"/>
          <w:szCs w:val="24"/>
          <w:highlight w:val="none"/>
        </w:rPr>
        <w:t>个工作日内，退还已收取的投标保证金，但因投标人自身原因导致无法及时退还的除外</w:t>
      </w:r>
      <w:r>
        <w:rPr>
          <w:rFonts w:hint="eastAsia" w:cs="宋体"/>
          <w:szCs w:val="24"/>
          <w:highlight w:val="none"/>
        </w:rPr>
        <w:t>。</w:t>
      </w:r>
    </w:p>
    <w:p w14:paraId="7306138D">
      <w:pPr>
        <w:pStyle w:val="45"/>
        <w:ind w:firstLine="420" w:firstLineChars="200"/>
        <w:rPr>
          <w:rFonts w:cs="宋体"/>
          <w:szCs w:val="24"/>
          <w:highlight w:val="none"/>
        </w:rPr>
      </w:pPr>
      <w:r>
        <w:rPr>
          <w:rFonts w:hint="eastAsia" w:cs="宋体"/>
          <w:szCs w:val="21"/>
          <w:highlight w:val="none"/>
        </w:rPr>
        <w:t>21.4</w:t>
      </w:r>
      <w:r>
        <w:rPr>
          <w:rFonts w:hint="eastAsia" w:cs="宋体"/>
          <w:szCs w:val="24"/>
          <w:highlight w:val="none"/>
        </w:rPr>
        <w:t>未中标人的投标保证金将在中标公告发出后5个工作日退还；中标人的投标保证金将在</w:t>
      </w:r>
      <w:r>
        <w:rPr>
          <w:rFonts w:hint="eastAsia" w:cs="宋体"/>
          <w:kern w:val="0"/>
          <w:szCs w:val="24"/>
          <w:highlight w:val="none"/>
        </w:rPr>
        <w:t>采购合同签订之日起5个工作日内退还</w:t>
      </w:r>
      <w:r>
        <w:rPr>
          <w:rFonts w:hint="eastAsia" w:cs="宋体"/>
          <w:szCs w:val="24"/>
          <w:highlight w:val="none"/>
        </w:rPr>
        <w:t>。</w:t>
      </w:r>
    </w:p>
    <w:p w14:paraId="768F7B75">
      <w:pPr>
        <w:ind w:firstLine="420" w:firstLineChars="200"/>
        <w:rPr>
          <w:rFonts w:cs="宋体"/>
          <w:highlight w:val="none"/>
        </w:rPr>
      </w:pPr>
      <w:r>
        <w:rPr>
          <w:rFonts w:hint="eastAsia" w:cs="宋体"/>
          <w:highlight w:val="none"/>
        </w:rPr>
        <w:t>21.5投标保证金的退回方式：</w:t>
      </w:r>
    </w:p>
    <w:p w14:paraId="09E0B181">
      <w:pPr>
        <w:ind w:firstLine="420" w:firstLineChars="200"/>
        <w:rPr>
          <w:rFonts w:cs="宋体"/>
          <w:highlight w:val="none"/>
        </w:rPr>
      </w:pPr>
      <w:r>
        <w:rPr>
          <w:rFonts w:hint="eastAsia" w:cs="宋体"/>
          <w:highlight w:val="none"/>
        </w:rPr>
        <w:t>（1）以银行转账、网银、电汇缴纳的保证金，以网银对公转账的方式退还到投标人打款账户；</w:t>
      </w:r>
    </w:p>
    <w:p w14:paraId="652560C9">
      <w:pPr>
        <w:ind w:firstLine="420" w:firstLineChars="200"/>
        <w:rPr>
          <w:rFonts w:cs="宋体"/>
          <w:highlight w:val="none"/>
        </w:rPr>
      </w:pPr>
      <w:r>
        <w:rPr>
          <w:rFonts w:hint="eastAsia" w:cs="宋体"/>
          <w:highlight w:val="none"/>
        </w:rPr>
        <w:t>（2）以支票、汇票及本票等票据方式缴纳的保证金，经财务查账确认后以对公转账的方式退还到投标人开户账户；</w:t>
      </w:r>
    </w:p>
    <w:p w14:paraId="7EA20B51">
      <w:pPr>
        <w:ind w:firstLine="420" w:firstLineChars="200"/>
        <w:rPr>
          <w:rFonts w:cs="宋体"/>
          <w:highlight w:val="none"/>
        </w:rPr>
      </w:pPr>
      <w:r>
        <w:rPr>
          <w:rFonts w:hint="eastAsia" w:cs="宋体"/>
          <w:highlight w:val="none"/>
        </w:rPr>
        <w:t>（3）以银行保函或者保证保险方式缴纳的保证金由投标人自行联系出函机构。</w:t>
      </w:r>
    </w:p>
    <w:p w14:paraId="02081B96">
      <w:pPr>
        <w:pStyle w:val="45"/>
        <w:ind w:firstLine="420" w:firstLineChars="200"/>
        <w:rPr>
          <w:rFonts w:cs="宋体"/>
          <w:szCs w:val="21"/>
          <w:highlight w:val="none"/>
        </w:rPr>
      </w:pPr>
      <w:r>
        <w:rPr>
          <w:rFonts w:hint="eastAsia" w:cs="宋体"/>
          <w:szCs w:val="21"/>
          <w:highlight w:val="none"/>
        </w:rPr>
        <w:t>21.6下列情况发生时，投标保证金将不予退还</w:t>
      </w:r>
    </w:p>
    <w:p w14:paraId="53B33901">
      <w:pPr>
        <w:ind w:firstLine="420" w:firstLineChars="200"/>
        <w:jc w:val="left"/>
        <w:rPr>
          <w:rFonts w:cs="宋体"/>
          <w:szCs w:val="21"/>
          <w:highlight w:val="none"/>
        </w:rPr>
      </w:pPr>
      <w:r>
        <w:rPr>
          <w:rFonts w:hint="eastAsia" w:cs="宋体"/>
          <w:szCs w:val="21"/>
          <w:highlight w:val="none"/>
        </w:rPr>
        <w:t>（1）投标人在投标有效期内要求撤回投标的；</w:t>
      </w:r>
    </w:p>
    <w:p w14:paraId="7A7E31F7">
      <w:pPr>
        <w:ind w:firstLine="420" w:firstLineChars="200"/>
        <w:jc w:val="left"/>
        <w:rPr>
          <w:rFonts w:cs="宋体"/>
          <w:szCs w:val="21"/>
          <w:highlight w:val="none"/>
        </w:rPr>
      </w:pPr>
      <w:r>
        <w:rPr>
          <w:rFonts w:hint="eastAsia" w:cs="宋体"/>
          <w:szCs w:val="21"/>
          <w:highlight w:val="none"/>
        </w:rPr>
        <w:t>（2）中标人中标后无正当理由不与采购人签订合同的；</w:t>
      </w:r>
    </w:p>
    <w:p w14:paraId="5F1A252E">
      <w:pPr>
        <w:ind w:firstLine="420" w:firstLineChars="200"/>
        <w:jc w:val="left"/>
        <w:rPr>
          <w:rFonts w:cs="宋体"/>
          <w:szCs w:val="21"/>
          <w:highlight w:val="none"/>
        </w:rPr>
      </w:pPr>
      <w:r>
        <w:rPr>
          <w:rFonts w:hint="eastAsia" w:cs="宋体"/>
          <w:szCs w:val="21"/>
          <w:highlight w:val="none"/>
        </w:rPr>
        <w:t>（3）中标人将中标项目转让给他人，或者在投标文件中未说明，且未经采购人同意，将中标项目分包给他人的；</w:t>
      </w:r>
    </w:p>
    <w:p w14:paraId="15E2914C">
      <w:pPr>
        <w:ind w:firstLine="420" w:firstLineChars="200"/>
        <w:jc w:val="left"/>
        <w:rPr>
          <w:rFonts w:cs="宋体"/>
          <w:szCs w:val="21"/>
          <w:highlight w:val="none"/>
        </w:rPr>
      </w:pPr>
      <w:r>
        <w:rPr>
          <w:rFonts w:hint="eastAsia" w:cs="宋体"/>
          <w:szCs w:val="21"/>
          <w:highlight w:val="none"/>
        </w:rPr>
        <w:t>（4）中标人拒绝履行合同义务的。</w:t>
      </w:r>
    </w:p>
    <w:p w14:paraId="3DBEE955">
      <w:pPr>
        <w:pStyle w:val="4"/>
        <w:numPr>
          <w:ilvl w:val="1"/>
          <w:numId w:val="0"/>
        </w:numPr>
        <w:ind w:left="596" w:hanging="596"/>
        <w:jc w:val="center"/>
        <w:rPr>
          <w:rFonts w:eastAsia="宋体" w:cs="宋体"/>
          <w:szCs w:val="28"/>
          <w:highlight w:val="none"/>
        </w:rPr>
      </w:pPr>
      <w:bookmarkStart w:id="105" w:name="_Toc31751"/>
      <w:bookmarkStart w:id="106" w:name="_Toc491076991"/>
      <w:bookmarkStart w:id="107" w:name="_Toc172205074"/>
      <w:bookmarkStart w:id="108" w:name="_Toc5591"/>
      <w:bookmarkStart w:id="109" w:name="_Toc5421"/>
      <w:bookmarkStart w:id="110" w:name="_Toc7380"/>
      <w:r>
        <w:rPr>
          <w:rFonts w:hint="eastAsia" w:eastAsia="宋体" w:cs="宋体"/>
          <w:szCs w:val="28"/>
          <w:highlight w:val="none"/>
        </w:rPr>
        <w:t>四、投标文件的提交</w:t>
      </w:r>
      <w:bookmarkEnd w:id="105"/>
      <w:bookmarkEnd w:id="106"/>
      <w:bookmarkEnd w:id="107"/>
      <w:bookmarkEnd w:id="108"/>
      <w:bookmarkEnd w:id="109"/>
      <w:bookmarkEnd w:id="110"/>
    </w:p>
    <w:p w14:paraId="4104A34C">
      <w:pPr>
        <w:ind w:firstLine="420" w:firstLineChars="200"/>
        <w:jc w:val="left"/>
        <w:rPr>
          <w:rFonts w:cs="宋体"/>
          <w:b/>
          <w:szCs w:val="21"/>
          <w:highlight w:val="none"/>
        </w:rPr>
      </w:pPr>
      <w:bookmarkStart w:id="111" w:name="_Toc491076992"/>
      <w:r>
        <w:rPr>
          <w:rFonts w:hint="eastAsia" w:cs="宋体"/>
          <w:b/>
          <w:szCs w:val="21"/>
          <w:highlight w:val="none"/>
        </w:rPr>
        <w:t>22.投标文件递交及有关内容</w:t>
      </w:r>
    </w:p>
    <w:p w14:paraId="4B87A3BE">
      <w:pPr>
        <w:ind w:firstLine="420" w:firstLineChars="200"/>
        <w:jc w:val="left"/>
        <w:rPr>
          <w:rFonts w:cs="宋体"/>
          <w:szCs w:val="21"/>
          <w:highlight w:val="none"/>
        </w:rPr>
      </w:pPr>
      <w:r>
        <w:rPr>
          <w:rFonts w:hint="eastAsia" w:cs="宋体"/>
          <w:szCs w:val="21"/>
          <w:highlight w:val="none"/>
        </w:rPr>
        <w:t>22.1</w:t>
      </w:r>
      <w:r>
        <w:rPr>
          <w:rFonts w:hint="eastAsia" w:cs="宋体"/>
          <w:highlight w:val="none"/>
        </w:rPr>
        <w:t>投标人进行电子交易应安装客户端软件—</w:t>
      </w:r>
      <w:r>
        <w:rPr>
          <w:rFonts w:hint="eastAsia" w:cs="宋体"/>
          <w:b/>
          <w:bCs/>
          <w:highlight w:val="none"/>
        </w:rPr>
        <w:t>“政采云电子交易客户端”</w:t>
      </w:r>
      <w:r>
        <w:rPr>
          <w:rFonts w:hint="eastAsia" w:cs="宋体"/>
          <w:highlight w:val="none"/>
        </w:rPr>
        <w:t>，并按照招标文件和电子交易平台的要求编制并加密投标文件。招标人未按规定加密的投标文件，电子交易平台将拒收并提示。</w:t>
      </w:r>
    </w:p>
    <w:p w14:paraId="51DF8650">
      <w:pPr>
        <w:ind w:firstLine="420" w:firstLineChars="200"/>
        <w:jc w:val="left"/>
        <w:rPr>
          <w:rFonts w:cs="宋体"/>
          <w:szCs w:val="21"/>
          <w:highlight w:val="none"/>
        </w:rPr>
      </w:pPr>
      <w:r>
        <w:rPr>
          <w:rFonts w:hint="eastAsia" w:cs="宋体"/>
          <w:szCs w:val="21"/>
          <w:highlight w:val="none"/>
        </w:rPr>
        <w:t>22.2</w:t>
      </w:r>
      <w:r>
        <w:rPr>
          <w:rFonts w:hint="eastAsia" w:cs="宋体"/>
          <w:highlight w:val="none"/>
        </w:rPr>
        <w:t>使用“政采云电子交易客户端”需要提前申领 CA 数字证书</w:t>
      </w:r>
      <w:r>
        <w:rPr>
          <w:rFonts w:hint="eastAsia" w:cs="宋体"/>
          <w:szCs w:val="21"/>
          <w:highlight w:val="none"/>
        </w:rPr>
        <w:t>。</w:t>
      </w:r>
    </w:p>
    <w:p w14:paraId="2DA3E82B">
      <w:pPr>
        <w:ind w:firstLine="420" w:firstLineChars="200"/>
        <w:jc w:val="left"/>
        <w:rPr>
          <w:rFonts w:cs="宋体"/>
          <w:szCs w:val="21"/>
          <w:highlight w:val="none"/>
        </w:rPr>
      </w:pPr>
      <w:r>
        <w:rPr>
          <w:rFonts w:hint="eastAsia" w:cs="宋体"/>
          <w:szCs w:val="21"/>
          <w:highlight w:val="none"/>
        </w:rPr>
        <w:t>22.3</w:t>
      </w:r>
      <w:r>
        <w:rPr>
          <w:rFonts w:hint="eastAsia" w:cs="宋体"/>
          <w:highlight w:val="none"/>
        </w:rPr>
        <w:t>为确保网上操作合法、有效和安全，投标人应当在投标文件提交截止时间前完成在“政府采购云平台”的身份认证，确保在电子交易过程中能够对相关数据电文进行加密和使用电子签名</w:t>
      </w:r>
      <w:r>
        <w:rPr>
          <w:rFonts w:hint="eastAsia" w:cs="宋体"/>
          <w:szCs w:val="21"/>
          <w:highlight w:val="none"/>
        </w:rPr>
        <w:t>。</w:t>
      </w:r>
    </w:p>
    <w:p w14:paraId="6BBEB90F">
      <w:pPr>
        <w:ind w:firstLine="420" w:firstLineChars="200"/>
        <w:jc w:val="left"/>
        <w:rPr>
          <w:rFonts w:cs="宋体"/>
          <w:szCs w:val="21"/>
          <w:highlight w:val="none"/>
        </w:rPr>
      </w:pPr>
      <w:r>
        <w:rPr>
          <w:rFonts w:hint="eastAsia" w:cs="宋体"/>
          <w:b/>
          <w:szCs w:val="21"/>
          <w:highlight w:val="none"/>
        </w:rPr>
        <w:t>23.投标文件截止时间及有关内容</w:t>
      </w:r>
    </w:p>
    <w:p w14:paraId="428FDC45">
      <w:pPr>
        <w:ind w:firstLine="420" w:firstLineChars="200"/>
        <w:jc w:val="left"/>
        <w:rPr>
          <w:rFonts w:cs="宋体"/>
          <w:szCs w:val="21"/>
          <w:highlight w:val="none"/>
        </w:rPr>
      </w:pPr>
      <w:r>
        <w:rPr>
          <w:rFonts w:hint="eastAsia" w:cs="宋体"/>
          <w:highlight w:val="none"/>
        </w:rPr>
        <w:t>23.1投标文件的递交</w:t>
      </w:r>
      <w:r>
        <w:rPr>
          <w:rFonts w:hint="eastAsia" w:cs="宋体"/>
          <w:szCs w:val="21"/>
          <w:highlight w:val="none"/>
        </w:rPr>
        <w:t>/上传</w:t>
      </w:r>
      <w:r>
        <w:rPr>
          <w:rFonts w:hint="eastAsia" w:cs="宋体"/>
          <w:highlight w:val="none"/>
        </w:rPr>
        <w:t>不得迟于“</w:t>
      </w:r>
      <w:r>
        <w:rPr>
          <w:rFonts w:hint="eastAsia" w:cs="宋体"/>
          <w:b/>
          <w:bCs/>
          <w:highlight w:val="none"/>
        </w:rPr>
        <w:t>投标人须知前附表</w:t>
      </w:r>
      <w:r>
        <w:rPr>
          <w:rFonts w:hint="eastAsia" w:cs="宋体"/>
          <w:highlight w:val="none"/>
        </w:rPr>
        <w:t>”规定的提交投标文件截止时间。</w:t>
      </w:r>
      <w:r>
        <w:rPr>
          <w:rFonts w:hint="eastAsia" w:cs="宋体"/>
          <w:b/>
          <w:bCs/>
          <w:szCs w:val="21"/>
          <w:highlight w:val="none"/>
        </w:rPr>
        <w:t>逾期送达/上传的投标文件，采购人不予接收。</w:t>
      </w:r>
    </w:p>
    <w:p w14:paraId="13E611AC">
      <w:pPr>
        <w:ind w:firstLine="420" w:firstLineChars="200"/>
        <w:rPr>
          <w:rFonts w:cs="宋体"/>
          <w:highlight w:val="none"/>
        </w:rPr>
      </w:pPr>
      <w:r>
        <w:rPr>
          <w:rFonts w:hint="eastAsia" w:cs="宋体"/>
          <w:highlight w:val="none"/>
        </w:rPr>
        <w:t>23.2投标人必须在规定时间内将投标文件递交</w:t>
      </w:r>
      <w:r>
        <w:rPr>
          <w:rFonts w:hint="eastAsia" w:cs="宋体"/>
          <w:szCs w:val="21"/>
          <w:highlight w:val="none"/>
        </w:rPr>
        <w:t>/上传</w:t>
      </w:r>
      <w:r>
        <w:rPr>
          <w:rFonts w:hint="eastAsia" w:cs="宋体"/>
          <w:highlight w:val="none"/>
        </w:rPr>
        <w:t>到“</w:t>
      </w:r>
      <w:r>
        <w:rPr>
          <w:rFonts w:hint="eastAsia" w:cs="宋体"/>
          <w:b/>
          <w:bCs/>
          <w:highlight w:val="none"/>
        </w:rPr>
        <w:t>投标人须知前附表</w:t>
      </w:r>
      <w:r>
        <w:rPr>
          <w:rFonts w:hint="eastAsia" w:cs="宋体"/>
          <w:highlight w:val="none"/>
        </w:rPr>
        <w:t>”规定的地点。</w:t>
      </w:r>
    </w:p>
    <w:p w14:paraId="22D41836">
      <w:pPr>
        <w:ind w:firstLine="420" w:firstLineChars="200"/>
        <w:rPr>
          <w:rFonts w:cs="宋体"/>
          <w:highlight w:val="none"/>
        </w:rPr>
      </w:pPr>
      <w:r>
        <w:rPr>
          <w:rFonts w:hint="eastAsia" w:cs="宋体"/>
          <w:highlight w:val="none"/>
        </w:rPr>
        <w:t>23.3除“</w:t>
      </w:r>
      <w:r>
        <w:rPr>
          <w:rFonts w:hint="eastAsia" w:cs="宋体"/>
          <w:b/>
          <w:highlight w:val="none"/>
        </w:rPr>
        <w:t>投标人须知前附表</w:t>
      </w:r>
      <w:r>
        <w:rPr>
          <w:rFonts w:hint="eastAsia" w:cs="宋体"/>
          <w:highlight w:val="none"/>
        </w:rPr>
        <w:t>”另有规定外，投标人所递交的投标文件不予退还。</w:t>
      </w:r>
    </w:p>
    <w:p w14:paraId="6F6D2EC0">
      <w:pPr>
        <w:ind w:firstLine="420" w:firstLineChars="200"/>
        <w:rPr>
          <w:rFonts w:cs="宋体"/>
          <w:szCs w:val="21"/>
          <w:highlight w:val="none"/>
        </w:rPr>
      </w:pPr>
      <w:r>
        <w:rPr>
          <w:rFonts w:hint="eastAsia" w:cs="宋体"/>
          <w:szCs w:val="21"/>
          <w:highlight w:val="none"/>
        </w:rPr>
        <w:t>23.4在投标截止时间前，投标人可以撤回在网上已递交的投标文件，修改后重新上传，无须书面形式通知采购人。</w:t>
      </w:r>
    </w:p>
    <w:p w14:paraId="2F809A25">
      <w:pPr>
        <w:ind w:firstLine="420" w:firstLineChars="200"/>
        <w:rPr>
          <w:rFonts w:cs="宋体"/>
          <w:szCs w:val="21"/>
          <w:highlight w:val="none"/>
        </w:rPr>
      </w:pPr>
      <w:r>
        <w:rPr>
          <w:rFonts w:hint="eastAsia" w:cs="宋体"/>
          <w:szCs w:val="21"/>
          <w:highlight w:val="none"/>
        </w:rPr>
        <w:t>23.5修改的投标文件应按照本章第20款、第22款的要求进行重新编制、加密和递交。</w:t>
      </w:r>
    </w:p>
    <w:p w14:paraId="190D57E9">
      <w:pPr>
        <w:ind w:firstLine="420" w:firstLineChars="200"/>
        <w:jc w:val="left"/>
        <w:rPr>
          <w:rFonts w:cs="宋体"/>
          <w:szCs w:val="21"/>
          <w:highlight w:val="none"/>
        </w:rPr>
      </w:pPr>
      <w:r>
        <w:rPr>
          <w:rFonts w:hint="eastAsia" w:cs="宋体"/>
          <w:szCs w:val="21"/>
          <w:highlight w:val="none"/>
        </w:rPr>
        <w:t>23.6在投标截止时间后递交的投标文件不予撤回。</w:t>
      </w:r>
    </w:p>
    <w:p w14:paraId="6FF8D239">
      <w:pPr>
        <w:pStyle w:val="4"/>
        <w:numPr>
          <w:ilvl w:val="1"/>
          <w:numId w:val="0"/>
        </w:numPr>
        <w:ind w:left="596" w:hanging="596"/>
        <w:jc w:val="center"/>
        <w:rPr>
          <w:rFonts w:eastAsia="宋体" w:cs="宋体"/>
          <w:szCs w:val="28"/>
          <w:highlight w:val="none"/>
        </w:rPr>
      </w:pPr>
      <w:bookmarkStart w:id="112" w:name="_Toc27640"/>
      <w:bookmarkStart w:id="113" w:name="_Toc3598"/>
      <w:bookmarkStart w:id="114" w:name="_Toc172205075"/>
      <w:bookmarkStart w:id="115" w:name="_Toc5616"/>
      <w:bookmarkStart w:id="116" w:name="_Toc28435"/>
      <w:r>
        <w:rPr>
          <w:rFonts w:hint="eastAsia" w:eastAsia="宋体" w:cs="宋体"/>
          <w:szCs w:val="28"/>
          <w:highlight w:val="none"/>
        </w:rPr>
        <w:t>五、开标与评标</w:t>
      </w:r>
      <w:bookmarkEnd w:id="111"/>
      <w:bookmarkEnd w:id="112"/>
      <w:bookmarkEnd w:id="113"/>
      <w:bookmarkEnd w:id="114"/>
      <w:bookmarkEnd w:id="115"/>
      <w:bookmarkEnd w:id="116"/>
    </w:p>
    <w:p w14:paraId="4F57647F">
      <w:pPr>
        <w:ind w:firstLine="420" w:firstLineChars="200"/>
        <w:jc w:val="left"/>
        <w:rPr>
          <w:rFonts w:cs="宋体"/>
          <w:b/>
          <w:szCs w:val="21"/>
          <w:highlight w:val="none"/>
        </w:rPr>
      </w:pPr>
      <w:r>
        <w:rPr>
          <w:rFonts w:hint="eastAsia" w:cs="宋体"/>
          <w:b/>
          <w:szCs w:val="21"/>
          <w:highlight w:val="none"/>
        </w:rPr>
        <w:t>24.开标</w:t>
      </w:r>
    </w:p>
    <w:p w14:paraId="6B16A0CF">
      <w:pPr>
        <w:ind w:firstLine="420" w:firstLineChars="200"/>
        <w:rPr>
          <w:rFonts w:cs="宋体"/>
          <w:szCs w:val="21"/>
          <w:highlight w:val="none"/>
        </w:rPr>
      </w:pPr>
      <w:r>
        <w:rPr>
          <w:rFonts w:hint="eastAsia" w:cs="宋体"/>
          <w:szCs w:val="21"/>
          <w:highlight w:val="none"/>
        </w:rPr>
        <w:t>24.1采购代理机构将在“</w:t>
      </w:r>
      <w:r>
        <w:rPr>
          <w:rFonts w:hint="eastAsia" w:cs="宋体"/>
          <w:b/>
          <w:bCs/>
          <w:szCs w:val="21"/>
          <w:highlight w:val="none"/>
        </w:rPr>
        <w:t>投标人须知前附表</w:t>
      </w:r>
      <w:r>
        <w:rPr>
          <w:rFonts w:hint="eastAsia" w:cs="宋体"/>
          <w:szCs w:val="21"/>
          <w:highlight w:val="none"/>
        </w:rPr>
        <w:t>”规定的时间和地点进行开标，请各投标人代表准时参加线上开标会。</w:t>
      </w:r>
    </w:p>
    <w:p w14:paraId="53A5404B">
      <w:pPr>
        <w:ind w:firstLine="420" w:firstLineChars="200"/>
        <w:rPr>
          <w:rFonts w:cs="宋体"/>
          <w:szCs w:val="21"/>
          <w:highlight w:val="none"/>
        </w:rPr>
      </w:pPr>
      <w:r>
        <w:rPr>
          <w:rFonts w:hint="eastAsia" w:cs="宋体"/>
          <w:szCs w:val="21"/>
          <w:highlight w:val="none"/>
        </w:rPr>
        <w:t>24.2投标截止后投标人不足3家的，不得开标。</w:t>
      </w:r>
    </w:p>
    <w:p w14:paraId="2597549D">
      <w:pPr>
        <w:ind w:firstLine="420" w:firstLineChars="200"/>
        <w:rPr>
          <w:rFonts w:cs="宋体"/>
          <w:szCs w:val="21"/>
          <w:highlight w:val="none"/>
        </w:rPr>
      </w:pPr>
      <w:r>
        <w:rPr>
          <w:rFonts w:hint="eastAsia" w:cs="宋体"/>
          <w:szCs w:val="21"/>
          <w:highlight w:val="none"/>
        </w:rPr>
        <w:t>24.3开标会：开标会由采购代理机构主持，具体流程如下：</w:t>
      </w:r>
    </w:p>
    <w:p w14:paraId="08750201">
      <w:pPr>
        <w:ind w:firstLine="420" w:firstLineChars="200"/>
        <w:rPr>
          <w:rFonts w:cs="宋体"/>
          <w:szCs w:val="21"/>
          <w:highlight w:val="none"/>
        </w:rPr>
      </w:pPr>
      <w:r>
        <w:rPr>
          <w:rFonts w:hint="eastAsia" w:cs="宋体"/>
          <w:szCs w:val="21"/>
          <w:highlight w:val="none"/>
        </w:rPr>
        <w:t>（1）采购代理机构依托电子交易平台发起开始解密指令，投标人须使用加密时所用的 CA 锁按平台提示和招标文件的规定登录到“政采云”平台电子开标大厅签到，并在发起解密指令之时起30分钟内完成对电子投标文件在线解密。</w:t>
      </w:r>
    </w:p>
    <w:p w14:paraId="07EB62F8">
      <w:pPr>
        <w:ind w:firstLine="420" w:firstLineChars="200"/>
        <w:rPr>
          <w:rFonts w:cs="宋体"/>
          <w:szCs w:val="21"/>
          <w:highlight w:val="none"/>
        </w:rPr>
      </w:pPr>
      <w:r>
        <w:rPr>
          <w:rFonts w:hint="eastAsia" w:cs="宋体"/>
          <w:szCs w:val="21"/>
          <w:highlight w:val="none"/>
        </w:rPr>
        <w:t>（2）发起解密指令之时起5分钟内投标人还未进行解密的，代理机构可通知投标人，投标人未预留联系方式或预留联系方式无效，导致代理机构无法联系到投标人进行解密的，视为撤回投标文件。</w:t>
      </w:r>
    </w:p>
    <w:p w14:paraId="66CC51D7">
      <w:pPr>
        <w:ind w:firstLine="420" w:firstLineChars="200"/>
        <w:rPr>
          <w:rFonts w:cs="宋体"/>
          <w:szCs w:val="21"/>
          <w:highlight w:val="none"/>
        </w:rPr>
      </w:pPr>
      <w:r>
        <w:rPr>
          <w:rFonts w:hint="eastAsia" w:cs="宋体"/>
          <w:szCs w:val="21"/>
          <w:highlight w:val="none"/>
        </w:rPr>
        <w:t>（解密异常情况处理：详见本章 27.2电子交易活动的中止）如投标人成功解密投标文件，但未在“政采云”电子开标大厅参加开标的，视同认可开标过程和结果，由此产生的后果由投标人自行负责。</w:t>
      </w:r>
    </w:p>
    <w:p w14:paraId="399F569E">
      <w:pPr>
        <w:ind w:firstLine="420" w:firstLineChars="200"/>
        <w:rPr>
          <w:rFonts w:cs="宋体"/>
          <w:szCs w:val="21"/>
          <w:highlight w:val="none"/>
        </w:rPr>
      </w:pPr>
      <w:r>
        <w:rPr>
          <w:rFonts w:hint="eastAsia" w:cs="宋体"/>
          <w:szCs w:val="21"/>
          <w:highlight w:val="none"/>
        </w:rPr>
        <w:t>24.4开标工作人员将做开标记录。</w:t>
      </w:r>
    </w:p>
    <w:p w14:paraId="7C20462A">
      <w:pPr>
        <w:pStyle w:val="45"/>
        <w:ind w:firstLine="420" w:firstLineChars="200"/>
        <w:rPr>
          <w:rFonts w:cs="宋体"/>
          <w:szCs w:val="21"/>
          <w:highlight w:val="none"/>
        </w:rPr>
      </w:pPr>
      <w:r>
        <w:rPr>
          <w:rFonts w:hint="eastAsia" w:cs="宋体"/>
          <w:szCs w:val="21"/>
          <w:highlight w:val="none"/>
        </w:rPr>
        <w:t>24.5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427805AE">
      <w:pPr>
        <w:pStyle w:val="45"/>
        <w:ind w:left="2" w:firstLine="420" w:firstLineChars="200"/>
        <w:jc w:val="left"/>
        <w:rPr>
          <w:rFonts w:cs="宋体"/>
          <w:b/>
          <w:szCs w:val="21"/>
          <w:highlight w:val="none"/>
        </w:rPr>
      </w:pPr>
      <w:r>
        <w:rPr>
          <w:rFonts w:hint="eastAsia" w:cs="宋体"/>
          <w:b/>
          <w:szCs w:val="21"/>
          <w:highlight w:val="none"/>
        </w:rPr>
        <w:t>25.资格审查</w:t>
      </w:r>
    </w:p>
    <w:p w14:paraId="5E231704">
      <w:pPr>
        <w:pStyle w:val="45"/>
        <w:ind w:left="2" w:firstLine="420" w:firstLineChars="200"/>
        <w:jc w:val="left"/>
        <w:rPr>
          <w:rFonts w:cs="宋体"/>
          <w:szCs w:val="21"/>
          <w:highlight w:val="none"/>
        </w:rPr>
      </w:pPr>
      <w:r>
        <w:rPr>
          <w:rFonts w:hint="eastAsia" w:cs="宋体"/>
          <w:szCs w:val="21"/>
          <w:highlight w:val="none"/>
        </w:rPr>
        <w:t>25.1开标结束后，采购人或者采购代理机构应当依法对投标人的资格进行审查。合格投标人不足3家的，不得评标。</w:t>
      </w:r>
    </w:p>
    <w:p w14:paraId="54C95D69">
      <w:pPr>
        <w:ind w:firstLine="420" w:firstLineChars="200"/>
        <w:jc w:val="left"/>
        <w:rPr>
          <w:rFonts w:cs="宋体"/>
          <w:b/>
          <w:szCs w:val="21"/>
          <w:highlight w:val="none"/>
        </w:rPr>
      </w:pPr>
      <w:r>
        <w:rPr>
          <w:rFonts w:hint="eastAsia" w:cs="宋体"/>
          <w:b/>
          <w:szCs w:val="21"/>
          <w:highlight w:val="none"/>
        </w:rPr>
        <w:t>26.评标</w:t>
      </w:r>
    </w:p>
    <w:p w14:paraId="7F85C697">
      <w:pPr>
        <w:ind w:firstLine="420" w:firstLineChars="200"/>
        <w:jc w:val="left"/>
        <w:rPr>
          <w:rFonts w:cs="宋体"/>
          <w:szCs w:val="21"/>
          <w:highlight w:val="none"/>
        </w:rPr>
      </w:pPr>
      <w:r>
        <w:rPr>
          <w:rFonts w:hint="eastAsia" w:cs="宋体"/>
          <w:szCs w:val="21"/>
          <w:highlight w:val="none"/>
        </w:rPr>
        <w:t>26.1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79A7EDCB">
      <w:pPr>
        <w:ind w:firstLine="420" w:firstLineChars="200"/>
        <w:jc w:val="left"/>
        <w:rPr>
          <w:rFonts w:cs="宋体"/>
          <w:szCs w:val="21"/>
          <w:highlight w:val="none"/>
        </w:rPr>
      </w:pPr>
      <w:r>
        <w:rPr>
          <w:rFonts w:hint="eastAsia" w:cs="宋体"/>
          <w:szCs w:val="21"/>
          <w:highlight w:val="none"/>
        </w:rPr>
        <w:t>采购人委派代表参加评标委员会的，要向采购代理机构出具授权函。</w:t>
      </w:r>
    </w:p>
    <w:p w14:paraId="535D8EE8">
      <w:pPr>
        <w:pStyle w:val="45"/>
        <w:ind w:firstLine="420" w:firstLineChars="200"/>
        <w:rPr>
          <w:rFonts w:cs="宋体"/>
          <w:bCs/>
          <w:szCs w:val="21"/>
          <w:highlight w:val="none"/>
        </w:rPr>
      </w:pPr>
      <w:bookmarkStart w:id="117" w:name="_Toc191374422"/>
      <w:r>
        <w:rPr>
          <w:rFonts w:hint="eastAsia" w:cs="宋体"/>
          <w:bCs/>
          <w:szCs w:val="21"/>
          <w:highlight w:val="none"/>
        </w:rPr>
        <w:t>26.2评标原则</w:t>
      </w:r>
      <w:bookmarkEnd w:id="117"/>
      <w:r>
        <w:rPr>
          <w:rFonts w:hint="eastAsia" w:cs="宋体"/>
          <w:bCs/>
          <w:szCs w:val="21"/>
          <w:highlight w:val="none"/>
        </w:rPr>
        <w:t>及方法</w:t>
      </w:r>
    </w:p>
    <w:p w14:paraId="5EAB64A5">
      <w:pPr>
        <w:ind w:firstLine="420" w:firstLineChars="200"/>
        <w:jc w:val="left"/>
        <w:rPr>
          <w:rFonts w:cs="宋体"/>
          <w:szCs w:val="21"/>
          <w:highlight w:val="none"/>
        </w:rPr>
      </w:pPr>
      <w:r>
        <w:rPr>
          <w:rFonts w:hint="eastAsia" w:cs="宋体"/>
          <w:szCs w:val="21"/>
          <w:highlight w:val="none"/>
        </w:rPr>
        <w:t>评标活动遵循公平、公正、科学和择优的原则。</w:t>
      </w:r>
    </w:p>
    <w:p w14:paraId="3FD15FAD">
      <w:pPr>
        <w:pStyle w:val="45"/>
        <w:ind w:firstLine="420" w:firstLineChars="200"/>
        <w:rPr>
          <w:rFonts w:cs="宋体"/>
          <w:bCs/>
          <w:szCs w:val="21"/>
          <w:highlight w:val="none"/>
        </w:rPr>
      </w:pPr>
      <w:r>
        <w:rPr>
          <w:rFonts w:hint="eastAsia" w:cs="宋体"/>
          <w:szCs w:val="21"/>
          <w:highlight w:val="none"/>
        </w:rPr>
        <w:t>26.3</w:t>
      </w:r>
      <w:r>
        <w:rPr>
          <w:rFonts w:hint="eastAsia" w:cs="宋体"/>
          <w:bCs/>
          <w:szCs w:val="21"/>
          <w:highlight w:val="none"/>
        </w:rPr>
        <w:t>评标方法</w:t>
      </w:r>
    </w:p>
    <w:p w14:paraId="53B33534">
      <w:pPr>
        <w:ind w:firstLine="420" w:firstLineChars="200"/>
        <w:jc w:val="left"/>
        <w:rPr>
          <w:rFonts w:cs="宋体"/>
          <w:szCs w:val="21"/>
          <w:highlight w:val="none"/>
        </w:rPr>
      </w:pPr>
      <w:r>
        <w:rPr>
          <w:rFonts w:hint="eastAsia" w:cs="宋体"/>
          <w:szCs w:val="21"/>
          <w:highlight w:val="none"/>
        </w:rPr>
        <w:t>本项目按</w:t>
      </w:r>
      <w:r>
        <w:rPr>
          <w:rFonts w:hint="eastAsia" w:cs="宋体"/>
          <w:b/>
          <w:bCs/>
          <w:szCs w:val="21"/>
          <w:highlight w:val="none"/>
        </w:rPr>
        <w:t>“投标人须知前附表”</w:t>
      </w:r>
      <w:r>
        <w:rPr>
          <w:rFonts w:hint="eastAsia" w:cs="宋体"/>
          <w:szCs w:val="21"/>
          <w:highlight w:val="none"/>
        </w:rPr>
        <w:t>规定的评标方法评标。在评标中，不得改变招标文件中规定的评标标准、方法和中标条件。第七章</w:t>
      </w:r>
      <w:r>
        <w:rPr>
          <w:rFonts w:hint="eastAsia" w:cs="宋体"/>
          <w:b/>
          <w:bCs/>
          <w:szCs w:val="21"/>
          <w:highlight w:val="none"/>
        </w:rPr>
        <w:t>“评标方法”</w:t>
      </w:r>
      <w:r>
        <w:rPr>
          <w:rFonts w:hint="eastAsia" w:cs="宋体"/>
          <w:szCs w:val="21"/>
          <w:highlight w:val="none"/>
        </w:rPr>
        <w:t>没有规定的评审因素和标准，不作为评标依据。</w:t>
      </w:r>
    </w:p>
    <w:p w14:paraId="629E8A90">
      <w:pPr>
        <w:ind w:firstLine="420" w:firstLineChars="200"/>
        <w:rPr>
          <w:rFonts w:cs="宋体"/>
          <w:szCs w:val="21"/>
          <w:highlight w:val="none"/>
        </w:rPr>
      </w:pPr>
      <w:r>
        <w:rPr>
          <w:rFonts w:hint="eastAsia" w:cs="宋体"/>
          <w:szCs w:val="21"/>
          <w:highlight w:val="none"/>
        </w:rPr>
        <w:t>26.4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176A9959">
      <w:pPr>
        <w:ind w:firstLine="420" w:firstLineChars="200"/>
        <w:rPr>
          <w:rFonts w:cs="宋体"/>
          <w:kern w:val="0"/>
          <w:szCs w:val="21"/>
          <w:highlight w:val="none"/>
        </w:rPr>
      </w:pPr>
      <w:r>
        <w:rPr>
          <w:rFonts w:hint="eastAsia" w:cs="宋体"/>
          <w:szCs w:val="21"/>
          <w:highlight w:val="none"/>
        </w:rPr>
        <w:t>★26.5</w:t>
      </w:r>
      <w:r>
        <w:rPr>
          <w:rFonts w:hint="eastAsia" w:cs="宋体"/>
          <w:kern w:val="0"/>
          <w:szCs w:val="21"/>
          <w:highlight w:val="none"/>
        </w:rPr>
        <w:t>在评标过程中，评标委员会发现投标人有本须知19条款规定的情形，应当认定其投标无效，并书面报告本级财政部门。</w:t>
      </w:r>
    </w:p>
    <w:p w14:paraId="692CDA97">
      <w:pPr>
        <w:ind w:firstLine="420" w:firstLineChars="200"/>
        <w:rPr>
          <w:rFonts w:cs="宋体"/>
          <w:b/>
          <w:bCs/>
          <w:kern w:val="0"/>
          <w:szCs w:val="21"/>
          <w:highlight w:val="none"/>
        </w:rPr>
      </w:pPr>
      <w:r>
        <w:rPr>
          <w:rFonts w:hint="eastAsia" w:cs="宋体"/>
          <w:b/>
          <w:bCs/>
          <w:szCs w:val="21"/>
          <w:highlight w:val="none"/>
        </w:rPr>
        <w:t>★26.6有</w:t>
      </w:r>
      <w:r>
        <w:rPr>
          <w:rFonts w:hint="eastAsia" w:cs="宋体"/>
          <w:b/>
          <w:bCs/>
          <w:kern w:val="0"/>
          <w:szCs w:val="21"/>
          <w:highlight w:val="none"/>
        </w:rPr>
        <w:t>下列情形之一的，视为投标人串通投标，其投标无效：</w:t>
      </w:r>
    </w:p>
    <w:p w14:paraId="433AF17D">
      <w:pPr>
        <w:pStyle w:val="45"/>
        <w:ind w:firstLine="630" w:firstLineChars="300"/>
        <w:rPr>
          <w:rFonts w:cs="宋体"/>
          <w:szCs w:val="21"/>
          <w:highlight w:val="none"/>
        </w:rPr>
      </w:pPr>
      <w:r>
        <w:rPr>
          <w:rFonts w:hint="eastAsia" w:cs="宋体"/>
          <w:szCs w:val="21"/>
          <w:highlight w:val="none"/>
        </w:rPr>
        <w:t>（一）不同投标人的投标文件由同一单位或者个人编制；</w:t>
      </w:r>
    </w:p>
    <w:p w14:paraId="3B5FE078">
      <w:pPr>
        <w:pStyle w:val="45"/>
        <w:ind w:firstLine="630" w:firstLineChars="300"/>
        <w:rPr>
          <w:rFonts w:cs="宋体"/>
          <w:szCs w:val="21"/>
          <w:highlight w:val="none"/>
        </w:rPr>
      </w:pPr>
      <w:r>
        <w:rPr>
          <w:rFonts w:hint="eastAsia" w:cs="宋体"/>
          <w:szCs w:val="21"/>
          <w:highlight w:val="none"/>
        </w:rPr>
        <w:t>（二）不同投标人委托同一单位或者个人办理投标事宜；</w:t>
      </w:r>
    </w:p>
    <w:p w14:paraId="6C6D470F">
      <w:pPr>
        <w:pStyle w:val="45"/>
        <w:ind w:firstLine="630" w:firstLineChars="300"/>
        <w:rPr>
          <w:rFonts w:cs="宋体"/>
          <w:szCs w:val="21"/>
          <w:highlight w:val="none"/>
        </w:rPr>
      </w:pPr>
      <w:r>
        <w:rPr>
          <w:rFonts w:hint="eastAsia" w:cs="宋体"/>
          <w:szCs w:val="21"/>
          <w:highlight w:val="none"/>
        </w:rPr>
        <w:t>（三）不同投标人的投标文件载明的项目管理成员或者联系人员为同一人；</w:t>
      </w:r>
    </w:p>
    <w:p w14:paraId="60224150">
      <w:pPr>
        <w:pStyle w:val="45"/>
        <w:ind w:firstLine="630" w:firstLineChars="300"/>
        <w:rPr>
          <w:rFonts w:cs="宋体"/>
          <w:szCs w:val="21"/>
          <w:highlight w:val="none"/>
        </w:rPr>
      </w:pPr>
      <w:r>
        <w:rPr>
          <w:rFonts w:hint="eastAsia" w:cs="宋体"/>
          <w:szCs w:val="21"/>
          <w:highlight w:val="none"/>
        </w:rPr>
        <w:t>（四）不同投标人的投标文件异常一致或者投标报价呈规律性差异；</w:t>
      </w:r>
    </w:p>
    <w:p w14:paraId="6068A8BB">
      <w:pPr>
        <w:pStyle w:val="45"/>
        <w:ind w:firstLine="630" w:firstLineChars="300"/>
        <w:rPr>
          <w:rFonts w:cs="宋体"/>
          <w:szCs w:val="21"/>
          <w:highlight w:val="none"/>
        </w:rPr>
      </w:pPr>
      <w:r>
        <w:rPr>
          <w:rFonts w:hint="eastAsia" w:cs="宋体"/>
          <w:szCs w:val="21"/>
          <w:highlight w:val="none"/>
        </w:rPr>
        <w:t>（五）不同投标人的投标文件相互混装；</w:t>
      </w:r>
    </w:p>
    <w:p w14:paraId="15693C9C">
      <w:pPr>
        <w:pStyle w:val="45"/>
        <w:ind w:firstLine="630" w:firstLineChars="300"/>
        <w:rPr>
          <w:rFonts w:cs="宋体"/>
          <w:szCs w:val="21"/>
          <w:highlight w:val="none"/>
        </w:rPr>
      </w:pPr>
      <w:r>
        <w:rPr>
          <w:rFonts w:hint="eastAsia" w:cs="宋体"/>
          <w:szCs w:val="21"/>
          <w:highlight w:val="none"/>
        </w:rPr>
        <w:t>（六）不同投标人的投标保证金从同一单位或者个人的账户转出。</w:t>
      </w:r>
    </w:p>
    <w:p w14:paraId="1F20E03C">
      <w:pPr>
        <w:pStyle w:val="45"/>
        <w:ind w:firstLine="420" w:firstLineChars="200"/>
        <w:rPr>
          <w:rFonts w:cs="宋体"/>
          <w:b/>
          <w:bCs/>
          <w:szCs w:val="21"/>
          <w:highlight w:val="none"/>
        </w:rPr>
      </w:pPr>
      <w:r>
        <w:rPr>
          <w:rFonts w:hint="eastAsia" w:cs="宋体"/>
          <w:b/>
          <w:bCs/>
          <w:szCs w:val="21"/>
          <w:highlight w:val="none"/>
        </w:rPr>
        <w:t>27.采购活动的终止</w:t>
      </w:r>
    </w:p>
    <w:p w14:paraId="2C583EC1">
      <w:pPr>
        <w:pStyle w:val="45"/>
        <w:ind w:firstLine="420" w:firstLineChars="200"/>
        <w:rPr>
          <w:rFonts w:cs="宋体"/>
          <w:b/>
          <w:bCs/>
          <w:szCs w:val="21"/>
          <w:highlight w:val="none"/>
        </w:rPr>
      </w:pPr>
      <w:r>
        <w:rPr>
          <w:rFonts w:hint="eastAsia" w:cs="宋体"/>
          <w:b/>
          <w:bCs/>
          <w:szCs w:val="21"/>
          <w:highlight w:val="none"/>
        </w:rPr>
        <w:t>27.1在招标采购中，出现下列情形之一的，应予废标：</w:t>
      </w:r>
    </w:p>
    <w:p w14:paraId="5F507D04">
      <w:pPr>
        <w:pStyle w:val="45"/>
        <w:ind w:firstLine="630" w:firstLineChars="300"/>
        <w:rPr>
          <w:rFonts w:cs="宋体"/>
          <w:szCs w:val="21"/>
          <w:highlight w:val="none"/>
        </w:rPr>
      </w:pPr>
      <w:r>
        <w:rPr>
          <w:rFonts w:hint="eastAsia" w:cs="宋体"/>
          <w:szCs w:val="21"/>
          <w:highlight w:val="none"/>
        </w:rPr>
        <w:t>（1）符合专业条件的投标人或者对招标文件作实质响应的投标人不足3家的；</w:t>
      </w:r>
    </w:p>
    <w:p w14:paraId="29922149">
      <w:pPr>
        <w:pStyle w:val="45"/>
        <w:ind w:firstLine="630" w:firstLineChars="300"/>
        <w:rPr>
          <w:rFonts w:cs="宋体"/>
          <w:szCs w:val="21"/>
          <w:highlight w:val="none"/>
        </w:rPr>
      </w:pPr>
      <w:r>
        <w:rPr>
          <w:rFonts w:hint="eastAsia" w:cs="宋体"/>
          <w:szCs w:val="21"/>
          <w:highlight w:val="none"/>
        </w:rPr>
        <w:t>（2）出现影响采购公正的违法、违规行为的；</w:t>
      </w:r>
    </w:p>
    <w:p w14:paraId="745A29FE">
      <w:pPr>
        <w:pStyle w:val="45"/>
        <w:ind w:firstLine="630" w:firstLineChars="300"/>
        <w:rPr>
          <w:rFonts w:cs="宋体"/>
          <w:szCs w:val="21"/>
          <w:highlight w:val="none"/>
        </w:rPr>
      </w:pPr>
      <w:r>
        <w:rPr>
          <w:rFonts w:hint="eastAsia" w:cs="宋体"/>
          <w:szCs w:val="21"/>
          <w:highlight w:val="none"/>
        </w:rPr>
        <w:t>（3）投标人的报价均超过了采购预算，采购人不能支付的；</w:t>
      </w:r>
    </w:p>
    <w:p w14:paraId="0E2B9FBB">
      <w:pPr>
        <w:pStyle w:val="45"/>
        <w:ind w:firstLine="630" w:firstLineChars="300"/>
        <w:rPr>
          <w:rFonts w:cs="宋体"/>
          <w:szCs w:val="21"/>
          <w:highlight w:val="none"/>
        </w:rPr>
      </w:pPr>
      <w:r>
        <w:rPr>
          <w:rFonts w:hint="eastAsia" w:cs="宋体"/>
          <w:szCs w:val="21"/>
          <w:highlight w:val="none"/>
        </w:rPr>
        <w:t>（4）因重大变故，采购任务取消的。</w:t>
      </w:r>
    </w:p>
    <w:p w14:paraId="0AA6BACD">
      <w:pPr>
        <w:pStyle w:val="45"/>
        <w:ind w:firstLine="630" w:firstLineChars="300"/>
        <w:rPr>
          <w:rFonts w:cs="宋体"/>
          <w:b/>
          <w:bCs/>
          <w:szCs w:val="21"/>
          <w:highlight w:val="none"/>
        </w:rPr>
      </w:pPr>
      <w:r>
        <w:rPr>
          <w:rFonts w:hint="eastAsia" w:cs="宋体"/>
          <w:b/>
          <w:bCs/>
          <w:szCs w:val="21"/>
          <w:highlight w:val="none"/>
        </w:rPr>
        <w:t>废标后，应当将废标理由通知所有投标人。</w:t>
      </w:r>
    </w:p>
    <w:p w14:paraId="3080529C">
      <w:pPr>
        <w:ind w:firstLine="420" w:firstLineChars="200"/>
        <w:rPr>
          <w:rFonts w:cs="宋体"/>
          <w:b/>
          <w:szCs w:val="21"/>
          <w:highlight w:val="none"/>
        </w:rPr>
      </w:pPr>
      <w:r>
        <w:rPr>
          <w:rFonts w:hint="eastAsia" w:cs="宋体"/>
          <w:b/>
          <w:szCs w:val="21"/>
          <w:highlight w:val="none"/>
        </w:rPr>
        <w:t>27.2电子交易活动的中止</w:t>
      </w:r>
    </w:p>
    <w:p w14:paraId="7663D462">
      <w:pPr>
        <w:ind w:firstLine="420" w:firstLineChars="200"/>
        <w:rPr>
          <w:rFonts w:cs="宋体"/>
          <w:bCs/>
          <w:szCs w:val="21"/>
          <w:highlight w:val="none"/>
        </w:rPr>
      </w:pPr>
      <w:r>
        <w:rPr>
          <w:rFonts w:hint="eastAsia" w:cs="宋体"/>
          <w:bCs/>
          <w:szCs w:val="21"/>
          <w:highlight w:val="none"/>
        </w:rPr>
        <w:t>采购过程中出现以下情形，导致电子交易平台无法正常运行，或者无法保证电子交易的公平、公正和安全时，采购代理机构可中止电子交易活动：</w:t>
      </w:r>
    </w:p>
    <w:p w14:paraId="69B8831F">
      <w:pPr>
        <w:ind w:firstLine="420" w:firstLineChars="200"/>
        <w:rPr>
          <w:rFonts w:cs="宋体"/>
          <w:bCs/>
          <w:szCs w:val="21"/>
          <w:highlight w:val="none"/>
        </w:rPr>
      </w:pPr>
      <w:r>
        <w:rPr>
          <w:rFonts w:hint="eastAsia" w:cs="宋体"/>
          <w:bCs/>
          <w:szCs w:val="21"/>
          <w:highlight w:val="none"/>
        </w:rPr>
        <w:t>（1）电子交易平台发生故障而无法登录访问的；</w:t>
      </w:r>
    </w:p>
    <w:p w14:paraId="1C974820">
      <w:pPr>
        <w:ind w:firstLine="420" w:firstLineChars="200"/>
        <w:rPr>
          <w:rFonts w:cs="宋体"/>
          <w:bCs/>
          <w:szCs w:val="21"/>
          <w:highlight w:val="none"/>
        </w:rPr>
      </w:pPr>
      <w:r>
        <w:rPr>
          <w:rFonts w:hint="eastAsia" w:cs="宋体"/>
          <w:bCs/>
          <w:szCs w:val="21"/>
          <w:highlight w:val="none"/>
        </w:rPr>
        <w:t>（2）电子交易平台应用或数据库出现错误，不能进行正常操作的；</w:t>
      </w:r>
    </w:p>
    <w:p w14:paraId="3F0DFA65">
      <w:pPr>
        <w:ind w:firstLine="420" w:firstLineChars="200"/>
        <w:rPr>
          <w:rFonts w:cs="宋体"/>
          <w:bCs/>
          <w:szCs w:val="21"/>
          <w:highlight w:val="none"/>
        </w:rPr>
      </w:pPr>
      <w:r>
        <w:rPr>
          <w:rFonts w:hint="eastAsia" w:cs="宋体"/>
          <w:bCs/>
          <w:szCs w:val="21"/>
          <w:highlight w:val="none"/>
        </w:rPr>
        <w:t>（3）电子交易平台发现严重安全漏洞，有潜在泄密危险的；</w:t>
      </w:r>
    </w:p>
    <w:p w14:paraId="4EF6CA14">
      <w:pPr>
        <w:ind w:firstLine="420" w:firstLineChars="200"/>
        <w:rPr>
          <w:rFonts w:cs="宋体"/>
          <w:bCs/>
          <w:szCs w:val="21"/>
          <w:highlight w:val="none"/>
        </w:rPr>
      </w:pPr>
      <w:r>
        <w:rPr>
          <w:rFonts w:hint="eastAsia" w:cs="宋体"/>
          <w:bCs/>
          <w:szCs w:val="21"/>
          <w:highlight w:val="none"/>
        </w:rPr>
        <w:t>（4）病毒发作导致不能进行正常操作的；</w:t>
      </w:r>
    </w:p>
    <w:p w14:paraId="6A284179">
      <w:pPr>
        <w:ind w:firstLine="420" w:firstLineChars="200"/>
        <w:rPr>
          <w:rFonts w:cs="宋体"/>
          <w:bCs/>
          <w:szCs w:val="21"/>
          <w:highlight w:val="none"/>
        </w:rPr>
      </w:pPr>
      <w:r>
        <w:rPr>
          <w:rFonts w:hint="eastAsia" w:cs="宋体"/>
          <w:bCs/>
          <w:szCs w:val="21"/>
          <w:highlight w:val="none"/>
        </w:rPr>
        <w:t>（5）其他无法保证电子交易的公平、公正和安全的情况。</w:t>
      </w:r>
    </w:p>
    <w:p w14:paraId="4C5E47D7">
      <w:pPr>
        <w:pStyle w:val="45"/>
        <w:ind w:firstLine="630" w:firstLineChars="300"/>
        <w:rPr>
          <w:rFonts w:cs="宋体"/>
          <w:szCs w:val="21"/>
          <w:highlight w:val="none"/>
        </w:rPr>
      </w:pPr>
      <w:r>
        <w:rPr>
          <w:rFonts w:hint="eastAsia" w:cs="宋体"/>
          <w:b/>
          <w:szCs w:val="21"/>
          <w:highlight w:val="none"/>
        </w:rPr>
        <w:t>27.3出现27.2中情形，不影响采购公平、公正性的，采购代理机构可以待上述情形消除后继续组织电子交易活动；影响或可能影响采购公平、公正性的，经采购人确认后，应当重新采购。采购代理机构必须对原有的资料及信息作出妥善保密处理，并报财政部门备案。</w:t>
      </w:r>
    </w:p>
    <w:p w14:paraId="708AE0EB">
      <w:pPr>
        <w:pStyle w:val="4"/>
        <w:numPr>
          <w:ilvl w:val="1"/>
          <w:numId w:val="0"/>
        </w:numPr>
        <w:ind w:left="596" w:hanging="596"/>
        <w:jc w:val="center"/>
        <w:rPr>
          <w:rFonts w:eastAsia="宋体" w:cs="宋体"/>
          <w:szCs w:val="28"/>
          <w:highlight w:val="none"/>
        </w:rPr>
      </w:pPr>
      <w:bookmarkStart w:id="118" w:name="_Toc22214"/>
      <w:bookmarkStart w:id="119" w:name="_Toc18608"/>
      <w:bookmarkStart w:id="120" w:name="_Toc491076993"/>
      <w:bookmarkStart w:id="121" w:name="_Toc172205076"/>
      <w:bookmarkStart w:id="122" w:name="_Toc25921"/>
      <w:bookmarkStart w:id="123" w:name="_Toc24605"/>
      <w:r>
        <w:rPr>
          <w:rFonts w:hint="eastAsia" w:eastAsia="宋体" w:cs="宋体"/>
          <w:szCs w:val="28"/>
          <w:highlight w:val="none"/>
        </w:rPr>
        <w:t>六、中标结果</w:t>
      </w:r>
      <w:bookmarkEnd w:id="118"/>
      <w:bookmarkEnd w:id="119"/>
      <w:bookmarkEnd w:id="120"/>
      <w:bookmarkEnd w:id="121"/>
      <w:bookmarkEnd w:id="122"/>
      <w:bookmarkEnd w:id="123"/>
    </w:p>
    <w:p w14:paraId="70A86A71">
      <w:pPr>
        <w:ind w:firstLine="420" w:firstLineChars="200"/>
        <w:jc w:val="left"/>
        <w:rPr>
          <w:rFonts w:cs="宋体"/>
          <w:b/>
          <w:bCs/>
          <w:szCs w:val="21"/>
          <w:highlight w:val="none"/>
        </w:rPr>
      </w:pPr>
      <w:bookmarkStart w:id="124" w:name="_Toc491076994"/>
      <w:r>
        <w:rPr>
          <w:rFonts w:hint="eastAsia" w:cs="宋体"/>
          <w:b/>
          <w:bCs/>
          <w:szCs w:val="21"/>
          <w:highlight w:val="none"/>
        </w:rPr>
        <w:t>28.中标人的确定</w:t>
      </w:r>
    </w:p>
    <w:p w14:paraId="3E7BFC2E">
      <w:pPr>
        <w:ind w:firstLine="420" w:firstLineChars="200"/>
        <w:jc w:val="left"/>
        <w:rPr>
          <w:rFonts w:cs="宋体"/>
          <w:szCs w:val="21"/>
          <w:highlight w:val="none"/>
        </w:rPr>
      </w:pPr>
      <w:r>
        <w:rPr>
          <w:rFonts w:hint="eastAsia" w:cs="宋体"/>
          <w:szCs w:val="21"/>
          <w:highlight w:val="none"/>
        </w:rPr>
        <w:t>28.1采购代理机构应当在评标结束之日起2个工作日内将评标报告送采购人确认。</w:t>
      </w:r>
    </w:p>
    <w:p w14:paraId="3EC064EB">
      <w:pPr>
        <w:ind w:firstLine="420" w:firstLineChars="200"/>
        <w:jc w:val="left"/>
        <w:rPr>
          <w:rFonts w:cs="宋体"/>
          <w:szCs w:val="21"/>
          <w:highlight w:val="none"/>
        </w:rPr>
      </w:pPr>
      <w:r>
        <w:rPr>
          <w:rFonts w:hint="eastAsia" w:cs="宋体"/>
          <w:szCs w:val="21"/>
          <w:highlight w:val="none"/>
        </w:rPr>
        <w:t>28.2采购人应当在收到评标报告之日起5个工作日内，在评标报告中推荐的中标候选人中按顺序确定中标人。</w:t>
      </w:r>
    </w:p>
    <w:p w14:paraId="6E5172AB">
      <w:pPr>
        <w:ind w:firstLine="420" w:firstLineChars="200"/>
        <w:jc w:val="left"/>
        <w:rPr>
          <w:rFonts w:cs="宋体"/>
          <w:b/>
          <w:bCs/>
          <w:szCs w:val="21"/>
          <w:highlight w:val="none"/>
        </w:rPr>
      </w:pPr>
      <w:r>
        <w:rPr>
          <w:rFonts w:hint="eastAsia" w:cs="宋体"/>
          <w:b/>
          <w:bCs/>
          <w:szCs w:val="21"/>
          <w:highlight w:val="none"/>
        </w:rPr>
        <w:t>29.中标通知书</w:t>
      </w:r>
    </w:p>
    <w:p w14:paraId="028413D0">
      <w:pPr>
        <w:ind w:firstLine="420" w:firstLineChars="200"/>
        <w:jc w:val="left"/>
        <w:rPr>
          <w:rFonts w:cs="宋体"/>
          <w:szCs w:val="21"/>
          <w:highlight w:val="none"/>
        </w:rPr>
      </w:pPr>
      <w:r>
        <w:rPr>
          <w:rFonts w:hint="eastAsia" w:cs="宋体"/>
          <w:szCs w:val="21"/>
          <w:highlight w:val="none"/>
        </w:rPr>
        <w:t>29.1中标人确定之日起2个工作日内，采购代理机构在财政部门指定的媒体上公告中标结果，中标公告期限为1个工作日，同时向中标人发出中标通知书。</w:t>
      </w:r>
    </w:p>
    <w:p w14:paraId="647203A6">
      <w:pPr>
        <w:ind w:firstLine="420" w:firstLineChars="200"/>
        <w:jc w:val="left"/>
        <w:rPr>
          <w:rFonts w:cs="宋体"/>
          <w:szCs w:val="21"/>
          <w:highlight w:val="none"/>
        </w:rPr>
      </w:pPr>
      <w:r>
        <w:rPr>
          <w:rFonts w:hint="eastAsia" w:cs="宋体"/>
          <w:szCs w:val="21"/>
          <w:highlight w:val="none"/>
        </w:rPr>
        <w:t>29.2中标通知书是合同的一个组成部分。</w:t>
      </w:r>
    </w:p>
    <w:p w14:paraId="7CE21C2F">
      <w:pPr>
        <w:ind w:firstLine="420" w:firstLineChars="200"/>
        <w:jc w:val="left"/>
        <w:rPr>
          <w:rFonts w:cs="宋体"/>
          <w:b/>
          <w:bCs/>
          <w:szCs w:val="21"/>
          <w:highlight w:val="none"/>
        </w:rPr>
      </w:pPr>
      <w:r>
        <w:rPr>
          <w:rFonts w:hint="eastAsia" w:cs="宋体"/>
          <w:b/>
          <w:bCs/>
          <w:szCs w:val="21"/>
          <w:highlight w:val="none"/>
        </w:rPr>
        <w:t>30.签订合同</w:t>
      </w:r>
    </w:p>
    <w:p w14:paraId="2F41BF05">
      <w:pPr>
        <w:ind w:firstLine="420" w:firstLineChars="200"/>
        <w:jc w:val="left"/>
        <w:rPr>
          <w:rFonts w:cs="宋体"/>
          <w:szCs w:val="21"/>
          <w:highlight w:val="none"/>
        </w:rPr>
      </w:pPr>
      <w:r>
        <w:rPr>
          <w:rFonts w:hint="eastAsia" w:cs="宋体"/>
          <w:szCs w:val="21"/>
          <w:highlight w:val="none"/>
        </w:rPr>
        <w:t>30.1采购人与中标人应当在中标通知书发出之日起30日内，按照招标文件和中标人投标文件的规定签订政府采购合同。</w:t>
      </w:r>
    </w:p>
    <w:p w14:paraId="7E822987">
      <w:pPr>
        <w:ind w:firstLine="420" w:firstLineChars="200"/>
        <w:jc w:val="left"/>
        <w:rPr>
          <w:rFonts w:cs="宋体"/>
          <w:szCs w:val="21"/>
          <w:highlight w:val="none"/>
        </w:rPr>
      </w:pPr>
      <w:r>
        <w:rPr>
          <w:rFonts w:hint="eastAsia" w:cs="宋体"/>
          <w:szCs w:val="21"/>
          <w:highlight w:val="none"/>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35F1F3BF">
      <w:pPr>
        <w:ind w:firstLine="420" w:firstLineChars="200"/>
        <w:jc w:val="left"/>
        <w:rPr>
          <w:rFonts w:cs="宋体"/>
          <w:szCs w:val="21"/>
          <w:highlight w:val="none"/>
        </w:rPr>
      </w:pPr>
      <w:r>
        <w:rPr>
          <w:rFonts w:hint="eastAsia" w:cs="宋体"/>
          <w:szCs w:val="21"/>
          <w:highlight w:val="none"/>
        </w:rPr>
        <w:t>30.3政府采购合同履行中，采购人需追加与合同标的相同的货物的，在不改变合同其他条款的前提下，可以与中标人协商签订补充合同，但所有补充合同的采购金额不得超过原合同采购金额的百分之十。</w:t>
      </w:r>
    </w:p>
    <w:p w14:paraId="3CC42C49">
      <w:pPr>
        <w:ind w:firstLine="420" w:firstLineChars="200"/>
        <w:jc w:val="left"/>
        <w:rPr>
          <w:rFonts w:cs="宋体"/>
          <w:b/>
          <w:bCs/>
          <w:szCs w:val="21"/>
          <w:highlight w:val="none"/>
        </w:rPr>
      </w:pPr>
      <w:r>
        <w:rPr>
          <w:rFonts w:hint="eastAsia" w:cs="宋体"/>
          <w:b/>
          <w:bCs/>
          <w:szCs w:val="21"/>
          <w:highlight w:val="none"/>
        </w:rPr>
        <w:t>31.履约担保</w:t>
      </w:r>
    </w:p>
    <w:p w14:paraId="2ECD1F7C">
      <w:pPr>
        <w:ind w:firstLine="420" w:firstLineChars="200"/>
        <w:jc w:val="left"/>
        <w:rPr>
          <w:rFonts w:cs="宋体"/>
          <w:szCs w:val="21"/>
          <w:highlight w:val="none"/>
        </w:rPr>
      </w:pPr>
      <w:r>
        <w:rPr>
          <w:rFonts w:hint="eastAsia" w:cs="宋体"/>
          <w:szCs w:val="21"/>
          <w:highlight w:val="none"/>
        </w:rPr>
        <w:t>31.1签订合同前，中标人应按</w:t>
      </w:r>
      <w:r>
        <w:rPr>
          <w:rFonts w:hint="eastAsia" w:cs="宋体"/>
          <w:b/>
          <w:bCs/>
          <w:szCs w:val="21"/>
          <w:highlight w:val="none"/>
        </w:rPr>
        <w:t>“投标人须知前附表”</w:t>
      </w:r>
      <w:r>
        <w:rPr>
          <w:rFonts w:hint="eastAsia" w:cs="宋体"/>
          <w:szCs w:val="21"/>
          <w:highlight w:val="none"/>
        </w:rPr>
        <w:t>上确定的履约担保的金额，向采购人提交履约担保，联合体中标的，其履约担保由牵头人递交。否则，视为放弃中标项目，投标保证金将不予退还。</w:t>
      </w:r>
    </w:p>
    <w:p w14:paraId="3840A93C">
      <w:pPr>
        <w:ind w:firstLine="420" w:firstLineChars="200"/>
        <w:jc w:val="left"/>
        <w:rPr>
          <w:rFonts w:cs="宋体"/>
          <w:szCs w:val="28"/>
          <w:highlight w:val="none"/>
        </w:rPr>
      </w:pPr>
      <w:r>
        <w:rPr>
          <w:rFonts w:hint="eastAsia" w:cs="宋体"/>
          <w:szCs w:val="21"/>
          <w:highlight w:val="none"/>
        </w:rPr>
        <w:t>31.2签订合同后，如中标人不按双方签订合同约定履约，则没收其全部履约保证金，履约保证金不足以赔偿损失的，按实际损失赔偿。</w:t>
      </w:r>
    </w:p>
    <w:p w14:paraId="5A10BAFD">
      <w:pPr>
        <w:pStyle w:val="4"/>
        <w:numPr>
          <w:ilvl w:val="1"/>
          <w:numId w:val="0"/>
        </w:numPr>
        <w:ind w:left="596" w:hanging="596"/>
        <w:jc w:val="center"/>
        <w:rPr>
          <w:rFonts w:eastAsia="宋体" w:cs="宋体"/>
          <w:szCs w:val="28"/>
          <w:highlight w:val="none"/>
        </w:rPr>
      </w:pPr>
      <w:bookmarkStart w:id="125" w:name="_Toc14360"/>
      <w:bookmarkStart w:id="126" w:name="_Toc29765"/>
      <w:bookmarkStart w:id="127" w:name="_Toc17375"/>
      <w:bookmarkStart w:id="128" w:name="_Toc172205077"/>
      <w:bookmarkStart w:id="129" w:name="_Toc20198"/>
      <w:r>
        <w:rPr>
          <w:rFonts w:hint="eastAsia" w:eastAsia="宋体" w:cs="宋体"/>
          <w:szCs w:val="28"/>
          <w:highlight w:val="none"/>
        </w:rPr>
        <w:t>七、其他事项</w:t>
      </w:r>
      <w:bookmarkEnd w:id="124"/>
      <w:bookmarkEnd w:id="125"/>
      <w:bookmarkEnd w:id="126"/>
      <w:bookmarkEnd w:id="127"/>
      <w:bookmarkEnd w:id="128"/>
      <w:bookmarkEnd w:id="129"/>
    </w:p>
    <w:p w14:paraId="2B71087C">
      <w:pPr>
        <w:ind w:firstLine="420" w:firstLineChars="200"/>
        <w:jc w:val="left"/>
        <w:rPr>
          <w:rFonts w:cs="宋体"/>
          <w:b/>
          <w:bCs/>
          <w:szCs w:val="21"/>
          <w:highlight w:val="none"/>
        </w:rPr>
      </w:pPr>
      <w:r>
        <w:rPr>
          <w:rFonts w:hint="eastAsia" w:cs="宋体"/>
          <w:b/>
          <w:bCs/>
          <w:szCs w:val="21"/>
          <w:highlight w:val="none"/>
        </w:rPr>
        <w:t>32.采购代理服务费</w:t>
      </w:r>
    </w:p>
    <w:p w14:paraId="2A7B30CA">
      <w:pPr>
        <w:ind w:firstLine="420" w:firstLineChars="200"/>
        <w:jc w:val="left"/>
        <w:rPr>
          <w:rFonts w:cs="宋体"/>
          <w:szCs w:val="21"/>
          <w:highlight w:val="none"/>
        </w:rPr>
      </w:pPr>
      <w:r>
        <w:rPr>
          <w:rFonts w:hint="eastAsia" w:cs="宋体"/>
          <w:szCs w:val="21"/>
          <w:highlight w:val="none"/>
        </w:rPr>
        <w:t>32.1采购代理机构按以下服务招标收费标准向中标人收取采购代理服务费：</w:t>
      </w:r>
    </w:p>
    <w:tbl>
      <w:tblPr>
        <w:tblStyle w:val="88"/>
        <w:tblW w:w="0" w:type="auto"/>
        <w:tblInd w:w="5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05"/>
        <w:gridCol w:w="2100"/>
        <w:gridCol w:w="2100"/>
        <w:gridCol w:w="2415"/>
      </w:tblGrid>
      <w:tr w14:paraId="511417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4" w:hRule="atLeast"/>
        </w:trPr>
        <w:tc>
          <w:tcPr>
            <w:tcW w:w="2205" w:type="dxa"/>
            <w:vMerge w:val="restart"/>
            <w:vAlign w:val="center"/>
          </w:tcPr>
          <w:p w14:paraId="6EB4DF33">
            <w:pPr>
              <w:spacing w:line="360" w:lineRule="exact"/>
              <w:jc w:val="center"/>
              <w:rPr>
                <w:rFonts w:cs="宋体"/>
                <w:kern w:val="0"/>
                <w:szCs w:val="21"/>
                <w:highlight w:val="none"/>
              </w:rPr>
            </w:pPr>
            <w:r>
              <w:rPr>
                <w:rFonts w:hint="eastAsia" w:cs="宋体"/>
                <w:kern w:val="0"/>
                <w:szCs w:val="21"/>
                <w:highlight w:val="none"/>
              </w:rPr>
              <w:t>中标金额</w:t>
            </w:r>
          </w:p>
          <w:p w14:paraId="76BEDC21">
            <w:pPr>
              <w:spacing w:line="360" w:lineRule="exact"/>
              <w:jc w:val="center"/>
              <w:rPr>
                <w:rFonts w:cs="宋体"/>
                <w:kern w:val="0"/>
                <w:szCs w:val="21"/>
                <w:highlight w:val="none"/>
              </w:rPr>
            </w:pPr>
            <w:r>
              <w:rPr>
                <w:rFonts w:hint="eastAsia" w:cs="宋体"/>
                <w:kern w:val="0"/>
                <w:szCs w:val="21"/>
                <w:highlight w:val="none"/>
              </w:rPr>
              <w:t>（万元）</w:t>
            </w:r>
          </w:p>
        </w:tc>
        <w:tc>
          <w:tcPr>
            <w:tcW w:w="6615" w:type="dxa"/>
            <w:gridSpan w:val="3"/>
            <w:vAlign w:val="center"/>
          </w:tcPr>
          <w:p w14:paraId="4F967343">
            <w:pPr>
              <w:spacing w:line="360" w:lineRule="exact"/>
              <w:jc w:val="center"/>
              <w:rPr>
                <w:rFonts w:cs="宋体"/>
                <w:kern w:val="0"/>
                <w:szCs w:val="21"/>
                <w:highlight w:val="none"/>
              </w:rPr>
            </w:pPr>
            <w:r>
              <w:rPr>
                <w:rFonts w:hint="eastAsia" w:cs="宋体"/>
                <w:kern w:val="0"/>
                <w:szCs w:val="21"/>
                <w:highlight w:val="none"/>
              </w:rPr>
              <w:t>收费标准</w:t>
            </w:r>
          </w:p>
        </w:tc>
      </w:tr>
      <w:tr w14:paraId="542059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4" w:hRule="atLeast"/>
        </w:trPr>
        <w:tc>
          <w:tcPr>
            <w:tcW w:w="2205" w:type="dxa"/>
            <w:vMerge w:val="continue"/>
            <w:shd w:val="clear" w:color="auto" w:fill="auto"/>
            <w:vAlign w:val="center"/>
          </w:tcPr>
          <w:p w14:paraId="5C2A35ED">
            <w:pPr>
              <w:spacing w:line="360" w:lineRule="exact"/>
              <w:jc w:val="center"/>
              <w:rPr>
                <w:rFonts w:cs="宋体"/>
                <w:kern w:val="0"/>
                <w:szCs w:val="21"/>
                <w:highlight w:val="none"/>
              </w:rPr>
            </w:pPr>
          </w:p>
        </w:tc>
        <w:tc>
          <w:tcPr>
            <w:tcW w:w="2100" w:type="dxa"/>
            <w:shd w:val="clear" w:color="auto" w:fill="FFFFFF" w:themeFill="background1"/>
            <w:vAlign w:val="center"/>
          </w:tcPr>
          <w:p w14:paraId="63588D48">
            <w:pPr>
              <w:spacing w:line="360" w:lineRule="exact"/>
              <w:jc w:val="center"/>
              <w:rPr>
                <w:rFonts w:cs="宋体"/>
                <w:kern w:val="0"/>
                <w:szCs w:val="21"/>
                <w:highlight w:val="none"/>
              </w:rPr>
            </w:pPr>
            <w:r>
              <w:rPr>
                <w:rFonts w:hint="eastAsia" w:cs="宋体"/>
                <w:kern w:val="0"/>
                <w:szCs w:val="21"/>
                <w:highlight w:val="none"/>
              </w:rPr>
              <w:t>货物招标</w:t>
            </w:r>
          </w:p>
        </w:tc>
        <w:tc>
          <w:tcPr>
            <w:tcW w:w="2100" w:type="dxa"/>
            <w:shd w:val="clear" w:color="auto" w:fill="92D050"/>
            <w:vAlign w:val="center"/>
          </w:tcPr>
          <w:p w14:paraId="03AECCDC">
            <w:pPr>
              <w:spacing w:line="360" w:lineRule="exact"/>
              <w:jc w:val="center"/>
              <w:rPr>
                <w:rFonts w:cs="宋体"/>
                <w:kern w:val="0"/>
                <w:szCs w:val="21"/>
                <w:highlight w:val="none"/>
              </w:rPr>
            </w:pPr>
            <w:r>
              <w:rPr>
                <w:rFonts w:hint="eastAsia" w:cs="宋体"/>
                <w:kern w:val="0"/>
                <w:szCs w:val="21"/>
                <w:highlight w:val="none"/>
              </w:rPr>
              <w:t>服务招标</w:t>
            </w:r>
          </w:p>
        </w:tc>
        <w:tc>
          <w:tcPr>
            <w:tcW w:w="2415" w:type="dxa"/>
            <w:vAlign w:val="center"/>
          </w:tcPr>
          <w:p w14:paraId="317DC415">
            <w:pPr>
              <w:spacing w:line="360" w:lineRule="exact"/>
              <w:jc w:val="center"/>
              <w:rPr>
                <w:rFonts w:cs="宋体"/>
                <w:kern w:val="0"/>
                <w:szCs w:val="21"/>
                <w:highlight w:val="none"/>
              </w:rPr>
            </w:pPr>
            <w:r>
              <w:rPr>
                <w:rFonts w:hint="eastAsia" w:cs="宋体"/>
                <w:kern w:val="0"/>
                <w:szCs w:val="21"/>
                <w:highlight w:val="none"/>
              </w:rPr>
              <w:t>工程招标</w:t>
            </w:r>
          </w:p>
        </w:tc>
      </w:tr>
      <w:tr w14:paraId="4D0BB8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205" w:type="dxa"/>
            <w:shd w:val="clear" w:color="auto" w:fill="auto"/>
          </w:tcPr>
          <w:p w14:paraId="72D14F1C">
            <w:pPr>
              <w:spacing w:line="360" w:lineRule="exact"/>
              <w:rPr>
                <w:rFonts w:cs="宋体"/>
                <w:kern w:val="0"/>
                <w:szCs w:val="21"/>
                <w:highlight w:val="none"/>
              </w:rPr>
            </w:pPr>
            <w:r>
              <w:rPr>
                <w:rFonts w:hint="eastAsia" w:cs="宋体"/>
                <w:kern w:val="0"/>
                <w:szCs w:val="21"/>
                <w:highlight w:val="none"/>
              </w:rPr>
              <w:t>100以下</w:t>
            </w:r>
          </w:p>
        </w:tc>
        <w:tc>
          <w:tcPr>
            <w:tcW w:w="2100" w:type="dxa"/>
            <w:shd w:val="clear" w:color="auto" w:fill="FFFFFF" w:themeFill="background1"/>
          </w:tcPr>
          <w:p w14:paraId="04EB08AF">
            <w:pPr>
              <w:spacing w:line="360" w:lineRule="exact"/>
              <w:jc w:val="center"/>
              <w:rPr>
                <w:rFonts w:cs="宋体"/>
                <w:kern w:val="0"/>
                <w:szCs w:val="21"/>
                <w:highlight w:val="none"/>
              </w:rPr>
            </w:pPr>
            <w:r>
              <w:rPr>
                <w:rFonts w:hint="eastAsia" w:cs="宋体"/>
                <w:kern w:val="0"/>
                <w:szCs w:val="21"/>
                <w:highlight w:val="none"/>
              </w:rPr>
              <w:t>1.5%</w:t>
            </w:r>
          </w:p>
        </w:tc>
        <w:tc>
          <w:tcPr>
            <w:tcW w:w="2100" w:type="dxa"/>
            <w:shd w:val="clear" w:color="auto" w:fill="92D050"/>
          </w:tcPr>
          <w:p w14:paraId="379C3FA4">
            <w:pPr>
              <w:spacing w:line="360" w:lineRule="exact"/>
              <w:jc w:val="center"/>
              <w:rPr>
                <w:rFonts w:cs="宋体"/>
                <w:kern w:val="0"/>
                <w:szCs w:val="21"/>
                <w:highlight w:val="none"/>
              </w:rPr>
            </w:pPr>
            <w:r>
              <w:rPr>
                <w:rFonts w:hint="eastAsia" w:cs="宋体"/>
                <w:kern w:val="0"/>
                <w:szCs w:val="21"/>
                <w:highlight w:val="none"/>
              </w:rPr>
              <w:t>1.5%</w:t>
            </w:r>
          </w:p>
        </w:tc>
        <w:tc>
          <w:tcPr>
            <w:tcW w:w="2415" w:type="dxa"/>
          </w:tcPr>
          <w:p w14:paraId="5F82BDCB">
            <w:pPr>
              <w:spacing w:line="360" w:lineRule="exact"/>
              <w:jc w:val="center"/>
              <w:rPr>
                <w:rFonts w:cs="宋体"/>
                <w:kern w:val="0"/>
                <w:szCs w:val="21"/>
                <w:highlight w:val="none"/>
              </w:rPr>
            </w:pPr>
            <w:r>
              <w:rPr>
                <w:rFonts w:hint="eastAsia" w:cs="宋体"/>
                <w:kern w:val="0"/>
                <w:szCs w:val="21"/>
                <w:highlight w:val="none"/>
              </w:rPr>
              <w:t>1.0%</w:t>
            </w:r>
          </w:p>
        </w:tc>
      </w:tr>
      <w:tr w14:paraId="1472A1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205" w:type="dxa"/>
            <w:shd w:val="clear" w:color="auto" w:fill="auto"/>
          </w:tcPr>
          <w:p w14:paraId="22E69017">
            <w:pPr>
              <w:spacing w:line="360" w:lineRule="exact"/>
              <w:rPr>
                <w:rFonts w:cs="宋体"/>
                <w:kern w:val="0"/>
                <w:szCs w:val="21"/>
                <w:highlight w:val="none"/>
              </w:rPr>
            </w:pPr>
            <w:r>
              <w:rPr>
                <w:rFonts w:hint="eastAsia" w:cs="宋体"/>
                <w:kern w:val="0"/>
                <w:szCs w:val="21"/>
                <w:highlight w:val="none"/>
              </w:rPr>
              <w:t>100—500</w:t>
            </w:r>
          </w:p>
        </w:tc>
        <w:tc>
          <w:tcPr>
            <w:tcW w:w="2100" w:type="dxa"/>
            <w:shd w:val="clear" w:color="auto" w:fill="FFFFFF" w:themeFill="background1"/>
          </w:tcPr>
          <w:p w14:paraId="3FAF8C59">
            <w:pPr>
              <w:spacing w:line="360" w:lineRule="exact"/>
              <w:jc w:val="center"/>
              <w:rPr>
                <w:rFonts w:cs="宋体"/>
                <w:kern w:val="0"/>
                <w:szCs w:val="21"/>
                <w:highlight w:val="none"/>
              </w:rPr>
            </w:pPr>
            <w:r>
              <w:rPr>
                <w:rFonts w:hint="eastAsia" w:cs="宋体"/>
                <w:kern w:val="0"/>
                <w:szCs w:val="21"/>
                <w:highlight w:val="none"/>
              </w:rPr>
              <w:t>1.1%</w:t>
            </w:r>
          </w:p>
        </w:tc>
        <w:tc>
          <w:tcPr>
            <w:tcW w:w="2100" w:type="dxa"/>
            <w:shd w:val="clear" w:color="auto" w:fill="92D050"/>
          </w:tcPr>
          <w:p w14:paraId="5FCB3D86">
            <w:pPr>
              <w:spacing w:line="360" w:lineRule="exact"/>
              <w:jc w:val="center"/>
              <w:rPr>
                <w:rFonts w:cs="宋体"/>
                <w:kern w:val="0"/>
                <w:szCs w:val="21"/>
                <w:highlight w:val="none"/>
              </w:rPr>
            </w:pPr>
            <w:r>
              <w:rPr>
                <w:rFonts w:hint="eastAsia" w:cs="宋体"/>
                <w:kern w:val="0"/>
                <w:szCs w:val="21"/>
                <w:highlight w:val="none"/>
              </w:rPr>
              <w:t>0.8%</w:t>
            </w:r>
          </w:p>
        </w:tc>
        <w:tc>
          <w:tcPr>
            <w:tcW w:w="2415" w:type="dxa"/>
          </w:tcPr>
          <w:p w14:paraId="785D5D90">
            <w:pPr>
              <w:spacing w:line="360" w:lineRule="exact"/>
              <w:jc w:val="center"/>
              <w:rPr>
                <w:rFonts w:cs="宋体"/>
                <w:kern w:val="0"/>
                <w:szCs w:val="21"/>
                <w:highlight w:val="none"/>
              </w:rPr>
            </w:pPr>
            <w:r>
              <w:rPr>
                <w:rFonts w:hint="eastAsia" w:cs="宋体"/>
                <w:kern w:val="0"/>
                <w:szCs w:val="21"/>
                <w:highlight w:val="none"/>
              </w:rPr>
              <w:t>0.7%</w:t>
            </w:r>
          </w:p>
        </w:tc>
      </w:tr>
      <w:tr w14:paraId="1797DC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205" w:type="dxa"/>
            <w:shd w:val="clear" w:color="auto" w:fill="auto"/>
          </w:tcPr>
          <w:p w14:paraId="4F56B3AF">
            <w:pPr>
              <w:spacing w:line="360" w:lineRule="exact"/>
              <w:rPr>
                <w:rFonts w:cs="宋体"/>
                <w:kern w:val="0"/>
                <w:szCs w:val="21"/>
                <w:highlight w:val="none"/>
              </w:rPr>
            </w:pPr>
            <w:r>
              <w:rPr>
                <w:rFonts w:hint="eastAsia" w:cs="宋体"/>
                <w:kern w:val="0"/>
                <w:szCs w:val="21"/>
                <w:highlight w:val="none"/>
              </w:rPr>
              <w:t>500—1000</w:t>
            </w:r>
          </w:p>
        </w:tc>
        <w:tc>
          <w:tcPr>
            <w:tcW w:w="2100" w:type="dxa"/>
            <w:shd w:val="clear" w:color="auto" w:fill="FFFFFF" w:themeFill="background1"/>
          </w:tcPr>
          <w:p w14:paraId="36BCE833">
            <w:pPr>
              <w:spacing w:line="360" w:lineRule="exact"/>
              <w:jc w:val="center"/>
              <w:rPr>
                <w:rFonts w:cs="宋体"/>
                <w:kern w:val="0"/>
                <w:szCs w:val="21"/>
                <w:highlight w:val="none"/>
              </w:rPr>
            </w:pPr>
            <w:r>
              <w:rPr>
                <w:rFonts w:hint="eastAsia" w:cs="宋体"/>
                <w:kern w:val="0"/>
                <w:szCs w:val="21"/>
                <w:highlight w:val="none"/>
              </w:rPr>
              <w:t>0.8%</w:t>
            </w:r>
          </w:p>
        </w:tc>
        <w:tc>
          <w:tcPr>
            <w:tcW w:w="2100" w:type="dxa"/>
            <w:shd w:val="clear" w:color="auto" w:fill="92D050"/>
          </w:tcPr>
          <w:p w14:paraId="1236DA8B">
            <w:pPr>
              <w:spacing w:line="360" w:lineRule="exact"/>
              <w:jc w:val="center"/>
              <w:rPr>
                <w:rFonts w:cs="宋体"/>
                <w:kern w:val="0"/>
                <w:szCs w:val="21"/>
                <w:highlight w:val="none"/>
              </w:rPr>
            </w:pPr>
            <w:r>
              <w:rPr>
                <w:rFonts w:hint="eastAsia" w:cs="宋体"/>
                <w:kern w:val="0"/>
                <w:szCs w:val="21"/>
                <w:highlight w:val="none"/>
              </w:rPr>
              <w:t>0.45%</w:t>
            </w:r>
          </w:p>
        </w:tc>
        <w:tc>
          <w:tcPr>
            <w:tcW w:w="2415" w:type="dxa"/>
          </w:tcPr>
          <w:p w14:paraId="40442AE5">
            <w:pPr>
              <w:spacing w:line="360" w:lineRule="exact"/>
              <w:jc w:val="center"/>
              <w:rPr>
                <w:rFonts w:cs="宋体"/>
                <w:kern w:val="0"/>
                <w:szCs w:val="21"/>
                <w:highlight w:val="none"/>
              </w:rPr>
            </w:pPr>
            <w:r>
              <w:rPr>
                <w:rFonts w:hint="eastAsia" w:cs="宋体"/>
                <w:kern w:val="0"/>
                <w:szCs w:val="21"/>
                <w:highlight w:val="none"/>
              </w:rPr>
              <w:t>0.55%</w:t>
            </w:r>
          </w:p>
        </w:tc>
      </w:tr>
      <w:tr w14:paraId="694E86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205" w:type="dxa"/>
            <w:shd w:val="clear" w:color="auto" w:fill="auto"/>
          </w:tcPr>
          <w:p w14:paraId="2EB5379E">
            <w:pPr>
              <w:spacing w:line="360" w:lineRule="exact"/>
              <w:rPr>
                <w:rFonts w:cs="宋体"/>
                <w:kern w:val="0"/>
                <w:szCs w:val="21"/>
                <w:highlight w:val="none"/>
              </w:rPr>
            </w:pPr>
            <w:r>
              <w:rPr>
                <w:rFonts w:hint="eastAsia" w:cs="宋体"/>
                <w:kern w:val="0"/>
                <w:szCs w:val="21"/>
                <w:highlight w:val="none"/>
              </w:rPr>
              <w:t>1000—5000</w:t>
            </w:r>
          </w:p>
        </w:tc>
        <w:tc>
          <w:tcPr>
            <w:tcW w:w="2100" w:type="dxa"/>
            <w:shd w:val="clear" w:color="auto" w:fill="FFFFFF" w:themeFill="background1"/>
          </w:tcPr>
          <w:p w14:paraId="1C1FFBC3">
            <w:pPr>
              <w:spacing w:line="360" w:lineRule="exact"/>
              <w:jc w:val="center"/>
              <w:rPr>
                <w:rFonts w:cs="宋体"/>
                <w:kern w:val="0"/>
                <w:szCs w:val="21"/>
                <w:highlight w:val="none"/>
              </w:rPr>
            </w:pPr>
            <w:r>
              <w:rPr>
                <w:rFonts w:hint="eastAsia" w:cs="宋体"/>
                <w:kern w:val="0"/>
                <w:szCs w:val="21"/>
                <w:highlight w:val="none"/>
              </w:rPr>
              <w:t>0.5%</w:t>
            </w:r>
          </w:p>
        </w:tc>
        <w:tc>
          <w:tcPr>
            <w:tcW w:w="2100" w:type="dxa"/>
            <w:shd w:val="clear" w:color="auto" w:fill="92D050"/>
          </w:tcPr>
          <w:p w14:paraId="1EAEC6E5">
            <w:pPr>
              <w:spacing w:line="360" w:lineRule="exact"/>
              <w:jc w:val="center"/>
              <w:rPr>
                <w:rFonts w:cs="宋体"/>
                <w:kern w:val="0"/>
                <w:szCs w:val="21"/>
                <w:highlight w:val="none"/>
              </w:rPr>
            </w:pPr>
            <w:r>
              <w:rPr>
                <w:rFonts w:hint="eastAsia" w:cs="宋体"/>
                <w:kern w:val="0"/>
                <w:szCs w:val="21"/>
                <w:highlight w:val="none"/>
              </w:rPr>
              <w:t>0.25%</w:t>
            </w:r>
          </w:p>
        </w:tc>
        <w:tc>
          <w:tcPr>
            <w:tcW w:w="2415" w:type="dxa"/>
          </w:tcPr>
          <w:p w14:paraId="3F8F25E1">
            <w:pPr>
              <w:spacing w:line="360" w:lineRule="exact"/>
              <w:jc w:val="center"/>
              <w:rPr>
                <w:rFonts w:cs="宋体"/>
                <w:kern w:val="0"/>
                <w:szCs w:val="21"/>
                <w:highlight w:val="none"/>
              </w:rPr>
            </w:pPr>
            <w:r>
              <w:rPr>
                <w:rFonts w:hint="eastAsia" w:cs="宋体"/>
                <w:kern w:val="0"/>
                <w:szCs w:val="21"/>
                <w:highlight w:val="none"/>
              </w:rPr>
              <w:t>0.35%</w:t>
            </w:r>
          </w:p>
        </w:tc>
      </w:tr>
      <w:tr w14:paraId="0020D9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205" w:type="dxa"/>
            <w:shd w:val="clear" w:color="auto" w:fill="auto"/>
          </w:tcPr>
          <w:p w14:paraId="1C537399">
            <w:pPr>
              <w:spacing w:line="360" w:lineRule="exact"/>
              <w:rPr>
                <w:rFonts w:cs="宋体"/>
                <w:kern w:val="0"/>
                <w:szCs w:val="21"/>
                <w:highlight w:val="none"/>
              </w:rPr>
            </w:pPr>
            <w:r>
              <w:rPr>
                <w:rFonts w:hint="eastAsia" w:cs="宋体"/>
                <w:kern w:val="0"/>
                <w:szCs w:val="21"/>
                <w:highlight w:val="none"/>
              </w:rPr>
              <w:t>5000—10000</w:t>
            </w:r>
          </w:p>
        </w:tc>
        <w:tc>
          <w:tcPr>
            <w:tcW w:w="2100" w:type="dxa"/>
            <w:shd w:val="clear" w:color="auto" w:fill="FFFFFF" w:themeFill="background1"/>
          </w:tcPr>
          <w:p w14:paraId="29D50FE8">
            <w:pPr>
              <w:spacing w:line="360" w:lineRule="exact"/>
              <w:jc w:val="center"/>
              <w:rPr>
                <w:rFonts w:cs="宋体"/>
                <w:kern w:val="0"/>
                <w:szCs w:val="21"/>
                <w:highlight w:val="none"/>
              </w:rPr>
            </w:pPr>
            <w:r>
              <w:rPr>
                <w:rFonts w:hint="eastAsia" w:cs="宋体"/>
                <w:kern w:val="0"/>
                <w:szCs w:val="21"/>
                <w:highlight w:val="none"/>
              </w:rPr>
              <w:t>0.25%</w:t>
            </w:r>
          </w:p>
        </w:tc>
        <w:tc>
          <w:tcPr>
            <w:tcW w:w="2100" w:type="dxa"/>
            <w:shd w:val="clear" w:color="auto" w:fill="92D050"/>
          </w:tcPr>
          <w:p w14:paraId="1E43C24E">
            <w:pPr>
              <w:spacing w:line="360" w:lineRule="exact"/>
              <w:jc w:val="center"/>
              <w:rPr>
                <w:rFonts w:cs="宋体"/>
                <w:kern w:val="0"/>
                <w:szCs w:val="21"/>
                <w:highlight w:val="none"/>
              </w:rPr>
            </w:pPr>
            <w:r>
              <w:rPr>
                <w:rFonts w:hint="eastAsia" w:cs="宋体"/>
                <w:kern w:val="0"/>
                <w:szCs w:val="21"/>
                <w:highlight w:val="none"/>
              </w:rPr>
              <w:t>0.1%</w:t>
            </w:r>
          </w:p>
        </w:tc>
        <w:tc>
          <w:tcPr>
            <w:tcW w:w="2415" w:type="dxa"/>
          </w:tcPr>
          <w:p w14:paraId="0C3F6913">
            <w:pPr>
              <w:spacing w:line="360" w:lineRule="exact"/>
              <w:jc w:val="center"/>
              <w:rPr>
                <w:rFonts w:cs="宋体"/>
                <w:kern w:val="0"/>
                <w:szCs w:val="21"/>
                <w:highlight w:val="none"/>
              </w:rPr>
            </w:pPr>
            <w:r>
              <w:rPr>
                <w:rFonts w:hint="eastAsia" w:cs="宋体"/>
                <w:kern w:val="0"/>
                <w:szCs w:val="21"/>
                <w:highlight w:val="none"/>
              </w:rPr>
              <w:t>0.2%</w:t>
            </w:r>
          </w:p>
        </w:tc>
      </w:tr>
    </w:tbl>
    <w:p w14:paraId="784C208C">
      <w:pPr>
        <w:ind w:firstLine="420" w:firstLineChars="200"/>
        <w:rPr>
          <w:rFonts w:cs="宋体"/>
          <w:kern w:val="0"/>
          <w:szCs w:val="21"/>
          <w:highlight w:val="none"/>
        </w:rPr>
      </w:pPr>
      <w:r>
        <w:rPr>
          <w:rFonts w:hint="eastAsia" w:cs="宋体"/>
          <w:kern w:val="0"/>
          <w:szCs w:val="21"/>
          <w:highlight w:val="none"/>
        </w:rPr>
        <w:t>备注：招标代理服务收费按差额定率累进法计算，以本项目预算金额为计费基数。</w:t>
      </w:r>
    </w:p>
    <w:p w14:paraId="702C1347">
      <w:pPr>
        <w:ind w:firstLine="420" w:firstLineChars="200"/>
        <w:jc w:val="left"/>
        <w:rPr>
          <w:rFonts w:cs="宋体"/>
          <w:szCs w:val="21"/>
          <w:highlight w:val="none"/>
        </w:rPr>
      </w:pPr>
      <w:r>
        <w:rPr>
          <w:rFonts w:hint="eastAsia" w:cs="宋体"/>
          <w:szCs w:val="21"/>
          <w:highlight w:val="none"/>
        </w:rPr>
        <w:t>32.2中标人应在接受“中标通知书”前向采购代理机构一次付清代理服务费，若因中标人未缴纳代理服务费，采购代理机构有权向有关部门提取诉讼。</w:t>
      </w:r>
    </w:p>
    <w:p w14:paraId="51E84BAA">
      <w:pPr>
        <w:pStyle w:val="45"/>
        <w:ind w:firstLine="420" w:firstLineChars="200"/>
        <w:rPr>
          <w:rFonts w:cs="宋体"/>
          <w:b/>
          <w:bCs/>
          <w:szCs w:val="21"/>
          <w:highlight w:val="none"/>
        </w:rPr>
      </w:pPr>
      <w:r>
        <w:rPr>
          <w:rFonts w:hint="eastAsia" w:cs="宋体"/>
          <w:b/>
          <w:bCs/>
          <w:szCs w:val="21"/>
          <w:highlight w:val="none"/>
        </w:rPr>
        <w:t>33.招标文件编制依据</w:t>
      </w:r>
    </w:p>
    <w:p w14:paraId="43591A4E">
      <w:pPr>
        <w:pStyle w:val="45"/>
        <w:ind w:firstLine="420" w:firstLineChars="200"/>
        <w:rPr>
          <w:rFonts w:cs="宋体"/>
          <w:szCs w:val="21"/>
          <w:highlight w:val="none"/>
        </w:rPr>
      </w:pPr>
      <w:r>
        <w:rPr>
          <w:rFonts w:hint="eastAsia" w:cs="宋体"/>
          <w:szCs w:val="21"/>
          <w:highlight w:val="none"/>
        </w:rPr>
        <w:t>33.1本招标文件根据《中华人民共和国政府采购法》及相关法律法规编制。</w:t>
      </w:r>
    </w:p>
    <w:p w14:paraId="00747719">
      <w:pPr>
        <w:pStyle w:val="45"/>
        <w:ind w:firstLine="420" w:firstLineChars="200"/>
        <w:rPr>
          <w:rFonts w:cs="宋体"/>
          <w:b/>
          <w:bCs/>
          <w:szCs w:val="21"/>
          <w:highlight w:val="none"/>
        </w:rPr>
      </w:pPr>
      <w:r>
        <w:rPr>
          <w:rFonts w:hint="eastAsia" w:cs="宋体"/>
          <w:b/>
          <w:bCs/>
          <w:szCs w:val="21"/>
          <w:highlight w:val="none"/>
        </w:rPr>
        <w:t>34.</w:t>
      </w:r>
      <w:r>
        <w:rPr>
          <w:rFonts w:hint="eastAsia" w:cs="宋体"/>
          <w:b/>
          <w:szCs w:val="21"/>
          <w:highlight w:val="none"/>
        </w:rPr>
        <w:t>需要补充的其他内容</w:t>
      </w:r>
    </w:p>
    <w:p w14:paraId="257377E6">
      <w:pPr>
        <w:pStyle w:val="45"/>
        <w:ind w:firstLine="420" w:firstLineChars="200"/>
        <w:rPr>
          <w:rFonts w:cs="宋体"/>
          <w:szCs w:val="21"/>
          <w:highlight w:val="none"/>
        </w:rPr>
      </w:pPr>
      <w:r>
        <w:rPr>
          <w:rFonts w:hint="eastAsia" w:cs="宋体"/>
          <w:szCs w:val="21"/>
          <w:highlight w:val="none"/>
        </w:rPr>
        <w:t>34.1“</w:t>
      </w:r>
      <w:r>
        <w:rPr>
          <w:rFonts w:hint="eastAsia" w:cs="宋体"/>
          <w:b/>
          <w:szCs w:val="21"/>
          <w:highlight w:val="none"/>
        </w:rPr>
        <w:t>投标人须知前附表</w:t>
      </w:r>
      <w:r>
        <w:rPr>
          <w:rFonts w:hint="eastAsia" w:cs="宋体"/>
          <w:szCs w:val="21"/>
          <w:highlight w:val="none"/>
        </w:rPr>
        <w:t>”中若规定可以接受备选方案的，投标人在投标文件中只能提供一个备选方案，并注明主选方案，且备选方案的投标价格不得高于主选方案。凡提供两个以上备选方案或未注明主选方案的，该投标将被视为未实质性响应招标文件要求</w:t>
      </w:r>
    </w:p>
    <w:p w14:paraId="44D8EE28">
      <w:pPr>
        <w:pStyle w:val="45"/>
        <w:ind w:firstLine="420" w:firstLineChars="200"/>
        <w:rPr>
          <w:rFonts w:cs="宋体"/>
          <w:szCs w:val="21"/>
          <w:highlight w:val="none"/>
        </w:rPr>
      </w:pPr>
      <w:r>
        <w:rPr>
          <w:rFonts w:hint="eastAsia" w:cs="宋体"/>
          <w:szCs w:val="21"/>
          <w:highlight w:val="none"/>
        </w:rPr>
        <w:t>评标委员会在对有备选方案的投标人进行评审时，应当以主选方案为准进行评审，如考虑备选方案的，备选方案必须实质性响应招标文件要求。</w:t>
      </w:r>
    </w:p>
    <w:p w14:paraId="03381BC4">
      <w:pPr>
        <w:widowControl/>
        <w:ind w:firstLine="420" w:firstLineChars="200"/>
        <w:jc w:val="left"/>
        <w:rPr>
          <w:rFonts w:cs="宋体"/>
          <w:b/>
          <w:bCs/>
          <w:szCs w:val="21"/>
          <w:highlight w:val="none"/>
        </w:rPr>
      </w:pPr>
      <w:r>
        <w:rPr>
          <w:rFonts w:hint="eastAsia" w:cs="宋体"/>
          <w:szCs w:val="21"/>
          <w:highlight w:val="none"/>
        </w:rPr>
        <w:t>34.2需要补充的其他内容：见</w:t>
      </w:r>
      <w:r>
        <w:rPr>
          <w:rFonts w:hint="eastAsia" w:cs="宋体"/>
          <w:b/>
          <w:bCs/>
          <w:szCs w:val="21"/>
          <w:highlight w:val="none"/>
        </w:rPr>
        <w:t>“投标人须知前附表”。</w:t>
      </w:r>
    </w:p>
    <w:p w14:paraId="655567AC">
      <w:pPr>
        <w:widowControl/>
        <w:ind w:firstLine="420" w:firstLineChars="200"/>
        <w:jc w:val="left"/>
        <w:rPr>
          <w:rFonts w:cs="宋体"/>
          <w:szCs w:val="21"/>
          <w:highlight w:val="none"/>
        </w:rPr>
      </w:pPr>
      <w:r>
        <w:rPr>
          <w:rFonts w:hint="eastAsia" w:cs="宋体"/>
          <w:szCs w:val="21"/>
          <w:highlight w:val="none"/>
        </w:rPr>
        <w:br w:type="page"/>
      </w:r>
    </w:p>
    <w:p w14:paraId="3BF1B306">
      <w:pPr>
        <w:pStyle w:val="3"/>
        <w:numPr>
          <w:ilvl w:val="0"/>
          <w:numId w:val="0"/>
        </w:numPr>
        <w:spacing w:line="600" w:lineRule="auto"/>
        <w:jc w:val="center"/>
        <w:rPr>
          <w:rFonts w:eastAsia="宋体" w:cs="宋体"/>
          <w:bCs/>
          <w:sz w:val="36"/>
          <w:highlight w:val="none"/>
        </w:rPr>
      </w:pPr>
      <w:bookmarkStart w:id="130" w:name="_Toc31268"/>
      <w:bookmarkStart w:id="131" w:name="_Toc6323"/>
      <w:bookmarkStart w:id="132" w:name="_Toc213141090"/>
      <w:bookmarkStart w:id="133" w:name="_Toc26989"/>
      <w:bookmarkStart w:id="134" w:name="_Toc7277"/>
      <w:bookmarkStart w:id="135" w:name="_Toc18866"/>
      <w:bookmarkStart w:id="136" w:name="_Toc32200"/>
      <w:bookmarkStart w:id="137" w:name="_Hlk17287648"/>
      <w:r>
        <w:rPr>
          <w:rFonts w:hint="eastAsia" w:eastAsia="宋体" w:cs="宋体"/>
          <w:bCs/>
          <w:sz w:val="36"/>
          <w:highlight w:val="none"/>
        </w:rPr>
        <w:t>第三章  合同书样式及主要条款</w:t>
      </w:r>
      <w:bookmarkEnd w:id="130"/>
      <w:bookmarkEnd w:id="131"/>
      <w:bookmarkEnd w:id="132"/>
      <w:bookmarkEnd w:id="133"/>
      <w:bookmarkEnd w:id="134"/>
    </w:p>
    <w:p w14:paraId="3B5E94A7">
      <w:pPr>
        <w:spacing w:before="6" w:after="160" w:line="240" w:lineRule="auto"/>
        <w:rPr>
          <w:rFonts w:cs="宋体"/>
          <w:b/>
          <w:sz w:val="24"/>
          <w:highlight w:val="none"/>
        </w:rPr>
      </w:pPr>
      <w:bookmarkStart w:id="138" w:name="_Toc331685783"/>
    </w:p>
    <w:p w14:paraId="253C8B56">
      <w:pPr>
        <w:spacing w:before="6" w:after="160" w:line="240" w:lineRule="auto"/>
        <w:rPr>
          <w:rFonts w:cs="宋体"/>
          <w:sz w:val="16"/>
          <w:szCs w:val="20"/>
          <w:highlight w:val="none"/>
        </w:rPr>
      </w:pPr>
      <w:r>
        <w:rPr>
          <w:rFonts w:hint="eastAsia" w:cs="宋体"/>
          <w:highlight w:val="none"/>
        </w:rPr>
        <w:t>本合同须加盖甲乙双方骑缝章有效</w:t>
      </w:r>
    </w:p>
    <w:p w14:paraId="58B0E1E6">
      <w:pPr>
        <w:tabs>
          <w:tab w:val="left" w:pos="2611"/>
        </w:tabs>
        <w:spacing w:line="240" w:lineRule="auto"/>
        <w:jc w:val="center"/>
        <w:rPr>
          <w:rFonts w:cs="宋体"/>
          <w:b/>
          <w:sz w:val="56"/>
          <w:szCs w:val="36"/>
          <w:highlight w:val="none"/>
        </w:rPr>
      </w:pPr>
    </w:p>
    <w:p w14:paraId="585B15CD">
      <w:pPr>
        <w:tabs>
          <w:tab w:val="left" w:pos="2611"/>
        </w:tabs>
        <w:spacing w:line="240" w:lineRule="auto"/>
        <w:jc w:val="center"/>
        <w:rPr>
          <w:rFonts w:cs="宋体"/>
          <w:b/>
          <w:sz w:val="72"/>
          <w:szCs w:val="44"/>
          <w:highlight w:val="none"/>
        </w:rPr>
      </w:pPr>
      <w:r>
        <w:rPr>
          <w:rFonts w:hint="eastAsia" w:cs="宋体"/>
          <w:b/>
          <w:sz w:val="56"/>
          <w:szCs w:val="36"/>
          <w:highlight w:val="none"/>
        </w:rPr>
        <w:t>政府采购合同</w:t>
      </w:r>
    </w:p>
    <w:p w14:paraId="57AEFA8C">
      <w:pPr>
        <w:spacing w:after="160" w:line="240" w:lineRule="auto"/>
        <w:jc w:val="center"/>
        <w:rPr>
          <w:rFonts w:cs="宋体"/>
          <w:b/>
          <w:bCs/>
          <w:sz w:val="26"/>
          <w:szCs w:val="20"/>
          <w:highlight w:val="none"/>
        </w:rPr>
      </w:pPr>
      <w:r>
        <w:rPr>
          <w:rFonts w:hint="eastAsia" w:cs="宋体"/>
          <w:b/>
          <w:bCs/>
          <w:sz w:val="26"/>
          <w:szCs w:val="20"/>
          <w:highlight w:val="none"/>
        </w:rPr>
        <w:t>(电子交易项目适用）</w:t>
      </w:r>
    </w:p>
    <w:p w14:paraId="3C9147E3">
      <w:pPr>
        <w:tabs>
          <w:tab w:val="left" w:pos="2611"/>
        </w:tabs>
        <w:spacing w:line="240" w:lineRule="auto"/>
        <w:ind w:left="720"/>
        <w:jc w:val="center"/>
        <w:rPr>
          <w:rFonts w:cs="宋体"/>
          <w:b/>
          <w:sz w:val="27"/>
          <w:highlight w:val="none"/>
        </w:rPr>
      </w:pPr>
    </w:p>
    <w:p w14:paraId="5A47003B">
      <w:pPr>
        <w:spacing w:line="240" w:lineRule="auto"/>
        <w:rPr>
          <w:rFonts w:cs="宋体"/>
          <w:b/>
          <w:sz w:val="28"/>
          <w:szCs w:val="28"/>
          <w:highlight w:val="none"/>
        </w:rPr>
      </w:pPr>
    </w:p>
    <w:p w14:paraId="3C3A8E24">
      <w:pPr>
        <w:pStyle w:val="34"/>
        <w:rPr>
          <w:rFonts w:ascii="宋体" w:hAnsi="宋体" w:eastAsia="宋体" w:cs="宋体"/>
          <w:highlight w:val="none"/>
        </w:rPr>
      </w:pPr>
    </w:p>
    <w:p w14:paraId="789350EF">
      <w:pPr>
        <w:rPr>
          <w:rFonts w:cs="宋体"/>
          <w:highlight w:val="none"/>
        </w:rPr>
      </w:pPr>
    </w:p>
    <w:p w14:paraId="24A238B2">
      <w:pPr>
        <w:ind w:firstLine="2940" w:firstLineChars="1050"/>
        <w:rPr>
          <w:rFonts w:cs="宋体"/>
          <w:b/>
          <w:bCs/>
          <w:sz w:val="28"/>
          <w:szCs w:val="28"/>
          <w:highlight w:val="none"/>
          <w:u w:val="single"/>
        </w:rPr>
      </w:pPr>
      <w:r>
        <w:rPr>
          <w:rFonts w:hint="eastAsia" w:cs="宋体"/>
          <w:b/>
          <w:bCs/>
          <w:sz w:val="28"/>
          <w:szCs w:val="28"/>
          <w:highlight w:val="none"/>
        </w:rPr>
        <w:t>项目名称:</w:t>
      </w:r>
      <w:r>
        <w:rPr>
          <w:rFonts w:hint="eastAsia" w:cs="宋体"/>
          <w:b/>
          <w:bCs/>
          <w:sz w:val="28"/>
          <w:szCs w:val="28"/>
          <w:highlight w:val="none"/>
          <w:u w:val="single"/>
        </w:rPr>
        <w:t xml:space="preserve">                         </w:t>
      </w:r>
    </w:p>
    <w:p w14:paraId="04538386">
      <w:pPr>
        <w:ind w:firstLine="2940" w:firstLineChars="1050"/>
        <w:rPr>
          <w:rFonts w:cs="宋体"/>
          <w:b/>
          <w:bCs/>
          <w:sz w:val="28"/>
          <w:szCs w:val="28"/>
          <w:highlight w:val="none"/>
        </w:rPr>
      </w:pPr>
      <w:r>
        <w:rPr>
          <w:rFonts w:hint="eastAsia" w:cs="宋体"/>
          <w:b/>
          <w:bCs/>
          <w:sz w:val="28"/>
          <w:szCs w:val="28"/>
          <w:highlight w:val="none"/>
        </w:rPr>
        <w:t>合同编号:</w:t>
      </w:r>
      <w:r>
        <w:rPr>
          <w:rFonts w:hint="eastAsia" w:cs="宋体"/>
          <w:b/>
          <w:bCs/>
          <w:sz w:val="28"/>
          <w:szCs w:val="28"/>
          <w:highlight w:val="none"/>
          <w:u w:val="single"/>
        </w:rPr>
        <w:t xml:space="preserve">                         </w:t>
      </w:r>
    </w:p>
    <w:p w14:paraId="6A001734">
      <w:pPr>
        <w:pStyle w:val="34"/>
        <w:ind w:firstLine="2938" w:firstLineChars="1113"/>
        <w:rPr>
          <w:rFonts w:ascii="宋体" w:hAnsi="宋体" w:eastAsia="宋体" w:cs="宋体"/>
          <w:bCs/>
          <w:sz w:val="28"/>
          <w:szCs w:val="28"/>
          <w:highlight w:val="none"/>
        </w:rPr>
      </w:pPr>
      <w:r>
        <w:rPr>
          <w:rFonts w:hint="eastAsia" w:ascii="宋体" w:hAnsi="宋体" w:eastAsia="宋体" w:cs="宋体"/>
          <w:bCs/>
          <w:sz w:val="28"/>
          <w:szCs w:val="28"/>
          <w:highlight w:val="none"/>
        </w:rPr>
        <w:t xml:space="preserve">甲     方: </w:t>
      </w:r>
      <w:r>
        <w:rPr>
          <w:rFonts w:hint="eastAsia" w:ascii="宋体" w:hAnsi="宋体" w:eastAsia="宋体" w:cs="宋体"/>
          <w:bCs/>
          <w:sz w:val="28"/>
          <w:szCs w:val="28"/>
          <w:highlight w:val="none"/>
          <w:u w:val="single"/>
        </w:rPr>
        <w:t xml:space="preserve"> </w:t>
      </w:r>
      <w:r>
        <w:rPr>
          <w:rFonts w:ascii="宋体" w:hAnsi="宋体" w:eastAsia="宋体" w:cs="宋体"/>
          <w:bCs/>
          <w:sz w:val="28"/>
          <w:szCs w:val="28"/>
          <w:highlight w:val="none"/>
          <w:u w:val="single"/>
        </w:rPr>
        <w:t xml:space="preserve">                          </w:t>
      </w:r>
    </w:p>
    <w:p w14:paraId="0E9D2EC0">
      <w:pPr>
        <w:ind w:firstLine="2940" w:firstLineChars="1050"/>
        <w:rPr>
          <w:rFonts w:cs="宋体"/>
          <w:b/>
          <w:bCs/>
          <w:sz w:val="28"/>
          <w:szCs w:val="28"/>
          <w:highlight w:val="none"/>
        </w:rPr>
      </w:pPr>
      <w:r>
        <w:rPr>
          <w:rFonts w:hint="eastAsia" w:cs="宋体"/>
          <w:b/>
          <w:bCs/>
          <w:sz w:val="28"/>
          <w:szCs w:val="28"/>
          <w:highlight w:val="none"/>
        </w:rPr>
        <w:t xml:space="preserve">乙    方: </w:t>
      </w:r>
      <w:r>
        <w:rPr>
          <w:rFonts w:hint="eastAsia" w:cs="宋体"/>
          <w:b/>
          <w:bCs/>
          <w:sz w:val="28"/>
          <w:szCs w:val="28"/>
          <w:highlight w:val="none"/>
          <w:u w:val="single"/>
        </w:rPr>
        <w:t xml:space="preserve">             </w:t>
      </w:r>
    </w:p>
    <w:p w14:paraId="6B42565C">
      <w:pPr>
        <w:tabs>
          <w:tab w:val="left" w:pos="2611"/>
        </w:tabs>
        <w:spacing w:line="240" w:lineRule="auto"/>
        <w:ind w:left="720" w:leftChars="343" w:firstLine="3080" w:firstLineChars="1100"/>
        <w:jc w:val="left"/>
        <w:rPr>
          <w:rFonts w:cs="宋体"/>
          <w:b/>
          <w:sz w:val="28"/>
          <w:szCs w:val="28"/>
          <w:highlight w:val="none"/>
        </w:rPr>
      </w:pPr>
    </w:p>
    <w:p w14:paraId="08E5DAD7">
      <w:pPr>
        <w:tabs>
          <w:tab w:val="left" w:pos="2611"/>
        </w:tabs>
        <w:spacing w:line="240" w:lineRule="auto"/>
        <w:ind w:left="720" w:leftChars="343" w:firstLine="3080" w:firstLineChars="1100"/>
        <w:jc w:val="left"/>
        <w:rPr>
          <w:rFonts w:cs="宋体"/>
          <w:b/>
          <w:sz w:val="28"/>
          <w:szCs w:val="28"/>
          <w:highlight w:val="none"/>
        </w:rPr>
      </w:pPr>
      <w:r>
        <w:rPr>
          <w:rFonts w:hint="eastAsia" w:cs="宋体"/>
          <w:b/>
          <w:sz w:val="28"/>
          <w:szCs w:val="28"/>
          <w:highlight w:val="none"/>
        </w:rPr>
        <w:t>签订地点：</w:t>
      </w:r>
      <w:r>
        <w:rPr>
          <w:rFonts w:hint="eastAsia" w:cs="宋体"/>
          <w:b/>
          <w:sz w:val="28"/>
          <w:szCs w:val="28"/>
          <w:highlight w:val="none"/>
          <w:u w:val="single"/>
        </w:rPr>
        <w:t xml:space="preserve">        </w:t>
      </w:r>
    </w:p>
    <w:p w14:paraId="1B043FB6">
      <w:pPr>
        <w:spacing w:line="240" w:lineRule="auto"/>
        <w:rPr>
          <w:rFonts w:cs="宋体"/>
          <w:b/>
          <w:sz w:val="28"/>
          <w:szCs w:val="28"/>
          <w:highlight w:val="none"/>
        </w:rPr>
      </w:pPr>
      <w:r>
        <w:rPr>
          <w:rFonts w:hint="eastAsia" w:cs="宋体"/>
          <w:sz w:val="27"/>
          <w:highlight w:val="none"/>
        </w:rPr>
        <w:br w:type="page"/>
      </w:r>
    </w:p>
    <w:p w14:paraId="16ACE9B5">
      <w:pPr>
        <w:adjustRightInd w:val="0"/>
        <w:snapToGrid w:val="0"/>
        <w:rPr>
          <w:rFonts w:cs="宋体"/>
          <w:b/>
          <w:szCs w:val="21"/>
          <w:highlight w:val="none"/>
        </w:rPr>
      </w:pPr>
      <w:r>
        <w:rPr>
          <w:rFonts w:hint="eastAsia" w:cs="宋体"/>
          <w:b/>
          <w:szCs w:val="21"/>
          <w:highlight w:val="none"/>
        </w:rPr>
        <w:t xml:space="preserve">甲方（采购人公章）名称： </w:t>
      </w:r>
    </w:p>
    <w:p w14:paraId="6B0DC98E">
      <w:pPr>
        <w:adjustRightInd w:val="0"/>
        <w:snapToGrid w:val="0"/>
        <w:rPr>
          <w:rFonts w:cs="宋体"/>
          <w:b/>
          <w:szCs w:val="21"/>
          <w:highlight w:val="none"/>
        </w:rPr>
      </w:pPr>
      <w:r>
        <w:rPr>
          <w:rFonts w:hint="eastAsia" w:cs="宋体"/>
          <w:b/>
          <w:szCs w:val="21"/>
          <w:highlight w:val="none"/>
        </w:rPr>
        <w:t>地    址：</w:t>
      </w:r>
    </w:p>
    <w:p w14:paraId="12EEE8C4">
      <w:pPr>
        <w:adjustRightInd w:val="0"/>
        <w:snapToGrid w:val="0"/>
        <w:rPr>
          <w:rFonts w:cs="宋体"/>
          <w:b/>
          <w:szCs w:val="21"/>
          <w:highlight w:val="none"/>
        </w:rPr>
      </w:pPr>
      <w:r>
        <w:rPr>
          <w:rFonts w:hint="eastAsia" w:cs="宋体"/>
          <w:b/>
          <w:szCs w:val="21"/>
          <w:highlight w:val="none"/>
        </w:rPr>
        <w:t>邮    编：</w:t>
      </w:r>
    </w:p>
    <w:p w14:paraId="0DD13E64">
      <w:pPr>
        <w:adjustRightInd w:val="0"/>
        <w:snapToGrid w:val="0"/>
        <w:rPr>
          <w:rFonts w:cs="宋体"/>
          <w:b/>
          <w:szCs w:val="21"/>
          <w:highlight w:val="none"/>
        </w:rPr>
      </w:pPr>
      <w:r>
        <w:rPr>
          <w:rFonts w:hint="eastAsia" w:cs="宋体"/>
          <w:b/>
          <w:szCs w:val="21"/>
          <w:highlight w:val="none"/>
        </w:rPr>
        <w:t>法定代表人或委托代理人：</w:t>
      </w:r>
    </w:p>
    <w:p w14:paraId="1FB557B5">
      <w:pPr>
        <w:adjustRightInd w:val="0"/>
        <w:snapToGrid w:val="0"/>
        <w:rPr>
          <w:rFonts w:cs="宋体"/>
          <w:b/>
          <w:szCs w:val="21"/>
          <w:highlight w:val="none"/>
        </w:rPr>
      </w:pPr>
      <w:r>
        <w:rPr>
          <w:rFonts w:hint="eastAsia" w:cs="宋体"/>
          <w:b/>
          <w:szCs w:val="21"/>
          <w:highlight w:val="none"/>
        </w:rPr>
        <w:t>项目（技术）负责人：</w:t>
      </w:r>
    </w:p>
    <w:p w14:paraId="38F5C429">
      <w:pPr>
        <w:adjustRightInd w:val="0"/>
        <w:snapToGrid w:val="0"/>
        <w:rPr>
          <w:rFonts w:cs="宋体"/>
          <w:b/>
          <w:szCs w:val="21"/>
          <w:highlight w:val="none"/>
        </w:rPr>
      </w:pPr>
      <w:r>
        <w:rPr>
          <w:rFonts w:hint="eastAsia" w:cs="宋体"/>
          <w:b/>
          <w:szCs w:val="21"/>
          <w:highlight w:val="none"/>
        </w:rPr>
        <w:t>开户银行：</w:t>
      </w:r>
    </w:p>
    <w:p w14:paraId="2789361C">
      <w:pPr>
        <w:adjustRightInd w:val="0"/>
        <w:snapToGrid w:val="0"/>
        <w:rPr>
          <w:rFonts w:cs="宋体"/>
          <w:b/>
          <w:bCs/>
          <w:highlight w:val="none"/>
        </w:rPr>
      </w:pPr>
      <w:r>
        <w:rPr>
          <w:rFonts w:hint="eastAsia" w:cs="宋体"/>
          <w:b/>
          <w:bCs/>
          <w:highlight w:val="none"/>
        </w:rPr>
        <w:t>账    号：</w:t>
      </w:r>
    </w:p>
    <w:p w14:paraId="331A851E">
      <w:pPr>
        <w:adjustRightInd w:val="0"/>
        <w:snapToGrid w:val="0"/>
        <w:rPr>
          <w:rFonts w:cs="宋体"/>
          <w:b/>
          <w:szCs w:val="21"/>
          <w:highlight w:val="none"/>
        </w:rPr>
      </w:pPr>
      <w:r>
        <w:rPr>
          <w:rFonts w:hint="eastAsia" w:cs="宋体"/>
          <w:b/>
          <w:szCs w:val="21"/>
          <w:highlight w:val="none"/>
        </w:rPr>
        <w:t>税    号：</w:t>
      </w:r>
    </w:p>
    <w:p w14:paraId="3FFF6FE2">
      <w:pPr>
        <w:adjustRightInd w:val="0"/>
        <w:snapToGrid w:val="0"/>
        <w:rPr>
          <w:rFonts w:cs="宋体"/>
          <w:b/>
          <w:szCs w:val="21"/>
          <w:highlight w:val="none"/>
        </w:rPr>
      </w:pPr>
      <w:r>
        <w:rPr>
          <w:rFonts w:hint="eastAsia" w:cs="宋体"/>
          <w:b/>
          <w:szCs w:val="21"/>
          <w:highlight w:val="none"/>
        </w:rPr>
        <w:t>电    话：</w:t>
      </w:r>
    </w:p>
    <w:p w14:paraId="18CE1A83">
      <w:pPr>
        <w:adjustRightInd w:val="0"/>
        <w:snapToGrid w:val="0"/>
        <w:rPr>
          <w:rFonts w:cs="宋体"/>
          <w:b/>
          <w:szCs w:val="21"/>
          <w:highlight w:val="none"/>
        </w:rPr>
      </w:pPr>
      <w:r>
        <w:rPr>
          <w:rFonts w:hint="eastAsia" w:cs="宋体"/>
          <w:b/>
          <w:szCs w:val="21"/>
          <w:highlight w:val="none"/>
        </w:rPr>
        <w:t>签订日期：</w:t>
      </w:r>
    </w:p>
    <w:p w14:paraId="3DC1AA23">
      <w:pPr>
        <w:adjustRightInd w:val="0"/>
        <w:snapToGrid w:val="0"/>
        <w:rPr>
          <w:rFonts w:cs="宋体"/>
          <w:b/>
          <w:szCs w:val="21"/>
          <w:highlight w:val="none"/>
        </w:rPr>
      </w:pPr>
    </w:p>
    <w:p w14:paraId="64508229">
      <w:pPr>
        <w:adjustRightInd w:val="0"/>
        <w:snapToGrid w:val="0"/>
        <w:rPr>
          <w:rFonts w:cs="宋体"/>
          <w:b/>
          <w:szCs w:val="21"/>
          <w:highlight w:val="none"/>
        </w:rPr>
      </w:pPr>
      <w:r>
        <w:rPr>
          <w:rFonts w:hint="eastAsia" w:cs="宋体"/>
          <w:b/>
          <w:szCs w:val="21"/>
          <w:highlight w:val="none"/>
        </w:rPr>
        <w:t xml:space="preserve">乙方（供应商公章）名称： </w:t>
      </w:r>
    </w:p>
    <w:p w14:paraId="401ED685">
      <w:pPr>
        <w:adjustRightInd w:val="0"/>
        <w:snapToGrid w:val="0"/>
        <w:rPr>
          <w:rFonts w:cs="宋体"/>
          <w:b/>
          <w:szCs w:val="21"/>
          <w:highlight w:val="none"/>
        </w:rPr>
      </w:pPr>
      <w:r>
        <w:rPr>
          <w:rFonts w:hint="eastAsia" w:cs="宋体"/>
          <w:b/>
          <w:szCs w:val="21"/>
          <w:highlight w:val="none"/>
        </w:rPr>
        <w:t>地    址：</w:t>
      </w:r>
    </w:p>
    <w:p w14:paraId="378D6BA7">
      <w:pPr>
        <w:adjustRightInd w:val="0"/>
        <w:snapToGrid w:val="0"/>
        <w:rPr>
          <w:rFonts w:cs="宋体"/>
          <w:b/>
          <w:szCs w:val="21"/>
          <w:highlight w:val="none"/>
        </w:rPr>
      </w:pPr>
      <w:r>
        <w:rPr>
          <w:rFonts w:hint="eastAsia" w:cs="宋体"/>
          <w:b/>
          <w:szCs w:val="21"/>
          <w:highlight w:val="none"/>
        </w:rPr>
        <w:t>邮    编：</w:t>
      </w:r>
    </w:p>
    <w:p w14:paraId="3E3815E8">
      <w:pPr>
        <w:adjustRightInd w:val="0"/>
        <w:snapToGrid w:val="0"/>
        <w:rPr>
          <w:rFonts w:cs="宋体"/>
          <w:b/>
          <w:szCs w:val="21"/>
          <w:highlight w:val="none"/>
        </w:rPr>
      </w:pPr>
      <w:r>
        <w:rPr>
          <w:rFonts w:hint="eastAsia" w:cs="宋体"/>
          <w:b/>
          <w:szCs w:val="21"/>
          <w:highlight w:val="none"/>
        </w:rPr>
        <w:t xml:space="preserve">法定代表人或委托代理人： </w:t>
      </w:r>
    </w:p>
    <w:p w14:paraId="0B42B04C">
      <w:pPr>
        <w:adjustRightInd w:val="0"/>
        <w:snapToGrid w:val="0"/>
        <w:rPr>
          <w:rFonts w:cs="宋体"/>
          <w:b/>
          <w:szCs w:val="21"/>
          <w:highlight w:val="none"/>
        </w:rPr>
      </w:pPr>
      <w:r>
        <w:rPr>
          <w:rFonts w:hint="eastAsia" w:cs="宋体"/>
          <w:b/>
          <w:szCs w:val="21"/>
          <w:highlight w:val="none"/>
        </w:rPr>
        <w:t>经 办 人：</w:t>
      </w:r>
    </w:p>
    <w:p w14:paraId="798AC98F">
      <w:pPr>
        <w:adjustRightInd w:val="0"/>
        <w:snapToGrid w:val="0"/>
        <w:rPr>
          <w:rFonts w:cs="宋体"/>
          <w:b/>
          <w:szCs w:val="21"/>
          <w:highlight w:val="none"/>
        </w:rPr>
      </w:pPr>
      <w:r>
        <w:rPr>
          <w:rFonts w:hint="eastAsia" w:cs="宋体"/>
          <w:b/>
          <w:szCs w:val="21"/>
          <w:highlight w:val="none"/>
        </w:rPr>
        <w:t>开户银行：</w:t>
      </w:r>
    </w:p>
    <w:p w14:paraId="55B8CCAB">
      <w:pPr>
        <w:adjustRightInd w:val="0"/>
        <w:snapToGrid w:val="0"/>
        <w:rPr>
          <w:rFonts w:cs="宋体"/>
          <w:b/>
          <w:szCs w:val="21"/>
          <w:highlight w:val="none"/>
        </w:rPr>
      </w:pPr>
      <w:r>
        <w:rPr>
          <w:rFonts w:hint="eastAsia" w:cs="宋体"/>
          <w:b/>
          <w:szCs w:val="21"/>
          <w:highlight w:val="none"/>
        </w:rPr>
        <w:t>账    号：</w:t>
      </w:r>
    </w:p>
    <w:p w14:paraId="714BDCE3">
      <w:pPr>
        <w:adjustRightInd w:val="0"/>
        <w:snapToGrid w:val="0"/>
        <w:rPr>
          <w:rFonts w:cs="宋体"/>
          <w:b/>
          <w:szCs w:val="21"/>
          <w:highlight w:val="none"/>
        </w:rPr>
      </w:pPr>
      <w:r>
        <w:rPr>
          <w:rFonts w:hint="eastAsia" w:cs="宋体"/>
          <w:b/>
          <w:szCs w:val="21"/>
          <w:highlight w:val="none"/>
        </w:rPr>
        <w:t>税    号：</w:t>
      </w:r>
    </w:p>
    <w:p w14:paraId="7E2D518F">
      <w:pPr>
        <w:adjustRightInd w:val="0"/>
        <w:snapToGrid w:val="0"/>
        <w:rPr>
          <w:rFonts w:cs="宋体"/>
          <w:b/>
          <w:szCs w:val="21"/>
          <w:highlight w:val="none"/>
        </w:rPr>
      </w:pPr>
      <w:r>
        <w:rPr>
          <w:rFonts w:hint="eastAsia" w:cs="宋体"/>
          <w:b/>
          <w:szCs w:val="21"/>
          <w:highlight w:val="none"/>
        </w:rPr>
        <w:t>电    话：</w:t>
      </w:r>
    </w:p>
    <w:p w14:paraId="35A3B44D">
      <w:pPr>
        <w:adjustRightInd w:val="0"/>
        <w:snapToGrid w:val="0"/>
        <w:rPr>
          <w:rFonts w:cs="宋体"/>
          <w:b/>
          <w:szCs w:val="21"/>
          <w:highlight w:val="none"/>
        </w:rPr>
      </w:pPr>
      <w:r>
        <w:rPr>
          <w:rFonts w:hint="eastAsia" w:cs="宋体"/>
          <w:b/>
          <w:szCs w:val="21"/>
          <w:highlight w:val="none"/>
        </w:rPr>
        <w:t>签订日期：</w:t>
      </w:r>
    </w:p>
    <w:p w14:paraId="119402F2">
      <w:pPr>
        <w:spacing w:after="160" w:line="240" w:lineRule="auto"/>
        <w:rPr>
          <w:rFonts w:cs="宋体"/>
          <w:sz w:val="20"/>
          <w:szCs w:val="20"/>
          <w:highlight w:val="none"/>
        </w:rPr>
      </w:pPr>
      <w:r>
        <w:rPr>
          <w:rFonts w:hint="eastAsia" w:cs="宋体"/>
          <w:sz w:val="20"/>
          <w:szCs w:val="20"/>
          <w:highlight w:val="none"/>
        </w:rPr>
        <w:br w:type="page"/>
      </w:r>
    </w:p>
    <w:p w14:paraId="25F4A304">
      <w:pPr>
        <w:pStyle w:val="34"/>
        <w:rPr>
          <w:rFonts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pacing w:val="0"/>
          <w:kern w:val="0"/>
          <w:sz w:val="21"/>
          <w:szCs w:val="21"/>
          <w:highlight w:val="none"/>
          <w14:textFill>
            <w14:solidFill>
              <w14:schemeClr w14:val="tx1"/>
            </w14:solidFill>
          </w14:textFill>
        </w:rPr>
        <w:t>甲方</w:t>
      </w:r>
      <w:r>
        <w:rPr>
          <w:rFonts w:hint="eastAsia" w:ascii="宋体" w:hAnsi="宋体" w:eastAsia="宋体" w:cs="宋体"/>
          <w:color w:val="000000" w:themeColor="text1"/>
          <w:kern w:val="0"/>
          <w:sz w:val="21"/>
          <w:szCs w:val="21"/>
          <w:highlight w:val="none"/>
          <w14:textFill>
            <w14:solidFill>
              <w14:schemeClr w14:val="tx1"/>
            </w14:solidFill>
          </w14:textFill>
        </w:rPr>
        <w:t>：</w:t>
      </w:r>
      <w:r>
        <w:rPr>
          <w:rFonts w:hint="eastAsia" w:ascii="宋体" w:hAnsi="宋体" w:eastAsia="宋体" w:cs="宋体"/>
          <w:color w:val="000000" w:themeColor="text1"/>
          <w:kern w:val="0"/>
          <w:sz w:val="21"/>
          <w:szCs w:val="21"/>
          <w:highlight w:val="none"/>
          <w:u w:val="single"/>
          <w14:textFill>
            <w14:solidFill>
              <w14:schemeClr w14:val="tx1"/>
            </w14:solidFill>
          </w14:textFill>
        </w:rPr>
        <w:t xml:space="preserve">云南政协报社    </w:t>
      </w:r>
    </w:p>
    <w:p w14:paraId="245FB1F1">
      <w:pPr>
        <w:rPr>
          <w:rFonts w:cs="宋体"/>
          <w:b/>
          <w:color w:val="000000" w:themeColor="text1"/>
          <w:kern w:val="0"/>
          <w:szCs w:val="21"/>
          <w:highlight w:val="none"/>
          <w14:textFill>
            <w14:solidFill>
              <w14:schemeClr w14:val="tx1"/>
            </w14:solidFill>
          </w14:textFill>
        </w:rPr>
      </w:pPr>
      <w:r>
        <w:rPr>
          <w:rFonts w:hint="eastAsia" w:cs="宋体"/>
          <w:b/>
          <w:color w:val="000000" w:themeColor="text1"/>
          <w:kern w:val="0"/>
          <w:szCs w:val="21"/>
          <w:highlight w:val="none"/>
          <w14:textFill>
            <w14:solidFill>
              <w14:schemeClr w14:val="tx1"/>
            </w14:solidFill>
          </w14:textFill>
        </w:rPr>
        <w:t>乙方：</w:t>
      </w:r>
      <w:r>
        <w:rPr>
          <w:rFonts w:hint="eastAsia" w:cs="宋体"/>
          <w:b/>
          <w:color w:val="000000" w:themeColor="text1"/>
          <w:kern w:val="0"/>
          <w:szCs w:val="21"/>
          <w:highlight w:val="none"/>
          <w:u w:val="single"/>
          <w14:textFill>
            <w14:solidFill>
              <w14:schemeClr w14:val="tx1"/>
            </w14:solidFill>
          </w14:textFill>
        </w:rPr>
        <w:t xml:space="preserve">                </w:t>
      </w:r>
    </w:p>
    <w:p w14:paraId="7A958D3D">
      <w:pPr>
        <w:pStyle w:val="34"/>
        <w:tabs>
          <w:tab w:val="left" w:pos="1653"/>
        </w:tabs>
        <w:ind w:firstLine="388" w:firstLineChars="200"/>
        <w:rPr>
          <w:rFonts w:ascii="宋体" w:hAnsi="宋体" w:eastAsia="宋体" w:cs="宋体"/>
          <w:sz w:val="21"/>
          <w:szCs w:val="21"/>
          <w:highlight w:val="none"/>
        </w:rPr>
      </w:pPr>
      <w:r>
        <w:rPr>
          <w:rFonts w:hint="eastAsia" w:ascii="宋体" w:hAnsi="宋体" w:eastAsia="宋体" w:cs="宋体"/>
          <w:sz w:val="21"/>
          <w:szCs w:val="21"/>
          <w:highlight w:val="none"/>
        </w:rPr>
        <w:t>甲乙双方经协商就印刷服务业务事宜达成一致，特签订本合同，以兹共同遵守。</w:t>
      </w:r>
    </w:p>
    <w:p w14:paraId="18AD6D09">
      <w:pPr>
        <w:ind w:firstLine="420" w:firstLineChars="200"/>
        <w:rPr>
          <w:rFonts w:cs="宋体"/>
          <w:szCs w:val="21"/>
          <w:highlight w:val="none"/>
        </w:rPr>
      </w:pPr>
      <w:r>
        <w:rPr>
          <w:rFonts w:hint="eastAsia" w:cs="宋体"/>
          <w:szCs w:val="21"/>
          <w:highlight w:val="none"/>
        </w:rPr>
        <w:t>依据《中华人民共和国民法典》《中华人民共和国政府采购法》《印刷业管理条例》等相关法律法规，甲乙双方本着平等自愿、公平诚信、互利共赢的原则，就甲方委托乙方提供印刷服务事宜，经友好协商，订立本合同，以资共同信守。</w:t>
      </w:r>
    </w:p>
    <w:p w14:paraId="70D45A83">
      <w:pPr>
        <w:pStyle w:val="4"/>
        <w:keepNext w:val="0"/>
        <w:widowControl/>
        <w:numPr>
          <w:ilvl w:val="0"/>
          <w:numId w:val="0"/>
        </w:numPr>
        <w:tabs>
          <w:tab w:val="clear" w:pos="360"/>
        </w:tabs>
        <w:ind w:left="284" w:hanging="284"/>
        <w:jc w:val="left"/>
        <w:rPr>
          <w:rFonts w:hint="eastAsia" w:eastAsia="宋体" w:cs="宋体"/>
          <w:bCs/>
          <w:kern w:val="2"/>
          <w:sz w:val="21"/>
          <w:szCs w:val="21"/>
          <w:highlight w:val="none"/>
        </w:rPr>
      </w:pPr>
      <w:bookmarkStart w:id="139" w:name="_Toc9876"/>
      <w:bookmarkStart w:id="140" w:name="_Toc24119"/>
      <w:r>
        <w:rPr>
          <w:rFonts w:hint="eastAsia" w:eastAsia="宋体" w:cs="宋体"/>
          <w:bCs/>
          <w:kern w:val="2"/>
          <w:sz w:val="21"/>
          <w:szCs w:val="21"/>
          <w:highlight w:val="none"/>
        </w:rPr>
        <w:t>一、服务内容及范围</w:t>
      </w:r>
      <w:bookmarkEnd w:id="139"/>
      <w:bookmarkEnd w:id="140"/>
    </w:p>
    <w:p w14:paraId="0EB3CA7E">
      <w:pPr>
        <w:spacing w:line="360" w:lineRule="auto"/>
        <w:ind w:firstLine="420" w:firstLineChars="200"/>
        <w:rPr>
          <w:rStyle w:val="98"/>
          <w:rFonts w:hint="eastAsia" w:ascii="宋体" w:hAnsi="宋体" w:eastAsia="宋体" w:cs="宋体"/>
          <w:bCs/>
          <w:sz w:val="21"/>
          <w:szCs w:val="21"/>
          <w:highlight w:val="none"/>
        </w:rPr>
      </w:pPr>
      <w:bookmarkStart w:id="141" w:name="_Toc25160"/>
      <w:r>
        <w:rPr>
          <w:rStyle w:val="98"/>
          <w:rFonts w:hint="eastAsia" w:ascii="宋体" w:hAnsi="宋体" w:eastAsia="宋体" w:cs="宋体"/>
          <w:b w:val="0"/>
          <w:bCs w:val="0"/>
          <w:sz w:val="21"/>
          <w:szCs w:val="21"/>
          <w:highlight w:val="none"/>
        </w:rPr>
        <w:t>内容：《云南政协报》报纸的排版、设计、校对、印刷等服务，对开八至二十四版，使用48g新闻纸。每周二、四、六出版（全部彩色印刷），按采购方要求交付。</w:t>
      </w:r>
    </w:p>
    <w:bookmarkEnd w:id="141"/>
    <w:p w14:paraId="1C225021">
      <w:pPr>
        <w:pStyle w:val="4"/>
        <w:keepNext w:val="0"/>
        <w:widowControl/>
        <w:numPr>
          <w:ilvl w:val="0"/>
          <w:numId w:val="0"/>
        </w:numPr>
        <w:tabs>
          <w:tab w:val="clear" w:pos="360"/>
        </w:tabs>
        <w:ind w:left="284" w:hanging="284"/>
        <w:jc w:val="left"/>
        <w:rPr>
          <w:rFonts w:hint="eastAsia" w:eastAsia="宋体" w:cs="宋体"/>
          <w:bCs/>
          <w:kern w:val="2"/>
          <w:sz w:val="21"/>
          <w:szCs w:val="21"/>
          <w:highlight w:val="none"/>
        </w:rPr>
      </w:pPr>
      <w:bookmarkStart w:id="142" w:name="_Toc2329"/>
      <w:bookmarkStart w:id="143" w:name="_Toc24616"/>
      <w:r>
        <w:rPr>
          <w:rFonts w:hint="eastAsia" w:eastAsia="宋体" w:cs="宋体"/>
          <w:bCs/>
          <w:kern w:val="2"/>
          <w:sz w:val="21"/>
          <w:szCs w:val="21"/>
          <w:highlight w:val="none"/>
        </w:rPr>
        <w:t>二、服务期限</w:t>
      </w:r>
      <w:bookmarkEnd w:id="142"/>
      <w:bookmarkEnd w:id="143"/>
    </w:p>
    <w:p w14:paraId="7013FE06">
      <w:pPr>
        <w:ind w:firstLine="420" w:firstLineChars="200"/>
        <w:rPr>
          <w:highlight w:val="none"/>
        </w:rPr>
      </w:pPr>
      <w:bookmarkStart w:id="144" w:name="_Toc14208"/>
      <w:r>
        <w:rPr>
          <w:rStyle w:val="98"/>
          <w:rFonts w:hint="eastAsia" w:ascii="宋体" w:hAnsi="宋体" w:eastAsia="宋体" w:cs="宋体"/>
          <w:b w:val="0"/>
          <w:bCs w:val="0"/>
          <w:sz w:val="21"/>
          <w:szCs w:val="21"/>
          <w:highlight w:val="none"/>
        </w:rPr>
        <w:t>三年，合同一年一签；每年期满采购人开展服务评估，评估合格续签、不合格不予续签，采购人无补偿责任。</w:t>
      </w:r>
      <w:bookmarkEnd w:id="144"/>
    </w:p>
    <w:p w14:paraId="3206F416">
      <w:pPr>
        <w:spacing w:line="360" w:lineRule="auto"/>
        <w:rPr>
          <w:rStyle w:val="98"/>
          <w:rFonts w:hint="eastAsia" w:ascii="宋体" w:hAnsi="宋体" w:eastAsia="宋体" w:cs="宋体"/>
          <w:bCs/>
          <w:sz w:val="21"/>
          <w:szCs w:val="21"/>
          <w:highlight w:val="none"/>
        </w:rPr>
      </w:pPr>
      <w:bookmarkStart w:id="145" w:name="_Toc15772"/>
      <w:r>
        <w:rPr>
          <w:rFonts w:hint="eastAsia" w:eastAsia="宋体" w:cs="宋体"/>
          <w:bCs/>
          <w:kern w:val="2"/>
          <w:sz w:val="21"/>
          <w:szCs w:val="21"/>
          <w:highlight w:val="none"/>
        </w:rPr>
        <w:t>三、</w:t>
      </w:r>
      <w:bookmarkEnd w:id="145"/>
      <w:r>
        <w:rPr>
          <w:rStyle w:val="98"/>
          <w:rFonts w:hint="eastAsia" w:ascii="宋体" w:hAnsi="宋体" w:eastAsia="宋体" w:cs="宋体"/>
          <w:bCs/>
          <w:sz w:val="21"/>
          <w:szCs w:val="21"/>
          <w:highlight w:val="none"/>
        </w:rPr>
        <w:t>服务标准</w:t>
      </w:r>
    </w:p>
    <w:p w14:paraId="5D5FA502">
      <w:pPr>
        <w:spacing w:line="360" w:lineRule="auto"/>
        <w:ind w:firstLine="420" w:firstLineChars="200"/>
        <w:rPr>
          <w:rStyle w:val="98"/>
          <w:rFonts w:hint="eastAsia" w:ascii="宋体" w:hAnsi="宋体" w:eastAsia="宋体" w:cs="宋体"/>
          <w:b w:val="0"/>
          <w:bCs w:val="0"/>
          <w:sz w:val="21"/>
          <w:szCs w:val="21"/>
          <w:highlight w:val="none"/>
        </w:rPr>
      </w:pPr>
      <w:bookmarkStart w:id="146" w:name="_Toc12540"/>
      <w:r>
        <w:rPr>
          <w:rStyle w:val="98"/>
          <w:rFonts w:hint="eastAsia" w:ascii="宋体" w:hAnsi="宋体" w:eastAsia="宋体" w:cs="宋体"/>
          <w:b w:val="0"/>
          <w:bCs w:val="0"/>
          <w:sz w:val="21"/>
          <w:szCs w:val="21"/>
          <w:highlight w:val="none"/>
        </w:rPr>
        <w:t>符合国家相关标准、行业标准、地方标准或者其他标准、规范，满足采购文件及</w:t>
      </w:r>
      <w:r>
        <w:rPr>
          <w:rStyle w:val="98"/>
          <w:rFonts w:hint="eastAsia" w:ascii="宋体" w:hAnsi="宋体" w:eastAsia="宋体" w:cs="宋体"/>
          <w:b w:val="0"/>
          <w:bCs w:val="0"/>
          <w:sz w:val="21"/>
          <w:szCs w:val="21"/>
          <w:highlight w:val="none"/>
          <w:lang w:val="en-US" w:eastAsia="zh-CN"/>
        </w:rPr>
        <w:t>甲方</w:t>
      </w:r>
      <w:r>
        <w:rPr>
          <w:rStyle w:val="98"/>
          <w:rFonts w:hint="eastAsia" w:ascii="宋体" w:hAnsi="宋体" w:eastAsia="宋体" w:cs="宋体"/>
          <w:b w:val="0"/>
          <w:bCs w:val="0"/>
          <w:sz w:val="21"/>
          <w:szCs w:val="21"/>
          <w:highlight w:val="none"/>
        </w:rPr>
        <w:t>要求。</w:t>
      </w:r>
    </w:p>
    <w:bookmarkEnd w:id="146"/>
    <w:p w14:paraId="60931A95">
      <w:pPr>
        <w:spacing w:line="360" w:lineRule="auto"/>
        <w:rPr>
          <w:rStyle w:val="98"/>
          <w:rFonts w:hint="eastAsia" w:ascii="宋体" w:hAnsi="宋体" w:eastAsia="宋体" w:cs="宋体"/>
          <w:bCs/>
          <w:sz w:val="21"/>
          <w:szCs w:val="21"/>
          <w:highlight w:val="none"/>
        </w:rPr>
      </w:pPr>
      <w:bookmarkStart w:id="147" w:name="_Toc13452"/>
      <w:r>
        <w:rPr>
          <w:rFonts w:hint="eastAsia" w:cs="宋体"/>
          <w:bCs/>
          <w:kern w:val="2"/>
          <w:sz w:val="21"/>
          <w:szCs w:val="21"/>
          <w:highlight w:val="none"/>
          <w:lang w:val="en-US" w:eastAsia="zh-CN"/>
        </w:rPr>
        <w:t>四</w:t>
      </w:r>
      <w:r>
        <w:rPr>
          <w:rFonts w:hint="eastAsia" w:eastAsia="宋体" w:cs="宋体"/>
          <w:bCs/>
          <w:kern w:val="2"/>
          <w:sz w:val="21"/>
          <w:szCs w:val="21"/>
          <w:highlight w:val="none"/>
        </w:rPr>
        <w:t>、</w:t>
      </w:r>
      <w:r>
        <w:rPr>
          <w:rStyle w:val="98"/>
          <w:rFonts w:hint="eastAsia" w:ascii="宋体" w:hAnsi="宋体" w:eastAsia="宋体" w:cs="宋体"/>
          <w:bCs/>
          <w:sz w:val="21"/>
          <w:szCs w:val="21"/>
          <w:highlight w:val="none"/>
        </w:rPr>
        <w:t>技术、商务要求</w:t>
      </w:r>
    </w:p>
    <w:p w14:paraId="4152DAD5">
      <w:pPr>
        <w:spacing w:line="360" w:lineRule="auto"/>
        <w:rPr>
          <w:rStyle w:val="98"/>
          <w:rFonts w:hint="eastAsia" w:ascii="宋体" w:hAnsi="宋体" w:eastAsia="宋体" w:cs="宋体"/>
          <w:bCs/>
          <w:sz w:val="21"/>
          <w:szCs w:val="21"/>
          <w:highlight w:val="none"/>
        </w:rPr>
      </w:pPr>
      <w:bookmarkStart w:id="148" w:name="_Toc11951"/>
      <w:r>
        <w:rPr>
          <w:rStyle w:val="98"/>
          <w:rFonts w:hint="eastAsia" w:ascii="宋体" w:hAnsi="宋体" w:eastAsia="宋体" w:cs="宋体"/>
          <w:bCs/>
          <w:sz w:val="21"/>
          <w:szCs w:val="21"/>
          <w:highlight w:val="none"/>
        </w:rPr>
        <w:t>（一）技术要求</w:t>
      </w:r>
    </w:p>
    <w:bookmarkEnd w:id="148"/>
    <w:p w14:paraId="2E274767">
      <w:pPr>
        <w:spacing w:line="360" w:lineRule="auto"/>
        <w:rPr>
          <w:rStyle w:val="98"/>
          <w:rFonts w:hint="eastAsia" w:ascii="宋体" w:hAnsi="宋体" w:eastAsia="宋体" w:cs="宋体"/>
          <w:bCs/>
          <w:sz w:val="21"/>
          <w:szCs w:val="21"/>
          <w:highlight w:val="none"/>
        </w:rPr>
      </w:pPr>
      <w:bookmarkStart w:id="149" w:name="_Toc32012"/>
      <w:r>
        <w:rPr>
          <w:rStyle w:val="98"/>
          <w:rFonts w:hint="eastAsia" w:ascii="宋体" w:hAnsi="宋体" w:eastAsia="宋体" w:cs="宋体"/>
          <w:bCs/>
          <w:sz w:val="21"/>
          <w:szCs w:val="21"/>
          <w:highlight w:val="none"/>
        </w:rPr>
        <w:t>1、提供服务执行的技术标准</w:t>
      </w:r>
    </w:p>
    <w:bookmarkEnd w:id="149"/>
    <w:p w14:paraId="1FE960AB">
      <w:pPr>
        <w:spacing w:line="360" w:lineRule="auto"/>
        <w:ind w:firstLine="420" w:firstLineChars="200"/>
        <w:rPr>
          <w:rStyle w:val="98"/>
          <w:rFonts w:hint="eastAsia" w:ascii="宋体" w:hAnsi="宋体" w:eastAsia="宋体" w:cs="宋体"/>
          <w:b w:val="0"/>
          <w:bCs w:val="0"/>
          <w:sz w:val="21"/>
          <w:szCs w:val="21"/>
          <w:highlight w:val="none"/>
          <w:lang w:eastAsia="zh-CN"/>
        </w:rPr>
      </w:pPr>
      <w:bookmarkStart w:id="150" w:name="_Toc27076"/>
      <w:r>
        <w:rPr>
          <w:rStyle w:val="98"/>
          <w:rFonts w:hint="eastAsia" w:ascii="宋体" w:hAnsi="宋体" w:eastAsia="宋体" w:cs="宋体"/>
          <w:b w:val="0"/>
          <w:bCs w:val="0"/>
          <w:sz w:val="21"/>
          <w:szCs w:val="21"/>
          <w:highlight w:val="none"/>
        </w:rPr>
        <w:t>标准参照《全国报纸印刷质量管理暂行办法》《</w:t>
      </w:r>
      <w:r>
        <w:rPr>
          <w:rStyle w:val="98"/>
          <w:rFonts w:hint="eastAsia" w:cs="宋体"/>
          <w:b w:val="0"/>
          <w:bCs w:val="0"/>
          <w:sz w:val="21"/>
          <w:szCs w:val="21"/>
          <w:highlight w:val="none"/>
          <w:lang w:eastAsia="zh-CN"/>
        </w:rPr>
        <w:t>《报纸印刷质量检测要求》CY/T 5-2021</w:t>
      </w:r>
      <w:r>
        <w:rPr>
          <w:rStyle w:val="98"/>
          <w:rFonts w:hint="eastAsia" w:ascii="宋体" w:hAnsi="宋体" w:eastAsia="宋体" w:cs="宋体"/>
          <w:b w:val="0"/>
          <w:bCs w:val="0"/>
          <w:sz w:val="21"/>
          <w:szCs w:val="21"/>
          <w:highlight w:val="none"/>
        </w:rPr>
        <w:t>》</w:t>
      </w:r>
      <w:r>
        <w:rPr>
          <w:rStyle w:val="98"/>
          <w:rFonts w:hint="eastAsia" w:cs="宋体"/>
          <w:b w:val="0"/>
          <w:bCs w:val="0"/>
          <w:sz w:val="21"/>
          <w:szCs w:val="21"/>
          <w:highlight w:val="none"/>
          <w:lang w:eastAsia="zh-CN"/>
        </w:rPr>
        <w:t>。</w:t>
      </w:r>
    </w:p>
    <w:bookmarkEnd w:id="150"/>
    <w:p w14:paraId="4D0FB1AC">
      <w:pPr>
        <w:spacing w:line="360" w:lineRule="auto"/>
        <w:rPr>
          <w:rStyle w:val="98"/>
          <w:rFonts w:hint="eastAsia" w:ascii="宋体" w:hAnsi="宋体" w:eastAsia="宋体" w:cs="宋体"/>
          <w:bCs/>
          <w:sz w:val="21"/>
          <w:szCs w:val="21"/>
          <w:highlight w:val="none"/>
        </w:rPr>
      </w:pPr>
      <w:bookmarkStart w:id="151" w:name="_Toc20898"/>
      <w:r>
        <w:rPr>
          <w:rStyle w:val="98"/>
          <w:rFonts w:hint="eastAsia" w:ascii="宋体" w:hAnsi="宋体" w:eastAsia="宋体" w:cs="宋体"/>
          <w:bCs/>
          <w:sz w:val="21"/>
          <w:szCs w:val="21"/>
          <w:highlight w:val="none"/>
        </w:rPr>
        <w:t>2、详细的服务要求</w:t>
      </w:r>
    </w:p>
    <w:bookmarkEnd w:id="151"/>
    <w:p w14:paraId="7EE621F9">
      <w:pPr>
        <w:spacing w:line="360" w:lineRule="auto"/>
        <w:ind w:firstLine="420" w:firstLineChars="200"/>
        <w:rPr>
          <w:rStyle w:val="98"/>
          <w:rFonts w:hint="eastAsia" w:ascii="宋体" w:hAnsi="宋体" w:eastAsia="宋体" w:cs="宋体"/>
          <w:b w:val="0"/>
          <w:bCs w:val="0"/>
          <w:sz w:val="21"/>
          <w:szCs w:val="21"/>
          <w:highlight w:val="none"/>
        </w:rPr>
      </w:pPr>
      <w:bookmarkStart w:id="152" w:name="_Toc12204"/>
      <w:r>
        <w:rPr>
          <w:rStyle w:val="98"/>
          <w:rFonts w:hint="eastAsia" w:ascii="宋体" w:hAnsi="宋体" w:eastAsia="宋体" w:cs="宋体"/>
          <w:b w:val="0"/>
          <w:bCs w:val="0"/>
          <w:sz w:val="21"/>
          <w:szCs w:val="21"/>
          <w:highlight w:val="none"/>
        </w:rPr>
        <w:t>2.1印刷服务方面</w:t>
      </w:r>
    </w:p>
    <w:bookmarkEnd w:id="152"/>
    <w:p w14:paraId="615B17E5">
      <w:pPr>
        <w:spacing w:line="360" w:lineRule="auto"/>
        <w:ind w:firstLine="420" w:firstLineChars="200"/>
        <w:rPr>
          <w:rStyle w:val="98"/>
          <w:rFonts w:hint="eastAsia" w:ascii="宋体" w:hAnsi="宋体" w:eastAsia="宋体" w:cs="宋体"/>
          <w:b w:val="0"/>
          <w:bCs w:val="0"/>
          <w:sz w:val="21"/>
          <w:szCs w:val="21"/>
          <w:highlight w:val="none"/>
        </w:rPr>
      </w:pPr>
      <w:bookmarkStart w:id="153" w:name="_Toc13714"/>
      <w:r>
        <w:rPr>
          <w:rStyle w:val="98"/>
          <w:rFonts w:hint="eastAsia" w:ascii="宋体" w:hAnsi="宋体" w:eastAsia="宋体" w:cs="宋体"/>
          <w:b w:val="0"/>
          <w:bCs w:val="0"/>
          <w:sz w:val="21"/>
          <w:szCs w:val="21"/>
          <w:highlight w:val="none"/>
        </w:rPr>
        <w:t>(1）印刷安全要求：</w:t>
      </w:r>
    </w:p>
    <w:bookmarkEnd w:id="153"/>
    <w:p w14:paraId="27A025E3">
      <w:pPr>
        <w:spacing w:line="360" w:lineRule="auto"/>
        <w:ind w:firstLine="420" w:firstLineChars="200"/>
        <w:rPr>
          <w:rStyle w:val="98"/>
          <w:rFonts w:hint="eastAsia" w:ascii="宋体" w:hAnsi="宋体" w:eastAsia="宋体" w:cs="宋体"/>
          <w:b w:val="0"/>
          <w:bCs w:val="0"/>
          <w:sz w:val="21"/>
          <w:szCs w:val="21"/>
          <w:highlight w:val="none"/>
        </w:rPr>
      </w:pPr>
      <w:bookmarkStart w:id="154" w:name="_Toc24830"/>
      <w:r>
        <w:rPr>
          <w:rStyle w:val="98"/>
          <w:rFonts w:hint="eastAsia" w:ascii="宋体" w:hAnsi="宋体" w:eastAsia="宋体" w:cs="宋体"/>
          <w:b w:val="0"/>
          <w:bCs w:val="0"/>
          <w:sz w:val="21"/>
          <w:szCs w:val="21"/>
          <w:highlight w:val="none"/>
          <w:lang w:eastAsia="zh-CN"/>
        </w:rPr>
        <w:t>乙方</w:t>
      </w:r>
      <w:r>
        <w:rPr>
          <w:rStyle w:val="98"/>
          <w:rFonts w:hint="eastAsia" w:ascii="宋体" w:hAnsi="宋体" w:eastAsia="宋体" w:cs="宋体"/>
          <w:b w:val="0"/>
          <w:bCs w:val="0"/>
          <w:sz w:val="21"/>
          <w:szCs w:val="21"/>
          <w:highlight w:val="none"/>
        </w:rPr>
        <w:t>须落实意识形态内容终审核查，做好版面资料保密管控；规范印刷设备、用电、消防及新闻纸仓储安全管理，合规处置废报残品，严防样报私自外流，保障报纸印刷全过程合法安全。</w:t>
      </w:r>
    </w:p>
    <w:bookmarkEnd w:id="154"/>
    <w:p w14:paraId="3123D471">
      <w:pPr>
        <w:spacing w:line="360" w:lineRule="auto"/>
        <w:rPr>
          <w:rStyle w:val="98"/>
          <w:rFonts w:hint="eastAsia" w:ascii="宋体" w:hAnsi="宋体" w:eastAsia="宋体" w:cs="宋体"/>
          <w:b w:val="0"/>
          <w:bCs w:val="0"/>
          <w:sz w:val="21"/>
          <w:szCs w:val="21"/>
          <w:highlight w:val="none"/>
        </w:rPr>
      </w:pPr>
      <w:bookmarkStart w:id="155" w:name="_Toc4046"/>
      <w:r>
        <w:rPr>
          <w:rStyle w:val="98"/>
          <w:rFonts w:hint="eastAsia" w:ascii="宋体" w:hAnsi="宋体" w:eastAsia="宋体" w:cs="宋体"/>
          <w:b w:val="0"/>
          <w:bCs w:val="0"/>
          <w:sz w:val="21"/>
          <w:szCs w:val="21"/>
          <w:highlight w:val="none"/>
        </w:rPr>
        <w:t>(2）印刷纸张要求：</w:t>
      </w:r>
    </w:p>
    <w:bookmarkEnd w:id="155"/>
    <w:p w14:paraId="11FBAFBF">
      <w:pPr>
        <w:spacing w:line="360" w:lineRule="auto"/>
        <w:ind w:firstLine="420" w:firstLineChars="200"/>
        <w:rPr>
          <w:rStyle w:val="98"/>
          <w:rFonts w:hint="eastAsia" w:ascii="宋体" w:hAnsi="宋体" w:eastAsia="宋体" w:cs="宋体"/>
          <w:b w:val="0"/>
          <w:bCs w:val="0"/>
          <w:sz w:val="21"/>
          <w:szCs w:val="21"/>
          <w:highlight w:val="none"/>
        </w:rPr>
      </w:pPr>
      <w:bookmarkStart w:id="156" w:name="_Toc30425"/>
      <w:r>
        <w:rPr>
          <w:rStyle w:val="98"/>
          <w:rFonts w:hint="eastAsia" w:ascii="宋体" w:hAnsi="宋体" w:eastAsia="宋体" w:cs="宋体"/>
          <w:b w:val="0"/>
          <w:bCs w:val="0"/>
          <w:sz w:val="21"/>
          <w:szCs w:val="21"/>
          <w:highlight w:val="none"/>
        </w:rPr>
        <w:t>用纸：使用48g优质新闻纸，纸张表面平整，无褶皱、破口。印刷版面无黑斑、无脏迹、无糊版，干净清晰。</w:t>
      </w:r>
    </w:p>
    <w:bookmarkEnd w:id="156"/>
    <w:p w14:paraId="76E9C134">
      <w:pPr>
        <w:spacing w:line="360" w:lineRule="auto"/>
        <w:rPr>
          <w:rStyle w:val="98"/>
          <w:rFonts w:hint="eastAsia" w:ascii="宋体" w:hAnsi="宋体" w:eastAsia="宋体" w:cs="宋体"/>
          <w:b w:val="0"/>
          <w:bCs w:val="0"/>
          <w:sz w:val="21"/>
          <w:szCs w:val="21"/>
          <w:highlight w:val="none"/>
        </w:rPr>
      </w:pPr>
      <w:bookmarkStart w:id="157" w:name="_Toc4921"/>
      <w:r>
        <w:rPr>
          <w:rStyle w:val="98"/>
          <w:rFonts w:hint="eastAsia" w:ascii="宋体" w:hAnsi="宋体" w:eastAsia="宋体" w:cs="宋体"/>
          <w:b w:val="0"/>
          <w:bCs w:val="0"/>
          <w:sz w:val="21"/>
          <w:szCs w:val="21"/>
          <w:highlight w:val="none"/>
        </w:rPr>
        <w:t>(3）印刷质量要求：</w:t>
      </w:r>
    </w:p>
    <w:bookmarkEnd w:id="157"/>
    <w:p w14:paraId="29E48A9C">
      <w:pPr>
        <w:spacing w:line="360" w:lineRule="auto"/>
        <w:ind w:firstLine="420" w:firstLineChars="200"/>
        <w:rPr>
          <w:rStyle w:val="98"/>
          <w:rFonts w:hint="eastAsia" w:ascii="宋体" w:hAnsi="宋体" w:eastAsia="宋体" w:cs="宋体"/>
          <w:b w:val="0"/>
          <w:bCs w:val="0"/>
          <w:sz w:val="21"/>
          <w:szCs w:val="21"/>
          <w:highlight w:val="none"/>
        </w:rPr>
      </w:pPr>
      <w:bookmarkStart w:id="158" w:name="_Toc1476"/>
      <w:r>
        <w:rPr>
          <w:rStyle w:val="98"/>
          <w:rFonts w:hint="eastAsia" w:ascii="宋体" w:hAnsi="宋体" w:eastAsia="宋体" w:cs="宋体"/>
          <w:b w:val="0"/>
          <w:bCs w:val="0"/>
          <w:sz w:val="21"/>
          <w:szCs w:val="21"/>
          <w:highlight w:val="none"/>
        </w:rPr>
        <w:t>1.图片：</w:t>
      </w:r>
    </w:p>
    <w:bookmarkEnd w:id="158"/>
    <w:p w14:paraId="602550D4">
      <w:pPr>
        <w:spacing w:line="360" w:lineRule="auto"/>
        <w:ind w:firstLine="420" w:firstLineChars="200"/>
        <w:rPr>
          <w:rStyle w:val="98"/>
          <w:rFonts w:hint="eastAsia" w:ascii="宋体" w:hAnsi="宋体" w:eastAsia="宋体" w:cs="宋体"/>
          <w:b w:val="0"/>
          <w:bCs w:val="0"/>
          <w:sz w:val="21"/>
          <w:szCs w:val="21"/>
          <w:highlight w:val="none"/>
        </w:rPr>
      </w:pPr>
      <w:bookmarkStart w:id="159" w:name="_Toc25231"/>
      <w:r>
        <w:rPr>
          <w:rStyle w:val="98"/>
          <w:rFonts w:hint="eastAsia" w:ascii="宋体" w:hAnsi="宋体" w:eastAsia="宋体" w:cs="宋体"/>
          <w:b w:val="0"/>
          <w:bCs w:val="0"/>
          <w:sz w:val="21"/>
          <w:szCs w:val="21"/>
          <w:highlight w:val="none"/>
        </w:rPr>
        <w:t>（1）图片要求层次分明，反差适中，网点清晰结实、不变形，不出龟纹、不缺色、不糊版、清晰度好、符合自然色调。</w:t>
      </w:r>
    </w:p>
    <w:bookmarkEnd w:id="159"/>
    <w:p w14:paraId="1FF4E54C">
      <w:pPr>
        <w:spacing w:line="360" w:lineRule="auto"/>
        <w:ind w:firstLine="420" w:firstLineChars="200"/>
        <w:rPr>
          <w:rStyle w:val="98"/>
          <w:rFonts w:hint="eastAsia" w:ascii="宋体" w:hAnsi="宋体" w:eastAsia="宋体" w:cs="宋体"/>
          <w:b w:val="0"/>
          <w:bCs w:val="0"/>
          <w:sz w:val="21"/>
          <w:szCs w:val="21"/>
          <w:highlight w:val="none"/>
        </w:rPr>
      </w:pPr>
      <w:bookmarkStart w:id="160" w:name="_Toc19611"/>
      <w:r>
        <w:rPr>
          <w:rStyle w:val="98"/>
          <w:rFonts w:hint="eastAsia" w:ascii="宋体" w:hAnsi="宋体" w:eastAsia="宋体" w:cs="宋体"/>
          <w:b w:val="0"/>
          <w:bCs w:val="0"/>
          <w:sz w:val="21"/>
          <w:szCs w:val="21"/>
          <w:highlight w:val="none"/>
        </w:rPr>
        <w:t>（2)彩色图片套印准确，误差小于0.15mm，直观彩色照片边缘无漏色、无网点不实和变形。</w:t>
      </w:r>
    </w:p>
    <w:bookmarkEnd w:id="160"/>
    <w:p w14:paraId="0EDE8123">
      <w:pPr>
        <w:spacing w:line="360" w:lineRule="auto"/>
        <w:rPr>
          <w:rStyle w:val="98"/>
          <w:rFonts w:hint="eastAsia" w:ascii="宋体" w:hAnsi="宋体" w:eastAsia="宋体" w:cs="宋体"/>
          <w:b w:val="0"/>
          <w:bCs w:val="0"/>
          <w:sz w:val="21"/>
          <w:szCs w:val="21"/>
          <w:highlight w:val="none"/>
        </w:rPr>
      </w:pPr>
      <w:bookmarkStart w:id="161" w:name="_Toc29727"/>
      <w:r>
        <w:rPr>
          <w:rStyle w:val="98"/>
          <w:rFonts w:hint="eastAsia" w:ascii="宋体" w:hAnsi="宋体" w:eastAsia="宋体" w:cs="宋体"/>
          <w:b w:val="0"/>
          <w:bCs w:val="0"/>
          <w:sz w:val="21"/>
          <w:szCs w:val="21"/>
          <w:highlight w:val="none"/>
        </w:rPr>
        <w:t>2.墨色：</w:t>
      </w:r>
    </w:p>
    <w:bookmarkEnd w:id="161"/>
    <w:p w14:paraId="13983B2C">
      <w:pPr>
        <w:spacing w:line="360" w:lineRule="auto"/>
        <w:ind w:firstLine="420" w:firstLineChars="200"/>
        <w:rPr>
          <w:rStyle w:val="98"/>
          <w:rFonts w:hint="eastAsia" w:ascii="宋体" w:hAnsi="宋体" w:eastAsia="宋体" w:cs="宋体"/>
          <w:b w:val="0"/>
          <w:bCs w:val="0"/>
          <w:sz w:val="21"/>
          <w:szCs w:val="21"/>
          <w:highlight w:val="none"/>
        </w:rPr>
      </w:pPr>
      <w:bookmarkStart w:id="162" w:name="_Toc22472"/>
      <w:r>
        <w:rPr>
          <w:rStyle w:val="98"/>
          <w:rFonts w:hint="eastAsia" w:ascii="宋体" w:hAnsi="宋体" w:eastAsia="宋体" w:cs="宋体"/>
          <w:b w:val="0"/>
          <w:bCs w:val="0"/>
          <w:sz w:val="21"/>
          <w:szCs w:val="21"/>
          <w:highlight w:val="none"/>
        </w:rPr>
        <w:t>（1)整版墨色均匀一致，横向实地密度误差0.05，直观墨色深浅基本一致。</w:t>
      </w:r>
    </w:p>
    <w:bookmarkEnd w:id="162"/>
    <w:p w14:paraId="10F5D1BE">
      <w:pPr>
        <w:spacing w:line="360" w:lineRule="auto"/>
        <w:ind w:firstLine="420" w:firstLineChars="200"/>
        <w:rPr>
          <w:rStyle w:val="98"/>
          <w:rFonts w:hint="eastAsia" w:ascii="宋体" w:hAnsi="宋体" w:eastAsia="宋体" w:cs="宋体"/>
          <w:b w:val="0"/>
          <w:bCs w:val="0"/>
          <w:sz w:val="21"/>
          <w:szCs w:val="21"/>
          <w:highlight w:val="none"/>
        </w:rPr>
      </w:pPr>
      <w:bookmarkStart w:id="163" w:name="_Toc15518"/>
      <w:r>
        <w:rPr>
          <w:rStyle w:val="98"/>
          <w:rFonts w:hint="eastAsia" w:ascii="宋体" w:hAnsi="宋体" w:eastAsia="宋体" w:cs="宋体"/>
          <w:b w:val="0"/>
          <w:bCs w:val="0"/>
          <w:sz w:val="21"/>
          <w:szCs w:val="21"/>
          <w:highlight w:val="none"/>
        </w:rPr>
        <w:t>（2)彩色图片的墨色饱满适中，包相纯正，不偏色。</w:t>
      </w:r>
    </w:p>
    <w:bookmarkEnd w:id="163"/>
    <w:p w14:paraId="53FB3430">
      <w:pPr>
        <w:spacing w:line="360" w:lineRule="auto"/>
        <w:rPr>
          <w:rStyle w:val="98"/>
          <w:rFonts w:hint="eastAsia" w:ascii="宋体" w:hAnsi="宋体" w:eastAsia="宋体" w:cs="宋体"/>
          <w:b w:val="0"/>
          <w:bCs w:val="0"/>
          <w:sz w:val="21"/>
          <w:szCs w:val="21"/>
          <w:highlight w:val="none"/>
        </w:rPr>
      </w:pPr>
      <w:bookmarkStart w:id="164" w:name="_Toc17239"/>
      <w:r>
        <w:rPr>
          <w:rStyle w:val="98"/>
          <w:rFonts w:hint="eastAsia" w:ascii="宋体" w:hAnsi="宋体" w:eastAsia="宋体" w:cs="宋体"/>
          <w:b w:val="0"/>
          <w:bCs w:val="0"/>
          <w:sz w:val="21"/>
          <w:szCs w:val="21"/>
          <w:highlight w:val="none"/>
        </w:rPr>
        <w:t>3.版面：</w:t>
      </w:r>
    </w:p>
    <w:bookmarkEnd w:id="164"/>
    <w:p w14:paraId="34FC7171">
      <w:pPr>
        <w:spacing w:line="360" w:lineRule="auto"/>
        <w:rPr>
          <w:rStyle w:val="98"/>
          <w:rFonts w:hint="eastAsia" w:ascii="宋体" w:hAnsi="宋体" w:eastAsia="宋体" w:cs="宋体"/>
          <w:b w:val="0"/>
          <w:bCs w:val="0"/>
          <w:sz w:val="21"/>
          <w:szCs w:val="21"/>
          <w:highlight w:val="none"/>
        </w:rPr>
      </w:pPr>
      <w:bookmarkStart w:id="165" w:name="_Toc8553"/>
      <w:r>
        <w:rPr>
          <w:rStyle w:val="98"/>
          <w:rFonts w:hint="eastAsia" w:ascii="宋体" w:hAnsi="宋体" w:eastAsia="宋体" w:cs="宋体"/>
          <w:b w:val="0"/>
          <w:bCs w:val="0"/>
          <w:sz w:val="21"/>
          <w:szCs w:val="21"/>
          <w:highlight w:val="none"/>
        </w:rPr>
        <w:t>外观应整洁，无重影，无透印，版面平整，版心居中，折叠整齐，无破损。</w:t>
      </w:r>
    </w:p>
    <w:bookmarkEnd w:id="165"/>
    <w:p w14:paraId="5025FB8F">
      <w:pPr>
        <w:spacing w:line="360" w:lineRule="auto"/>
        <w:ind w:firstLine="420" w:firstLineChars="200"/>
        <w:rPr>
          <w:rStyle w:val="98"/>
          <w:rFonts w:hint="eastAsia" w:ascii="宋体" w:hAnsi="宋体" w:eastAsia="宋体" w:cs="宋体"/>
          <w:b w:val="0"/>
          <w:bCs w:val="0"/>
          <w:sz w:val="21"/>
          <w:szCs w:val="21"/>
          <w:highlight w:val="none"/>
        </w:rPr>
      </w:pPr>
      <w:bookmarkStart w:id="166" w:name="_Toc15021"/>
      <w:r>
        <w:rPr>
          <w:rStyle w:val="98"/>
          <w:rFonts w:hint="eastAsia" w:ascii="宋体" w:hAnsi="宋体" w:eastAsia="宋体" w:cs="宋体"/>
          <w:b w:val="0"/>
          <w:bCs w:val="0"/>
          <w:sz w:val="21"/>
          <w:szCs w:val="21"/>
          <w:highlight w:val="none"/>
        </w:rPr>
        <w:t>（1)天头略大于底角。</w:t>
      </w:r>
    </w:p>
    <w:bookmarkEnd w:id="166"/>
    <w:p w14:paraId="5569FBA6">
      <w:pPr>
        <w:spacing w:line="360" w:lineRule="auto"/>
        <w:ind w:firstLine="420" w:firstLineChars="200"/>
        <w:rPr>
          <w:rStyle w:val="98"/>
          <w:rFonts w:hint="eastAsia" w:ascii="宋体" w:hAnsi="宋体" w:eastAsia="宋体" w:cs="宋体"/>
          <w:b w:val="0"/>
          <w:bCs w:val="0"/>
          <w:sz w:val="21"/>
          <w:szCs w:val="21"/>
          <w:highlight w:val="none"/>
        </w:rPr>
      </w:pPr>
      <w:bookmarkStart w:id="167" w:name="_Toc30181"/>
      <w:r>
        <w:rPr>
          <w:rStyle w:val="98"/>
          <w:rFonts w:hint="eastAsia" w:ascii="宋体" w:hAnsi="宋体" w:eastAsia="宋体" w:cs="宋体"/>
          <w:b w:val="0"/>
          <w:bCs w:val="0"/>
          <w:sz w:val="21"/>
          <w:szCs w:val="21"/>
          <w:highlight w:val="none"/>
        </w:rPr>
        <w:t>（2)无版面脏迹、白点、水迹、拼版标记划痕、油脏、墨脏、墨皮、墨杠、白杠等。</w:t>
      </w:r>
    </w:p>
    <w:bookmarkEnd w:id="167"/>
    <w:p w14:paraId="1B07ACD8">
      <w:pPr>
        <w:spacing w:line="360" w:lineRule="auto"/>
        <w:ind w:firstLine="420" w:firstLineChars="200"/>
        <w:rPr>
          <w:rStyle w:val="98"/>
          <w:rFonts w:hint="eastAsia" w:ascii="宋体" w:hAnsi="宋体" w:eastAsia="宋体" w:cs="宋体"/>
          <w:b w:val="0"/>
          <w:bCs w:val="0"/>
          <w:sz w:val="21"/>
          <w:szCs w:val="21"/>
          <w:highlight w:val="none"/>
        </w:rPr>
      </w:pPr>
      <w:bookmarkStart w:id="168" w:name="_Toc2787"/>
      <w:r>
        <w:rPr>
          <w:rStyle w:val="98"/>
          <w:rFonts w:hint="eastAsia" w:ascii="宋体" w:hAnsi="宋体" w:eastAsia="宋体" w:cs="宋体"/>
          <w:b w:val="0"/>
          <w:bCs w:val="0"/>
          <w:sz w:val="21"/>
          <w:szCs w:val="21"/>
          <w:highlight w:val="none"/>
        </w:rPr>
        <w:t>(3)无破损包括纸张破损、叨针眼过大、严重透印。</w:t>
      </w:r>
    </w:p>
    <w:bookmarkEnd w:id="168"/>
    <w:p w14:paraId="5169150B">
      <w:pPr>
        <w:spacing w:line="360" w:lineRule="auto"/>
        <w:rPr>
          <w:rStyle w:val="98"/>
          <w:rFonts w:hint="eastAsia" w:ascii="宋体" w:hAnsi="宋体" w:eastAsia="宋体" w:cs="宋体"/>
          <w:b w:val="0"/>
          <w:bCs w:val="0"/>
          <w:sz w:val="21"/>
          <w:szCs w:val="21"/>
          <w:highlight w:val="none"/>
        </w:rPr>
      </w:pPr>
      <w:bookmarkStart w:id="169" w:name="_Toc9445"/>
      <w:r>
        <w:rPr>
          <w:rStyle w:val="98"/>
          <w:rFonts w:hint="eastAsia" w:ascii="宋体" w:hAnsi="宋体" w:eastAsia="宋体" w:cs="宋体"/>
          <w:b w:val="0"/>
          <w:bCs w:val="0"/>
          <w:sz w:val="21"/>
          <w:szCs w:val="21"/>
          <w:highlight w:val="none"/>
        </w:rPr>
        <w:t>4.标题：</w:t>
      </w:r>
    </w:p>
    <w:bookmarkEnd w:id="169"/>
    <w:p w14:paraId="4D8B9597">
      <w:pPr>
        <w:spacing w:line="360" w:lineRule="auto"/>
        <w:ind w:firstLine="420" w:firstLineChars="200"/>
        <w:rPr>
          <w:rStyle w:val="98"/>
          <w:rFonts w:hint="eastAsia" w:ascii="宋体" w:hAnsi="宋体" w:eastAsia="宋体" w:cs="宋体"/>
          <w:b w:val="0"/>
          <w:bCs w:val="0"/>
          <w:sz w:val="21"/>
          <w:szCs w:val="21"/>
          <w:highlight w:val="none"/>
        </w:rPr>
      </w:pPr>
      <w:bookmarkStart w:id="170" w:name="_Toc1305"/>
      <w:r>
        <w:rPr>
          <w:rStyle w:val="98"/>
          <w:rFonts w:hint="eastAsia" w:ascii="宋体" w:hAnsi="宋体" w:eastAsia="宋体" w:cs="宋体"/>
          <w:b w:val="0"/>
          <w:bCs w:val="0"/>
          <w:sz w:val="21"/>
          <w:szCs w:val="21"/>
          <w:highlight w:val="none"/>
        </w:rPr>
        <w:t>（1)多色标题套印准确、色相纯正、不出重影。</w:t>
      </w:r>
    </w:p>
    <w:bookmarkEnd w:id="170"/>
    <w:p w14:paraId="6A534EAD">
      <w:pPr>
        <w:spacing w:line="360" w:lineRule="auto"/>
        <w:ind w:firstLine="420" w:firstLineChars="200"/>
        <w:rPr>
          <w:rStyle w:val="98"/>
          <w:rFonts w:hint="eastAsia" w:ascii="宋体" w:hAnsi="宋体" w:eastAsia="宋体" w:cs="宋体"/>
          <w:b w:val="0"/>
          <w:bCs w:val="0"/>
          <w:sz w:val="21"/>
          <w:szCs w:val="21"/>
          <w:highlight w:val="none"/>
        </w:rPr>
      </w:pPr>
      <w:bookmarkStart w:id="171" w:name="_Toc28223"/>
      <w:r>
        <w:rPr>
          <w:rStyle w:val="98"/>
          <w:rFonts w:hint="eastAsia" w:ascii="宋体" w:hAnsi="宋体" w:eastAsia="宋体" w:cs="宋体"/>
          <w:b w:val="0"/>
          <w:bCs w:val="0"/>
          <w:sz w:val="21"/>
          <w:szCs w:val="21"/>
          <w:highlight w:val="none"/>
        </w:rPr>
        <w:t>（2)质量标准：图片、题字、版面不发灰、不掉版、无绝网。图片、文字严重模糊，版面有（整版的及展开后宽度满10毫米的）、破洞、油污（指直径满20毫米的）为废报；重要图片印坏、上错版、上倒版、局部漏印等均属事故。</w:t>
      </w:r>
    </w:p>
    <w:bookmarkEnd w:id="171"/>
    <w:p w14:paraId="0BEF0952">
      <w:pPr>
        <w:spacing w:line="360" w:lineRule="auto"/>
        <w:ind w:firstLine="420" w:firstLineChars="200"/>
        <w:rPr>
          <w:rStyle w:val="98"/>
          <w:rFonts w:hint="eastAsia" w:ascii="宋体" w:hAnsi="宋体" w:eastAsia="宋体" w:cs="宋体"/>
          <w:b w:val="0"/>
          <w:bCs w:val="0"/>
          <w:sz w:val="21"/>
          <w:szCs w:val="21"/>
          <w:highlight w:val="none"/>
        </w:rPr>
      </w:pPr>
      <w:bookmarkStart w:id="172" w:name="_Toc6203"/>
      <w:r>
        <w:rPr>
          <w:rStyle w:val="98"/>
          <w:rFonts w:hint="eastAsia" w:ascii="宋体" w:hAnsi="宋体" w:eastAsia="宋体" w:cs="宋体"/>
          <w:b w:val="0"/>
          <w:bCs w:val="0"/>
          <w:sz w:val="21"/>
          <w:szCs w:val="21"/>
          <w:highlight w:val="none"/>
        </w:rPr>
        <w:t>（3)供报数字准确，报纸短缺率不超过万分之三。</w:t>
      </w:r>
    </w:p>
    <w:bookmarkEnd w:id="172"/>
    <w:p w14:paraId="29B6877B">
      <w:pPr>
        <w:spacing w:line="360" w:lineRule="auto"/>
        <w:ind w:firstLine="420" w:firstLineChars="200"/>
        <w:rPr>
          <w:rStyle w:val="98"/>
          <w:rFonts w:hint="eastAsia" w:ascii="宋体" w:hAnsi="宋体" w:eastAsia="宋体" w:cs="宋体"/>
          <w:b w:val="0"/>
          <w:bCs w:val="0"/>
          <w:sz w:val="21"/>
          <w:szCs w:val="21"/>
          <w:highlight w:val="none"/>
        </w:rPr>
      </w:pPr>
      <w:bookmarkStart w:id="173" w:name="_Toc8686"/>
      <w:r>
        <w:rPr>
          <w:rStyle w:val="98"/>
          <w:rFonts w:hint="eastAsia" w:ascii="宋体" w:hAnsi="宋体" w:eastAsia="宋体" w:cs="宋体"/>
          <w:b w:val="0"/>
          <w:bCs w:val="0"/>
          <w:sz w:val="21"/>
          <w:szCs w:val="21"/>
          <w:highlight w:val="none"/>
        </w:rPr>
        <w:t>(4）印刷工艺要求：一次性套印双面彩色印刷</w:t>
      </w:r>
    </w:p>
    <w:bookmarkEnd w:id="173"/>
    <w:p w14:paraId="59106112">
      <w:pPr>
        <w:spacing w:line="360" w:lineRule="auto"/>
        <w:ind w:firstLine="420" w:firstLineChars="200"/>
        <w:rPr>
          <w:rStyle w:val="98"/>
          <w:rFonts w:hint="eastAsia" w:ascii="宋体" w:hAnsi="宋体" w:eastAsia="宋体" w:cs="宋体"/>
          <w:b w:val="0"/>
          <w:bCs w:val="0"/>
          <w:sz w:val="21"/>
          <w:szCs w:val="21"/>
          <w:highlight w:val="none"/>
        </w:rPr>
      </w:pPr>
      <w:bookmarkStart w:id="174" w:name="_Toc1548"/>
      <w:r>
        <w:rPr>
          <w:rStyle w:val="98"/>
          <w:rFonts w:hint="eastAsia" w:ascii="宋体" w:hAnsi="宋体" w:eastAsia="宋体" w:cs="宋体"/>
          <w:b w:val="0"/>
          <w:bCs w:val="0"/>
          <w:sz w:val="21"/>
          <w:szCs w:val="21"/>
          <w:highlight w:val="none"/>
        </w:rPr>
        <w:t>（5）印刷和交付时限要求：版面传齐后40分钟内开印，并按邮局规定时间，在每天第一班车、船出发前交报，实行早报早投。</w:t>
      </w:r>
    </w:p>
    <w:bookmarkEnd w:id="174"/>
    <w:p w14:paraId="0E9611B9">
      <w:pPr>
        <w:spacing w:line="360" w:lineRule="auto"/>
        <w:ind w:firstLine="420" w:firstLineChars="200"/>
        <w:rPr>
          <w:rStyle w:val="98"/>
          <w:rFonts w:hint="eastAsia" w:ascii="宋体" w:hAnsi="宋体" w:eastAsia="宋体" w:cs="宋体"/>
          <w:b w:val="0"/>
          <w:bCs w:val="0"/>
          <w:sz w:val="21"/>
          <w:szCs w:val="21"/>
          <w:highlight w:val="none"/>
        </w:rPr>
      </w:pPr>
      <w:bookmarkStart w:id="175" w:name="_Toc19839"/>
      <w:r>
        <w:rPr>
          <w:rStyle w:val="98"/>
          <w:rFonts w:hint="eastAsia" w:ascii="宋体" w:hAnsi="宋体" w:eastAsia="宋体" w:cs="宋体"/>
          <w:b w:val="0"/>
          <w:bCs w:val="0"/>
          <w:sz w:val="21"/>
          <w:szCs w:val="21"/>
          <w:highlight w:val="none"/>
        </w:rPr>
        <w:t>（6）投标供应商具备发行业务主管单位（中国邮政）驻场邮发条件。</w:t>
      </w:r>
    </w:p>
    <w:bookmarkEnd w:id="175"/>
    <w:p w14:paraId="0DEB9E54">
      <w:pPr>
        <w:spacing w:line="360" w:lineRule="auto"/>
        <w:rPr>
          <w:rStyle w:val="98"/>
          <w:rFonts w:hint="eastAsia" w:ascii="宋体" w:hAnsi="宋体" w:eastAsia="宋体" w:cs="宋体"/>
          <w:b w:val="0"/>
          <w:bCs w:val="0"/>
          <w:sz w:val="21"/>
          <w:szCs w:val="21"/>
          <w:highlight w:val="none"/>
          <w:lang w:val="en-US" w:eastAsia="zh-CN"/>
        </w:rPr>
      </w:pPr>
      <w:bookmarkStart w:id="176" w:name="_Toc30070"/>
      <w:r>
        <w:rPr>
          <w:rStyle w:val="98"/>
          <w:rFonts w:hint="eastAsia" w:cs="宋体"/>
          <w:b/>
          <w:bCs/>
          <w:sz w:val="21"/>
          <w:szCs w:val="21"/>
          <w:highlight w:val="none"/>
          <w:lang w:val="en-US" w:eastAsia="zh-CN"/>
        </w:rPr>
        <w:t>3</w:t>
      </w:r>
      <w:r>
        <w:rPr>
          <w:rStyle w:val="98"/>
          <w:rFonts w:hint="eastAsia" w:ascii="宋体" w:hAnsi="宋体" w:eastAsia="宋体" w:cs="宋体"/>
          <w:bCs/>
          <w:sz w:val="21"/>
          <w:szCs w:val="21"/>
          <w:highlight w:val="none"/>
        </w:rPr>
        <w:t>、</w:t>
      </w:r>
      <w:r>
        <w:rPr>
          <w:rStyle w:val="98"/>
          <w:rFonts w:hint="eastAsia" w:ascii="宋体" w:hAnsi="宋体" w:eastAsia="宋体" w:cs="宋体"/>
          <w:b/>
          <w:bCs/>
          <w:sz w:val="21"/>
          <w:szCs w:val="21"/>
          <w:highlight w:val="none"/>
        </w:rPr>
        <w:t>组版服务方面</w:t>
      </w:r>
      <w:r>
        <w:rPr>
          <w:rStyle w:val="98"/>
          <w:rFonts w:hint="eastAsia" w:ascii="宋体" w:hAnsi="宋体" w:eastAsia="宋体" w:cs="宋体"/>
          <w:b/>
          <w:bCs/>
          <w:sz w:val="21"/>
          <w:szCs w:val="21"/>
          <w:highlight w:val="none"/>
          <w:lang w:val="en-US" w:eastAsia="zh-CN"/>
        </w:rPr>
        <w:t>要求</w:t>
      </w:r>
    </w:p>
    <w:bookmarkEnd w:id="176"/>
    <w:p w14:paraId="2C894DFC">
      <w:pPr>
        <w:spacing w:line="360" w:lineRule="auto"/>
        <w:ind w:firstLine="420" w:firstLineChars="200"/>
        <w:rPr>
          <w:rStyle w:val="98"/>
          <w:rFonts w:hint="eastAsia" w:ascii="宋体" w:hAnsi="宋体" w:eastAsia="宋体" w:cs="宋体"/>
          <w:b w:val="0"/>
          <w:bCs w:val="0"/>
          <w:sz w:val="21"/>
          <w:szCs w:val="21"/>
          <w:highlight w:val="none"/>
        </w:rPr>
      </w:pPr>
      <w:bookmarkStart w:id="177" w:name="_Toc13713"/>
      <w:r>
        <w:rPr>
          <w:rStyle w:val="98"/>
          <w:rFonts w:hint="eastAsia" w:ascii="宋体" w:hAnsi="宋体" w:eastAsia="宋体" w:cs="宋体"/>
          <w:b w:val="0"/>
          <w:bCs w:val="0"/>
          <w:sz w:val="21"/>
          <w:szCs w:val="21"/>
          <w:highlight w:val="none"/>
        </w:rPr>
        <w:t>1.按质按量完成每期报纸录入、组版、初校、按编辑要求修改大样和清样后，交付印刷，打包后送至采购人指定地点；</w:t>
      </w:r>
    </w:p>
    <w:bookmarkEnd w:id="177"/>
    <w:p w14:paraId="64169FB0">
      <w:pPr>
        <w:spacing w:line="360" w:lineRule="auto"/>
        <w:ind w:firstLine="420" w:firstLineChars="200"/>
        <w:rPr>
          <w:rStyle w:val="98"/>
          <w:rFonts w:hint="eastAsia" w:ascii="宋体" w:hAnsi="宋体" w:eastAsia="宋体" w:cs="宋体"/>
          <w:b w:val="0"/>
          <w:bCs w:val="0"/>
          <w:sz w:val="21"/>
          <w:szCs w:val="21"/>
          <w:highlight w:val="none"/>
        </w:rPr>
      </w:pPr>
      <w:bookmarkStart w:id="178" w:name="_Toc29808"/>
      <w:r>
        <w:rPr>
          <w:rStyle w:val="98"/>
          <w:rFonts w:hint="eastAsia" w:ascii="宋体" w:hAnsi="宋体" w:eastAsia="宋体" w:cs="宋体"/>
          <w:b w:val="0"/>
          <w:bCs w:val="0"/>
          <w:sz w:val="21"/>
          <w:szCs w:val="21"/>
          <w:highlight w:val="none"/>
        </w:rPr>
        <w:t>2.严格按照采编校审人员提供的内容开展工作，不得擅自增减、篡改内容；</w:t>
      </w:r>
    </w:p>
    <w:bookmarkEnd w:id="178"/>
    <w:p w14:paraId="61E91E6F">
      <w:pPr>
        <w:spacing w:line="360" w:lineRule="auto"/>
        <w:ind w:firstLine="420" w:firstLineChars="200"/>
        <w:rPr>
          <w:rFonts w:hint="eastAsia" w:ascii="宋体" w:hAnsi="宋体" w:eastAsia="宋体" w:cs="宋体"/>
          <w:b w:val="0"/>
          <w:bCs w:val="0"/>
          <w:sz w:val="21"/>
          <w:szCs w:val="21"/>
          <w:highlight w:val="none"/>
        </w:rPr>
      </w:pPr>
      <w:bookmarkStart w:id="179" w:name="_Toc1203"/>
      <w:r>
        <w:rPr>
          <w:rStyle w:val="98"/>
          <w:rFonts w:hint="eastAsia" w:ascii="宋体" w:hAnsi="宋体" w:eastAsia="宋体" w:cs="宋体"/>
          <w:b w:val="0"/>
          <w:bCs w:val="0"/>
          <w:sz w:val="21"/>
          <w:szCs w:val="21"/>
          <w:highlight w:val="none"/>
        </w:rPr>
        <w:t>3.严格保密，不得将任何版面内容和交接信息外泄。</w:t>
      </w:r>
      <w:bookmarkEnd w:id="179"/>
    </w:p>
    <w:p w14:paraId="22C92D32">
      <w:pPr>
        <w:spacing w:line="360" w:lineRule="auto"/>
        <w:rPr>
          <w:rStyle w:val="98"/>
          <w:rFonts w:hint="eastAsia" w:ascii="宋体" w:hAnsi="宋体" w:eastAsia="宋体" w:cs="宋体"/>
          <w:b/>
          <w:bCs/>
          <w:sz w:val="21"/>
          <w:szCs w:val="21"/>
          <w:highlight w:val="none"/>
        </w:rPr>
      </w:pPr>
      <w:bookmarkStart w:id="180" w:name="_Toc19960"/>
      <w:r>
        <w:rPr>
          <w:rStyle w:val="98"/>
          <w:rFonts w:hint="eastAsia" w:ascii="宋体" w:hAnsi="宋体" w:eastAsia="宋体" w:cs="宋体"/>
          <w:b/>
          <w:bCs/>
          <w:sz w:val="21"/>
          <w:szCs w:val="21"/>
          <w:highlight w:val="none"/>
        </w:rPr>
        <w:t>（二）商务要求</w:t>
      </w:r>
    </w:p>
    <w:bookmarkEnd w:id="180"/>
    <w:p w14:paraId="6CCBD81C">
      <w:pPr>
        <w:spacing w:line="360" w:lineRule="auto"/>
        <w:ind w:firstLine="420" w:firstLineChars="200"/>
        <w:rPr>
          <w:rStyle w:val="98"/>
          <w:rFonts w:hint="eastAsia" w:ascii="宋体" w:hAnsi="宋体" w:eastAsia="宋体" w:cs="宋体"/>
          <w:b w:val="0"/>
          <w:bCs w:val="0"/>
          <w:sz w:val="21"/>
          <w:szCs w:val="21"/>
          <w:highlight w:val="none"/>
        </w:rPr>
      </w:pPr>
      <w:bookmarkStart w:id="181" w:name="_Toc31985"/>
      <w:r>
        <w:rPr>
          <w:rStyle w:val="98"/>
          <w:rFonts w:hint="eastAsia" w:cs="宋体"/>
          <w:b w:val="0"/>
          <w:bCs w:val="0"/>
          <w:sz w:val="21"/>
          <w:szCs w:val="21"/>
          <w:highlight w:val="none"/>
          <w:lang w:val="en-US" w:eastAsia="zh-CN"/>
        </w:rPr>
        <w:t>1</w:t>
      </w:r>
      <w:r>
        <w:rPr>
          <w:rStyle w:val="98"/>
          <w:rFonts w:hint="eastAsia" w:ascii="宋体" w:hAnsi="宋体" w:eastAsia="宋体" w:cs="宋体"/>
          <w:b w:val="0"/>
          <w:bCs w:val="0"/>
          <w:sz w:val="21"/>
          <w:szCs w:val="21"/>
          <w:highlight w:val="none"/>
          <w:lang w:val="en-US" w:eastAsia="zh-CN"/>
        </w:rPr>
        <w:t>、</w:t>
      </w:r>
      <w:r>
        <w:rPr>
          <w:rStyle w:val="98"/>
          <w:rFonts w:hint="eastAsia" w:ascii="宋体" w:hAnsi="宋体" w:eastAsia="宋体" w:cs="宋体"/>
          <w:b w:val="0"/>
          <w:bCs w:val="0"/>
          <w:sz w:val="21"/>
          <w:szCs w:val="21"/>
          <w:highlight w:val="none"/>
          <w:lang w:eastAsia="zh-CN"/>
        </w:rPr>
        <w:t>乙方</w:t>
      </w:r>
      <w:r>
        <w:rPr>
          <w:rStyle w:val="98"/>
          <w:rFonts w:hint="eastAsia" w:ascii="宋体" w:hAnsi="宋体" w:eastAsia="宋体" w:cs="宋体"/>
          <w:b w:val="0"/>
          <w:bCs w:val="0"/>
          <w:sz w:val="21"/>
          <w:szCs w:val="21"/>
          <w:highlight w:val="none"/>
        </w:rPr>
        <w:t>需根据生产流程、服务流程安排相应的人员。项目总负责人（统筹人）</w:t>
      </w:r>
      <w:r>
        <w:rPr>
          <w:rStyle w:val="98"/>
          <w:rFonts w:hint="eastAsia" w:ascii="宋体" w:hAnsi="宋体" w:eastAsia="宋体" w:cs="宋体"/>
          <w:b w:val="0"/>
          <w:bCs w:val="0"/>
          <w:sz w:val="21"/>
          <w:szCs w:val="21"/>
          <w:highlight w:val="none"/>
          <w:lang w:val="en-US" w:eastAsia="zh-CN"/>
        </w:rPr>
        <w:t>1</w:t>
      </w:r>
      <w:r>
        <w:rPr>
          <w:rStyle w:val="98"/>
          <w:rFonts w:hint="eastAsia" w:ascii="宋体" w:hAnsi="宋体" w:eastAsia="宋体" w:cs="宋体"/>
          <w:b w:val="0"/>
          <w:bCs w:val="0"/>
          <w:sz w:val="21"/>
          <w:szCs w:val="21"/>
          <w:highlight w:val="none"/>
        </w:rPr>
        <w:t>人，</w:t>
      </w:r>
      <w:r>
        <w:rPr>
          <w:rStyle w:val="98"/>
          <w:rFonts w:hint="eastAsia" w:ascii="宋体" w:hAnsi="宋体" w:eastAsia="宋体" w:cs="宋体"/>
          <w:b w:val="0"/>
          <w:bCs w:val="0"/>
          <w:sz w:val="21"/>
          <w:szCs w:val="21"/>
          <w:highlight w:val="none"/>
          <w:lang w:val="en-US" w:eastAsia="zh-CN"/>
        </w:rPr>
        <w:t>其他人数</w:t>
      </w:r>
      <w:r>
        <w:rPr>
          <w:rStyle w:val="98"/>
          <w:rFonts w:hint="eastAsia" w:ascii="宋体" w:hAnsi="宋体" w:eastAsia="宋体" w:cs="宋体"/>
          <w:b w:val="0"/>
          <w:bCs w:val="0"/>
          <w:sz w:val="21"/>
          <w:szCs w:val="21"/>
          <w:highlight w:val="none"/>
        </w:rPr>
        <w:t>不少于6人，其中生产过程安排印前、印中、印后和质检技术人员不少于4人；服务流程需分配专门的项目对接、售后、仓储、运输、财务等服务人员不少于2人。</w:t>
      </w:r>
    </w:p>
    <w:bookmarkEnd w:id="181"/>
    <w:p w14:paraId="6C0B1863">
      <w:pPr>
        <w:spacing w:line="360" w:lineRule="auto"/>
        <w:ind w:firstLine="420" w:firstLineChars="200"/>
        <w:rPr>
          <w:rStyle w:val="98"/>
          <w:rFonts w:hint="eastAsia" w:ascii="宋体" w:hAnsi="宋体" w:eastAsia="宋体" w:cs="宋体"/>
          <w:b w:val="0"/>
          <w:bCs w:val="0"/>
          <w:sz w:val="21"/>
          <w:szCs w:val="21"/>
          <w:highlight w:val="none"/>
        </w:rPr>
      </w:pPr>
      <w:bookmarkStart w:id="182" w:name="_Toc29866"/>
      <w:r>
        <w:rPr>
          <w:rStyle w:val="98"/>
          <w:rFonts w:hint="eastAsia" w:cs="宋体"/>
          <w:b w:val="0"/>
          <w:bCs w:val="0"/>
          <w:sz w:val="21"/>
          <w:szCs w:val="21"/>
          <w:highlight w:val="none"/>
          <w:lang w:val="en-US" w:eastAsia="zh-CN"/>
        </w:rPr>
        <w:t>2</w:t>
      </w:r>
      <w:r>
        <w:rPr>
          <w:rStyle w:val="98"/>
          <w:rFonts w:hint="eastAsia" w:ascii="宋体" w:hAnsi="宋体" w:eastAsia="宋体" w:cs="宋体"/>
          <w:b w:val="0"/>
          <w:bCs w:val="0"/>
          <w:sz w:val="21"/>
          <w:szCs w:val="21"/>
          <w:highlight w:val="none"/>
          <w:lang w:val="en-US" w:eastAsia="zh-CN"/>
        </w:rPr>
        <w:t>、乙方</w:t>
      </w:r>
      <w:r>
        <w:rPr>
          <w:rStyle w:val="98"/>
          <w:rFonts w:hint="eastAsia" w:ascii="宋体" w:hAnsi="宋体" w:eastAsia="宋体" w:cs="宋体"/>
          <w:b w:val="0"/>
          <w:bCs w:val="0"/>
          <w:sz w:val="21"/>
          <w:szCs w:val="21"/>
          <w:highlight w:val="none"/>
        </w:rPr>
        <w:t>服务团队人员在合作期间发生的一切安全事故由</w:t>
      </w:r>
      <w:r>
        <w:rPr>
          <w:rStyle w:val="98"/>
          <w:rFonts w:hint="eastAsia" w:ascii="宋体" w:hAnsi="宋体" w:eastAsia="宋体" w:cs="宋体"/>
          <w:b w:val="0"/>
          <w:bCs w:val="0"/>
          <w:sz w:val="21"/>
          <w:szCs w:val="21"/>
          <w:highlight w:val="none"/>
          <w:lang w:eastAsia="zh-CN"/>
        </w:rPr>
        <w:t>乙方</w:t>
      </w:r>
      <w:r>
        <w:rPr>
          <w:rStyle w:val="98"/>
          <w:rFonts w:hint="eastAsia" w:ascii="宋体" w:hAnsi="宋体" w:eastAsia="宋体" w:cs="宋体"/>
          <w:b w:val="0"/>
          <w:bCs w:val="0"/>
          <w:sz w:val="21"/>
          <w:szCs w:val="21"/>
          <w:highlight w:val="none"/>
        </w:rPr>
        <w:t>自行负责。</w:t>
      </w:r>
    </w:p>
    <w:bookmarkEnd w:id="182"/>
    <w:p w14:paraId="33F56CC1">
      <w:pPr>
        <w:spacing w:line="360" w:lineRule="auto"/>
        <w:ind w:firstLine="420" w:firstLineChars="200"/>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3、</w:t>
      </w:r>
      <w:r>
        <w:rPr>
          <w:rFonts w:hint="eastAsia" w:ascii="宋体" w:hAnsi="宋体" w:cs="宋体"/>
          <w:b/>
          <w:bCs/>
          <w:color w:val="000000"/>
          <w:szCs w:val="21"/>
          <w:highlight w:val="none"/>
        </w:rPr>
        <w:t>乙方为本项目提供的服务人员清单如下：</w:t>
      </w:r>
    </w:p>
    <w:p w14:paraId="7EB2DE89">
      <w:pPr>
        <w:spacing w:line="360" w:lineRule="auto"/>
        <w:ind w:firstLine="420" w:firstLineChars="200"/>
        <w:rPr>
          <w:rFonts w:hint="default" w:ascii="宋体" w:hAnsi="宋体" w:cs="宋体"/>
          <w:b/>
          <w:bCs/>
          <w:color w:val="000000"/>
          <w:szCs w:val="21"/>
          <w:highlight w:val="none"/>
          <w:lang w:val="en-US" w:eastAsia="zh-CN"/>
        </w:rPr>
      </w:pPr>
    </w:p>
    <w:p w14:paraId="59C3F6E5">
      <w:pPr>
        <w:spacing w:line="360" w:lineRule="auto"/>
        <w:rPr>
          <w:rStyle w:val="98"/>
          <w:rFonts w:hint="eastAsia" w:ascii="宋体" w:hAnsi="宋体" w:eastAsia="宋体" w:cs="宋体"/>
          <w:b/>
          <w:bCs/>
          <w:sz w:val="21"/>
          <w:szCs w:val="21"/>
          <w:highlight w:val="none"/>
        </w:rPr>
      </w:pPr>
      <w:bookmarkStart w:id="183" w:name="_Toc2792"/>
      <w:r>
        <w:rPr>
          <w:rStyle w:val="98"/>
          <w:rFonts w:hint="eastAsia" w:ascii="宋体" w:hAnsi="宋体" w:eastAsia="宋体" w:cs="宋体"/>
          <w:b/>
          <w:bCs/>
          <w:sz w:val="21"/>
          <w:szCs w:val="21"/>
          <w:highlight w:val="none"/>
          <w:lang w:val="en-US" w:eastAsia="zh-CN"/>
        </w:rPr>
        <w:t>六、</w:t>
      </w:r>
      <w:r>
        <w:rPr>
          <w:rStyle w:val="98"/>
          <w:rFonts w:hint="eastAsia" w:ascii="宋体" w:hAnsi="宋体" w:eastAsia="宋体" w:cs="宋体"/>
          <w:b/>
          <w:bCs/>
          <w:sz w:val="21"/>
          <w:szCs w:val="21"/>
          <w:highlight w:val="none"/>
        </w:rPr>
        <w:t>保密要求</w:t>
      </w:r>
    </w:p>
    <w:bookmarkEnd w:id="183"/>
    <w:p w14:paraId="5372DF89">
      <w:pPr>
        <w:spacing w:line="360" w:lineRule="auto"/>
        <w:ind w:firstLine="420" w:firstLineChars="200"/>
        <w:rPr>
          <w:rStyle w:val="98"/>
          <w:rFonts w:hint="eastAsia" w:ascii="宋体" w:hAnsi="宋体" w:eastAsia="宋体" w:cs="宋体"/>
          <w:b w:val="0"/>
          <w:bCs w:val="0"/>
          <w:sz w:val="21"/>
          <w:szCs w:val="21"/>
          <w:highlight w:val="none"/>
        </w:rPr>
      </w:pPr>
      <w:bookmarkStart w:id="184" w:name="_Toc18656"/>
      <w:r>
        <w:rPr>
          <w:rStyle w:val="98"/>
          <w:rFonts w:hint="eastAsia" w:ascii="宋体" w:hAnsi="宋体" w:eastAsia="宋体" w:cs="宋体"/>
          <w:b w:val="0"/>
          <w:bCs w:val="0"/>
          <w:sz w:val="21"/>
          <w:szCs w:val="21"/>
          <w:highlight w:val="none"/>
        </w:rPr>
        <w:t>（1）保密资料：</w:t>
      </w:r>
      <w:r>
        <w:rPr>
          <w:rStyle w:val="98"/>
          <w:rFonts w:hint="eastAsia" w:ascii="宋体" w:hAnsi="宋体" w:eastAsia="宋体" w:cs="宋体"/>
          <w:b w:val="0"/>
          <w:bCs w:val="0"/>
          <w:sz w:val="21"/>
          <w:szCs w:val="21"/>
          <w:highlight w:val="none"/>
          <w:lang w:eastAsia="zh-CN"/>
        </w:rPr>
        <w:t>乙方</w:t>
      </w:r>
      <w:r>
        <w:rPr>
          <w:rStyle w:val="98"/>
          <w:rFonts w:hint="eastAsia" w:ascii="宋体" w:hAnsi="宋体" w:eastAsia="宋体" w:cs="宋体"/>
          <w:b w:val="0"/>
          <w:bCs w:val="0"/>
          <w:sz w:val="21"/>
          <w:szCs w:val="21"/>
          <w:highlight w:val="none"/>
        </w:rPr>
        <w:t>在工作过程中接触到或知道的、获悉的属于采购人指明不得公开或根据实际可推断出需要保密的内容（包括但不限于文字资料、照片、录音、录像等)均为保密资料。</w:t>
      </w:r>
    </w:p>
    <w:bookmarkEnd w:id="184"/>
    <w:p w14:paraId="4052B673">
      <w:pPr>
        <w:pStyle w:val="4"/>
        <w:keepNext w:val="0"/>
        <w:widowControl/>
        <w:numPr>
          <w:ilvl w:val="0"/>
          <w:numId w:val="0"/>
        </w:numPr>
        <w:tabs>
          <w:tab w:val="clear" w:pos="360"/>
        </w:tabs>
        <w:ind w:left="284" w:hanging="284"/>
        <w:jc w:val="left"/>
        <w:rPr>
          <w:rFonts w:hint="eastAsia" w:eastAsia="宋体" w:cs="宋体"/>
          <w:bCs/>
          <w:kern w:val="2"/>
          <w:sz w:val="21"/>
          <w:szCs w:val="21"/>
          <w:highlight w:val="none"/>
        </w:rPr>
      </w:pPr>
      <w:bookmarkStart w:id="185" w:name="_Toc25102"/>
      <w:r>
        <w:rPr>
          <w:rStyle w:val="98"/>
          <w:rFonts w:hint="eastAsia" w:ascii="宋体" w:hAnsi="宋体" w:eastAsia="宋体" w:cs="宋体"/>
          <w:b w:val="0"/>
          <w:bCs w:val="0"/>
          <w:sz w:val="21"/>
          <w:szCs w:val="21"/>
          <w:highlight w:val="none"/>
        </w:rPr>
        <w:t>（2）</w:t>
      </w:r>
      <w:r>
        <w:rPr>
          <w:rStyle w:val="98"/>
          <w:rFonts w:hint="eastAsia" w:eastAsia="宋体" w:cs="宋体"/>
          <w:b w:val="0"/>
          <w:bCs w:val="0"/>
          <w:sz w:val="21"/>
          <w:szCs w:val="21"/>
          <w:highlight w:val="none"/>
          <w:lang w:eastAsia="zh-CN"/>
        </w:rPr>
        <w:t>乙方</w:t>
      </w:r>
      <w:r>
        <w:rPr>
          <w:rStyle w:val="98"/>
          <w:rFonts w:hint="eastAsia" w:ascii="宋体" w:hAnsi="宋体" w:eastAsia="宋体" w:cs="宋体"/>
          <w:b w:val="0"/>
          <w:bCs w:val="0"/>
          <w:sz w:val="21"/>
          <w:szCs w:val="21"/>
          <w:highlight w:val="none"/>
        </w:rPr>
        <w:t>不得向他人泄露保密资料，</w:t>
      </w:r>
      <w:r>
        <w:rPr>
          <w:rStyle w:val="98"/>
          <w:rFonts w:hint="eastAsia" w:eastAsia="宋体" w:cs="宋体"/>
          <w:b w:val="0"/>
          <w:bCs w:val="0"/>
          <w:sz w:val="21"/>
          <w:szCs w:val="21"/>
          <w:highlight w:val="none"/>
          <w:lang w:eastAsia="zh-CN"/>
        </w:rPr>
        <w:t>乙方</w:t>
      </w:r>
      <w:r>
        <w:rPr>
          <w:rStyle w:val="98"/>
          <w:rFonts w:hint="eastAsia" w:ascii="宋体" w:hAnsi="宋体" w:eastAsia="宋体" w:cs="宋体"/>
          <w:b w:val="0"/>
          <w:bCs w:val="0"/>
          <w:sz w:val="21"/>
          <w:szCs w:val="21"/>
          <w:highlight w:val="none"/>
        </w:rPr>
        <w:t>保证不将保密资料应用于非合同约定的其他用途。。</w:t>
      </w:r>
      <w:bookmarkEnd w:id="185"/>
    </w:p>
    <w:p w14:paraId="492A13BE">
      <w:pPr>
        <w:pStyle w:val="4"/>
        <w:keepNext w:val="0"/>
        <w:widowControl/>
        <w:numPr>
          <w:ilvl w:val="0"/>
          <w:numId w:val="0"/>
        </w:numPr>
        <w:tabs>
          <w:tab w:val="clear" w:pos="360"/>
        </w:tabs>
        <w:ind w:left="284" w:hanging="284"/>
        <w:jc w:val="left"/>
        <w:rPr>
          <w:rFonts w:eastAsia="宋体" w:cs="宋体"/>
          <w:bCs/>
          <w:kern w:val="2"/>
          <w:sz w:val="21"/>
          <w:szCs w:val="21"/>
          <w:highlight w:val="none"/>
        </w:rPr>
      </w:pPr>
      <w:bookmarkStart w:id="186" w:name="_Toc23987"/>
      <w:r>
        <w:rPr>
          <w:rFonts w:hint="eastAsia" w:eastAsia="宋体" w:cs="宋体"/>
          <w:bCs/>
          <w:kern w:val="2"/>
          <w:sz w:val="21"/>
          <w:szCs w:val="21"/>
          <w:highlight w:val="none"/>
        </w:rPr>
        <w:t>四、价款及支付方式</w:t>
      </w:r>
      <w:bookmarkEnd w:id="147"/>
      <w:bookmarkEnd w:id="186"/>
    </w:p>
    <w:p w14:paraId="0521BD16">
      <w:pPr>
        <w:ind w:firstLine="420" w:firstLineChars="200"/>
        <w:rPr>
          <w:rFonts w:cs="宋体"/>
          <w:szCs w:val="21"/>
          <w:highlight w:val="none"/>
        </w:rPr>
      </w:pPr>
      <w:r>
        <w:rPr>
          <w:rFonts w:hint="eastAsia" w:cs="宋体"/>
          <w:szCs w:val="21"/>
          <w:highlight w:val="none"/>
        </w:rPr>
        <w:t>1.双方约定印刷</w:t>
      </w:r>
      <w:r>
        <w:rPr>
          <w:rFonts w:hint="eastAsia" w:cs="宋体"/>
          <w:szCs w:val="21"/>
          <w:highlight w:val="none"/>
          <w:lang w:val="en-US" w:eastAsia="zh-CN"/>
        </w:rPr>
        <w:t>服务</w:t>
      </w:r>
      <w:r>
        <w:rPr>
          <w:rFonts w:hint="eastAsia" w:cs="宋体"/>
          <w:szCs w:val="21"/>
          <w:highlight w:val="none"/>
        </w:rPr>
        <w:t>费</w:t>
      </w:r>
      <w:r>
        <w:rPr>
          <w:rFonts w:hint="eastAsia" w:cs="宋体"/>
          <w:szCs w:val="21"/>
          <w:highlight w:val="none"/>
          <w:lang w:eastAsia="zh-CN"/>
        </w:rPr>
        <w:t>、</w:t>
      </w:r>
      <w:r>
        <w:rPr>
          <w:rFonts w:hint="eastAsia" w:cs="宋体"/>
          <w:szCs w:val="21"/>
          <w:highlight w:val="none"/>
        </w:rPr>
        <w:t>设计排版</w:t>
      </w:r>
      <w:r>
        <w:rPr>
          <w:rFonts w:hint="eastAsia" w:cs="宋体"/>
          <w:szCs w:val="21"/>
          <w:highlight w:val="none"/>
          <w:lang w:val="en-US" w:eastAsia="zh-CN"/>
        </w:rPr>
        <w:t>服务</w:t>
      </w:r>
      <w:r>
        <w:rPr>
          <w:rFonts w:hint="eastAsia" w:cs="宋体"/>
          <w:szCs w:val="21"/>
          <w:highlight w:val="none"/>
        </w:rPr>
        <w:t>费</w:t>
      </w:r>
      <w:r>
        <w:rPr>
          <w:rFonts w:hint="eastAsia" w:cs="宋体"/>
          <w:szCs w:val="21"/>
          <w:highlight w:val="none"/>
          <w:lang w:eastAsia="zh-CN"/>
        </w:rPr>
        <w:t>、</w:t>
      </w:r>
      <w:r>
        <w:rPr>
          <w:rFonts w:hint="eastAsia" w:cs="宋体"/>
          <w:szCs w:val="21"/>
          <w:highlight w:val="none"/>
        </w:rPr>
        <w:t>校对</w:t>
      </w:r>
      <w:r>
        <w:rPr>
          <w:rFonts w:hint="eastAsia" w:cs="宋体"/>
          <w:szCs w:val="21"/>
          <w:highlight w:val="none"/>
          <w:lang w:val="en-US" w:eastAsia="zh-CN"/>
        </w:rPr>
        <w:t>服务</w:t>
      </w:r>
      <w:r>
        <w:rPr>
          <w:rFonts w:hint="eastAsia" w:cs="宋体"/>
          <w:szCs w:val="21"/>
          <w:highlight w:val="none"/>
        </w:rPr>
        <w:t>费</w:t>
      </w:r>
      <w:r>
        <w:rPr>
          <w:rFonts w:hint="eastAsia" w:cs="宋体"/>
          <w:szCs w:val="21"/>
          <w:highlight w:val="none"/>
          <w:lang w:val="en-US" w:eastAsia="zh-CN"/>
        </w:rPr>
        <w:t>均</w:t>
      </w:r>
      <w:r>
        <w:rPr>
          <w:rFonts w:hint="eastAsia" w:cs="宋体"/>
          <w:szCs w:val="21"/>
          <w:highlight w:val="none"/>
        </w:rPr>
        <w:t>为固定单价，</w:t>
      </w:r>
      <w:r>
        <w:rPr>
          <w:rFonts w:hint="eastAsia" w:cs="宋体"/>
          <w:szCs w:val="21"/>
          <w:highlight w:val="none"/>
          <w:lang w:val="en-US" w:eastAsia="zh-CN"/>
        </w:rPr>
        <w:t>合同履行期间，</w:t>
      </w:r>
      <w:r>
        <w:rPr>
          <w:rFonts w:hint="eastAsia" w:cs="宋体"/>
          <w:szCs w:val="21"/>
          <w:highlight w:val="none"/>
        </w:rPr>
        <w:t>未经双方书面协商一致，不得擅自调整</w:t>
      </w:r>
      <w:r>
        <w:rPr>
          <w:rFonts w:hint="eastAsia" w:cs="宋体"/>
          <w:szCs w:val="21"/>
          <w:highlight w:val="none"/>
          <w:lang w:val="en-US" w:eastAsia="zh-CN"/>
        </w:rPr>
        <w:t>单价</w:t>
      </w:r>
      <w:r>
        <w:rPr>
          <w:rFonts w:hint="eastAsia" w:cs="宋体"/>
          <w:szCs w:val="21"/>
          <w:highlight w:val="none"/>
        </w:rPr>
        <w:t>。</w:t>
      </w:r>
    </w:p>
    <w:p w14:paraId="653DA3EC">
      <w:pPr>
        <w:ind w:firstLine="420" w:firstLineChars="200"/>
        <w:rPr>
          <w:rFonts w:cs="宋体"/>
          <w:szCs w:val="21"/>
          <w:highlight w:val="none"/>
        </w:rPr>
      </w:pPr>
      <w:r>
        <w:rPr>
          <w:rFonts w:hint="eastAsia" w:cs="宋体"/>
          <w:szCs w:val="21"/>
          <w:highlight w:val="none"/>
        </w:rPr>
        <w:t>2.结算价款：结算金额=Σ（各类</w:t>
      </w:r>
      <w:r>
        <w:rPr>
          <w:rFonts w:hint="eastAsia" w:cs="宋体"/>
          <w:szCs w:val="21"/>
          <w:highlight w:val="none"/>
          <w:lang w:val="en-US" w:eastAsia="zh-CN"/>
        </w:rPr>
        <w:t>服务</w:t>
      </w:r>
      <w:r>
        <w:rPr>
          <w:rFonts w:hint="eastAsia" w:cs="宋体"/>
          <w:szCs w:val="21"/>
          <w:highlight w:val="none"/>
        </w:rPr>
        <w:t>实际采购数量×对应中标单价），最终结算价</w:t>
      </w:r>
      <w:r>
        <w:rPr>
          <w:rFonts w:hint="eastAsia" w:cs="宋体"/>
          <w:szCs w:val="21"/>
          <w:highlight w:val="none"/>
          <w:lang w:val="en-US" w:eastAsia="zh-CN"/>
        </w:rPr>
        <w:t>按照</w:t>
      </w:r>
      <w:r>
        <w:rPr>
          <w:rFonts w:hint="eastAsia" w:cs="宋体"/>
          <w:szCs w:val="21"/>
          <w:highlight w:val="none"/>
        </w:rPr>
        <w:t>中标单价</w:t>
      </w:r>
      <w:r>
        <w:rPr>
          <w:rFonts w:hint="eastAsia" w:cs="宋体"/>
          <w:szCs w:val="21"/>
          <w:highlight w:val="none"/>
          <w:lang w:val="en-US" w:eastAsia="zh-CN"/>
        </w:rPr>
        <w:t>与</w:t>
      </w:r>
      <w:r>
        <w:rPr>
          <w:rFonts w:hint="eastAsia" w:cs="宋体"/>
          <w:szCs w:val="21"/>
          <w:highlight w:val="none"/>
        </w:rPr>
        <w:t>实际</w:t>
      </w:r>
      <w:r>
        <w:rPr>
          <w:rFonts w:hint="eastAsia" w:cs="宋体"/>
          <w:szCs w:val="21"/>
          <w:highlight w:val="none"/>
          <w:lang w:val="en-US" w:eastAsia="zh-CN"/>
        </w:rPr>
        <w:t>发生的服务</w:t>
      </w:r>
      <w:r>
        <w:rPr>
          <w:rFonts w:hint="eastAsia" w:cs="宋体"/>
          <w:szCs w:val="21"/>
          <w:highlight w:val="none"/>
        </w:rPr>
        <w:t>数量</w:t>
      </w:r>
      <w:r>
        <w:rPr>
          <w:rFonts w:hint="eastAsia" w:cs="宋体"/>
          <w:szCs w:val="21"/>
          <w:highlight w:val="none"/>
          <w:lang w:val="en-US" w:eastAsia="zh-CN"/>
        </w:rPr>
        <w:t>据实结算</w:t>
      </w:r>
      <w:r>
        <w:rPr>
          <w:rFonts w:hint="eastAsia" w:cs="宋体"/>
          <w:szCs w:val="21"/>
          <w:highlight w:val="none"/>
        </w:rPr>
        <w:t>。</w:t>
      </w:r>
      <w:r>
        <w:rPr>
          <w:rFonts w:hint="eastAsia" w:cs="宋体"/>
          <w:szCs w:val="21"/>
          <w:highlight w:val="none"/>
          <w:lang w:val="en-US" w:eastAsia="zh-CN"/>
        </w:rPr>
        <w:t>最终结算金额</w:t>
      </w:r>
      <w:r>
        <w:rPr>
          <w:rFonts w:hint="eastAsia" w:ascii="宋体" w:hAnsi="宋体" w:eastAsia="宋体" w:cs="宋体"/>
          <w:kern w:val="2"/>
          <w:sz w:val="21"/>
          <w:szCs w:val="21"/>
          <w:highlight w:val="none"/>
          <w:lang w:val="en-US" w:eastAsia="zh-CN" w:bidi="ar"/>
        </w:rPr>
        <w:t>达到本项目约定的预算金额时，当年合同自动完成</w:t>
      </w:r>
      <w:r>
        <w:rPr>
          <w:rStyle w:val="98"/>
          <w:rFonts w:hint="eastAsia" w:ascii="宋体" w:hAnsi="宋体" w:eastAsia="宋体" w:cs="宋体"/>
          <w:b w:val="0"/>
          <w:bCs w:val="0"/>
          <w:sz w:val="21"/>
          <w:szCs w:val="21"/>
          <w:highlight w:val="none"/>
        </w:rPr>
        <w:t>。</w:t>
      </w:r>
    </w:p>
    <w:p w14:paraId="2495337E">
      <w:pPr>
        <w:ind w:firstLine="420" w:firstLineChars="200"/>
        <w:rPr>
          <w:rFonts w:cs="宋体"/>
          <w:szCs w:val="21"/>
          <w:highlight w:val="none"/>
        </w:rPr>
      </w:pPr>
      <w:r>
        <w:rPr>
          <w:rFonts w:hint="eastAsia" w:cs="宋体"/>
          <w:szCs w:val="21"/>
          <w:highlight w:val="none"/>
        </w:rPr>
        <w:t>3.报账：乙方</w:t>
      </w:r>
      <w:r>
        <w:rPr>
          <w:rFonts w:hint="eastAsia" w:cs="宋体"/>
          <w:szCs w:val="21"/>
          <w:highlight w:val="none"/>
          <w:lang w:val="en-US" w:eastAsia="zh-CN"/>
        </w:rPr>
        <w:t>应于每月最后一天向甲方报送</w:t>
      </w:r>
      <w:r>
        <w:rPr>
          <w:rFonts w:hint="eastAsia" w:cs="宋体"/>
          <w:szCs w:val="21"/>
          <w:highlight w:val="none"/>
        </w:rPr>
        <w:t>当月</w:t>
      </w:r>
      <w:r>
        <w:rPr>
          <w:rFonts w:hint="eastAsia" w:cs="宋体"/>
          <w:szCs w:val="21"/>
          <w:highlight w:val="none"/>
          <w:lang w:val="en-US" w:eastAsia="zh-CN"/>
        </w:rPr>
        <w:t>服务对账</w:t>
      </w:r>
      <w:r>
        <w:rPr>
          <w:rFonts w:hint="eastAsia" w:cs="宋体"/>
          <w:szCs w:val="21"/>
          <w:highlight w:val="none"/>
        </w:rPr>
        <w:t>清单</w:t>
      </w:r>
      <w:r>
        <w:rPr>
          <w:rFonts w:hint="eastAsia" w:cs="宋体"/>
          <w:szCs w:val="21"/>
          <w:highlight w:val="none"/>
          <w:lang w:eastAsia="zh-CN"/>
        </w:rPr>
        <w:t>（</w:t>
      </w:r>
      <w:r>
        <w:rPr>
          <w:rFonts w:hint="eastAsia" w:cs="宋体"/>
          <w:szCs w:val="21"/>
          <w:highlight w:val="none"/>
          <w:lang w:val="en-US" w:eastAsia="zh-CN"/>
        </w:rPr>
        <w:t>包含印刷服务数量、设计排版服务工作量、校对服务工作量</w:t>
      </w:r>
      <w:r>
        <w:rPr>
          <w:rFonts w:hint="eastAsia" w:cs="宋体"/>
          <w:szCs w:val="21"/>
          <w:highlight w:val="none"/>
          <w:lang w:eastAsia="zh-CN"/>
        </w:rPr>
        <w:t>）</w:t>
      </w:r>
      <w:r>
        <w:rPr>
          <w:rFonts w:hint="eastAsia" w:cs="宋体"/>
          <w:szCs w:val="21"/>
          <w:highlight w:val="none"/>
        </w:rPr>
        <w:t>、签收单</w:t>
      </w:r>
      <w:r>
        <w:rPr>
          <w:rFonts w:hint="eastAsia" w:cs="宋体"/>
          <w:szCs w:val="21"/>
          <w:highlight w:val="none"/>
          <w:lang w:val="en-US" w:eastAsia="zh-CN"/>
        </w:rPr>
        <w:t>等资料交由</w:t>
      </w:r>
      <w:r>
        <w:rPr>
          <w:rFonts w:hint="eastAsia" w:cs="宋体"/>
          <w:szCs w:val="21"/>
          <w:highlight w:val="none"/>
        </w:rPr>
        <w:t>甲方</w:t>
      </w:r>
      <w:r>
        <w:rPr>
          <w:rFonts w:hint="eastAsia" w:cs="宋体"/>
          <w:szCs w:val="21"/>
          <w:highlight w:val="none"/>
          <w:lang w:val="en-US" w:eastAsia="zh-CN"/>
        </w:rPr>
        <w:t>进行</w:t>
      </w:r>
      <w:r>
        <w:rPr>
          <w:rFonts w:hint="eastAsia" w:cs="宋体"/>
          <w:szCs w:val="21"/>
          <w:highlight w:val="none"/>
        </w:rPr>
        <w:t>核验</w:t>
      </w:r>
      <w:r>
        <w:rPr>
          <w:rFonts w:hint="eastAsia" w:cs="宋体"/>
          <w:szCs w:val="21"/>
          <w:highlight w:val="none"/>
          <w:lang w:eastAsia="zh-CN"/>
        </w:rPr>
        <w:t>。</w:t>
      </w:r>
      <w:r>
        <w:rPr>
          <w:rFonts w:hint="eastAsia" w:cs="宋体"/>
          <w:szCs w:val="21"/>
          <w:highlight w:val="none"/>
          <w:lang w:val="en-US" w:eastAsia="zh-CN"/>
        </w:rPr>
        <w:t>甲方核验无误后按季度进行结算，乙方须</w:t>
      </w:r>
      <w:r>
        <w:rPr>
          <w:rFonts w:hint="eastAsia" w:cs="宋体"/>
          <w:szCs w:val="21"/>
          <w:highlight w:val="none"/>
        </w:rPr>
        <w:t>在甲方每次付款前，向甲方提供等额、合法、有效的增值税发票，否则甲方有权顺延付款，且不承担任何违约责任。</w:t>
      </w:r>
    </w:p>
    <w:p w14:paraId="4960842F">
      <w:pPr>
        <w:ind w:firstLine="420" w:firstLineChars="200"/>
        <w:rPr>
          <w:rFonts w:cs="宋体"/>
          <w:szCs w:val="21"/>
          <w:highlight w:val="none"/>
        </w:rPr>
      </w:pPr>
      <w:r>
        <w:rPr>
          <w:rFonts w:hint="eastAsia" w:cs="宋体"/>
          <w:szCs w:val="21"/>
          <w:highlight w:val="none"/>
        </w:rPr>
        <w:t>4.付款方式：甲方通过银行转账方式向乙方支付所有费用，乙方应提前提供合法有效的收款账户信息：</w:t>
      </w:r>
    </w:p>
    <w:p w14:paraId="7422973C">
      <w:pPr>
        <w:ind w:firstLine="420" w:firstLineChars="200"/>
        <w:rPr>
          <w:rFonts w:cs="宋体"/>
          <w:szCs w:val="21"/>
          <w:highlight w:val="none"/>
        </w:rPr>
      </w:pPr>
      <w:r>
        <w:rPr>
          <w:rFonts w:hint="eastAsia" w:cs="宋体"/>
          <w:szCs w:val="21"/>
          <w:highlight w:val="none"/>
        </w:rPr>
        <w:t>5.乙方账户信息：</w:t>
      </w:r>
    </w:p>
    <w:p w14:paraId="77FEDE47">
      <w:pPr>
        <w:ind w:firstLine="420" w:firstLineChars="200"/>
        <w:rPr>
          <w:rFonts w:cs="宋体"/>
          <w:szCs w:val="21"/>
          <w:highlight w:val="none"/>
        </w:rPr>
      </w:pPr>
      <w:r>
        <w:rPr>
          <w:rFonts w:hint="eastAsia" w:cs="宋体"/>
          <w:szCs w:val="21"/>
          <w:highlight w:val="none"/>
        </w:rPr>
        <w:t>开户名：</w:t>
      </w:r>
      <w:r>
        <w:rPr>
          <w:rFonts w:hint="eastAsia" w:cs="宋体"/>
          <w:szCs w:val="21"/>
          <w:highlight w:val="none"/>
          <w:u w:val="single"/>
        </w:rPr>
        <w:t xml:space="preserve">                          </w:t>
      </w:r>
    </w:p>
    <w:p w14:paraId="4B9FA85E">
      <w:pPr>
        <w:ind w:firstLine="420" w:firstLineChars="200"/>
        <w:rPr>
          <w:rFonts w:cs="宋体"/>
          <w:szCs w:val="21"/>
          <w:highlight w:val="none"/>
        </w:rPr>
      </w:pPr>
      <w:r>
        <w:rPr>
          <w:rFonts w:hint="eastAsia" w:cs="宋体"/>
          <w:szCs w:val="21"/>
          <w:highlight w:val="none"/>
        </w:rPr>
        <w:t>开户行：________________________</w:t>
      </w:r>
    </w:p>
    <w:p w14:paraId="378DD871">
      <w:pPr>
        <w:ind w:firstLine="420" w:firstLineChars="200"/>
        <w:rPr>
          <w:rFonts w:cs="宋体"/>
          <w:szCs w:val="21"/>
          <w:highlight w:val="none"/>
        </w:rPr>
      </w:pPr>
      <w:r>
        <w:rPr>
          <w:rFonts w:hint="eastAsia" w:cs="宋体"/>
          <w:szCs w:val="21"/>
          <w:highlight w:val="none"/>
        </w:rPr>
        <w:t>账  号：________________________</w:t>
      </w:r>
    </w:p>
    <w:p w14:paraId="5A2AC467">
      <w:pPr>
        <w:pStyle w:val="4"/>
        <w:keepNext w:val="0"/>
        <w:widowControl/>
        <w:numPr>
          <w:ilvl w:val="0"/>
          <w:numId w:val="0"/>
        </w:numPr>
        <w:tabs>
          <w:tab w:val="clear" w:pos="360"/>
        </w:tabs>
        <w:ind w:left="284" w:hanging="284"/>
        <w:jc w:val="left"/>
        <w:rPr>
          <w:rFonts w:eastAsia="宋体" w:cs="宋体"/>
          <w:bCs/>
          <w:kern w:val="2"/>
          <w:sz w:val="21"/>
          <w:szCs w:val="21"/>
          <w:highlight w:val="none"/>
        </w:rPr>
      </w:pPr>
      <w:bookmarkStart w:id="187" w:name="_Toc22594"/>
      <w:bookmarkStart w:id="188" w:name="_Toc5093"/>
      <w:r>
        <w:rPr>
          <w:rFonts w:hint="eastAsia" w:eastAsia="宋体" w:cs="宋体"/>
          <w:bCs/>
          <w:kern w:val="2"/>
          <w:sz w:val="21"/>
          <w:szCs w:val="21"/>
          <w:highlight w:val="none"/>
        </w:rPr>
        <w:t>五、双方权利与义务</w:t>
      </w:r>
      <w:bookmarkEnd w:id="187"/>
      <w:bookmarkEnd w:id="188"/>
    </w:p>
    <w:p w14:paraId="0B6E11D7">
      <w:pPr>
        <w:ind w:firstLine="420" w:firstLineChars="200"/>
        <w:rPr>
          <w:rFonts w:cs="宋体"/>
          <w:b/>
          <w:bCs/>
          <w:szCs w:val="21"/>
          <w:highlight w:val="none"/>
        </w:rPr>
      </w:pPr>
      <w:r>
        <w:rPr>
          <w:rFonts w:hint="eastAsia" w:cs="宋体"/>
          <w:b/>
          <w:bCs/>
          <w:szCs w:val="21"/>
          <w:highlight w:val="none"/>
        </w:rPr>
        <w:t>（一）甲方权利与义务</w:t>
      </w:r>
    </w:p>
    <w:p w14:paraId="5003D1E8">
      <w:pPr>
        <w:ind w:firstLine="420" w:firstLineChars="200"/>
        <w:rPr>
          <w:rFonts w:cs="宋体"/>
          <w:szCs w:val="21"/>
          <w:highlight w:val="none"/>
        </w:rPr>
      </w:pPr>
      <w:r>
        <w:rPr>
          <w:rFonts w:hint="eastAsia" w:cs="宋体"/>
          <w:szCs w:val="21"/>
          <w:highlight w:val="none"/>
        </w:rPr>
        <w:t>1.有权对乙方的印刷服务过程、质量、进度进行监督、检查，提出整改意见，乙方需在甲方要求的期限内完成整改。</w:t>
      </w:r>
    </w:p>
    <w:p w14:paraId="50221926">
      <w:pPr>
        <w:ind w:firstLine="420" w:firstLineChars="200"/>
        <w:rPr>
          <w:rFonts w:cs="宋体"/>
          <w:szCs w:val="21"/>
          <w:highlight w:val="none"/>
        </w:rPr>
      </w:pPr>
      <w:r>
        <w:rPr>
          <w:rFonts w:hint="eastAsia" w:cs="宋体"/>
          <w:szCs w:val="21"/>
          <w:highlight w:val="none"/>
        </w:rPr>
        <w:t>2.按照合同约定及时向乙方提供印刷所需的样稿、文字、图片等相关资料，并对资料的真实性、准确性、合法性负责；若资料存在错误，应及时通知乙方更正。</w:t>
      </w:r>
    </w:p>
    <w:p w14:paraId="4C1A779D">
      <w:pPr>
        <w:ind w:firstLine="420" w:firstLineChars="200"/>
        <w:rPr>
          <w:rFonts w:cs="宋体"/>
          <w:szCs w:val="21"/>
          <w:highlight w:val="none"/>
        </w:rPr>
      </w:pPr>
      <w:r>
        <w:rPr>
          <w:rFonts w:hint="eastAsia" w:cs="宋体"/>
          <w:szCs w:val="21"/>
          <w:highlight w:val="none"/>
        </w:rPr>
        <w:t>3.按照合同约定及时支付服务价款，不得无故拖延；</w:t>
      </w:r>
    </w:p>
    <w:p w14:paraId="42A276D6">
      <w:pPr>
        <w:ind w:firstLine="420" w:firstLineChars="200"/>
        <w:rPr>
          <w:rFonts w:cs="宋体"/>
          <w:szCs w:val="21"/>
          <w:highlight w:val="none"/>
        </w:rPr>
      </w:pPr>
      <w:r>
        <w:rPr>
          <w:rFonts w:hint="eastAsia" w:cs="宋体"/>
          <w:szCs w:val="21"/>
          <w:highlight w:val="none"/>
        </w:rPr>
        <w:t>4.配合乙方完成验收、交接及产品配送工作，提供必要的协助。</w:t>
      </w:r>
    </w:p>
    <w:p w14:paraId="44840551">
      <w:pPr>
        <w:ind w:firstLine="420" w:firstLineChars="200"/>
        <w:rPr>
          <w:rFonts w:cs="宋体"/>
          <w:b/>
          <w:bCs/>
          <w:szCs w:val="21"/>
          <w:highlight w:val="none"/>
        </w:rPr>
      </w:pPr>
      <w:r>
        <w:rPr>
          <w:rFonts w:hint="eastAsia" w:cs="宋体"/>
          <w:szCs w:val="21"/>
          <w:highlight w:val="none"/>
        </w:rPr>
        <w:t>5.甲方指派</w:t>
      </w:r>
      <w:r>
        <w:rPr>
          <w:rFonts w:hint="eastAsia" w:cs="宋体"/>
          <w:szCs w:val="21"/>
          <w:highlight w:val="none"/>
          <w:u w:val="single"/>
        </w:rPr>
        <w:t xml:space="preserve">     （姓名）</w:t>
      </w:r>
      <w:r>
        <w:rPr>
          <w:rFonts w:hint="eastAsia" w:cs="宋体"/>
          <w:szCs w:val="21"/>
          <w:highlight w:val="none"/>
        </w:rPr>
        <w:t>（联系电话：</w:t>
      </w:r>
      <w:r>
        <w:rPr>
          <w:rFonts w:hint="eastAsia" w:cs="宋体"/>
          <w:szCs w:val="21"/>
          <w:highlight w:val="none"/>
          <w:u w:val="single"/>
        </w:rPr>
        <w:t xml:space="preserve">               </w:t>
      </w:r>
      <w:r>
        <w:rPr>
          <w:rFonts w:hint="eastAsia" w:cs="宋体"/>
          <w:szCs w:val="21"/>
          <w:highlight w:val="none"/>
        </w:rPr>
        <w:t>）作为与乙方的具体联系人，负责对接、印刷质量及进度的监督，以及项目验收工作。</w:t>
      </w:r>
    </w:p>
    <w:p w14:paraId="1E8813BC">
      <w:pPr>
        <w:ind w:firstLine="420" w:firstLineChars="200"/>
        <w:rPr>
          <w:rFonts w:cs="宋体"/>
          <w:b/>
          <w:bCs/>
          <w:szCs w:val="21"/>
          <w:highlight w:val="none"/>
        </w:rPr>
      </w:pPr>
      <w:r>
        <w:rPr>
          <w:rFonts w:hint="eastAsia" w:cs="宋体"/>
          <w:b/>
          <w:bCs/>
          <w:szCs w:val="21"/>
          <w:highlight w:val="none"/>
        </w:rPr>
        <w:t>（二）乙方权利与义务</w:t>
      </w:r>
    </w:p>
    <w:p w14:paraId="28F4FC07">
      <w:pPr>
        <w:ind w:firstLine="420" w:firstLineChars="200"/>
        <w:rPr>
          <w:rFonts w:cs="宋体"/>
          <w:szCs w:val="21"/>
          <w:highlight w:val="none"/>
        </w:rPr>
      </w:pPr>
      <w:r>
        <w:rPr>
          <w:rFonts w:hint="eastAsia" w:cs="宋体"/>
          <w:szCs w:val="21"/>
          <w:highlight w:val="none"/>
        </w:rPr>
        <w:t>1.有权要求甲方按照合同约定提供印刷所需资料、确认设计方案及支付服务价款。</w:t>
      </w:r>
    </w:p>
    <w:p w14:paraId="1A564B0C">
      <w:pPr>
        <w:ind w:firstLine="420" w:firstLineChars="200"/>
        <w:rPr>
          <w:rFonts w:cs="宋体"/>
          <w:szCs w:val="21"/>
          <w:highlight w:val="none"/>
        </w:rPr>
      </w:pPr>
      <w:r>
        <w:rPr>
          <w:rFonts w:hint="eastAsia" w:cs="宋体"/>
          <w:szCs w:val="21"/>
          <w:highlight w:val="none"/>
        </w:rPr>
        <w:t>2.严格按照合同约定的质量、进度、数量要求提供印刷服务，确保服务符合标准；不得擅自将本合同项下的印刷工作转包或分包给第三方，如需委托第三方完成部分辅助工作，应事先征得甲方书面同意，并对第三方的工作质量负责。</w:t>
      </w:r>
    </w:p>
    <w:p w14:paraId="1722D46B">
      <w:pPr>
        <w:ind w:firstLine="420" w:firstLineChars="200"/>
        <w:rPr>
          <w:rFonts w:cs="宋体"/>
          <w:szCs w:val="21"/>
          <w:highlight w:val="none"/>
        </w:rPr>
      </w:pPr>
      <w:r>
        <w:rPr>
          <w:rFonts w:hint="eastAsia" w:cs="宋体"/>
          <w:szCs w:val="21"/>
          <w:highlight w:val="none"/>
        </w:rPr>
        <w:t>3.对甲方提供的资料、样稿及印刷内容予以保密，不得向任何第三方泄露，不得擅自复制、留存、传播甲方的印刷品及相关资料（法律法规另有规定的除外）；不得擅自销售、接受第三人委托加印本合同项下印刷品。</w:t>
      </w:r>
    </w:p>
    <w:p w14:paraId="4CC7B138">
      <w:pPr>
        <w:ind w:firstLine="420" w:firstLineChars="200"/>
        <w:rPr>
          <w:rFonts w:cs="宋体"/>
          <w:szCs w:val="21"/>
          <w:highlight w:val="none"/>
        </w:rPr>
      </w:pPr>
      <w:r>
        <w:rPr>
          <w:rFonts w:hint="eastAsia" w:cs="宋体"/>
          <w:szCs w:val="21"/>
          <w:highlight w:val="none"/>
        </w:rPr>
        <w:t>4.保证所提供的印刷</w:t>
      </w:r>
      <w:r>
        <w:rPr>
          <w:rFonts w:hint="eastAsia" w:cs="宋体"/>
          <w:szCs w:val="21"/>
          <w:highlight w:val="none"/>
          <w:lang w:val="en-US" w:eastAsia="zh-CN"/>
        </w:rPr>
        <w:t>服务</w:t>
      </w:r>
      <w:r>
        <w:rPr>
          <w:rFonts w:hint="eastAsia" w:cs="宋体"/>
          <w:szCs w:val="21"/>
          <w:highlight w:val="none"/>
        </w:rPr>
        <w:t>及设计内容不侵犯任何第三方的知识产权，若因乙方原因导致甲方遭受第三方知识产权侵权索赔，乙方应承担全部法律责任，包括但不限于赔偿甲方因此遭受的全部损失、承担甲方因处理侵权纠纷产生的律师费、诉讼费等全部费用。</w:t>
      </w:r>
    </w:p>
    <w:p w14:paraId="5BCBE010">
      <w:pPr>
        <w:ind w:firstLine="420" w:firstLineChars="200"/>
        <w:rPr>
          <w:rFonts w:cs="宋体"/>
          <w:szCs w:val="21"/>
          <w:highlight w:val="none"/>
        </w:rPr>
      </w:pPr>
      <w:r>
        <w:rPr>
          <w:rFonts w:hint="eastAsia" w:cs="宋体"/>
          <w:szCs w:val="21"/>
          <w:highlight w:val="none"/>
        </w:rPr>
        <w:t>5.按照甲方要求提供售后服务，对印刷</w:t>
      </w:r>
      <w:r>
        <w:rPr>
          <w:rFonts w:hint="eastAsia" w:cs="宋体"/>
          <w:szCs w:val="21"/>
          <w:highlight w:val="none"/>
          <w:lang w:val="en-US" w:eastAsia="zh-CN"/>
        </w:rPr>
        <w:t>服务</w:t>
      </w:r>
      <w:r>
        <w:rPr>
          <w:rFonts w:hint="eastAsia" w:cs="宋体"/>
          <w:szCs w:val="21"/>
          <w:highlight w:val="none"/>
        </w:rPr>
        <w:t>存在的质量问题（非甲方人为损坏），应在收到甲方通知后</w:t>
      </w:r>
      <w:r>
        <w:rPr>
          <w:rFonts w:hint="eastAsia" w:cs="宋体"/>
          <w:szCs w:val="21"/>
          <w:highlight w:val="none"/>
          <w:lang w:val="en-US" w:eastAsia="zh-CN"/>
        </w:rPr>
        <w:t>2</w:t>
      </w:r>
      <w:r>
        <w:rPr>
          <w:rFonts w:hint="eastAsia" w:cs="宋体"/>
          <w:szCs w:val="21"/>
          <w:highlight w:val="none"/>
        </w:rPr>
        <w:t>小时内响应，</w:t>
      </w:r>
      <w:r>
        <w:rPr>
          <w:rFonts w:hint="eastAsia" w:cs="宋体"/>
          <w:szCs w:val="21"/>
          <w:highlight w:val="none"/>
          <w:lang w:val="en-US" w:eastAsia="zh-CN"/>
        </w:rPr>
        <w:t>1</w:t>
      </w:r>
      <w:r>
        <w:rPr>
          <w:rFonts w:hint="eastAsia" w:cs="宋体"/>
          <w:szCs w:val="21"/>
          <w:highlight w:val="none"/>
        </w:rPr>
        <w:t>日内完成退换货或重新印刷，相关费用由乙方承担。</w:t>
      </w:r>
    </w:p>
    <w:p w14:paraId="1239C018">
      <w:pPr>
        <w:ind w:firstLine="420" w:firstLineChars="200"/>
        <w:rPr>
          <w:rFonts w:cs="宋体"/>
          <w:szCs w:val="21"/>
          <w:highlight w:val="none"/>
        </w:rPr>
      </w:pPr>
      <w:r>
        <w:rPr>
          <w:rFonts w:hint="eastAsia" w:cs="宋体"/>
          <w:szCs w:val="21"/>
          <w:highlight w:val="none"/>
        </w:rPr>
        <w:t>6.严格遵守相关法律法规，依法开展印刷经营活动，接受甲方及相关监管部门的检查。</w:t>
      </w:r>
    </w:p>
    <w:p w14:paraId="0DAB5B02">
      <w:pPr>
        <w:ind w:firstLine="420" w:firstLineChars="200"/>
        <w:rPr>
          <w:rFonts w:cs="宋体"/>
          <w:b/>
          <w:bCs/>
          <w:szCs w:val="21"/>
          <w:highlight w:val="none"/>
        </w:rPr>
      </w:pPr>
      <w:r>
        <w:rPr>
          <w:rFonts w:hint="eastAsia" w:cs="宋体"/>
          <w:szCs w:val="21"/>
          <w:highlight w:val="none"/>
        </w:rPr>
        <w:t>7.乙方指派</w:t>
      </w:r>
      <w:r>
        <w:rPr>
          <w:rFonts w:hint="eastAsia" w:cs="宋体"/>
          <w:szCs w:val="21"/>
          <w:highlight w:val="none"/>
          <w:u w:val="single"/>
        </w:rPr>
        <w:t xml:space="preserve">      （姓名）</w:t>
      </w:r>
      <w:r>
        <w:rPr>
          <w:rFonts w:hint="eastAsia" w:cs="宋体"/>
          <w:szCs w:val="21"/>
          <w:highlight w:val="none"/>
        </w:rPr>
        <w:t>（联系电话：</w:t>
      </w:r>
      <w:r>
        <w:rPr>
          <w:rFonts w:hint="eastAsia" w:cs="宋体"/>
          <w:szCs w:val="21"/>
          <w:highlight w:val="none"/>
          <w:u w:val="single"/>
        </w:rPr>
        <w:t xml:space="preserve">          </w:t>
      </w:r>
      <w:r>
        <w:rPr>
          <w:rFonts w:hint="eastAsia" w:cs="宋体"/>
          <w:szCs w:val="21"/>
          <w:highlight w:val="none"/>
        </w:rPr>
        <w:t>）作为与甲方的具体联系人，负责现场对接、印刷质量及进度的监督，以及项目验收工作。</w:t>
      </w:r>
    </w:p>
    <w:p w14:paraId="63048707">
      <w:pPr>
        <w:pStyle w:val="4"/>
        <w:keepNext w:val="0"/>
        <w:widowControl/>
        <w:numPr>
          <w:ilvl w:val="0"/>
          <w:numId w:val="0"/>
        </w:numPr>
        <w:tabs>
          <w:tab w:val="clear" w:pos="360"/>
        </w:tabs>
        <w:jc w:val="left"/>
        <w:rPr>
          <w:rFonts w:eastAsia="宋体" w:cs="宋体"/>
          <w:bCs/>
          <w:kern w:val="2"/>
          <w:sz w:val="21"/>
          <w:szCs w:val="21"/>
          <w:highlight w:val="none"/>
        </w:rPr>
      </w:pPr>
      <w:bookmarkStart w:id="189" w:name="_Toc16831"/>
      <w:bookmarkStart w:id="190" w:name="_Toc14816"/>
      <w:r>
        <w:rPr>
          <w:rFonts w:hint="eastAsia" w:eastAsia="宋体" w:cs="宋体"/>
          <w:bCs/>
          <w:kern w:val="2"/>
          <w:sz w:val="21"/>
          <w:szCs w:val="21"/>
          <w:highlight w:val="none"/>
        </w:rPr>
        <w:t>六、验收标准及方式</w:t>
      </w:r>
      <w:bookmarkEnd w:id="189"/>
      <w:bookmarkEnd w:id="190"/>
    </w:p>
    <w:p w14:paraId="63F85309">
      <w:pPr>
        <w:ind w:firstLine="420" w:firstLineChars="200"/>
        <w:rPr>
          <w:rFonts w:cs="宋体"/>
          <w:szCs w:val="21"/>
          <w:highlight w:val="none"/>
        </w:rPr>
      </w:pPr>
      <w:r>
        <w:rPr>
          <w:rFonts w:hint="eastAsia" w:cs="宋体"/>
          <w:szCs w:val="21"/>
          <w:highlight w:val="none"/>
        </w:rPr>
        <w:t>1.验收标准：按照本合同第</w:t>
      </w:r>
      <w:r>
        <w:rPr>
          <w:rFonts w:hint="eastAsia" w:cs="宋体"/>
          <w:szCs w:val="21"/>
          <w:highlight w:val="none"/>
          <w:lang w:val="en-US" w:eastAsia="zh-CN"/>
        </w:rPr>
        <w:t>四</w:t>
      </w:r>
      <w:r>
        <w:rPr>
          <w:rFonts w:hint="eastAsia" w:cs="宋体"/>
          <w:szCs w:val="21"/>
          <w:highlight w:val="none"/>
        </w:rPr>
        <w:t>条约定的服务要求、甲方确认的样稿及相关行业标准进行验收。</w:t>
      </w:r>
    </w:p>
    <w:p w14:paraId="18055B4F">
      <w:pPr>
        <w:ind w:firstLine="420" w:firstLineChars="200"/>
        <w:rPr>
          <w:rFonts w:cs="宋体"/>
          <w:szCs w:val="21"/>
          <w:highlight w:val="none"/>
        </w:rPr>
      </w:pPr>
      <w:r>
        <w:rPr>
          <w:rFonts w:hint="eastAsia" w:cs="宋体"/>
          <w:szCs w:val="21"/>
          <w:highlight w:val="none"/>
        </w:rPr>
        <w:t>2.验收方式：</w:t>
      </w:r>
    </w:p>
    <w:p w14:paraId="0B84D278">
      <w:pPr>
        <w:ind w:firstLine="420" w:firstLineChars="200"/>
        <w:rPr>
          <w:rFonts w:cs="宋体"/>
          <w:szCs w:val="21"/>
          <w:highlight w:val="none"/>
        </w:rPr>
      </w:pPr>
      <w:r>
        <w:rPr>
          <w:rFonts w:hint="eastAsia" w:cs="宋体"/>
          <w:szCs w:val="21"/>
          <w:highlight w:val="none"/>
        </w:rPr>
        <w:t>（1）乙方完成印刷服务并送达指定地点后，应及时通知甲方进行验收。</w:t>
      </w:r>
    </w:p>
    <w:p w14:paraId="59C054DF">
      <w:pPr>
        <w:ind w:firstLine="420" w:firstLineChars="200"/>
        <w:rPr>
          <w:rFonts w:cs="宋体"/>
          <w:szCs w:val="21"/>
          <w:highlight w:val="none"/>
        </w:rPr>
      </w:pPr>
      <w:r>
        <w:rPr>
          <w:rFonts w:hint="eastAsia" w:cs="宋体"/>
          <w:szCs w:val="21"/>
          <w:highlight w:val="none"/>
        </w:rPr>
        <w:t>（2）验收时，甲方可对印刷</w:t>
      </w:r>
      <w:r>
        <w:rPr>
          <w:rFonts w:hint="eastAsia" w:cs="宋体"/>
          <w:szCs w:val="21"/>
          <w:highlight w:val="none"/>
          <w:lang w:val="en-US" w:eastAsia="zh-CN"/>
        </w:rPr>
        <w:t>服务</w:t>
      </w:r>
      <w:r>
        <w:rPr>
          <w:rFonts w:hint="eastAsia" w:cs="宋体"/>
          <w:szCs w:val="21"/>
          <w:highlight w:val="none"/>
        </w:rPr>
        <w:t>进行检验，若发现印刷</w:t>
      </w:r>
      <w:r>
        <w:rPr>
          <w:rFonts w:hint="eastAsia" w:cs="宋体"/>
          <w:szCs w:val="21"/>
          <w:highlight w:val="none"/>
          <w:lang w:val="en-US" w:eastAsia="zh-CN"/>
        </w:rPr>
        <w:t>服务</w:t>
      </w:r>
      <w:r>
        <w:rPr>
          <w:rFonts w:hint="eastAsia" w:cs="宋体"/>
          <w:szCs w:val="21"/>
          <w:highlight w:val="none"/>
        </w:rPr>
        <w:t>不符合合同约定，甲方有权拒收，乙方需在甲方要求的期限内重新</w:t>
      </w:r>
      <w:r>
        <w:rPr>
          <w:rFonts w:hint="eastAsia" w:cs="宋体"/>
          <w:szCs w:val="21"/>
          <w:highlight w:val="none"/>
          <w:lang w:val="en-US" w:eastAsia="zh-CN"/>
        </w:rPr>
        <w:t>印刷</w:t>
      </w:r>
      <w:r>
        <w:rPr>
          <w:rFonts w:hint="eastAsia" w:cs="宋体"/>
          <w:szCs w:val="21"/>
          <w:highlight w:val="none"/>
        </w:rPr>
        <w:t>、配送，直至验收合格，由此产生的费用及逾期责任由乙方承担。</w:t>
      </w:r>
    </w:p>
    <w:p w14:paraId="4EAB6ED0">
      <w:pPr>
        <w:ind w:firstLine="420" w:firstLineChars="200"/>
        <w:rPr>
          <w:rFonts w:cs="宋体"/>
          <w:szCs w:val="21"/>
          <w:highlight w:val="none"/>
        </w:rPr>
      </w:pPr>
      <w:r>
        <w:rPr>
          <w:rFonts w:hint="eastAsia" w:cs="宋体"/>
          <w:szCs w:val="21"/>
          <w:highlight w:val="none"/>
        </w:rPr>
        <w:t>（3）验收合格后，双方应签署《印刷服务验收单》，验收单作为结算及支付价款的重要依据；若甲方逾期未组织验收，视为默认验收合格。</w:t>
      </w:r>
    </w:p>
    <w:p w14:paraId="4519F097">
      <w:pPr>
        <w:pStyle w:val="4"/>
        <w:keepNext w:val="0"/>
        <w:widowControl/>
        <w:numPr>
          <w:ilvl w:val="0"/>
          <w:numId w:val="0"/>
        </w:numPr>
        <w:tabs>
          <w:tab w:val="clear" w:pos="360"/>
        </w:tabs>
        <w:jc w:val="left"/>
        <w:rPr>
          <w:rFonts w:eastAsia="宋体" w:cs="宋体"/>
          <w:bCs/>
          <w:kern w:val="2"/>
          <w:sz w:val="21"/>
          <w:szCs w:val="21"/>
          <w:highlight w:val="none"/>
        </w:rPr>
      </w:pPr>
      <w:bookmarkStart w:id="191" w:name="_Toc25200"/>
      <w:bookmarkStart w:id="192" w:name="_Toc31965"/>
      <w:r>
        <w:rPr>
          <w:rFonts w:hint="eastAsia" w:eastAsia="宋体" w:cs="宋体"/>
          <w:bCs/>
          <w:kern w:val="2"/>
          <w:sz w:val="21"/>
          <w:szCs w:val="21"/>
          <w:highlight w:val="none"/>
        </w:rPr>
        <w:t>七、违约责任</w:t>
      </w:r>
      <w:bookmarkEnd w:id="191"/>
      <w:bookmarkEnd w:id="192"/>
    </w:p>
    <w:p w14:paraId="3B9AE4BB">
      <w:pPr>
        <w:ind w:firstLine="420" w:firstLineChars="200"/>
        <w:rPr>
          <w:rFonts w:cs="宋体"/>
          <w:szCs w:val="21"/>
          <w:highlight w:val="none"/>
        </w:rPr>
      </w:pPr>
      <w:r>
        <w:rPr>
          <w:rFonts w:hint="eastAsia" w:cs="宋体"/>
          <w:szCs w:val="21"/>
          <w:highlight w:val="none"/>
        </w:rPr>
        <w:t>1.甲方未按照合同约定支付服务价款的，每逾期一日，应按照逾期金额的0.5‰向乙方支付违约金；逾期超过30日的，乙方有权暂停提供服务，由此造成的损失由甲方承担。</w:t>
      </w:r>
    </w:p>
    <w:p w14:paraId="208C71EA">
      <w:pPr>
        <w:ind w:firstLine="420" w:firstLineChars="200"/>
        <w:rPr>
          <w:rFonts w:cs="宋体"/>
          <w:szCs w:val="21"/>
          <w:highlight w:val="none"/>
        </w:rPr>
      </w:pPr>
      <w:r>
        <w:rPr>
          <w:rFonts w:hint="eastAsia" w:cs="宋体"/>
          <w:szCs w:val="21"/>
          <w:highlight w:val="none"/>
        </w:rPr>
        <w:t>2.甲方未按照合同约定提供印刷所需资料，或提供的资料存在错误导致乙方无法正常开展工作，由此造成的工期延误、费用增加，由甲方承担，乙方不承担违约责任。</w:t>
      </w:r>
    </w:p>
    <w:p w14:paraId="7B0C98CD">
      <w:pPr>
        <w:ind w:firstLine="420" w:firstLineChars="200"/>
        <w:rPr>
          <w:rFonts w:cs="宋体"/>
          <w:szCs w:val="21"/>
          <w:highlight w:val="none"/>
        </w:rPr>
      </w:pPr>
      <w:r>
        <w:rPr>
          <w:rFonts w:hint="eastAsia" w:cs="宋体"/>
          <w:szCs w:val="21"/>
          <w:highlight w:val="none"/>
        </w:rPr>
        <w:t>3.乙方提供的印刷品不符合合同约定的质量要求，甲方有权要求乙方退换货、重新印刷，乙方应在甲方要求的期限内完成，若因此给甲方造成损失，乙方应另行赔偿。</w:t>
      </w:r>
    </w:p>
    <w:p w14:paraId="5E2CE735">
      <w:pPr>
        <w:ind w:firstLine="420" w:firstLineChars="200"/>
        <w:rPr>
          <w:rFonts w:cs="宋体"/>
          <w:szCs w:val="21"/>
          <w:highlight w:val="none"/>
        </w:rPr>
      </w:pPr>
      <w:r>
        <w:rPr>
          <w:rFonts w:hint="eastAsia" w:cs="宋体"/>
          <w:szCs w:val="21"/>
          <w:highlight w:val="none"/>
        </w:rPr>
        <w:t>4.乙方未按照合同约定的时间配送印刷品的，每逾期一日，应按照该批次印刷服务价款的0.5‰向甲方支付违约金；逾期超过15日的，甲方有权解除该批次服务约定，乙方应退还甲方已支付的相关款项，并按照该批次印刷服务价款的20%向甲方支付违约金。</w:t>
      </w:r>
    </w:p>
    <w:p w14:paraId="7A621ABD">
      <w:pPr>
        <w:ind w:firstLine="420" w:firstLineChars="200"/>
        <w:rPr>
          <w:rFonts w:cs="宋体"/>
          <w:szCs w:val="21"/>
          <w:highlight w:val="none"/>
        </w:rPr>
      </w:pPr>
      <w:r>
        <w:rPr>
          <w:rFonts w:hint="eastAsia" w:cs="宋体"/>
          <w:szCs w:val="21"/>
          <w:highlight w:val="none"/>
        </w:rPr>
        <w:t>5.乙方违反保密义务、擅自转包分包、擅自复制留存甲方印刷资料或侵犯第三方知识产权的，应向甲方支付违约金______元，若违约金不足以弥补甲方损失的，乙方应另行赔偿；情节严重的，甲方有权解除本合同，并追究乙方的法律责任。</w:t>
      </w:r>
    </w:p>
    <w:p w14:paraId="23DD1241">
      <w:pPr>
        <w:ind w:firstLine="420" w:firstLineChars="200"/>
        <w:rPr>
          <w:rFonts w:cs="宋体"/>
          <w:szCs w:val="21"/>
          <w:highlight w:val="none"/>
        </w:rPr>
      </w:pPr>
      <w:r>
        <w:rPr>
          <w:rFonts w:hint="eastAsia" w:cs="宋体"/>
          <w:szCs w:val="21"/>
          <w:highlight w:val="none"/>
        </w:rPr>
        <w:t>6.任何一方违反本合同其他约定，应承担相应的违约责任，赔偿对方因此遭受的全部损失。</w:t>
      </w:r>
    </w:p>
    <w:p w14:paraId="286F6D4F">
      <w:pPr>
        <w:pStyle w:val="4"/>
        <w:keepNext w:val="0"/>
        <w:widowControl/>
        <w:numPr>
          <w:ilvl w:val="0"/>
          <w:numId w:val="0"/>
        </w:numPr>
        <w:tabs>
          <w:tab w:val="clear" w:pos="360"/>
        </w:tabs>
        <w:jc w:val="left"/>
        <w:rPr>
          <w:rFonts w:eastAsia="宋体" w:cs="宋体"/>
          <w:bCs/>
          <w:kern w:val="2"/>
          <w:sz w:val="21"/>
          <w:szCs w:val="21"/>
          <w:highlight w:val="none"/>
        </w:rPr>
      </w:pPr>
      <w:bookmarkStart w:id="193" w:name="_Toc17526"/>
      <w:bookmarkStart w:id="194" w:name="_Toc31912"/>
      <w:r>
        <w:rPr>
          <w:rFonts w:hint="eastAsia" w:eastAsia="宋体" w:cs="宋体"/>
          <w:bCs/>
          <w:kern w:val="2"/>
          <w:sz w:val="21"/>
          <w:szCs w:val="21"/>
          <w:highlight w:val="none"/>
        </w:rPr>
        <w:t>八、保密条款</w:t>
      </w:r>
      <w:bookmarkEnd w:id="193"/>
      <w:bookmarkEnd w:id="194"/>
    </w:p>
    <w:p w14:paraId="30F14EFA">
      <w:pPr>
        <w:ind w:firstLine="420" w:firstLineChars="200"/>
        <w:rPr>
          <w:rFonts w:cs="宋体"/>
          <w:szCs w:val="21"/>
          <w:highlight w:val="none"/>
        </w:rPr>
      </w:pPr>
      <w:r>
        <w:rPr>
          <w:rFonts w:hint="eastAsia" w:cs="宋体"/>
          <w:szCs w:val="21"/>
          <w:highlight w:val="none"/>
        </w:rPr>
        <w:t>1.双方应对在本合同履行过程中知悉的对方商业秘密、技术秘密、医疗信息及其他未公开的机密信息予以严格保密，未经对方书面同意，不得向任何第三方披露、泄露或用于本合同以外的其他用途。</w:t>
      </w:r>
    </w:p>
    <w:p w14:paraId="1373EB97">
      <w:pPr>
        <w:ind w:firstLine="420" w:firstLineChars="200"/>
        <w:rPr>
          <w:rFonts w:cs="宋体"/>
          <w:szCs w:val="21"/>
          <w:highlight w:val="none"/>
        </w:rPr>
      </w:pPr>
      <w:r>
        <w:rPr>
          <w:rFonts w:hint="eastAsia" w:cs="宋体"/>
          <w:szCs w:val="21"/>
          <w:highlight w:val="none"/>
        </w:rPr>
        <w:t>2.本保密条款的效力不因本合同的终止而终止，保密期限自双方知悉该机密信息之日起至该信息公开之日或对方书面解除保密义务之日止。</w:t>
      </w:r>
    </w:p>
    <w:p w14:paraId="5ED48C77">
      <w:pPr>
        <w:ind w:firstLine="420" w:firstLineChars="200"/>
        <w:rPr>
          <w:rFonts w:cs="宋体"/>
          <w:szCs w:val="21"/>
          <w:highlight w:val="none"/>
        </w:rPr>
      </w:pPr>
      <w:r>
        <w:rPr>
          <w:rFonts w:hint="eastAsia" w:cs="宋体"/>
          <w:szCs w:val="21"/>
          <w:highlight w:val="none"/>
        </w:rPr>
        <w:t>3.乙方违反本条款约定，应承担全部赔偿责任，甲方有权解除合同并追究乙方的法律责任。</w:t>
      </w:r>
    </w:p>
    <w:p w14:paraId="41E0B252">
      <w:pPr>
        <w:pStyle w:val="4"/>
        <w:keepNext w:val="0"/>
        <w:widowControl/>
        <w:numPr>
          <w:ilvl w:val="0"/>
          <w:numId w:val="0"/>
        </w:numPr>
        <w:tabs>
          <w:tab w:val="clear" w:pos="360"/>
        </w:tabs>
        <w:jc w:val="left"/>
        <w:rPr>
          <w:rFonts w:eastAsia="宋体" w:cs="宋体"/>
          <w:bCs/>
          <w:kern w:val="2"/>
          <w:sz w:val="21"/>
          <w:szCs w:val="21"/>
          <w:highlight w:val="none"/>
        </w:rPr>
      </w:pPr>
      <w:bookmarkStart w:id="195" w:name="_Toc2036"/>
      <w:bookmarkStart w:id="196" w:name="_Toc9153"/>
      <w:r>
        <w:rPr>
          <w:rFonts w:hint="eastAsia" w:eastAsia="宋体" w:cs="宋体"/>
          <w:bCs/>
          <w:kern w:val="2"/>
          <w:sz w:val="21"/>
          <w:szCs w:val="21"/>
          <w:highlight w:val="none"/>
        </w:rPr>
        <w:t>九、不可抗力</w:t>
      </w:r>
      <w:bookmarkEnd w:id="195"/>
      <w:bookmarkEnd w:id="196"/>
    </w:p>
    <w:p w14:paraId="2B938C01">
      <w:pPr>
        <w:ind w:firstLine="420" w:firstLineChars="200"/>
        <w:rPr>
          <w:rFonts w:cs="宋体"/>
          <w:szCs w:val="21"/>
          <w:highlight w:val="none"/>
        </w:rPr>
      </w:pPr>
      <w:r>
        <w:rPr>
          <w:rFonts w:hint="eastAsia" w:cs="宋体"/>
          <w:szCs w:val="21"/>
          <w:highlight w:val="none"/>
        </w:rPr>
        <w:t>1.本合同所称不可抗力，是指不能预见、不能避免并不能克服的客观情况，包括但不限于地震、洪水、台风、火灾、战争、政策调整等。</w:t>
      </w:r>
    </w:p>
    <w:p w14:paraId="09D59CAB">
      <w:pPr>
        <w:ind w:firstLine="420" w:firstLineChars="200"/>
        <w:rPr>
          <w:rFonts w:cs="宋体"/>
          <w:szCs w:val="21"/>
          <w:highlight w:val="none"/>
        </w:rPr>
      </w:pPr>
      <w:r>
        <w:rPr>
          <w:rFonts w:hint="eastAsia" w:cs="宋体"/>
          <w:szCs w:val="21"/>
          <w:highlight w:val="none"/>
        </w:rPr>
        <w:t>2.若因不可抗力导致双方无法履行本合同约定的义务，受不可抗力影响一方应及时通知对方，并在不可抗力发生后15日内提供相关证明文件，双方可根据不可抗力的影响程度，协商解除合同、免除部分责任或顺延履行期限。</w:t>
      </w:r>
    </w:p>
    <w:p w14:paraId="72DE982C">
      <w:pPr>
        <w:ind w:firstLine="420" w:firstLineChars="200"/>
        <w:rPr>
          <w:rFonts w:cs="宋体"/>
          <w:szCs w:val="21"/>
          <w:highlight w:val="none"/>
        </w:rPr>
      </w:pPr>
      <w:r>
        <w:rPr>
          <w:rFonts w:hint="eastAsia" w:cs="宋体"/>
          <w:szCs w:val="21"/>
          <w:highlight w:val="none"/>
        </w:rPr>
        <w:t>3.受不可抗力影响的一方，应尽最大努力减少不可抗力造成的损失。</w:t>
      </w:r>
    </w:p>
    <w:p w14:paraId="18C55104">
      <w:pPr>
        <w:pStyle w:val="4"/>
        <w:keepNext w:val="0"/>
        <w:widowControl/>
        <w:numPr>
          <w:ilvl w:val="0"/>
          <w:numId w:val="0"/>
        </w:numPr>
        <w:tabs>
          <w:tab w:val="clear" w:pos="360"/>
        </w:tabs>
        <w:jc w:val="left"/>
        <w:rPr>
          <w:rFonts w:eastAsia="宋体" w:cs="宋体"/>
          <w:bCs/>
          <w:kern w:val="2"/>
          <w:sz w:val="21"/>
          <w:szCs w:val="21"/>
          <w:highlight w:val="none"/>
        </w:rPr>
      </w:pPr>
      <w:bookmarkStart w:id="197" w:name="_Toc22310"/>
      <w:bookmarkStart w:id="198" w:name="_Toc16589"/>
      <w:r>
        <w:rPr>
          <w:rFonts w:hint="eastAsia" w:eastAsia="宋体" w:cs="宋体"/>
          <w:bCs/>
          <w:kern w:val="2"/>
          <w:sz w:val="21"/>
          <w:szCs w:val="21"/>
          <w:highlight w:val="none"/>
        </w:rPr>
        <w:t>十、争议解决</w:t>
      </w:r>
      <w:bookmarkEnd w:id="197"/>
      <w:bookmarkEnd w:id="198"/>
    </w:p>
    <w:p w14:paraId="0FCA6FDE">
      <w:pPr>
        <w:ind w:firstLine="420" w:firstLineChars="200"/>
        <w:rPr>
          <w:rFonts w:cs="宋体"/>
          <w:szCs w:val="21"/>
          <w:highlight w:val="none"/>
        </w:rPr>
      </w:pPr>
      <w:r>
        <w:rPr>
          <w:rFonts w:hint="eastAsia" w:cs="宋体"/>
          <w:szCs w:val="21"/>
          <w:highlight w:val="none"/>
        </w:rPr>
        <w:t>本合同在履行过程中发生的争议，双方应首先友好协商解决；协商不成的，任何一方均有权向甲方所在地人民法院提起诉讼。</w:t>
      </w:r>
    </w:p>
    <w:p w14:paraId="4708456E">
      <w:pPr>
        <w:pStyle w:val="4"/>
        <w:keepNext w:val="0"/>
        <w:widowControl/>
        <w:numPr>
          <w:ilvl w:val="0"/>
          <w:numId w:val="0"/>
        </w:numPr>
        <w:tabs>
          <w:tab w:val="clear" w:pos="360"/>
        </w:tabs>
        <w:jc w:val="left"/>
        <w:rPr>
          <w:rFonts w:eastAsia="宋体" w:cs="宋体"/>
          <w:bCs/>
          <w:kern w:val="2"/>
          <w:sz w:val="21"/>
          <w:szCs w:val="21"/>
          <w:highlight w:val="none"/>
        </w:rPr>
      </w:pPr>
      <w:bookmarkStart w:id="199" w:name="_Toc22907"/>
      <w:bookmarkStart w:id="200" w:name="_Toc24908"/>
      <w:r>
        <w:rPr>
          <w:rFonts w:hint="eastAsia" w:eastAsia="宋体" w:cs="宋体"/>
          <w:bCs/>
          <w:kern w:val="2"/>
          <w:sz w:val="21"/>
          <w:szCs w:val="21"/>
          <w:highlight w:val="none"/>
        </w:rPr>
        <w:t>十一、其他条款</w:t>
      </w:r>
      <w:bookmarkEnd w:id="199"/>
      <w:bookmarkEnd w:id="200"/>
    </w:p>
    <w:p w14:paraId="4F65E035">
      <w:pPr>
        <w:ind w:firstLine="420" w:firstLineChars="200"/>
        <w:rPr>
          <w:rFonts w:cs="宋体"/>
          <w:szCs w:val="21"/>
          <w:highlight w:val="none"/>
        </w:rPr>
      </w:pPr>
      <w:r>
        <w:rPr>
          <w:rFonts w:hint="eastAsia" w:cs="宋体"/>
          <w:szCs w:val="21"/>
          <w:highlight w:val="none"/>
        </w:rPr>
        <w:t>1.本合同未尽事宜，双方可另行协商并签订书面补充协议，补充协议与本合同不一致的，以补充协议为准。</w:t>
      </w:r>
    </w:p>
    <w:p w14:paraId="5BB09862">
      <w:pPr>
        <w:ind w:firstLine="420" w:firstLineChars="200"/>
        <w:rPr>
          <w:rFonts w:cs="宋体"/>
          <w:szCs w:val="21"/>
          <w:highlight w:val="none"/>
        </w:rPr>
      </w:pPr>
      <w:r>
        <w:rPr>
          <w:rFonts w:hint="eastAsia" w:cs="宋体"/>
          <w:szCs w:val="21"/>
          <w:highlight w:val="none"/>
          <w:lang w:val="en-US" w:eastAsia="zh-CN"/>
        </w:rPr>
        <w:t>2</w:t>
      </w:r>
      <w:r>
        <w:rPr>
          <w:rFonts w:hint="eastAsia" w:cs="宋体"/>
          <w:szCs w:val="21"/>
          <w:highlight w:val="none"/>
        </w:rPr>
        <w:t>.本合同一式</w:t>
      </w:r>
      <w:r>
        <w:rPr>
          <w:rFonts w:hint="eastAsia" w:cs="宋体"/>
          <w:szCs w:val="21"/>
          <w:highlight w:val="none"/>
          <w:u w:val="single"/>
          <w:lang w:val="en-US" w:eastAsia="zh-CN"/>
        </w:rPr>
        <w:t xml:space="preserve">  </w:t>
      </w:r>
      <w:r>
        <w:rPr>
          <w:rFonts w:hint="eastAsia" w:cs="宋体"/>
          <w:szCs w:val="21"/>
          <w:highlight w:val="none"/>
        </w:rPr>
        <w:t>份，甲方执</w:t>
      </w:r>
      <w:r>
        <w:rPr>
          <w:rFonts w:hint="eastAsia" w:cs="宋体"/>
          <w:szCs w:val="21"/>
          <w:highlight w:val="none"/>
          <w:u w:val="single"/>
          <w:lang w:val="en-US" w:eastAsia="zh-CN"/>
        </w:rPr>
        <w:t xml:space="preserve">  </w:t>
      </w:r>
      <w:r>
        <w:rPr>
          <w:rFonts w:hint="eastAsia" w:cs="宋体"/>
          <w:szCs w:val="21"/>
          <w:highlight w:val="none"/>
        </w:rPr>
        <w:t>份，乙方执</w:t>
      </w:r>
      <w:r>
        <w:rPr>
          <w:rFonts w:hint="eastAsia" w:cs="宋体"/>
          <w:szCs w:val="21"/>
          <w:highlight w:val="none"/>
          <w:u w:val="single"/>
          <w:lang w:val="en-US" w:eastAsia="zh-CN"/>
        </w:rPr>
        <w:t xml:space="preserve">  </w:t>
      </w:r>
      <w:r>
        <w:rPr>
          <w:rFonts w:hint="eastAsia" w:cs="宋体"/>
          <w:szCs w:val="21"/>
          <w:highlight w:val="none"/>
        </w:rPr>
        <w:t>份，自双方签字盖章之日起生效，具有同等法律效力。</w:t>
      </w:r>
    </w:p>
    <w:p w14:paraId="1A708550">
      <w:pPr>
        <w:ind w:firstLine="420" w:firstLineChars="200"/>
        <w:rPr>
          <w:rFonts w:cs="宋体"/>
          <w:szCs w:val="21"/>
          <w:highlight w:val="none"/>
        </w:rPr>
      </w:pPr>
      <w:r>
        <w:rPr>
          <w:rFonts w:hint="eastAsia" w:cs="宋体"/>
          <w:szCs w:val="21"/>
          <w:highlight w:val="none"/>
          <w:lang w:val="en-US" w:eastAsia="zh-CN"/>
        </w:rPr>
        <w:t>3</w:t>
      </w:r>
      <w:r>
        <w:rPr>
          <w:rFonts w:hint="eastAsia" w:cs="宋体"/>
          <w:szCs w:val="21"/>
          <w:highlight w:val="none"/>
        </w:rPr>
        <w:t>.双方确认，本合同载明的地址、联系方式为有效送达地址，任何一方变更联系方式，应提前3个工作日书面通知对方，否则因此产生的送达不能、延误等后果由变更方承担。</w:t>
      </w:r>
    </w:p>
    <w:p w14:paraId="25FD560A">
      <w:pPr>
        <w:pStyle w:val="4"/>
        <w:keepNext w:val="0"/>
        <w:widowControl/>
        <w:numPr>
          <w:ilvl w:val="0"/>
          <w:numId w:val="0"/>
        </w:numPr>
        <w:tabs>
          <w:tab w:val="clear" w:pos="360"/>
        </w:tabs>
        <w:jc w:val="left"/>
        <w:rPr>
          <w:rFonts w:eastAsia="宋体" w:cs="宋体"/>
          <w:bCs/>
          <w:kern w:val="2"/>
          <w:sz w:val="21"/>
          <w:szCs w:val="21"/>
          <w:highlight w:val="none"/>
        </w:rPr>
      </w:pPr>
      <w:bookmarkStart w:id="201" w:name="_Toc31019"/>
      <w:bookmarkStart w:id="202" w:name="_Toc24474"/>
      <w:r>
        <w:rPr>
          <w:rFonts w:hint="eastAsia" w:eastAsia="宋体" w:cs="宋体"/>
          <w:bCs/>
          <w:kern w:val="2"/>
          <w:sz w:val="21"/>
          <w:szCs w:val="21"/>
          <w:highlight w:val="none"/>
        </w:rPr>
        <w:t>十二、本合同不可分割部分：</w:t>
      </w:r>
      <w:bookmarkEnd w:id="201"/>
      <w:bookmarkEnd w:id="202"/>
    </w:p>
    <w:p w14:paraId="0902AACC">
      <w:pPr>
        <w:adjustRightInd w:val="0"/>
        <w:snapToGrid w:val="0"/>
        <w:ind w:firstLine="420" w:firstLineChars="200"/>
        <w:rPr>
          <w:szCs w:val="21"/>
          <w:highlight w:val="none"/>
        </w:rPr>
      </w:pPr>
      <w:r>
        <w:rPr>
          <w:szCs w:val="21"/>
          <w:highlight w:val="none"/>
        </w:rPr>
        <w:t>1.合同书附件</w:t>
      </w:r>
      <w:r>
        <w:rPr>
          <w:rFonts w:hint="eastAsia"/>
          <w:szCs w:val="21"/>
          <w:highlight w:val="none"/>
        </w:rPr>
        <w:t>（如有）</w:t>
      </w:r>
      <w:r>
        <w:rPr>
          <w:szCs w:val="21"/>
          <w:highlight w:val="none"/>
        </w:rPr>
        <w:t>；2.</w:t>
      </w:r>
      <w:r>
        <w:rPr>
          <w:rFonts w:hint="eastAsia"/>
          <w:szCs w:val="21"/>
          <w:highlight w:val="none"/>
          <w:lang w:val="en-US" w:eastAsia="zh-CN"/>
        </w:rPr>
        <w:t>中标</w:t>
      </w:r>
      <w:r>
        <w:rPr>
          <w:szCs w:val="21"/>
          <w:highlight w:val="none"/>
        </w:rPr>
        <w:t>通知书；3.乙方</w:t>
      </w:r>
      <w:r>
        <w:rPr>
          <w:rFonts w:hint="eastAsia"/>
          <w:szCs w:val="21"/>
          <w:highlight w:val="none"/>
          <w:lang w:val="en-US" w:eastAsia="zh-CN"/>
        </w:rPr>
        <w:t>投标</w:t>
      </w:r>
      <w:r>
        <w:rPr>
          <w:szCs w:val="21"/>
          <w:highlight w:val="none"/>
        </w:rPr>
        <w:t>文件；4.</w:t>
      </w:r>
      <w:r>
        <w:rPr>
          <w:rFonts w:hint="eastAsia"/>
          <w:szCs w:val="21"/>
          <w:highlight w:val="none"/>
          <w:lang w:val="en-US" w:eastAsia="zh-CN"/>
        </w:rPr>
        <w:t>中标</w:t>
      </w:r>
      <w:r>
        <w:rPr>
          <w:szCs w:val="21"/>
          <w:highlight w:val="none"/>
        </w:rPr>
        <w:t>文件；5.甲乙双方签订合同过程中形成的其他文件。</w:t>
      </w:r>
    </w:p>
    <w:p w14:paraId="47ECB8A0">
      <w:pPr>
        <w:spacing w:line="500" w:lineRule="exact"/>
        <w:ind w:firstLine="420" w:firstLineChars="200"/>
        <w:jc w:val="left"/>
        <w:rPr>
          <w:rFonts w:cs="宋体"/>
          <w:szCs w:val="21"/>
          <w:highlight w:val="none"/>
        </w:rPr>
      </w:pPr>
    </w:p>
    <w:p w14:paraId="0E97D9D2">
      <w:pPr>
        <w:pStyle w:val="365"/>
        <w:spacing w:line="560" w:lineRule="exact"/>
        <w:ind w:firstLine="200"/>
        <w:jc w:val="center"/>
        <w:rPr>
          <w:rFonts w:hAnsi="宋体" w:cs="宋体"/>
          <w:b/>
          <w:bCs/>
          <w:highlight w:val="none"/>
        </w:rPr>
      </w:pPr>
      <w:r>
        <w:rPr>
          <w:rFonts w:hint="eastAsia" w:hAnsi="宋体" w:cs="宋体"/>
          <w:b/>
          <w:szCs w:val="24"/>
          <w:highlight w:val="none"/>
        </w:rPr>
        <w:br w:type="page"/>
      </w:r>
      <w:bookmarkEnd w:id="138"/>
    </w:p>
    <w:p w14:paraId="15FCC0CE">
      <w:pPr>
        <w:widowControl/>
        <w:jc w:val="center"/>
        <w:outlineLvl w:val="0"/>
        <w:rPr>
          <w:rFonts w:cs="宋体"/>
          <w:b/>
          <w:bCs/>
          <w:sz w:val="36"/>
          <w:highlight w:val="none"/>
        </w:rPr>
      </w:pPr>
      <w:bookmarkStart w:id="203" w:name="_Toc701"/>
      <w:bookmarkStart w:id="204" w:name="_Toc7647"/>
      <w:r>
        <w:rPr>
          <w:rFonts w:hint="eastAsia" w:cs="宋体"/>
          <w:b/>
          <w:bCs/>
          <w:sz w:val="36"/>
          <w:highlight w:val="none"/>
        </w:rPr>
        <w:t>第四章  投标文件格式</w:t>
      </w:r>
      <w:bookmarkEnd w:id="135"/>
      <w:bookmarkEnd w:id="136"/>
      <w:bookmarkEnd w:id="203"/>
      <w:bookmarkEnd w:id="204"/>
    </w:p>
    <w:p w14:paraId="7BA1F04D">
      <w:pPr>
        <w:jc w:val="center"/>
        <w:outlineLvl w:val="1"/>
        <w:rPr>
          <w:rFonts w:cs="宋体"/>
          <w:b/>
          <w:bCs/>
          <w:sz w:val="32"/>
          <w:szCs w:val="21"/>
          <w:highlight w:val="none"/>
        </w:rPr>
      </w:pPr>
      <w:bookmarkStart w:id="205" w:name="_Toc16252"/>
      <w:bookmarkStart w:id="206" w:name="_Toc15207"/>
      <w:bookmarkStart w:id="207" w:name="_Toc28588"/>
      <w:bookmarkStart w:id="208" w:name="_Toc22034"/>
      <w:bookmarkStart w:id="209" w:name="_Toc496520983"/>
      <w:bookmarkStart w:id="210" w:name="_Toc27545"/>
      <w:bookmarkStart w:id="211" w:name="_Toc12960"/>
      <w:r>
        <w:rPr>
          <w:rFonts w:hint="eastAsia" w:cs="宋体"/>
          <w:b/>
          <w:bCs/>
          <w:sz w:val="32"/>
          <w:szCs w:val="21"/>
          <w:highlight w:val="none"/>
        </w:rPr>
        <w:t>★一、开标一览表</w:t>
      </w:r>
      <w:bookmarkEnd w:id="205"/>
      <w:bookmarkEnd w:id="206"/>
      <w:bookmarkEnd w:id="207"/>
      <w:bookmarkEnd w:id="208"/>
    </w:p>
    <w:p w14:paraId="25F8B263">
      <w:pPr>
        <w:pStyle w:val="45"/>
        <w:rPr>
          <w:rFonts w:cs="宋体"/>
          <w:b/>
          <w:szCs w:val="21"/>
          <w:highlight w:val="none"/>
        </w:rPr>
      </w:pPr>
      <w:r>
        <w:rPr>
          <w:rFonts w:hint="eastAsia" w:cs="宋体"/>
          <w:b/>
          <w:szCs w:val="21"/>
          <w:highlight w:val="none"/>
        </w:rPr>
        <w:t>项目名称：</w:t>
      </w:r>
    </w:p>
    <w:tbl>
      <w:tblPr>
        <w:tblStyle w:val="88"/>
        <w:tblW w:w="503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75"/>
        <w:gridCol w:w="2612"/>
        <w:gridCol w:w="1493"/>
        <w:gridCol w:w="1474"/>
        <w:gridCol w:w="1438"/>
        <w:gridCol w:w="1194"/>
      </w:tblGrid>
      <w:tr w14:paraId="3700D8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804" w:type="pct"/>
            <w:noWrap/>
            <w:vAlign w:val="center"/>
          </w:tcPr>
          <w:p w14:paraId="6EEC00D0">
            <w:pPr>
              <w:pStyle w:val="45"/>
              <w:jc w:val="center"/>
              <w:rPr>
                <w:rFonts w:cs="宋体"/>
                <w:b/>
                <w:szCs w:val="21"/>
                <w:highlight w:val="none"/>
              </w:rPr>
            </w:pPr>
            <w:r>
              <w:rPr>
                <w:rFonts w:hint="eastAsia" w:cs="宋体"/>
                <w:b/>
                <w:szCs w:val="21"/>
                <w:highlight w:val="none"/>
              </w:rPr>
              <w:t>投标人名称</w:t>
            </w:r>
          </w:p>
        </w:tc>
        <w:tc>
          <w:tcPr>
            <w:tcW w:w="1334" w:type="pct"/>
            <w:noWrap/>
            <w:vAlign w:val="center"/>
          </w:tcPr>
          <w:p w14:paraId="19777A4D">
            <w:pPr>
              <w:pStyle w:val="45"/>
              <w:jc w:val="center"/>
              <w:rPr>
                <w:rFonts w:cs="宋体"/>
                <w:b/>
                <w:szCs w:val="21"/>
                <w:highlight w:val="none"/>
              </w:rPr>
            </w:pPr>
            <w:r>
              <w:rPr>
                <w:rFonts w:hint="eastAsia" w:cs="宋体"/>
                <w:b/>
                <w:szCs w:val="21"/>
                <w:highlight w:val="none"/>
              </w:rPr>
              <w:t>投标报价</w:t>
            </w:r>
          </w:p>
          <w:p w14:paraId="1E71B205">
            <w:pPr>
              <w:pStyle w:val="45"/>
              <w:jc w:val="center"/>
              <w:rPr>
                <w:rFonts w:cs="宋体"/>
                <w:b/>
                <w:szCs w:val="21"/>
                <w:highlight w:val="none"/>
              </w:rPr>
            </w:pPr>
            <w:r>
              <w:rPr>
                <w:rFonts w:hint="eastAsia" w:cs="宋体"/>
                <w:b/>
                <w:szCs w:val="21"/>
                <w:highlight w:val="none"/>
              </w:rPr>
              <w:t>（单价报价合计）（元）</w:t>
            </w:r>
          </w:p>
        </w:tc>
        <w:tc>
          <w:tcPr>
            <w:tcW w:w="762" w:type="pct"/>
            <w:noWrap/>
            <w:vAlign w:val="center"/>
          </w:tcPr>
          <w:p w14:paraId="46971822">
            <w:pPr>
              <w:pStyle w:val="45"/>
              <w:jc w:val="center"/>
              <w:rPr>
                <w:rFonts w:cs="宋体"/>
                <w:b/>
                <w:szCs w:val="21"/>
                <w:highlight w:val="none"/>
              </w:rPr>
            </w:pPr>
            <w:r>
              <w:rPr>
                <w:rFonts w:hint="eastAsia" w:cs="宋体"/>
                <w:b/>
                <w:szCs w:val="21"/>
                <w:highlight w:val="none"/>
              </w:rPr>
              <w:t>交付时间</w:t>
            </w:r>
          </w:p>
        </w:tc>
        <w:tc>
          <w:tcPr>
            <w:tcW w:w="753" w:type="pct"/>
            <w:noWrap/>
            <w:vAlign w:val="center"/>
          </w:tcPr>
          <w:p w14:paraId="5CD6CDC1">
            <w:pPr>
              <w:pStyle w:val="45"/>
              <w:jc w:val="center"/>
              <w:rPr>
                <w:rFonts w:cs="宋体"/>
                <w:b/>
                <w:szCs w:val="21"/>
                <w:highlight w:val="none"/>
              </w:rPr>
            </w:pPr>
            <w:r>
              <w:rPr>
                <w:rFonts w:hint="eastAsia" w:cs="宋体"/>
                <w:b/>
                <w:szCs w:val="21"/>
                <w:highlight w:val="none"/>
              </w:rPr>
              <w:t>服务地点</w:t>
            </w:r>
          </w:p>
        </w:tc>
        <w:tc>
          <w:tcPr>
            <w:tcW w:w="734" w:type="pct"/>
            <w:noWrap/>
            <w:vAlign w:val="center"/>
          </w:tcPr>
          <w:p w14:paraId="00085796">
            <w:pPr>
              <w:pStyle w:val="45"/>
              <w:jc w:val="center"/>
              <w:rPr>
                <w:rFonts w:cs="宋体"/>
                <w:b/>
                <w:szCs w:val="21"/>
                <w:highlight w:val="none"/>
              </w:rPr>
            </w:pPr>
            <w:r>
              <w:rPr>
                <w:rFonts w:hint="eastAsia" w:cs="宋体"/>
                <w:b/>
                <w:szCs w:val="21"/>
                <w:highlight w:val="none"/>
              </w:rPr>
              <w:t>服务标准</w:t>
            </w:r>
          </w:p>
        </w:tc>
        <w:tc>
          <w:tcPr>
            <w:tcW w:w="609" w:type="pct"/>
            <w:noWrap/>
            <w:vAlign w:val="center"/>
          </w:tcPr>
          <w:p w14:paraId="07E9D75D">
            <w:pPr>
              <w:pStyle w:val="45"/>
              <w:jc w:val="center"/>
              <w:rPr>
                <w:rFonts w:cs="宋体"/>
                <w:b/>
                <w:szCs w:val="21"/>
                <w:highlight w:val="none"/>
              </w:rPr>
            </w:pPr>
            <w:r>
              <w:rPr>
                <w:rFonts w:hint="eastAsia" w:cs="宋体"/>
                <w:b/>
                <w:szCs w:val="21"/>
                <w:highlight w:val="none"/>
              </w:rPr>
              <w:t>备注</w:t>
            </w:r>
          </w:p>
        </w:tc>
      </w:tr>
      <w:tr w14:paraId="2C7B74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347" w:hRule="atLeast"/>
        </w:trPr>
        <w:tc>
          <w:tcPr>
            <w:tcW w:w="804" w:type="pct"/>
            <w:noWrap/>
            <w:vAlign w:val="center"/>
          </w:tcPr>
          <w:p w14:paraId="0C939492">
            <w:pPr>
              <w:pStyle w:val="45"/>
              <w:jc w:val="center"/>
              <w:rPr>
                <w:rFonts w:cs="宋体"/>
                <w:szCs w:val="21"/>
                <w:highlight w:val="none"/>
              </w:rPr>
            </w:pPr>
          </w:p>
        </w:tc>
        <w:tc>
          <w:tcPr>
            <w:tcW w:w="1334" w:type="pct"/>
            <w:noWrap/>
            <w:vAlign w:val="center"/>
          </w:tcPr>
          <w:p w14:paraId="610AF246">
            <w:pPr>
              <w:pStyle w:val="45"/>
              <w:jc w:val="center"/>
              <w:rPr>
                <w:rFonts w:cs="宋体"/>
                <w:b/>
                <w:bCs/>
                <w:szCs w:val="21"/>
                <w:highlight w:val="none"/>
              </w:rPr>
            </w:pPr>
          </w:p>
        </w:tc>
        <w:tc>
          <w:tcPr>
            <w:tcW w:w="762" w:type="pct"/>
            <w:noWrap/>
            <w:vAlign w:val="center"/>
          </w:tcPr>
          <w:p w14:paraId="4CD478ED">
            <w:pPr>
              <w:pStyle w:val="45"/>
              <w:jc w:val="center"/>
              <w:rPr>
                <w:rFonts w:cs="宋体"/>
                <w:szCs w:val="21"/>
                <w:highlight w:val="none"/>
              </w:rPr>
            </w:pPr>
          </w:p>
        </w:tc>
        <w:tc>
          <w:tcPr>
            <w:tcW w:w="753" w:type="pct"/>
            <w:noWrap/>
            <w:vAlign w:val="center"/>
          </w:tcPr>
          <w:p w14:paraId="711281B6">
            <w:pPr>
              <w:pStyle w:val="45"/>
              <w:jc w:val="center"/>
              <w:rPr>
                <w:rFonts w:cs="宋体"/>
                <w:szCs w:val="21"/>
                <w:highlight w:val="none"/>
              </w:rPr>
            </w:pPr>
          </w:p>
        </w:tc>
        <w:tc>
          <w:tcPr>
            <w:tcW w:w="734" w:type="pct"/>
            <w:noWrap/>
            <w:vAlign w:val="center"/>
          </w:tcPr>
          <w:p w14:paraId="27FDFB73">
            <w:pPr>
              <w:pStyle w:val="45"/>
              <w:jc w:val="center"/>
              <w:rPr>
                <w:rFonts w:cs="宋体"/>
                <w:szCs w:val="21"/>
                <w:highlight w:val="none"/>
              </w:rPr>
            </w:pPr>
          </w:p>
        </w:tc>
        <w:tc>
          <w:tcPr>
            <w:tcW w:w="609" w:type="pct"/>
            <w:noWrap/>
            <w:vAlign w:val="center"/>
          </w:tcPr>
          <w:p w14:paraId="4B60101E">
            <w:pPr>
              <w:pStyle w:val="45"/>
              <w:jc w:val="center"/>
              <w:rPr>
                <w:rFonts w:cs="宋体"/>
                <w:szCs w:val="21"/>
                <w:highlight w:val="none"/>
              </w:rPr>
            </w:pPr>
          </w:p>
        </w:tc>
      </w:tr>
    </w:tbl>
    <w:p w14:paraId="5E3A1D90">
      <w:pPr>
        <w:ind w:firstLine="2" w:firstLineChars="1"/>
        <w:rPr>
          <w:rFonts w:cs="宋体"/>
          <w:szCs w:val="21"/>
          <w:highlight w:val="none"/>
        </w:rPr>
      </w:pPr>
    </w:p>
    <w:tbl>
      <w:tblPr>
        <w:tblStyle w:val="88"/>
        <w:tblW w:w="5534" w:type="dxa"/>
        <w:tblInd w:w="0" w:type="dxa"/>
        <w:tblLayout w:type="fixed"/>
        <w:tblCellMar>
          <w:top w:w="0" w:type="dxa"/>
          <w:left w:w="108" w:type="dxa"/>
          <w:bottom w:w="0" w:type="dxa"/>
          <w:right w:w="108" w:type="dxa"/>
        </w:tblCellMar>
      </w:tblPr>
      <w:tblGrid>
        <w:gridCol w:w="5534"/>
      </w:tblGrid>
      <w:tr w14:paraId="2E8F9611">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406B7BBB">
            <w:pPr>
              <w:pStyle w:val="105"/>
              <w:spacing w:line="240" w:lineRule="auto"/>
              <w:jc w:val="both"/>
              <w:rPr>
                <w:rFonts w:cs="宋体"/>
                <w:sz w:val="21"/>
                <w:szCs w:val="21"/>
                <w:highlight w:val="none"/>
              </w:rPr>
            </w:pPr>
            <w:r>
              <w:rPr>
                <w:rFonts w:hint="eastAsia" w:cs="宋体"/>
                <w:b/>
                <w:sz w:val="21"/>
                <w:szCs w:val="21"/>
                <w:highlight w:val="none"/>
              </w:rPr>
              <w:t>投标人：（加盖电子公章）</w:t>
            </w:r>
          </w:p>
        </w:tc>
      </w:tr>
      <w:tr w14:paraId="1604C594">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41FB89C3">
            <w:pPr>
              <w:pStyle w:val="105"/>
              <w:spacing w:line="240" w:lineRule="auto"/>
              <w:ind w:left="-921" w:leftChars="-439"/>
              <w:jc w:val="both"/>
              <w:rPr>
                <w:rFonts w:cs="宋体"/>
                <w:sz w:val="21"/>
                <w:szCs w:val="21"/>
                <w:highlight w:val="none"/>
              </w:rPr>
            </w:pPr>
          </w:p>
        </w:tc>
      </w:tr>
      <w:tr w14:paraId="61D2927E">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65D5D931">
            <w:pPr>
              <w:pStyle w:val="105"/>
              <w:spacing w:line="240" w:lineRule="auto"/>
              <w:jc w:val="both"/>
              <w:rPr>
                <w:rFonts w:cs="宋体"/>
                <w:sz w:val="21"/>
                <w:szCs w:val="21"/>
                <w:highlight w:val="none"/>
              </w:rPr>
            </w:pPr>
            <w:r>
              <w:rPr>
                <w:rFonts w:hint="eastAsia" w:cs="宋体"/>
                <w:b/>
                <w:sz w:val="21"/>
                <w:szCs w:val="21"/>
                <w:highlight w:val="none"/>
              </w:rPr>
              <w:t>法定代表人/单位负责人（电子签名）：</w:t>
            </w:r>
          </w:p>
        </w:tc>
      </w:tr>
      <w:tr w14:paraId="0E8C214C">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2E137A2C">
            <w:pPr>
              <w:pStyle w:val="105"/>
              <w:spacing w:line="240" w:lineRule="auto"/>
              <w:jc w:val="both"/>
              <w:rPr>
                <w:rFonts w:cs="宋体"/>
                <w:sz w:val="21"/>
                <w:szCs w:val="21"/>
                <w:highlight w:val="none"/>
              </w:rPr>
            </w:pPr>
          </w:p>
        </w:tc>
      </w:tr>
      <w:tr w14:paraId="0FE10008">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64450F95">
            <w:pPr>
              <w:pStyle w:val="105"/>
              <w:spacing w:line="240" w:lineRule="auto"/>
              <w:jc w:val="both"/>
              <w:rPr>
                <w:rFonts w:cs="宋体"/>
                <w:b/>
                <w:bCs/>
                <w:sz w:val="21"/>
                <w:szCs w:val="21"/>
                <w:highlight w:val="none"/>
              </w:rPr>
            </w:pPr>
            <w:r>
              <w:rPr>
                <w:rFonts w:hint="eastAsia" w:cs="宋体"/>
                <w:b/>
                <w:bCs/>
                <w:sz w:val="21"/>
                <w:szCs w:val="21"/>
                <w:highlight w:val="none"/>
              </w:rPr>
              <w:t>日期：   年  月   日</w:t>
            </w:r>
          </w:p>
        </w:tc>
      </w:tr>
    </w:tbl>
    <w:p w14:paraId="12041FDE">
      <w:pPr>
        <w:pStyle w:val="45"/>
        <w:rPr>
          <w:rFonts w:cs="宋体"/>
          <w:b/>
          <w:szCs w:val="21"/>
          <w:highlight w:val="none"/>
        </w:rPr>
      </w:pPr>
    </w:p>
    <w:p w14:paraId="4FC8B4CA">
      <w:pPr>
        <w:pStyle w:val="45"/>
        <w:rPr>
          <w:rFonts w:cs="宋体"/>
          <w:b/>
          <w:szCs w:val="21"/>
          <w:highlight w:val="none"/>
        </w:rPr>
      </w:pPr>
      <w:r>
        <w:rPr>
          <w:rFonts w:hint="eastAsia" w:cs="宋体"/>
          <w:b/>
          <w:szCs w:val="21"/>
          <w:highlight w:val="none"/>
        </w:rPr>
        <w:t>注：1.</w:t>
      </w:r>
      <w:r>
        <w:rPr>
          <w:rFonts w:hint="eastAsia" w:cs="宋体"/>
          <w:szCs w:val="21"/>
          <w:highlight w:val="none"/>
        </w:rPr>
        <w:t>表中“</w:t>
      </w:r>
      <w:r>
        <w:rPr>
          <w:rFonts w:hint="eastAsia" w:cs="宋体"/>
          <w:b/>
          <w:szCs w:val="21"/>
          <w:highlight w:val="none"/>
        </w:rPr>
        <w:t>投标报价（单价报价合计）</w:t>
      </w:r>
      <w:r>
        <w:rPr>
          <w:rFonts w:hint="eastAsia" w:cs="宋体"/>
          <w:b/>
          <w:szCs w:val="21"/>
          <w:highlight w:val="none"/>
          <w:lang w:val="en-US" w:eastAsia="zh-CN"/>
        </w:rPr>
        <w:t>=印刷服务费+设计排版服务费+校对服务费</w:t>
      </w:r>
      <w:r>
        <w:rPr>
          <w:rFonts w:hint="eastAsia" w:cs="宋体"/>
          <w:szCs w:val="21"/>
          <w:highlight w:val="none"/>
        </w:rPr>
        <w:t>”应与“</w:t>
      </w:r>
      <w:r>
        <w:rPr>
          <w:rFonts w:hint="eastAsia" w:cs="宋体"/>
          <w:b/>
          <w:szCs w:val="21"/>
          <w:highlight w:val="none"/>
        </w:rPr>
        <w:t>投标函</w:t>
      </w:r>
      <w:r>
        <w:rPr>
          <w:rFonts w:hint="eastAsia" w:cs="宋体"/>
          <w:szCs w:val="21"/>
          <w:highlight w:val="none"/>
        </w:rPr>
        <w:t>”和</w:t>
      </w:r>
      <w:r>
        <w:rPr>
          <w:rFonts w:hint="eastAsia" w:cs="宋体"/>
          <w:b/>
          <w:bCs/>
          <w:szCs w:val="21"/>
          <w:highlight w:val="none"/>
        </w:rPr>
        <w:t>“投标单价报价明细表”</w:t>
      </w:r>
      <w:r>
        <w:rPr>
          <w:rFonts w:hint="eastAsia" w:cs="宋体"/>
          <w:szCs w:val="21"/>
          <w:highlight w:val="none"/>
        </w:rPr>
        <w:t>中“</w:t>
      </w:r>
      <w:r>
        <w:rPr>
          <w:rFonts w:hint="eastAsia" w:cs="宋体"/>
          <w:b/>
          <w:szCs w:val="21"/>
          <w:highlight w:val="none"/>
        </w:rPr>
        <w:t>投标报价（单价报价合计）</w:t>
      </w:r>
      <w:r>
        <w:rPr>
          <w:rFonts w:hint="eastAsia" w:cs="宋体"/>
          <w:szCs w:val="21"/>
          <w:highlight w:val="none"/>
        </w:rPr>
        <w:t>”一致，</w:t>
      </w:r>
      <w:r>
        <w:rPr>
          <w:rFonts w:hint="eastAsia" w:cs="宋体"/>
          <w:color w:val="000000"/>
          <w:kern w:val="0"/>
          <w:szCs w:val="21"/>
          <w:highlight w:val="none"/>
          <w:lang w:bidi="ar"/>
        </w:rPr>
        <w:t>如不一致，以</w:t>
      </w:r>
      <w:r>
        <w:rPr>
          <w:rFonts w:hint="eastAsia" w:cs="宋体"/>
          <w:b/>
          <w:bCs/>
          <w:color w:val="000000"/>
          <w:kern w:val="0"/>
          <w:szCs w:val="21"/>
          <w:highlight w:val="none"/>
          <w:lang w:bidi="ar"/>
        </w:rPr>
        <w:t>“开标一览表”</w:t>
      </w:r>
      <w:r>
        <w:rPr>
          <w:rFonts w:hint="eastAsia" w:cs="宋体"/>
          <w:color w:val="000000"/>
          <w:kern w:val="0"/>
          <w:szCs w:val="21"/>
          <w:highlight w:val="none"/>
          <w:lang w:bidi="ar"/>
        </w:rPr>
        <w:t>中的</w:t>
      </w:r>
      <w:r>
        <w:rPr>
          <w:rFonts w:hint="eastAsia" w:cs="宋体"/>
          <w:b/>
          <w:bCs/>
          <w:color w:val="000000"/>
          <w:kern w:val="0"/>
          <w:szCs w:val="21"/>
          <w:highlight w:val="none"/>
          <w:lang w:bidi="ar"/>
        </w:rPr>
        <w:t>“</w:t>
      </w:r>
      <w:r>
        <w:rPr>
          <w:rFonts w:hint="eastAsia" w:cs="宋体"/>
          <w:b/>
          <w:szCs w:val="21"/>
          <w:highlight w:val="none"/>
        </w:rPr>
        <w:t>投标报价（</w:t>
      </w:r>
      <w:r>
        <w:rPr>
          <w:rFonts w:hint="eastAsia" w:cs="宋体"/>
          <w:b/>
          <w:bCs/>
          <w:szCs w:val="21"/>
          <w:highlight w:val="none"/>
        </w:rPr>
        <w:t>单价报价合计</w:t>
      </w:r>
      <w:r>
        <w:rPr>
          <w:rFonts w:hint="eastAsia" w:cs="宋体"/>
          <w:b/>
          <w:szCs w:val="21"/>
          <w:highlight w:val="none"/>
        </w:rPr>
        <w:t>）</w:t>
      </w:r>
      <w:r>
        <w:rPr>
          <w:rFonts w:hint="eastAsia" w:cs="宋体"/>
          <w:b/>
          <w:bCs/>
          <w:color w:val="000000"/>
          <w:kern w:val="0"/>
          <w:szCs w:val="21"/>
          <w:highlight w:val="none"/>
          <w:lang w:bidi="ar"/>
        </w:rPr>
        <w:t>”为准。</w:t>
      </w:r>
      <w:r>
        <w:rPr>
          <w:rFonts w:hint="eastAsia" w:cs="宋体"/>
          <w:szCs w:val="21"/>
          <w:highlight w:val="none"/>
        </w:rPr>
        <w:t>。</w:t>
      </w:r>
    </w:p>
    <w:p w14:paraId="4FC17CA9">
      <w:pPr>
        <w:ind w:left="359"/>
        <w:rPr>
          <w:rFonts w:cs="宋体"/>
          <w:b/>
          <w:szCs w:val="21"/>
          <w:highlight w:val="none"/>
        </w:rPr>
      </w:pPr>
      <w:r>
        <w:rPr>
          <w:rFonts w:hint="eastAsia" w:cs="宋体"/>
          <w:b/>
          <w:szCs w:val="21"/>
          <w:highlight w:val="none"/>
        </w:rPr>
        <w:t>2.本表应在</w:t>
      </w:r>
      <w:bookmarkStart w:id="212" w:name="_Hlk57073066"/>
      <w:r>
        <w:rPr>
          <w:rFonts w:hint="eastAsia" w:cs="宋体"/>
          <w:b/>
          <w:szCs w:val="21"/>
          <w:highlight w:val="none"/>
        </w:rPr>
        <w:t>加盖电子公章及法定代表人电子签名或电子签章。</w:t>
      </w:r>
      <w:bookmarkEnd w:id="212"/>
    </w:p>
    <w:p w14:paraId="544210B0">
      <w:pPr>
        <w:ind w:left="359"/>
        <w:rPr>
          <w:rFonts w:cs="宋体"/>
          <w:highlight w:val="none"/>
        </w:rPr>
      </w:pPr>
      <w:r>
        <w:rPr>
          <w:rFonts w:hint="eastAsia" w:cs="宋体"/>
          <w:b/>
          <w:szCs w:val="21"/>
          <w:highlight w:val="none"/>
        </w:rPr>
        <w:t>3.投标报价包含完成本项目所需的</w:t>
      </w:r>
      <w:r>
        <w:rPr>
          <w:rFonts w:hint="eastAsia" w:cs="宋体"/>
          <w:b/>
          <w:bCs/>
          <w:szCs w:val="21"/>
          <w:highlight w:val="none"/>
          <w:lang w:val="en-US" w:eastAsia="zh-CN"/>
        </w:rPr>
        <w:t>印刷费（</w:t>
      </w:r>
      <w:r>
        <w:rPr>
          <w:rFonts w:hint="eastAsia" w:cs="宋体"/>
          <w:b/>
          <w:bCs/>
          <w:color w:val="000000"/>
          <w:kern w:val="0"/>
          <w:szCs w:val="21"/>
          <w:highlight w:val="none"/>
          <w:lang w:bidi="ar"/>
        </w:rPr>
        <w:t>包含原材料费、</w:t>
      </w:r>
      <w:r>
        <w:rPr>
          <w:rFonts w:hint="eastAsia" w:cs="宋体"/>
          <w:b/>
          <w:bCs/>
          <w:color w:val="000000"/>
          <w:kern w:val="0"/>
          <w:szCs w:val="21"/>
          <w:highlight w:val="none"/>
          <w:lang w:val="en-US" w:eastAsia="zh-CN" w:bidi="ar"/>
        </w:rPr>
        <w:t>印刷费、人工费、配送费</w:t>
      </w:r>
      <w:r>
        <w:rPr>
          <w:rFonts w:hint="eastAsia" w:cs="宋体"/>
          <w:b/>
          <w:bCs/>
          <w:szCs w:val="21"/>
          <w:highlight w:val="none"/>
          <w:lang w:val="en-US" w:eastAsia="zh-CN"/>
        </w:rPr>
        <w:t>）、</w:t>
      </w:r>
      <w:r>
        <w:rPr>
          <w:rFonts w:hint="eastAsia" w:cs="宋体"/>
          <w:b/>
          <w:bCs/>
          <w:szCs w:val="21"/>
          <w:highlight w:val="none"/>
        </w:rPr>
        <w:t>设计</w:t>
      </w:r>
      <w:r>
        <w:rPr>
          <w:rFonts w:hint="eastAsia" w:cs="宋体"/>
          <w:b/>
          <w:bCs/>
          <w:szCs w:val="21"/>
          <w:highlight w:val="none"/>
          <w:lang w:val="en-US" w:eastAsia="zh-CN"/>
        </w:rPr>
        <w:t>排版费</w:t>
      </w:r>
      <w:r>
        <w:rPr>
          <w:rFonts w:hint="eastAsia" w:cs="宋体"/>
          <w:b/>
          <w:bCs/>
          <w:szCs w:val="21"/>
          <w:highlight w:val="none"/>
        </w:rPr>
        <w:t>、</w:t>
      </w:r>
      <w:r>
        <w:rPr>
          <w:rFonts w:hint="eastAsia" w:cs="宋体"/>
          <w:b/>
          <w:bCs/>
          <w:szCs w:val="21"/>
          <w:highlight w:val="none"/>
          <w:lang w:val="en-US" w:eastAsia="zh-CN"/>
        </w:rPr>
        <w:t>校对费、</w:t>
      </w:r>
      <w:r>
        <w:rPr>
          <w:rFonts w:hint="eastAsia" w:cs="宋体"/>
          <w:b/>
          <w:bCs/>
          <w:szCs w:val="21"/>
          <w:highlight w:val="none"/>
        </w:rPr>
        <w:t>利润及税费等一切相关费用。</w:t>
      </w:r>
    </w:p>
    <w:p w14:paraId="333EC01F">
      <w:pPr>
        <w:ind w:left="359"/>
        <w:rPr>
          <w:rFonts w:cs="宋体"/>
          <w:b/>
          <w:szCs w:val="21"/>
          <w:highlight w:val="none"/>
        </w:rPr>
      </w:pPr>
      <w:r>
        <w:rPr>
          <w:rFonts w:hint="eastAsia" w:cs="宋体"/>
          <w:b/>
          <w:color w:val="FF0000"/>
          <w:szCs w:val="21"/>
          <w:highlight w:val="none"/>
        </w:rPr>
        <w:t>4.若“云南省政府采购电子交易平台（政采云）”的《开标记录表》内容与投标文件《开标一览表》中相应内容不一致的，以投标文件《开标一览表》的内容为准。</w:t>
      </w:r>
    </w:p>
    <w:p w14:paraId="7DC80B58">
      <w:pPr>
        <w:widowControl/>
        <w:spacing w:line="240" w:lineRule="auto"/>
        <w:jc w:val="left"/>
        <w:rPr>
          <w:rFonts w:cs="宋体"/>
          <w:highlight w:val="none"/>
        </w:rPr>
      </w:pPr>
      <w:r>
        <w:rPr>
          <w:rFonts w:hint="eastAsia" w:cs="宋体"/>
          <w:highlight w:val="none"/>
        </w:rPr>
        <w:br w:type="page"/>
      </w:r>
    </w:p>
    <w:p w14:paraId="5A650285">
      <w:pPr>
        <w:jc w:val="center"/>
        <w:outlineLvl w:val="1"/>
        <w:rPr>
          <w:rFonts w:cs="宋体"/>
          <w:b/>
          <w:bCs/>
          <w:sz w:val="32"/>
          <w:szCs w:val="21"/>
          <w:highlight w:val="none"/>
        </w:rPr>
      </w:pPr>
      <w:bookmarkStart w:id="213" w:name="_Toc3671"/>
      <w:bookmarkStart w:id="214" w:name="_Toc20004"/>
      <w:bookmarkStart w:id="215" w:name="_Toc1540"/>
      <w:bookmarkStart w:id="216" w:name="_Toc32150"/>
      <w:bookmarkStart w:id="217" w:name="_Toc496520986"/>
      <w:bookmarkStart w:id="218" w:name="_Toc493600018"/>
      <w:r>
        <w:rPr>
          <w:rFonts w:hint="eastAsia" w:cs="宋体"/>
          <w:b/>
          <w:bCs/>
          <w:sz w:val="32"/>
          <w:szCs w:val="21"/>
          <w:highlight w:val="none"/>
        </w:rPr>
        <w:t>二、资格证明文件</w:t>
      </w:r>
      <w:bookmarkEnd w:id="213"/>
      <w:bookmarkEnd w:id="214"/>
    </w:p>
    <w:p w14:paraId="5C096620">
      <w:pPr>
        <w:pStyle w:val="45"/>
        <w:ind w:left="420" w:hanging="420"/>
        <w:rPr>
          <w:rFonts w:cs="宋体"/>
          <w:szCs w:val="21"/>
          <w:highlight w:val="none"/>
        </w:rPr>
      </w:pPr>
      <w:r>
        <w:rPr>
          <w:rFonts w:hint="eastAsia" w:cs="宋体"/>
          <w:szCs w:val="21"/>
          <w:highlight w:val="none"/>
        </w:rPr>
        <w:t>1.投标人应按所附格式要求填写并提交。</w:t>
      </w:r>
    </w:p>
    <w:p w14:paraId="09FFFBA8">
      <w:pPr>
        <w:pStyle w:val="45"/>
        <w:ind w:left="420" w:hanging="420"/>
        <w:rPr>
          <w:rFonts w:cs="宋体"/>
          <w:szCs w:val="21"/>
          <w:highlight w:val="none"/>
        </w:rPr>
      </w:pPr>
      <w:r>
        <w:rPr>
          <w:rFonts w:hint="eastAsia" w:cs="宋体"/>
          <w:szCs w:val="21"/>
          <w:highlight w:val="none"/>
        </w:rPr>
        <w:t>2.资格声明中的签字人应保证全部声明和填写的内容是真实的和正确的。</w:t>
      </w:r>
    </w:p>
    <w:p w14:paraId="730EE274">
      <w:pPr>
        <w:pStyle w:val="45"/>
        <w:ind w:left="420" w:hanging="420"/>
        <w:rPr>
          <w:rFonts w:cs="宋体"/>
          <w:szCs w:val="21"/>
          <w:highlight w:val="none"/>
        </w:rPr>
      </w:pPr>
      <w:r>
        <w:rPr>
          <w:rFonts w:hint="eastAsia" w:cs="宋体"/>
          <w:szCs w:val="21"/>
          <w:highlight w:val="none"/>
        </w:rPr>
        <w:t>3.投标人提交的材料将被保密，但不退还。</w:t>
      </w:r>
    </w:p>
    <w:p w14:paraId="1FFFCCB0">
      <w:pPr>
        <w:rPr>
          <w:rFonts w:cs="宋体"/>
          <w:highlight w:val="none"/>
        </w:rPr>
      </w:pPr>
    </w:p>
    <w:p w14:paraId="3A9D854F">
      <w:pPr>
        <w:pStyle w:val="45"/>
        <w:spacing w:line="600" w:lineRule="exact"/>
        <w:rPr>
          <w:rFonts w:cs="宋体"/>
          <w:b/>
          <w:sz w:val="28"/>
          <w:szCs w:val="28"/>
          <w:highlight w:val="none"/>
        </w:rPr>
      </w:pPr>
      <w:r>
        <w:rPr>
          <w:rFonts w:hint="eastAsia" w:cs="宋体"/>
          <w:highlight w:val="none"/>
        </w:rPr>
        <w:br w:type="page"/>
      </w:r>
    </w:p>
    <w:p w14:paraId="31112D9D">
      <w:pPr>
        <w:jc w:val="center"/>
        <w:outlineLvl w:val="2"/>
        <w:rPr>
          <w:rFonts w:cs="宋体"/>
          <w:b/>
          <w:bCs/>
          <w:sz w:val="28"/>
          <w:szCs w:val="36"/>
          <w:highlight w:val="none"/>
        </w:rPr>
      </w:pPr>
      <w:bookmarkStart w:id="219" w:name="_Toc175582340"/>
      <w:bookmarkStart w:id="220" w:name="_Toc172205083"/>
      <w:bookmarkStart w:id="221" w:name="_Toc80973395"/>
      <w:bookmarkStart w:id="222" w:name="_Toc508636835"/>
      <w:bookmarkStart w:id="223" w:name="_Toc14854"/>
      <w:bookmarkStart w:id="224" w:name="_Toc166067769"/>
      <w:bookmarkStart w:id="225" w:name="_Toc493600038"/>
      <w:bookmarkStart w:id="226" w:name="_Toc509829319"/>
      <w:bookmarkStart w:id="227" w:name="_Toc46334346"/>
      <w:bookmarkStart w:id="228" w:name="_Toc171929831"/>
      <w:bookmarkStart w:id="229" w:name="_Toc13075"/>
      <w:bookmarkStart w:id="230" w:name="_Toc496521006"/>
      <w:bookmarkStart w:id="231" w:name="_Toc15068"/>
      <w:bookmarkStart w:id="232" w:name="_Toc139357066"/>
      <w:bookmarkStart w:id="233" w:name="_Toc125986475"/>
      <w:bookmarkStart w:id="234" w:name="_Toc125904338"/>
      <w:r>
        <w:rPr>
          <w:rFonts w:hint="eastAsia" w:cs="宋体"/>
          <w:b/>
          <w:bCs/>
          <w:sz w:val="28"/>
          <w:szCs w:val="36"/>
          <w:highlight w:val="none"/>
        </w:rPr>
        <w:t>（一）投标人信息表</w:t>
      </w:r>
      <w:bookmarkEnd w:id="219"/>
      <w:bookmarkEnd w:id="220"/>
      <w:bookmarkEnd w:id="221"/>
      <w:bookmarkEnd w:id="222"/>
      <w:bookmarkEnd w:id="223"/>
      <w:bookmarkEnd w:id="224"/>
      <w:bookmarkEnd w:id="225"/>
      <w:bookmarkEnd w:id="226"/>
      <w:bookmarkEnd w:id="227"/>
      <w:bookmarkEnd w:id="228"/>
      <w:bookmarkEnd w:id="229"/>
      <w:bookmarkEnd w:id="230"/>
      <w:bookmarkEnd w:id="231"/>
    </w:p>
    <w:p w14:paraId="2E31A2D2">
      <w:pPr>
        <w:pStyle w:val="45"/>
        <w:jc w:val="center"/>
        <w:rPr>
          <w:rFonts w:cs="宋体"/>
          <w:b/>
          <w:highlight w:val="none"/>
        </w:rPr>
      </w:pPr>
      <w:r>
        <w:rPr>
          <w:rFonts w:hint="eastAsia" w:cs="宋体"/>
          <w:b/>
          <w:highlight w:val="none"/>
        </w:rPr>
        <w:t>（请投标人如实填写本表信息）</w:t>
      </w:r>
    </w:p>
    <w:tbl>
      <w:tblPr>
        <w:tblStyle w:val="88"/>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445"/>
        <w:gridCol w:w="1487"/>
        <w:gridCol w:w="1817"/>
        <w:gridCol w:w="1108"/>
        <w:gridCol w:w="1205"/>
        <w:gridCol w:w="2654"/>
      </w:tblGrid>
      <w:tr w14:paraId="78B9CB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jc w:val="center"/>
        </w:trPr>
        <w:tc>
          <w:tcPr>
            <w:tcW w:w="1509" w:type="pct"/>
            <w:gridSpan w:val="2"/>
            <w:tcBorders>
              <w:right w:val="single" w:color="auto" w:sz="4" w:space="0"/>
            </w:tcBorders>
            <w:vAlign w:val="center"/>
          </w:tcPr>
          <w:p w14:paraId="69D448CA">
            <w:pPr>
              <w:widowControl/>
              <w:jc w:val="center"/>
              <w:rPr>
                <w:rFonts w:cs="宋体"/>
                <w:szCs w:val="21"/>
                <w:highlight w:val="none"/>
              </w:rPr>
            </w:pPr>
            <w:r>
              <w:rPr>
                <w:rFonts w:hint="eastAsia" w:cs="宋体"/>
                <w:szCs w:val="21"/>
                <w:highlight w:val="none"/>
              </w:rPr>
              <w:t>公司名称</w:t>
            </w:r>
          </w:p>
        </w:tc>
        <w:tc>
          <w:tcPr>
            <w:tcW w:w="3490" w:type="pct"/>
            <w:gridSpan w:val="4"/>
            <w:tcBorders>
              <w:left w:val="single" w:color="auto" w:sz="4" w:space="0"/>
            </w:tcBorders>
            <w:vAlign w:val="center"/>
          </w:tcPr>
          <w:p w14:paraId="06A5C801">
            <w:pPr>
              <w:widowControl/>
              <w:jc w:val="left"/>
              <w:rPr>
                <w:rFonts w:cs="宋体"/>
                <w:szCs w:val="21"/>
                <w:highlight w:val="none"/>
              </w:rPr>
            </w:pPr>
          </w:p>
        </w:tc>
      </w:tr>
      <w:tr w14:paraId="0E8814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jc w:val="center"/>
        </w:trPr>
        <w:tc>
          <w:tcPr>
            <w:tcW w:w="1509" w:type="pct"/>
            <w:gridSpan w:val="2"/>
            <w:tcBorders>
              <w:right w:val="single" w:color="auto" w:sz="4" w:space="0"/>
            </w:tcBorders>
            <w:vAlign w:val="center"/>
          </w:tcPr>
          <w:p w14:paraId="6C37F6A8">
            <w:pPr>
              <w:widowControl/>
              <w:jc w:val="center"/>
              <w:rPr>
                <w:rFonts w:cs="宋体"/>
                <w:szCs w:val="21"/>
                <w:highlight w:val="none"/>
              </w:rPr>
            </w:pPr>
            <w:r>
              <w:rPr>
                <w:rFonts w:hint="eastAsia" w:cs="宋体"/>
                <w:szCs w:val="21"/>
                <w:highlight w:val="none"/>
              </w:rPr>
              <w:t>纳税人识别号</w:t>
            </w:r>
          </w:p>
        </w:tc>
        <w:tc>
          <w:tcPr>
            <w:tcW w:w="3490" w:type="pct"/>
            <w:gridSpan w:val="4"/>
            <w:tcBorders>
              <w:left w:val="single" w:color="auto" w:sz="4" w:space="0"/>
            </w:tcBorders>
            <w:vAlign w:val="center"/>
          </w:tcPr>
          <w:p w14:paraId="792E553B">
            <w:pPr>
              <w:widowControl/>
              <w:jc w:val="left"/>
              <w:rPr>
                <w:rFonts w:cs="宋体"/>
                <w:szCs w:val="21"/>
                <w:highlight w:val="none"/>
              </w:rPr>
            </w:pPr>
          </w:p>
        </w:tc>
      </w:tr>
      <w:tr w14:paraId="40D658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509" w:type="pct"/>
            <w:gridSpan w:val="2"/>
            <w:tcBorders>
              <w:right w:val="single" w:color="auto" w:sz="4" w:space="0"/>
            </w:tcBorders>
            <w:vAlign w:val="center"/>
          </w:tcPr>
          <w:p w14:paraId="087AF253">
            <w:pPr>
              <w:widowControl/>
              <w:jc w:val="center"/>
              <w:rPr>
                <w:rFonts w:cs="宋体"/>
                <w:szCs w:val="21"/>
                <w:highlight w:val="none"/>
              </w:rPr>
            </w:pPr>
            <w:r>
              <w:rPr>
                <w:rFonts w:hint="eastAsia" w:cs="宋体"/>
                <w:szCs w:val="21"/>
                <w:highlight w:val="none"/>
              </w:rPr>
              <w:t>公司地址</w:t>
            </w:r>
          </w:p>
        </w:tc>
        <w:tc>
          <w:tcPr>
            <w:tcW w:w="3490" w:type="pct"/>
            <w:gridSpan w:val="4"/>
            <w:tcBorders>
              <w:left w:val="single" w:color="auto" w:sz="4" w:space="0"/>
            </w:tcBorders>
            <w:vAlign w:val="center"/>
          </w:tcPr>
          <w:p w14:paraId="4F6F1CED">
            <w:pPr>
              <w:widowControl/>
              <w:jc w:val="center"/>
              <w:rPr>
                <w:rFonts w:cs="宋体"/>
                <w:szCs w:val="21"/>
                <w:highlight w:val="none"/>
              </w:rPr>
            </w:pPr>
          </w:p>
        </w:tc>
      </w:tr>
      <w:tr w14:paraId="1A48AF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jc w:val="center"/>
        </w:trPr>
        <w:tc>
          <w:tcPr>
            <w:tcW w:w="1509" w:type="pct"/>
            <w:gridSpan w:val="2"/>
            <w:tcBorders>
              <w:right w:val="single" w:color="auto" w:sz="4" w:space="0"/>
            </w:tcBorders>
            <w:vAlign w:val="center"/>
          </w:tcPr>
          <w:p w14:paraId="7F09984B">
            <w:pPr>
              <w:widowControl/>
              <w:jc w:val="center"/>
              <w:rPr>
                <w:rFonts w:cs="宋体"/>
                <w:szCs w:val="21"/>
                <w:highlight w:val="none"/>
              </w:rPr>
            </w:pPr>
            <w:r>
              <w:rPr>
                <w:rFonts w:hint="eastAsia" w:cs="宋体"/>
                <w:szCs w:val="21"/>
                <w:highlight w:val="none"/>
              </w:rPr>
              <w:t>公司性质</w:t>
            </w:r>
          </w:p>
        </w:tc>
        <w:tc>
          <w:tcPr>
            <w:tcW w:w="935" w:type="pct"/>
            <w:tcBorders>
              <w:left w:val="single" w:color="auto" w:sz="4" w:space="0"/>
              <w:right w:val="single" w:color="auto" w:sz="4" w:space="0"/>
            </w:tcBorders>
            <w:vAlign w:val="center"/>
          </w:tcPr>
          <w:p w14:paraId="129ABF1C">
            <w:pPr>
              <w:widowControl/>
              <w:jc w:val="center"/>
              <w:rPr>
                <w:rFonts w:cs="宋体"/>
                <w:szCs w:val="21"/>
                <w:highlight w:val="none"/>
              </w:rPr>
            </w:pPr>
          </w:p>
        </w:tc>
        <w:tc>
          <w:tcPr>
            <w:tcW w:w="1190" w:type="pct"/>
            <w:gridSpan w:val="2"/>
            <w:tcBorders>
              <w:left w:val="single" w:color="auto" w:sz="4" w:space="0"/>
              <w:right w:val="single" w:color="auto" w:sz="4" w:space="0"/>
            </w:tcBorders>
            <w:vAlign w:val="center"/>
          </w:tcPr>
          <w:p w14:paraId="5B5ACFE8">
            <w:pPr>
              <w:widowControl/>
              <w:jc w:val="center"/>
              <w:rPr>
                <w:rFonts w:cs="宋体"/>
                <w:szCs w:val="21"/>
                <w:highlight w:val="none"/>
              </w:rPr>
            </w:pPr>
            <w:r>
              <w:rPr>
                <w:rFonts w:hint="eastAsia" w:cs="宋体"/>
                <w:szCs w:val="21"/>
                <w:highlight w:val="none"/>
              </w:rPr>
              <w:t>公司类型</w:t>
            </w:r>
          </w:p>
        </w:tc>
        <w:tc>
          <w:tcPr>
            <w:tcW w:w="1365" w:type="pct"/>
            <w:tcBorders>
              <w:left w:val="single" w:color="auto" w:sz="4" w:space="0"/>
            </w:tcBorders>
            <w:vAlign w:val="center"/>
          </w:tcPr>
          <w:p w14:paraId="22F09FD1">
            <w:pPr>
              <w:widowControl/>
              <w:jc w:val="center"/>
              <w:rPr>
                <w:rFonts w:cs="宋体"/>
                <w:szCs w:val="21"/>
                <w:highlight w:val="none"/>
              </w:rPr>
            </w:pPr>
          </w:p>
        </w:tc>
      </w:tr>
      <w:tr w14:paraId="768DE7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1509" w:type="pct"/>
            <w:gridSpan w:val="2"/>
            <w:vAlign w:val="center"/>
          </w:tcPr>
          <w:p w14:paraId="48162D1E">
            <w:pPr>
              <w:widowControl/>
              <w:jc w:val="center"/>
              <w:rPr>
                <w:rFonts w:cs="宋体"/>
                <w:szCs w:val="21"/>
                <w:highlight w:val="none"/>
              </w:rPr>
            </w:pPr>
            <w:r>
              <w:rPr>
                <w:rFonts w:hint="eastAsia" w:cs="宋体"/>
                <w:szCs w:val="21"/>
                <w:highlight w:val="none"/>
              </w:rPr>
              <w:t>法定代表人</w:t>
            </w:r>
          </w:p>
        </w:tc>
        <w:tc>
          <w:tcPr>
            <w:tcW w:w="935" w:type="pct"/>
            <w:vAlign w:val="center"/>
          </w:tcPr>
          <w:p w14:paraId="4B6229B8">
            <w:pPr>
              <w:widowControl/>
              <w:jc w:val="center"/>
              <w:rPr>
                <w:rFonts w:cs="宋体"/>
                <w:szCs w:val="21"/>
                <w:highlight w:val="none"/>
              </w:rPr>
            </w:pPr>
          </w:p>
        </w:tc>
        <w:tc>
          <w:tcPr>
            <w:tcW w:w="1190" w:type="pct"/>
            <w:gridSpan w:val="2"/>
            <w:tcBorders>
              <w:right w:val="single" w:color="auto" w:sz="4" w:space="0"/>
            </w:tcBorders>
            <w:vAlign w:val="center"/>
          </w:tcPr>
          <w:p w14:paraId="3E2C2F31">
            <w:pPr>
              <w:widowControl/>
              <w:jc w:val="center"/>
              <w:rPr>
                <w:rFonts w:cs="宋体"/>
                <w:szCs w:val="21"/>
                <w:highlight w:val="none"/>
              </w:rPr>
            </w:pPr>
            <w:r>
              <w:rPr>
                <w:rFonts w:hint="eastAsia" w:cs="宋体"/>
                <w:szCs w:val="21"/>
                <w:highlight w:val="none"/>
              </w:rPr>
              <w:t>注册资金</w:t>
            </w:r>
          </w:p>
        </w:tc>
        <w:tc>
          <w:tcPr>
            <w:tcW w:w="1365" w:type="pct"/>
            <w:tcBorders>
              <w:left w:val="single" w:color="auto" w:sz="4" w:space="0"/>
            </w:tcBorders>
            <w:vAlign w:val="center"/>
          </w:tcPr>
          <w:p w14:paraId="2B6372F5">
            <w:pPr>
              <w:widowControl/>
              <w:jc w:val="center"/>
              <w:rPr>
                <w:rFonts w:cs="宋体"/>
                <w:szCs w:val="21"/>
                <w:highlight w:val="none"/>
              </w:rPr>
            </w:pPr>
          </w:p>
        </w:tc>
      </w:tr>
      <w:tr w14:paraId="0A1609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1509" w:type="pct"/>
            <w:gridSpan w:val="2"/>
            <w:vMerge w:val="restart"/>
            <w:vAlign w:val="center"/>
          </w:tcPr>
          <w:p w14:paraId="299E3FCD">
            <w:pPr>
              <w:widowControl/>
              <w:jc w:val="center"/>
              <w:rPr>
                <w:rFonts w:cs="宋体"/>
                <w:szCs w:val="21"/>
                <w:highlight w:val="none"/>
              </w:rPr>
            </w:pPr>
            <w:r>
              <w:rPr>
                <w:rFonts w:hint="eastAsia" w:cs="宋体"/>
                <w:szCs w:val="21"/>
                <w:highlight w:val="none"/>
              </w:rPr>
              <w:t>注册日期</w:t>
            </w:r>
          </w:p>
        </w:tc>
        <w:tc>
          <w:tcPr>
            <w:tcW w:w="935" w:type="pct"/>
            <w:vMerge w:val="restart"/>
            <w:vAlign w:val="center"/>
          </w:tcPr>
          <w:p w14:paraId="52740FF1">
            <w:pPr>
              <w:widowControl/>
              <w:jc w:val="center"/>
              <w:rPr>
                <w:rFonts w:cs="宋体"/>
                <w:szCs w:val="21"/>
                <w:highlight w:val="none"/>
              </w:rPr>
            </w:pPr>
          </w:p>
        </w:tc>
        <w:tc>
          <w:tcPr>
            <w:tcW w:w="1190" w:type="pct"/>
            <w:gridSpan w:val="2"/>
            <w:tcBorders>
              <w:bottom w:val="single" w:color="auto" w:sz="4" w:space="0"/>
            </w:tcBorders>
            <w:vAlign w:val="center"/>
          </w:tcPr>
          <w:p w14:paraId="5C4B10A3">
            <w:pPr>
              <w:widowControl/>
              <w:jc w:val="center"/>
              <w:rPr>
                <w:rFonts w:cs="宋体"/>
                <w:szCs w:val="21"/>
                <w:highlight w:val="none"/>
              </w:rPr>
            </w:pPr>
            <w:r>
              <w:rPr>
                <w:rFonts w:hint="eastAsia" w:cs="宋体"/>
                <w:szCs w:val="21"/>
                <w:highlight w:val="none"/>
              </w:rPr>
              <w:t>开户银行</w:t>
            </w:r>
          </w:p>
        </w:tc>
        <w:tc>
          <w:tcPr>
            <w:tcW w:w="1365" w:type="pct"/>
            <w:tcBorders>
              <w:bottom w:val="single" w:color="auto" w:sz="4" w:space="0"/>
            </w:tcBorders>
            <w:vAlign w:val="center"/>
          </w:tcPr>
          <w:p w14:paraId="20EEE6F8">
            <w:pPr>
              <w:widowControl/>
              <w:jc w:val="center"/>
              <w:rPr>
                <w:rFonts w:cs="宋体"/>
                <w:szCs w:val="21"/>
                <w:highlight w:val="none"/>
              </w:rPr>
            </w:pPr>
          </w:p>
        </w:tc>
      </w:tr>
      <w:tr w14:paraId="410618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jc w:val="center"/>
        </w:trPr>
        <w:tc>
          <w:tcPr>
            <w:tcW w:w="1509" w:type="pct"/>
            <w:gridSpan w:val="2"/>
            <w:vMerge w:val="continue"/>
            <w:vAlign w:val="center"/>
          </w:tcPr>
          <w:p w14:paraId="01DA3423">
            <w:pPr>
              <w:widowControl/>
              <w:jc w:val="center"/>
              <w:rPr>
                <w:rFonts w:cs="宋体"/>
                <w:szCs w:val="21"/>
                <w:highlight w:val="none"/>
              </w:rPr>
            </w:pPr>
          </w:p>
        </w:tc>
        <w:tc>
          <w:tcPr>
            <w:tcW w:w="935" w:type="pct"/>
            <w:vMerge w:val="continue"/>
            <w:vAlign w:val="center"/>
          </w:tcPr>
          <w:p w14:paraId="1B210617">
            <w:pPr>
              <w:widowControl/>
              <w:jc w:val="center"/>
              <w:rPr>
                <w:rFonts w:cs="宋体"/>
                <w:szCs w:val="21"/>
                <w:highlight w:val="none"/>
              </w:rPr>
            </w:pPr>
          </w:p>
        </w:tc>
        <w:tc>
          <w:tcPr>
            <w:tcW w:w="1190" w:type="pct"/>
            <w:gridSpan w:val="2"/>
            <w:tcBorders>
              <w:top w:val="single" w:color="auto" w:sz="4" w:space="0"/>
            </w:tcBorders>
            <w:vAlign w:val="center"/>
          </w:tcPr>
          <w:p w14:paraId="5FE813CE">
            <w:pPr>
              <w:widowControl/>
              <w:jc w:val="center"/>
              <w:rPr>
                <w:rFonts w:cs="宋体"/>
                <w:szCs w:val="21"/>
                <w:highlight w:val="none"/>
              </w:rPr>
            </w:pPr>
            <w:r>
              <w:rPr>
                <w:rFonts w:hint="eastAsia" w:cs="宋体"/>
                <w:szCs w:val="21"/>
                <w:highlight w:val="none"/>
              </w:rPr>
              <w:t>开户基本账号</w:t>
            </w:r>
          </w:p>
        </w:tc>
        <w:tc>
          <w:tcPr>
            <w:tcW w:w="1365" w:type="pct"/>
            <w:tcBorders>
              <w:top w:val="single" w:color="auto" w:sz="4" w:space="0"/>
            </w:tcBorders>
            <w:vAlign w:val="center"/>
          </w:tcPr>
          <w:p w14:paraId="6F8C4CF3">
            <w:pPr>
              <w:widowControl/>
              <w:jc w:val="center"/>
              <w:rPr>
                <w:rFonts w:cs="宋体"/>
                <w:szCs w:val="21"/>
                <w:highlight w:val="none"/>
              </w:rPr>
            </w:pPr>
          </w:p>
        </w:tc>
      </w:tr>
      <w:tr w14:paraId="71DE71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jc w:val="center"/>
        </w:trPr>
        <w:tc>
          <w:tcPr>
            <w:tcW w:w="1509" w:type="pct"/>
            <w:gridSpan w:val="2"/>
            <w:vMerge w:val="restart"/>
            <w:vAlign w:val="center"/>
          </w:tcPr>
          <w:p w14:paraId="7671EB2E">
            <w:pPr>
              <w:widowControl/>
              <w:jc w:val="center"/>
              <w:rPr>
                <w:rFonts w:cs="宋体"/>
                <w:szCs w:val="21"/>
                <w:highlight w:val="none"/>
              </w:rPr>
            </w:pPr>
            <w:r>
              <w:rPr>
                <w:rFonts w:hint="eastAsia" w:cs="宋体"/>
                <w:szCs w:val="21"/>
                <w:highlight w:val="none"/>
              </w:rPr>
              <w:t>联系人</w:t>
            </w:r>
          </w:p>
        </w:tc>
        <w:tc>
          <w:tcPr>
            <w:tcW w:w="935" w:type="pct"/>
            <w:vMerge w:val="restart"/>
            <w:vAlign w:val="center"/>
          </w:tcPr>
          <w:p w14:paraId="73549810">
            <w:pPr>
              <w:widowControl/>
              <w:jc w:val="center"/>
              <w:rPr>
                <w:rFonts w:cs="宋体"/>
                <w:szCs w:val="21"/>
                <w:highlight w:val="none"/>
              </w:rPr>
            </w:pPr>
          </w:p>
        </w:tc>
        <w:tc>
          <w:tcPr>
            <w:tcW w:w="570" w:type="pct"/>
            <w:vMerge w:val="restart"/>
            <w:vAlign w:val="center"/>
          </w:tcPr>
          <w:p w14:paraId="7F9CD76D">
            <w:pPr>
              <w:widowControl/>
              <w:jc w:val="center"/>
              <w:rPr>
                <w:rFonts w:cs="宋体"/>
                <w:szCs w:val="21"/>
                <w:highlight w:val="none"/>
              </w:rPr>
            </w:pPr>
            <w:r>
              <w:rPr>
                <w:rFonts w:hint="eastAsia" w:cs="宋体"/>
                <w:szCs w:val="21"/>
                <w:highlight w:val="none"/>
              </w:rPr>
              <w:t>联系电话</w:t>
            </w:r>
          </w:p>
        </w:tc>
        <w:tc>
          <w:tcPr>
            <w:tcW w:w="619" w:type="pct"/>
            <w:vAlign w:val="center"/>
          </w:tcPr>
          <w:p w14:paraId="0A9EEDE4">
            <w:pPr>
              <w:widowControl/>
              <w:jc w:val="center"/>
              <w:rPr>
                <w:rFonts w:cs="宋体"/>
                <w:szCs w:val="21"/>
                <w:highlight w:val="none"/>
              </w:rPr>
            </w:pPr>
            <w:r>
              <w:rPr>
                <w:rFonts w:hint="eastAsia" w:cs="宋体"/>
                <w:szCs w:val="21"/>
                <w:highlight w:val="none"/>
              </w:rPr>
              <w:t>手机</w:t>
            </w:r>
          </w:p>
        </w:tc>
        <w:tc>
          <w:tcPr>
            <w:tcW w:w="1365" w:type="pct"/>
            <w:vAlign w:val="center"/>
          </w:tcPr>
          <w:p w14:paraId="69DD4664">
            <w:pPr>
              <w:widowControl/>
              <w:jc w:val="center"/>
              <w:rPr>
                <w:rFonts w:cs="宋体"/>
                <w:szCs w:val="21"/>
                <w:highlight w:val="none"/>
              </w:rPr>
            </w:pPr>
          </w:p>
        </w:tc>
      </w:tr>
      <w:tr w14:paraId="3589DA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jc w:val="center"/>
        </w:trPr>
        <w:tc>
          <w:tcPr>
            <w:tcW w:w="1509" w:type="pct"/>
            <w:gridSpan w:val="2"/>
            <w:vMerge w:val="continue"/>
            <w:vAlign w:val="center"/>
          </w:tcPr>
          <w:p w14:paraId="4C452770">
            <w:pPr>
              <w:widowControl/>
              <w:jc w:val="center"/>
              <w:rPr>
                <w:rFonts w:cs="宋体"/>
                <w:szCs w:val="21"/>
                <w:highlight w:val="none"/>
              </w:rPr>
            </w:pPr>
          </w:p>
        </w:tc>
        <w:tc>
          <w:tcPr>
            <w:tcW w:w="935" w:type="pct"/>
            <w:vMerge w:val="continue"/>
            <w:vAlign w:val="center"/>
          </w:tcPr>
          <w:p w14:paraId="2E5F1FEB">
            <w:pPr>
              <w:widowControl/>
              <w:jc w:val="center"/>
              <w:rPr>
                <w:rFonts w:cs="宋体"/>
                <w:szCs w:val="21"/>
                <w:highlight w:val="none"/>
              </w:rPr>
            </w:pPr>
          </w:p>
        </w:tc>
        <w:tc>
          <w:tcPr>
            <w:tcW w:w="570" w:type="pct"/>
            <w:vMerge w:val="continue"/>
            <w:vAlign w:val="center"/>
          </w:tcPr>
          <w:p w14:paraId="78F92EF6">
            <w:pPr>
              <w:widowControl/>
              <w:jc w:val="center"/>
              <w:rPr>
                <w:rFonts w:cs="宋体"/>
                <w:szCs w:val="21"/>
                <w:highlight w:val="none"/>
              </w:rPr>
            </w:pPr>
          </w:p>
        </w:tc>
        <w:tc>
          <w:tcPr>
            <w:tcW w:w="619" w:type="pct"/>
            <w:vAlign w:val="center"/>
          </w:tcPr>
          <w:p w14:paraId="1B8900C7">
            <w:pPr>
              <w:widowControl/>
              <w:jc w:val="center"/>
              <w:rPr>
                <w:rFonts w:cs="宋体"/>
                <w:szCs w:val="21"/>
                <w:highlight w:val="none"/>
              </w:rPr>
            </w:pPr>
            <w:r>
              <w:rPr>
                <w:rFonts w:hint="eastAsia" w:cs="宋体"/>
                <w:szCs w:val="21"/>
                <w:highlight w:val="none"/>
              </w:rPr>
              <w:t>固话</w:t>
            </w:r>
          </w:p>
        </w:tc>
        <w:tc>
          <w:tcPr>
            <w:tcW w:w="1365" w:type="pct"/>
            <w:vAlign w:val="center"/>
          </w:tcPr>
          <w:p w14:paraId="2FB040C4">
            <w:pPr>
              <w:widowControl/>
              <w:jc w:val="center"/>
              <w:rPr>
                <w:rFonts w:cs="宋体"/>
                <w:szCs w:val="21"/>
                <w:highlight w:val="none"/>
              </w:rPr>
            </w:pPr>
          </w:p>
        </w:tc>
      </w:tr>
      <w:tr w14:paraId="54CAD4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jc w:val="center"/>
        </w:trPr>
        <w:tc>
          <w:tcPr>
            <w:tcW w:w="1509" w:type="pct"/>
            <w:gridSpan w:val="2"/>
            <w:vAlign w:val="center"/>
          </w:tcPr>
          <w:p w14:paraId="40501012">
            <w:pPr>
              <w:widowControl/>
              <w:jc w:val="center"/>
              <w:rPr>
                <w:rFonts w:cs="宋体"/>
                <w:szCs w:val="21"/>
                <w:highlight w:val="none"/>
              </w:rPr>
            </w:pPr>
            <w:r>
              <w:rPr>
                <w:rFonts w:hint="eastAsia" w:cs="宋体"/>
                <w:szCs w:val="21"/>
                <w:highlight w:val="none"/>
              </w:rPr>
              <w:t>联系传真（如有）</w:t>
            </w:r>
          </w:p>
        </w:tc>
        <w:tc>
          <w:tcPr>
            <w:tcW w:w="935" w:type="pct"/>
            <w:vAlign w:val="center"/>
          </w:tcPr>
          <w:p w14:paraId="094D9A41">
            <w:pPr>
              <w:widowControl/>
              <w:jc w:val="center"/>
              <w:rPr>
                <w:rFonts w:cs="宋体"/>
                <w:szCs w:val="21"/>
                <w:highlight w:val="none"/>
              </w:rPr>
            </w:pPr>
          </w:p>
        </w:tc>
        <w:tc>
          <w:tcPr>
            <w:tcW w:w="1190" w:type="pct"/>
            <w:gridSpan w:val="2"/>
            <w:vAlign w:val="center"/>
          </w:tcPr>
          <w:p w14:paraId="42CCE84B">
            <w:pPr>
              <w:widowControl/>
              <w:jc w:val="center"/>
              <w:rPr>
                <w:rFonts w:cs="宋体"/>
                <w:szCs w:val="21"/>
                <w:highlight w:val="none"/>
              </w:rPr>
            </w:pPr>
            <w:r>
              <w:rPr>
                <w:rFonts w:hint="eastAsia" w:cs="宋体"/>
                <w:szCs w:val="21"/>
                <w:highlight w:val="none"/>
              </w:rPr>
              <w:t>联系邮箱</w:t>
            </w:r>
          </w:p>
        </w:tc>
        <w:tc>
          <w:tcPr>
            <w:tcW w:w="1365" w:type="pct"/>
            <w:vAlign w:val="center"/>
          </w:tcPr>
          <w:p w14:paraId="7A31898E">
            <w:pPr>
              <w:widowControl/>
              <w:jc w:val="center"/>
              <w:rPr>
                <w:rFonts w:cs="宋体"/>
                <w:szCs w:val="21"/>
                <w:highlight w:val="none"/>
              </w:rPr>
            </w:pPr>
          </w:p>
        </w:tc>
      </w:tr>
      <w:tr w14:paraId="50AB38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1509" w:type="pct"/>
            <w:gridSpan w:val="2"/>
            <w:vAlign w:val="center"/>
          </w:tcPr>
          <w:p w14:paraId="22715B57">
            <w:pPr>
              <w:widowControl/>
              <w:jc w:val="center"/>
              <w:rPr>
                <w:rFonts w:cs="宋体"/>
                <w:szCs w:val="21"/>
                <w:highlight w:val="none"/>
              </w:rPr>
            </w:pPr>
            <w:r>
              <w:rPr>
                <w:rFonts w:hint="eastAsia" w:cs="宋体"/>
                <w:szCs w:val="21"/>
                <w:highlight w:val="none"/>
              </w:rPr>
              <w:t>经营范围</w:t>
            </w:r>
          </w:p>
        </w:tc>
        <w:tc>
          <w:tcPr>
            <w:tcW w:w="3490" w:type="pct"/>
            <w:gridSpan w:val="4"/>
            <w:vAlign w:val="center"/>
          </w:tcPr>
          <w:p w14:paraId="74E659C5">
            <w:pPr>
              <w:widowControl/>
              <w:jc w:val="center"/>
              <w:rPr>
                <w:rFonts w:cs="宋体"/>
                <w:szCs w:val="21"/>
                <w:highlight w:val="none"/>
              </w:rPr>
            </w:pPr>
          </w:p>
        </w:tc>
      </w:tr>
      <w:tr w14:paraId="09A074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jc w:val="center"/>
        </w:trPr>
        <w:tc>
          <w:tcPr>
            <w:tcW w:w="1509" w:type="pct"/>
            <w:gridSpan w:val="2"/>
            <w:vAlign w:val="center"/>
          </w:tcPr>
          <w:p w14:paraId="62170738">
            <w:pPr>
              <w:widowControl/>
              <w:jc w:val="center"/>
              <w:rPr>
                <w:rFonts w:cs="宋体"/>
                <w:szCs w:val="21"/>
                <w:highlight w:val="none"/>
              </w:rPr>
            </w:pPr>
            <w:r>
              <w:rPr>
                <w:rFonts w:hint="eastAsia" w:cs="宋体"/>
                <w:szCs w:val="21"/>
                <w:highlight w:val="none"/>
              </w:rPr>
              <w:t>公司管理体系认证</w:t>
            </w:r>
          </w:p>
        </w:tc>
        <w:tc>
          <w:tcPr>
            <w:tcW w:w="3490" w:type="pct"/>
            <w:gridSpan w:val="4"/>
            <w:vAlign w:val="center"/>
          </w:tcPr>
          <w:p w14:paraId="071D804F">
            <w:pPr>
              <w:widowControl/>
              <w:jc w:val="center"/>
              <w:rPr>
                <w:rFonts w:cs="宋体"/>
                <w:szCs w:val="21"/>
                <w:highlight w:val="none"/>
              </w:rPr>
            </w:pPr>
            <w:r>
              <w:rPr>
                <w:rFonts w:hint="eastAsia" w:cs="宋体"/>
                <w:szCs w:val="21"/>
                <w:highlight w:val="none"/>
              </w:rPr>
              <w:t>（质量、职业、环境管理体系等）</w:t>
            </w:r>
          </w:p>
        </w:tc>
      </w:tr>
      <w:tr w14:paraId="26230D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61" w:hRule="atLeast"/>
          <w:jc w:val="center"/>
        </w:trPr>
        <w:tc>
          <w:tcPr>
            <w:tcW w:w="5000" w:type="pct"/>
            <w:gridSpan w:val="6"/>
            <w:vAlign w:val="center"/>
          </w:tcPr>
          <w:p w14:paraId="6252AC41">
            <w:pPr>
              <w:widowControl/>
              <w:jc w:val="left"/>
              <w:rPr>
                <w:rFonts w:cs="宋体"/>
                <w:szCs w:val="21"/>
                <w:highlight w:val="none"/>
              </w:rPr>
            </w:pPr>
            <w:r>
              <w:rPr>
                <w:rFonts w:hint="eastAsia" w:cs="宋体"/>
                <w:szCs w:val="21"/>
                <w:highlight w:val="none"/>
              </w:rPr>
              <w:t>公司资质及各类生产、经营许可</w:t>
            </w:r>
          </w:p>
        </w:tc>
      </w:tr>
      <w:tr w14:paraId="355A36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744" w:type="pct"/>
            <w:vAlign w:val="center"/>
          </w:tcPr>
          <w:p w14:paraId="14EF6646">
            <w:pPr>
              <w:widowControl/>
              <w:jc w:val="center"/>
              <w:rPr>
                <w:rFonts w:cs="宋体"/>
                <w:szCs w:val="21"/>
                <w:highlight w:val="none"/>
              </w:rPr>
            </w:pPr>
            <w:r>
              <w:rPr>
                <w:rFonts w:hint="eastAsia" w:cs="宋体"/>
                <w:szCs w:val="21"/>
                <w:highlight w:val="none"/>
              </w:rPr>
              <w:t>备注</w:t>
            </w:r>
          </w:p>
        </w:tc>
        <w:tc>
          <w:tcPr>
            <w:tcW w:w="4255" w:type="pct"/>
            <w:gridSpan w:val="5"/>
            <w:vAlign w:val="center"/>
          </w:tcPr>
          <w:p w14:paraId="71F09FFE">
            <w:pPr>
              <w:widowControl/>
              <w:jc w:val="center"/>
              <w:rPr>
                <w:rFonts w:cs="宋体"/>
                <w:szCs w:val="21"/>
                <w:highlight w:val="none"/>
              </w:rPr>
            </w:pPr>
          </w:p>
        </w:tc>
      </w:tr>
    </w:tbl>
    <w:p w14:paraId="293AF499">
      <w:pPr>
        <w:pStyle w:val="45"/>
        <w:rPr>
          <w:rFonts w:cs="宋体"/>
          <w:highlight w:val="none"/>
        </w:rPr>
      </w:pPr>
    </w:p>
    <w:p w14:paraId="61896018">
      <w:pPr>
        <w:pStyle w:val="45"/>
        <w:rPr>
          <w:rFonts w:cs="宋体"/>
          <w:highlight w:val="none"/>
        </w:rPr>
      </w:pPr>
    </w:p>
    <w:p w14:paraId="143ECA1B">
      <w:pPr>
        <w:pStyle w:val="34"/>
        <w:rPr>
          <w:rFonts w:ascii="宋体" w:hAnsi="宋体" w:eastAsia="宋体" w:cs="宋体"/>
          <w:highlight w:val="none"/>
        </w:rPr>
      </w:pPr>
      <w:r>
        <w:rPr>
          <w:rFonts w:hint="eastAsia" w:ascii="宋体" w:hAnsi="宋体" w:eastAsia="宋体" w:cs="宋体"/>
          <w:highlight w:val="none"/>
        </w:rPr>
        <w:br w:type="page"/>
      </w:r>
    </w:p>
    <w:p w14:paraId="5C005AD4">
      <w:pPr>
        <w:jc w:val="center"/>
        <w:outlineLvl w:val="2"/>
        <w:rPr>
          <w:rFonts w:cs="宋体"/>
          <w:b/>
          <w:bCs/>
          <w:sz w:val="28"/>
          <w:szCs w:val="36"/>
          <w:highlight w:val="none"/>
        </w:rPr>
      </w:pPr>
      <w:bookmarkStart w:id="235" w:name="_Toc172205084"/>
      <w:bookmarkStart w:id="236" w:name="_Toc166067770"/>
      <w:bookmarkStart w:id="237" w:name="_Toc3456"/>
      <w:bookmarkStart w:id="238" w:name="_Toc175582341"/>
      <w:bookmarkStart w:id="239" w:name="_Toc171929832"/>
      <w:r>
        <w:rPr>
          <w:rFonts w:hint="eastAsia" w:cs="宋体"/>
          <w:b/>
          <w:bCs/>
          <w:sz w:val="28"/>
          <w:szCs w:val="36"/>
          <w:highlight w:val="none"/>
        </w:rPr>
        <w:t>（二）法定代表人身份证明书</w:t>
      </w:r>
      <w:bookmarkEnd w:id="235"/>
      <w:bookmarkEnd w:id="236"/>
      <w:bookmarkEnd w:id="237"/>
      <w:bookmarkEnd w:id="238"/>
      <w:bookmarkEnd w:id="239"/>
    </w:p>
    <w:p w14:paraId="2D0B2F81">
      <w:pPr>
        <w:spacing w:line="440" w:lineRule="exact"/>
        <w:jc w:val="center"/>
        <w:rPr>
          <w:rFonts w:cs="宋体"/>
          <w:b/>
          <w:sz w:val="30"/>
          <w:szCs w:val="30"/>
          <w:highlight w:val="none"/>
        </w:rPr>
      </w:pPr>
    </w:p>
    <w:p w14:paraId="35BA0E52">
      <w:pPr>
        <w:rPr>
          <w:rFonts w:cs="宋体"/>
          <w:szCs w:val="21"/>
          <w:highlight w:val="none"/>
          <w:u w:val="single"/>
        </w:rPr>
      </w:pPr>
      <w:r>
        <w:rPr>
          <w:rFonts w:hint="eastAsia" w:cs="宋体"/>
          <w:szCs w:val="21"/>
          <w:highlight w:val="none"/>
        </w:rPr>
        <w:t>投标人名称：</w:t>
      </w:r>
      <w:r>
        <w:rPr>
          <w:rFonts w:hint="eastAsia" w:cs="宋体"/>
          <w:szCs w:val="21"/>
          <w:highlight w:val="none"/>
          <w:u w:val="single"/>
        </w:rPr>
        <w:t xml:space="preserve">            </w:t>
      </w:r>
    </w:p>
    <w:p w14:paraId="18883583">
      <w:pPr>
        <w:rPr>
          <w:rFonts w:cs="宋体"/>
          <w:szCs w:val="21"/>
          <w:highlight w:val="none"/>
          <w:u w:val="single"/>
        </w:rPr>
      </w:pPr>
      <w:r>
        <w:rPr>
          <w:rFonts w:hint="eastAsia" w:cs="宋体"/>
          <w:szCs w:val="21"/>
          <w:highlight w:val="none"/>
        </w:rPr>
        <w:t>单位性质：</w:t>
      </w:r>
      <w:r>
        <w:rPr>
          <w:rFonts w:hint="eastAsia" w:cs="宋体"/>
          <w:szCs w:val="21"/>
          <w:highlight w:val="none"/>
          <w:u w:val="single"/>
        </w:rPr>
        <w:t xml:space="preserve">                 </w:t>
      </w:r>
    </w:p>
    <w:p w14:paraId="2EF35E84">
      <w:pPr>
        <w:rPr>
          <w:rFonts w:cs="宋体"/>
          <w:szCs w:val="21"/>
          <w:highlight w:val="none"/>
        </w:rPr>
      </w:pPr>
      <w:r>
        <w:rPr>
          <w:rFonts w:hint="eastAsia" w:cs="宋体"/>
          <w:szCs w:val="21"/>
          <w:highlight w:val="none"/>
        </w:rPr>
        <w:t>成立时间：</w:t>
      </w:r>
      <w:r>
        <w:rPr>
          <w:rFonts w:hint="eastAsia" w:cs="宋体"/>
          <w:szCs w:val="21"/>
          <w:highlight w:val="none"/>
          <w:u w:val="single"/>
        </w:rPr>
        <w:t xml:space="preserve">    </w:t>
      </w:r>
      <w:r>
        <w:rPr>
          <w:rFonts w:hint="eastAsia" w:cs="宋体"/>
          <w:szCs w:val="21"/>
          <w:highlight w:val="none"/>
        </w:rPr>
        <w:t>年</w:t>
      </w:r>
      <w:r>
        <w:rPr>
          <w:rFonts w:hint="eastAsia" w:cs="宋体"/>
          <w:szCs w:val="21"/>
          <w:highlight w:val="none"/>
          <w:u w:val="single"/>
        </w:rPr>
        <w:t xml:space="preserve">    </w:t>
      </w:r>
      <w:r>
        <w:rPr>
          <w:rFonts w:hint="eastAsia" w:cs="宋体"/>
          <w:szCs w:val="21"/>
          <w:highlight w:val="none"/>
        </w:rPr>
        <w:t>月</w:t>
      </w:r>
      <w:r>
        <w:rPr>
          <w:rFonts w:hint="eastAsia" w:cs="宋体"/>
          <w:szCs w:val="21"/>
          <w:highlight w:val="none"/>
          <w:u w:val="single"/>
        </w:rPr>
        <w:t xml:space="preserve">    </w:t>
      </w:r>
      <w:r>
        <w:rPr>
          <w:rFonts w:hint="eastAsia" w:cs="宋体"/>
          <w:szCs w:val="21"/>
          <w:highlight w:val="none"/>
        </w:rPr>
        <w:t>日</w:t>
      </w:r>
    </w:p>
    <w:p w14:paraId="204C18DD">
      <w:pPr>
        <w:rPr>
          <w:rFonts w:cs="宋体"/>
          <w:szCs w:val="21"/>
          <w:highlight w:val="none"/>
          <w:u w:val="single"/>
        </w:rPr>
      </w:pPr>
      <w:r>
        <w:rPr>
          <w:rFonts w:hint="eastAsia" w:cs="宋体"/>
          <w:szCs w:val="21"/>
          <w:highlight w:val="none"/>
        </w:rPr>
        <w:t>经营期限：</w:t>
      </w:r>
      <w:r>
        <w:rPr>
          <w:rFonts w:hint="eastAsia" w:cs="宋体"/>
          <w:szCs w:val="21"/>
          <w:highlight w:val="none"/>
          <w:u w:val="single"/>
        </w:rPr>
        <w:t xml:space="preserve">           </w:t>
      </w:r>
    </w:p>
    <w:p w14:paraId="67DD945D">
      <w:pPr>
        <w:rPr>
          <w:rFonts w:cs="宋体"/>
          <w:szCs w:val="21"/>
          <w:highlight w:val="none"/>
        </w:rPr>
      </w:pPr>
      <w:r>
        <w:rPr>
          <w:rFonts w:hint="eastAsia" w:cs="宋体"/>
          <w:szCs w:val="21"/>
          <w:highlight w:val="none"/>
        </w:rPr>
        <w:t>姓名：</w:t>
      </w:r>
      <w:r>
        <w:rPr>
          <w:rFonts w:hint="eastAsia" w:cs="宋体"/>
          <w:szCs w:val="21"/>
          <w:highlight w:val="none"/>
          <w:u w:val="single"/>
        </w:rPr>
        <w:t xml:space="preserve">    </w:t>
      </w:r>
      <w:r>
        <w:rPr>
          <w:rFonts w:hint="eastAsia" w:cs="宋体"/>
          <w:szCs w:val="21"/>
          <w:highlight w:val="none"/>
        </w:rPr>
        <w:t>性别：</w:t>
      </w:r>
      <w:r>
        <w:rPr>
          <w:rFonts w:hint="eastAsia" w:cs="宋体"/>
          <w:szCs w:val="21"/>
          <w:highlight w:val="none"/>
          <w:u w:val="single"/>
        </w:rPr>
        <w:t xml:space="preserve">    </w:t>
      </w:r>
      <w:r>
        <w:rPr>
          <w:rFonts w:hint="eastAsia" w:cs="宋体"/>
          <w:szCs w:val="21"/>
          <w:highlight w:val="none"/>
        </w:rPr>
        <w:t>年龄：</w:t>
      </w:r>
      <w:r>
        <w:rPr>
          <w:rFonts w:hint="eastAsia" w:cs="宋体"/>
          <w:szCs w:val="21"/>
          <w:highlight w:val="none"/>
          <w:u w:val="single"/>
        </w:rPr>
        <w:t xml:space="preserve">    </w:t>
      </w:r>
      <w:r>
        <w:rPr>
          <w:rFonts w:hint="eastAsia" w:cs="宋体"/>
          <w:szCs w:val="21"/>
          <w:highlight w:val="none"/>
        </w:rPr>
        <w:t>职务：</w:t>
      </w:r>
      <w:r>
        <w:rPr>
          <w:rFonts w:hint="eastAsia" w:cs="宋体"/>
          <w:szCs w:val="21"/>
          <w:highlight w:val="none"/>
          <w:u w:val="single"/>
        </w:rPr>
        <w:t xml:space="preserve">    </w:t>
      </w:r>
    </w:p>
    <w:p w14:paraId="3372AB5B">
      <w:pPr>
        <w:rPr>
          <w:rFonts w:cs="宋体"/>
          <w:szCs w:val="21"/>
          <w:highlight w:val="none"/>
        </w:rPr>
      </w:pPr>
      <w:r>
        <w:rPr>
          <w:rFonts w:hint="eastAsia" w:cs="宋体"/>
          <w:szCs w:val="21"/>
          <w:highlight w:val="none"/>
        </w:rPr>
        <w:t>系</w:t>
      </w:r>
      <w:r>
        <w:rPr>
          <w:rFonts w:hint="eastAsia" w:cs="宋体"/>
          <w:szCs w:val="21"/>
          <w:highlight w:val="none"/>
          <w:u w:val="single"/>
        </w:rPr>
        <w:t>（投标人名称）</w:t>
      </w:r>
      <w:r>
        <w:rPr>
          <w:rFonts w:hint="eastAsia" w:cs="宋体"/>
          <w:szCs w:val="21"/>
          <w:highlight w:val="none"/>
        </w:rPr>
        <w:t>的法定代表人。</w:t>
      </w:r>
    </w:p>
    <w:p w14:paraId="53DC5FCE">
      <w:pPr>
        <w:rPr>
          <w:rFonts w:cs="宋体"/>
          <w:szCs w:val="21"/>
          <w:highlight w:val="none"/>
        </w:rPr>
      </w:pPr>
      <w:r>
        <w:rPr>
          <w:rFonts w:hint="eastAsia" w:cs="宋体"/>
          <w:szCs w:val="21"/>
          <w:highlight w:val="none"/>
        </w:rPr>
        <w:t>特此证明。</w:t>
      </w:r>
    </w:p>
    <w:p w14:paraId="4A7C6087">
      <w:pPr>
        <w:rPr>
          <w:rFonts w:cs="宋体"/>
          <w:szCs w:val="21"/>
          <w:highlight w:val="none"/>
        </w:rPr>
      </w:pPr>
    </w:p>
    <w:p w14:paraId="5C8302C3">
      <w:pPr>
        <w:pStyle w:val="45"/>
        <w:spacing w:line="500" w:lineRule="exact"/>
        <w:rPr>
          <w:rFonts w:cs="宋体"/>
          <w:b/>
          <w:bCs/>
          <w:szCs w:val="21"/>
          <w:highlight w:val="none"/>
        </w:rPr>
      </w:pPr>
      <w:r>
        <w:rPr>
          <w:rFonts w:hint="eastAsia" w:cs="宋体"/>
          <w:b/>
          <w:bCs/>
          <w:szCs w:val="21"/>
          <w:highlight w:val="none"/>
        </w:rPr>
        <w:t>注: 后附法定代表人身份证（扫描件），否则视为无效证明书。</w:t>
      </w:r>
    </w:p>
    <w:p w14:paraId="75839C16">
      <w:pPr>
        <w:rPr>
          <w:rFonts w:cs="宋体"/>
          <w:szCs w:val="21"/>
          <w:highlight w:val="none"/>
        </w:rPr>
      </w:pPr>
    </w:p>
    <w:p w14:paraId="63098AFE">
      <w:pPr>
        <w:rPr>
          <w:rFonts w:cs="宋体"/>
          <w:szCs w:val="21"/>
          <w:highlight w:val="none"/>
        </w:rPr>
      </w:pPr>
    </w:p>
    <w:p w14:paraId="21389F65">
      <w:pPr>
        <w:ind w:firstLine="2963" w:firstLineChars="1411"/>
        <w:jc w:val="right"/>
        <w:rPr>
          <w:rFonts w:cs="宋体"/>
          <w:b/>
          <w:szCs w:val="21"/>
          <w:highlight w:val="none"/>
        </w:rPr>
      </w:pPr>
    </w:p>
    <w:p w14:paraId="67539A95">
      <w:pPr>
        <w:ind w:firstLine="2963" w:firstLineChars="1411"/>
        <w:jc w:val="right"/>
        <w:rPr>
          <w:rFonts w:cs="宋体"/>
          <w:b/>
          <w:szCs w:val="21"/>
          <w:highlight w:val="none"/>
        </w:rPr>
      </w:pPr>
      <w:r>
        <w:rPr>
          <w:rFonts w:hint="eastAsia" w:cs="宋体"/>
          <w:b/>
          <w:szCs w:val="21"/>
          <w:highlight w:val="none"/>
        </w:rPr>
        <w:t>投标人：</w:t>
      </w:r>
      <w:r>
        <w:rPr>
          <w:rFonts w:hint="eastAsia" w:cs="宋体"/>
          <w:b/>
          <w:szCs w:val="21"/>
          <w:highlight w:val="none"/>
          <w:u w:val="single"/>
        </w:rPr>
        <w:t xml:space="preserve">          </w:t>
      </w:r>
      <w:r>
        <w:rPr>
          <w:rFonts w:hint="eastAsia" w:cs="宋体"/>
          <w:b/>
          <w:szCs w:val="21"/>
          <w:highlight w:val="none"/>
        </w:rPr>
        <w:t>（加盖电子公章）</w:t>
      </w:r>
    </w:p>
    <w:p w14:paraId="74BA9D4A">
      <w:pPr>
        <w:ind w:firstLine="2963" w:firstLineChars="1411"/>
        <w:jc w:val="right"/>
        <w:rPr>
          <w:rFonts w:cs="宋体"/>
          <w:b/>
          <w:szCs w:val="21"/>
          <w:highlight w:val="none"/>
          <w:u w:val="single"/>
        </w:rPr>
      </w:pPr>
    </w:p>
    <w:p w14:paraId="710AAE31">
      <w:pPr>
        <w:ind w:firstLine="2963" w:firstLineChars="1411"/>
        <w:jc w:val="right"/>
        <w:rPr>
          <w:rFonts w:cs="宋体"/>
          <w:b/>
          <w:szCs w:val="21"/>
          <w:highlight w:val="none"/>
        </w:rPr>
      </w:pPr>
      <w:r>
        <w:rPr>
          <w:rFonts w:hint="eastAsia" w:cs="宋体"/>
          <w:b/>
          <w:szCs w:val="21"/>
          <w:highlight w:val="none"/>
        </w:rPr>
        <w:t>日期：</w:t>
      </w:r>
      <w:r>
        <w:rPr>
          <w:rFonts w:hint="eastAsia" w:cs="宋体"/>
          <w:szCs w:val="21"/>
          <w:highlight w:val="none"/>
          <w:u w:val="single"/>
        </w:rPr>
        <w:t xml:space="preserve">    </w:t>
      </w:r>
      <w:r>
        <w:rPr>
          <w:rFonts w:hint="eastAsia" w:cs="宋体"/>
          <w:b/>
          <w:szCs w:val="21"/>
          <w:highlight w:val="none"/>
        </w:rPr>
        <w:t>年</w:t>
      </w:r>
      <w:r>
        <w:rPr>
          <w:rFonts w:hint="eastAsia" w:cs="宋体"/>
          <w:szCs w:val="21"/>
          <w:highlight w:val="none"/>
          <w:u w:val="single"/>
        </w:rPr>
        <w:t xml:space="preserve">    </w:t>
      </w:r>
      <w:r>
        <w:rPr>
          <w:rFonts w:hint="eastAsia" w:cs="宋体"/>
          <w:b/>
          <w:szCs w:val="21"/>
          <w:highlight w:val="none"/>
        </w:rPr>
        <w:t>月</w:t>
      </w:r>
      <w:r>
        <w:rPr>
          <w:rFonts w:hint="eastAsia" w:cs="宋体"/>
          <w:szCs w:val="21"/>
          <w:highlight w:val="none"/>
          <w:u w:val="single"/>
        </w:rPr>
        <w:t xml:space="preserve">    </w:t>
      </w:r>
      <w:r>
        <w:rPr>
          <w:rFonts w:hint="eastAsia" w:cs="宋体"/>
          <w:b/>
          <w:szCs w:val="21"/>
          <w:highlight w:val="none"/>
        </w:rPr>
        <w:t>日</w:t>
      </w:r>
    </w:p>
    <w:p w14:paraId="1434DB10">
      <w:pPr>
        <w:ind w:left="5397" w:leftChars="2570"/>
        <w:rPr>
          <w:rFonts w:cs="宋体"/>
          <w:szCs w:val="21"/>
          <w:highlight w:val="none"/>
        </w:rPr>
      </w:pPr>
    </w:p>
    <w:p w14:paraId="55A067FB">
      <w:pPr>
        <w:pStyle w:val="45"/>
        <w:spacing w:line="600" w:lineRule="exact"/>
        <w:rPr>
          <w:rFonts w:cs="宋体"/>
          <w:b/>
          <w:sz w:val="28"/>
          <w:szCs w:val="28"/>
          <w:highlight w:val="none"/>
        </w:rPr>
      </w:pPr>
      <w:r>
        <w:rPr>
          <w:rFonts w:hint="eastAsia" w:cs="宋体"/>
          <w:b/>
          <w:szCs w:val="21"/>
          <w:highlight w:val="none"/>
        </w:rPr>
        <w:br w:type="page"/>
      </w:r>
    </w:p>
    <w:p w14:paraId="34DE61F1">
      <w:pPr>
        <w:jc w:val="center"/>
        <w:outlineLvl w:val="2"/>
        <w:rPr>
          <w:rFonts w:cs="宋体"/>
          <w:b/>
          <w:bCs/>
          <w:sz w:val="28"/>
          <w:szCs w:val="36"/>
          <w:highlight w:val="none"/>
        </w:rPr>
      </w:pPr>
      <w:bookmarkStart w:id="240" w:name="_Toc493600019"/>
      <w:bookmarkStart w:id="241" w:name="_Toc172205085"/>
      <w:bookmarkStart w:id="242" w:name="_Toc5482"/>
      <w:bookmarkStart w:id="243" w:name="_Toc171929833"/>
      <w:bookmarkStart w:id="244" w:name="_Toc166067771"/>
      <w:bookmarkStart w:id="245" w:name="_Toc29801"/>
      <w:bookmarkStart w:id="246" w:name="_Toc496520987"/>
      <w:bookmarkStart w:id="247" w:name="_Toc213141107"/>
      <w:bookmarkStart w:id="248" w:name="_Toc29216"/>
      <w:bookmarkStart w:id="249" w:name="_Toc175582342"/>
      <w:r>
        <w:rPr>
          <w:rFonts w:hint="eastAsia" w:cs="宋体"/>
          <w:b/>
          <w:bCs/>
          <w:sz w:val="28"/>
          <w:szCs w:val="36"/>
          <w:highlight w:val="none"/>
        </w:rPr>
        <w:t>（三）法定代表人授权委托书</w:t>
      </w:r>
      <w:bookmarkEnd w:id="240"/>
      <w:bookmarkEnd w:id="241"/>
      <w:bookmarkEnd w:id="242"/>
      <w:bookmarkEnd w:id="243"/>
      <w:bookmarkEnd w:id="244"/>
      <w:bookmarkEnd w:id="245"/>
      <w:bookmarkEnd w:id="246"/>
      <w:bookmarkEnd w:id="247"/>
      <w:bookmarkEnd w:id="248"/>
      <w:bookmarkEnd w:id="249"/>
    </w:p>
    <w:p w14:paraId="380DC905">
      <w:pPr>
        <w:pStyle w:val="45"/>
        <w:spacing w:line="500" w:lineRule="exact"/>
        <w:rPr>
          <w:rFonts w:cs="宋体"/>
          <w:b/>
          <w:bCs/>
          <w:szCs w:val="21"/>
          <w:highlight w:val="none"/>
        </w:rPr>
      </w:pPr>
      <w:bookmarkStart w:id="250" w:name="_Hlk57300265"/>
      <w:r>
        <w:rPr>
          <w:rFonts w:hint="eastAsia" w:cs="宋体"/>
          <w:b/>
          <w:bCs/>
          <w:szCs w:val="21"/>
          <w:highlight w:val="none"/>
        </w:rPr>
        <w:t>（注：如为法定代表人在投标过程中签署一切文件和处理与之有关的一切事务，无需提供法定代表人授权委托书。）</w:t>
      </w:r>
    </w:p>
    <w:bookmarkEnd w:id="250"/>
    <w:p w14:paraId="7DA74C72">
      <w:pPr>
        <w:ind w:firstLine="420" w:firstLineChars="200"/>
        <w:rPr>
          <w:rFonts w:cs="宋体"/>
          <w:szCs w:val="21"/>
          <w:highlight w:val="none"/>
        </w:rPr>
      </w:pPr>
      <w:r>
        <w:rPr>
          <w:rFonts w:hint="eastAsia" w:cs="宋体"/>
          <w:szCs w:val="21"/>
          <w:highlight w:val="none"/>
        </w:rPr>
        <w:t>本授权书声明：</w:t>
      </w:r>
      <w:r>
        <w:rPr>
          <w:rFonts w:hint="eastAsia" w:cs="宋体"/>
          <w:szCs w:val="21"/>
          <w:highlight w:val="none"/>
          <w:u w:val="single"/>
        </w:rPr>
        <w:t xml:space="preserve"> （投标人全称） </w:t>
      </w:r>
      <w:r>
        <w:rPr>
          <w:rFonts w:hint="eastAsia" w:cs="宋体"/>
          <w:szCs w:val="21"/>
          <w:highlight w:val="none"/>
        </w:rPr>
        <w:t>的法定代表人代表本公司授权</w:t>
      </w:r>
      <w:r>
        <w:rPr>
          <w:rFonts w:hint="eastAsia" w:cs="宋体"/>
          <w:szCs w:val="21"/>
          <w:highlight w:val="none"/>
          <w:u w:val="single"/>
        </w:rPr>
        <w:t>（委托代理人姓名）</w:t>
      </w:r>
      <w:r>
        <w:rPr>
          <w:rFonts w:hint="eastAsia" w:cs="宋体"/>
          <w:szCs w:val="21"/>
          <w:highlight w:val="none"/>
        </w:rPr>
        <w:t>为本公司合法代理人，就贵方组织的有关</w:t>
      </w:r>
      <w:r>
        <w:rPr>
          <w:rFonts w:hint="eastAsia" w:cs="宋体"/>
          <w:szCs w:val="21"/>
          <w:highlight w:val="none"/>
          <w:u w:val="single"/>
        </w:rPr>
        <w:t xml:space="preserve">（项目名称）         </w:t>
      </w:r>
      <w:r>
        <w:rPr>
          <w:rFonts w:hint="eastAsia" w:cs="宋体"/>
          <w:szCs w:val="21"/>
          <w:highlight w:val="none"/>
        </w:rPr>
        <w:t>项目的招标，以本单位名义投标。代理人在本项目投标过程中所签署的一切文件和处理与之有关的一切事务，我方均予承认。</w:t>
      </w:r>
    </w:p>
    <w:p w14:paraId="044EF70D">
      <w:pPr>
        <w:pStyle w:val="45"/>
        <w:spacing w:line="500" w:lineRule="exact"/>
        <w:ind w:firstLine="420"/>
        <w:rPr>
          <w:rFonts w:cs="宋体"/>
          <w:szCs w:val="21"/>
          <w:highlight w:val="none"/>
        </w:rPr>
      </w:pPr>
      <w:r>
        <w:rPr>
          <w:rFonts w:hint="eastAsia" w:cs="宋体"/>
          <w:szCs w:val="21"/>
          <w:highlight w:val="none"/>
        </w:rPr>
        <w:t>代理人无转委托权。</w:t>
      </w:r>
    </w:p>
    <w:p w14:paraId="6ADB02EB">
      <w:pPr>
        <w:pStyle w:val="45"/>
        <w:spacing w:line="500" w:lineRule="exact"/>
        <w:ind w:firstLine="420"/>
        <w:rPr>
          <w:rFonts w:cs="宋体"/>
          <w:szCs w:val="21"/>
          <w:highlight w:val="none"/>
        </w:rPr>
      </w:pPr>
    </w:p>
    <w:p w14:paraId="30FA831B">
      <w:pPr>
        <w:ind w:left="4193" w:leftChars="1350" w:hanging="1358" w:hangingChars="647"/>
        <w:jc w:val="right"/>
        <w:rPr>
          <w:rFonts w:cs="宋体"/>
          <w:b/>
          <w:szCs w:val="21"/>
          <w:highlight w:val="none"/>
        </w:rPr>
      </w:pPr>
      <w:r>
        <w:rPr>
          <w:rFonts w:hint="eastAsia" w:cs="宋体"/>
          <w:b/>
          <w:szCs w:val="21"/>
          <w:highlight w:val="none"/>
        </w:rPr>
        <w:t>投标人：</w:t>
      </w:r>
      <w:r>
        <w:rPr>
          <w:rFonts w:hint="eastAsia" w:cs="宋体"/>
          <w:b/>
          <w:szCs w:val="21"/>
          <w:highlight w:val="none"/>
          <w:u w:val="single"/>
        </w:rPr>
        <w:t xml:space="preserve">            </w:t>
      </w:r>
      <w:r>
        <w:rPr>
          <w:rFonts w:hint="eastAsia" w:cs="宋体"/>
          <w:b/>
          <w:szCs w:val="21"/>
          <w:highlight w:val="none"/>
        </w:rPr>
        <w:t>（加盖电子公章）</w:t>
      </w:r>
    </w:p>
    <w:p w14:paraId="7583C29C">
      <w:pPr>
        <w:wordWrap w:val="0"/>
        <w:ind w:left="4193" w:leftChars="1350" w:hanging="1358" w:hangingChars="647"/>
        <w:jc w:val="right"/>
        <w:rPr>
          <w:rFonts w:cs="宋体"/>
          <w:b/>
          <w:szCs w:val="21"/>
          <w:highlight w:val="none"/>
          <w:u w:val="single"/>
        </w:rPr>
      </w:pPr>
      <w:r>
        <w:rPr>
          <w:rFonts w:hint="eastAsia" w:cs="宋体"/>
          <w:b/>
          <w:szCs w:val="21"/>
          <w:highlight w:val="none"/>
        </w:rPr>
        <w:t>法定代表人/单位负责人（电子签名）：</w:t>
      </w:r>
      <w:r>
        <w:rPr>
          <w:rFonts w:hint="eastAsia" w:cs="宋体"/>
          <w:b/>
          <w:szCs w:val="21"/>
          <w:highlight w:val="none"/>
          <w:u w:val="single"/>
        </w:rPr>
        <w:t xml:space="preserve">          </w:t>
      </w:r>
    </w:p>
    <w:p w14:paraId="02523CA4">
      <w:pPr>
        <w:ind w:left="4193" w:leftChars="1350" w:hanging="1358" w:hangingChars="647"/>
        <w:jc w:val="right"/>
        <w:rPr>
          <w:rFonts w:cs="宋体"/>
          <w:b/>
          <w:szCs w:val="21"/>
          <w:highlight w:val="none"/>
        </w:rPr>
      </w:pPr>
      <w:r>
        <w:rPr>
          <w:rFonts w:hint="eastAsia" w:cs="宋体"/>
          <w:b/>
          <w:szCs w:val="21"/>
          <w:highlight w:val="none"/>
        </w:rPr>
        <w:t>日期：</w:t>
      </w:r>
      <w:r>
        <w:rPr>
          <w:rFonts w:hint="eastAsia" w:cs="宋体"/>
          <w:szCs w:val="21"/>
          <w:highlight w:val="none"/>
          <w:u w:val="single"/>
        </w:rPr>
        <w:t xml:space="preserve">    </w:t>
      </w:r>
      <w:r>
        <w:rPr>
          <w:rFonts w:hint="eastAsia" w:cs="宋体"/>
          <w:b/>
          <w:szCs w:val="21"/>
          <w:highlight w:val="none"/>
        </w:rPr>
        <w:t>年</w:t>
      </w:r>
      <w:r>
        <w:rPr>
          <w:rFonts w:hint="eastAsia" w:cs="宋体"/>
          <w:szCs w:val="21"/>
          <w:highlight w:val="none"/>
          <w:u w:val="single"/>
        </w:rPr>
        <w:t xml:space="preserve">    </w:t>
      </w:r>
      <w:r>
        <w:rPr>
          <w:rFonts w:hint="eastAsia" w:cs="宋体"/>
          <w:b/>
          <w:szCs w:val="21"/>
          <w:highlight w:val="none"/>
        </w:rPr>
        <w:t>月</w:t>
      </w:r>
      <w:r>
        <w:rPr>
          <w:rFonts w:hint="eastAsia" w:cs="宋体"/>
          <w:szCs w:val="21"/>
          <w:highlight w:val="none"/>
          <w:u w:val="single"/>
        </w:rPr>
        <w:t xml:space="preserve">    </w:t>
      </w:r>
      <w:r>
        <w:rPr>
          <w:rFonts w:hint="eastAsia" w:cs="宋体"/>
          <w:b/>
          <w:szCs w:val="21"/>
          <w:highlight w:val="none"/>
        </w:rPr>
        <w:t>日</w:t>
      </w:r>
    </w:p>
    <w:p w14:paraId="2042BCCA">
      <w:pPr>
        <w:pStyle w:val="45"/>
        <w:spacing w:line="500" w:lineRule="exact"/>
        <w:rPr>
          <w:rFonts w:cs="宋体"/>
          <w:szCs w:val="21"/>
          <w:highlight w:val="none"/>
        </w:rPr>
      </w:pPr>
      <w:r>
        <w:rPr>
          <w:rFonts w:hint="eastAsia" w:cs="宋体"/>
          <w:szCs w:val="21"/>
          <w:highlight w:val="none"/>
        </w:rPr>
        <w:t>__________________________________________________________________________________________</w:t>
      </w:r>
    </w:p>
    <w:tbl>
      <w:tblPr>
        <w:tblStyle w:val="88"/>
        <w:tblW w:w="6491" w:type="dxa"/>
        <w:tblInd w:w="97" w:type="dxa"/>
        <w:tblLayout w:type="fixed"/>
        <w:tblCellMar>
          <w:top w:w="0" w:type="dxa"/>
          <w:left w:w="108" w:type="dxa"/>
          <w:bottom w:w="0" w:type="dxa"/>
          <w:right w:w="108" w:type="dxa"/>
        </w:tblCellMar>
      </w:tblPr>
      <w:tblGrid>
        <w:gridCol w:w="2531"/>
        <w:gridCol w:w="3960"/>
      </w:tblGrid>
      <w:tr w14:paraId="52558DD3">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0855ADFF">
            <w:pPr>
              <w:pStyle w:val="45"/>
              <w:spacing w:line="500" w:lineRule="exact"/>
              <w:rPr>
                <w:rFonts w:cs="宋体"/>
                <w:szCs w:val="21"/>
                <w:highlight w:val="none"/>
              </w:rPr>
            </w:pPr>
            <w:r>
              <w:rPr>
                <w:rFonts w:hint="eastAsia" w:cs="宋体"/>
                <w:szCs w:val="21"/>
                <w:highlight w:val="none"/>
              </w:rPr>
              <w:t xml:space="preserve">附： </w:t>
            </w:r>
          </w:p>
        </w:tc>
        <w:tc>
          <w:tcPr>
            <w:tcW w:w="3960" w:type="dxa"/>
            <w:tcBorders>
              <w:top w:val="nil"/>
              <w:left w:val="nil"/>
              <w:bottom w:val="nil"/>
              <w:right w:val="nil"/>
            </w:tcBorders>
            <w:noWrap/>
          </w:tcPr>
          <w:p w14:paraId="03320E35">
            <w:pPr>
              <w:pStyle w:val="45"/>
              <w:spacing w:line="500" w:lineRule="exact"/>
              <w:rPr>
                <w:rFonts w:cs="宋体"/>
                <w:szCs w:val="21"/>
                <w:highlight w:val="none"/>
              </w:rPr>
            </w:pPr>
          </w:p>
        </w:tc>
      </w:tr>
      <w:tr w14:paraId="0352FD3F">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629DC890">
            <w:pPr>
              <w:pStyle w:val="45"/>
              <w:spacing w:line="500" w:lineRule="exact"/>
              <w:jc w:val="distribute"/>
              <w:rPr>
                <w:rFonts w:cs="宋体"/>
                <w:szCs w:val="21"/>
                <w:highlight w:val="none"/>
              </w:rPr>
            </w:pPr>
            <w:r>
              <w:rPr>
                <w:rFonts w:hint="eastAsia" w:cs="宋体"/>
                <w:szCs w:val="21"/>
                <w:highlight w:val="none"/>
              </w:rPr>
              <w:t>委托代理人姓名：</w:t>
            </w:r>
          </w:p>
        </w:tc>
        <w:tc>
          <w:tcPr>
            <w:tcW w:w="3960" w:type="dxa"/>
            <w:tcBorders>
              <w:top w:val="nil"/>
              <w:left w:val="nil"/>
              <w:bottom w:val="nil"/>
              <w:right w:val="nil"/>
            </w:tcBorders>
            <w:noWrap/>
          </w:tcPr>
          <w:p w14:paraId="6F4126F4">
            <w:pPr>
              <w:pStyle w:val="45"/>
              <w:spacing w:line="500" w:lineRule="exact"/>
              <w:rPr>
                <w:rFonts w:cs="宋体"/>
                <w:szCs w:val="21"/>
                <w:highlight w:val="none"/>
              </w:rPr>
            </w:pPr>
          </w:p>
        </w:tc>
      </w:tr>
      <w:tr w14:paraId="36C5CC4D">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2CE6CE52">
            <w:pPr>
              <w:pStyle w:val="45"/>
              <w:spacing w:line="500" w:lineRule="exact"/>
              <w:jc w:val="distribute"/>
              <w:rPr>
                <w:rFonts w:cs="宋体"/>
                <w:szCs w:val="21"/>
                <w:highlight w:val="none"/>
              </w:rPr>
            </w:pPr>
            <w:r>
              <w:rPr>
                <w:rFonts w:hint="eastAsia" w:cs="宋体"/>
                <w:szCs w:val="21"/>
                <w:highlight w:val="none"/>
              </w:rPr>
              <w:t>职       务：</w:t>
            </w:r>
          </w:p>
        </w:tc>
        <w:tc>
          <w:tcPr>
            <w:tcW w:w="3960" w:type="dxa"/>
            <w:tcBorders>
              <w:top w:val="nil"/>
              <w:left w:val="nil"/>
              <w:bottom w:val="nil"/>
              <w:right w:val="nil"/>
            </w:tcBorders>
            <w:noWrap/>
          </w:tcPr>
          <w:p w14:paraId="736E34C7">
            <w:pPr>
              <w:pStyle w:val="45"/>
              <w:spacing w:line="500" w:lineRule="exact"/>
              <w:rPr>
                <w:rFonts w:cs="宋体"/>
                <w:szCs w:val="21"/>
                <w:highlight w:val="none"/>
              </w:rPr>
            </w:pPr>
          </w:p>
        </w:tc>
      </w:tr>
      <w:tr w14:paraId="3C1FE69B">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5F609DD9">
            <w:pPr>
              <w:pStyle w:val="45"/>
              <w:spacing w:line="500" w:lineRule="exact"/>
              <w:jc w:val="distribute"/>
              <w:rPr>
                <w:rFonts w:cs="宋体"/>
                <w:szCs w:val="21"/>
                <w:highlight w:val="none"/>
              </w:rPr>
            </w:pPr>
            <w:r>
              <w:rPr>
                <w:rFonts w:hint="eastAsia" w:cs="宋体"/>
                <w:szCs w:val="21"/>
                <w:highlight w:val="none"/>
              </w:rPr>
              <w:t>身份证号码：</w:t>
            </w:r>
          </w:p>
        </w:tc>
        <w:tc>
          <w:tcPr>
            <w:tcW w:w="3960" w:type="dxa"/>
            <w:tcBorders>
              <w:top w:val="nil"/>
              <w:left w:val="nil"/>
              <w:bottom w:val="nil"/>
              <w:right w:val="nil"/>
            </w:tcBorders>
            <w:noWrap/>
          </w:tcPr>
          <w:p w14:paraId="7411825E">
            <w:pPr>
              <w:pStyle w:val="45"/>
              <w:spacing w:line="500" w:lineRule="exact"/>
              <w:rPr>
                <w:rFonts w:cs="宋体"/>
                <w:szCs w:val="21"/>
                <w:highlight w:val="none"/>
              </w:rPr>
            </w:pPr>
          </w:p>
        </w:tc>
      </w:tr>
      <w:tr w14:paraId="3F4CA663">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4161F495">
            <w:pPr>
              <w:pStyle w:val="45"/>
              <w:spacing w:line="500" w:lineRule="exact"/>
              <w:jc w:val="distribute"/>
              <w:rPr>
                <w:rFonts w:cs="宋体"/>
                <w:szCs w:val="21"/>
                <w:highlight w:val="none"/>
              </w:rPr>
            </w:pPr>
            <w:r>
              <w:rPr>
                <w:rFonts w:hint="eastAsia" w:cs="宋体"/>
                <w:szCs w:val="21"/>
                <w:highlight w:val="none"/>
              </w:rPr>
              <w:t>详 细  地 址：</w:t>
            </w:r>
          </w:p>
        </w:tc>
        <w:tc>
          <w:tcPr>
            <w:tcW w:w="3960" w:type="dxa"/>
            <w:tcBorders>
              <w:top w:val="nil"/>
              <w:left w:val="nil"/>
              <w:bottom w:val="nil"/>
              <w:right w:val="nil"/>
            </w:tcBorders>
            <w:noWrap/>
          </w:tcPr>
          <w:p w14:paraId="66F2D777">
            <w:pPr>
              <w:pStyle w:val="45"/>
              <w:spacing w:line="500" w:lineRule="exact"/>
              <w:rPr>
                <w:rFonts w:cs="宋体"/>
                <w:szCs w:val="21"/>
                <w:highlight w:val="none"/>
              </w:rPr>
            </w:pPr>
          </w:p>
        </w:tc>
      </w:tr>
      <w:tr w14:paraId="0572ED9F">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029CE505">
            <w:pPr>
              <w:pStyle w:val="45"/>
              <w:spacing w:line="500" w:lineRule="exact"/>
              <w:jc w:val="distribute"/>
              <w:rPr>
                <w:rFonts w:cs="宋体"/>
                <w:szCs w:val="21"/>
                <w:highlight w:val="none"/>
              </w:rPr>
            </w:pPr>
            <w:r>
              <w:rPr>
                <w:rFonts w:hint="eastAsia" w:cs="宋体"/>
                <w:szCs w:val="21"/>
                <w:highlight w:val="none"/>
              </w:rPr>
              <w:t>电       话：</w:t>
            </w:r>
          </w:p>
        </w:tc>
        <w:tc>
          <w:tcPr>
            <w:tcW w:w="3960" w:type="dxa"/>
            <w:tcBorders>
              <w:top w:val="nil"/>
              <w:left w:val="nil"/>
              <w:bottom w:val="nil"/>
              <w:right w:val="nil"/>
            </w:tcBorders>
            <w:noWrap/>
          </w:tcPr>
          <w:p w14:paraId="60FDF698">
            <w:pPr>
              <w:pStyle w:val="45"/>
              <w:spacing w:line="500" w:lineRule="exact"/>
              <w:rPr>
                <w:rFonts w:cs="宋体"/>
                <w:szCs w:val="21"/>
                <w:highlight w:val="none"/>
              </w:rPr>
            </w:pPr>
          </w:p>
        </w:tc>
      </w:tr>
    </w:tbl>
    <w:p w14:paraId="33A1ED5E">
      <w:pPr>
        <w:pStyle w:val="45"/>
        <w:spacing w:line="500" w:lineRule="exact"/>
        <w:ind w:firstLine="420"/>
        <w:rPr>
          <w:rFonts w:cs="宋体"/>
          <w:b/>
          <w:bCs/>
          <w:szCs w:val="21"/>
          <w:highlight w:val="none"/>
        </w:rPr>
      </w:pPr>
    </w:p>
    <w:p w14:paraId="67DE7E3C">
      <w:pPr>
        <w:pStyle w:val="45"/>
        <w:spacing w:line="500" w:lineRule="exact"/>
        <w:ind w:firstLine="420"/>
        <w:rPr>
          <w:rFonts w:cs="宋体"/>
          <w:b/>
          <w:bCs/>
          <w:szCs w:val="21"/>
          <w:highlight w:val="none"/>
        </w:rPr>
      </w:pPr>
      <w:r>
        <w:rPr>
          <w:rFonts w:hint="eastAsia" w:cs="宋体"/>
          <w:b/>
          <w:bCs/>
          <w:szCs w:val="21"/>
          <w:highlight w:val="none"/>
        </w:rPr>
        <w:t>注：后附委托代理人身份证（扫描件）</w:t>
      </w:r>
      <w:bookmarkStart w:id="251" w:name="_Hlk57300346"/>
      <w:r>
        <w:rPr>
          <w:rFonts w:hint="eastAsia" w:cs="宋体"/>
          <w:b/>
          <w:bCs/>
          <w:szCs w:val="21"/>
          <w:highlight w:val="none"/>
        </w:rPr>
        <w:t>，否则视为无效委托书</w:t>
      </w:r>
      <w:bookmarkEnd w:id="251"/>
      <w:r>
        <w:rPr>
          <w:rFonts w:hint="eastAsia" w:cs="宋体"/>
          <w:b/>
          <w:bCs/>
          <w:szCs w:val="21"/>
          <w:highlight w:val="none"/>
        </w:rPr>
        <w:t>。</w:t>
      </w:r>
    </w:p>
    <w:p w14:paraId="4E80873E">
      <w:pPr>
        <w:pStyle w:val="45"/>
        <w:spacing w:line="600" w:lineRule="exact"/>
        <w:rPr>
          <w:rFonts w:cs="宋体"/>
          <w:b/>
          <w:sz w:val="28"/>
          <w:szCs w:val="28"/>
          <w:highlight w:val="none"/>
        </w:rPr>
      </w:pPr>
      <w:r>
        <w:rPr>
          <w:rFonts w:hint="eastAsia" w:cs="宋体"/>
          <w:sz w:val="24"/>
          <w:highlight w:val="none"/>
        </w:rPr>
        <w:br w:type="page"/>
      </w:r>
    </w:p>
    <w:p w14:paraId="1B26F90E">
      <w:pPr>
        <w:rPr>
          <w:highlight w:val="none"/>
        </w:rPr>
      </w:pPr>
      <w:bookmarkStart w:id="252" w:name="_Toc171929834"/>
      <w:bookmarkStart w:id="253" w:name="_Toc172205086"/>
      <w:bookmarkStart w:id="254" w:name="_Toc175582343"/>
      <w:bookmarkStart w:id="255" w:name="_Toc9208"/>
      <w:bookmarkStart w:id="256" w:name="_Toc166067772"/>
      <w:bookmarkStart w:id="257" w:name="_Toc11482"/>
      <w:bookmarkStart w:id="258" w:name="_Toc25787"/>
    </w:p>
    <w:p w14:paraId="1CC2B64B">
      <w:pPr>
        <w:jc w:val="center"/>
        <w:outlineLvl w:val="2"/>
        <w:rPr>
          <w:rFonts w:cs="宋体"/>
          <w:b/>
          <w:bCs/>
          <w:sz w:val="48"/>
          <w:szCs w:val="48"/>
          <w:highlight w:val="none"/>
        </w:rPr>
      </w:pPr>
      <w:r>
        <w:rPr>
          <w:rFonts w:hint="eastAsia" w:cs="宋体"/>
          <w:b/>
          <w:bCs/>
          <w:sz w:val="28"/>
          <w:szCs w:val="36"/>
          <w:highlight w:val="none"/>
        </w:rPr>
        <w:t>（四）</w:t>
      </w:r>
      <w:bookmarkEnd w:id="232"/>
      <w:bookmarkEnd w:id="233"/>
      <w:bookmarkEnd w:id="234"/>
      <w:bookmarkEnd w:id="252"/>
      <w:bookmarkEnd w:id="253"/>
      <w:bookmarkEnd w:id="254"/>
      <w:bookmarkEnd w:id="255"/>
      <w:bookmarkEnd w:id="256"/>
      <w:bookmarkEnd w:id="257"/>
      <w:bookmarkEnd w:id="258"/>
      <w:bookmarkStart w:id="259" w:name="_Toc175582344"/>
      <w:bookmarkStart w:id="260" w:name="_Toc166067773"/>
      <w:bookmarkStart w:id="261" w:name="_Toc24308"/>
      <w:bookmarkStart w:id="262" w:name="_Toc172205087"/>
      <w:bookmarkStart w:id="263" w:name="_Toc171929835"/>
      <w:r>
        <w:rPr>
          <w:rFonts w:hint="eastAsia" w:cs="宋体"/>
          <w:b/>
          <w:bCs/>
          <w:sz w:val="28"/>
          <w:szCs w:val="36"/>
          <w:highlight w:val="none"/>
        </w:rPr>
        <w:t>营业执照或同等法定证明</w:t>
      </w:r>
      <w:bookmarkEnd w:id="259"/>
      <w:bookmarkEnd w:id="260"/>
      <w:bookmarkEnd w:id="261"/>
      <w:bookmarkEnd w:id="262"/>
      <w:bookmarkEnd w:id="263"/>
    </w:p>
    <w:p w14:paraId="528FE22E">
      <w:pPr>
        <w:spacing w:line="500" w:lineRule="exact"/>
        <w:jc w:val="center"/>
        <w:rPr>
          <w:rFonts w:cs="宋体"/>
          <w:szCs w:val="21"/>
          <w:highlight w:val="none"/>
        </w:rPr>
      </w:pPr>
      <w:r>
        <w:rPr>
          <w:rFonts w:hint="eastAsia" w:cs="宋体"/>
          <w:szCs w:val="21"/>
          <w:highlight w:val="none"/>
        </w:rPr>
        <w:t>（扫描件/复印件）</w:t>
      </w:r>
    </w:p>
    <w:p w14:paraId="55D01BC1">
      <w:pPr>
        <w:spacing w:line="500" w:lineRule="exact"/>
        <w:jc w:val="center"/>
        <w:rPr>
          <w:rFonts w:cs="宋体"/>
          <w:szCs w:val="20"/>
          <w:highlight w:val="none"/>
        </w:rPr>
      </w:pPr>
      <w:r>
        <w:rPr>
          <w:rFonts w:hint="eastAsia" w:cs="宋体"/>
          <w:szCs w:val="20"/>
          <w:highlight w:val="none"/>
        </w:rPr>
        <w:t>详见“</w:t>
      </w:r>
      <w:r>
        <w:rPr>
          <w:rFonts w:hint="eastAsia" w:cs="宋体"/>
          <w:b/>
          <w:szCs w:val="28"/>
          <w:highlight w:val="none"/>
        </w:rPr>
        <w:t>投标人须知</w:t>
      </w:r>
      <w:r>
        <w:rPr>
          <w:rFonts w:hint="eastAsia" w:cs="宋体"/>
          <w:szCs w:val="20"/>
          <w:highlight w:val="none"/>
        </w:rPr>
        <w:t>”4.1.1款规定。</w:t>
      </w:r>
    </w:p>
    <w:p w14:paraId="2F0A8BF1">
      <w:pPr>
        <w:spacing w:line="600" w:lineRule="exact"/>
        <w:jc w:val="left"/>
        <w:rPr>
          <w:rFonts w:cs="宋体"/>
          <w:b/>
          <w:sz w:val="28"/>
          <w:szCs w:val="28"/>
          <w:highlight w:val="none"/>
        </w:rPr>
      </w:pPr>
    </w:p>
    <w:p w14:paraId="2BB6E3C4">
      <w:pPr>
        <w:spacing w:line="600" w:lineRule="exact"/>
        <w:jc w:val="left"/>
        <w:rPr>
          <w:rFonts w:cs="宋体"/>
          <w:b/>
          <w:sz w:val="28"/>
          <w:szCs w:val="28"/>
          <w:highlight w:val="none"/>
        </w:rPr>
      </w:pPr>
    </w:p>
    <w:p w14:paraId="4876B717">
      <w:pPr>
        <w:jc w:val="center"/>
        <w:outlineLvl w:val="2"/>
        <w:rPr>
          <w:rFonts w:cs="宋体"/>
          <w:b/>
          <w:bCs/>
          <w:sz w:val="28"/>
          <w:szCs w:val="36"/>
          <w:highlight w:val="none"/>
        </w:rPr>
      </w:pPr>
      <w:bookmarkStart w:id="264" w:name="_Toc139357067"/>
      <w:bookmarkStart w:id="265" w:name="_Toc172205088"/>
      <w:bookmarkStart w:id="266" w:name="_Toc171929836"/>
      <w:bookmarkStart w:id="267" w:name="_Toc175582345"/>
      <w:bookmarkStart w:id="268" w:name="_Toc125986476"/>
      <w:bookmarkStart w:id="269" w:name="_Toc125904339"/>
      <w:bookmarkStart w:id="270" w:name="_Toc3476"/>
      <w:bookmarkStart w:id="271" w:name="_Toc166067774"/>
      <w:r>
        <w:rPr>
          <w:rFonts w:hint="eastAsia" w:cs="宋体"/>
          <w:b/>
          <w:bCs/>
          <w:sz w:val="28"/>
          <w:szCs w:val="36"/>
          <w:highlight w:val="none"/>
        </w:rPr>
        <w:t>（</w:t>
      </w:r>
      <w:r>
        <w:rPr>
          <w:rFonts w:hint="eastAsia" w:cs="宋体"/>
          <w:b/>
          <w:bCs/>
          <w:sz w:val="28"/>
          <w:szCs w:val="36"/>
          <w:highlight w:val="none"/>
          <w:lang w:val="en-US" w:eastAsia="zh-CN"/>
        </w:rPr>
        <w:t>五</w:t>
      </w:r>
      <w:r>
        <w:rPr>
          <w:rFonts w:hint="eastAsia" w:cs="宋体"/>
          <w:b/>
          <w:bCs/>
          <w:sz w:val="28"/>
          <w:szCs w:val="36"/>
          <w:highlight w:val="none"/>
        </w:rPr>
        <w:t>）投标人财务状况报告</w:t>
      </w:r>
      <w:bookmarkEnd w:id="264"/>
      <w:bookmarkEnd w:id="265"/>
      <w:bookmarkEnd w:id="266"/>
      <w:bookmarkEnd w:id="267"/>
      <w:bookmarkEnd w:id="268"/>
      <w:bookmarkEnd w:id="269"/>
      <w:bookmarkEnd w:id="270"/>
      <w:bookmarkEnd w:id="271"/>
    </w:p>
    <w:p w14:paraId="1AF095ED">
      <w:pPr>
        <w:jc w:val="center"/>
        <w:rPr>
          <w:rFonts w:cs="宋体"/>
          <w:highlight w:val="none"/>
        </w:rPr>
      </w:pPr>
      <w:r>
        <w:rPr>
          <w:rFonts w:hint="eastAsia" w:cs="宋体"/>
          <w:highlight w:val="none"/>
        </w:rPr>
        <w:t>详见“</w:t>
      </w:r>
      <w:r>
        <w:rPr>
          <w:rFonts w:hint="eastAsia" w:cs="宋体"/>
          <w:b/>
          <w:szCs w:val="28"/>
          <w:highlight w:val="none"/>
        </w:rPr>
        <w:t>投标人须知前附表</w:t>
      </w:r>
      <w:r>
        <w:rPr>
          <w:rFonts w:hint="eastAsia" w:cs="宋体"/>
          <w:highlight w:val="none"/>
        </w:rPr>
        <w:t>”4.1.2款规定。</w:t>
      </w:r>
    </w:p>
    <w:p w14:paraId="268E448D">
      <w:pPr>
        <w:spacing w:line="600" w:lineRule="exact"/>
        <w:jc w:val="left"/>
        <w:rPr>
          <w:rFonts w:cs="宋体"/>
          <w:b/>
          <w:sz w:val="28"/>
          <w:szCs w:val="28"/>
          <w:highlight w:val="none"/>
        </w:rPr>
      </w:pPr>
    </w:p>
    <w:p w14:paraId="36DD87B5">
      <w:pPr>
        <w:spacing w:line="600" w:lineRule="exact"/>
        <w:jc w:val="left"/>
        <w:rPr>
          <w:rFonts w:cs="宋体"/>
          <w:b/>
          <w:sz w:val="28"/>
          <w:szCs w:val="28"/>
          <w:highlight w:val="none"/>
        </w:rPr>
      </w:pPr>
    </w:p>
    <w:p w14:paraId="69344DDB">
      <w:pPr>
        <w:jc w:val="center"/>
        <w:outlineLvl w:val="2"/>
        <w:rPr>
          <w:rFonts w:cs="宋体"/>
          <w:b/>
          <w:bCs/>
          <w:sz w:val="28"/>
          <w:szCs w:val="36"/>
          <w:highlight w:val="none"/>
        </w:rPr>
      </w:pPr>
      <w:bookmarkStart w:id="272" w:name="_Toc125904340"/>
      <w:bookmarkStart w:id="273" w:name="_Toc125986477"/>
      <w:bookmarkStart w:id="274" w:name="_Toc166067775"/>
      <w:bookmarkStart w:id="275" w:name="_Toc172205089"/>
      <w:bookmarkStart w:id="276" w:name="_Toc27999"/>
      <w:bookmarkStart w:id="277" w:name="_Toc175582346"/>
      <w:bookmarkStart w:id="278" w:name="_Toc171929837"/>
      <w:bookmarkStart w:id="279" w:name="_Toc139357068"/>
      <w:r>
        <w:rPr>
          <w:rFonts w:hint="eastAsia" w:cs="宋体"/>
          <w:b/>
          <w:bCs/>
          <w:sz w:val="28"/>
          <w:szCs w:val="36"/>
          <w:highlight w:val="none"/>
        </w:rPr>
        <w:t>（</w:t>
      </w:r>
      <w:r>
        <w:rPr>
          <w:rFonts w:hint="eastAsia" w:cs="宋体"/>
          <w:b/>
          <w:bCs/>
          <w:sz w:val="28"/>
          <w:szCs w:val="36"/>
          <w:highlight w:val="none"/>
          <w:lang w:val="en-US" w:eastAsia="zh-CN"/>
        </w:rPr>
        <w:t>六</w:t>
      </w:r>
      <w:r>
        <w:rPr>
          <w:rFonts w:hint="eastAsia" w:cs="宋体"/>
          <w:b/>
          <w:bCs/>
          <w:sz w:val="28"/>
          <w:szCs w:val="36"/>
          <w:highlight w:val="none"/>
        </w:rPr>
        <w:t>）投标人依法缴纳税收的证明材料</w:t>
      </w:r>
      <w:bookmarkEnd w:id="272"/>
      <w:bookmarkEnd w:id="273"/>
      <w:bookmarkEnd w:id="274"/>
      <w:bookmarkEnd w:id="275"/>
      <w:bookmarkEnd w:id="276"/>
      <w:bookmarkEnd w:id="277"/>
      <w:bookmarkEnd w:id="278"/>
      <w:bookmarkEnd w:id="279"/>
    </w:p>
    <w:p w14:paraId="509B1948">
      <w:pPr>
        <w:jc w:val="center"/>
        <w:rPr>
          <w:rFonts w:cs="宋体"/>
          <w:highlight w:val="none"/>
        </w:rPr>
      </w:pPr>
      <w:r>
        <w:rPr>
          <w:rFonts w:hint="eastAsia" w:cs="宋体"/>
          <w:highlight w:val="none"/>
        </w:rPr>
        <w:t>详见“</w:t>
      </w:r>
      <w:r>
        <w:rPr>
          <w:rFonts w:hint="eastAsia" w:cs="宋体"/>
          <w:b/>
          <w:szCs w:val="28"/>
          <w:highlight w:val="none"/>
        </w:rPr>
        <w:t>投标人须知前附表</w:t>
      </w:r>
      <w:r>
        <w:rPr>
          <w:rFonts w:hint="eastAsia" w:cs="宋体"/>
          <w:highlight w:val="none"/>
        </w:rPr>
        <w:t>”4.1.3款规定。</w:t>
      </w:r>
    </w:p>
    <w:p w14:paraId="5103431C">
      <w:pPr>
        <w:widowControl/>
        <w:jc w:val="left"/>
        <w:rPr>
          <w:rFonts w:cs="宋体"/>
          <w:highlight w:val="none"/>
        </w:rPr>
      </w:pPr>
    </w:p>
    <w:p w14:paraId="7D256EAB">
      <w:pPr>
        <w:widowControl/>
        <w:jc w:val="left"/>
        <w:rPr>
          <w:rFonts w:cs="宋体"/>
          <w:highlight w:val="none"/>
        </w:rPr>
      </w:pPr>
    </w:p>
    <w:p w14:paraId="3AB3B246">
      <w:pPr>
        <w:jc w:val="center"/>
        <w:outlineLvl w:val="2"/>
        <w:rPr>
          <w:rFonts w:cs="宋体"/>
          <w:b/>
          <w:bCs/>
          <w:sz w:val="28"/>
          <w:szCs w:val="36"/>
          <w:highlight w:val="none"/>
        </w:rPr>
      </w:pPr>
      <w:bookmarkStart w:id="280" w:name="_Toc139357069"/>
      <w:bookmarkStart w:id="281" w:name="_Toc171929838"/>
      <w:bookmarkStart w:id="282" w:name="_Toc125986478"/>
      <w:bookmarkStart w:id="283" w:name="_Toc125904341"/>
      <w:bookmarkStart w:id="284" w:name="_Toc175582347"/>
      <w:bookmarkStart w:id="285" w:name="_Toc166067776"/>
      <w:bookmarkStart w:id="286" w:name="_Toc172205090"/>
      <w:bookmarkStart w:id="287" w:name="_Toc7079"/>
      <w:r>
        <w:rPr>
          <w:rFonts w:hint="eastAsia" w:cs="宋体"/>
          <w:b/>
          <w:bCs/>
          <w:sz w:val="28"/>
          <w:szCs w:val="36"/>
          <w:highlight w:val="none"/>
        </w:rPr>
        <w:t>（</w:t>
      </w:r>
      <w:r>
        <w:rPr>
          <w:rFonts w:hint="eastAsia" w:cs="宋体"/>
          <w:b/>
          <w:bCs/>
          <w:sz w:val="28"/>
          <w:szCs w:val="36"/>
          <w:highlight w:val="none"/>
          <w:lang w:val="en-US" w:eastAsia="zh-CN"/>
        </w:rPr>
        <w:t>七</w:t>
      </w:r>
      <w:r>
        <w:rPr>
          <w:rFonts w:hint="eastAsia" w:cs="宋体"/>
          <w:b/>
          <w:bCs/>
          <w:sz w:val="28"/>
          <w:szCs w:val="36"/>
          <w:highlight w:val="none"/>
        </w:rPr>
        <w:t>）投标人依法缴纳社会保障资金的证明材料</w:t>
      </w:r>
      <w:bookmarkEnd w:id="280"/>
      <w:bookmarkEnd w:id="281"/>
      <w:bookmarkEnd w:id="282"/>
      <w:bookmarkEnd w:id="283"/>
      <w:bookmarkEnd w:id="284"/>
      <w:bookmarkEnd w:id="285"/>
      <w:bookmarkEnd w:id="286"/>
      <w:bookmarkEnd w:id="287"/>
    </w:p>
    <w:p w14:paraId="5D9C3250">
      <w:pPr>
        <w:jc w:val="center"/>
        <w:rPr>
          <w:rFonts w:cs="宋体"/>
          <w:highlight w:val="none"/>
        </w:rPr>
      </w:pPr>
      <w:r>
        <w:rPr>
          <w:rFonts w:hint="eastAsia" w:cs="宋体"/>
          <w:highlight w:val="none"/>
        </w:rPr>
        <w:t>详见“</w:t>
      </w:r>
      <w:r>
        <w:rPr>
          <w:rFonts w:hint="eastAsia" w:cs="宋体"/>
          <w:b/>
          <w:szCs w:val="28"/>
          <w:highlight w:val="none"/>
        </w:rPr>
        <w:t>投标人须知前附表</w:t>
      </w:r>
      <w:r>
        <w:rPr>
          <w:rFonts w:hint="eastAsia" w:cs="宋体"/>
          <w:highlight w:val="none"/>
        </w:rPr>
        <w:t>”4.1.4款规定。</w:t>
      </w:r>
    </w:p>
    <w:p w14:paraId="109F88CE">
      <w:pPr>
        <w:jc w:val="left"/>
        <w:rPr>
          <w:rFonts w:cs="宋体"/>
          <w:highlight w:val="none"/>
        </w:rPr>
      </w:pPr>
    </w:p>
    <w:p w14:paraId="0EBB7480">
      <w:pPr>
        <w:jc w:val="center"/>
        <w:outlineLvl w:val="2"/>
        <w:rPr>
          <w:rFonts w:cs="宋体"/>
          <w:b/>
          <w:bCs/>
          <w:sz w:val="28"/>
          <w:szCs w:val="36"/>
          <w:highlight w:val="none"/>
        </w:rPr>
      </w:pPr>
      <w:bookmarkStart w:id="288" w:name="_Toc125986479"/>
      <w:bookmarkStart w:id="289" w:name="_Toc13759"/>
      <w:bookmarkStart w:id="290" w:name="_Toc139357070"/>
      <w:bookmarkStart w:id="291" w:name="_Toc172205091"/>
      <w:bookmarkStart w:id="292" w:name="_Toc171929839"/>
      <w:bookmarkStart w:id="293" w:name="_Toc166067777"/>
      <w:bookmarkStart w:id="294" w:name="_Toc175582348"/>
      <w:bookmarkStart w:id="295" w:name="_Toc125904342"/>
      <w:r>
        <w:rPr>
          <w:rFonts w:hint="eastAsia" w:cs="宋体"/>
          <w:b/>
          <w:bCs/>
          <w:sz w:val="28"/>
          <w:szCs w:val="36"/>
          <w:highlight w:val="none"/>
        </w:rPr>
        <w:t>（</w:t>
      </w:r>
      <w:r>
        <w:rPr>
          <w:rFonts w:hint="eastAsia" w:cs="宋体"/>
          <w:b/>
          <w:bCs/>
          <w:sz w:val="28"/>
          <w:szCs w:val="36"/>
          <w:highlight w:val="none"/>
          <w:lang w:val="en-US" w:eastAsia="zh-CN"/>
        </w:rPr>
        <w:t>八</w:t>
      </w:r>
      <w:r>
        <w:rPr>
          <w:rFonts w:hint="eastAsia" w:cs="宋体"/>
          <w:b/>
          <w:bCs/>
          <w:sz w:val="28"/>
          <w:szCs w:val="36"/>
          <w:highlight w:val="none"/>
        </w:rPr>
        <w:t>）投标人须提供具备履行合同所必需的设备和专业技术能力的证明材料</w:t>
      </w:r>
      <w:bookmarkEnd w:id="288"/>
      <w:bookmarkEnd w:id="289"/>
      <w:bookmarkEnd w:id="290"/>
      <w:bookmarkEnd w:id="291"/>
      <w:bookmarkEnd w:id="292"/>
      <w:bookmarkEnd w:id="293"/>
      <w:bookmarkEnd w:id="294"/>
      <w:bookmarkEnd w:id="295"/>
    </w:p>
    <w:p w14:paraId="5EA0577A">
      <w:pPr>
        <w:jc w:val="center"/>
        <w:rPr>
          <w:rFonts w:cs="宋体"/>
          <w:highlight w:val="none"/>
        </w:rPr>
      </w:pPr>
      <w:r>
        <w:rPr>
          <w:rFonts w:hint="eastAsia" w:cs="宋体"/>
          <w:highlight w:val="none"/>
        </w:rPr>
        <w:t>（提供承诺书，内容自拟）</w:t>
      </w:r>
    </w:p>
    <w:p w14:paraId="6577A457">
      <w:pPr>
        <w:widowControl/>
        <w:jc w:val="left"/>
        <w:rPr>
          <w:rFonts w:cs="宋体"/>
          <w:b/>
          <w:bCs/>
          <w:sz w:val="32"/>
          <w:szCs w:val="40"/>
          <w:highlight w:val="none"/>
        </w:rPr>
      </w:pPr>
      <w:r>
        <w:rPr>
          <w:rFonts w:hint="eastAsia" w:cs="宋体"/>
          <w:b/>
          <w:bCs/>
          <w:sz w:val="32"/>
          <w:szCs w:val="40"/>
          <w:highlight w:val="none"/>
        </w:rPr>
        <w:br w:type="page"/>
      </w:r>
    </w:p>
    <w:p w14:paraId="64074DCB">
      <w:pPr>
        <w:jc w:val="center"/>
        <w:outlineLvl w:val="2"/>
        <w:rPr>
          <w:rFonts w:cs="宋体"/>
          <w:b/>
          <w:bCs/>
          <w:sz w:val="28"/>
          <w:szCs w:val="36"/>
          <w:highlight w:val="none"/>
        </w:rPr>
      </w:pPr>
      <w:bookmarkStart w:id="296" w:name="_Toc125904343"/>
      <w:bookmarkStart w:id="297" w:name="_Toc139357071"/>
      <w:bookmarkStart w:id="298" w:name="_Toc166067778"/>
      <w:bookmarkStart w:id="299" w:name="_Toc125986480"/>
      <w:bookmarkStart w:id="300" w:name="_Toc172205092"/>
      <w:bookmarkStart w:id="301" w:name="_Toc175582349"/>
      <w:bookmarkStart w:id="302" w:name="_Toc3801"/>
      <w:bookmarkStart w:id="303" w:name="_Toc171929840"/>
      <w:r>
        <w:rPr>
          <w:rFonts w:hint="eastAsia" w:cs="宋体"/>
          <w:b/>
          <w:bCs/>
          <w:sz w:val="28"/>
          <w:szCs w:val="36"/>
          <w:highlight w:val="none"/>
        </w:rPr>
        <w:t>（</w:t>
      </w:r>
      <w:r>
        <w:rPr>
          <w:rFonts w:hint="eastAsia" w:cs="宋体"/>
          <w:b/>
          <w:bCs/>
          <w:sz w:val="28"/>
          <w:szCs w:val="36"/>
          <w:highlight w:val="none"/>
          <w:lang w:val="en-US" w:eastAsia="zh-CN"/>
        </w:rPr>
        <w:t>九</w:t>
      </w:r>
      <w:r>
        <w:rPr>
          <w:rFonts w:hint="eastAsia" w:cs="宋体"/>
          <w:b/>
          <w:bCs/>
          <w:sz w:val="28"/>
          <w:szCs w:val="36"/>
          <w:highlight w:val="none"/>
        </w:rPr>
        <w:t>）投标人须提供参加政府采购活动前3年内在经营活动中没有重大违法记录的书面声明</w:t>
      </w:r>
      <w:bookmarkEnd w:id="296"/>
      <w:bookmarkEnd w:id="297"/>
      <w:bookmarkEnd w:id="298"/>
      <w:bookmarkEnd w:id="299"/>
      <w:bookmarkEnd w:id="300"/>
      <w:bookmarkEnd w:id="301"/>
      <w:bookmarkEnd w:id="302"/>
      <w:bookmarkEnd w:id="303"/>
    </w:p>
    <w:p w14:paraId="77319EE3">
      <w:pPr>
        <w:jc w:val="center"/>
        <w:rPr>
          <w:rFonts w:cs="宋体"/>
          <w:highlight w:val="none"/>
        </w:rPr>
      </w:pPr>
      <w:r>
        <w:rPr>
          <w:rFonts w:hint="eastAsia" w:cs="宋体"/>
          <w:highlight w:val="none"/>
        </w:rPr>
        <w:t>（提供书面声明，内容自拟）</w:t>
      </w:r>
    </w:p>
    <w:p w14:paraId="41EDD1B3">
      <w:pPr>
        <w:jc w:val="left"/>
        <w:rPr>
          <w:rFonts w:cs="宋体"/>
          <w:highlight w:val="none"/>
        </w:rPr>
      </w:pPr>
    </w:p>
    <w:p w14:paraId="0837B5B2">
      <w:pPr>
        <w:jc w:val="left"/>
        <w:rPr>
          <w:rFonts w:cs="宋体"/>
          <w:highlight w:val="none"/>
        </w:rPr>
      </w:pPr>
    </w:p>
    <w:p w14:paraId="2544BAE6">
      <w:pPr>
        <w:jc w:val="left"/>
        <w:rPr>
          <w:rFonts w:cs="宋体"/>
          <w:b/>
          <w:bCs/>
          <w:szCs w:val="21"/>
          <w:highlight w:val="none"/>
        </w:rPr>
      </w:pPr>
      <w:r>
        <w:rPr>
          <w:rFonts w:hint="eastAsia" w:cs="宋体"/>
          <w:b/>
          <w:bCs/>
          <w:szCs w:val="21"/>
          <w:highlight w:val="none"/>
        </w:rPr>
        <w:t>注：重大违法记录，是指投标人因违法经营受到刑事处罚或者责令停产停业、吊销许可证或者执照、较大数额罚款等行政处罚。</w:t>
      </w:r>
    </w:p>
    <w:p w14:paraId="1E85F401">
      <w:pPr>
        <w:jc w:val="left"/>
        <w:rPr>
          <w:rFonts w:cs="宋体"/>
          <w:sz w:val="24"/>
          <w:highlight w:val="none"/>
        </w:rPr>
      </w:pPr>
      <w:r>
        <w:rPr>
          <w:rFonts w:hint="eastAsia" w:cs="宋体"/>
          <w:sz w:val="24"/>
          <w:highlight w:val="none"/>
        </w:rPr>
        <w:br w:type="page"/>
      </w:r>
    </w:p>
    <w:p w14:paraId="27F39813">
      <w:pPr>
        <w:tabs>
          <w:tab w:val="left" w:pos="3828"/>
        </w:tabs>
        <w:jc w:val="center"/>
        <w:outlineLvl w:val="2"/>
        <w:rPr>
          <w:rFonts w:cs="宋体"/>
          <w:b/>
          <w:bCs/>
          <w:sz w:val="28"/>
          <w:szCs w:val="36"/>
          <w:highlight w:val="none"/>
        </w:rPr>
      </w:pPr>
      <w:bookmarkStart w:id="304" w:name="_Toc13783"/>
      <w:bookmarkStart w:id="305" w:name="_Toc2779"/>
      <w:bookmarkStart w:id="306" w:name="_Toc175582350"/>
      <w:bookmarkStart w:id="307" w:name="_Toc172205093"/>
      <w:bookmarkStart w:id="308" w:name="_Toc125904344"/>
      <w:bookmarkStart w:id="309" w:name="_Toc139357072"/>
      <w:bookmarkStart w:id="310" w:name="_Toc166067779"/>
      <w:bookmarkStart w:id="311" w:name="_Toc171929841"/>
      <w:bookmarkStart w:id="312" w:name="_Toc125986481"/>
      <w:r>
        <w:rPr>
          <w:rFonts w:hint="eastAsia" w:cs="宋体"/>
          <w:b/>
          <w:bCs/>
          <w:sz w:val="28"/>
          <w:szCs w:val="36"/>
          <w:highlight w:val="none"/>
        </w:rPr>
        <w:t>（十）其他资格证明文件</w:t>
      </w:r>
      <w:bookmarkEnd w:id="304"/>
      <w:bookmarkEnd w:id="305"/>
      <w:bookmarkEnd w:id="306"/>
      <w:bookmarkEnd w:id="307"/>
      <w:bookmarkEnd w:id="308"/>
      <w:bookmarkEnd w:id="309"/>
      <w:bookmarkEnd w:id="310"/>
      <w:bookmarkEnd w:id="311"/>
      <w:bookmarkEnd w:id="312"/>
    </w:p>
    <w:p w14:paraId="710E4E0D">
      <w:pPr>
        <w:widowControl/>
        <w:ind w:firstLine="420" w:firstLineChars="200"/>
        <w:jc w:val="left"/>
        <w:rPr>
          <w:rFonts w:cs="宋体"/>
          <w:szCs w:val="21"/>
          <w:highlight w:val="none"/>
        </w:rPr>
      </w:pPr>
      <w:r>
        <w:rPr>
          <w:rFonts w:hint="eastAsia" w:cs="宋体"/>
          <w:szCs w:val="21"/>
          <w:highlight w:val="none"/>
        </w:rPr>
        <w:t>招标文件第一章“投标人资格要求”中要求提供的其他资格证明文件，包含但不限于以下资料：</w:t>
      </w:r>
    </w:p>
    <w:p w14:paraId="28615D4F">
      <w:pPr>
        <w:snapToGrid w:val="0"/>
        <w:spacing w:line="440" w:lineRule="exact"/>
        <w:ind w:firstLine="420" w:firstLineChars="200"/>
        <w:rPr>
          <w:rFonts w:cs="宋体"/>
          <w:szCs w:val="21"/>
          <w:highlight w:val="none"/>
        </w:rPr>
      </w:pPr>
      <w:r>
        <w:rPr>
          <w:rFonts w:hint="eastAsia" w:cs="宋体"/>
          <w:szCs w:val="21"/>
          <w:highlight w:val="none"/>
        </w:rPr>
        <w:t>1、投标人必须具备有效的《印刷经营许可证》。</w:t>
      </w:r>
    </w:p>
    <w:p w14:paraId="0E6A8D34">
      <w:pPr>
        <w:rPr>
          <w:rFonts w:hint="eastAsia" w:cs="宋体"/>
          <w:szCs w:val="21"/>
          <w:highlight w:val="none"/>
        </w:rPr>
      </w:pPr>
      <w:r>
        <w:rPr>
          <w:rFonts w:hint="eastAsia" w:cs="宋体"/>
          <w:szCs w:val="21"/>
          <w:highlight w:val="none"/>
        </w:rPr>
        <w:br w:type="page"/>
      </w:r>
    </w:p>
    <w:p w14:paraId="64F27419">
      <w:pPr>
        <w:snapToGrid w:val="0"/>
        <w:spacing w:line="440" w:lineRule="exact"/>
        <w:ind w:firstLine="420" w:firstLineChars="200"/>
        <w:rPr>
          <w:rFonts w:cs="宋体"/>
          <w:b/>
          <w:bCs/>
          <w:szCs w:val="21"/>
          <w:highlight w:val="none"/>
        </w:rPr>
      </w:pPr>
      <w:r>
        <w:rPr>
          <w:rFonts w:hint="eastAsia" w:cs="宋体"/>
          <w:szCs w:val="21"/>
          <w:highlight w:val="none"/>
        </w:rPr>
        <w:t>2、单位负责人为同一人或者存在直接控股、管理关系的不同投标人，不得参加同一合同项下的政府采购活动。（提供承诺书，</w:t>
      </w:r>
      <w:r>
        <w:rPr>
          <w:rFonts w:hint="eastAsia" w:cs="宋体"/>
          <w:color w:val="000000" w:themeColor="text1"/>
          <w:highlight w:val="none"/>
          <w14:textFill>
            <w14:solidFill>
              <w14:schemeClr w14:val="tx1"/>
            </w14:solidFill>
          </w14:textFill>
        </w:rPr>
        <w:t>内容自拟</w:t>
      </w:r>
      <w:r>
        <w:rPr>
          <w:rFonts w:hint="eastAsia" w:cs="宋体"/>
          <w:szCs w:val="21"/>
          <w:highlight w:val="none"/>
        </w:rPr>
        <w:t>）</w:t>
      </w:r>
    </w:p>
    <w:p w14:paraId="29EE9E79">
      <w:pPr>
        <w:rPr>
          <w:rFonts w:hint="eastAsia" w:cs="宋体"/>
          <w:szCs w:val="21"/>
          <w:highlight w:val="none"/>
        </w:rPr>
      </w:pPr>
      <w:r>
        <w:rPr>
          <w:rFonts w:hint="eastAsia" w:cs="宋体"/>
          <w:szCs w:val="21"/>
          <w:highlight w:val="none"/>
        </w:rPr>
        <w:br w:type="page"/>
      </w:r>
    </w:p>
    <w:p w14:paraId="6DF1E7C7">
      <w:pPr>
        <w:snapToGrid w:val="0"/>
        <w:spacing w:line="440" w:lineRule="exact"/>
        <w:ind w:firstLine="420" w:firstLineChars="200"/>
        <w:rPr>
          <w:rFonts w:cs="宋体"/>
          <w:b/>
          <w:bCs/>
          <w:szCs w:val="21"/>
          <w:highlight w:val="none"/>
        </w:rPr>
      </w:pPr>
      <w:r>
        <w:rPr>
          <w:rFonts w:hint="eastAsia" w:cs="宋体"/>
          <w:szCs w:val="21"/>
          <w:highlight w:val="none"/>
        </w:rPr>
        <w:t>3、投标人未被列入“信用中国”网站（www.creditchina.gov.cn）失信被执行人、</w:t>
      </w:r>
      <w:r>
        <w:rPr>
          <w:rFonts w:hint="eastAsia" w:cs="宋体"/>
          <w:bCs/>
          <w:kern w:val="0"/>
          <w:szCs w:val="21"/>
          <w:highlight w:val="none"/>
        </w:rPr>
        <w:t>重大税收违法失信主体</w:t>
      </w:r>
      <w:r>
        <w:rPr>
          <w:rFonts w:hint="eastAsia" w:cs="宋体"/>
          <w:szCs w:val="21"/>
          <w:highlight w:val="none"/>
        </w:rPr>
        <w:t>、政府采购严重违法失信行为记录名单，及未被列入中国政府采购网（www.ccgp.gov.cn）“政府采购严重违法失信行为信息记录”（以开标当天工作人员对上述信用信息进行查询核对的结果为准）。</w:t>
      </w:r>
    </w:p>
    <w:p w14:paraId="4558469E">
      <w:pPr>
        <w:rPr>
          <w:rFonts w:hint="eastAsia" w:cs="宋体"/>
          <w:szCs w:val="21"/>
          <w:highlight w:val="none"/>
        </w:rPr>
      </w:pPr>
      <w:r>
        <w:rPr>
          <w:rFonts w:hint="eastAsia" w:cs="宋体"/>
          <w:szCs w:val="21"/>
          <w:highlight w:val="none"/>
        </w:rPr>
        <w:br w:type="page"/>
      </w:r>
    </w:p>
    <w:p w14:paraId="48701309">
      <w:pPr>
        <w:snapToGrid w:val="0"/>
        <w:spacing w:line="440" w:lineRule="exact"/>
        <w:ind w:firstLine="420" w:firstLineChars="200"/>
        <w:rPr>
          <w:rFonts w:cs="宋体"/>
          <w:szCs w:val="21"/>
          <w:highlight w:val="none"/>
        </w:rPr>
      </w:pPr>
      <w:r>
        <w:rPr>
          <w:rFonts w:hint="eastAsia" w:cs="宋体"/>
          <w:szCs w:val="21"/>
          <w:highlight w:val="none"/>
        </w:rPr>
        <w:t>4、‌本项目不接受联合体投标。（提供承诺书，</w:t>
      </w:r>
      <w:r>
        <w:rPr>
          <w:rFonts w:hint="eastAsia" w:cs="宋体"/>
          <w:color w:val="000000" w:themeColor="text1"/>
          <w:highlight w:val="none"/>
          <w14:textFill>
            <w14:solidFill>
              <w14:schemeClr w14:val="tx1"/>
            </w14:solidFill>
          </w14:textFill>
        </w:rPr>
        <w:t>内容自拟</w:t>
      </w:r>
      <w:r>
        <w:rPr>
          <w:rFonts w:hint="eastAsia" w:cs="宋体"/>
          <w:szCs w:val="21"/>
          <w:highlight w:val="none"/>
        </w:rPr>
        <w:t>）</w:t>
      </w:r>
    </w:p>
    <w:p w14:paraId="6B1FFFFB">
      <w:pPr>
        <w:rPr>
          <w:rFonts w:hint="eastAsia" w:cs="宋体"/>
          <w:szCs w:val="21"/>
          <w:highlight w:val="none"/>
        </w:rPr>
      </w:pPr>
      <w:r>
        <w:rPr>
          <w:rFonts w:hint="eastAsia" w:cs="宋体"/>
          <w:szCs w:val="21"/>
          <w:highlight w:val="none"/>
        </w:rPr>
        <w:br w:type="page"/>
      </w:r>
    </w:p>
    <w:p w14:paraId="71A3C86D">
      <w:pPr>
        <w:snapToGrid w:val="0"/>
        <w:spacing w:line="440" w:lineRule="exact"/>
        <w:ind w:firstLine="420" w:firstLineChars="200"/>
        <w:rPr>
          <w:rFonts w:cs="宋体"/>
          <w:szCs w:val="21"/>
          <w:highlight w:val="none"/>
        </w:rPr>
      </w:pPr>
      <w:r>
        <w:rPr>
          <w:rFonts w:hint="eastAsia" w:cs="宋体"/>
          <w:szCs w:val="21"/>
          <w:highlight w:val="none"/>
        </w:rPr>
        <w:t>5、其它</w:t>
      </w:r>
      <w:r>
        <w:rPr>
          <w:rFonts w:hint="eastAsia" w:cs="宋体"/>
          <w:szCs w:val="21"/>
          <w:highlight w:val="none"/>
          <w:lang w:eastAsia="zh-CN"/>
        </w:rPr>
        <w:t>（</w:t>
      </w:r>
      <w:r>
        <w:rPr>
          <w:rFonts w:hint="eastAsia" w:cs="宋体"/>
          <w:szCs w:val="21"/>
          <w:highlight w:val="none"/>
          <w:lang w:val="en-US" w:eastAsia="zh-CN"/>
        </w:rPr>
        <w:t>如有</w:t>
      </w:r>
      <w:r>
        <w:rPr>
          <w:rFonts w:hint="eastAsia" w:cs="宋体"/>
          <w:szCs w:val="21"/>
          <w:highlight w:val="none"/>
          <w:lang w:eastAsia="zh-CN"/>
        </w:rPr>
        <w:t>）</w:t>
      </w:r>
      <w:r>
        <w:rPr>
          <w:rFonts w:hint="eastAsia" w:cs="宋体"/>
          <w:szCs w:val="21"/>
          <w:highlight w:val="none"/>
        </w:rPr>
        <w:t>。</w:t>
      </w:r>
    </w:p>
    <w:p w14:paraId="02DC5C18">
      <w:pPr>
        <w:widowControl/>
        <w:jc w:val="left"/>
        <w:rPr>
          <w:rFonts w:cs="宋体"/>
          <w:szCs w:val="21"/>
          <w:highlight w:val="none"/>
        </w:rPr>
      </w:pPr>
      <w:r>
        <w:rPr>
          <w:rFonts w:hint="eastAsia" w:cs="宋体"/>
          <w:szCs w:val="21"/>
          <w:highlight w:val="none"/>
        </w:rPr>
        <w:br w:type="page"/>
      </w:r>
    </w:p>
    <w:bookmarkEnd w:id="209"/>
    <w:bookmarkEnd w:id="210"/>
    <w:bookmarkEnd w:id="211"/>
    <w:bookmarkEnd w:id="215"/>
    <w:bookmarkEnd w:id="216"/>
    <w:bookmarkEnd w:id="217"/>
    <w:bookmarkEnd w:id="218"/>
    <w:p w14:paraId="71A07102">
      <w:pPr>
        <w:jc w:val="center"/>
        <w:outlineLvl w:val="1"/>
        <w:rPr>
          <w:rFonts w:cs="宋体"/>
          <w:b/>
          <w:bCs/>
          <w:sz w:val="32"/>
          <w:szCs w:val="21"/>
          <w:highlight w:val="none"/>
        </w:rPr>
      </w:pPr>
      <w:bookmarkStart w:id="313" w:name="_Toc18585"/>
      <w:bookmarkStart w:id="314" w:name="_Toc2352"/>
      <w:bookmarkStart w:id="315" w:name="_Toc26281"/>
      <w:bookmarkStart w:id="316" w:name="_Toc22319"/>
      <w:bookmarkStart w:id="317" w:name="_Toc496521008"/>
      <w:bookmarkStart w:id="318" w:name="_Toc496520998"/>
      <w:bookmarkStart w:id="319" w:name="_Toc327190555"/>
      <w:bookmarkStart w:id="320" w:name="_Toc17994"/>
      <w:bookmarkStart w:id="321" w:name="_Toc4728"/>
      <w:r>
        <w:rPr>
          <w:rFonts w:hint="eastAsia" w:cs="宋体"/>
          <w:b/>
          <w:bCs/>
          <w:sz w:val="32"/>
          <w:szCs w:val="21"/>
          <w:highlight w:val="none"/>
        </w:rPr>
        <w:t>三、商务部分</w:t>
      </w:r>
      <w:bookmarkEnd w:id="313"/>
      <w:bookmarkEnd w:id="314"/>
    </w:p>
    <w:p w14:paraId="76D21B33">
      <w:pPr>
        <w:jc w:val="center"/>
        <w:outlineLvl w:val="2"/>
        <w:rPr>
          <w:rFonts w:cs="宋体"/>
          <w:b/>
          <w:bCs/>
          <w:sz w:val="28"/>
          <w:szCs w:val="36"/>
          <w:highlight w:val="none"/>
        </w:rPr>
      </w:pPr>
      <w:bookmarkStart w:id="322" w:name="_Toc166067781"/>
      <w:bookmarkStart w:id="323" w:name="_Toc125986488"/>
      <w:bookmarkStart w:id="324" w:name="_Toc172205095"/>
      <w:bookmarkStart w:id="325" w:name="_Toc139357079"/>
      <w:bookmarkStart w:id="326" w:name="_Toc1398"/>
      <w:bookmarkStart w:id="327" w:name="_Toc496520999"/>
      <w:bookmarkStart w:id="328" w:name="_Toc125904352"/>
      <w:bookmarkStart w:id="329" w:name="_Toc25342"/>
      <w:bookmarkStart w:id="330" w:name="_Toc175582352"/>
      <w:bookmarkStart w:id="331" w:name="_Toc171929843"/>
      <w:bookmarkStart w:id="332" w:name="_Toc493600031"/>
      <w:bookmarkStart w:id="333" w:name="_Toc487"/>
      <w:r>
        <w:rPr>
          <w:rFonts w:hint="eastAsia" w:cs="宋体"/>
          <w:b/>
          <w:sz w:val="30"/>
          <w:szCs w:val="30"/>
          <w:highlight w:val="none"/>
        </w:rPr>
        <w:t>★</w:t>
      </w:r>
      <w:r>
        <w:rPr>
          <w:rFonts w:hint="eastAsia" w:cs="宋体"/>
          <w:b/>
          <w:bCs/>
          <w:sz w:val="28"/>
          <w:szCs w:val="36"/>
          <w:highlight w:val="none"/>
        </w:rPr>
        <w:t>（一）投 标 函</w:t>
      </w:r>
      <w:bookmarkEnd w:id="322"/>
      <w:bookmarkEnd w:id="323"/>
      <w:bookmarkEnd w:id="324"/>
      <w:bookmarkEnd w:id="325"/>
      <w:bookmarkEnd w:id="326"/>
      <w:bookmarkEnd w:id="327"/>
      <w:bookmarkEnd w:id="328"/>
      <w:bookmarkEnd w:id="329"/>
      <w:bookmarkEnd w:id="330"/>
      <w:bookmarkEnd w:id="331"/>
      <w:bookmarkEnd w:id="332"/>
      <w:bookmarkEnd w:id="333"/>
    </w:p>
    <w:p w14:paraId="2F5FF5E2">
      <w:pPr>
        <w:pStyle w:val="45"/>
        <w:rPr>
          <w:rFonts w:cs="宋体"/>
          <w:szCs w:val="21"/>
          <w:highlight w:val="none"/>
        </w:rPr>
      </w:pPr>
      <w:r>
        <w:rPr>
          <w:rFonts w:hint="eastAsia" w:cs="宋体"/>
          <w:szCs w:val="21"/>
          <w:highlight w:val="none"/>
        </w:rPr>
        <w:t>致：</w:t>
      </w:r>
      <w:r>
        <w:rPr>
          <w:rFonts w:hint="eastAsia" w:cs="宋体"/>
          <w:szCs w:val="21"/>
          <w:highlight w:val="none"/>
          <w:u w:val="single"/>
        </w:rPr>
        <w:t xml:space="preserve">  （采购人名称）  </w:t>
      </w:r>
    </w:p>
    <w:p w14:paraId="6BED9F24">
      <w:pPr>
        <w:pStyle w:val="45"/>
        <w:ind w:firstLine="482"/>
        <w:rPr>
          <w:rFonts w:cs="宋体"/>
          <w:szCs w:val="21"/>
          <w:highlight w:val="none"/>
        </w:rPr>
      </w:pPr>
      <w:r>
        <w:rPr>
          <w:rFonts w:hint="eastAsia" w:cs="宋体"/>
          <w:szCs w:val="21"/>
          <w:highlight w:val="none"/>
        </w:rPr>
        <w:t>我方仔细研究了</w:t>
      </w:r>
      <w:r>
        <w:rPr>
          <w:rFonts w:hint="eastAsia" w:cs="宋体"/>
          <w:szCs w:val="21"/>
          <w:highlight w:val="none"/>
          <w:u w:val="single"/>
        </w:rPr>
        <w:t xml:space="preserve">（项目名称）        </w:t>
      </w:r>
      <w:r>
        <w:rPr>
          <w:rFonts w:hint="eastAsia" w:cs="宋体"/>
          <w:szCs w:val="21"/>
          <w:highlight w:val="none"/>
        </w:rPr>
        <w:t>（</w:t>
      </w:r>
      <w:r>
        <w:rPr>
          <w:rFonts w:hint="eastAsia" w:cs="宋体"/>
          <w:szCs w:val="21"/>
          <w:highlight w:val="none"/>
          <w:lang w:val="en-US" w:eastAsia="zh-CN"/>
        </w:rPr>
        <w:t>项目</w:t>
      </w:r>
      <w:r>
        <w:rPr>
          <w:rFonts w:hint="eastAsia" w:cs="宋体"/>
          <w:szCs w:val="21"/>
          <w:highlight w:val="none"/>
        </w:rPr>
        <w:t>编号：</w:t>
      </w:r>
      <w:r>
        <w:rPr>
          <w:rFonts w:hint="eastAsia" w:cs="宋体"/>
          <w:szCs w:val="21"/>
          <w:highlight w:val="none"/>
          <w:u w:val="single"/>
        </w:rPr>
        <w:t xml:space="preserve">        </w:t>
      </w:r>
      <w:r>
        <w:rPr>
          <w:rFonts w:hint="eastAsia" w:cs="宋体"/>
          <w:szCs w:val="21"/>
          <w:highlight w:val="none"/>
        </w:rPr>
        <w:t>）项目招标文件的全部内容，正式授权下述签字人</w:t>
      </w:r>
      <w:r>
        <w:rPr>
          <w:rFonts w:hint="eastAsia" w:cs="宋体"/>
          <w:szCs w:val="21"/>
          <w:highlight w:val="none"/>
          <w:u w:val="single"/>
        </w:rPr>
        <w:t xml:space="preserve">   （姓名和职务）     </w:t>
      </w:r>
      <w:r>
        <w:rPr>
          <w:rFonts w:hint="eastAsia" w:cs="宋体"/>
          <w:szCs w:val="21"/>
          <w:highlight w:val="none"/>
        </w:rPr>
        <w:t>全权代表投标人</w:t>
      </w:r>
      <w:r>
        <w:rPr>
          <w:rFonts w:hint="eastAsia" w:cs="宋体"/>
          <w:szCs w:val="21"/>
          <w:highlight w:val="none"/>
          <w:u w:val="single"/>
        </w:rPr>
        <w:t xml:space="preserve">  （投标人全称）   </w:t>
      </w:r>
      <w:r>
        <w:rPr>
          <w:rFonts w:hint="eastAsia" w:cs="宋体"/>
          <w:szCs w:val="21"/>
          <w:highlight w:val="none"/>
        </w:rPr>
        <w:t>参加投标，并提交电子投标文件。</w:t>
      </w:r>
    </w:p>
    <w:p w14:paraId="4D767ABC">
      <w:pPr>
        <w:pStyle w:val="45"/>
        <w:ind w:firstLine="420"/>
        <w:rPr>
          <w:rFonts w:cs="宋体"/>
          <w:szCs w:val="21"/>
          <w:highlight w:val="none"/>
        </w:rPr>
      </w:pPr>
      <w:r>
        <w:rPr>
          <w:rFonts w:hint="eastAsia" w:cs="宋体"/>
          <w:szCs w:val="21"/>
          <w:highlight w:val="none"/>
        </w:rPr>
        <w:t>据此函，签字人兹宣布同意如下：</w:t>
      </w:r>
    </w:p>
    <w:p w14:paraId="0998A5A9">
      <w:pPr>
        <w:pStyle w:val="45"/>
        <w:ind w:firstLine="420" w:firstLineChars="200"/>
        <w:rPr>
          <w:rFonts w:hint="eastAsia" w:eastAsia="宋体" w:cs="宋体"/>
          <w:b/>
          <w:bCs/>
          <w:szCs w:val="21"/>
          <w:highlight w:val="none"/>
          <w:lang w:eastAsia="zh-CN"/>
        </w:rPr>
      </w:pPr>
      <w:r>
        <w:rPr>
          <w:rFonts w:hint="eastAsia" w:cs="宋体"/>
          <w:b/>
          <w:bCs/>
          <w:szCs w:val="21"/>
          <w:highlight w:val="none"/>
        </w:rPr>
        <w:t>1、</w:t>
      </w:r>
      <w:r>
        <w:rPr>
          <w:rFonts w:hint="eastAsia" w:cs="宋体"/>
          <w:szCs w:val="21"/>
          <w:highlight w:val="none"/>
        </w:rPr>
        <w:t>按招标文件</w:t>
      </w:r>
      <w:r>
        <w:rPr>
          <w:rFonts w:hint="eastAsia" w:cs="宋体"/>
          <w:bCs/>
          <w:szCs w:val="21"/>
          <w:highlight w:val="none"/>
        </w:rPr>
        <w:t>第五章《采购需求》</w:t>
      </w:r>
      <w:r>
        <w:rPr>
          <w:rFonts w:hint="eastAsia" w:cs="宋体"/>
          <w:szCs w:val="21"/>
          <w:highlight w:val="none"/>
        </w:rPr>
        <w:t>，</w:t>
      </w:r>
      <w:r>
        <w:rPr>
          <w:rFonts w:hint="eastAsia" w:cs="宋体"/>
          <w:b/>
          <w:szCs w:val="21"/>
          <w:highlight w:val="none"/>
        </w:rPr>
        <w:t>投标报价（</w:t>
      </w:r>
      <w:r>
        <w:rPr>
          <w:rFonts w:hint="eastAsia" w:cs="宋体"/>
          <w:b/>
          <w:bCs/>
          <w:szCs w:val="21"/>
          <w:highlight w:val="none"/>
        </w:rPr>
        <w:t>单价报价合计</w:t>
      </w:r>
      <w:r>
        <w:rPr>
          <w:rFonts w:hint="eastAsia" w:cs="宋体"/>
          <w:b/>
          <w:szCs w:val="21"/>
          <w:highlight w:val="none"/>
        </w:rPr>
        <w:t>）</w:t>
      </w:r>
      <w:r>
        <w:rPr>
          <w:rFonts w:hint="eastAsia" w:cs="宋体"/>
          <w:b/>
          <w:bCs/>
          <w:szCs w:val="21"/>
          <w:highlight w:val="none"/>
        </w:rPr>
        <w:t>：</w:t>
      </w:r>
      <w:r>
        <w:rPr>
          <w:rFonts w:hint="eastAsia" w:cs="宋体"/>
          <w:b/>
          <w:bCs/>
          <w:szCs w:val="21"/>
          <w:highlight w:val="none"/>
          <w:u w:val="single"/>
        </w:rPr>
        <w:t xml:space="preserve">        </w:t>
      </w:r>
      <w:r>
        <w:rPr>
          <w:rFonts w:hint="eastAsia" w:cs="宋体"/>
          <w:b/>
          <w:bCs/>
          <w:szCs w:val="21"/>
          <w:highlight w:val="none"/>
        </w:rPr>
        <w:t>元</w:t>
      </w:r>
      <w:r>
        <w:rPr>
          <w:rFonts w:hint="eastAsia" w:cs="宋体"/>
          <w:b/>
          <w:bCs/>
          <w:szCs w:val="21"/>
          <w:highlight w:val="none"/>
          <w:lang w:eastAsia="zh-CN"/>
        </w:rPr>
        <w:t>。</w:t>
      </w:r>
    </w:p>
    <w:p w14:paraId="182C4E2F">
      <w:pPr>
        <w:pStyle w:val="45"/>
        <w:ind w:firstLine="420"/>
        <w:rPr>
          <w:rFonts w:cs="宋体"/>
          <w:spacing w:val="-10"/>
          <w:szCs w:val="21"/>
          <w:highlight w:val="none"/>
        </w:rPr>
      </w:pPr>
      <w:r>
        <w:rPr>
          <w:rFonts w:hint="eastAsia" w:cs="宋体"/>
          <w:b/>
          <w:bCs/>
          <w:szCs w:val="21"/>
          <w:highlight w:val="none"/>
        </w:rPr>
        <w:t>2、</w:t>
      </w:r>
      <w:r>
        <w:rPr>
          <w:rFonts w:hint="eastAsia" w:cs="宋体"/>
          <w:spacing w:val="-10"/>
          <w:szCs w:val="21"/>
          <w:highlight w:val="none"/>
        </w:rPr>
        <w:t>我方已详细审查全部招标文件，包括</w:t>
      </w:r>
      <w:r>
        <w:rPr>
          <w:rFonts w:hint="eastAsia" w:cs="宋体"/>
          <w:spacing w:val="-10"/>
          <w:szCs w:val="21"/>
          <w:highlight w:val="none"/>
          <w:u w:val="single"/>
        </w:rPr>
        <w:t>（澄清文件）(如果有的话)</w:t>
      </w:r>
      <w:r>
        <w:rPr>
          <w:rFonts w:hint="eastAsia" w:cs="宋体"/>
          <w:spacing w:val="-10"/>
          <w:szCs w:val="21"/>
          <w:highlight w:val="none"/>
        </w:rPr>
        <w:t>。我方完全理解相关文件要求，并承担对这方面有不明及误解的后果。</w:t>
      </w:r>
    </w:p>
    <w:p w14:paraId="29AC4A8F">
      <w:pPr>
        <w:pStyle w:val="45"/>
        <w:ind w:firstLine="420"/>
        <w:rPr>
          <w:rFonts w:cs="宋体"/>
          <w:szCs w:val="21"/>
          <w:highlight w:val="none"/>
        </w:rPr>
      </w:pPr>
      <w:r>
        <w:rPr>
          <w:rFonts w:hint="eastAsia" w:cs="宋体"/>
          <w:b/>
          <w:bCs/>
          <w:szCs w:val="21"/>
          <w:highlight w:val="none"/>
        </w:rPr>
        <w:t>3、</w:t>
      </w:r>
      <w:r>
        <w:rPr>
          <w:rFonts w:hint="eastAsia" w:cs="宋体"/>
          <w:szCs w:val="21"/>
          <w:highlight w:val="none"/>
        </w:rPr>
        <w:t>在投标人须知规定的开标日期起遵循本投标文件，并在投标人须知第17.1条规定的投标文件有效期满之前均具有约束力。</w:t>
      </w:r>
    </w:p>
    <w:p w14:paraId="36C82E9D">
      <w:pPr>
        <w:pStyle w:val="45"/>
        <w:ind w:firstLine="420"/>
        <w:rPr>
          <w:rFonts w:cs="宋体"/>
          <w:szCs w:val="21"/>
          <w:highlight w:val="none"/>
        </w:rPr>
      </w:pPr>
      <w:r>
        <w:rPr>
          <w:rFonts w:hint="eastAsia" w:cs="宋体"/>
          <w:b/>
          <w:bCs/>
          <w:szCs w:val="21"/>
          <w:highlight w:val="none"/>
        </w:rPr>
        <w:t>4、</w:t>
      </w:r>
      <w:r>
        <w:rPr>
          <w:rFonts w:hint="eastAsia" w:cs="宋体"/>
          <w:szCs w:val="21"/>
          <w:highlight w:val="none"/>
        </w:rPr>
        <w:t>同意投标人须知中关于投标保证金不予退还的规定。</w:t>
      </w:r>
    </w:p>
    <w:p w14:paraId="002A39C5">
      <w:pPr>
        <w:pStyle w:val="45"/>
        <w:ind w:firstLine="420"/>
        <w:rPr>
          <w:rFonts w:cs="宋体"/>
          <w:szCs w:val="21"/>
          <w:highlight w:val="none"/>
        </w:rPr>
      </w:pPr>
      <w:r>
        <w:rPr>
          <w:rFonts w:hint="eastAsia" w:cs="宋体"/>
          <w:b/>
          <w:bCs/>
          <w:szCs w:val="21"/>
          <w:highlight w:val="none"/>
        </w:rPr>
        <w:t>5、</w:t>
      </w:r>
      <w:r>
        <w:rPr>
          <w:rFonts w:hint="eastAsia" w:cs="宋体"/>
          <w:szCs w:val="21"/>
          <w:highlight w:val="none"/>
        </w:rPr>
        <w:t>同意应贵方要求提供与本投标有关的任何数据或资料，并保证数据和资料的完整性和真实性。</w:t>
      </w:r>
    </w:p>
    <w:p w14:paraId="1DA6BA41">
      <w:pPr>
        <w:pStyle w:val="45"/>
        <w:ind w:firstLine="420"/>
        <w:rPr>
          <w:rFonts w:cs="宋体"/>
          <w:szCs w:val="21"/>
          <w:highlight w:val="none"/>
        </w:rPr>
      </w:pPr>
      <w:r>
        <w:rPr>
          <w:rFonts w:hint="eastAsia" w:cs="宋体"/>
          <w:b/>
          <w:bCs/>
          <w:szCs w:val="21"/>
          <w:highlight w:val="none"/>
        </w:rPr>
        <w:t>6、</w:t>
      </w:r>
      <w:r>
        <w:rPr>
          <w:rFonts w:hint="eastAsia" w:cs="宋体"/>
          <w:szCs w:val="21"/>
          <w:highlight w:val="none"/>
        </w:rPr>
        <w:t>完全理解贵方不一定要接受最低报价的投标人为中标人的行为。</w:t>
      </w:r>
    </w:p>
    <w:p w14:paraId="52D878CB">
      <w:pPr>
        <w:pStyle w:val="45"/>
        <w:ind w:firstLine="420"/>
        <w:rPr>
          <w:rFonts w:cs="宋体"/>
          <w:szCs w:val="21"/>
          <w:highlight w:val="none"/>
        </w:rPr>
      </w:pPr>
      <w:r>
        <w:rPr>
          <w:rFonts w:hint="eastAsia" w:cs="宋体"/>
          <w:b/>
          <w:bCs/>
          <w:szCs w:val="21"/>
          <w:highlight w:val="none"/>
        </w:rPr>
        <w:t>7、</w:t>
      </w:r>
      <w:r>
        <w:rPr>
          <w:rFonts w:hint="eastAsia" w:cs="宋体"/>
          <w:szCs w:val="21"/>
          <w:highlight w:val="none"/>
        </w:rPr>
        <w:t>如我方中标：我方承诺在收到中标通知书后，在规定的期限内与你方签订合同，并履行相应的合同责任和义务，并承担售后服务及保修责任。如因我方原因导致未能在规定期限内签订合同的，愿意接受一切不利于我方的后果。</w:t>
      </w:r>
    </w:p>
    <w:p w14:paraId="70298C5F">
      <w:pPr>
        <w:pStyle w:val="45"/>
        <w:ind w:firstLine="420"/>
        <w:rPr>
          <w:rFonts w:cs="宋体"/>
          <w:szCs w:val="21"/>
          <w:highlight w:val="none"/>
        </w:rPr>
      </w:pPr>
      <w:r>
        <w:rPr>
          <w:rFonts w:hint="eastAsia" w:cs="宋体"/>
          <w:b/>
          <w:bCs/>
          <w:szCs w:val="21"/>
          <w:highlight w:val="none"/>
        </w:rPr>
        <w:t>8、</w:t>
      </w:r>
      <w:r>
        <w:rPr>
          <w:rFonts w:hint="eastAsia" w:cs="宋体"/>
          <w:szCs w:val="21"/>
          <w:highlight w:val="none"/>
        </w:rPr>
        <w:t>我方在此声明，所递交的投标文件及有关资料内容完整、真实和准确。</w:t>
      </w:r>
    </w:p>
    <w:p w14:paraId="51802558">
      <w:pPr>
        <w:pStyle w:val="45"/>
        <w:ind w:firstLine="420"/>
        <w:rPr>
          <w:rFonts w:cs="宋体"/>
          <w:szCs w:val="21"/>
          <w:highlight w:val="none"/>
        </w:rPr>
      </w:pPr>
      <w:r>
        <w:rPr>
          <w:rFonts w:hint="eastAsia" w:cs="宋体"/>
          <w:b/>
          <w:bCs/>
          <w:szCs w:val="21"/>
          <w:highlight w:val="none"/>
        </w:rPr>
        <w:t>9、</w:t>
      </w:r>
      <w:r>
        <w:rPr>
          <w:rFonts w:hint="eastAsia" w:cs="宋体"/>
          <w:szCs w:val="21"/>
          <w:highlight w:val="none"/>
        </w:rPr>
        <w:t>（其他补充说明，若有）。</w:t>
      </w:r>
    </w:p>
    <w:p w14:paraId="6490AC33">
      <w:pPr>
        <w:pStyle w:val="45"/>
        <w:ind w:firstLine="420"/>
        <w:rPr>
          <w:rFonts w:cs="宋体"/>
          <w:szCs w:val="21"/>
          <w:highlight w:val="none"/>
        </w:rPr>
      </w:pPr>
      <w:r>
        <w:rPr>
          <w:rFonts w:hint="eastAsia" w:cs="宋体"/>
          <w:szCs w:val="21"/>
          <w:highlight w:val="none"/>
        </w:rPr>
        <w:t>与本投标有关的正式通讯地址为：</w:t>
      </w:r>
    </w:p>
    <w:p w14:paraId="5B560F49">
      <w:pPr>
        <w:pStyle w:val="45"/>
        <w:ind w:firstLine="420"/>
        <w:rPr>
          <w:rFonts w:cs="宋体"/>
          <w:szCs w:val="21"/>
          <w:highlight w:val="none"/>
        </w:rPr>
      </w:pPr>
      <w:r>
        <w:rPr>
          <w:rFonts w:hint="eastAsia" w:cs="宋体"/>
          <w:szCs w:val="21"/>
          <w:highlight w:val="none"/>
        </w:rPr>
        <w:t>地址：</w:t>
      </w:r>
      <w:r>
        <w:rPr>
          <w:rFonts w:hint="eastAsia" w:cs="宋体"/>
          <w:szCs w:val="21"/>
          <w:highlight w:val="none"/>
          <w:u w:val="single"/>
        </w:rPr>
        <w:t xml:space="preserve">          </w:t>
      </w:r>
    </w:p>
    <w:p w14:paraId="7D23B4FB">
      <w:pPr>
        <w:pStyle w:val="45"/>
        <w:ind w:firstLine="420"/>
        <w:rPr>
          <w:rFonts w:cs="宋体"/>
          <w:szCs w:val="21"/>
          <w:highlight w:val="none"/>
        </w:rPr>
      </w:pPr>
      <w:r>
        <w:rPr>
          <w:rFonts w:hint="eastAsia" w:cs="宋体"/>
          <w:szCs w:val="21"/>
          <w:highlight w:val="none"/>
        </w:rPr>
        <w:t>邮政编码：</w:t>
      </w:r>
      <w:r>
        <w:rPr>
          <w:rFonts w:hint="eastAsia" w:cs="宋体"/>
          <w:szCs w:val="21"/>
          <w:highlight w:val="none"/>
          <w:u w:val="single"/>
        </w:rPr>
        <w:t xml:space="preserve">          </w:t>
      </w:r>
      <w:r>
        <w:rPr>
          <w:rFonts w:hint="eastAsia" w:cs="宋体"/>
          <w:szCs w:val="21"/>
          <w:highlight w:val="none"/>
        </w:rPr>
        <w:t xml:space="preserve">       </w:t>
      </w:r>
    </w:p>
    <w:p w14:paraId="0434657D">
      <w:pPr>
        <w:pStyle w:val="45"/>
        <w:ind w:firstLine="420"/>
        <w:rPr>
          <w:rFonts w:cs="宋体"/>
          <w:szCs w:val="21"/>
          <w:highlight w:val="none"/>
        </w:rPr>
      </w:pPr>
      <w:r>
        <w:rPr>
          <w:rFonts w:hint="eastAsia" w:cs="宋体"/>
          <w:szCs w:val="21"/>
          <w:highlight w:val="none"/>
        </w:rPr>
        <w:t>电话：</w:t>
      </w:r>
      <w:r>
        <w:rPr>
          <w:rFonts w:hint="eastAsia" w:cs="宋体"/>
          <w:szCs w:val="21"/>
          <w:highlight w:val="none"/>
          <w:u w:val="single"/>
        </w:rPr>
        <w:t xml:space="preserve">          </w:t>
      </w:r>
      <w:r>
        <w:rPr>
          <w:rFonts w:hint="eastAsia" w:cs="宋体"/>
          <w:szCs w:val="21"/>
          <w:highlight w:val="none"/>
        </w:rPr>
        <w:t xml:space="preserve">          </w:t>
      </w:r>
    </w:p>
    <w:p w14:paraId="67D285AE">
      <w:pPr>
        <w:pStyle w:val="45"/>
        <w:ind w:firstLine="420"/>
        <w:rPr>
          <w:rFonts w:cs="宋体"/>
          <w:szCs w:val="21"/>
          <w:highlight w:val="none"/>
        </w:rPr>
      </w:pPr>
      <w:r>
        <w:rPr>
          <w:rFonts w:hint="eastAsia" w:cs="宋体"/>
          <w:szCs w:val="21"/>
          <w:highlight w:val="none"/>
        </w:rPr>
        <w:t>传真：</w:t>
      </w:r>
      <w:r>
        <w:rPr>
          <w:rFonts w:hint="eastAsia" w:cs="宋体"/>
          <w:szCs w:val="21"/>
          <w:highlight w:val="none"/>
          <w:u w:val="single"/>
        </w:rPr>
        <w:t xml:space="preserve">          </w:t>
      </w:r>
    </w:p>
    <w:p w14:paraId="4C311743">
      <w:pPr>
        <w:pStyle w:val="45"/>
        <w:ind w:firstLine="420"/>
        <w:rPr>
          <w:rFonts w:cs="宋体"/>
          <w:szCs w:val="21"/>
          <w:highlight w:val="none"/>
        </w:rPr>
      </w:pPr>
      <w:r>
        <w:rPr>
          <w:rFonts w:hint="eastAsia" w:cs="宋体"/>
          <w:szCs w:val="21"/>
          <w:highlight w:val="none"/>
        </w:rPr>
        <w:t>开户名称：</w:t>
      </w:r>
      <w:r>
        <w:rPr>
          <w:rFonts w:hint="eastAsia" w:cs="宋体"/>
          <w:szCs w:val="21"/>
          <w:highlight w:val="none"/>
          <w:u w:val="single"/>
        </w:rPr>
        <w:t xml:space="preserve">          </w:t>
      </w:r>
      <w:r>
        <w:rPr>
          <w:rFonts w:hint="eastAsia" w:cs="宋体"/>
          <w:szCs w:val="21"/>
          <w:highlight w:val="none"/>
        </w:rPr>
        <w:t xml:space="preserve">         </w:t>
      </w:r>
    </w:p>
    <w:p w14:paraId="1109992F">
      <w:pPr>
        <w:pStyle w:val="45"/>
        <w:ind w:firstLine="420"/>
        <w:rPr>
          <w:rFonts w:cs="宋体"/>
          <w:szCs w:val="21"/>
          <w:highlight w:val="none"/>
        </w:rPr>
      </w:pPr>
      <w:r>
        <w:rPr>
          <w:rFonts w:hint="eastAsia" w:cs="宋体"/>
          <w:szCs w:val="21"/>
          <w:highlight w:val="none"/>
        </w:rPr>
        <w:t>开户银行：</w:t>
      </w:r>
      <w:r>
        <w:rPr>
          <w:rFonts w:hint="eastAsia" w:cs="宋体"/>
          <w:szCs w:val="21"/>
          <w:highlight w:val="none"/>
          <w:u w:val="single"/>
        </w:rPr>
        <w:t xml:space="preserve">          </w:t>
      </w:r>
      <w:r>
        <w:rPr>
          <w:rFonts w:hint="eastAsia" w:cs="宋体"/>
          <w:szCs w:val="21"/>
          <w:highlight w:val="none"/>
        </w:rPr>
        <w:t xml:space="preserve">      </w:t>
      </w:r>
    </w:p>
    <w:p w14:paraId="25C05B68">
      <w:pPr>
        <w:pStyle w:val="45"/>
        <w:ind w:firstLine="420"/>
        <w:rPr>
          <w:rFonts w:cs="宋体"/>
          <w:szCs w:val="21"/>
          <w:highlight w:val="none"/>
        </w:rPr>
      </w:pPr>
      <w:r>
        <w:rPr>
          <w:rFonts w:hint="eastAsia" w:cs="宋体"/>
          <w:szCs w:val="21"/>
          <w:highlight w:val="none"/>
        </w:rPr>
        <w:t>账    号：</w:t>
      </w:r>
      <w:r>
        <w:rPr>
          <w:rFonts w:hint="eastAsia" w:cs="宋体"/>
          <w:szCs w:val="21"/>
          <w:highlight w:val="none"/>
          <w:u w:val="single"/>
        </w:rPr>
        <w:t xml:space="preserve">          </w:t>
      </w:r>
    </w:p>
    <w:p w14:paraId="2759D73B">
      <w:pPr>
        <w:rPr>
          <w:rFonts w:cs="宋体"/>
          <w:highlight w:val="none"/>
        </w:rPr>
      </w:pPr>
    </w:p>
    <w:tbl>
      <w:tblPr>
        <w:tblStyle w:val="88"/>
        <w:tblW w:w="5534" w:type="dxa"/>
        <w:tblInd w:w="4294" w:type="dxa"/>
        <w:tblLayout w:type="fixed"/>
        <w:tblCellMar>
          <w:top w:w="0" w:type="dxa"/>
          <w:left w:w="108" w:type="dxa"/>
          <w:bottom w:w="0" w:type="dxa"/>
          <w:right w:w="108" w:type="dxa"/>
        </w:tblCellMar>
      </w:tblPr>
      <w:tblGrid>
        <w:gridCol w:w="5534"/>
      </w:tblGrid>
      <w:tr w14:paraId="6178A6D5">
        <w:tblPrEx>
          <w:tblCellMar>
            <w:top w:w="0" w:type="dxa"/>
            <w:left w:w="108" w:type="dxa"/>
            <w:bottom w:w="0" w:type="dxa"/>
            <w:right w:w="108" w:type="dxa"/>
          </w:tblCellMar>
        </w:tblPrEx>
        <w:trPr>
          <w:trHeight w:val="510" w:hRule="atLeast"/>
        </w:trPr>
        <w:tc>
          <w:tcPr>
            <w:tcW w:w="5534" w:type="dxa"/>
            <w:noWrap/>
            <w:vAlign w:val="center"/>
          </w:tcPr>
          <w:p w14:paraId="02AFD070">
            <w:pPr>
              <w:pStyle w:val="105"/>
              <w:spacing w:line="240" w:lineRule="auto"/>
              <w:jc w:val="both"/>
              <w:rPr>
                <w:rFonts w:cs="宋体"/>
                <w:sz w:val="21"/>
                <w:szCs w:val="21"/>
                <w:highlight w:val="none"/>
              </w:rPr>
            </w:pPr>
            <w:r>
              <w:rPr>
                <w:rFonts w:hint="eastAsia" w:cs="宋体"/>
                <w:b/>
                <w:sz w:val="21"/>
                <w:szCs w:val="21"/>
                <w:highlight w:val="none"/>
              </w:rPr>
              <w:t>投标人：（加盖电子公章）</w:t>
            </w:r>
          </w:p>
        </w:tc>
      </w:tr>
      <w:tr w14:paraId="7DB21C2D">
        <w:tblPrEx>
          <w:tblCellMar>
            <w:top w:w="0" w:type="dxa"/>
            <w:left w:w="108" w:type="dxa"/>
            <w:bottom w:w="0" w:type="dxa"/>
            <w:right w:w="108" w:type="dxa"/>
          </w:tblCellMar>
        </w:tblPrEx>
        <w:trPr>
          <w:trHeight w:val="510" w:hRule="atLeast"/>
        </w:trPr>
        <w:tc>
          <w:tcPr>
            <w:tcW w:w="5534" w:type="dxa"/>
            <w:noWrap/>
            <w:vAlign w:val="center"/>
          </w:tcPr>
          <w:p w14:paraId="7998DBDF">
            <w:pPr>
              <w:pStyle w:val="105"/>
              <w:spacing w:line="240" w:lineRule="auto"/>
              <w:jc w:val="both"/>
              <w:rPr>
                <w:rFonts w:cs="宋体"/>
                <w:sz w:val="21"/>
                <w:szCs w:val="21"/>
                <w:highlight w:val="none"/>
              </w:rPr>
            </w:pPr>
            <w:r>
              <w:rPr>
                <w:rFonts w:hint="eastAsia" w:cs="宋体"/>
                <w:b/>
                <w:sz w:val="21"/>
                <w:szCs w:val="21"/>
                <w:highlight w:val="none"/>
              </w:rPr>
              <w:t>法定代表人/单位负责人（电子签名）：</w:t>
            </w:r>
          </w:p>
        </w:tc>
      </w:tr>
      <w:tr w14:paraId="2E6F3BE3">
        <w:tblPrEx>
          <w:tblCellMar>
            <w:top w:w="0" w:type="dxa"/>
            <w:left w:w="108" w:type="dxa"/>
            <w:bottom w:w="0" w:type="dxa"/>
            <w:right w:w="108" w:type="dxa"/>
          </w:tblCellMar>
        </w:tblPrEx>
        <w:trPr>
          <w:trHeight w:val="510" w:hRule="atLeast"/>
        </w:trPr>
        <w:tc>
          <w:tcPr>
            <w:tcW w:w="5534" w:type="dxa"/>
            <w:noWrap/>
            <w:vAlign w:val="center"/>
          </w:tcPr>
          <w:p w14:paraId="0A9A9CB8">
            <w:pPr>
              <w:pStyle w:val="105"/>
              <w:spacing w:line="240" w:lineRule="auto"/>
              <w:jc w:val="both"/>
              <w:rPr>
                <w:rFonts w:cs="宋体"/>
                <w:b/>
                <w:bCs/>
                <w:sz w:val="21"/>
                <w:szCs w:val="21"/>
                <w:highlight w:val="none"/>
              </w:rPr>
            </w:pPr>
            <w:r>
              <w:rPr>
                <w:rFonts w:hint="eastAsia" w:cs="宋体"/>
                <w:b/>
                <w:bCs/>
                <w:sz w:val="21"/>
                <w:szCs w:val="21"/>
                <w:highlight w:val="none"/>
              </w:rPr>
              <w:t xml:space="preserve">日期：   </w:t>
            </w:r>
            <w:r>
              <w:rPr>
                <w:rFonts w:hint="eastAsia" w:cs="宋体"/>
                <w:szCs w:val="21"/>
                <w:highlight w:val="none"/>
              </w:rPr>
              <w:t xml:space="preserve"> </w:t>
            </w:r>
            <w:r>
              <w:rPr>
                <w:rFonts w:hint="eastAsia" w:cs="宋体"/>
                <w:b/>
                <w:bCs/>
                <w:sz w:val="21"/>
                <w:szCs w:val="21"/>
                <w:highlight w:val="none"/>
              </w:rPr>
              <w:t>年  月   日</w:t>
            </w:r>
          </w:p>
        </w:tc>
      </w:tr>
    </w:tbl>
    <w:p w14:paraId="621F3608">
      <w:pPr>
        <w:rPr>
          <w:rFonts w:cs="宋体"/>
          <w:b/>
          <w:bCs/>
          <w:highlight w:val="none"/>
        </w:rPr>
      </w:pPr>
      <w:bookmarkStart w:id="334" w:name="_Toc125904354"/>
      <w:bookmarkStart w:id="335" w:name="_Toc12111"/>
      <w:bookmarkStart w:id="336" w:name="_Toc80973393"/>
      <w:bookmarkStart w:id="337" w:name="_Toc125986489"/>
      <w:bookmarkStart w:id="338" w:name="_Toc54716797"/>
      <w:bookmarkStart w:id="339" w:name="_Toc48831819"/>
      <w:bookmarkStart w:id="340" w:name="_Toc9430"/>
      <w:r>
        <w:rPr>
          <w:rFonts w:hint="eastAsia" w:cs="宋体"/>
          <w:b/>
          <w:bCs/>
          <w:highlight w:val="none"/>
        </w:rPr>
        <w:br w:type="page"/>
      </w:r>
    </w:p>
    <w:p w14:paraId="34199A60">
      <w:pPr>
        <w:jc w:val="center"/>
        <w:outlineLvl w:val="2"/>
        <w:rPr>
          <w:rFonts w:cs="宋体"/>
          <w:b/>
          <w:bCs/>
          <w:sz w:val="28"/>
          <w:szCs w:val="36"/>
          <w:highlight w:val="none"/>
        </w:rPr>
      </w:pPr>
      <w:bookmarkStart w:id="341" w:name="_Toc175582353"/>
      <w:bookmarkStart w:id="342" w:name="_Toc166067782"/>
      <w:bookmarkStart w:id="343" w:name="_Toc172205096"/>
      <w:bookmarkStart w:id="344" w:name="_Toc7714"/>
      <w:bookmarkStart w:id="345" w:name="_Toc139357080"/>
      <w:bookmarkStart w:id="346" w:name="_Toc171929844"/>
      <w:r>
        <w:rPr>
          <w:b/>
          <w:bCs/>
          <w:sz w:val="28"/>
          <w:szCs w:val="36"/>
          <w:highlight w:val="none"/>
        </w:rPr>
        <w:t>★</w:t>
      </w:r>
      <w:r>
        <w:rPr>
          <w:rFonts w:hint="eastAsia" w:cs="宋体"/>
          <w:b/>
          <w:bCs/>
          <w:sz w:val="28"/>
          <w:szCs w:val="36"/>
          <w:highlight w:val="none"/>
        </w:rPr>
        <w:t>（二）投标单价报价明细表</w:t>
      </w:r>
    </w:p>
    <w:tbl>
      <w:tblPr>
        <w:tblStyle w:val="88"/>
        <w:tblW w:w="9913" w:type="dxa"/>
        <w:jc w:val="center"/>
        <w:tblLayout w:type="fixed"/>
        <w:tblCellMar>
          <w:top w:w="0" w:type="dxa"/>
          <w:left w:w="108" w:type="dxa"/>
          <w:bottom w:w="0" w:type="dxa"/>
          <w:right w:w="108" w:type="dxa"/>
        </w:tblCellMar>
      </w:tblPr>
      <w:tblGrid>
        <w:gridCol w:w="562"/>
        <w:gridCol w:w="2850"/>
        <w:gridCol w:w="2088"/>
        <w:gridCol w:w="1913"/>
        <w:gridCol w:w="1763"/>
        <w:gridCol w:w="737"/>
      </w:tblGrid>
      <w:tr w14:paraId="1CF71EF5">
        <w:tblPrEx>
          <w:tblCellMar>
            <w:top w:w="0" w:type="dxa"/>
            <w:left w:w="108" w:type="dxa"/>
            <w:bottom w:w="0" w:type="dxa"/>
            <w:right w:w="108" w:type="dxa"/>
          </w:tblCellMar>
        </w:tblPrEx>
        <w:trPr>
          <w:trHeight w:val="664" w:hRule="atLeast"/>
          <w:jc w:val="center"/>
        </w:trPr>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C0226">
            <w:pPr>
              <w:spacing w:line="240" w:lineRule="auto"/>
              <w:jc w:val="center"/>
              <w:rPr>
                <w:rFonts w:cs="宋体"/>
                <w:b/>
                <w:bCs/>
                <w:szCs w:val="21"/>
                <w:highlight w:val="none"/>
              </w:rPr>
            </w:pPr>
            <w:r>
              <w:rPr>
                <w:rFonts w:hint="eastAsia" w:cs="宋体"/>
                <w:b/>
                <w:bCs/>
                <w:szCs w:val="21"/>
                <w:highlight w:val="none"/>
              </w:rPr>
              <w:t>序号</w:t>
            </w:r>
          </w:p>
        </w:tc>
        <w:tc>
          <w:tcPr>
            <w:tcW w:w="2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63AF5">
            <w:pPr>
              <w:spacing w:line="240" w:lineRule="auto"/>
              <w:jc w:val="center"/>
              <w:rPr>
                <w:rFonts w:hint="default" w:eastAsia="宋体" w:cs="宋体"/>
                <w:b/>
                <w:bCs/>
                <w:szCs w:val="21"/>
                <w:highlight w:val="none"/>
                <w:lang w:val="en-US" w:eastAsia="zh-CN"/>
              </w:rPr>
            </w:pPr>
            <w:r>
              <w:rPr>
                <w:rFonts w:hint="eastAsia" w:cs="宋体"/>
                <w:b/>
                <w:bCs/>
                <w:szCs w:val="21"/>
                <w:highlight w:val="none"/>
                <w:lang w:val="en-US" w:eastAsia="zh-CN"/>
              </w:rPr>
              <w:t>项目名称</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9AE93">
            <w:pPr>
              <w:spacing w:line="240" w:lineRule="auto"/>
              <w:jc w:val="center"/>
              <w:rPr>
                <w:rFonts w:cs="宋体"/>
                <w:b/>
                <w:bCs/>
                <w:szCs w:val="21"/>
                <w:highlight w:val="none"/>
              </w:rPr>
            </w:pPr>
            <w:r>
              <w:rPr>
                <w:rFonts w:hint="eastAsia" w:cs="宋体"/>
                <w:b/>
                <w:bCs/>
                <w:szCs w:val="21"/>
                <w:highlight w:val="none"/>
              </w:rPr>
              <w:t>单位</w:t>
            </w:r>
          </w:p>
        </w:tc>
        <w:tc>
          <w:tcPr>
            <w:tcW w:w="1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1B1D4">
            <w:pPr>
              <w:spacing w:line="240" w:lineRule="auto"/>
              <w:jc w:val="center"/>
              <w:rPr>
                <w:rFonts w:cs="宋体"/>
                <w:b/>
                <w:bCs/>
                <w:szCs w:val="21"/>
                <w:highlight w:val="none"/>
              </w:rPr>
            </w:pPr>
            <w:r>
              <w:rPr>
                <w:rFonts w:hint="eastAsia" w:cs="宋体"/>
                <w:b/>
                <w:bCs/>
                <w:szCs w:val="21"/>
                <w:highlight w:val="none"/>
              </w:rPr>
              <w:t>单价最高限价</w:t>
            </w:r>
          </w:p>
          <w:p w14:paraId="41E08681">
            <w:pPr>
              <w:spacing w:line="240" w:lineRule="auto"/>
              <w:jc w:val="center"/>
              <w:rPr>
                <w:rFonts w:cs="宋体"/>
                <w:b/>
                <w:bCs/>
                <w:szCs w:val="21"/>
                <w:highlight w:val="none"/>
              </w:rPr>
            </w:pPr>
            <w:r>
              <w:rPr>
                <w:rFonts w:hint="eastAsia" w:cs="宋体"/>
                <w:b/>
                <w:bCs/>
                <w:szCs w:val="21"/>
                <w:highlight w:val="none"/>
              </w:rPr>
              <w:t>（元）</w:t>
            </w:r>
          </w:p>
        </w:tc>
        <w:tc>
          <w:tcPr>
            <w:tcW w:w="1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81EDE">
            <w:pPr>
              <w:spacing w:line="240" w:lineRule="auto"/>
              <w:jc w:val="center"/>
              <w:rPr>
                <w:rFonts w:cs="宋体"/>
                <w:b/>
                <w:bCs/>
                <w:szCs w:val="21"/>
                <w:highlight w:val="none"/>
              </w:rPr>
            </w:pPr>
            <w:r>
              <w:rPr>
                <w:rFonts w:hint="eastAsia" w:cs="宋体"/>
                <w:b/>
                <w:bCs/>
                <w:szCs w:val="21"/>
                <w:highlight w:val="none"/>
              </w:rPr>
              <w:t>投标单价报价</w:t>
            </w:r>
          </w:p>
          <w:p w14:paraId="3E9BF428">
            <w:pPr>
              <w:spacing w:line="240" w:lineRule="auto"/>
              <w:jc w:val="center"/>
              <w:rPr>
                <w:rFonts w:cs="宋体"/>
                <w:b/>
                <w:bCs/>
                <w:szCs w:val="21"/>
                <w:highlight w:val="none"/>
              </w:rPr>
            </w:pPr>
            <w:r>
              <w:rPr>
                <w:rFonts w:hint="eastAsia" w:cs="宋体"/>
                <w:b/>
                <w:bCs/>
                <w:szCs w:val="21"/>
                <w:highlight w:val="none"/>
              </w:rPr>
              <w:t>（元）</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51F17">
            <w:pPr>
              <w:spacing w:line="240" w:lineRule="auto"/>
              <w:jc w:val="center"/>
              <w:rPr>
                <w:rFonts w:cs="宋体"/>
                <w:b/>
                <w:bCs/>
                <w:szCs w:val="21"/>
                <w:highlight w:val="none"/>
              </w:rPr>
            </w:pPr>
            <w:r>
              <w:rPr>
                <w:rFonts w:hint="eastAsia" w:cs="宋体"/>
                <w:b/>
                <w:bCs/>
                <w:szCs w:val="21"/>
                <w:highlight w:val="none"/>
              </w:rPr>
              <w:t>备注</w:t>
            </w:r>
          </w:p>
        </w:tc>
      </w:tr>
      <w:tr w14:paraId="79AD0764">
        <w:tblPrEx>
          <w:tblCellMar>
            <w:top w:w="0" w:type="dxa"/>
            <w:left w:w="108" w:type="dxa"/>
            <w:bottom w:w="0" w:type="dxa"/>
            <w:right w:w="108" w:type="dxa"/>
          </w:tblCellMar>
        </w:tblPrEx>
        <w:trPr>
          <w:trHeight w:val="987" w:hRule="atLeast"/>
          <w:jc w:val="center"/>
        </w:trPr>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0AEDA">
            <w:pPr>
              <w:spacing w:line="240" w:lineRule="auto"/>
              <w:ind w:left="454" w:hanging="454"/>
              <w:jc w:val="center"/>
              <w:rPr>
                <w:rFonts w:cs="宋体"/>
                <w:szCs w:val="21"/>
                <w:highlight w:val="none"/>
              </w:rPr>
            </w:pPr>
            <w:r>
              <w:rPr>
                <w:rFonts w:cs="宋体"/>
                <w:szCs w:val="21"/>
                <w:highlight w:val="none"/>
              </w:rPr>
              <w:t>1</w:t>
            </w:r>
          </w:p>
        </w:tc>
        <w:tc>
          <w:tcPr>
            <w:tcW w:w="2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8A14B">
            <w:pPr>
              <w:widowControl/>
              <w:spacing w:line="240" w:lineRule="auto"/>
              <w:jc w:val="center"/>
              <w:textAlignment w:val="top"/>
              <w:rPr>
                <w:rFonts w:hint="default" w:eastAsia="宋体" w:cs="宋体"/>
                <w:szCs w:val="21"/>
                <w:highlight w:val="none"/>
                <w:lang w:val="en-US" w:eastAsia="zh-CN"/>
              </w:rPr>
            </w:pPr>
            <w:r>
              <w:rPr>
                <w:rFonts w:hint="eastAsia" w:cs="宋体"/>
                <w:szCs w:val="21"/>
                <w:highlight w:val="none"/>
                <w:lang w:val="en-US" w:eastAsia="zh-CN"/>
              </w:rPr>
              <w:t>印刷服务费</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1DA6F">
            <w:pPr>
              <w:widowControl/>
              <w:spacing w:line="240" w:lineRule="auto"/>
              <w:jc w:val="center"/>
              <w:textAlignment w:val="top"/>
              <w:rPr>
                <w:rFonts w:hint="default" w:cs="宋体"/>
                <w:szCs w:val="21"/>
                <w:highlight w:val="none"/>
                <w:lang w:val="en-US"/>
              </w:rPr>
            </w:pPr>
            <w:r>
              <w:rPr>
                <w:rFonts w:hint="eastAsia" w:cs="宋体"/>
                <w:color w:val="000000"/>
                <w:kern w:val="0"/>
                <w:szCs w:val="21"/>
                <w:highlight w:val="none"/>
                <w:lang w:val="en-US" w:eastAsia="zh-CN" w:bidi="ar"/>
              </w:rPr>
              <w:t>对开张（双面彩）</w:t>
            </w:r>
          </w:p>
        </w:tc>
        <w:tc>
          <w:tcPr>
            <w:tcW w:w="1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2E430">
            <w:pPr>
              <w:widowControl/>
              <w:spacing w:line="240" w:lineRule="auto"/>
              <w:jc w:val="center"/>
              <w:textAlignment w:val="top"/>
              <w:rPr>
                <w:rFonts w:hint="default" w:eastAsia="宋体" w:cs="宋体"/>
                <w:szCs w:val="21"/>
                <w:highlight w:val="none"/>
                <w:lang w:val="en-US" w:eastAsia="zh-CN"/>
              </w:rPr>
            </w:pPr>
            <w:r>
              <w:rPr>
                <w:rFonts w:hint="eastAsia" w:cs="宋体"/>
                <w:szCs w:val="21"/>
                <w:highlight w:val="none"/>
                <w:lang w:val="en-US" w:eastAsia="zh-CN"/>
              </w:rPr>
              <w:t>0.2</w:t>
            </w:r>
          </w:p>
        </w:tc>
        <w:tc>
          <w:tcPr>
            <w:tcW w:w="1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FFE65">
            <w:pPr>
              <w:spacing w:line="240" w:lineRule="auto"/>
              <w:jc w:val="center"/>
              <w:rPr>
                <w:rFonts w:cs="宋体"/>
                <w:szCs w:val="21"/>
                <w:highlight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B00AB">
            <w:pPr>
              <w:spacing w:line="240" w:lineRule="auto"/>
              <w:jc w:val="center"/>
              <w:rPr>
                <w:rFonts w:cs="宋体"/>
                <w:szCs w:val="21"/>
                <w:highlight w:val="none"/>
              </w:rPr>
            </w:pPr>
          </w:p>
        </w:tc>
      </w:tr>
      <w:tr w14:paraId="554EB220">
        <w:tblPrEx>
          <w:tblCellMar>
            <w:top w:w="0" w:type="dxa"/>
            <w:left w:w="108" w:type="dxa"/>
            <w:bottom w:w="0" w:type="dxa"/>
            <w:right w:w="108" w:type="dxa"/>
          </w:tblCellMar>
        </w:tblPrEx>
        <w:trPr>
          <w:trHeight w:val="987" w:hRule="atLeast"/>
          <w:jc w:val="center"/>
        </w:trPr>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BFC63">
            <w:pPr>
              <w:spacing w:line="240" w:lineRule="auto"/>
              <w:ind w:left="454" w:hanging="454"/>
              <w:jc w:val="center"/>
              <w:rPr>
                <w:rFonts w:cs="宋体"/>
                <w:szCs w:val="21"/>
                <w:highlight w:val="none"/>
              </w:rPr>
            </w:pPr>
            <w:r>
              <w:rPr>
                <w:rFonts w:cs="宋体"/>
                <w:szCs w:val="21"/>
                <w:highlight w:val="none"/>
              </w:rPr>
              <w:t>2</w:t>
            </w:r>
          </w:p>
        </w:tc>
        <w:tc>
          <w:tcPr>
            <w:tcW w:w="2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ACD08">
            <w:pPr>
              <w:widowControl/>
              <w:spacing w:line="240" w:lineRule="auto"/>
              <w:jc w:val="center"/>
              <w:textAlignment w:val="top"/>
              <w:rPr>
                <w:rFonts w:hint="default" w:eastAsia="宋体" w:cs="宋体"/>
                <w:szCs w:val="21"/>
                <w:highlight w:val="none"/>
                <w:lang w:val="en-US" w:eastAsia="zh-CN"/>
              </w:rPr>
            </w:pPr>
            <w:r>
              <w:rPr>
                <w:rFonts w:hint="eastAsia" w:cs="宋体"/>
                <w:szCs w:val="21"/>
                <w:highlight w:val="none"/>
                <w:lang w:val="en-US" w:eastAsia="zh-CN"/>
              </w:rPr>
              <w:t>设计排版服务费</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47C59">
            <w:pPr>
              <w:widowControl/>
              <w:spacing w:line="240" w:lineRule="auto"/>
              <w:jc w:val="center"/>
              <w:textAlignment w:val="top"/>
              <w:rPr>
                <w:rFonts w:cs="宋体"/>
                <w:szCs w:val="21"/>
                <w:highlight w:val="none"/>
              </w:rPr>
            </w:pPr>
            <w:r>
              <w:rPr>
                <w:rFonts w:hint="eastAsia" w:cs="宋体"/>
                <w:color w:val="000000"/>
                <w:kern w:val="0"/>
                <w:szCs w:val="21"/>
                <w:highlight w:val="none"/>
                <w:lang w:val="en-US" w:eastAsia="zh-CN" w:bidi="ar"/>
              </w:rPr>
              <w:t>版</w:t>
            </w:r>
          </w:p>
        </w:tc>
        <w:tc>
          <w:tcPr>
            <w:tcW w:w="1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389AA">
            <w:pPr>
              <w:widowControl/>
              <w:spacing w:line="240" w:lineRule="auto"/>
              <w:jc w:val="center"/>
              <w:textAlignment w:val="top"/>
              <w:rPr>
                <w:rFonts w:hint="default" w:eastAsia="宋体" w:cs="宋体"/>
                <w:szCs w:val="21"/>
                <w:highlight w:val="none"/>
                <w:lang w:val="en-US" w:eastAsia="zh-CN"/>
              </w:rPr>
            </w:pPr>
            <w:r>
              <w:rPr>
                <w:rFonts w:hint="eastAsia" w:cs="宋体"/>
                <w:szCs w:val="21"/>
                <w:highlight w:val="none"/>
                <w:lang w:val="en-US" w:eastAsia="zh-CN"/>
              </w:rPr>
              <w:t>230</w:t>
            </w:r>
          </w:p>
        </w:tc>
        <w:tc>
          <w:tcPr>
            <w:tcW w:w="1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77D58">
            <w:pPr>
              <w:spacing w:line="240" w:lineRule="auto"/>
              <w:jc w:val="center"/>
              <w:rPr>
                <w:rFonts w:cs="宋体"/>
                <w:szCs w:val="21"/>
                <w:highlight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4E659">
            <w:pPr>
              <w:spacing w:line="240" w:lineRule="auto"/>
              <w:jc w:val="center"/>
              <w:rPr>
                <w:rFonts w:cs="宋体"/>
                <w:szCs w:val="21"/>
                <w:highlight w:val="none"/>
              </w:rPr>
            </w:pPr>
          </w:p>
        </w:tc>
      </w:tr>
      <w:tr w14:paraId="005F7D4E">
        <w:tblPrEx>
          <w:tblCellMar>
            <w:top w:w="0" w:type="dxa"/>
            <w:left w:w="108" w:type="dxa"/>
            <w:bottom w:w="0" w:type="dxa"/>
            <w:right w:w="108" w:type="dxa"/>
          </w:tblCellMar>
        </w:tblPrEx>
        <w:trPr>
          <w:trHeight w:val="664" w:hRule="atLeast"/>
          <w:jc w:val="center"/>
        </w:trPr>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49786">
            <w:pPr>
              <w:spacing w:line="240" w:lineRule="auto"/>
              <w:ind w:left="454" w:hanging="454"/>
              <w:jc w:val="center"/>
              <w:rPr>
                <w:rFonts w:cs="宋体"/>
                <w:szCs w:val="21"/>
                <w:highlight w:val="none"/>
              </w:rPr>
            </w:pPr>
            <w:r>
              <w:rPr>
                <w:rFonts w:cs="宋体"/>
                <w:szCs w:val="21"/>
                <w:highlight w:val="none"/>
              </w:rPr>
              <w:t>3</w:t>
            </w:r>
          </w:p>
        </w:tc>
        <w:tc>
          <w:tcPr>
            <w:tcW w:w="2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3403E">
            <w:pPr>
              <w:widowControl/>
              <w:spacing w:line="240" w:lineRule="auto"/>
              <w:jc w:val="center"/>
              <w:textAlignment w:val="top"/>
              <w:rPr>
                <w:rFonts w:hint="eastAsia" w:eastAsia="宋体" w:cs="宋体"/>
                <w:szCs w:val="21"/>
                <w:highlight w:val="none"/>
                <w:lang w:val="en-US" w:eastAsia="zh-CN"/>
              </w:rPr>
            </w:pPr>
            <w:r>
              <w:rPr>
                <w:rFonts w:hint="eastAsia" w:cs="宋体"/>
                <w:szCs w:val="21"/>
                <w:highlight w:val="none"/>
                <w:lang w:val="en-US" w:eastAsia="zh-CN"/>
              </w:rPr>
              <w:t>校对服务费</w:t>
            </w:r>
          </w:p>
        </w:tc>
        <w:tc>
          <w:tcPr>
            <w:tcW w:w="2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331B0">
            <w:pPr>
              <w:widowControl/>
              <w:spacing w:line="240" w:lineRule="auto"/>
              <w:jc w:val="center"/>
              <w:textAlignment w:val="top"/>
              <w:rPr>
                <w:rFonts w:cs="宋体"/>
                <w:szCs w:val="21"/>
                <w:highlight w:val="none"/>
              </w:rPr>
            </w:pPr>
            <w:r>
              <w:rPr>
                <w:rFonts w:hint="eastAsia" w:cs="宋体"/>
                <w:color w:val="000000"/>
                <w:kern w:val="0"/>
                <w:szCs w:val="21"/>
                <w:highlight w:val="none"/>
                <w:lang w:val="en-US" w:eastAsia="zh-CN" w:bidi="ar"/>
              </w:rPr>
              <w:t>版</w:t>
            </w:r>
          </w:p>
        </w:tc>
        <w:tc>
          <w:tcPr>
            <w:tcW w:w="1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7F72C">
            <w:pPr>
              <w:widowControl/>
              <w:spacing w:line="240" w:lineRule="auto"/>
              <w:jc w:val="center"/>
              <w:textAlignment w:val="top"/>
              <w:rPr>
                <w:rFonts w:hint="default" w:eastAsia="宋体" w:cs="宋体"/>
                <w:szCs w:val="21"/>
                <w:highlight w:val="none"/>
                <w:lang w:val="en-US" w:eastAsia="zh-CN"/>
              </w:rPr>
            </w:pPr>
            <w:r>
              <w:rPr>
                <w:rFonts w:hint="eastAsia" w:cs="宋体"/>
                <w:szCs w:val="21"/>
                <w:highlight w:val="none"/>
                <w:lang w:val="en-US" w:eastAsia="zh-CN"/>
              </w:rPr>
              <w:t>150</w:t>
            </w:r>
          </w:p>
        </w:tc>
        <w:tc>
          <w:tcPr>
            <w:tcW w:w="1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4F703">
            <w:pPr>
              <w:spacing w:line="240" w:lineRule="auto"/>
              <w:jc w:val="center"/>
              <w:rPr>
                <w:rFonts w:cs="宋体"/>
                <w:szCs w:val="21"/>
                <w:highlight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74698">
            <w:pPr>
              <w:spacing w:line="240" w:lineRule="auto"/>
              <w:jc w:val="center"/>
              <w:rPr>
                <w:rFonts w:cs="宋体"/>
                <w:szCs w:val="21"/>
                <w:highlight w:val="none"/>
              </w:rPr>
            </w:pPr>
          </w:p>
        </w:tc>
      </w:tr>
      <w:tr w14:paraId="10B32BF5">
        <w:tblPrEx>
          <w:tblCellMar>
            <w:top w:w="0" w:type="dxa"/>
            <w:left w:w="108" w:type="dxa"/>
            <w:bottom w:w="0" w:type="dxa"/>
            <w:right w:w="108" w:type="dxa"/>
          </w:tblCellMar>
        </w:tblPrEx>
        <w:trPr>
          <w:trHeight w:val="482" w:hRule="atLeast"/>
          <w:jc w:val="center"/>
        </w:trPr>
        <w:tc>
          <w:tcPr>
            <w:tcW w:w="7413"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204B2">
            <w:pPr>
              <w:spacing w:line="240" w:lineRule="auto"/>
              <w:jc w:val="center"/>
              <w:rPr>
                <w:rFonts w:cs="宋体"/>
                <w:szCs w:val="21"/>
                <w:highlight w:val="none"/>
              </w:rPr>
            </w:pPr>
            <w:r>
              <w:rPr>
                <w:rFonts w:hint="eastAsia" w:cs="宋体"/>
                <w:b/>
                <w:szCs w:val="21"/>
                <w:highlight w:val="none"/>
              </w:rPr>
              <w:t>投标报价（</w:t>
            </w:r>
            <w:r>
              <w:rPr>
                <w:rFonts w:hint="eastAsia" w:cs="宋体"/>
                <w:b/>
                <w:bCs/>
                <w:szCs w:val="21"/>
                <w:highlight w:val="none"/>
              </w:rPr>
              <w:t>单价报价合计</w:t>
            </w:r>
            <w:r>
              <w:rPr>
                <w:rFonts w:hint="eastAsia" w:cs="宋体"/>
                <w:b/>
                <w:szCs w:val="21"/>
                <w:highlight w:val="none"/>
              </w:rPr>
              <w:t>）</w:t>
            </w:r>
          </w:p>
        </w:tc>
        <w:tc>
          <w:tcPr>
            <w:tcW w:w="1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5EF80">
            <w:pPr>
              <w:spacing w:line="240" w:lineRule="auto"/>
              <w:jc w:val="center"/>
              <w:rPr>
                <w:rFonts w:cs="宋体"/>
                <w:b/>
                <w:bCs/>
                <w:szCs w:val="21"/>
                <w:highlight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3D78F">
            <w:pPr>
              <w:spacing w:line="240" w:lineRule="auto"/>
              <w:jc w:val="center"/>
              <w:rPr>
                <w:rFonts w:cs="宋体"/>
                <w:b/>
                <w:bCs/>
                <w:szCs w:val="21"/>
                <w:highlight w:val="none"/>
              </w:rPr>
            </w:pPr>
          </w:p>
        </w:tc>
      </w:tr>
    </w:tbl>
    <w:p w14:paraId="4F4163A9">
      <w:pPr>
        <w:widowControl/>
        <w:ind w:firstLine="630" w:firstLineChars="300"/>
        <w:jc w:val="left"/>
        <w:textAlignment w:val="center"/>
        <w:rPr>
          <w:rFonts w:cs="宋体"/>
          <w:color w:val="000000"/>
          <w:kern w:val="0"/>
          <w:szCs w:val="21"/>
          <w:highlight w:val="none"/>
          <w:lang w:bidi="ar"/>
        </w:rPr>
      </w:pPr>
      <w:r>
        <w:rPr>
          <w:rFonts w:hint="eastAsia" w:cs="宋体"/>
          <w:color w:val="000000"/>
          <w:kern w:val="0"/>
          <w:szCs w:val="21"/>
          <w:highlight w:val="none"/>
          <w:lang w:bidi="ar"/>
        </w:rPr>
        <w:t>备注：</w:t>
      </w:r>
      <w:r>
        <w:rPr>
          <w:rFonts w:hint="eastAsia" w:cs="宋体"/>
          <w:color w:val="000000"/>
          <w:kern w:val="0"/>
          <w:szCs w:val="21"/>
          <w:highlight w:val="none"/>
          <w:lang w:val="en-US" w:eastAsia="zh-CN" w:bidi="ar"/>
        </w:rPr>
        <w:t>1</w:t>
      </w:r>
      <w:r>
        <w:rPr>
          <w:rFonts w:hint="eastAsia" w:cs="宋体"/>
          <w:color w:val="000000"/>
          <w:kern w:val="0"/>
          <w:szCs w:val="21"/>
          <w:highlight w:val="none"/>
          <w:lang w:bidi="ar"/>
        </w:rPr>
        <w:t>.供应商须对标段内的所有项目进行整体投标报价，不得缺项漏项，否则按不实质性响应招标文件要求处理；</w:t>
      </w:r>
    </w:p>
    <w:p w14:paraId="246F1F77">
      <w:pPr>
        <w:widowControl/>
        <w:ind w:firstLine="630" w:firstLineChars="300"/>
        <w:jc w:val="left"/>
        <w:textAlignment w:val="center"/>
        <w:rPr>
          <w:rFonts w:cs="宋体"/>
          <w:b/>
          <w:bCs/>
          <w:color w:val="000000"/>
          <w:kern w:val="0"/>
          <w:szCs w:val="21"/>
          <w:highlight w:val="none"/>
          <w:lang w:bidi="ar"/>
        </w:rPr>
      </w:pPr>
      <w:r>
        <w:rPr>
          <w:rFonts w:hint="eastAsia" w:cs="宋体"/>
          <w:color w:val="000000"/>
          <w:kern w:val="0"/>
          <w:szCs w:val="21"/>
          <w:highlight w:val="none"/>
          <w:lang w:bidi="ar"/>
        </w:rPr>
        <w:t>4.表中</w:t>
      </w:r>
      <w:r>
        <w:rPr>
          <w:rFonts w:hint="eastAsia" w:cs="宋体"/>
          <w:b/>
          <w:bCs/>
          <w:color w:val="000000"/>
          <w:kern w:val="0"/>
          <w:szCs w:val="21"/>
          <w:highlight w:val="none"/>
          <w:lang w:bidi="ar"/>
        </w:rPr>
        <w:t>“</w:t>
      </w:r>
      <w:r>
        <w:rPr>
          <w:rFonts w:hint="eastAsia" w:cs="宋体"/>
          <w:b/>
          <w:szCs w:val="21"/>
          <w:highlight w:val="none"/>
        </w:rPr>
        <w:t>投标报价（</w:t>
      </w:r>
      <w:r>
        <w:rPr>
          <w:rFonts w:hint="eastAsia" w:cs="宋体"/>
          <w:b/>
          <w:bCs/>
          <w:szCs w:val="21"/>
          <w:highlight w:val="none"/>
        </w:rPr>
        <w:t>单价报价合计</w:t>
      </w:r>
      <w:r>
        <w:rPr>
          <w:rFonts w:hint="eastAsia" w:cs="宋体"/>
          <w:b/>
          <w:szCs w:val="21"/>
          <w:highlight w:val="none"/>
        </w:rPr>
        <w:t>）</w:t>
      </w:r>
      <w:r>
        <w:rPr>
          <w:rFonts w:hint="eastAsia" w:cs="宋体"/>
          <w:b/>
          <w:bCs/>
          <w:color w:val="000000"/>
          <w:kern w:val="0"/>
          <w:szCs w:val="21"/>
          <w:highlight w:val="none"/>
          <w:lang w:bidi="ar"/>
        </w:rPr>
        <w:t>”</w:t>
      </w:r>
      <w:r>
        <w:rPr>
          <w:rFonts w:hint="eastAsia" w:cs="宋体"/>
          <w:color w:val="000000"/>
          <w:kern w:val="0"/>
          <w:szCs w:val="21"/>
          <w:highlight w:val="none"/>
          <w:lang w:bidi="ar"/>
        </w:rPr>
        <w:t>应与</w:t>
      </w:r>
      <w:r>
        <w:rPr>
          <w:rFonts w:hint="eastAsia" w:cs="宋体"/>
          <w:b/>
          <w:bCs/>
          <w:color w:val="000000"/>
          <w:kern w:val="0"/>
          <w:szCs w:val="21"/>
          <w:highlight w:val="none"/>
          <w:lang w:bidi="ar"/>
        </w:rPr>
        <w:t>“开标一览表”</w:t>
      </w:r>
      <w:r>
        <w:rPr>
          <w:rFonts w:hint="eastAsia" w:cs="宋体"/>
          <w:color w:val="000000"/>
          <w:kern w:val="0"/>
          <w:szCs w:val="21"/>
          <w:highlight w:val="none"/>
          <w:lang w:bidi="ar"/>
        </w:rPr>
        <w:t>和</w:t>
      </w:r>
      <w:r>
        <w:rPr>
          <w:rFonts w:hint="eastAsia" w:cs="宋体"/>
          <w:b/>
          <w:bCs/>
          <w:color w:val="000000"/>
          <w:kern w:val="0"/>
          <w:szCs w:val="21"/>
          <w:highlight w:val="none"/>
          <w:lang w:bidi="ar"/>
        </w:rPr>
        <w:t>“投标函”</w:t>
      </w:r>
      <w:r>
        <w:rPr>
          <w:rFonts w:hint="eastAsia" w:cs="宋体"/>
          <w:color w:val="000000"/>
          <w:kern w:val="0"/>
          <w:szCs w:val="21"/>
          <w:highlight w:val="none"/>
          <w:lang w:bidi="ar"/>
        </w:rPr>
        <w:t>中</w:t>
      </w:r>
      <w:r>
        <w:rPr>
          <w:rFonts w:hint="eastAsia" w:cs="宋体"/>
          <w:b/>
          <w:bCs/>
          <w:color w:val="000000"/>
          <w:kern w:val="0"/>
          <w:szCs w:val="21"/>
          <w:highlight w:val="none"/>
          <w:lang w:bidi="ar"/>
        </w:rPr>
        <w:t>“</w:t>
      </w:r>
      <w:r>
        <w:rPr>
          <w:rFonts w:hint="eastAsia" w:cs="宋体"/>
          <w:b/>
          <w:szCs w:val="21"/>
          <w:highlight w:val="none"/>
        </w:rPr>
        <w:t>投标报价（</w:t>
      </w:r>
      <w:r>
        <w:rPr>
          <w:rFonts w:hint="eastAsia" w:cs="宋体"/>
          <w:b/>
          <w:bCs/>
          <w:szCs w:val="21"/>
          <w:highlight w:val="none"/>
        </w:rPr>
        <w:t>单价报价合计</w:t>
      </w:r>
      <w:r>
        <w:rPr>
          <w:rFonts w:hint="eastAsia" w:cs="宋体"/>
          <w:b/>
          <w:szCs w:val="21"/>
          <w:highlight w:val="none"/>
        </w:rPr>
        <w:t>）</w:t>
      </w:r>
      <w:r>
        <w:rPr>
          <w:rFonts w:hint="eastAsia" w:cs="宋体"/>
          <w:b/>
          <w:bCs/>
          <w:color w:val="000000"/>
          <w:kern w:val="0"/>
          <w:szCs w:val="21"/>
          <w:highlight w:val="none"/>
          <w:lang w:bidi="ar"/>
        </w:rPr>
        <w:t>”</w:t>
      </w:r>
      <w:r>
        <w:rPr>
          <w:rFonts w:hint="eastAsia" w:cs="宋体"/>
          <w:color w:val="000000"/>
          <w:kern w:val="0"/>
          <w:szCs w:val="21"/>
          <w:highlight w:val="none"/>
          <w:lang w:bidi="ar"/>
        </w:rPr>
        <w:t>一致，如不一致，以</w:t>
      </w:r>
      <w:r>
        <w:rPr>
          <w:rFonts w:hint="eastAsia" w:cs="宋体"/>
          <w:b/>
          <w:bCs/>
          <w:color w:val="000000"/>
          <w:kern w:val="0"/>
          <w:szCs w:val="21"/>
          <w:highlight w:val="none"/>
          <w:lang w:bidi="ar"/>
        </w:rPr>
        <w:t>“开标一览表”</w:t>
      </w:r>
      <w:r>
        <w:rPr>
          <w:rFonts w:hint="eastAsia" w:cs="宋体"/>
          <w:color w:val="000000"/>
          <w:kern w:val="0"/>
          <w:szCs w:val="21"/>
          <w:highlight w:val="none"/>
          <w:lang w:bidi="ar"/>
        </w:rPr>
        <w:t>中的</w:t>
      </w:r>
      <w:r>
        <w:rPr>
          <w:rFonts w:hint="eastAsia" w:cs="宋体"/>
          <w:b/>
          <w:bCs/>
          <w:color w:val="000000"/>
          <w:kern w:val="0"/>
          <w:szCs w:val="21"/>
          <w:highlight w:val="none"/>
          <w:lang w:bidi="ar"/>
        </w:rPr>
        <w:t>“</w:t>
      </w:r>
      <w:r>
        <w:rPr>
          <w:rFonts w:hint="eastAsia" w:cs="宋体"/>
          <w:b/>
          <w:szCs w:val="21"/>
          <w:highlight w:val="none"/>
        </w:rPr>
        <w:t>投标报价（</w:t>
      </w:r>
      <w:r>
        <w:rPr>
          <w:rFonts w:hint="eastAsia" w:cs="宋体"/>
          <w:b/>
          <w:bCs/>
          <w:szCs w:val="21"/>
          <w:highlight w:val="none"/>
        </w:rPr>
        <w:t>单价报价合计</w:t>
      </w:r>
      <w:r>
        <w:rPr>
          <w:rFonts w:hint="eastAsia" w:cs="宋体"/>
          <w:b/>
          <w:szCs w:val="21"/>
          <w:highlight w:val="none"/>
        </w:rPr>
        <w:t>）</w:t>
      </w:r>
      <w:r>
        <w:rPr>
          <w:rFonts w:hint="eastAsia" w:cs="宋体"/>
          <w:b/>
          <w:bCs/>
          <w:color w:val="000000"/>
          <w:kern w:val="0"/>
          <w:szCs w:val="21"/>
          <w:highlight w:val="none"/>
          <w:lang w:bidi="ar"/>
        </w:rPr>
        <w:t>”为准。</w:t>
      </w:r>
    </w:p>
    <w:p w14:paraId="233BB709">
      <w:pPr>
        <w:pStyle w:val="26"/>
        <w:rPr>
          <w:highlight w:val="none"/>
        </w:rPr>
      </w:pPr>
    </w:p>
    <w:tbl>
      <w:tblPr>
        <w:tblStyle w:val="88"/>
        <w:tblW w:w="5534" w:type="dxa"/>
        <w:tblInd w:w="4294" w:type="dxa"/>
        <w:tblLayout w:type="fixed"/>
        <w:tblCellMar>
          <w:top w:w="0" w:type="dxa"/>
          <w:left w:w="108" w:type="dxa"/>
          <w:bottom w:w="0" w:type="dxa"/>
          <w:right w:w="108" w:type="dxa"/>
        </w:tblCellMar>
      </w:tblPr>
      <w:tblGrid>
        <w:gridCol w:w="5534"/>
      </w:tblGrid>
      <w:tr w14:paraId="2406C32C">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27E80DDE">
            <w:pPr>
              <w:pStyle w:val="105"/>
              <w:spacing w:line="240" w:lineRule="auto"/>
              <w:jc w:val="both"/>
              <w:rPr>
                <w:rFonts w:cs="宋体"/>
                <w:sz w:val="21"/>
                <w:szCs w:val="21"/>
                <w:highlight w:val="none"/>
              </w:rPr>
            </w:pPr>
            <w:r>
              <w:rPr>
                <w:rFonts w:hint="eastAsia" w:cs="宋体"/>
                <w:b/>
                <w:sz w:val="21"/>
                <w:szCs w:val="21"/>
                <w:highlight w:val="none"/>
              </w:rPr>
              <w:t>投标人：（加盖电子公章）</w:t>
            </w:r>
          </w:p>
        </w:tc>
      </w:tr>
      <w:tr w14:paraId="7652C07D">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32CC7E84">
            <w:pPr>
              <w:pStyle w:val="105"/>
              <w:spacing w:line="240" w:lineRule="auto"/>
              <w:jc w:val="both"/>
              <w:rPr>
                <w:rFonts w:cs="宋体"/>
                <w:sz w:val="21"/>
                <w:szCs w:val="21"/>
                <w:highlight w:val="none"/>
              </w:rPr>
            </w:pPr>
            <w:r>
              <w:rPr>
                <w:rFonts w:hint="eastAsia" w:cs="宋体"/>
                <w:b/>
                <w:sz w:val="21"/>
                <w:szCs w:val="21"/>
                <w:highlight w:val="none"/>
              </w:rPr>
              <w:t>法定代表人/单位负责人（电子签名）：</w:t>
            </w:r>
          </w:p>
        </w:tc>
      </w:tr>
      <w:tr w14:paraId="0884575A">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2C861C76">
            <w:pPr>
              <w:pStyle w:val="105"/>
              <w:spacing w:line="240" w:lineRule="auto"/>
              <w:jc w:val="both"/>
              <w:rPr>
                <w:rFonts w:cs="宋体"/>
                <w:b/>
                <w:bCs/>
                <w:sz w:val="21"/>
                <w:szCs w:val="21"/>
                <w:highlight w:val="none"/>
              </w:rPr>
            </w:pPr>
            <w:r>
              <w:rPr>
                <w:rFonts w:hint="eastAsia" w:cs="宋体"/>
                <w:b/>
                <w:bCs/>
                <w:sz w:val="21"/>
                <w:szCs w:val="21"/>
                <w:highlight w:val="none"/>
              </w:rPr>
              <w:t xml:space="preserve">日期：   </w:t>
            </w:r>
            <w:r>
              <w:rPr>
                <w:rFonts w:hint="eastAsia" w:cs="宋体"/>
                <w:szCs w:val="21"/>
                <w:highlight w:val="none"/>
              </w:rPr>
              <w:t xml:space="preserve"> </w:t>
            </w:r>
            <w:r>
              <w:rPr>
                <w:rFonts w:hint="eastAsia" w:cs="宋体"/>
                <w:b/>
                <w:bCs/>
                <w:sz w:val="21"/>
                <w:szCs w:val="21"/>
                <w:highlight w:val="none"/>
              </w:rPr>
              <w:t>年  月   日</w:t>
            </w:r>
          </w:p>
        </w:tc>
      </w:tr>
    </w:tbl>
    <w:p w14:paraId="033EA0CE">
      <w:pPr>
        <w:widowControl/>
        <w:ind w:firstLine="840" w:firstLineChars="300"/>
        <w:jc w:val="left"/>
        <w:textAlignment w:val="center"/>
        <w:rPr>
          <w:rFonts w:cs="宋体"/>
          <w:b/>
          <w:bCs/>
          <w:sz w:val="28"/>
          <w:szCs w:val="36"/>
          <w:highlight w:val="none"/>
        </w:rPr>
      </w:pPr>
      <w:r>
        <w:rPr>
          <w:rFonts w:hint="eastAsia" w:cs="宋体"/>
          <w:b/>
          <w:bCs/>
          <w:sz w:val="28"/>
          <w:szCs w:val="36"/>
          <w:highlight w:val="none"/>
        </w:rPr>
        <w:br w:type="page"/>
      </w:r>
    </w:p>
    <w:p w14:paraId="4F26F4CF">
      <w:pPr>
        <w:jc w:val="center"/>
        <w:outlineLvl w:val="2"/>
        <w:rPr>
          <w:rFonts w:cs="宋体"/>
          <w:b/>
          <w:bCs/>
          <w:sz w:val="28"/>
          <w:szCs w:val="36"/>
          <w:highlight w:val="none"/>
        </w:rPr>
      </w:pPr>
      <w:r>
        <w:rPr>
          <w:rFonts w:hint="eastAsia" w:cs="宋体"/>
          <w:b/>
          <w:bCs/>
          <w:sz w:val="28"/>
          <w:szCs w:val="36"/>
          <w:highlight w:val="none"/>
        </w:rPr>
        <w:t>（三）</w:t>
      </w:r>
      <w:bookmarkEnd w:id="341"/>
      <w:bookmarkEnd w:id="342"/>
      <w:bookmarkEnd w:id="343"/>
      <w:bookmarkEnd w:id="344"/>
      <w:bookmarkEnd w:id="345"/>
      <w:bookmarkEnd w:id="346"/>
      <w:bookmarkStart w:id="347" w:name="_Toc175582355"/>
      <w:bookmarkStart w:id="348" w:name="_Toc166067784"/>
      <w:bookmarkStart w:id="349" w:name="_Toc32305"/>
      <w:bookmarkStart w:id="350" w:name="_Toc139357081"/>
      <w:bookmarkStart w:id="351" w:name="_Toc171929846"/>
      <w:bookmarkStart w:id="352" w:name="_Toc172205099"/>
      <w:r>
        <w:rPr>
          <w:rFonts w:hint="eastAsia" w:cs="宋体"/>
          <w:b/>
          <w:bCs/>
          <w:sz w:val="28"/>
          <w:szCs w:val="36"/>
          <w:highlight w:val="none"/>
        </w:rPr>
        <w:t>商务条款偏离表</w:t>
      </w:r>
      <w:bookmarkEnd w:id="334"/>
      <w:bookmarkEnd w:id="335"/>
      <w:bookmarkEnd w:id="336"/>
      <w:bookmarkEnd w:id="337"/>
      <w:bookmarkEnd w:id="338"/>
      <w:bookmarkEnd w:id="339"/>
      <w:bookmarkEnd w:id="340"/>
      <w:bookmarkEnd w:id="347"/>
      <w:bookmarkEnd w:id="348"/>
      <w:bookmarkEnd w:id="349"/>
      <w:bookmarkEnd w:id="350"/>
      <w:bookmarkEnd w:id="351"/>
      <w:bookmarkEnd w:id="352"/>
    </w:p>
    <w:p w14:paraId="74F40765">
      <w:pPr>
        <w:pStyle w:val="45"/>
        <w:spacing w:line="400" w:lineRule="exact"/>
        <w:rPr>
          <w:rFonts w:cs="宋体"/>
          <w:highlight w:val="none"/>
        </w:rPr>
      </w:pPr>
      <w:r>
        <w:rPr>
          <w:rFonts w:hint="eastAsia" w:cs="宋体"/>
          <w:highlight w:val="none"/>
        </w:rPr>
        <w:t>投标人须逐条对应投标文件中的商务条款条件，认真填写该表。</w:t>
      </w:r>
    </w:p>
    <w:p w14:paraId="1C9977D0">
      <w:pPr>
        <w:pStyle w:val="45"/>
        <w:spacing w:line="400" w:lineRule="exact"/>
        <w:rPr>
          <w:rFonts w:cs="宋体"/>
          <w:highlight w:val="none"/>
        </w:rPr>
      </w:pPr>
      <w:r>
        <w:rPr>
          <w:rFonts w:hint="eastAsia" w:cs="宋体"/>
          <w:highlight w:val="none"/>
        </w:rPr>
        <w:t>商务条款是指：</w:t>
      </w:r>
      <w:r>
        <w:rPr>
          <w:rFonts w:hint="eastAsia" w:cs="宋体"/>
          <w:b/>
          <w:highlight w:val="none"/>
        </w:rPr>
        <w:t>招标文件中要求的交付时间、服务地点、服务标准等要求。</w:t>
      </w:r>
    </w:p>
    <w:p w14:paraId="7E749072">
      <w:pPr>
        <w:ind w:right="-254" w:rightChars="-121"/>
        <w:rPr>
          <w:rFonts w:cs="宋体"/>
          <w:b/>
          <w:bCs/>
          <w:highlight w:val="none"/>
        </w:rPr>
      </w:pPr>
      <w:r>
        <w:rPr>
          <w:rFonts w:hint="eastAsia" w:cs="宋体"/>
          <w:b/>
          <w:szCs w:val="21"/>
          <w:highlight w:val="none"/>
        </w:rPr>
        <w:t>项目名称</w:t>
      </w:r>
      <w:r>
        <w:rPr>
          <w:rFonts w:hint="eastAsia" w:cs="宋体"/>
          <w:b/>
          <w:bCs/>
          <w:highlight w:val="none"/>
        </w:rPr>
        <w:t>：</w:t>
      </w:r>
      <w:r>
        <w:rPr>
          <w:rFonts w:hint="eastAsia" w:cs="宋体"/>
          <w:b/>
          <w:bCs/>
          <w:highlight w:val="none"/>
          <w:u w:val="single"/>
        </w:rPr>
        <w:t xml:space="preserve">                   </w:t>
      </w:r>
      <w:r>
        <w:rPr>
          <w:rFonts w:hint="eastAsia" w:cs="宋体"/>
          <w:b/>
          <w:bCs/>
          <w:highlight w:val="none"/>
        </w:rPr>
        <w:t xml:space="preserve">                             </w:t>
      </w:r>
    </w:p>
    <w:tbl>
      <w:tblPr>
        <w:tblStyle w:val="8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66"/>
        <w:gridCol w:w="1415"/>
        <w:gridCol w:w="2120"/>
        <w:gridCol w:w="2320"/>
        <w:gridCol w:w="1090"/>
        <w:gridCol w:w="2005"/>
      </w:tblGrid>
      <w:tr w14:paraId="59866C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24" w:hRule="atLeast"/>
        </w:trPr>
        <w:tc>
          <w:tcPr>
            <w:tcW w:w="394" w:type="pct"/>
            <w:vAlign w:val="center"/>
          </w:tcPr>
          <w:p w14:paraId="4E32416E">
            <w:pPr>
              <w:pStyle w:val="45"/>
              <w:spacing w:line="276" w:lineRule="auto"/>
              <w:jc w:val="center"/>
              <w:rPr>
                <w:rFonts w:cs="宋体"/>
                <w:b/>
                <w:highlight w:val="none"/>
              </w:rPr>
            </w:pPr>
            <w:r>
              <w:rPr>
                <w:rFonts w:hint="eastAsia" w:cs="宋体"/>
                <w:b/>
                <w:highlight w:val="none"/>
              </w:rPr>
              <w:t>序号</w:t>
            </w:r>
          </w:p>
        </w:tc>
        <w:tc>
          <w:tcPr>
            <w:tcW w:w="728" w:type="pct"/>
            <w:vAlign w:val="center"/>
          </w:tcPr>
          <w:p w14:paraId="03617341">
            <w:pPr>
              <w:pStyle w:val="45"/>
              <w:spacing w:line="276" w:lineRule="auto"/>
              <w:jc w:val="center"/>
              <w:rPr>
                <w:rFonts w:cs="宋体"/>
                <w:b/>
                <w:highlight w:val="none"/>
              </w:rPr>
            </w:pPr>
            <w:r>
              <w:rPr>
                <w:rFonts w:hint="eastAsia" w:cs="宋体"/>
                <w:b/>
                <w:highlight w:val="none"/>
              </w:rPr>
              <w:t>招标文件页码及条目号</w:t>
            </w:r>
          </w:p>
        </w:tc>
        <w:tc>
          <w:tcPr>
            <w:tcW w:w="1091" w:type="pct"/>
            <w:vAlign w:val="center"/>
          </w:tcPr>
          <w:p w14:paraId="02178DFF">
            <w:pPr>
              <w:pStyle w:val="45"/>
              <w:spacing w:line="276" w:lineRule="auto"/>
              <w:jc w:val="center"/>
              <w:rPr>
                <w:rFonts w:cs="宋体"/>
                <w:b/>
                <w:highlight w:val="none"/>
              </w:rPr>
            </w:pPr>
            <w:r>
              <w:rPr>
                <w:rFonts w:hint="eastAsia" w:cs="宋体"/>
                <w:b/>
                <w:highlight w:val="none"/>
              </w:rPr>
              <w:t>招标文件的商务条款</w:t>
            </w:r>
          </w:p>
        </w:tc>
        <w:tc>
          <w:tcPr>
            <w:tcW w:w="1194" w:type="pct"/>
            <w:vAlign w:val="center"/>
          </w:tcPr>
          <w:p w14:paraId="5841A50D">
            <w:pPr>
              <w:pStyle w:val="45"/>
              <w:spacing w:line="276" w:lineRule="auto"/>
              <w:jc w:val="center"/>
              <w:rPr>
                <w:rFonts w:cs="宋体"/>
                <w:b/>
                <w:highlight w:val="none"/>
              </w:rPr>
            </w:pPr>
            <w:r>
              <w:rPr>
                <w:rFonts w:hint="eastAsia" w:cs="宋体"/>
                <w:b/>
                <w:highlight w:val="none"/>
              </w:rPr>
              <w:t>投标文件的商务条款</w:t>
            </w:r>
          </w:p>
        </w:tc>
        <w:tc>
          <w:tcPr>
            <w:tcW w:w="561" w:type="pct"/>
            <w:vAlign w:val="center"/>
          </w:tcPr>
          <w:p w14:paraId="3B811EC9">
            <w:pPr>
              <w:pStyle w:val="45"/>
              <w:spacing w:line="276" w:lineRule="auto"/>
              <w:jc w:val="center"/>
              <w:rPr>
                <w:rFonts w:cs="宋体"/>
                <w:b/>
                <w:highlight w:val="none"/>
              </w:rPr>
            </w:pPr>
            <w:r>
              <w:rPr>
                <w:rFonts w:hint="eastAsia" w:cs="宋体"/>
                <w:b/>
                <w:highlight w:val="none"/>
              </w:rPr>
              <w:t>响应情况说明</w:t>
            </w:r>
          </w:p>
        </w:tc>
        <w:tc>
          <w:tcPr>
            <w:tcW w:w="1032" w:type="pct"/>
            <w:vAlign w:val="center"/>
          </w:tcPr>
          <w:p w14:paraId="00B4C8DF">
            <w:pPr>
              <w:pStyle w:val="45"/>
              <w:spacing w:line="276" w:lineRule="auto"/>
              <w:jc w:val="center"/>
              <w:rPr>
                <w:rFonts w:cs="宋体"/>
                <w:b/>
                <w:bCs/>
                <w:highlight w:val="none"/>
              </w:rPr>
            </w:pPr>
            <w:r>
              <w:rPr>
                <w:rFonts w:hint="eastAsia" w:cs="宋体"/>
                <w:b/>
                <w:bCs/>
                <w:highlight w:val="none"/>
              </w:rPr>
              <w:t>商务条件支持资料索引</w:t>
            </w:r>
          </w:p>
          <w:p w14:paraId="260D26D2">
            <w:pPr>
              <w:pStyle w:val="45"/>
              <w:spacing w:line="276" w:lineRule="auto"/>
              <w:jc w:val="center"/>
              <w:rPr>
                <w:rFonts w:cs="宋体"/>
                <w:b/>
                <w:highlight w:val="none"/>
              </w:rPr>
            </w:pPr>
            <w:r>
              <w:rPr>
                <w:rFonts w:hint="eastAsia" w:cs="宋体"/>
                <w:b/>
                <w:highlight w:val="none"/>
              </w:rPr>
              <w:t>（页码及条目号等）</w:t>
            </w:r>
          </w:p>
        </w:tc>
      </w:tr>
      <w:tr w14:paraId="52345A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5A4584BC">
            <w:pPr>
              <w:pStyle w:val="45"/>
              <w:rPr>
                <w:rFonts w:cs="宋体"/>
                <w:highlight w:val="none"/>
              </w:rPr>
            </w:pPr>
          </w:p>
        </w:tc>
        <w:tc>
          <w:tcPr>
            <w:tcW w:w="728" w:type="pct"/>
          </w:tcPr>
          <w:p w14:paraId="7DA21600">
            <w:pPr>
              <w:pStyle w:val="45"/>
              <w:rPr>
                <w:rFonts w:cs="宋体"/>
                <w:highlight w:val="none"/>
              </w:rPr>
            </w:pPr>
          </w:p>
        </w:tc>
        <w:tc>
          <w:tcPr>
            <w:tcW w:w="1091" w:type="pct"/>
          </w:tcPr>
          <w:p w14:paraId="6A9AE9F5">
            <w:pPr>
              <w:pStyle w:val="45"/>
              <w:rPr>
                <w:rFonts w:cs="宋体"/>
                <w:highlight w:val="none"/>
              </w:rPr>
            </w:pPr>
          </w:p>
        </w:tc>
        <w:tc>
          <w:tcPr>
            <w:tcW w:w="1194" w:type="pct"/>
          </w:tcPr>
          <w:p w14:paraId="4B70D38F">
            <w:pPr>
              <w:pStyle w:val="45"/>
              <w:rPr>
                <w:rFonts w:cs="宋体"/>
                <w:highlight w:val="none"/>
              </w:rPr>
            </w:pPr>
          </w:p>
        </w:tc>
        <w:tc>
          <w:tcPr>
            <w:tcW w:w="561" w:type="pct"/>
          </w:tcPr>
          <w:p w14:paraId="5541B213">
            <w:pPr>
              <w:pStyle w:val="45"/>
              <w:rPr>
                <w:rFonts w:cs="宋体"/>
                <w:highlight w:val="none"/>
              </w:rPr>
            </w:pPr>
          </w:p>
        </w:tc>
        <w:tc>
          <w:tcPr>
            <w:tcW w:w="1032" w:type="pct"/>
          </w:tcPr>
          <w:p w14:paraId="27ED5DE2">
            <w:pPr>
              <w:pStyle w:val="45"/>
              <w:rPr>
                <w:rFonts w:cs="宋体"/>
                <w:highlight w:val="none"/>
              </w:rPr>
            </w:pPr>
          </w:p>
        </w:tc>
      </w:tr>
      <w:tr w14:paraId="043A4E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394" w:type="pct"/>
          </w:tcPr>
          <w:p w14:paraId="57F9DE5A">
            <w:pPr>
              <w:pStyle w:val="45"/>
              <w:rPr>
                <w:rFonts w:cs="宋体"/>
                <w:highlight w:val="none"/>
              </w:rPr>
            </w:pPr>
          </w:p>
        </w:tc>
        <w:tc>
          <w:tcPr>
            <w:tcW w:w="728" w:type="pct"/>
          </w:tcPr>
          <w:p w14:paraId="2BF82791">
            <w:pPr>
              <w:pStyle w:val="45"/>
              <w:rPr>
                <w:rFonts w:cs="宋体"/>
                <w:highlight w:val="none"/>
              </w:rPr>
            </w:pPr>
          </w:p>
        </w:tc>
        <w:tc>
          <w:tcPr>
            <w:tcW w:w="1091" w:type="pct"/>
          </w:tcPr>
          <w:p w14:paraId="1A08261A">
            <w:pPr>
              <w:pStyle w:val="45"/>
              <w:rPr>
                <w:rFonts w:cs="宋体"/>
                <w:highlight w:val="none"/>
              </w:rPr>
            </w:pPr>
          </w:p>
        </w:tc>
        <w:tc>
          <w:tcPr>
            <w:tcW w:w="1194" w:type="pct"/>
          </w:tcPr>
          <w:p w14:paraId="61B52D5C">
            <w:pPr>
              <w:pStyle w:val="45"/>
              <w:rPr>
                <w:rFonts w:cs="宋体"/>
                <w:highlight w:val="none"/>
              </w:rPr>
            </w:pPr>
          </w:p>
        </w:tc>
        <w:tc>
          <w:tcPr>
            <w:tcW w:w="561" w:type="pct"/>
          </w:tcPr>
          <w:p w14:paraId="70BC036D">
            <w:pPr>
              <w:pStyle w:val="45"/>
              <w:rPr>
                <w:rFonts w:cs="宋体"/>
                <w:highlight w:val="none"/>
              </w:rPr>
            </w:pPr>
          </w:p>
        </w:tc>
        <w:tc>
          <w:tcPr>
            <w:tcW w:w="1032" w:type="pct"/>
          </w:tcPr>
          <w:p w14:paraId="447B763C">
            <w:pPr>
              <w:pStyle w:val="45"/>
              <w:rPr>
                <w:rFonts w:cs="宋体"/>
                <w:highlight w:val="none"/>
              </w:rPr>
            </w:pPr>
          </w:p>
        </w:tc>
      </w:tr>
      <w:tr w14:paraId="4B9146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5C723C3A">
            <w:pPr>
              <w:pStyle w:val="45"/>
              <w:rPr>
                <w:rFonts w:cs="宋体"/>
                <w:highlight w:val="none"/>
              </w:rPr>
            </w:pPr>
          </w:p>
        </w:tc>
        <w:tc>
          <w:tcPr>
            <w:tcW w:w="728" w:type="pct"/>
          </w:tcPr>
          <w:p w14:paraId="13A6A4DD">
            <w:pPr>
              <w:pStyle w:val="45"/>
              <w:rPr>
                <w:rFonts w:cs="宋体"/>
                <w:highlight w:val="none"/>
              </w:rPr>
            </w:pPr>
          </w:p>
        </w:tc>
        <w:tc>
          <w:tcPr>
            <w:tcW w:w="1091" w:type="pct"/>
          </w:tcPr>
          <w:p w14:paraId="237F39D5">
            <w:pPr>
              <w:pStyle w:val="45"/>
              <w:rPr>
                <w:rFonts w:cs="宋体"/>
                <w:highlight w:val="none"/>
              </w:rPr>
            </w:pPr>
          </w:p>
        </w:tc>
        <w:tc>
          <w:tcPr>
            <w:tcW w:w="1194" w:type="pct"/>
          </w:tcPr>
          <w:p w14:paraId="5E8ED2BB">
            <w:pPr>
              <w:pStyle w:val="45"/>
              <w:rPr>
                <w:rFonts w:cs="宋体"/>
                <w:highlight w:val="none"/>
              </w:rPr>
            </w:pPr>
          </w:p>
        </w:tc>
        <w:tc>
          <w:tcPr>
            <w:tcW w:w="561" w:type="pct"/>
          </w:tcPr>
          <w:p w14:paraId="0482732A">
            <w:pPr>
              <w:pStyle w:val="45"/>
              <w:rPr>
                <w:rFonts w:cs="宋体"/>
                <w:highlight w:val="none"/>
              </w:rPr>
            </w:pPr>
          </w:p>
        </w:tc>
        <w:tc>
          <w:tcPr>
            <w:tcW w:w="1032" w:type="pct"/>
          </w:tcPr>
          <w:p w14:paraId="3FE1A45C">
            <w:pPr>
              <w:pStyle w:val="45"/>
              <w:rPr>
                <w:rFonts w:cs="宋体"/>
                <w:highlight w:val="none"/>
              </w:rPr>
            </w:pPr>
          </w:p>
        </w:tc>
      </w:tr>
      <w:tr w14:paraId="0C1B57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018FF824">
            <w:pPr>
              <w:pStyle w:val="45"/>
              <w:rPr>
                <w:rFonts w:cs="宋体"/>
                <w:highlight w:val="none"/>
              </w:rPr>
            </w:pPr>
          </w:p>
        </w:tc>
        <w:tc>
          <w:tcPr>
            <w:tcW w:w="728" w:type="pct"/>
          </w:tcPr>
          <w:p w14:paraId="66323572">
            <w:pPr>
              <w:pStyle w:val="45"/>
              <w:rPr>
                <w:rFonts w:cs="宋体"/>
                <w:highlight w:val="none"/>
              </w:rPr>
            </w:pPr>
          </w:p>
        </w:tc>
        <w:tc>
          <w:tcPr>
            <w:tcW w:w="1091" w:type="pct"/>
          </w:tcPr>
          <w:p w14:paraId="2195EFDF">
            <w:pPr>
              <w:pStyle w:val="45"/>
              <w:rPr>
                <w:rFonts w:cs="宋体"/>
                <w:highlight w:val="none"/>
              </w:rPr>
            </w:pPr>
          </w:p>
        </w:tc>
        <w:tc>
          <w:tcPr>
            <w:tcW w:w="1194" w:type="pct"/>
          </w:tcPr>
          <w:p w14:paraId="675F5977">
            <w:pPr>
              <w:pStyle w:val="45"/>
              <w:rPr>
                <w:rFonts w:cs="宋体"/>
                <w:highlight w:val="none"/>
              </w:rPr>
            </w:pPr>
          </w:p>
        </w:tc>
        <w:tc>
          <w:tcPr>
            <w:tcW w:w="561" w:type="pct"/>
          </w:tcPr>
          <w:p w14:paraId="7B66F546">
            <w:pPr>
              <w:pStyle w:val="45"/>
              <w:rPr>
                <w:rFonts w:cs="宋体"/>
                <w:highlight w:val="none"/>
              </w:rPr>
            </w:pPr>
          </w:p>
        </w:tc>
        <w:tc>
          <w:tcPr>
            <w:tcW w:w="1032" w:type="pct"/>
          </w:tcPr>
          <w:p w14:paraId="305BAE64">
            <w:pPr>
              <w:pStyle w:val="45"/>
              <w:rPr>
                <w:rFonts w:cs="宋体"/>
                <w:highlight w:val="none"/>
              </w:rPr>
            </w:pPr>
          </w:p>
        </w:tc>
      </w:tr>
      <w:tr w14:paraId="2F531C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3F93BE9A">
            <w:pPr>
              <w:pStyle w:val="45"/>
              <w:rPr>
                <w:rFonts w:cs="宋体"/>
                <w:highlight w:val="none"/>
              </w:rPr>
            </w:pPr>
          </w:p>
        </w:tc>
        <w:tc>
          <w:tcPr>
            <w:tcW w:w="728" w:type="pct"/>
          </w:tcPr>
          <w:p w14:paraId="3607D21B">
            <w:pPr>
              <w:pStyle w:val="45"/>
              <w:rPr>
                <w:rFonts w:cs="宋体"/>
                <w:highlight w:val="none"/>
              </w:rPr>
            </w:pPr>
          </w:p>
        </w:tc>
        <w:tc>
          <w:tcPr>
            <w:tcW w:w="1091" w:type="pct"/>
          </w:tcPr>
          <w:p w14:paraId="0513FB22">
            <w:pPr>
              <w:pStyle w:val="45"/>
              <w:rPr>
                <w:rFonts w:cs="宋体"/>
                <w:highlight w:val="none"/>
              </w:rPr>
            </w:pPr>
          </w:p>
        </w:tc>
        <w:tc>
          <w:tcPr>
            <w:tcW w:w="1194" w:type="pct"/>
          </w:tcPr>
          <w:p w14:paraId="4F8FE4E4">
            <w:pPr>
              <w:pStyle w:val="45"/>
              <w:rPr>
                <w:rFonts w:cs="宋体"/>
                <w:highlight w:val="none"/>
              </w:rPr>
            </w:pPr>
          </w:p>
        </w:tc>
        <w:tc>
          <w:tcPr>
            <w:tcW w:w="561" w:type="pct"/>
          </w:tcPr>
          <w:p w14:paraId="07DB9DC7">
            <w:pPr>
              <w:pStyle w:val="45"/>
              <w:rPr>
                <w:rFonts w:cs="宋体"/>
                <w:highlight w:val="none"/>
              </w:rPr>
            </w:pPr>
          </w:p>
        </w:tc>
        <w:tc>
          <w:tcPr>
            <w:tcW w:w="1032" w:type="pct"/>
          </w:tcPr>
          <w:p w14:paraId="50A82E78">
            <w:pPr>
              <w:pStyle w:val="45"/>
              <w:rPr>
                <w:rFonts w:cs="宋体"/>
                <w:highlight w:val="none"/>
              </w:rPr>
            </w:pPr>
          </w:p>
        </w:tc>
      </w:tr>
      <w:tr w14:paraId="2715DD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038E6869">
            <w:pPr>
              <w:pStyle w:val="45"/>
              <w:rPr>
                <w:rFonts w:cs="宋体"/>
                <w:highlight w:val="none"/>
              </w:rPr>
            </w:pPr>
          </w:p>
        </w:tc>
        <w:tc>
          <w:tcPr>
            <w:tcW w:w="728" w:type="pct"/>
          </w:tcPr>
          <w:p w14:paraId="6EAE45ED">
            <w:pPr>
              <w:pStyle w:val="45"/>
              <w:rPr>
                <w:rFonts w:cs="宋体"/>
                <w:highlight w:val="none"/>
              </w:rPr>
            </w:pPr>
          </w:p>
        </w:tc>
        <w:tc>
          <w:tcPr>
            <w:tcW w:w="1091" w:type="pct"/>
          </w:tcPr>
          <w:p w14:paraId="3B47F734">
            <w:pPr>
              <w:pStyle w:val="45"/>
              <w:rPr>
                <w:rFonts w:cs="宋体"/>
                <w:highlight w:val="none"/>
              </w:rPr>
            </w:pPr>
          </w:p>
        </w:tc>
        <w:tc>
          <w:tcPr>
            <w:tcW w:w="1194" w:type="pct"/>
          </w:tcPr>
          <w:p w14:paraId="7E97F8B1">
            <w:pPr>
              <w:pStyle w:val="45"/>
              <w:rPr>
                <w:rFonts w:cs="宋体"/>
                <w:highlight w:val="none"/>
              </w:rPr>
            </w:pPr>
          </w:p>
        </w:tc>
        <w:tc>
          <w:tcPr>
            <w:tcW w:w="561" w:type="pct"/>
          </w:tcPr>
          <w:p w14:paraId="7E2EAFF5">
            <w:pPr>
              <w:pStyle w:val="45"/>
              <w:rPr>
                <w:rFonts w:cs="宋体"/>
                <w:highlight w:val="none"/>
              </w:rPr>
            </w:pPr>
          </w:p>
        </w:tc>
        <w:tc>
          <w:tcPr>
            <w:tcW w:w="1032" w:type="pct"/>
          </w:tcPr>
          <w:p w14:paraId="61DC9A40">
            <w:pPr>
              <w:pStyle w:val="45"/>
              <w:rPr>
                <w:rFonts w:cs="宋体"/>
                <w:highlight w:val="none"/>
              </w:rPr>
            </w:pPr>
          </w:p>
        </w:tc>
      </w:tr>
      <w:tr w14:paraId="0DF580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00F1E45C">
            <w:pPr>
              <w:pStyle w:val="45"/>
              <w:rPr>
                <w:rFonts w:cs="宋体"/>
                <w:highlight w:val="none"/>
              </w:rPr>
            </w:pPr>
          </w:p>
        </w:tc>
        <w:tc>
          <w:tcPr>
            <w:tcW w:w="728" w:type="pct"/>
          </w:tcPr>
          <w:p w14:paraId="34273EA5">
            <w:pPr>
              <w:pStyle w:val="45"/>
              <w:rPr>
                <w:rFonts w:cs="宋体"/>
                <w:highlight w:val="none"/>
              </w:rPr>
            </w:pPr>
          </w:p>
        </w:tc>
        <w:tc>
          <w:tcPr>
            <w:tcW w:w="1091" w:type="pct"/>
          </w:tcPr>
          <w:p w14:paraId="593F8DC5">
            <w:pPr>
              <w:pStyle w:val="45"/>
              <w:rPr>
                <w:rFonts w:cs="宋体"/>
                <w:highlight w:val="none"/>
              </w:rPr>
            </w:pPr>
          </w:p>
        </w:tc>
        <w:tc>
          <w:tcPr>
            <w:tcW w:w="1194" w:type="pct"/>
          </w:tcPr>
          <w:p w14:paraId="13B737BA">
            <w:pPr>
              <w:pStyle w:val="45"/>
              <w:rPr>
                <w:rFonts w:cs="宋体"/>
                <w:highlight w:val="none"/>
              </w:rPr>
            </w:pPr>
          </w:p>
        </w:tc>
        <w:tc>
          <w:tcPr>
            <w:tcW w:w="561" w:type="pct"/>
          </w:tcPr>
          <w:p w14:paraId="7B634041">
            <w:pPr>
              <w:pStyle w:val="45"/>
              <w:rPr>
                <w:rFonts w:cs="宋体"/>
                <w:highlight w:val="none"/>
              </w:rPr>
            </w:pPr>
          </w:p>
        </w:tc>
        <w:tc>
          <w:tcPr>
            <w:tcW w:w="1032" w:type="pct"/>
          </w:tcPr>
          <w:p w14:paraId="64EA98B0">
            <w:pPr>
              <w:pStyle w:val="45"/>
              <w:rPr>
                <w:rFonts w:cs="宋体"/>
                <w:highlight w:val="none"/>
              </w:rPr>
            </w:pPr>
          </w:p>
        </w:tc>
      </w:tr>
      <w:tr w14:paraId="003170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394" w:type="pct"/>
          </w:tcPr>
          <w:p w14:paraId="3EBA141D">
            <w:pPr>
              <w:pStyle w:val="45"/>
              <w:rPr>
                <w:rFonts w:cs="宋体"/>
                <w:highlight w:val="none"/>
              </w:rPr>
            </w:pPr>
          </w:p>
        </w:tc>
        <w:tc>
          <w:tcPr>
            <w:tcW w:w="728" w:type="pct"/>
          </w:tcPr>
          <w:p w14:paraId="1C43E976">
            <w:pPr>
              <w:pStyle w:val="45"/>
              <w:rPr>
                <w:rFonts w:cs="宋体"/>
                <w:highlight w:val="none"/>
              </w:rPr>
            </w:pPr>
          </w:p>
        </w:tc>
        <w:tc>
          <w:tcPr>
            <w:tcW w:w="1091" w:type="pct"/>
          </w:tcPr>
          <w:p w14:paraId="4A0322E7">
            <w:pPr>
              <w:pStyle w:val="45"/>
              <w:rPr>
                <w:rFonts w:cs="宋体"/>
                <w:highlight w:val="none"/>
              </w:rPr>
            </w:pPr>
          </w:p>
        </w:tc>
        <w:tc>
          <w:tcPr>
            <w:tcW w:w="1194" w:type="pct"/>
          </w:tcPr>
          <w:p w14:paraId="7650E84D">
            <w:pPr>
              <w:pStyle w:val="45"/>
              <w:rPr>
                <w:rFonts w:cs="宋体"/>
                <w:highlight w:val="none"/>
              </w:rPr>
            </w:pPr>
          </w:p>
        </w:tc>
        <w:tc>
          <w:tcPr>
            <w:tcW w:w="561" w:type="pct"/>
          </w:tcPr>
          <w:p w14:paraId="4392ACC9">
            <w:pPr>
              <w:pStyle w:val="45"/>
              <w:rPr>
                <w:rFonts w:cs="宋体"/>
                <w:highlight w:val="none"/>
              </w:rPr>
            </w:pPr>
          </w:p>
        </w:tc>
        <w:tc>
          <w:tcPr>
            <w:tcW w:w="1032" w:type="pct"/>
          </w:tcPr>
          <w:p w14:paraId="7D75E87E">
            <w:pPr>
              <w:pStyle w:val="45"/>
              <w:rPr>
                <w:rFonts w:cs="宋体"/>
                <w:highlight w:val="none"/>
              </w:rPr>
            </w:pPr>
          </w:p>
        </w:tc>
      </w:tr>
      <w:tr w14:paraId="1160A5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7C1ED94F">
            <w:pPr>
              <w:pStyle w:val="45"/>
              <w:rPr>
                <w:rFonts w:cs="宋体"/>
                <w:highlight w:val="none"/>
              </w:rPr>
            </w:pPr>
          </w:p>
        </w:tc>
        <w:tc>
          <w:tcPr>
            <w:tcW w:w="728" w:type="pct"/>
          </w:tcPr>
          <w:p w14:paraId="6B4CC21B">
            <w:pPr>
              <w:pStyle w:val="45"/>
              <w:rPr>
                <w:rFonts w:cs="宋体"/>
                <w:highlight w:val="none"/>
              </w:rPr>
            </w:pPr>
          </w:p>
        </w:tc>
        <w:tc>
          <w:tcPr>
            <w:tcW w:w="1091" w:type="pct"/>
          </w:tcPr>
          <w:p w14:paraId="1740CDDC">
            <w:pPr>
              <w:pStyle w:val="45"/>
              <w:rPr>
                <w:rFonts w:cs="宋体"/>
                <w:highlight w:val="none"/>
              </w:rPr>
            </w:pPr>
          </w:p>
        </w:tc>
        <w:tc>
          <w:tcPr>
            <w:tcW w:w="1194" w:type="pct"/>
          </w:tcPr>
          <w:p w14:paraId="04248778">
            <w:pPr>
              <w:pStyle w:val="45"/>
              <w:rPr>
                <w:rFonts w:cs="宋体"/>
                <w:highlight w:val="none"/>
              </w:rPr>
            </w:pPr>
          </w:p>
        </w:tc>
        <w:tc>
          <w:tcPr>
            <w:tcW w:w="561" w:type="pct"/>
          </w:tcPr>
          <w:p w14:paraId="68145A9C">
            <w:pPr>
              <w:pStyle w:val="45"/>
              <w:rPr>
                <w:rFonts w:cs="宋体"/>
                <w:highlight w:val="none"/>
              </w:rPr>
            </w:pPr>
          </w:p>
        </w:tc>
        <w:tc>
          <w:tcPr>
            <w:tcW w:w="1032" w:type="pct"/>
          </w:tcPr>
          <w:p w14:paraId="15881A09">
            <w:pPr>
              <w:pStyle w:val="45"/>
              <w:rPr>
                <w:rFonts w:cs="宋体"/>
                <w:highlight w:val="none"/>
              </w:rPr>
            </w:pPr>
          </w:p>
        </w:tc>
      </w:tr>
      <w:tr w14:paraId="3A2BA0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4D374651">
            <w:pPr>
              <w:pStyle w:val="45"/>
              <w:rPr>
                <w:rFonts w:cs="宋体"/>
                <w:highlight w:val="none"/>
              </w:rPr>
            </w:pPr>
          </w:p>
        </w:tc>
        <w:tc>
          <w:tcPr>
            <w:tcW w:w="728" w:type="pct"/>
          </w:tcPr>
          <w:p w14:paraId="35D3738C">
            <w:pPr>
              <w:pStyle w:val="45"/>
              <w:rPr>
                <w:rFonts w:cs="宋体"/>
                <w:highlight w:val="none"/>
              </w:rPr>
            </w:pPr>
          </w:p>
        </w:tc>
        <w:tc>
          <w:tcPr>
            <w:tcW w:w="1091" w:type="pct"/>
          </w:tcPr>
          <w:p w14:paraId="460FAEC7">
            <w:pPr>
              <w:pStyle w:val="45"/>
              <w:rPr>
                <w:rFonts w:cs="宋体"/>
                <w:highlight w:val="none"/>
              </w:rPr>
            </w:pPr>
          </w:p>
        </w:tc>
        <w:tc>
          <w:tcPr>
            <w:tcW w:w="1194" w:type="pct"/>
          </w:tcPr>
          <w:p w14:paraId="7051833E">
            <w:pPr>
              <w:pStyle w:val="45"/>
              <w:rPr>
                <w:rFonts w:cs="宋体"/>
                <w:highlight w:val="none"/>
              </w:rPr>
            </w:pPr>
          </w:p>
        </w:tc>
        <w:tc>
          <w:tcPr>
            <w:tcW w:w="561" w:type="pct"/>
          </w:tcPr>
          <w:p w14:paraId="0EC8D84B">
            <w:pPr>
              <w:pStyle w:val="45"/>
              <w:rPr>
                <w:rFonts w:cs="宋体"/>
                <w:highlight w:val="none"/>
              </w:rPr>
            </w:pPr>
          </w:p>
        </w:tc>
        <w:tc>
          <w:tcPr>
            <w:tcW w:w="1032" w:type="pct"/>
          </w:tcPr>
          <w:p w14:paraId="3916E87B">
            <w:pPr>
              <w:pStyle w:val="45"/>
              <w:rPr>
                <w:rFonts w:cs="宋体"/>
                <w:highlight w:val="none"/>
              </w:rPr>
            </w:pPr>
          </w:p>
        </w:tc>
      </w:tr>
    </w:tbl>
    <w:p w14:paraId="78713702">
      <w:pPr>
        <w:pStyle w:val="45"/>
        <w:rPr>
          <w:rFonts w:cs="宋体"/>
          <w:highlight w:val="none"/>
        </w:rPr>
      </w:pPr>
      <w:r>
        <w:rPr>
          <w:rFonts w:hint="eastAsia" w:cs="宋体"/>
          <w:highlight w:val="none"/>
        </w:rPr>
        <w:t xml:space="preserve">注：1、“偏离”系指“正偏离”、“负偏离”或“无偏离”。 </w:t>
      </w:r>
    </w:p>
    <w:p w14:paraId="04AEDAB2">
      <w:pPr>
        <w:ind w:firstLine="420" w:firstLineChars="200"/>
        <w:rPr>
          <w:rFonts w:cs="宋体"/>
          <w:bCs/>
          <w:highlight w:val="none"/>
        </w:rPr>
      </w:pPr>
      <w:r>
        <w:rPr>
          <w:rFonts w:hint="eastAsia" w:cs="宋体"/>
          <w:b/>
          <w:color w:val="FF0000"/>
          <w:szCs w:val="21"/>
          <w:highlight w:val="none"/>
        </w:rPr>
        <w:t>2、如无偏差，投标人不需要填表，但应声明：</w:t>
      </w:r>
      <w:r>
        <w:rPr>
          <w:rFonts w:hint="eastAsia" w:cs="宋体"/>
          <w:bCs/>
          <w:color w:val="FF0000"/>
          <w:szCs w:val="21"/>
          <w:highlight w:val="none"/>
        </w:rPr>
        <w:t>“</w:t>
      </w:r>
      <w:r>
        <w:rPr>
          <w:rFonts w:hint="eastAsia" w:cs="宋体"/>
          <w:b/>
          <w:color w:val="FF0000"/>
          <w:szCs w:val="21"/>
          <w:highlight w:val="none"/>
        </w:rPr>
        <w:t>本投标文件完全响应招标文件所有商务条款的要求，无偏离。</w:t>
      </w:r>
      <w:r>
        <w:rPr>
          <w:rFonts w:hint="eastAsia" w:cs="宋体"/>
          <w:bCs/>
          <w:sz w:val="24"/>
          <w:highlight w:val="none"/>
        </w:rPr>
        <w:t>”</w:t>
      </w:r>
    </w:p>
    <w:tbl>
      <w:tblPr>
        <w:tblStyle w:val="88"/>
        <w:tblW w:w="5534" w:type="dxa"/>
        <w:tblInd w:w="4294" w:type="dxa"/>
        <w:tblLayout w:type="fixed"/>
        <w:tblCellMar>
          <w:top w:w="0" w:type="dxa"/>
          <w:left w:w="108" w:type="dxa"/>
          <w:bottom w:w="0" w:type="dxa"/>
          <w:right w:w="108" w:type="dxa"/>
        </w:tblCellMar>
      </w:tblPr>
      <w:tblGrid>
        <w:gridCol w:w="5534"/>
      </w:tblGrid>
      <w:tr w14:paraId="3026CB25">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7B000463">
            <w:pPr>
              <w:pStyle w:val="105"/>
              <w:spacing w:line="240" w:lineRule="auto"/>
              <w:jc w:val="both"/>
              <w:rPr>
                <w:rFonts w:cs="宋体"/>
                <w:sz w:val="21"/>
                <w:szCs w:val="21"/>
                <w:highlight w:val="none"/>
              </w:rPr>
            </w:pPr>
            <w:r>
              <w:rPr>
                <w:rFonts w:hint="eastAsia" w:cs="宋体"/>
                <w:b/>
                <w:sz w:val="21"/>
                <w:szCs w:val="21"/>
                <w:highlight w:val="none"/>
              </w:rPr>
              <w:t>投标人：（加盖电子公章）</w:t>
            </w:r>
          </w:p>
        </w:tc>
      </w:tr>
      <w:tr w14:paraId="7F54A3D5">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597D28E0">
            <w:pPr>
              <w:pStyle w:val="105"/>
              <w:spacing w:line="240" w:lineRule="auto"/>
              <w:jc w:val="both"/>
              <w:rPr>
                <w:rFonts w:cs="宋体"/>
                <w:sz w:val="21"/>
                <w:szCs w:val="21"/>
                <w:highlight w:val="none"/>
              </w:rPr>
            </w:pPr>
            <w:r>
              <w:rPr>
                <w:rFonts w:hint="eastAsia" w:cs="宋体"/>
                <w:b/>
                <w:sz w:val="21"/>
                <w:szCs w:val="21"/>
                <w:highlight w:val="none"/>
              </w:rPr>
              <w:t>法定代表人/单位负责人（电子签名）：</w:t>
            </w:r>
          </w:p>
        </w:tc>
      </w:tr>
      <w:tr w14:paraId="274711B5">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7D34FC30">
            <w:pPr>
              <w:pStyle w:val="105"/>
              <w:spacing w:line="240" w:lineRule="auto"/>
              <w:jc w:val="both"/>
              <w:rPr>
                <w:rFonts w:cs="宋体"/>
                <w:b/>
                <w:bCs/>
                <w:sz w:val="21"/>
                <w:szCs w:val="21"/>
                <w:highlight w:val="none"/>
              </w:rPr>
            </w:pPr>
            <w:r>
              <w:rPr>
                <w:rFonts w:hint="eastAsia" w:cs="宋体"/>
                <w:b/>
                <w:bCs/>
                <w:sz w:val="21"/>
                <w:szCs w:val="21"/>
                <w:highlight w:val="none"/>
              </w:rPr>
              <w:t xml:space="preserve">日期：   </w:t>
            </w:r>
            <w:r>
              <w:rPr>
                <w:rFonts w:hint="eastAsia" w:cs="宋体"/>
                <w:szCs w:val="21"/>
                <w:highlight w:val="none"/>
              </w:rPr>
              <w:t xml:space="preserve"> </w:t>
            </w:r>
            <w:r>
              <w:rPr>
                <w:rFonts w:hint="eastAsia" w:cs="宋体"/>
                <w:b/>
                <w:bCs/>
                <w:sz w:val="21"/>
                <w:szCs w:val="21"/>
                <w:highlight w:val="none"/>
              </w:rPr>
              <w:t>年  月   日</w:t>
            </w:r>
          </w:p>
        </w:tc>
      </w:tr>
    </w:tbl>
    <w:p w14:paraId="6DE00F08">
      <w:pPr>
        <w:rPr>
          <w:rFonts w:cs="宋体"/>
          <w:b/>
          <w:sz w:val="28"/>
          <w:szCs w:val="28"/>
          <w:highlight w:val="none"/>
        </w:rPr>
      </w:pPr>
      <w:r>
        <w:rPr>
          <w:rFonts w:hint="eastAsia" w:cs="宋体"/>
          <w:b/>
          <w:sz w:val="28"/>
          <w:szCs w:val="28"/>
          <w:highlight w:val="none"/>
        </w:rPr>
        <w:br w:type="page"/>
      </w:r>
    </w:p>
    <w:p w14:paraId="0C9B0F48">
      <w:pPr>
        <w:jc w:val="center"/>
        <w:outlineLvl w:val="2"/>
        <w:rPr>
          <w:rFonts w:cs="宋体"/>
          <w:b/>
          <w:sz w:val="28"/>
          <w:szCs w:val="28"/>
          <w:highlight w:val="none"/>
        </w:rPr>
      </w:pPr>
      <w:bookmarkStart w:id="353" w:name="_Toc21799"/>
      <w:bookmarkStart w:id="354" w:name="_Toc23210"/>
      <w:bookmarkStart w:id="355" w:name="_Toc22593"/>
      <w:bookmarkStart w:id="356" w:name="_Toc171929847"/>
      <w:bookmarkStart w:id="357" w:name="_Toc125904355"/>
      <w:bookmarkStart w:id="358" w:name="_Toc17280226"/>
      <w:bookmarkStart w:id="359" w:name="_Toc175582356"/>
      <w:bookmarkStart w:id="360" w:name="_Toc48831820"/>
      <w:bookmarkStart w:id="361" w:name="_Toc166067785"/>
      <w:bookmarkStart w:id="362" w:name="_Toc139357082"/>
      <w:bookmarkStart w:id="363" w:name="_Toc54716798"/>
      <w:bookmarkStart w:id="364" w:name="_Toc125986490"/>
      <w:bookmarkStart w:id="365" w:name="_Toc172205100"/>
      <w:bookmarkStart w:id="366" w:name="_Toc80973394"/>
      <w:bookmarkStart w:id="367" w:name="_Toc522782869"/>
      <w:r>
        <w:rPr>
          <w:rFonts w:hint="eastAsia" w:cs="宋体"/>
          <w:b/>
          <w:sz w:val="28"/>
          <w:szCs w:val="28"/>
          <w:highlight w:val="none"/>
        </w:rPr>
        <w:t>（四）承诺书</w:t>
      </w:r>
    </w:p>
    <w:p w14:paraId="6A8D470A">
      <w:pPr>
        <w:jc w:val="center"/>
        <w:outlineLvl w:val="3"/>
        <w:rPr>
          <w:rFonts w:cs="宋体"/>
          <w:b/>
          <w:bCs/>
          <w:sz w:val="28"/>
          <w:szCs w:val="36"/>
          <w:highlight w:val="none"/>
        </w:rPr>
      </w:pPr>
      <w:r>
        <w:rPr>
          <w:rFonts w:hint="eastAsia" w:cs="宋体"/>
          <w:b/>
          <w:bCs/>
          <w:sz w:val="28"/>
          <w:szCs w:val="36"/>
          <w:highlight w:val="none"/>
        </w:rPr>
        <w:t>1.投标人在投标文件中未提供虚假材料的承诺</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14:paraId="2310B021">
      <w:pPr>
        <w:rPr>
          <w:rFonts w:cs="宋体"/>
          <w:szCs w:val="21"/>
          <w:highlight w:val="none"/>
        </w:rPr>
      </w:pPr>
      <w:r>
        <w:rPr>
          <w:rFonts w:hint="eastAsia" w:cs="宋体"/>
          <w:szCs w:val="21"/>
          <w:highlight w:val="none"/>
        </w:rPr>
        <w:t>致：</w:t>
      </w:r>
      <w:r>
        <w:rPr>
          <w:rFonts w:hint="eastAsia" w:cs="宋体"/>
          <w:szCs w:val="21"/>
          <w:highlight w:val="none"/>
          <w:u w:val="single"/>
        </w:rPr>
        <w:t>（采购人名称）</w:t>
      </w:r>
    </w:p>
    <w:p w14:paraId="734B2F31">
      <w:pPr>
        <w:ind w:firstLine="420" w:firstLineChars="200"/>
        <w:rPr>
          <w:rFonts w:cs="宋体"/>
          <w:szCs w:val="21"/>
          <w:highlight w:val="none"/>
        </w:rPr>
      </w:pPr>
      <w:r>
        <w:rPr>
          <w:rFonts w:hint="eastAsia" w:cs="宋体"/>
          <w:szCs w:val="21"/>
          <w:highlight w:val="none"/>
          <w:u w:val="single"/>
        </w:rPr>
        <w:t xml:space="preserve">   （投标人名称）   </w:t>
      </w:r>
      <w:r>
        <w:rPr>
          <w:rFonts w:hint="eastAsia" w:cs="宋体"/>
          <w:szCs w:val="21"/>
          <w:highlight w:val="none"/>
        </w:rPr>
        <w:t>现对我公司参与的</w:t>
      </w:r>
      <w:r>
        <w:rPr>
          <w:rFonts w:hint="eastAsia" w:cs="宋体"/>
          <w:b/>
          <w:szCs w:val="21"/>
          <w:highlight w:val="none"/>
          <w:u w:val="single"/>
        </w:rPr>
        <w:t xml:space="preserve">            </w:t>
      </w:r>
      <w:r>
        <w:rPr>
          <w:rFonts w:hint="eastAsia" w:cs="宋体"/>
          <w:szCs w:val="21"/>
          <w:highlight w:val="none"/>
          <w:u w:val="single"/>
        </w:rPr>
        <w:t>（项目名称）</w:t>
      </w:r>
      <w:r>
        <w:rPr>
          <w:rFonts w:hint="eastAsia" w:cs="宋体"/>
          <w:b/>
          <w:szCs w:val="21"/>
          <w:highlight w:val="none"/>
          <w:u w:val="single"/>
        </w:rPr>
        <w:t xml:space="preserve">        </w:t>
      </w:r>
      <w:r>
        <w:rPr>
          <w:rFonts w:hint="eastAsia" w:cs="宋体"/>
          <w:szCs w:val="21"/>
          <w:highlight w:val="none"/>
        </w:rPr>
        <w:t>（</w:t>
      </w:r>
      <w:r>
        <w:rPr>
          <w:rFonts w:hint="eastAsia" w:cs="宋体"/>
          <w:szCs w:val="21"/>
          <w:highlight w:val="none"/>
          <w:lang w:val="en-US" w:eastAsia="zh-CN"/>
        </w:rPr>
        <w:t>项目</w:t>
      </w:r>
      <w:r>
        <w:rPr>
          <w:rFonts w:hint="eastAsia" w:cs="宋体"/>
          <w:szCs w:val="21"/>
          <w:highlight w:val="none"/>
        </w:rPr>
        <w:t>编号：</w:t>
      </w:r>
      <w:r>
        <w:rPr>
          <w:rFonts w:hint="eastAsia" w:cs="宋体"/>
          <w:b/>
          <w:szCs w:val="21"/>
          <w:highlight w:val="none"/>
          <w:u w:val="single"/>
        </w:rPr>
        <w:t xml:space="preserve">          </w:t>
      </w:r>
      <w:r>
        <w:rPr>
          <w:rFonts w:hint="eastAsia" w:cs="宋体"/>
          <w:szCs w:val="21"/>
          <w:highlight w:val="none"/>
        </w:rPr>
        <w:t xml:space="preserve"> ）投标中，所提供的所有投标文件材料的真实性郑重声明如下：</w:t>
      </w:r>
    </w:p>
    <w:p w14:paraId="4BCDE29D">
      <w:pPr>
        <w:ind w:firstLine="420" w:firstLineChars="200"/>
        <w:rPr>
          <w:rFonts w:cs="宋体"/>
          <w:szCs w:val="21"/>
          <w:highlight w:val="none"/>
        </w:rPr>
      </w:pPr>
      <w:r>
        <w:rPr>
          <w:rFonts w:hint="eastAsia" w:cs="宋体"/>
          <w:szCs w:val="21"/>
          <w:highlight w:val="none"/>
        </w:rPr>
        <w:t>1、我公司参与本项目投标文件所提供的各项材料，包括但不限于企业基本信息材料、资质与资格材料、</w:t>
      </w:r>
      <w:r>
        <w:rPr>
          <w:rFonts w:hint="eastAsia" w:cs="宋体"/>
          <w:highlight w:val="none"/>
        </w:rPr>
        <w:t>《中小企业声明函》（若有）、残疾人</w:t>
      </w:r>
      <w:r>
        <w:rPr>
          <w:rFonts w:hint="eastAsia" w:cs="宋体"/>
          <w:szCs w:val="28"/>
          <w:highlight w:val="none"/>
        </w:rPr>
        <w:t>福利性单位声明函（若有）、</w:t>
      </w:r>
      <w:r>
        <w:rPr>
          <w:rFonts w:hint="eastAsia" w:cs="宋体"/>
          <w:highlight w:val="none"/>
        </w:rPr>
        <w:t>监狱企业的证明文件（若有）、</w:t>
      </w:r>
      <w:r>
        <w:rPr>
          <w:rFonts w:hint="eastAsia" w:cs="宋体"/>
          <w:szCs w:val="21"/>
          <w:highlight w:val="none"/>
        </w:rPr>
        <w:t>技术参数材料等均是真实的。</w:t>
      </w:r>
    </w:p>
    <w:p w14:paraId="2386B4E9">
      <w:pPr>
        <w:ind w:firstLine="420" w:firstLineChars="200"/>
        <w:rPr>
          <w:rFonts w:cs="宋体"/>
          <w:szCs w:val="21"/>
          <w:highlight w:val="none"/>
        </w:rPr>
      </w:pPr>
      <w:r>
        <w:rPr>
          <w:rFonts w:hint="eastAsia" w:cs="宋体"/>
          <w:szCs w:val="21"/>
          <w:highlight w:val="none"/>
        </w:rPr>
        <w:t>2、我方投标文件中提供的相关材料满足采购人依照本投标文件有关规定进行核查的要求。若根据我方提供的材料无法进行核查或者核查结果证明我方提供的材料不实，我方愿意承担相应的后果。</w:t>
      </w:r>
    </w:p>
    <w:p w14:paraId="44FC036C">
      <w:pPr>
        <w:ind w:firstLine="480"/>
        <w:rPr>
          <w:rFonts w:cs="宋体"/>
          <w:b/>
          <w:szCs w:val="21"/>
          <w:highlight w:val="none"/>
        </w:rPr>
      </w:pPr>
      <w:r>
        <w:rPr>
          <w:rFonts w:hint="eastAsia" w:cs="宋体"/>
          <w:b/>
          <w:szCs w:val="21"/>
          <w:highlight w:val="none"/>
        </w:rPr>
        <w:t>我方郑重承诺：如提供虚假、不真实资料，我方将接受相关处罚，并对因此而造成的损失承担法律责任。</w:t>
      </w:r>
    </w:p>
    <w:p w14:paraId="3375F07B">
      <w:pPr>
        <w:pStyle w:val="102"/>
        <w:ind w:firstLine="420"/>
        <w:rPr>
          <w:highlight w:val="none"/>
          <w:lang w:eastAsia="zh-CN"/>
        </w:rPr>
      </w:pPr>
    </w:p>
    <w:tbl>
      <w:tblPr>
        <w:tblStyle w:val="88"/>
        <w:tblW w:w="5534" w:type="dxa"/>
        <w:tblInd w:w="4294" w:type="dxa"/>
        <w:tblLayout w:type="fixed"/>
        <w:tblCellMar>
          <w:top w:w="0" w:type="dxa"/>
          <w:left w:w="108" w:type="dxa"/>
          <w:bottom w:w="0" w:type="dxa"/>
          <w:right w:w="108" w:type="dxa"/>
        </w:tblCellMar>
      </w:tblPr>
      <w:tblGrid>
        <w:gridCol w:w="5534"/>
      </w:tblGrid>
      <w:tr w14:paraId="19D6E3B7">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5FEF5D05">
            <w:pPr>
              <w:pStyle w:val="105"/>
              <w:spacing w:line="240" w:lineRule="auto"/>
              <w:jc w:val="both"/>
              <w:rPr>
                <w:rFonts w:cs="宋体"/>
                <w:sz w:val="21"/>
                <w:szCs w:val="21"/>
                <w:highlight w:val="none"/>
              </w:rPr>
            </w:pPr>
            <w:r>
              <w:rPr>
                <w:rFonts w:hint="eastAsia" w:cs="宋体"/>
                <w:b/>
                <w:sz w:val="21"/>
                <w:szCs w:val="21"/>
                <w:highlight w:val="none"/>
              </w:rPr>
              <w:t>投标人：（加盖电子公章）</w:t>
            </w:r>
          </w:p>
        </w:tc>
      </w:tr>
      <w:tr w14:paraId="00898644">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789B92CD">
            <w:pPr>
              <w:pStyle w:val="105"/>
              <w:spacing w:line="240" w:lineRule="auto"/>
              <w:jc w:val="both"/>
              <w:rPr>
                <w:rFonts w:cs="宋体"/>
                <w:sz w:val="21"/>
                <w:szCs w:val="21"/>
                <w:highlight w:val="none"/>
              </w:rPr>
            </w:pPr>
            <w:r>
              <w:rPr>
                <w:rFonts w:hint="eastAsia" w:cs="宋体"/>
                <w:b/>
                <w:sz w:val="21"/>
                <w:szCs w:val="21"/>
                <w:highlight w:val="none"/>
              </w:rPr>
              <w:t>法定代表人/单位负责人（电子签名）：</w:t>
            </w:r>
          </w:p>
        </w:tc>
      </w:tr>
      <w:tr w14:paraId="771D5645">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60789988">
            <w:pPr>
              <w:pStyle w:val="105"/>
              <w:spacing w:line="240" w:lineRule="auto"/>
              <w:jc w:val="both"/>
              <w:rPr>
                <w:rFonts w:cs="宋体"/>
                <w:b/>
                <w:bCs/>
                <w:sz w:val="21"/>
                <w:szCs w:val="21"/>
                <w:highlight w:val="none"/>
              </w:rPr>
            </w:pPr>
            <w:r>
              <w:rPr>
                <w:rFonts w:hint="eastAsia" w:cs="宋体"/>
                <w:b/>
                <w:bCs/>
                <w:sz w:val="21"/>
                <w:szCs w:val="21"/>
                <w:highlight w:val="none"/>
              </w:rPr>
              <w:t xml:space="preserve">日期：   </w:t>
            </w:r>
            <w:r>
              <w:rPr>
                <w:rFonts w:hint="eastAsia" w:cs="宋体"/>
                <w:szCs w:val="21"/>
                <w:highlight w:val="none"/>
              </w:rPr>
              <w:t xml:space="preserve"> </w:t>
            </w:r>
            <w:r>
              <w:rPr>
                <w:rFonts w:hint="eastAsia" w:cs="宋体"/>
                <w:b/>
                <w:bCs/>
                <w:sz w:val="21"/>
                <w:szCs w:val="21"/>
                <w:highlight w:val="none"/>
              </w:rPr>
              <w:t>年  月   日</w:t>
            </w:r>
          </w:p>
        </w:tc>
      </w:tr>
    </w:tbl>
    <w:p w14:paraId="3ED7D5F9">
      <w:pPr>
        <w:pStyle w:val="87"/>
        <w:rPr>
          <w:rFonts w:cs="宋体"/>
          <w:highlight w:val="none"/>
        </w:rPr>
      </w:pPr>
    </w:p>
    <w:p w14:paraId="691CFB2E">
      <w:pPr>
        <w:rPr>
          <w:rFonts w:cs="宋体"/>
          <w:b/>
          <w:spacing w:val="6"/>
          <w:sz w:val="28"/>
          <w:szCs w:val="21"/>
          <w:highlight w:val="none"/>
        </w:rPr>
      </w:pPr>
      <w:r>
        <w:rPr>
          <w:rFonts w:hint="eastAsia" w:cs="宋体"/>
          <w:b/>
          <w:spacing w:val="6"/>
          <w:sz w:val="28"/>
          <w:szCs w:val="21"/>
          <w:highlight w:val="none"/>
        </w:rPr>
        <w:br w:type="page"/>
      </w:r>
    </w:p>
    <w:p w14:paraId="1B65AA5F">
      <w:pPr>
        <w:jc w:val="center"/>
        <w:outlineLvl w:val="3"/>
        <w:rPr>
          <w:rFonts w:cs="宋体"/>
          <w:b/>
          <w:sz w:val="28"/>
          <w:szCs w:val="28"/>
          <w:highlight w:val="none"/>
        </w:rPr>
      </w:pPr>
      <w:r>
        <w:rPr>
          <w:rFonts w:hint="eastAsia" w:cs="宋体"/>
          <w:b/>
          <w:sz w:val="28"/>
          <w:szCs w:val="28"/>
          <w:highlight w:val="none"/>
        </w:rPr>
        <w:t>2.质量及服务承诺</w:t>
      </w:r>
    </w:p>
    <w:p w14:paraId="0B3F5D41">
      <w:pPr>
        <w:rPr>
          <w:rFonts w:cs="宋体"/>
          <w:szCs w:val="21"/>
          <w:highlight w:val="none"/>
        </w:rPr>
      </w:pPr>
      <w:r>
        <w:rPr>
          <w:rFonts w:hint="eastAsia" w:cs="宋体"/>
          <w:szCs w:val="21"/>
          <w:highlight w:val="none"/>
        </w:rPr>
        <w:t>致：</w:t>
      </w:r>
      <w:r>
        <w:rPr>
          <w:rFonts w:hint="eastAsia" w:cs="宋体"/>
          <w:szCs w:val="21"/>
          <w:highlight w:val="none"/>
          <w:u w:val="single"/>
        </w:rPr>
        <w:t>（采购人名称）</w:t>
      </w:r>
    </w:p>
    <w:p w14:paraId="6E7F3719">
      <w:pPr>
        <w:ind w:firstLine="420"/>
        <w:rPr>
          <w:b/>
          <w:bCs/>
          <w:highlight w:val="none"/>
        </w:rPr>
      </w:pPr>
      <w:r>
        <w:rPr>
          <w:rFonts w:hint="eastAsia" w:cs="宋体"/>
          <w:szCs w:val="21"/>
          <w:highlight w:val="none"/>
          <w:u w:val="single"/>
        </w:rPr>
        <w:t xml:space="preserve">   （投标人名称）   </w:t>
      </w:r>
      <w:r>
        <w:rPr>
          <w:rFonts w:hint="eastAsia" w:cs="宋体"/>
          <w:szCs w:val="21"/>
          <w:highlight w:val="none"/>
        </w:rPr>
        <w:t>现对我公司参与的</w:t>
      </w:r>
      <w:r>
        <w:rPr>
          <w:rFonts w:hint="eastAsia" w:cs="宋体"/>
          <w:b/>
          <w:szCs w:val="21"/>
          <w:highlight w:val="none"/>
          <w:u w:val="single"/>
        </w:rPr>
        <w:t xml:space="preserve">            </w:t>
      </w:r>
      <w:r>
        <w:rPr>
          <w:rFonts w:hint="eastAsia" w:cs="宋体"/>
          <w:szCs w:val="21"/>
          <w:highlight w:val="none"/>
          <w:u w:val="single"/>
        </w:rPr>
        <w:t>（项目名称）</w:t>
      </w:r>
      <w:r>
        <w:rPr>
          <w:rFonts w:hint="eastAsia" w:cs="宋体"/>
          <w:b/>
          <w:szCs w:val="21"/>
          <w:highlight w:val="none"/>
          <w:u w:val="single"/>
        </w:rPr>
        <w:t xml:space="preserve">        </w:t>
      </w:r>
      <w:r>
        <w:rPr>
          <w:rFonts w:hint="eastAsia" w:cs="宋体"/>
          <w:szCs w:val="21"/>
          <w:highlight w:val="none"/>
        </w:rPr>
        <w:t>（</w:t>
      </w:r>
      <w:r>
        <w:rPr>
          <w:rFonts w:hint="eastAsia" w:cs="宋体"/>
          <w:szCs w:val="21"/>
          <w:highlight w:val="none"/>
          <w:lang w:val="en-US" w:eastAsia="zh-CN"/>
        </w:rPr>
        <w:t>项目</w:t>
      </w:r>
      <w:r>
        <w:rPr>
          <w:rFonts w:hint="eastAsia" w:cs="宋体"/>
          <w:szCs w:val="21"/>
          <w:highlight w:val="none"/>
        </w:rPr>
        <w:t>编号：</w:t>
      </w:r>
      <w:r>
        <w:rPr>
          <w:rFonts w:hint="eastAsia" w:cs="宋体"/>
          <w:b/>
          <w:szCs w:val="21"/>
          <w:highlight w:val="none"/>
          <w:u w:val="single"/>
        </w:rPr>
        <w:t xml:space="preserve">          </w:t>
      </w:r>
      <w:r>
        <w:rPr>
          <w:rFonts w:hint="eastAsia" w:cs="宋体"/>
          <w:szCs w:val="21"/>
          <w:highlight w:val="none"/>
        </w:rPr>
        <w:t xml:space="preserve"> ）投标中，我方郑重承诺：</w:t>
      </w:r>
    </w:p>
    <w:p w14:paraId="329CB687">
      <w:pPr>
        <w:spacing w:line="360" w:lineRule="auto"/>
        <w:ind w:firstLine="420" w:firstLineChars="200"/>
        <w:rPr>
          <w:rStyle w:val="98"/>
          <w:rFonts w:hint="eastAsia" w:ascii="宋体" w:hAnsi="宋体" w:eastAsia="宋体" w:cs="宋体"/>
          <w:b w:val="0"/>
          <w:bCs w:val="0"/>
          <w:sz w:val="21"/>
          <w:szCs w:val="21"/>
          <w:highlight w:val="none"/>
        </w:rPr>
      </w:pPr>
      <w:bookmarkStart w:id="368" w:name="_Toc16888"/>
      <w:r>
        <w:rPr>
          <w:rStyle w:val="98"/>
          <w:rFonts w:hint="eastAsia" w:ascii="宋体" w:hAnsi="宋体" w:eastAsia="宋体" w:cs="宋体"/>
          <w:b w:val="0"/>
          <w:bCs w:val="0"/>
          <w:sz w:val="21"/>
          <w:szCs w:val="21"/>
          <w:highlight w:val="none"/>
          <w:lang w:val="en-US" w:eastAsia="zh-CN"/>
        </w:rPr>
        <w:t>1、</w:t>
      </w:r>
      <w:r>
        <w:rPr>
          <w:rStyle w:val="98"/>
          <w:rFonts w:hint="eastAsia" w:ascii="宋体" w:hAnsi="宋体" w:eastAsia="宋体" w:cs="宋体"/>
          <w:b w:val="0"/>
          <w:bCs w:val="0"/>
          <w:sz w:val="21"/>
          <w:szCs w:val="21"/>
          <w:highlight w:val="none"/>
        </w:rPr>
        <w:t>印刷服务方面</w:t>
      </w:r>
    </w:p>
    <w:bookmarkEnd w:id="368"/>
    <w:p w14:paraId="57E3F5FC">
      <w:pPr>
        <w:spacing w:line="360" w:lineRule="auto"/>
        <w:ind w:firstLine="420" w:firstLineChars="200"/>
        <w:rPr>
          <w:rStyle w:val="98"/>
          <w:rFonts w:hint="eastAsia" w:ascii="宋体" w:hAnsi="宋体" w:eastAsia="宋体" w:cs="宋体"/>
          <w:b w:val="0"/>
          <w:bCs w:val="0"/>
          <w:sz w:val="21"/>
          <w:szCs w:val="21"/>
          <w:highlight w:val="none"/>
        </w:rPr>
      </w:pPr>
      <w:bookmarkStart w:id="369" w:name="_Toc7883"/>
      <w:r>
        <w:rPr>
          <w:rStyle w:val="98"/>
          <w:rFonts w:hint="eastAsia" w:ascii="宋体" w:hAnsi="宋体" w:eastAsia="宋体" w:cs="宋体"/>
          <w:b w:val="0"/>
          <w:bCs w:val="0"/>
          <w:sz w:val="21"/>
          <w:szCs w:val="21"/>
          <w:highlight w:val="none"/>
        </w:rPr>
        <w:t>(1）印刷安全要求：</w:t>
      </w:r>
    </w:p>
    <w:bookmarkEnd w:id="369"/>
    <w:p w14:paraId="0D8CB3F8">
      <w:pPr>
        <w:spacing w:line="360" w:lineRule="auto"/>
        <w:ind w:firstLine="420" w:firstLineChars="200"/>
        <w:rPr>
          <w:rStyle w:val="98"/>
          <w:rFonts w:hint="eastAsia" w:ascii="宋体" w:hAnsi="宋体" w:eastAsia="宋体" w:cs="宋体"/>
          <w:b w:val="0"/>
          <w:bCs w:val="0"/>
          <w:sz w:val="21"/>
          <w:szCs w:val="21"/>
          <w:highlight w:val="none"/>
        </w:rPr>
      </w:pPr>
      <w:bookmarkStart w:id="370" w:name="_Toc25602"/>
      <w:r>
        <w:rPr>
          <w:rStyle w:val="98"/>
          <w:rFonts w:hint="eastAsia" w:ascii="宋体" w:hAnsi="宋体" w:eastAsia="宋体" w:cs="宋体"/>
          <w:b w:val="0"/>
          <w:bCs w:val="0"/>
          <w:sz w:val="21"/>
          <w:szCs w:val="21"/>
          <w:highlight w:val="none"/>
        </w:rPr>
        <w:t>投标人须落实意识形态内容终审核查，做好版面资料保密管控；规范印刷设备、用电、消防及新闻纸仓储安全管理，合规处置废报残品，严防样报私自外流，保障报纸印刷全过程合法安全。</w:t>
      </w:r>
    </w:p>
    <w:bookmarkEnd w:id="370"/>
    <w:p w14:paraId="6B99C2B0">
      <w:pPr>
        <w:spacing w:line="360" w:lineRule="auto"/>
        <w:ind w:firstLine="420" w:firstLineChars="200"/>
        <w:rPr>
          <w:rStyle w:val="98"/>
          <w:rFonts w:hint="eastAsia" w:ascii="宋体" w:hAnsi="宋体" w:eastAsia="宋体" w:cs="宋体"/>
          <w:b w:val="0"/>
          <w:bCs w:val="0"/>
          <w:sz w:val="21"/>
          <w:szCs w:val="21"/>
          <w:highlight w:val="none"/>
        </w:rPr>
      </w:pPr>
      <w:bookmarkStart w:id="371" w:name="_Toc28092"/>
      <w:r>
        <w:rPr>
          <w:rStyle w:val="98"/>
          <w:rFonts w:hint="eastAsia" w:ascii="宋体" w:hAnsi="宋体" w:eastAsia="宋体" w:cs="宋体"/>
          <w:b w:val="0"/>
          <w:bCs w:val="0"/>
          <w:sz w:val="21"/>
          <w:szCs w:val="21"/>
          <w:highlight w:val="none"/>
        </w:rPr>
        <w:t>(2）印刷纸张要求：</w:t>
      </w:r>
    </w:p>
    <w:bookmarkEnd w:id="371"/>
    <w:p w14:paraId="3E6E831C">
      <w:pPr>
        <w:spacing w:line="360" w:lineRule="auto"/>
        <w:ind w:firstLine="420" w:firstLineChars="200"/>
        <w:rPr>
          <w:rStyle w:val="98"/>
          <w:rFonts w:hint="eastAsia" w:ascii="宋体" w:hAnsi="宋体" w:eastAsia="宋体" w:cs="宋体"/>
          <w:b w:val="0"/>
          <w:bCs w:val="0"/>
          <w:sz w:val="21"/>
          <w:szCs w:val="21"/>
          <w:highlight w:val="none"/>
        </w:rPr>
      </w:pPr>
      <w:bookmarkStart w:id="372" w:name="_Toc16162"/>
      <w:r>
        <w:rPr>
          <w:rStyle w:val="98"/>
          <w:rFonts w:hint="eastAsia" w:ascii="宋体" w:hAnsi="宋体" w:eastAsia="宋体" w:cs="宋体"/>
          <w:b w:val="0"/>
          <w:bCs w:val="0"/>
          <w:sz w:val="21"/>
          <w:szCs w:val="21"/>
          <w:highlight w:val="none"/>
        </w:rPr>
        <w:t>用纸：使用48g优质新闻纸，纸张表面平整，无褶皱、破口。印刷版面无黑斑、无脏迹、无糊版，干净清晰。</w:t>
      </w:r>
    </w:p>
    <w:bookmarkEnd w:id="372"/>
    <w:p w14:paraId="48254AF4">
      <w:pPr>
        <w:spacing w:line="360" w:lineRule="auto"/>
        <w:ind w:firstLine="420" w:firstLineChars="200"/>
        <w:rPr>
          <w:rStyle w:val="98"/>
          <w:rFonts w:hint="eastAsia" w:ascii="宋体" w:hAnsi="宋体" w:eastAsia="宋体" w:cs="宋体"/>
          <w:b w:val="0"/>
          <w:bCs w:val="0"/>
          <w:sz w:val="21"/>
          <w:szCs w:val="21"/>
          <w:highlight w:val="none"/>
        </w:rPr>
      </w:pPr>
      <w:bookmarkStart w:id="373" w:name="_Toc20262"/>
      <w:r>
        <w:rPr>
          <w:rStyle w:val="98"/>
          <w:rFonts w:hint="eastAsia" w:ascii="宋体" w:hAnsi="宋体" w:eastAsia="宋体" w:cs="宋体"/>
          <w:b w:val="0"/>
          <w:bCs w:val="0"/>
          <w:sz w:val="21"/>
          <w:szCs w:val="21"/>
          <w:highlight w:val="none"/>
        </w:rPr>
        <w:t>(3）印刷质量要求：</w:t>
      </w:r>
    </w:p>
    <w:bookmarkEnd w:id="373"/>
    <w:p w14:paraId="1FF86F58">
      <w:pPr>
        <w:spacing w:line="360" w:lineRule="auto"/>
        <w:ind w:firstLine="420" w:firstLineChars="200"/>
        <w:rPr>
          <w:rStyle w:val="98"/>
          <w:rFonts w:hint="eastAsia" w:ascii="宋体" w:hAnsi="宋体" w:eastAsia="宋体" w:cs="宋体"/>
          <w:b w:val="0"/>
          <w:bCs w:val="0"/>
          <w:sz w:val="21"/>
          <w:szCs w:val="21"/>
          <w:highlight w:val="none"/>
        </w:rPr>
      </w:pPr>
      <w:bookmarkStart w:id="374" w:name="_Toc25255"/>
      <w:r>
        <w:rPr>
          <w:rStyle w:val="98"/>
          <w:rFonts w:hint="eastAsia" w:ascii="宋体" w:hAnsi="宋体" w:eastAsia="宋体" w:cs="宋体"/>
          <w:b w:val="0"/>
          <w:bCs w:val="0"/>
          <w:sz w:val="21"/>
          <w:szCs w:val="21"/>
          <w:highlight w:val="none"/>
        </w:rPr>
        <w:t>1.图片：</w:t>
      </w:r>
    </w:p>
    <w:bookmarkEnd w:id="374"/>
    <w:p w14:paraId="529C4D11">
      <w:pPr>
        <w:spacing w:line="360" w:lineRule="auto"/>
        <w:ind w:firstLine="420" w:firstLineChars="200"/>
        <w:rPr>
          <w:rStyle w:val="98"/>
          <w:rFonts w:hint="eastAsia" w:ascii="宋体" w:hAnsi="宋体" w:eastAsia="宋体" w:cs="宋体"/>
          <w:b w:val="0"/>
          <w:bCs w:val="0"/>
          <w:sz w:val="21"/>
          <w:szCs w:val="21"/>
          <w:highlight w:val="none"/>
        </w:rPr>
      </w:pPr>
      <w:bookmarkStart w:id="375" w:name="_Toc11499"/>
      <w:r>
        <w:rPr>
          <w:rStyle w:val="98"/>
          <w:rFonts w:hint="eastAsia" w:ascii="宋体" w:hAnsi="宋体" w:eastAsia="宋体" w:cs="宋体"/>
          <w:b w:val="0"/>
          <w:bCs w:val="0"/>
          <w:sz w:val="21"/>
          <w:szCs w:val="21"/>
          <w:highlight w:val="none"/>
        </w:rPr>
        <w:t>（1）图片要求层次分明，反差适中，网点清晰结实、不变形，不出龟纹、不缺色、不糊版、清晰度好、符合自然色调。</w:t>
      </w:r>
    </w:p>
    <w:bookmarkEnd w:id="375"/>
    <w:p w14:paraId="75E196E4">
      <w:pPr>
        <w:spacing w:line="360" w:lineRule="auto"/>
        <w:ind w:firstLine="420" w:firstLineChars="200"/>
        <w:rPr>
          <w:rStyle w:val="98"/>
          <w:rFonts w:hint="eastAsia" w:ascii="宋体" w:hAnsi="宋体" w:eastAsia="宋体" w:cs="宋体"/>
          <w:b w:val="0"/>
          <w:bCs w:val="0"/>
          <w:sz w:val="21"/>
          <w:szCs w:val="21"/>
          <w:highlight w:val="none"/>
        </w:rPr>
      </w:pPr>
      <w:bookmarkStart w:id="376" w:name="_Toc4468"/>
      <w:r>
        <w:rPr>
          <w:rStyle w:val="98"/>
          <w:rFonts w:hint="eastAsia" w:ascii="宋体" w:hAnsi="宋体" w:eastAsia="宋体" w:cs="宋体"/>
          <w:b w:val="0"/>
          <w:bCs w:val="0"/>
          <w:sz w:val="21"/>
          <w:szCs w:val="21"/>
          <w:highlight w:val="none"/>
        </w:rPr>
        <w:t>（2)彩色图片套印准确，误差小于0.15mm，直观彩色照片边缘无漏色、无网点不实和变形。</w:t>
      </w:r>
    </w:p>
    <w:bookmarkEnd w:id="376"/>
    <w:p w14:paraId="340E05E5">
      <w:pPr>
        <w:spacing w:line="360" w:lineRule="auto"/>
        <w:ind w:firstLine="420" w:firstLineChars="200"/>
        <w:rPr>
          <w:rStyle w:val="98"/>
          <w:rFonts w:hint="eastAsia" w:ascii="宋体" w:hAnsi="宋体" w:eastAsia="宋体" w:cs="宋体"/>
          <w:b w:val="0"/>
          <w:bCs w:val="0"/>
          <w:sz w:val="21"/>
          <w:szCs w:val="21"/>
          <w:highlight w:val="none"/>
        </w:rPr>
      </w:pPr>
      <w:bookmarkStart w:id="377" w:name="_Toc25801"/>
      <w:r>
        <w:rPr>
          <w:rStyle w:val="98"/>
          <w:rFonts w:hint="eastAsia" w:ascii="宋体" w:hAnsi="宋体" w:eastAsia="宋体" w:cs="宋体"/>
          <w:b w:val="0"/>
          <w:bCs w:val="0"/>
          <w:sz w:val="21"/>
          <w:szCs w:val="21"/>
          <w:highlight w:val="none"/>
        </w:rPr>
        <w:t>2.墨色：</w:t>
      </w:r>
    </w:p>
    <w:bookmarkEnd w:id="377"/>
    <w:p w14:paraId="56256493">
      <w:pPr>
        <w:spacing w:line="360" w:lineRule="auto"/>
        <w:ind w:firstLine="420" w:firstLineChars="200"/>
        <w:rPr>
          <w:rStyle w:val="98"/>
          <w:rFonts w:hint="eastAsia" w:ascii="宋体" w:hAnsi="宋体" w:eastAsia="宋体" w:cs="宋体"/>
          <w:b w:val="0"/>
          <w:bCs w:val="0"/>
          <w:sz w:val="21"/>
          <w:szCs w:val="21"/>
          <w:highlight w:val="none"/>
        </w:rPr>
      </w:pPr>
      <w:bookmarkStart w:id="378" w:name="_Toc18224"/>
      <w:r>
        <w:rPr>
          <w:rStyle w:val="98"/>
          <w:rFonts w:hint="eastAsia" w:ascii="宋体" w:hAnsi="宋体" w:eastAsia="宋体" w:cs="宋体"/>
          <w:b w:val="0"/>
          <w:bCs w:val="0"/>
          <w:sz w:val="21"/>
          <w:szCs w:val="21"/>
          <w:highlight w:val="none"/>
        </w:rPr>
        <w:t>（1)整版墨色均匀一致，横向实地密度误差0.05，直观墨色深浅基本一致。</w:t>
      </w:r>
    </w:p>
    <w:bookmarkEnd w:id="378"/>
    <w:p w14:paraId="6E7D3E62">
      <w:pPr>
        <w:spacing w:line="360" w:lineRule="auto"/>
        <w:ind w:firstLine="420" w:firstLineChars="200"/>
        <w:rPr>
          <w:rStyle w:val="98"/>
          <w:rFonts w:hint="eastAsia" w:ascii="宋体" w:hAnsi="宋体" w:eastAsia="宋体" w:cs="宋体"/>
          <w:b w:val="0"/>
          <w:bCs w:val="0"/>
          <w:sz w:val="21"/>
          <w:szCs w:val="21"/>
          <w:highlight w:val="none"/>
        </w:rPr>
      </w:pPr>
      <w:bookmarkStart w:id="379" w:name="_Toc11576"/>
      <w:r>
        <w:rPr>
          <w:rStyle w:val="98"/>
          <w:rFonts w:hint="eastAsia" w:ascii="宋体" w:hAnsi="宋体" w:eastAsia="宋体" w:cs="宋体"/>
          <w:b w:val="0"/>
          <w:bCs w:val="0"/>
          <w:sz w:val="21"/>
          <w:szCs w:val="21"/>
          <w:highlight w:val="none"/>
        </w:rPr>
        <w:t>（2)彩色图片的墨色饱满适中，包相纯正，不偏色。</w:t>
      </w:r>
    </w:p>
    <w:bookmarkEnd w:id="379"/>
    <w:p w14:paraId="74DF3393">
      <w:pPr>
        <w:spacing w:line="360" w:lineRule="auto"/>
        <w:ind w:firstLine="420" w:firstLineChars="200"/>
        <w:rPr>
          <w:rStyle w:val="98"/>
          <w:rFonts w:hint="eastAsia" w:ascii="宋体" w:hAnsi="宋体" w:eastAsia="宋体" w:cs="宋体"/>
          <w:b w:val="0"/>
          <w:bCs w:val="0"/>
          <w:sz w:val="21"/>
          <w:szCs w:val="21"/>
          <w:highlight w:val="none"/>
        </w:rPr>
      </w:pPr>
      <w:bookmarkStart w:id="380" w:name="_Toc11285"/>
      <w:r>
        <w:rPr>
          <w:rStyle w:val="98"/>
          <w:rFonts w:hint="eastAsia" w:ascii="宋体" w:hAnsi="宋体" w:eastAsia="宋体" w:cs="宋体"/>
          <w:b w:val="0"/>
          <w:bCs w:val="0"/>
          <w:sz w:val="21"/>
          <w:szCs w:val="21"/>
          <w:highlight w:val="none"/>
        </w:rPr>
        <w:t>3.版面：</w:t>
      </w:r>
    </w:p>
    <w:bookmarkEnd w:id="380"/>
    <w:p w14:paraId="60325D5B">
      <w:pPr>
        <w:spacing w:line="360" w:lineRule="auto"/>
        <w:rPr>
          <w:rStyle w:val="98"/>
          <w:rFonts w:hint="eastAsia" w:ascii="宋体" w:hAnsi="宋体" w:eastAsia="宋体" w:cs="宋体"/>
          <w:b w:val="0"/>
          <w:bCs w:val="0"/>
          <w:sz w:val="21"/>
          <w:szCs w:val="21"/>
          <w:highlight w:val="none"/>
        </w:rPr>
      </w:pPr>
      <w:bookmarkStart w:id="381" w:name="_Toc21136"/>
      <w:r>
        <w:rPr>
          <w:rStyle w:val="98"/>
          <w:rFonts w:hint="eastAsia" w:ascii="宋体" w:hAnsi="宋体" w:eastAsia="宋体" w:cs="宋体"/>
          <w:b w:val="0"/>
          <w:bCs w:val="0"/>
          <w:sz w:val="21"/>
          <w:szCs w:val="21"/>
          <w:highlight w:val="none"/>
        </w:rPr>
        <w:t>外观应整洁，无重影，无透印，版面平整，版心居中，折叠整齐，无破损。</w:t>
      </w:r>
    </w:p>
    <w:bookmarkEnd w:id="381"/>
    <w:p w14:paraId="39551B53">
      <w:pPr>
        <w:spacing w:line="360" w:lineRule="auto"/>
        <w:ind w:firstLine="420" w:firstLineChars="200"/>
        <w:rPr>
          <w:rStyle w:val="98"/>
          <w:rFonts w:hint="eastAsia" w:ascii="宋体" w:hAnsi="宋体" w:eastAsia="宋体" w:cs="宋体"/>
          <w:b w:val="0"/>
          <w:bCs w:val="0"/>
          <w:sz w:val="21"/>
          <w:szCs w:val="21"/>
          <w:highlight w:val="none"/>
        </w:rPr>
      </w:pPr>
      <w:bookmarkStart w:id="382" w:name="_Toc5147"/>
      <w:r>
        <w:rPr>
          <w:rStyle w:val="98"/>
          <w:rFonts w:hint="eastAsia" w:ascii="宋体" w:hAnsi="宋体" w:eastAsia="宋体" w:cs="宋体"/>
          <w:b w:val="0"/>
          <w:bCs w:val="0"/>
          <w:sz w:val="21"/>
          <w:szCs w:val="21"/>
          <w:highlight w:val="none"/>
        </w:rPr>
        <w:t>（1)天头略大于底角。</w:t>
      </w:r>
    </w:p>
    <w:bookmarkEnd w:id="382"/>
    <w:p w14:paraId="642C4E2D">
      <w:pPr>
        <w:spacing w:line="360" w:lineRule="auto"/>
        <w:ind w:firstLine="420" w:firstLineChars="200"/>
        <w:rPr>
          <w:rStyle w:val="98"/>
          <w:rFonts w:hint="eastAsia" w:ascii="宋体" w:hAnsi="宋体" w:eastAsia="宋体" w:cs="宋体"/>
          <w:b w:val="0"/>
          <w:bCs w:val="0"/>
          <w:sz w:val="21"/>
          <w:szCs w:val="21"/>
          <w:highlight w:val="none"/>
        </w:rPr>
      </w:pPr>
      <w:bookmarkStart w:id="383" w:name="_Toc5625"/>
      <w:r>
        <w:rPr>
          <w:rStyle w:val="98"/>
          <w:rFonts w:hint="eastAsia" w:ascii="宋体" w:hAnsi="宋体" w:eastAsia="宋体" w:cs="宋体"/>
          <w:b w:val="0"/>
          <w:bCs w:val="0"/>
          <w:sz w:val="21"/>
          <w:szCs w:val="21"/>
          <w:highlight w:val="none"/>
        </w:rPr>
        <w:t>（2)无版面脏迹、白点、水迹、拼版标记划痕、油脏、墨脏、墨皮、墨杠、白杠等。</w:t>
      </w:r>
    </w:p>
    <w:bookmarkEnd w:id="383"/>
    <w:p w14:paraId="7D1A88C0">
      <w:pPr>
        <w:spacing w:line="360" w:lineRule="auto"/>
        <w:ind w:firstLine="420" w:firstLineChars="200"/>
        <w:rPr>
          <w:rStyle w:val="98"/>
          <w:rFonts w:hint="eastAsia" w:ascii="宋体" w:hAnsi="宋体" w:eastAsia="宋体" w:cs="宋体"/>
          <w:b w:val="0"/>
          <w:bCs w:val="0"/>
          <w:sz w:val="21"/>
          <w:szCs w:val="21"/>
          <w:highlight w:val="none"/>
        </w:rPr>
      </w:pPr>
      <w:bookmarkStart w:id="384" w:name="_Toc19599"/>
      <w:r>
        <w:rPr>
          <w:rStyle w:val="98"/>
          <w:rFonts w:hint="eastAsia" w:ascii="宋体" w:hAnsi="宋体" w:eastAsia="宋体" w:cs="宋体"/>
          <w:b w:val="0"/>
          <w:bCs w:val="0"/>
          <w:sz w:val="21"/>
          <w:szCs w:val="21"/>
          <w:highlight w:val="none"/>
        </w:rPr>
        <w:t>(3)无破损包括纸张破损、叨针眼过大、严重透印。</w:t>
      </w:r>
    </w:p>
    <w:bookmarkEnd w:id="384"/>
    <w:p w14:paraId="69B5C11B">
      <w:pPr>
        <w:spacing w:line="360" w:lineRule="auto"/>
        <w:ind w:firstLine="420" w:firstLineChars="200"/>
        <w:rPr>
          <w:rStyle w:val="98"/>
          <w:rFonts w:hint="eastAsia" w:ascii="宋体" w:hAnsi="宋体" w:eastAsia="宋体" w:cs="宋体"/>
          <w:b w:val="0"/>
          <w:bCs w:val="0"/>
          <w:sz w:val="21"/>
          <w:szCs w:val="21"/>
          <w:highlight w:val="none"/>
        </w:rPr>
      </w:pPr>
      <w:bookmarkStart w:id="385" w:name="_Toc1327"/>
      <w:r>
        <w:rPr>
          <w:rStyle w:val="98"/>
          <w:rFonts w:hint="eastAsia" w:ascii="宋体" w:hAnsi="宋体" w:eastAsia="宋体" w:cs="宋体"/>
          <w:b w:val="0"/>
          <w:bCs w:val="0"/>
          <w:sz w:val="21"/>
          <w:szCs w:val="21"/>
          <w:highlight w:val="none"/>
        </w:rPr>
        <w:t>4.标题：</w:t>
      </w:r>
    </w:p>
    <w:bookmarkEnd w:id="385"/>
    <w:p w14:paraId="4D740B86">
      <w:pPr>
        <w:spacing w:line="360" w:lineRule="auto"/>
        <w:ind w:firstLine="420" w:firstLineChars="200"/>
        <w:rPr>
          <w:rStyle w:val="98"/>
          <w:rFonts w:hint="eastAsia" w:ascii="宋体" w:hAnsi="宋体" w:eastAsia="宋体" w:cs="宋体"/>
          <w:b w:val="0"/>
          <w:bCs w:val="0"/>
          <w:sz w:val="21"/>
          <w:szCs w:val="21"/>
          <w:highlight w:val="none"/>
        </w:rPr>
      </w:pPr>
      <w:bookmarkStart w:id="386" w:name="_Toc21337"/>
      <w:r>
        <w:rPr>
          <w:rStyle w:val="98"/>
          <w:rFonts w:hint="eastAsia" w:ascii="宋体" w:hAnsi="宋体" w:eastAsia="宋体" w:cs="宋体"/>
          <w:b w:val="0"/>
          <w:bCs w:val="0"/>
          <w:sz w:val="21"/>
          <w:szCs w:val="21"/>
          <w:highlight w:val="none"/>
        </w:rPr>
        <w:t>（1)多色标题套印准确、色相纯正、不出重影。</w:t>
      </w:r>
    </w:p>
    <w:bookmarkEnd w:id="386"/>
    <w:p w14:paraId="39CD9154">
      <w:pPr>
        <w:spacing w:line="360" w:lineRule="auto"/>
        <w:ind w:firstLine="420" w:firstLineChars="200"/>
        <w:rPr>
          <w:rStyle w:val="98"/>
          <w:rFonts w:hint="eastAsia" w:ascii="宋体" w:hAnsi="宋体" w:eastAsia="宋体" w:cs="宋体"/>
          <w:b w:val="0"/>
          <w:bCs w:val="0"/>
          <w:sz w:val="21"/>
          <w:szCs w:val="21"/>
          <w:highlight w:val="none"/>
        </w:rPr>
      </w:pPr>
      <w:bookmarkStart w:id="387" w:name="_Toc6441"/>
      <w:r>
        <w:rPr>
          <w:rStyle w:val="98"/>
          <w:rFonts w:hint="eastAsia" w:ascii="宋体" w:hAnsi="宋体" w:eastAsia="宋体" w:cs="宋体"/>
          <w:b w:val="0"/>
          <w:bCs w:val="0"/>
          <w:sz w:val="21"/>
          <w:szCs w:val="21"/>
          <w:highlight w:val="none"/>
        </w:rPr>
        <w:t>（2)质量标准：图片、题字、版面不发灰、不掉版、无绝网。图片、文字严重模糊，版面有（整版的及展开后宽度满10毫米的）、破洞、油污（指直径满20毫米的）为废报；重要图片印坏、上错版、上倒版、局部漏印等均属事故。</w:t>
      </w:r>
    </w:p>
    <w:bookmarkEnd w:id="387"/>
    <w:p w14:paraId="67809AFA">
      <w:pPr>
        <w:spacing w:line="360" w:lineRule="auto"/>
        <w:ind w:firstLine="420" w:firstLineChars="200"/>
        <w:rPr>
          <w:rStyle w:val="98"/>
          <w:rFonts w:hint="eastAsia" w:ascii="宋体" w:hAnsi="宋体" w:eastAsia="宋体" w:cs="宋体"/>
          <w:b w:val="0"/>
          <w:bCs w:val="0"/>
          <w:sz w:val="21"/>
          <w:szCs w:val="21"/>
          <w:highlight w:val="none"/>
        </w:rPr>
      </w:pPr>
      <w:bookmarkStart w:id="388" w:name="_Toc11648"/>
      <w:r>
        <w:rPr>
          <w:rStyle w:val="98"/>
          <w:rFonts w:hint="eastAsia" w:ascii="宋体" w:hAnsi="宋体" w:eastAsia="宋体" w:cs="宋体"/>
          <w:b w:val="0"/>
          <w:bCs w:val="0"/>
          <w:sz w:val="21"/>
          <w:szCs w:val="21"/>
          <w:highlight w:val="none"/>
        </w:rPr>
        <w:t>（3)供报数字准确，报纸短缺率不超过万分之三。</w:t>
      </w:r>
    </w:p>
    <w:bookmarkEnd w:id="388"/>
    <w:p w14:paraId="2C43AD01">
      <w:pPr>
        <w:spacing w:line="360" w:lineRule="auto"/>
        <w:ind w:firstLine="420" w:firstLineChars="200"/>
        <w:rPr>
          <w:rStyle w:val="98"/>
          <w:rFonts w:hint="eastAsia" w:ascii="宋体" w:hAnsi="宋体" w:eastAsia="宋体" w:cs="宋体"/>
          <w:b w:val="0"/>
          <w:bCs w:val="0"/>
          <w:sz w:val="21"/>
          <w:szCs w:val="21"/>
          <w:highlight w:val="none"/>
        </w:rPr>
      </w:pPr>
      <w:bookmarkStart w:id="389" w:name="_Toc6937"/>
      <w:r>
        <w:rPr>
          <w:rStyle w:val="98"/>
          <w:rFonts w:hint="eastAsia" w:ascii="宋体" w:hAnsi="宋体" w:eastAsia="宋体" w:cs="宋体"/>
          <w:b w:val="0"/>
          <w:bCs w:val="0"/>
          <w:sz w:val="21"/>
          <w:szCs w:val="21"/>
          <w:highlight w:val="none"/>
        </w:rPr>
        <w:t>(4）印刷工艺要求：一次性套印双面彩色印刷</w:t>
      </w:r>
    </w:p>
    <w:bookmarkEnd w:id="389"/>
    <w:p w14:paraId="27266C69">
      <w:pPr>
        <w:spacing w:line="360" w:lineRule="auto"/>
        <w:ind w:firstLine="420" w:firstLineChars="200"/>
        <w:rPr>
          <w:rStyle w:val="98"/>
          <w:rFonts w:hint="eastAsia" w:ascii="宋体" w:hAnsi="宋体" w:eastAsia="宋体" w:cs="宋体"/>
          <w:b w:val="0"/>
          <w:bCs w:val="0"/>
          <w:sz w:val="21"/>
          <w:szCs w:val="21"/>
          <w:highlight w:val="none"/>
        </w:rPr>
      </w:pPr>
      <w:bookmarkStart w:id="390" w:name="_Toc32420"/>
      <w:r>
        <w:rPr>
          <w:rStyle w:val="98"/>
          <w:rFonts w:hint="eastAsia" w:ascii="宋体" w:hAnsi="宋体" w:eastAsia="宋体" w:cs="宋体"/>
          <w:b w:val="0"/>
          <w:bCs w:val="0"/>
          <w:sz w:val="21"/>
          <w:szCs w:val="21"/>
          <w:highlight w:val="none"/>
        </w:rPr>
        <w:t>（5）印刷和交付时限要求：版面传齐后40分钟内开印，并按邮局规定时间，在每天第一班车、船出发前交报，实行早报早投。</w:t>
      </w:r>
    </w:p>
    <w:bookmarkEnd w:id="390"/>
    <w:p w14:paraId="6B1E10F7">
      <w:pPr>
        <w:spacing w:line="360" w:lineRule="auto"/>
        <w:ind w:firstLine="420" w:firstLineChars="200"/>
        <w:rPr>
          <w:rStyle w:val="98"/>
          <w:rFonts w:hint="eastAsia" w:ascii="宋体" w:hAnsi="宋体" w:eastAsia="宋体" w:cs="宋体"/>
          <w:b w:val="0"/>
          <w:bCs w:val="0"/>
          <w:sz w:val="21"/>
          <w:szCs w:val="21"/>
          <w:highlight w:val="none"/>
        </w:rPr>
      </w:pPr>
      <w:bookmarkStart w:id="391" w:name="_Toc2666"/>
      <w:r>
        <w:rPr>
          <w:rStyle w:val="98"/>
          <w:rFonts w:hint="eastAsia" w:ascii="宋体" w:hAnsi="宋体" w:eastAsia="宋体" w:cs="宋体"/>
          <w:b w:val="0"/>
          <w:bCs w:val="0"/>
          <w:sz w:val="21"/>
          <w:szCs w:val="21"/>
          <w:highlight w:val="none"/>
        </w:rPr>
        <w:t>（6）投标供应商具备发行业务主管单位（中国邮政）驻场邮发条件。</w:t>
      </w:r>
    </w:p>
    <w:bookmarkEnd w:id="391"/>
    <w:p w14:paraId="4F7A325C">
      <w:pPr>
        <w:spacing w:line="360" w:lineRule="auto"/>
        <w:ind w:firstLine="420" w:firstLineChars="200"/>
        <w:rPr>
          <w:rStyle w:val="98"/>
          <w:rFonts w:hint="eastAsia" w:ascii="宋体" w:hAnsi="宋体" w:eastAsia="宋体" w:cs="宋体"/>
          <w:b w:val="0"/>
          <w:bCs w:val="0"/>
          <w:sz w:val="21"/>
          <w:szCs w:val="21"/>
          <w:highlight w:val="none"/>
          <w:lang w:val="en-US" w:eastAsia="zh-CN"/>
        </w:rPr>
      </w:pPr>
      <w:bookmarkStart w:id="392" w:name="_Toc20882"/>
      <w:r>
        <w:rPr>
          <w:rStyle w:val="98"/>
          <w:rFonts w:hint="eastAsia" w:cs="宋体"/>
          <w:b/>
          <w:bCs/>
          <w:sz w:val="21"/>
          <w:szCs w:val="21"/>
          <w:highlight w:val="none"/>
          <w:lang w:val="en-US" w:eastAsia="zh-CN"/>
        </w:rPr>
        <w:t>2</w:t>
      </w:r>
      <w:r>
        <w:rPr>
          <w:rStyle w:val="98"/>
          <w:rFonts w:hint="eastAsia" w:ascii="宋体" w:hAnsi="宋体" w:eastAsia="宋体" w:cs="宋体"/>
          <w:bCs/>
          <w:sz w:val="21"/>
          <w:szCs w:val="21"/>
          <w:highlight w:val="none"/>
        </w:rPr>
        <w:t>、</w:t>
      </w:r>
      <w:r>
        <w:rPr>
          <w:rStyle w:val="98"/>
          <w:rFonts w:hint="eastAsia" w:ascii="宋体" w:hAnsi="宋体" w:eastAsia="宋体" w:cs="宋体"/>
          <w:b/>
          <w:bCs/>
          <w:sz w:val="21"/>
          <w:szCs w:val="21"/>
          <w:highlight w:val="none"/>
        </w:rPr>
        <w:t>组版服务方面</w:t>
      </w:r>
      <w:r>
        <w:rPr>
          <w:rStyle w:val="98"/>
          <w:rFonts w:hint="eastAsia" w:ascii="宋体" w:hAnsi="宋体" w:eastAsia="宋体" w:cs="宋体"/>
          <w:b/>
          <w:bCs/>
          <w:sz w:val="21"/>
          <w:szCs w:val="21"/>
          <w:highlight w:val="none"/>
          <w:lang w:val="en-US" w:eastAsia="zh-CN"/>
        </w:rPr>
        <w:t>要求</w:t>
      </w:r>
    </w:p>
    <w:bookmarkEnd w:id="392"/>
    <w:p w14:paraId="49E6702E">
      <w:pPr>
        <w:spacing w:line="360" w:lineRule="auto"/>
        <w:ind w:firstLine="420" w:firstLineChars="200"/>
        <w:rPr>
          <w:rStyle w:val="98"/>
          <w:rFonts w:hint="eastAsia" w:ascii="宋体" w:hAnsi="宋体" w:eastAsia="宋体" w:cs="宋体"/>
          <w:b w:val="0"/>
          <w:bCs w:val="0"/>
          <w:sz w:val="21"/>
          <w:szCs w:val="21"/>
          <w:highlight w:val="none"/>
        </w:rPr>
      </w:pPr>
      <w:bookmarkStart w:id="393" w:name="_Toc21409"/>
      <w:r>
        <w:rPr>
          <w:rStyle w:val="98"/>
          <w:rFonts w:hint="eastAsia" w:ascii="宋体" w:hAnsi="宋体" w:eastAsia="宋体" w:cs="宋体"/>
          <w:b w:val="0"/>
          <w:bCs w:val="0"/>
          <w:sz w:val="21"/>
          <w:szCs w:val="21"/>
          <w:highlight w:val="none"/>
        </w:rPr>
        <w:t>1.按质按量完成每期报纸录入、组版、初校、按编辑要求修改大样和清样后，交付印刷，打包后送至采购人指定地点；</w:t>
      </w:r>
    </w:p>
    <w:bookmarkEnd w:id="393"/>
    <w:p w14:paraId="4F716BAE">
      <w:pPr>
        <w:spacing w:line="360" w:lineRule="auto"/>
        <w:ind w:firstLine="420" w:firstLineChars="200"/>
        <w:rPr>
          <w:rStyle w:val="98"/>
          <w:rFonts w:hint="eastAsia" w:ascii="宋体" w:hAnsi="宋体" w:eastAsia="宋体" w:cs="宋体"/>
          <w:b w:val="0"/>
          <w:bCs w:val="0"/>
          <w:sz w:val="21"/>
          <w:szCs w:val="21"/>
          <w:highlight w:val="none"/>
        </w:rPr>
      </w:pPr>
      <w:bookmarkStart w:id="394" w:name="_Toc16915"/>
      <w:r>
        <w:rPr>
          <w:rStyle w:val="98"/>
          <w:rFonts w:hint="eastAsia" w:ascii="宋体" w:hAnsi="宋体" w:eastAsia="宋体" w:cs="宋体"/>
          <w:b w:val="0"/>
          <w:bCs w:val="0"/>
          <w:sz w:val="21"/>
          <w:szCs w:val="21"/>
          <w:highlight w:val="none"/>
        </w:rPr>
        <w:t>2.严格按照采编校审人员提供的内容开展工作，不得擅自增减、篡改内容；</w:t>
      </w:r>
    </w:p>
    <w:bookmarkEnd w:id="394"/>
    <w:p w14:paraId="54550E1A">
      <w:pPr>
        <w:spacing w:line="360" w:lineRule="auto"/>
        <w:ind w:firstLine="420" w:firstLineChars="200"/>
        <w:rPr>
          <w:rFonts w:hint="eastAsia" w:ascii="宋体" w:hAnsi="宋体" w:eastAsia="宋体" w:cs="宋体"/>
          <w:b w:val="0"/>
          <w:bCs w:val="0"/>
          <w:sz w:val="21"/>
          <w:szCs w:val="21"/>
          <w:highlight w:val="none"/>
        </w:rPr>
      </w:pPr>
      <w:bookmarkStart w:id="395" w:name="_Toc26442"/>
      <w:r>
        <w:rPr>
          <w:rStyle w:val="98"/>
          <w:rFonts w:hint="eastAsia" w:ascii="宋体" w:hAnsi="宋体" w:eastAsia="宋体" w:cs="宋体"/>
          <w:b w:val="0"/>
          <w:bCs w:val="0"/>
          <w:sz w:val="21"/>
          <w:szCs w:val="21"/>
          <w:highlight w:val="none"/>
        </w:rPr>
        <w:t>3.严格保密，不得将任何版面内容和交接信息外泄。</w:t>
      </w:r>
      <w:bookmarkEnd w:id="395"/>
    </w:p>
    <w:p w14:paraId="30801CF7">
      <w:pPr>
        <w:ind w:firstLine="420" w:firstLineChars="200"/>
        <w:rPr>
          <w:rFonts w:hint="eastAsia"/>
          <w:b/>
          <w:bCs/>
          <w:highlight w:val="none"/>
        </w:rPr>
      </w:pPr>
      <w:bookmarkStart w:id="396" w:name="_Toc5261"/>
      <w:r>
        <w:rPr>
          <w:rFonts w:hint="eastAsia"/>
          <w:b/>
          <w:bCs/>
          <w:highlight w:val="none"/>
        </w:rPr>
        <w:t>特此承诺</w:t>
      </w:r>
    </w:p>
    <w:p w14:paraId="315BEEDE">
      <w:pPr>
        <w:ind w:firstLine="420" w:firstLineChars="200"/>
        <w:rPr>
          <w:rFonts w:hint="eastAsia"/>
          <w:b/>
          <w:bCs/>
          <w:highlight w:val="none"/>
        </w:rPr>
      </w:pPr>
    </w:p>
    <w:bookmarkEnd w:id="396"/>
    <w:tbl>
      <w:tblPr>
        <w:tblStyle w:val="88"/>
        <w:tblW w:w="5560" w:type="dxa"/>
        <w:tblInd w:w="4294" w:type="dxa"/>
        <w:tblLayout w:type="fixed"/>
        <w:tblCellMar>
          <w:top w:w="0" w:type="dxa"/>
          <w:left w:w="108" w:type="dxa"/>
          <w:bottom w:w="0" w:type="dxa"/>
          <w:right w:w="108" w:type="dxa"/>
        </w:tblCellMar>
      </w:tblPr>
      <w:tblGrid>
        <w:gridCol w:w="5560"/>
      </w:tblGrid>
      <w:tr w14:paraId="403CDE0B">
        <w:trPr>
          <w:trHeight w:val="591" w:hRule="atLeast"/>
        </w:trPr>
        <w:tc>
          <w:tcPr>
            <w:tcW w:w="5560" w:type="dxa"/>
            <w:tcBorders>
              <w:top w:val="nil"/>
              <w:left w:val="nil"/>
              <w:bottom w:val="nil"/>
              <w:right w:val="nil"/>
            </w:tcBorders>
            <w:noWrap/>
            <w:vAlign w:val="center"/>
          </w:tcPr>
          <w:p w14:paraId="4DB652D2">
            <w:pPr>
              <w:pStyle w:val="105"/>
              <w:spacing w:line="240" w:lineRule="auto"/>
              <w:jc w:val="both"/>
              <w:rPr>
                <w:rFonts w:cs="宋体"/>
                <w:sz w:val="21"/>
                <w:szCs w:val="21"/>
                <w:highlight w:val="none"/>
              </w:rPr>
            </w:pPr>
            <w:r>
              <w:rPr>
                <w:rFonts w:hint="eastAsia" w:cs="宋体"/>
                <w:b/>
                <w:sz w:val="21"/>
                <w:szCs w:val="21"/>
                <w:highlight w:val="none"/>
              </w:rPr>
              <w:t>投标人：（加盖电子公章）</w:t>
            </w:r>
          </w:p>
        </w:tc>
      </w:tr>
      <w:tr w14:paraId="32BBB7A5">
        <w:tblPrEx>
          <w:tblCellMar>
            <w:top w:w="0" w:type="dxa"/>
            <w:left w:w="108" w:type="dxa"/>
            <w:bottom w:w="0" w:type="dxa"/>
            <w:right w:w="108" w:type="dxa"/>
          </w:tblCellMar>
        </w:tblPrEx>
        <w:trPr>
          <w:trHeight w:val="591" w:hRule="atLeast"/>
        </w:trPr>
        <w:tc>
          <w:tcPr>
            <w:tcW w:w="5560" w:type="dxa"/>
            <w:tcBorders>
              <w:top w:val="nil"/>
              <w:left w:val="nil"/>
              <w:bottom w:val="nil"/>
              <w:right w:val="nil"/>
            </w:tcBorders>
            <w:noWrap/>
            <w:vAlign w:val="center"/>
          </w:tcPr>
          <w:p w14:paraId="5C22323B">
            <w:pPr>
              <w:pStyle w:val="105"/>
              <w:spacing w:line="240" w:lineRule="auto"/>
              <w:jc w:val="both"/>
              <w:rPr>
                <w:rFonts w:cs="宋体"/>
                <w:sz w:val="21"/>
                <w:szCs w:val="21"/>
                <w:highlight w:val="none"/>
              </w:rPr>
            </w:pPr>
            <w:r>
              <w:rPr>
                <w:rFonts w:hint="eastAsia" w:cs="宋体"/>
                <w:b/>
                <w:sz w:val="21"/>
                <w:szCs w:val="21"/>
                <w:highlight w:val="none"/>
              </w:rPr>
              <w:t>法定代表人/单位负责人（电子签名）：</w:t>
            </w:r>
          </w:p>
        </w:tc>
      </w:tr>
      <w:tr w14:paraId="1C0974D4">
        <w:tblPrEx>
          <w:tblCellMar>
            <w:top w:w="0" w:type="dxa"/>
            <w:left w:w="108" w:type="dxa"/>
            <w:bottom w:w="0" w:type="dxa"/>
            <w:right w:w="108" w:type="dxa"/>
          </w:tblCellMar>
        </w:tblPrEx>
        <w:trPr>
          <w:trHeight w:val="591" w:hRule="atLeast"/>
        </w:trPr>
        <w:tc>
          <w:tcPr>
            <w:tcW w:w="5560" w:type="dxa"/>
            <w:tcBorders>
              <w:top w:val="nil"/>
              <w:left w:val="nil"/>
              <w:bottom w:val="nil"/>
              <w:right w:val="nil"/>
            </w:tcBorders>
            <w:noWrap/>
            <w:vAlign w:val="center"/>
          </w:tcPr>
          <w:p w14:paraId="4ADA9F2A">
            <w:pPr>
              <w:pStyle w:val="105"/>
              <w:spacing w:line="240" w:lineRule="auto"/>
              <w:jc w:val="both"/>
              <w:rPr>
                <w:rFonts w:cs="宋体"/>
                <w:b/>
                <w:bCs/>
                <w:sz w:val="21"/>
                <w:szCs w:val="21"/>
                <w:highlight w:val="none"/>
              </w:rPr>
            </w:pPr>
            <w:r>
              <w:rPr>
                <w:rFonts w:hint="eastAsia" w:cs="宋体"/>
                <w:b/>
                <w:bCs/>
                <w:sz w:val="21"/>
                <w:szCs w:val="21"/>
                <w:highlight w:val="none"/>
              </w:rPr>
              <w:t xml:space="preserve">日期：    年  </w:t>
            </w:r>
            <w:r>
              <w:rPr>
                <w:rFonts w:cs="宋体"/>
                <w:b/>
                <w:bCs/>
                <w:sz w:val="21"/>
                <w:szCs w:val="21"/>
                <w:highlight w:val="none"/>
              </w:rPr>
              <w:t xml:space="preserve"> </w:t>
            </w:r>
            <w:r>
              <w:rPr>
                <w:rFonts w:hint="eastAsia" w:cs="宋体"/>
                <w:b/>
                <w:bCs/>
                <w:sz w:val="21"/>
                <w:szCs w:val="21"/>
                <w:highlight w:val="none"/>
              </w:rPr>
              <w:t xml:space="preserve">月 </w:t>
            </w:r>
            <w:r>
              <w:rPr>
                <w:rFonts w:cs="宋体"/>
                <w:b/>
                <w:bCs/>
                <w:sz w:val="21"/>
                <w:szCs w:val="21"/>
                <w:highlight w:val="none"/>
              </w:rPr>
              <w:t xml:space="preserve">  </w:t>
            </w:r>
            <w:r>
              <w:rPr>
                <w:rFonts w:hint="eastAsia" w:cs="宋体"/>
                <w:b/>
                <w:bCs/>
                <w:sz w:val="21"/>
                <w:szCs w:val="21"/>
                <w:highlight w:val="none"/>
              </w:rPr>
              <w:t>日</w:t>
            </w:r>
          </w:p>
        </w:tc>
      </w:tr>
    </w:tbl>
    <w:p w14:paraId="49EB1CDA">
      <w:pPr>
        <w:widowControl/>
        <w:spacing w:line="240" w:lineRule="auto"/>
        <w:jc w:val="left"/>
        <w:rPr>
          <w:b/>
          <w:spacing w:val="6"/>
          <w:sz w:val="28"/>
          <w:szCs w:val="21"/>
          <w:highlight w:val="none"/>
        </w:rPr>
      </w:pPr>
    </w:p>
    <w:p w14:paraId="0E3CF099">
      <w:pPr>
        <w:pStyle w:val="26"/>
        <w:rPr>
          <w:highlight w:val="none"/>
        </w:rPr>
      </w:pPr>
    </w:p>
    <w:p w14:paraId="7E31E302">
      <w:pPr>
        <w:rPr>
          <w:rFonts w:cs="宋体"/>
          <w:b/>
          <w:spacing w:val="6"/>
          <w:sz w:val="28"/>
          <w:szCs w:val="21"/>
          <w:highlight w:val="none"/>
        </w:rPr>
      </w:pPr>
      <w:r>
        <w:rPr>
          <w:rFonts w:hint="eastAsia" w:cs="宋体"/>
          <w:b/>
          <w:spacing w:val="6"/>
          <w:sz w:val="28"/>
          <w:szCs w:val="21"/>
          <w:highlight w:val="none"/>
        </w:rPr>
        <w:br w:type="page"/>
      </w:r>
    </w:p>
    <w:p w14:paraId="2C68E9ED">
      <w:pPr>
        <w:jc w:val="center"/>
        <w:outlineLvl w:val="2"/>
        <w:rPr>
          <w:rFonts w:hint="eastAsia" w:cs="宋体"/>
          <w:b/>
          <w:sz w:val="28"/>
          <w:szCs w:val="28"/>
          <w:highlight w:val="none"/>
        </w:rPr>
      </w:pPr>
      <w:bookmarkStart w:id="397" w:name="_Toc80973386"/>
      <w:bookmarkStart w:id="398" w:name="_Toc71814245"/>
      <w:bookmarkStart w:id="399" w:name="_Toc73464055"/>
      <w:bookmarkStart w:id="400" w:name="_Toc20188"/>
      <w:bookmarkStart w:id="401" w:name="_Toc15588"/>
      <w:bookmarkStart w:id="402" w:name="_Toc125904358"/>
      <w:bookmarkStart w:id="403" w:name="_Toc171929854"/>
      <w:bookmarkStart w:id="404" w:name="_Toc172205107"/>
      <w:bookmarkStart w:id="405" w:name="_Toc16048"/>
      <w:bookmarkStart w:id="406" w:name="_Toc166067792"/>
      <w:bookmarkStart w:id="407" w:name="_Toc125986493"/>
      <w:bookmarkStart w:id="408" w:name="_Toc139357089"/>
      <w:bookmarkStart w:id="409" w:name="_Toc175582363"/>
      <w:bookmarkStart w:id="410" w:name="_Toc348010011"/>
      <w:r>
        <w:rPr>
          <w:rFonts w:hint="eastAsia" w:cs="宋体"/>
          <w:b/>
          <w:sz w:val="28"/>
          <w:szCs w:val="28"/>
          <w:highlight w:val="none"/>
        </w:rPr>
        <w:t>（</w:t>
      </w:r>
      <w:r>
        <w:rPr>
          <w:rFonts w:hint="eastAsia" w:cs="宋体"/>
          <w:b/>
          <w:sz w:val="28"/>
          <w:szCs w:val="28"/>
          <w:highlight w:val="none"/>
          <w:lang w:val="en-US" w:eastAsia="zh-CN"/>
        </w:rPr>
        <w:t>五</w:t>
      </w:r>
      <w:r>
        <w:rPr>
          <w:rFonts w:hint="eastAsia" w:cs="宋体"/>
          <w:b/>
          <w:sz w:val="28"/>
          <w:szCs w:val="28"/>
          <w:highlight w:val="none"/>
        </w:rPr>
        <w:t>）保密管理方案</w:t>
      </w:r>
    </w:p>
    <w:p w14:paraId="41A715FF">
      <w:pPr>
        <w:jc w:val="center"/>
        <w:outlineLvl w:val="9"/>
        <w:rPr>
          <w:rFonts w:cs="宋体"/>
          <w:b/>
          <w:sz w:val="28"/>
          <w:szCs w:val="28"/>
          <w:highlight w:val="none"/>
        </w:rPr>
      </w:pPr>
      <w:r>
        <w:rPr>
          <w:rFonts w:hint="eastAsia" w:cs="宋体"/>
          <w:szCs w:val="21"/>
          <w:highlight w:val="none"/>
        </w:rPr>
        <w:t>（格式内容自拟）</w:t>
      </w:r>
    </w:p>
    <w:p w14:paraId="7DB9CB6F">
      <w:pPr>
        <w:rPr>
          <w:rFonts w:hint="eastAsia" w:cs="宋体"/>
          <w:b/>
          <w:sz w:val="28"/>
          <w:szCs w:val="28"/>
          <w:highlight w:val="none"/>
        </w:rPr>
      </w:pPr>
      <w:r>
        <w:rPr>
          <w:rFonts w:hint="eastAsia" w:cs="宋体"/>
          <w:b/>
          <w:sz w:val="28"/>
          <w:szCs w:val="28"/>
          <w:highlight w:val="none"/>
        </w:rPr>
        <w:br w:type="page"/>
      </w:r>
    </w:p>
    <w:p w14:paraId="51558C0B">
      <w:pPr>
        <w:jc w:val="center"/>
        <w:outlineLvl w:val="2"/>
        <w:rPr>
          <w:rFonts w:hint="eastAsia" w:cs="宋体"/>
          <w:b/>
          <w:sz w:val="28"/>
          <w:szCs w:val="28"/>
          <w:highlight w:val="none"/>
        </w:rPr>
      </w:pPr>
      <w:r>
        <w:rPr>
          <w:rFonts w:hint="eastAsia" w:cs="宋体"/>
          <w:b/>
          <w:sz w:val="28"/>
          <w:szCs w:val="28"/>
          <w:highlight w:val="none"/>
        </w:rPr>
        <w:t>（</w:t>
      </w:r>
      <w:r>
        <w:rPr>
          <w:rFonts w:hint="eastAsia" w:cs="宋体"/>
          <w:b/>
          <w:sz w:val="28"/>
          <w:szCs w:val="28"/>
          <w:highlight w:val="none"/>
          <w:lang w:val="en-US" w:eastAsia="zh-CN"/>
        </w:rPr>
        <w:t>六</w:t>
      </w:r>
      <w:r>
        <w:rPr>
          <w:rFonts w:hint="eastAsia" w:cs="宋体"/>
          <w:b/>
          <w:sz w:val="28"/>
          <w:szCs w:val="28"/>
          <w:highlight w:val="none"/>
        </w:rPr>
        <w:t>）应急预案及保障措施</w:t>
      </w:r>
    </w:p>
    <w:p w14:paraId="5F3D0DFC">
      <w:pPr>
        <w:jc w:val="center"/>
        <w:outlineLvl w:val="9"/>
        <w:rPr>
          <w:rFonts w:hint="eastAsia" w:cs="宋体"/>
          <w:b/>
          <w:sz w:val="28"/>
          <w:szCs w:val="28"/>
          <w:highlight w:val="none"/>
        </w:rPr>
      </w:pPr>
      <w:r>
        <w:rPr>
          <w:rFonts w:hint="eastAsia" w:cs="宋体"/>
          <w:szCs w:val="21"/>
          <w:highlight w:val="none"/>
        </w:rPr>
        <w:t>（格式内容自拟）</w:t>
      </w:r>
    </w:p>
    <w:p w14:paraId="0B8C6560">
      <w:pPr>
        <w:rPr>
          <w:rFonts w:hint="eastAsia" w:ascii="宋体" w:hAnsi="宋体" w:eastAsia="宋体" w:cs="宋体"/>
          <w:b/>
          <w:kern w:val="2"/>
          <w:sz w:val="28"/>
          <w:szCs w:val="28"/>
          <w:highlight w:val="none"/>
          <w:lang w:val="en-US" w:eastAsia="zh-CN" w:bidi="ar-SA"/>
        </w:rPr>
      </w:pPr>
      <w:r>
        <w:rPr>
          <w:rFonts w:hint="eastAsia" w:ascii="宋体" w:hAnsi="宋体" w:eastAsia="宋体" w:cs="宋体"/>
          <w:b/>
          <w:kern w:val="2"/>
          <w:sz w:val="28"/>
          <w:szCs w:val="28"/>
          <w:highlight w:val="none"/>
          <w:lang w:val="en-US" w:eastAsia="zh-CN" w:bidi="ar-SA"/>
        </w:rPr>
        <w:br w:type="page"/>
      </w:r>
    </w:p>
    <w:p w14:paraId="73768229">
      <w:pPr>
        <w:pStyle w:val="5"/>
        <w:numPr>
          <w:ilvl w:val="2"/>
          <w:numId w:val="0"/>
        </w:numPr>
        <w:jc w:val="center"/>
        <w:rPr>
          <w:rFonts w:hint="eastAsia" w:ascii="宋体" w:hAnsi="宋体" w:eastAsia="宋体" w:cs="宋体"/>
          <w:b/>
          <w:kern w:val="2"/>
          <w:sz w:val="28"/>
          <w:szCs w:val="28"/>
          <w:highlight w:val="none"/>
          <w:lang w:val="en-US" w:eastAsia="zh-CN" w:bidi="ar-SA"/>
        </w:rPr>
      </w:pPr>
      <w:r>
        <w:rPr>
          <w:rFonts w:hint="eastAsia" w:ascii="宋体" w:hAnsi="宋体" w:eastAsia="宋体" w:cs="宋体"/>
          <w:b/>
          <w:kern w:val="2"/>
          <w:sz w:val="28"/>
          <w:szCs w:val="28"/>
          <w:highlight w:val="none"/>
          <w:lang w:val="en-US" w:eastAsia="zh-CN" w:bidi="ar-SA"/>
        </w:rPr>
        <w:t>（七）类似业绩</w:t>
      </w:r>
    </w:p>
    <w:tbl>
      <w:tblPr>
        <w:tblStyle w:val="88"/>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010"/>
        <w:gridCol w:w="2172"/>
        <w:gridCol w:w="1829"/>
        <w:gridCol w:w="2134"/>
        <w:gridCol w:w="1661"/>
        <w:gridCol w:w="910"/>
      </w:tblGrid>
      <w:tr w14:paraId="6EAC69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20" w:type="pct"/>
            <w:vAlign w:val="center"/>
          </w:tcPr>
          <w:p w14:paraId="542597C9">
            <w:pPr>
              <w:snapToGrid w:val="0"/>
              <w:spacing w:line="276" w:lineRule="auto"/>
              <w:jc w:val="center"/>
              <w:rPr>
                <w:rFonts w:hint="eastAsia" w:ascii="宋体" w:hAnsi="宋体" w:cs="宋体"/>
                <w:b/>
                <w:highlight w:val="none"/>
              </w:rPr>
            </w:pPr>
            <w:r>
              <w:rPr>
                <w:rFonts w:hint="eastAsia" w:ascii="宋体" w:hAnsi="宋体" w:cs="宋体"/>
                <w:b/>
                <w:highlight w:val="none"/>
              </w:rPr>
              <w:t>序号</w:t>
            </w:r>
          </w:p>
        </w:tc>
        <w:tc>
          <w:tcPr>
            <w:tcW w:w="1118" w:type="pct"/>
            <w:vAlign w:val="center"/>
          </w:tcPr>
          <w:p w14:paraId="7F5C5F69">
            <w:pPr>
              <w:snapToGrid w:val="0"/>
              <w:spacing w:line="276" w:lineRule="auto"/>
              <w:jc w:val="center"/>
              <w:rPr>
                <w:rFonts w:hint="eastAsia" w:ascii="宋体" w:hAnsi="宋体" w:cs="宋体"/>
                <w:b/>
                <w:highlight w:val="none"/>
              </w:rPr>
            </w:pPr>
            <w:r>
              <w:rPr>
                <w:rFonts w:hint="eastAsia" w:ascii="宋体" w:hAnsi="宋体" w:cs="宋体"/>
                <w:b/>
                <w:highlight w:val="none"/>
              </w:rPr>
              <w:t>项目名称</w:t>
            </w:r>
          </w:p>
        </w:tc>
        <w:tc>
          <w:tcPr>
            <w:tcW w:w="941" w:type="pct"/>
            <w:vAlign w:val="center"/>
          </w:tcPr>
          <w:p w14:paraId="632BD3DD">
            <w:pPr>
              <w:snapToGrid w:val="0"/>
              <w:spacing w:line="276" w:lineRule="auto"/>
              <w:jc w:val="center"/>
              <w:rPr>
                <w:rFonts w:hint="eastAsia" w:ascii="宋体" w:hAnsi="宋体" w:cs="宋体"/>
                <w:b/>
                <w:highlight w:val="none"/>
              </w:rPr>
            </w:pPr>
            <w:r>
              <w:rPr>
                <w:rFonts w:hint="eastAsia" w:ascii="宋体" w:hAnsi="宋体" w:cs="宋体"/>
                <w:b/>
                <w:highlight w:val="none"/>
              </w:rPr>
              <w:t>业主单位</w:t>
            </w:r>
          </w:p>
        </w:tc>
        <w:tc>
          <w:tcPr>
            <w:tcW w:w="1098" w:type="pct"/>
            <w:vAlign w:val="center"/>
          </w:tcPr>
          <w:p w14:paraId="2FBF2B14">
            <w:pPr>
              <w:snapToGrid w:val="0"/>
              <w:spacing w:line="276" w:lineRule="auto"/>
              <w:jc w:val="center"/>
              <w:rPr>
                <w:rFonts w:hint="eastAsia" w:ascii="宋体" w:hAnsi="宋体" w:cs="宋体"/>
                <w:b/>
                <w:highlight w:val="none"/>
              </w:rPr>
            </w:pPr>
            <w:r>
              <w:rPr>
                <w:rFonts w:hint="eastAsia" w:ascii="宋体" w:hAnsi="宋体" w:cs="宋体"/>
                <w:b/>
                <w:highlight w:val="none"/>
              </w:rPr>
              <w:t>合同金额（万元）</w:t>
            </w:r>
          </w:p>
        </w:tc>
        <w:tc>
          <w:tcPr>
            <w:tcW w:w="855" w:type="pct"/>
            <w:vAlign w:val="center"/>
          </w:tcPr>
          <w:p w14:paraId="27BBB606">
            <w:pPr>
              <w:snapToGrid w:val="0"/>
              <w:spacing w:line="276" w:lineRule="auto"/>
              <w:jc w:val="center"/>
              <w:rPr>
                <w:rFonts w:hint="eastAsia" w:ascii="宋体" w:hAnsi="宋体" w:cs="宋体"/>
                <w:b/>
                <w:highlight w:val="none"/>
              </w:rPr>
            </w:pPr>
            <w:r>
              <w:rPr>
                <w:rFonts w:hint="eastAsia" w:ascii="宋体" w:hAnsi="宋体" w:cs="宋体"/>
                <w:b/>
                <w:highlight w:val="none"/>
              </w:rPr>
              <w:t>合同签订时间</w:t>
            </w:r>
          </w:p>
        </w:tc>
        <w:tc>
          <w:tcPr>
            <w:tcW w:w="468" w:type="pct"/>
            <w:vAlign w:val="center"/>
          </w:tcPr>
          <w:p w14:paraId="3720294F">
            <w:pPr>
              <w:snapToGrid w:val="0"/>
              <w:spacing w:line="276" w:lineRule="auto"/>
              <w:jc w:val="center"/>
              <w:rPr>
                <w:rFonts w:hint="eastAsia" w:ascii="宋体" w:hAnsi="宋体" w:cs="宋体"/>
                <w:b/>
                <w:highlight w:val="none"/>
              </w:rPr>
            </w:pPr>
            <w:r>
              <w:rPr>
                <w:rFonts w:hint="eastAsia" w:ascii="宋体" w:hAnsi="宋体" w:cs="宋体"/>
                <w:b/>
                <w:highlight w:val="none"/>
              </w:rPr>
              <w:t>备注</w:t>
            </w:r>
          </w:p>
        </w:tc>
      </w:tr>
      <w:tr w14:paraId="0E27CB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520" w:type="pct"/>
            <w:vAlign w:val="center"/>
          </w:tcPr>
          <w:p w14:paraId="17A0626E">
            <w:pPr>
              <w:snapToGrid w:val="0"/>
              <w:spacing w:line="276" w:lineRule="auto"/>
              <w:jc w:val="center"/>
              <w:rPr>
                <w:rFonts w:hint="eastAsia" w:ascii="宋体" w:hAnsi="宋体" w:cs="宋体"/>
                <w:highlight w:val="none"/>
              </w:rPr>
            </w:pPr>
            <w:r>
              <w:rPr>
                <w:rFonts w:hint="eastAsia" w:ascii="宋体" w:hAnsi="宋体" w:cs="宋体"/>
                <w:highlight w:val="none"/>
              </w:rPr>
              <w:t>1</w:t>
            </w:r>
          </w:p>
        </w:tc>
        <w:tc>
          <w:tcPr>
            <w:tcW w:w="1118" w:type="pct"/>
            <w:vAlign w:val="center"/>
          </w:tcPr>
          <w:p w14:paraId="08005304">
            <w:pPr>
              <w:snapToGrid w:val="0"/>
              <w:spacing w:line="276" w:lineRule="auto"/>
              <w:jc w:val="center"/>
              <w:rPr>
                <w:rFonts w:hint="eastAsia" w:ascii="宋体" w:hAnsi="宋体" w:cs="宋体"/>
                <w:highlight w:val="none"/>
                <w:u w:val="single"/>
              </w:rPr>
            </w:pPr>
          </w:p>
        </w:tc>
        <w:tc>
          <w:tcPr>
            <w:tcW w:w="941" w:type="pct"/>
            <w:vAlign w:val="center"/>
          </w:tcPr>
          <w:p w14:paraId="1EB5D215">
            <w:pPr>
              <w:snapToGrid w:val="0"/>
              <w:spacing w:line="276" w:lineRule="auto"/>
              <w:jc w:val="center"/>
              <w:rPr>
                <w:rFonts w:hint="eastAsia" w:ascii="宋体" w:hAnsi="宋体" w:cs="宋体"/>
                <w:highlight w:val="none"/>
                <w:u w:val="single"/>
              </w:rPr>
            </w:pPr>
          </w:p>
        </w:tc>
        <w:tc>
          <w:tcPr>
            <w:tcW w:w="1098" w:type="pct"/>
            <w:vAlign w:val="center"/>
          </w:tcPr>
          <w:p w14:paraId="720F1C11">
            <w:pPr>
              <w:snapToGrid w:val="0"/>
              <w:spacing w:line="276" w:lineRule="auto"/>
              <w:jc w:val="center"/>
              <w:rPr>
                <w:rFonts w:hint="eastAsia" w:ascii="宋体" w:hAnsi="宋体" w:cs="宋体"/>
                <w:highlight w:val="none"/>
                <w:u w:val="single"/>
              </w:rPr>
            </w:pPr>
          </w:p>
        </w:tc>
        <w:tc>
          <w:tcPr>
            <w:tcW w:w="855" w:type="pct"/>
            <w:vAlign w:val="center"/>
          </w:tcPr>
          <w:p w14:paraId="7E41E95D">
            <w:pPr>
              <w:snapToGrid w:val="0"/>
              <w:spacing w:line="276" w:lineRule="auto"/>
              <w:jc w:val="center"/>
              <w:rPr>
                <w:rFonts w:hint="eastAsia" w:ascii="宋体" w:hAnsi="宋体" w:cs="宋体"/>
                <w:highlight w:val="none"/>
                <w:u w:val="single"/>
              </w:rPr>
            </w:pPr>
          </w:p>
        </w:tc>
        <w:tc>
          <w:tcPr>
            <w:tcW w:w="468" w:type="pct"/>
            <w:vAlign w:val="center"/>
          </w:tcPr>
          <w:p w14:paraId="07E3DC74">
            <w:pPr>
              <w:snapToGrid w:val="0"/>
              <w:spacing w:line="276" w:lineRule="auto"/>
              <w:jc w:val="center"/>
              <w:rPr>
                <w:rFonts w:hint="eastAsia" w:ascii="宋体" w:hAnsi="宋体" w:cs="宋体"/>
                <w:highlight w:val="none"/>
                <w:u w:val="single"/>
              </w:rPr>
            </w:pPr>
          </w:p>
        </w:tc>
      </w:tr>
      <w:tr w14:paraId="2CBF9C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520" w:type="pct"/>
            <w:vAlign w:val="center"/>
          </w:tcPr>
          <w:p w14:paraId="308C46F8">
            <w:pPr>
              <w:snapToGrid w:val="0"/>
              <w:spacing w:line="276" w:lineRule="auto"/>
              <w:jc w:val="center"/>
              <w:rPr>
                <w:rFonts w:hint="eastAsia" w:ascii="宋体" w:hAnsi="宋体" w:cs="宋体"/>
                <w:highlight w:val="none"/>
              </w:rPr>
            </w:pPr>
            <w:r>
              <w:rPr>
                <w:rFonts w:hint="eastAsia" w:ascii="宋体" w:hAnsi="宋体" w:cs="宋体"/>
                <w:highlight w:val="none"/>
              </w:rPr>
              <w:t>2</w:t>
            </w:r>
          </w:p>
        </w:tc>
        <w:tc>
          <w:tcPr>
            <w:tcW w:w="1118" w:type="pct"/>
            <w:vAlign w:val="center"/>
          </w:tcPr>
          <w:p w14:paraId="475D36B3">
            <w:pPr>
              <w:snapToGrid w:val="0"/>
              <w:spacing w:line="276" w:lineRule="auto"/>
              <w:jc w:val="center"/>
              <w:rPr>
                <w:rFonts w:hint="eastAsia" w:ascii="宋体" w:hAnsi="宋体" w:cs="宋体"/>
                <w:highlight w:val="none"/>
                <w:u w:val="single"/>
              </w:rPr>
            </w:pPr>
          </w:p>
        </w:tc>
        <w:tc>
          <w:tcPr>
            <w:tcW w:w="941" w:type="pct"/>
            <w:vAlign w:val="center"/>
          </w:tcPr>
          <w:p w14:paraId="37A2E79F">
            <w:pPr>
              <w:snapToGrid w:val="0"/>
              <w:spacing w:line="276" w:lineRule="auto"/>
              <w:jc w:val="center"/>
              <w:rPr>
                <w:rFonts w:hint="eastAsia" w:ascii="宋体" w:hAnsi="宋体" w:cs="宋体"/>
                <w:highlight w:val="none"/>
                <w:u w:val="single"/>
              </w:rPr>
            </w:pPr>
          </w:p>
        </w:tc>
        <w:tc>
          <w:tcPr>
            <w:tcW w:w="1098" w:type="pct"/>
            <w:vAlign w:val="center"/>
          </w:tcPr>
          <w:p w14:paraId="24BE4769">
            <w:pPr>
              <w:snapToGrid w:val="0"/>
              <w:spacing w:line="276" w:lineRule="auto"/>
              <w:jc w:val="center"/>
              <w:rPr>
                <w:rFonts w:hint="eastAsia" w:ascii="宋体" w:hAnsi="宋体" w:cs="宋体"/>
                <w:highlight w:val="none"/>
                <w:u w:val="single"/>
              </w:rPr>
            </w:pPr>
          </w:p>
        </w:tc>
        <w:tc>
          <w:tcPr>
            <w:tcW w:w="855" w:type="pct"/>
            <w:vAlign w:val="center"/>
          </w:tcPr>
          <w:p w14:paraId="40ED9BF8">
            <w:pPr>
              <w:snapToGrid w:val="0"/>
              <w:spacing w:line="276" w:lineRule="auto"/>
              <w:jc w:val="center"/>
              <w:rPr>
                <w:rFonts w:hint="eastAsia" w:ascii="宋体" w:hAnsi="宋体" w:cs="宋体"/>
                <w:highlight w:val="none"/>
                <w:u w:val="single"/>
              </w:rPr>
            </w:pPr>
          </w:p>
        </w:tc>
        <w:tc>
          <w:tcPr>
            <w:tcW w:w="468" w:type="pct"/>
            <w:vAlign w:val="center"/>
          </w:tcPr>
          <w:p w14:paraId="0EA97199">
            <w:pPr>
              <w:snapToGrid w:val="0"/>
              <w:spacing w:line="276" w:lineRule="auto"/>
              <w:jc w:val="center"/>
              <w:rPr>
                <w:rFonts w:hint="eastAsia" w:ascii="宋体" w:hAnsi="宋体" w:cs="宋体"/>
                <w:highlight w:val="none"/>
                <w:u w:val="single"/>
              </w:rPr>
            </w:pPr>
          </w:p>
        </w:tc>
      </w:tr>
      <w:tr w14:paraId="44FCA9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520" w:type="pct"/>
            <w:vAlign w:val="center"/>
          </w:tcPr>
          <w:p w14:paraId="26B85AE9">
            <w:pPr>
              <w:snapToGrid w:val="0"/>
              <w:spacing w:line="276" w:lineRule="auto"/>
              <w:jc w:val="center"/>
              <w:rPr>
                <w:rFonts w:hint="eastAsia" w:ascii="宋体" w:hAnsi="宋体" w:cs="宋体"/>
                <w:highlight w:val="none"/>
              </w:rPr>
            </w:pPr>
            <w:r>
              <w:rPr>
                <w:rFonts w:hint="eastAsia" w:ascii="宋体" w:hAnsi="宋体" w:cs="宋体"/>
                <w:highlight w:val="none"/>
              </w:rPr>
              <w:t>3</w:t>
            </w:r>
          </w:p>
        </w:tc>
        <w:tc>
          <w:tcPr>
            <w:tcW w:w="1118" w:type="pct"/>
            <w:vAlign w:val="center"/>
          </w:tcPr>
          <w:p w14:paraId="34A24FE2">
            <w:pPr>
              <w:snapToGrid w:val="0"/>
              <w:spacing w:line="276" w:lineRule="auto"/>
              <w:jc w:val="center"/>
              <w:rPr>
                <w:rFonts w:hint="eastAsia" w:ascii="宋体" w:hAnsi="宋体" w:cs="宋体"/>
                <w:highlight w:val="none"/>
                <w:u w:val="single"/>
              </w:rPr>
            </w:pPr>
          </w:p>
        </w:tc>
        <w:tc>
          <w:tcPr>
            <w:tcW w:w="941" w:type="pct"/>
            <w:vAlign w:val="center"/>
          </w:tcPr>
          <w:p w14:paraId="084CAD47">
            <w:pPr>
              <w:snapToGrid w:val="0"/>
              <w:spacing w:line="276" w:lineRule="auto"/>
              <w:jc w:val="center"/>
              <w:rPr>
                <w:rFonts w:hint="eastAsia" w:ascii="宋体" w:hAnsi="宋体" w:cs="宋体"/>
                <w:highlight w:val="none"/>
                <w:u w:val="single"/>
              </w:rPr>
            </w:pPr>
          </w:p>
        </w:tc>
        <w:tc>
          <w:tcPr>
            <w:tcW w:w="1098" w:type="pct"/>
            <w:vAlign w:val="center"/>
          </w:tcPr>
          <w:p w14:paraId="6C6A23F4">
            <w:pPr>
              <w:snapToGrid w:val="0"/>
              <w:spacing w:line="276" w:lineRule="auto"/>
              <w:jc w:val="center"/>
              <w:rPr>
                <w:rFonts w:hint="eastAsia" w:ascii="宋体" w:hAnsi="宋体" w:cs="宋体"/>
                <w:highlight w:val="none"/>
                <w:u w:val="single"/>
              </w:rPr>
            </w:pPr>
          </w:p>
        </w:tc>
        <w:tc>
          <w:tcPr>
            <w:tcW w:w="855" w:type="pct"/>
            <w:vAlign w:val="center"/>
          </w:tcPr>
          <w:p w14:paraId="0269D765">
            <w:pPr>
              <w:snapToGrid w:val="0"/>
              <w:spacing w:line="276" w:lineRule="auto"/>
              <w:jc w:val="center"/>
              <w:rPr>
                <w:rFonts w:hint="eastAsia" w:ascii="宋体" w:hAnsi="宋体" w:cs="宋体"/>
                <w:highlight w:val="none"/>
                <w:u w:val="single"/>
              </w:rPr>
            </w:pPr>
          </w:p>
        </w:tc>
        <w:tc>
          <w:tcPr>
            <w:tcW w:w="468" w:type="pct"/>
            <w:vAlign w:val="center"/>
          </w:tcPr>
          <w:p w14:paraId="33020386">
            <w:pPr>
              <w:snapToGrid w:val="0"/>
              <w:spacing w:line="276" w:lineRule="auto"/>
              <w:jc w:val="center"/>
              <w:rPr>
                <w:rFonts w:hint="eastAsia" w:ascii="宋体" w:hAnsi="宋体" w:cs="宋体"/>
                <w:highlight w:val="none"/>
                <w:u w:val="single"/>
              </w:rPr>
            </w:pPr>
          </w:p>
        </w:tc>
      </w:tr>
      <w:tr w14:paraId="16BC47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520" w:type="pct"/>
            <w:vAlign w:val="center"/>
          </w:tcPr>
          <w:p w14:paraId="11C57A11">
            <w:pPr>
              <w:snapToGrid w:val="0"/>
              <w:spacing w:line="276" w:lineRule="auto"/>
              <w:jc w:val="center"/>
              <w:rPr>
                <w:rFonts w:hint="eastAsia" w:ascii="宋体" w:hAnsi="宋体" w:cs="宋体"/>
                <w:highlight w:val="none"/>
              </w:rPr>
            </w:pPr>
            <w:r>
              <w:rPr>
                <w:rFonts w:hint="eastAsia" w:ascii="宋体" w:hAnsi="宋体" w:cs="宋体"/>
                <w:highlight w:val="none"/>
              </w:rPr>
              <w:t>……</w:t>
            </w:r>
          </w:p>
        </w:tc>
        <w:tc>
          <w:tcPr>
            <w:tcW w:w="1118" w:type="pct"/>
            <w:vAlign w:val="center"/>
          </w:tcPr>
          <w:p w14:paraId="5AE40736">
            <w:pPr>
              <w:snapToGrid w:val="0"/>
              <w:spacing w:line="276" w:lineRule="auto"/>
              <w:jc w:val="center"/>
              <w:rPr>
                <w:rFonts w:hint="eastAsia" w:ascii="宋体" w:hAnsi="宋体" w:cs="宋体"/>
                <w:highlight w:val="none"/>
                <w:u w:val="single"/>
              </w:rPr>
            </w:pPr>
          </w:p>
        </w:tc>
        <w:tc>
          <w:tcPr>
            <w:tcW w:w="941" w:type="pct"/>
            <w:vAlign w:val="center"/>
          </w:tcPr>
          <w:p w14:paraId="3B169013">
            <w:pPr>
              <w:snapToGrid w:val="0"/>
              <w:spacing w:line="276" w:lineRule="auto"/>
              <w:jc w:val="center"/>
              <w:rPr>
                <w:rFonts w:hint="eastAsia" w:ascii="宋体" w:hAnsi="宋体" w:cs="宋体"/>
                <w:highlight w:val="none"/>
                <w:u w:val="single"/>
              </w:rPr>
            </w:pPr>
          </w:p>
        </w:tc>
        <w:tc>
          <w:tcPr>
            <w:tcW w:w="1098" w:type="pct"/>
            <w:vAlign w:val="center"/>
          </w:tcPr>
          <w:p w14:paraId="6AA95FDB">
            <w:pPr>
              <w:snapToGrid w:val="0"/>
              <w:spacing w:line="276" w:lineRule="auto"/>
              <w:jc w:val="center"/>
              <w:rPr>
                <w:rFonts w:hint="eastAsia" w:ascii="宋体" w:hAnsi="宋体" w:cs="宋体"/>
                <w:highlight w:val="none"/>
                <w:u w:val="single"/>
              </w:rPr>
            </w:pPr>
          </w:p>
        </w:tc>
        <w:tc>
          <w:tcPr>
            <w:tcW w:w="855" w:type="pct"/>
            <w:vAlign w:val="center"/>
          </w:tcPr>
          <w:p w14:paraId="799D346E">
            <w:pPr>
              <w:snapToGrid w:val="0"/>
              <w:spacing w:line="276" w:lineRule="auto"/>
              <w:jc w:val="center"/>
              <w:rPr>
                <w:rFonts w:hint="eastAsia" w:ascii="宋体" w:hAnsi="宋体" w:cs="宋体"/>
                <w:highlight w:val="none"/>
                <w:u w:val="single"/>
              </w:rPr>
            </w:pPr>
          </w:p>
        </w:tc>
        <w:tc>
          <w:tcPr>
            <w:tcW w:w="468" w:type="pct"/>
            <w:vAlign w:val="center"/>
          </w:tcPr>
          <w:p w14:paraId="13F92119">
            <w:pPr>
              <w:snapToGrid w:val="0"/>
              <w:spacing w:line="276" w:lineRule="auto"/>
              <w:jc w:val="center"/>
              <w:rPr>
                <w:rFonts w:hint="eastAsia" w:ascii="宋体" w:hAnsi="宋体" w:cs="宋体"/>
                <w:highlight w:val="none"/>
                <w:u w:val="single"/>
              </w:rPr>
            </w:pPr>
          </w:p>
        </w:tc>
      </w:tr>
    </w:tbl>
    <w:p w14:paraId="713923FD">
      <w:pPr>
        <w:jc w:val="center"/>
        <w:outlineLvl w:val="9"/>
        <w:rPr>
          <w:rFonts w:hint="eastAsia" w:cs="宋体"/>
          <w:b/>
          <w:sz w:val="28"/>
          <w:szCs w:val="28"/>
          <w:highlight w:val="none"/>
        </w:rPr>
      </w:pPr>
      <w:r>
        <w:rPr>
          <w:rFonts w:hint="eastAsia" w:ascii="宋体" w:hAnsi="宋体" w:cs="宋体"/>
          <w:color w:val="000000"/>
          <w:szCs w:val="21"/>
          <w:highlight w:val="none"/>
        </w:rPr>
        <w:t>注：</w:t>
      </w:r>
      <w:r>
        <w:rPr>
          <w:rFonts w:hint="eastAsia"/>
          <w:color w:val="000000"/>
          <w:szCs w:val="21"/>
          <w:highlight w:val="none"/>
        </w:rPr>
        <w:t>供应商</w:t>
      </w:r>
      <w:r>
        <w:rPr>
          <w:color w:val="000000"/>
          <w:szCs w:val="21"/>
          <w:highlight w:val="none"/>
        </w:rPr>
        <w:t>提供自202</w:t>
      </w:r>
      <w:r>
        <w:rPr>
          <w:rFonts w:hint="eastAsia"/>
          <w:color w:val="000000"/>
          <w:szCs w:val="21"/>
          <w:highlight w:val="none"/>
        </w:rPr>
        <w:t>3</w:t>
      </w:r>
      <w:r>
        <w:rPr>
          <w:color w:val="000000"/>
          <w:szCs w:val="21"/>
          <w:highlight w:val="none"/>
        </w:rPr>
        <w:t>年1月1日至今</w:t>
      </w:r>
      <w:r>
        <w:rPr>
          <w:rFonts w:hint="eastAsia"/>
          <w:color w:val="000000"/>
          <w:szCs w:val="21"/>
          <w:highlight w:val="none"/>
        </w:rPr>
        <w:t>承担</w:t>
      </w:r>
      <w:r>
        <w:rPr>
          <w:color w:val="000000"/>
          <w:szCs w:val="21"/>
          <w:highlight w:val="none"/>
        </w:rPr>
        <w:t>的</w:t>
      </w:r>
      <w:r>
        <w:rPr>
          <w:rFonts w:hint="eastAsia"/>
          <w:szCs w:val="21"/>
          <w:highlight w:val="none"/>
        </w:rPr>
        <w:t>类似</w:t>
      </w:r>
      <w:r>
        <w:rPr>
          <w:rFonts w:hint="eastAsia"/>
          <w:szCs w:val="21"/>
          <w:highlight w:val="none"/>
          <w:lang w:val="en-US" w:eastAsia="zh-CN"/>
        </w:rPr>
        <w:t>印刷服务</w:t>
      </w:r>
      <w:r>
        <w:rPr>
          <w:rFonts w:hint="eastAsia"/>
          <w:szCs w:val="21"/>
          <w:highlight w:val="none"/>
        </w:rPr>
        <w:t>项目</w:t>
      </w:r>
      <w:r>
        <w:rPr>
          <w:highlight w:val="none"/>
        </w:rPr>
        <w:t>业绩</w:t>
      </w:r>
      <w:r>
        <w:rPr>
          <w:color w:val="000000"/>
          <w:szCs w:val="21"/>
          <w:highlight w:val="none"/>
        </w:rPr>
        <w:t>，</w:t>
      </w:r>
      <w:r>
        <w:rPr>
          <w:rFonts w:hint="eastAsia"/>
          <w:color w:val="000000"/>
          <w:szCs w:val="21"/>
          <w:highlight w:val="none"/>
        </w:rPr>
        <w:t>并</w:t>
      </w:r>
      <w:r>
        <w:rPr>
          <w:color w:val="000000"/>
          <w:highlight w:val="none"/>
        </w:rPr>
        <w:t>提供</w:t>
      </w:r>
      <w:r>
        <w:rPr>
          <w:rFonts w:hint="eastAsia"/>
          <w:color w:val="000000"/>
          <w:highlight w:val="none"/>
        </w:rPr>
        <w:t>中标</w:t>
      </w:r>
      <w:r>
        <w:rPr>
          <w:color w:val="000000"/>
          <w:highlight w:val="none"/>
        </w:rPr>
        <w:t>/成交通知书</w:t>
      </w:r>
      <w:r>
        <w:rPr>
          <w:b/>
          <w:bCs/>
          <w:color w:val="000000"/>
          <w:highlight w:val="none"/>
        </w:rPr>
        <w:t>或</w:t>
      </w:r>
      <w:r>
        <w:rPr>
          <w:color w:val="000000"/>
          <w:highlight w:val="none"/>
        </w:rPr>
        <w:t>合同</w:t>
      </w:r>
      <w:r>
        <w:rPr>
          <w:b/>
          <w:bCs/>
          <w:color w:val="000000"/>
          <w:highlight w:val="none"/>
        </w:rPr>
        <w:t>或</w:t>
      </w:r>
      <w:r>
        <w:rPr>
          <w:color w:val="000000"/>
          <w:highlight w:val="none"/>
        </w:rPr>
        <w:t>业主证明材料</w:t>
      </w:r>
      <w:r>
        <w:rPr>
          <w:color w:val="000000"/>
          <w:szCs w:val="21"/>
          <w:highlight w:val="none"/>
        </w:rPr>
        <w:t>，</w:t>
      </w:r>
      <w:r>
        <w:rPr>
          <w:color w:val="000000"/>
          <w:highlight w:val="none"/>
        </w:rPr>
        <w:t>否则不予认可。</w:t>
      </w:r>
    </w:p>
    <w:p w14:paraId="00AC9FB9">
      <w:pPr>
        <w:rPr>
          <w:rFonts w:hint="eastAsia" w:cs="宋体"/>
          <w:b/>
          <w:bCs/>
          <w:sz w:val="28"/>
          <w:szCs w:val="36"/>
          <w:highlight w:val="none"/>
        </w:rPr>
      </w:pPr>
      <w:r>
        <w:rPr>
          <w:rFonts w:hint="eastAsia" w:cs="宋体"/>
          <w:b/>
          <w:bCs/>
          <w:sz w:val="28"/>
          <w:szCs w:val="36"/>
          <w:highlight w:val="none"/>
        </w:rPr>
        <w:br w:type="page"/>
      </w:r>
    </w:p>
    <w:p w14:paraId="1E9B493F">
      <w:pPr>
        <w:jc w:val="center"/>
        <w:outlineLvl w:val="2"/>
        <w:rPr>
          <w:rFonts w:cs="宋体"/>
          <w:b/>
          <w:bCs/>
          <w:sz w:val="28"/>
          <w:szCs w:val="36"/>
          <w:highlight w:val="none"/>
        </w:rPr>
      </w:pPr>
      <w:r>
        <w:rPr>
          <w:rFonts w:hint="eastAsia" w:cs="宋体"/>
          <w:b/>
          <w:sz w:val="28"/>
          <w:szCs w:val="28"/>
          <w:highlight w:val="none"/>
        </w:rPr>
        <w:t>（</w:t>
      </w:r>
      <w:r>
        <w:rPr>
          <w:rFonts w:hint="eastAsia" w:cs="宋体"/>
          <w:b/>
          <w:sz w:val="28"/>
          <w:szCs w:val="28"/>
          <w:highlight w:val="none"/>
          <w:lang w:val="en-US" w:eastAsia="zh-CN"/>
        </w:rPr>
        <w:t>八</w:t>
      </w:r>
      <w:r>
        <w:rPr>
          <w:rFonts w:hint="eastAsia" w:cs="宋体"/>
          <w:b/>
          <w:sz w:val="28"/>
          <w:szCs w:val="28"/>
          <w:highlight w:val="none"/>
        </w:rPr>
        <w:t>）</w:t>
      </w:r>
      <w:r>
        <w:rPr>
          <w:rFonts w:hint="eastAsia" w:cs="宋体"/>
          <w:b/>
          <w:bCs/>
          <w:sz w:val="28"/>
          <w:szCs w:val="36"/>
          <w:highlight w:val="none"/>
        </w:rPr>
        <w:t>中小型企业声明函</w:t>
      </w:r>
      <w:bookmarkEnd w:id="397"/>
      <w:bookmarkEnd w:id="398"/>
      <w:bookmarkEnd w:id="399"/>
      <w:bookmarkEnd w:id="400"/>
      <w:bookmarkEnd w:id="401"/>
      <w:bookmarkEnd w:id="402"/>
      <w:r>
        <w:rPr>
          <w:rFonts w:hint="eastAsia" w:cs="宋体"/>
          <w:b/>
          <w:bCs/>
          <w:sz w:val="28"/>
          <w:szCs w:val="36"/>
          <w:highlight w:val="none"/>
        </w:rPr>
        <w:t>（服务）</w:t>
      </w:r>
      <w:bookmarkEnd w:id="403"/>
      <w:bookmarkEnd w:id="404"/>
      <w:bookmarkEnd w:id="405"/>
      <w:bookmarkEnd w:id="406"/>
      <w:bookmarkEnd w:id="407"/>
      <w:bookmarkEnd w:id="408"/>
      <w:bookmarkEnd w:id="409"/>
    </w:p>
    <w:bookmarkEnd w:id="410"/>
    <w:p w14:paraId="04B2EE90">
      <w:pPr>
        <w:ind w:right="422" w:rightChars="201" w:firstLine="444" w:firstLineChars="200"/>
        <w:rPr>
          <w:rFonts w:cs="宋体"/>
          <w:spacing w:val="6"/>
          <w:szCs w:val="21"/>
          <w:highlight w:val="none"/>
        </w:rPr>
      </w:pPr>
      <w:r>
        <w:rPr>
          <w:rFonts w:hint="eastAsia" w:cs="宋体"/>
          <w:spacing w:val="6"/>
          <w:szCs w:val="21"/>
          <w:highlight w:val="none"/>
        </w:rPr>
        <w:t>本公司（联合体）郑重声明，根据《政府采购促进中小企业发展管理办法》（财库﹝2020﹞46号）的规定，本公司（联合体）参加</w:t>
      </w:r>
      <w:r>
        <w:rPr>
          <w:rFonts w:hint="eastAsia" w:cs="宋体"/>
          <w:b/>
          <w:bCs/>
          <w:spacing w:val="6"/>
          <w:szCs w:val="21"/>
          <w:highlight w:val="none"/>
          <w:u w:val="single"/>
        </w:rPr>
        <w:t>云南政协报社（单位名称）</w:t>
      </w:r>
      <w:r>
        <w:rPr>
          <w:rFonts w:hint="eastAsia" w:cs="宋体"/>
          <w:spacing w:val="6"/>
          <w:szCs w:val="21"/>
          <w:highlight w:val="none"/>
        </w:rPr>
        <w:t>的</w:t>
      </w:r>
      <w:r>
        <w:rPr>
          <w:rFonts w:hint="eastAsia" w:cs="宋体"/>
          <w:b/>
          <w:bCs/>
          <w:spacing w:val="6"/>
          <w:szCs w:val="21"/>
          <w:highlight w:val="none"/>
          <w:u w:val="single"/>
          <w:lang w:eastAsia="zh-CN"/>
        </w:rPr>
        <w:t>云南政协报社报纸印刷服务采购（2026-2028服务期限三年）第一年</w:t>
      </w:r>
      <w:r>
        <w:rPr>
          <w:rFonts w:hint="eastAsia" w:cs="宋体"/>
          <w:b/>
          <w:bCs/>
          <w:spacing w:val="6"/>
          <w:szCs w:val="21"/>
          <w:highlight w:val="none"/>
          <w:u w:val="single"/>
        </w:rPr>
        <w:t>（项目名称）</w:t>
      </w:r>
      <w:r>
        <w:rPr>
          <w:rFonts w:hint="eastAsia" w:cs="宋体"/>
          <w:spacing w:val="6"/>
          <w:szCs w:val="21"/>
          <w:highlight w:val="none"/>
        </w:rPr>
        <w:t>采购活动，</w:t>
      </w:r>
      <w:r>
        <w:rPr>
          <w:rFonts w:hint="eastAsia"/>
          <w:szCs w:val="21"/>
          <w:highlight w:val="none"/>
        </w:rPr>
        <w:t>服务全部由符合政策要求的中小企业承接。</w:t>
      </w:r>
      <w:r>
        <w:rPr>
          <w:rFonts w:hint="eastAsia" w:cs="宋体"/>
          <w:spacing w:val="6"/>
          <w:szCs w:val="21"/>
          <w:highlight w:val="none"/>
        </w:rPr>
        <w:t>相关企业（含联合体中的中小企业、签订分包意向协议的中小企业）的具体情况如下：</w:t>
      </w:r>
    </w:p>
    <w:p w14:paraId="5FFD96A8">
      <w:pPr>
        <w:ind w:right="422" w:rightChars="201" w:firstLine="444" w:firstLineChars="200"/>
        <w:rPr>
          <w:rFonts w:cs="宋体"/>
          <w:spacing w:val="6"/>
          <w:szCs w:val="21"/>
          <w:highlight w:val="none"/>
        </w:rPr>
      </w:pPr>
      <w:r>
        <w:rPr>
          <w:rFonts w:hint="eastAsia" w:cs="宋体"/>
          <w:spacing w:val="6"/>
          <w:szCs w:val="21"/>
          <w:highlight w:val="none"/>
        </w:rPr>
        <w:t>1.</w:t>
      </w:r>
      <w:r>
        <w:rPr>
          <w:rFonts w:hint="eastAsia" w:cs="宋体"/>
          <w:b/>
          <w:bCs/>
          <w:spacing w:val="6"/>
          <w:szCs w:val="21"/>
          <w:highlight w:val="none"/>
          <w:u w:val="single"/>
        </w:rPr>
        <w:t>（标的名称）</w:t>
      </w:r>
      <w:r>
        <w:rPr>
          <w:rFonts w:hint="eastAsia" w:cs="宋体"/>
          <w:spacing w:val="6"/>
          <w:szCs w:val="21"/>
          <w:highlight w:val="none"/>
        </w:rPr>
        <w:t>，属于</w:t>
      </w:r>
      <w:r>
        <w:rPr>
          <w:rFonts w:hint="eastAsia" w:cs="宋体"/>
          <w:b/>
          <w:bCs/>
          <w:spacing w:val="6"/>
          <w:szCs w:val="21"/>
          <w:highlight w:val="none"/>
          <w:u w:val="single"/>
        </w:rPr>
        <w:t>（采购文件中明确的所属行业）</w:t>
      </w:r>
      <w:r>
        <w:rPr>
          <w:rFonts w:hint="eastAsia" w:cs="宋体"/>
          <w:spacing w:val="6"/>
          <w:szCs w:val="21"/>
          <w:highlight w:val="none"/>
        </w:rPr>
        <w:t>行业；</w:t>
      </w:r>
      <w:r>
        <w:rPr>
          <w:rFonts w:hint="eastAsia"/>
          <w:szCs w:val="21"/>
          <w:highlight w:val="none"/>
        </w:rPr>
        <w:t>承接企业为</w:t>
      </w:r>
      <w:r>
        <w:rPr>
          <w:rFonts w:hint="eastAsia" w:cs="宋体"/>
          <w:spacing w:val="6"/>
          <w:szCs w:val="21"/>
          <w:highlight w:val="none"/>
          <w:u w:val="single"/>
        </w:rPr>
        <w:t xml:space="preserve">  </w:t>
      </w:r>
      <w:r>
        <w:rPr>
          <w:rFonts w:hint="eastAsia" w:cs="宋体"/>
          <w:b/>
          <w:bCs/>
          <w:spacing w:val="6"/>
          <w:szCs w:val="21"/>
          <w:highlight w:val="none"/>
          <w:u w:val="single"/>
        </w:rPr>
        <w:t xml:space="preserve">    （企业名称）</w:t>
      </w:r>
      <w:r>
        <w:rPr>
          <w:rFonts w:hint="eastAsia" w:cs="宋体"/>
          <w:spacing w:val="6"/>
          <w:szCs w:val="21"/>
          <w:highlight w:val="none"/>
        </w:rPr>
        <w:t>，从业人员</w:t>
      </w:r>
      <w:r>
        <w:rPr>
          <w:rFonts w:hint="eastAsia" w:cs="宋体"/>
          <w:spacing w:val="6"/>
          <w:szCs w:val="21"/>
          <w:highlight w:val="none"/>
          <w:u w:val="single"/>
        </w:rPr>
        <w:t xml:space="preserve">    </w:t>
      </w:r>
      <w:r>
        <w:rPr>
          <w:rFonts w:hint="eastAsia" w:cs="宋体"/>
          <w:spacing w:val="6"/>
          <w:szCs w:val="21"/>
          <w:highlight w:val="none"/>
        </w:rPr>
        <w:t>人，营业收入为</w:t>
      </w:r>
      <w:r>
        <w:rPr>
          <w:rFonts w:hint="eastAsia" w:cs="宋体"/>
          <w:spacing w:val="6"/>
          <w:szCs w:val="21"/>
          <w:highlight w:val="none"/>
          <w:u w:val="single"/>
        </w:rPr>
        <w:t xml:space="preserve">     </w:t>
      </w:r>
      <w:r>
        <w:rPr>
          <w:rFonts w:hint="eastAsia" w:cs="宋体"/>
          <w:spacing w:val="6"/>
          <w:szCs w:val="21"/>
          <w:highlight w:val="none"/>
        </w:rPr>
        <w:t>万元，资产总额为</w:t>
      </w:r>
      <w:r>
        <w:rPr>
          <w:rFonts w:hint="eastAsia" w:cs="宋体"/>
          <w:spacing w:val="6"/>
          <w:szCs w:val="21"/>
          <w:highlight w:val="none"/>
          <w:u w:val="single"/>
        </w:rPr>
        <w:t xml:space="preserve">      </w:t>
      </w:r>
      <w:r>
        <w:rPr>
          <w:rFonts w:hint="eastAsia" w:cs="宋体"/>
          <w:spacing w:val="6"/>
          <w:szCs w:val="21"/>
          <w:highlight w:val="none"/>
        </w:rPr>
        <w:t>万元，属于</w:t>
      </w:r>
      <w:r>
        <w:rPr>
          <w:rFonts w:hint="eastAsia" w:cs="宋体"/>
          <w:spacing w:val="6"/>
          <w:szCs w:val="21"/>
          <w:highlight w:val="none"/>
          <w:u w:val="single"/>
        </w:rPr>
        <w:t xml:space="preserve">   （中型企业、小型企业、微型企业）</w:t>
      </w:r>
      <w:r>
        <w:rPr>
          <w:rFonts w:hint="eastAsia" w:cs="宋体"/>
          <w:spacing w:val="6"/>
          <w:szCs w:val="21"/>
          <w:highlight w:val="none"/>
        </w:rPr>
        <w:t>；</w:t>
      </w:r>
    </w:p>
    <w:p w14:paraId="4D4A66C9">
      <w:pPr>
        <w:ind w:right="422" w:rightChars="201" w:firstLine="444" w:firstLineChars="200"/>
        <w:rPr>
          <w:rFonts w:cs="宋体"/>
          <w:spacing w:val="6"/>
          <w:szCs w:val="21"/>
          <w:highlight w:val="none"/>
        </w:rPr>
      </w:pPr>
      <w:r>
        <w:rPr>
          <w:rFonts w:hint="eastAsia" w:cs="宋体"/>
          <w:spacing w:val="6"/>
          <w:szCs w:val="21"/>
          <w:highlight w:val="none"/>
        </w:rPr>
        <w:t>2.</w:t>
      </w:r>
      <w:r>
        <w:rPr>
          <w:rFonts w:hint="eastAsia" w:cs="宋体"/>
          <w:b/>
          <w:bCs/>
          <w:spacing w:val="6"/>
          <w:szCs w:val="21"/>
          <w:highlight w:val="none"/>
          <w:u w:val="single"/>
        </w:rPr>
        <w:t>（标的名称）</w:t>
      </w:r>
      <w:r>
        <w:rPr>
          <w:rFonts w:hint="eastAsia" w:cs="宋体"/>
          <w:spacing w:val="6"/>
          <w:szCs w:val="21"/>
          <w:highlight w:val="none"/>
          <w:u w:val="single"/>
        </w:rPr>
        <w:t>，属于</w:t>
      </w:r>
      <w:r>
        <w:rPr>
          <w:rFonts w:hint="eastAsia" w:cs="宋体"/>
          <w:b/>
          <w:bCs/>
          <w:spacing w:val="6"/>
          <w:szCs w:val="21"/>
          <w:highlight w:val="none"/>
          <w:u w:val="single"/>
        </w:rPr>
        <w:t>（采购文件中明确的所属行业）</w:t>
      </w:r>
      <w:r>
        <w:rPr>
          <w:rFonts w:hint="eastAsia" w:cs="宋体"/>
          <w:spacing w:val="6"/>
          <w:szCs w:val="21"/>
          <w:highlight w:val="none"/>
        </w:rPr>
        <w:t>行业；</w:t>
      </w:r>
      <w:r>
        <w:rPr>
          <w:rFonts w:hint="eastAsia"/>
          <w:szCs w:val="21"/>
          <w:highlight w:val="none"/>
        </w:rPr>
        <w:t>承接企业为</w:t>
      </w:r>
      <w:r>
        <w:rPr>
          <w:rFonts w:hint="eastAsia" w:cs="宋体"/>
          <w:spacing w:val="6"/>
          <w:szCs w:val="21"/>
          <w:highlight w:val="none"/>
          <w:u w:val="single"/>
        </w:rPr>
        <w:t xml:space="preserve">  </w:t>
      </w:r>
      <w:r>
        <w:rPr>
          <w:rFonts w:hint="eastAsia" w:cs="宋体"/>
          <w:b/>
          <w:bCs/>
          <w:spacing w:val="6"/>
          <w:szCs w:val="21"/>
          <w:highlight w:val="none"/>
          <w:u w:val="single"/>
        </w:rPr>
        <w:t xml:space="preserve"> （企业名称）</w:t>
      </w:r>
      <w:r>
        <w:rPr>
          <w:rFonts w:hint="eastAsia" w:cs="宋体"/>
          <w:spacing w:val="6"/>
          <w:szCs w:val="21"/>
          <w:highlight w:val="none"/>
          <w:u w:val="single"/>
        </w:rPr>
        <w:t>，从业人员    人，营业收入为     万元，资产总额为      万元，属于  （中型企业、小型企业、微型企业）</w:t>
      </w:r>
      <w:r>
        <w:rPr>
          <w:rFonts w:hint="eastAsia" w:cs="宋体"/>
          <w:spacing w:val="6"/>
          <w:szCs w:val="21"/>
          <w:highlight w:val="none"/>
        </w:rPr>
        <w:t>；</w:t>
      </w:r>
    </w:p>
    <w:p w14:paraId="1FA6F644">
      <w:pPr>
        <w:pStyle w:val="34"/>
        <w:ind w:firstLine="388" w:firstLineChars="200"/>
        <w:rPr>
          <w:rFonts w:ascii="宋体" w:hAnsi="宋体" w:eastAsia="宋体" w:cs="宋体"/>
          <w:b w:val="0"/>
          <w:bCs/>
          <w:sz w:val="21"/>
          <w:szCs w:val="21"/>
          <w:highlight w:val="none"/>
        </w:rPr>
      </w:pPr>
      <w:r>
        <w:rPr>
          <w:rFonts w:hint="eastAsia" w:ascii="宋体" w:hAnsi="宋体" w:eastAsia="宋体" w:cs="宋体"/>
          <w:b w:val="0"/>
          <w:bCs/>
          <w:sz w:val="21"/>
          <w:szCs w:val="21"/>
          <w:highlight w:val="none"/>
        </w:rPr>
        <w:t>……</w:t>
      </w:r>
    </w:p>
    <w:p w14:paraId="27959070">
      <w:pPr>
        <w:ind w:right="422" w:rightChars="201" w:firstLine="444" w:firstLineChars="200"/>
        <w:rPr>
          <w:rFonts w:cs="宋体"/>
          <w:spacing w:val="6"/>
          <w:szCs w:val="21"/>
          <w:highlight w:val="none"/>
        </w:rPr>
      </w:pPr>
      <w:r>
        <w:rPr>
          <w:rFonts w:hint="eastAsia" w:cs="宋体"/>
          <w:spacing w:val="6"/>
          <w:szCs w:val="21"/>
          <w:highlight w:val="none"/>
        </w:rPr>
        <w:t>以上企业，不属于大企业的分支机构，不存在控股股东为大企业的情形，也不存在与大企业的负责人为同一人的情 形。</w:t>
      </w:r>
    </w:p>
    <w:p w14:paraId="7333C9BD">
      <w:pPr>
        <w:ind w:right="422" w:rightChars="201" w:firstLine="444" w:firstLineChars="200"/>
        <w:rPr>
          <w:rFonts w:cs="宋体"/>
          <w:highlight w:val="none"/>
        </w:rPr>
      </w:pPr>
      <w:r>
        <w:rPr>
          <w:rFonts w:hint="eastAsia" w:cs="宋体"/>
          <w:spacing w:val="6"/>
          <w:szCs w:val="21"/>
          <w:highlight w:val="none"/>
        </w:rPr>
        <w:t>本企业对上述声明内容的真实性负责。如有虚假，将依 法承担相应责任。</w:t>
      </w:r>
    </w:p>
    <w:tbl>
      <w:tblPr>
        <w:tblStyle w:val="88"/>
        <w:tblW w:w="5534" w:type="dxa"/>
        <w:tblInd w:w="4294" w:type="dxa"/>
        <w:tblLayout w:type="fixed"/>
        <w:tblCellMar>
          <w:top w:w="0" w:type="dxa"/>
          <w:left w:w="108" w:type="dxa"/>
          <w:bottom w:w="0" w:type="dxa"/>
          <w:right w:w="108" w:type="dxa"/>
        </w:tblCellMar>
      </w:tblPr>
      <w:tblGrid>
        <w:gridCol w:w="5534"/>
      </w:tblGrid>
      <w:tr w14:paraId="28FFE6A3">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102B9E23">
            <w:pPr>
              <w:pStyle w:val="105"/>
              <w:spacing w:line="240" w:lineRule="auto"/>
              <w:jc w:val="both"/>
              <w:rPr>
                <w:rFonts w:cs="宋体"/>
                <w:sz w:val="21"/>
                <w:szCs w:val="21"/>
                <w:highlight w:val="none"/>
              </w:rPr>
            </w:pPr>
            <w:r>
              <w:rPr>
                <w:rFonts w:hint="eastAsia" w:cs="宋体"/>
                <w:b/>
                <w:sz w:val="21"/>
                <w:szCs w:val="21"/>
                <w:highlight w:val="none"/>
              </w:rPr>
              <w:t>投标人：（加盖电子公章）</w:t>
            </w:r>
          </w:p>
        </w:tc>
      </w:tr>
      <w:tr w14:paraId="4FAA3DC0">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6FA58A32">
            <w:pPr>
              <w:pStyle w:val="105"/>
              <w:spacing w:line="240" w:lineRule="auto"/>
              <w:jc w:val="both"/>
              <w:rPr>
                <w:rFonts w:cs="宋体"/>
                <w:b/>
                <w:bCs/>
                <w:sz w:val="21"/>
                <w:szCs w:val="21"/>
                <w:highlight w:val="none"/>
              </w:rPr>
            </w:pPr>
            <w:r>
              <w:rPr>
                <w:rFonts w:hint="eastAsia" w:cs="宋体"/>
                <w:b/>
                <w:bCs/>
                <w:sz w:val="21"/>
                <w:szCs w:val="21"/>
                <w:highlight w:val="none"/>
              </w:rPr>
              <w:t xml:space="preserve">日期：   </w:t>
            </w:r>
            <w:r>
              <w:rPr>
                <w:rFonts w:hint="eastAsia" w:cs="宋体"/>
                <w:szCs w:val="21"/>
                <w:highlight w:val="none"/>
              </w:rPr>
              <w:t xml:space="preserve"> </w:t>
            </w:r>
            <w:r>
              <w:rPr>
                <w:rFonts w:hint="eastAsia" w:cs="宋体"/>
                <w:b/>
                <w:bCs/>
                <w:sz w:val="21"/>
                <w:szCs w:val="21"/>
                <w:highlight w:val="none"/>
              </w:rPr>
              <w:t>年   月   日</w:t>
            </w:r>
          </w:p>
        </w:tc>
      </w:tr>
    </w:tbl>
    <w:p w14:paraId="340F93D1">
      <w:pPr>
        <w:pStyle w:val="34"/>
        <w:ind w:firstLine="388"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1.从业人员、营业收入、资产总额填报上一年度数据，无上一年度数据的新成立企业可不填报。</w:t>
      </w:r>
    </w:p>
    <w:p w14:paraId="132D0073">
      <w:pPr>
        <w:pStyle w:val="34"/>
        <w:ind w:firstLine="388"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2.根据《工业和信息化部、国家统计局、国家发展和改革委员会、财政部关于印发中小企业划型标准规定的通知》，本项目属于工业。</w:t>
      </w:r>
    </w:p>
    <w:p w14:paraId="0BBFA4CA">
      <w:pPr>
        <w:pStyle w:val="34"/>
        <w:ind w:firstLine="388" w:firstLineChars="200"/>
        <w:rPr>
          <w:rFonts w:ascii="宋体" w:hAnsi="宋体" w:eastAsia="宋体" w:cs="宋体"/>
          <w:b w:val="0"/>
          <w:bCs/>
          <w:sz w:val="21"/>
          <w:szCs w:val="21"/>
          <w:highlight w:val="none"/>
          <w:u w:val="single"/>
        </w:rPr>
      </w:pPr>
      <w:r>
        <w:rPr>
          <w:rFonts w:hint="eastAsia" w:ascii="宋体" w:hAnsi="宋体" w:eastAsia="宋体" w:cs="宋体"/>
          <w:b w:val="0"/>
          <w:bCs/>
          <w:sz w:val="21"/>
          <w:szCs w:val="21"/>
          <w:highlight w:val="none"/>
          <w:u w:val="singl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8645042">
      <w:pPr>
        <w:ind w:firstLine="420" w:firstLineChars="200"/>
        <w:rPr>
          <w:rFonts w:cs="宋体"/>
          <w:b/>
          <w:bCs/>
          <w:kern w:val="0"/>
          <w:szCs w:val="21"/>
          <w:highlight w:val="none"/>
          <w:lang w:bidi="ar"/>
        </w:rPr>
      </w:pPr>
      <w:r>
        <w:rPr>
          <w:rFonts w:hint="eastAsia" w:cs="宋体"/>
          <w:b/>
          <w:bCs/>
          <w:kern w:val="0"/>
          <w:szCs w:val="21"/>
          <w:highlight w:val="none"/>
          <w:lang w:bidi="ar"/>
        </w:rPr>
        <w:t>3.投标人填表时应择一明确自己属于中型企业或小型企业或微型企业。</w:t>
      </w:r>
    </w:p>
    <w:p w14:paraId="3A7ED78F">
      <w:pPr>
        <w:ind w:firstLine="420" w:firstLineChars="200"/>
        <w:rPr>
          <w:rFonts w:cs="宋体"/>
          <w:b/>
          <w:bCs/>
          <w:szCs w:val="21"/>
          <w:highlight w:val="none"/>
        </w:rPr>
      </w:pPr>
      <w:r>
        <w:rPr>
          <w:rFonts w:hint="eastAsia" w:cs="宋体"/>
          <w:b/>
          <w:bCs/>
          <w:szCs w:val="21"/>
          <w:highlight w:val="none"/>
        </w:rPr>
        <w:t>4.投标人对企业类型判断有困难的，可以登录工业和信息化部官方网站，在“公共服务平台”模块中，使用“中小企业规模类型自测小程序”进行测定。</w:t>
      </w:r>
    </w:p>
    <w:p w14:paraId="40242D3A">
      <w:pPr>
        <w:ind w:firstLine="420" w:firstLineChars="200"/>
        <w:rPr>
          <w:rFonts w:cs="宋体"/>
          <w:b/>
          <w:bCs/>
          <w:szCs w:val="21"/>
          <w:highlight w:val="none"/>
        </w:rPr>
      </w:pPr>
      <w:r>
        <w:rPr>
          <w:rFonts w:hint="eastAsia" w:cs="宋体"/>
          <w:b/>
          <w:bCs/>
          <w:szCs w:val="21"/>
          <w:highlight w:val="none"/>
        </w:rPr>
        <w:t>5.所声明的从业人员人数、营业收入金额或资产总额不实的，依照《中华人民共和国政府采购法》等国家有关规定追究相应责任。</w:t>
      </w:r>
    </w:p>
    <w:p w14:paraId="00E3C810">
      <w:pPr>
        <w:ind w:firstLine="420" w:firstLineChars="200"/>
        <w:rPr>
          <w:rFonts w:cs="宋体"/>
          <w:b/>
          <w:bCs/>
          <w:szCs w:val="21"/>
          <w:highlight w:val="none"/>
        </w:rPr>
      </w:pPr>
      <w:r>
        <w:rPr>
          <w:rFonts w:hint="eastAsia" w:cs="宋体"/>
          <w:b/>
          <w:bCs/>
          <w:szCs w:val="21"/>
          <w:highlight w:val="none"/>
        </w:rPr>
        <w:t>6.投标人须按招标文件规定的所属行业，核对根据国家统计局关于印发《统计上大中小微型企业划分办法（2017）》的通知，如实出具声明函。中小企业划型填写错误或所属行业填写错误的，评标委员会将不予进行价格扣除。</w:t>
      </w:r>
    </w:p>
    <w:p w14:paraId="5F3845E8">
      <w:pPr>
        <w:ind w:firstLine="420" w:firstLineChars="200"/>
        <w:rPr>
          <w:rFonts w:cs="宋体"/>
          <w:b/>
          <w:bCs/>
          <w:szCs w:val="21"/>
          <w:highlight w:val="none"/>
        </w:rPr>
      </w:pPr>
      <w:r>
        <w:rPr>
          <w:rFonts w:hint="eastAsia" w:cs="宋体"/>
          <w:szCs w:val="21"/>
          <w:highlight w:val="none"/>
        </w:rPr>
        <w:br w:type="page"/>
      </w:r>
    </w:p>
    <w:p w14:paraId="59EFA4CC">
      <w:pPr>
        <w:pStyle w:val="34"/>
        <w:rPr>
          <w:rFonts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附件：</w:t>
      </w:r>
    </w:p>
    <w:p w14:paraId="5080CCDA">
      <w:pPr>
        <w:pStyle w:val="34"/>
        <w:ind w:firstLine="630" w:firstLineChars="300"/>
        <w:rPr>
          <w:rFonts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《关于印发中小企业划型标准规定的通知》（工信部联企业〔2011〕300号）中小企业划型标准规定节选：</w:t>
      </w:r>
    </w:p>
    <w:p w14:paraId="1FA3C28F">
      <w:pPr>
        <w:pStyle w:val="45"/>
        <w:spacing w:line="500" w:lineRule="exact"/>
        <w:ind w:firstLine="210" w:firstLineChars="100"/>
        <w:jc w:val="left"/>
        <w:rPr>
          <w:rFonts w:cs="宋体"/>
          <w:szCs w:val="21"/>
          <w:highlight w:val="none"/>
        </w:rPr>
      </w:pPr>
      <w:r>
        <w:rPr>
          <w:rFonts w:hint="eastAsia" w:cs="宋体"/>
          <w:szCs w:val="21"/>
          <w:highlight w:val="none"/>
        </w:rPr>
        <w:t>四、各行业划型标准为：</w:t>
      </w:r>
    </w:p>
    <w:p w14:paraId="298B7974">
      <w:pPr>
        <w:pStyle w:val="45"/>
        <w:spacing w:line="500" w:lineRule="exact"/>
        <w:ind w:firstLine="210" w:firstLineChars="100"/>
        <w:jc w:val="left"/>
        <w:rPr>
          <w:rFonts w:cs="宋体"/>
          <w:szCs w:val="21"/>
          <w:highlight w:val="none"/>
        </w:rPr>
      </w:pPr>
      <w:r>
        <w:rPr>
          <w:rFonts w:hint="eastAsia" w:cs="宋体"/>
          <w:szCs w:val="21"/>
          <w:highlight w:val="none"/>
        </w:rPr>
        <w:t>　　（一）农、林、牧、渔业。营业收入20000万元以下的为中小微型企业。其中，营业收入500万元及以上的为中型企业，营业收入50万元及以上的为小型企业，营业收入50万元以下的为微型企业。</w:t>
      </w:r>
    </w:p>
    <w:p w14:paraId="2FCC6A79">
      <w:pPr>
        <w:pStyle w:val="45"/>
        <w:spacing w:line="500" w:lineRule="exact"/>
        <w:ind w:firstLine="210" w:firstLineChars="100"/>
        <w:jc w:val="left"/>
        <w:rPr>
          <w:rFonts w:cs="宋体"/>
          <w:szCs w:val="21"/>
          <w:highlight w:val="none"/>
        </w:rPr>
      </w:pPr>
      <w:r>
        <w:rPr>
          <w:rFonts w:hint="eastAsia" w:cs="宋体"/>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E6AD782">
      <w:pPr>
        <w:pStyle w:val="45"/>
        <w:spacing w:line="500" w:lineRule="exact"/>
        <w:ind w:firstLine="210" w:firstLineChars="100"/>
        <w:jc w:val="left"/>
        <w:rPr>
          <w:rFonts w:cs="宋体"/>
          <w:szCs w:val="21"/>
          <w:highlight w:val="none"/>
        </w:rPr>
      </w:pPr>
      <w:r>
        <w:rPr>
          <w:rFonts w:hint="eastAsia" w:cs="宋体"/>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FE78E57">
      <w:pPr>
        <w:pStyle w:val="45"/>
        <w:spacing w:line="500" w:lineRule="exact"/>
        <w:ind w:firstLine="210" w:firstLineChars="100"/>
        <w:jc w:val="left"/>
        <w:rPr>
          <w:rFonts w:cs="宋体"/>
          <w:szCs w:val="21"/>
          <w:highlight w:val="none"/>
        </w:rPr>
      </w:pPr>
      <w:r>
        <w:rPr>
          <w:rFonts w:hint="eastAsia" w:cs="宋体"/>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0E0AEDA">
      <w:pPr>
        <w:pStyle w:val="45"/>
        <w:spacing w:line="500" w:lineRule="exact"/>
        <w:ind w:firstLine="210" w:firstLineChars="100"/>
        <w:jc w:val="left"/>
        <w:rPr>
          <w:rFonts w:cs="宋体"/>
          <w:szCs w:val="21"/>
          <w:highlight w:val="none"/>
        </w:rPr>
      </w:pPr>
      <w:r>
        <w:rPr>
          <w:rFonts w:hint="eastAsia" w:cs="宋体"/>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0D25812">
      <w:pPr>
        <w:pStyle w:val="45"/>
        <w:spacing w:line="500" w:lineRule="exact"/>
        <w:ind w:firstLine="210" w:firstLineChars="100"/>
        <w:jc w:val="left"/>
        <w:rPr>
          <w:rFonts w:cs="宋体"/>
          <w:szCs w:val="21"/>
          <w:highlight w:val="none"/>
        </w:rPr>
      </w:pPr>
      <w:r>
        <w:rPr>
          <w:rFonts w:hint="eastAsia" w:cs="宋体"/>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43A0B67">
      <w:pPr>
        <w:pStyle w:val="45"/>
        <w:spacing w:line="500" w:lineRule="exact"/>
        <w:ind w:firstLine="210" w:firstLineChars="100"/>
        <w:jc w:val="left"/>
        <w:rPr>
          <w:rFonts w:cs="宋体"/>
          <w:szCs w:val="21"/>
          <w:highlight w:val="none"/>
        </w:rPr>
      </w:pPr>
      <w:r>
        <w:rPr>
          <w:rFonts w:hint="eastAsia" w:cs="宋体"/>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FC0AC34">
      <w:pPr>
        <w:pStyle w:val="45"/>
        <w:spacing w:line="500" w:lineRule="exact"/>
        <w:ind w:firstLine="210" w:firstLineChars="100"/>
        <w:jc w:val="left"/>
        <w:rPr>
          <w:rFonts w:cs="宋体"/>
          <w:szCs w:val="21"/>
          <w:highlight w:val="none"/>
        </w:rPr>
      </w:pPr>
      <w:r>
        <w:rPr>
          <w:rFonts w:hint="eastAsia" w:cs="宋体"/>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F66DB54">
      <w:pPr>
        <w:pStyle w:val="45"/>
        <w:spacing w:line="500" w:lineRule="exact"/>
        <w:ind w:firstLine="210" w:firstLineChars="100"/>
        <w:jc w:val="left"/>
        <w:rPr>
          <w:rFonts w:cs="宋体"/>
          <w:szCs w:val="21"/>
          <w:highlight w:val="none"/>
        </w:rPr>
      </w:pPr>
      <w:r>
        <w:rPr>
          <w:rFonts w:hint="eastAsia" w:cs="宋体"/>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A58CDA2">
      <w:pPr>
        <w:pStyle w:val="45"/>
        <w:spacing w:line="500" w:lineRule="exact"/>
        <w:ind w:firstLine="210" w:firstLineChars="100"/>
        <w:jc w:val="left"/>
        <w:rPr>
          <w:rFonts w:cs="宋体"/>
          <w:szCs w:val="21"/>
          <w:highlight w:val="none"/>
        </w:rPr>
      </w:pPr>
      <w:r>
        <w:rPr>
          <w:rFonts w:hint="eastAsia" w:cs="宋体"/>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DA5DA52">
      <w:pPr>
        <w:pStyle w:val="45"/>
        <w:spacing w:line="500" w:lineRule="exact"/>
        <w:ind w:firstLine="210" w:firstLineChars="100"/>
        <w:jc w:val="left"/>
        <w:rPr>
          <w:rFonts w:cs="宋体"/>
          <w:szCs w:val="21"/>
          <w:highlight w:val="none"/>
        </w:rPr>
      </w:pPr>
      <w:r>
        <w:rPr>
          <w:rFonts w:hint="eastAsia" w:cs="宋体"/>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8A4DC24">
      <w:pPr>
        <w:pStyle w:val="45"/>
        <w:spacing w:line="500" w:lineRule="exact"/>
        <w:ind w:firstLine="210" w:firstLineChars="100"/>
        <w:jc w:val="left"/>
        <w:rPr>
          <w:rFonts w:cs="宋体"/>
          <w:szCs w:val="21"/>
          <w:highlight w:val="none"/>
        </w:rPr>
      </w:pPr>
      <w:r>
        <w:rPr>
          <w:rFonts w:hint="eastAsia" w:cs="宋体"/>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974E720">
      <w:pPr>
        <w:pStyle w:val="45"/>
        <w:spacing w:line="500" w:lineRule="exact"/>
        <w:ind w:firstLine="210" w:firstLineChars="100"/>
        <w:jc w:val="left"/>
        <w:rPr>
          <w:rFonts w:cs="宋体"/>
          <w:szCs w:val="21"/>
          <w:highlight w:val="none"/>
        </w:rPr>
      </w:pPr>
      <w:r>
        <w:rPr>
          <w:rFonts w:hint="eastAsia" w:cs="宋体"/>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EB56700">
      <w:pPr>
        <w:pStyle w:val="45"/>
        <w:spacing w:line="500" w:lineRule="exact"/>
        <w:ind w:firstLine="210" w:firstLineChars="100"/>
        <w:jc w:val="left"/>
        <w:rPr>
          <w:rFonts w:cs="宋体"/>
          <w:szCs w:val="21"/>
          <w:highlight w:val="none"/>
        </w:rPr>
      </w:pPr>
      <w:r>
        <w:rPr>
          <w:rFonts w:hint="eastAsia" w:cs="宋体"/>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647E584">
      <w:pPr>
        <w:pStyle w:val="45"/>
        <w:spacing w:line="500" w:lineRule="exact"/>
        <w:ind w:firstLine="210" w:firstLineChars="100"/>
        <w:jc w:val="left"/>
        <w:rPr>
          <w:rFonts w:cs="宋体"/>
          <w:szCs w:val="21"/>
          <w:highlight w:val="none"/>
        </w:rPr>
      </w:pPr>
      <w:r>
        <w:rPr>
          <w:rFonts w:hint="eastAsia" w:cs="宋体"/>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0C4FED0">
      <w:pPr>
        <w:pStyle w:val="45"/>
        <w:spacing w:line="500" w:lineRule="exact"/>
        <w:ind w:firstLine="210" w:firstLineChars="100"/>
        <w:jc w:val="left"/>
        <w:rPr>
          <w:rFonts w:cs="宋体"/>
          <w:szCs w:val="21"/>
          <w:highlight w:val="none"/>
        </w:rPr>
      </w:pPr>
      <w:r>
        <w:rPr>
          <w:rFonts w:hint="eastAsia" w:cs="宋体"/>
          <w:szCs w:val="21"/>
          <w:highlight w:val="none"/>
        </w:rPr>
        <w:t>　　（十六）其他未列明行业。从业人员300人以下的为中小微型企业。其中，从业人员100人及以上的为中型企业；从业人员10人及以上的为小型企业；从业人员10人以下的为微型企业。</w:t>
      </w:r>
    </w:p>
    <w:p w14:paraId="3A9C5758">
      <w:pPr>
        <w:rPr>
          <w:rFonts w:cs="宋体"/>
          <w:highlight w:val="none"/>
        </w:rPr>
      </w:pPr>
    </w:p>
    <w:p w14:paraId="0DFEB6DA">
      <w:pPr>
        <w:widowControl/>
        <w:jc w:val="left"/>
        <w:rPr>
          <w:rFonts w:cs="宋体"/>
          <w:b/>
          <w:spacing w:val="-8"/>
          <w:sz w:val="44"/>
          <w:szCs w:val="20"/>
          <w:highlight w:val="none"/>
        </w:rPr>
      </w:pPr>
      <w:r>
        <w:rPr>
          <w:rFonts w:hint="eastAsia" w:cs="宋体"/>
          <w:highlight w:val="none"/>
        </w:rPr>
        <w:br w:type="page"/>
      </w:r>
    </w:p>
    <w:p w14:paraId="30ED5A93">
      <w:pPr>
        <w:jc w:val="center"/>
        <w:outlineLvl w:val="2"/>
        <w:rPr>
          <w:rFonts w:cs="宋体"/>
          <w:b/>
          <w:bCs/>
          <w:sz w:val="28"/>
          <w:szCs w:val="36"/>
          <w:highlight w:val="none"/>
        </w:rPr>
      </w:pPr>
      <w:bookmarkStart w:id="411" w:name="_Toc125986494"/>
      <w:bookmarkStart w:id="412" w:name="_Toc17127"/>
      <w:bookmarkStart w:id="413" w:name="_Toc139357090"/>
      <w:bookmarkStart w:id="414" w:name="_Toc171929855"/>
      <w:bookmarkStart w:id="415" w:name="_Toc175582364"/>
      <w:bookmarkStart w:id="416" w:name="_Toc12807"/>
      <w:bookmarkStart w:id="417" w:name="_Toc125904359"/>
      <w:bookmarkStart w:id="418" w:name="_Toc166067793"/>
      <w:bookmarkStart w:id="419" w:name="_Toc9252"/>
      <w:bookmarkStart w:id="420" w:name="_Toc80973387"/>
      <w:bookmarkStart w:id="421" w:name="_Toc172205108"/>
      <w:bookmarkStart w:id="422" w:name="_Hlk512677445"/>
      <w:bookmarkStart w:id="423" w:name="_Hlk512677434"/>
      <w:r>
        <w:rPr>
          <w:rFonts w:hint="eastAsia" w:cs="宋体"/>
          <w:b/>
          <w:bCs/>
          <w:sz w:val="28"/>
          <w:szCs w:val="36"/>
          <w:highlight w:val="none"/>
        </w:rPr>
        <w:t>（</w:t>
      </w:r>
      <w:r>
        <w:rPr>
          <w:rFonts w:hint="eastAsia" w:cs="宋体"/>
          <w:b/>
          <w:bCs/>
          <w:sz w:val="28"/>
          <w:szCs w:val="36"/>
          <w:highlight w:val="none"/>
          <w:lang w:val="en-US" w:eastAsia="zh-CN"/>
        </w:rPr>
        <w:t>九</w:t>
      </w:r>
      <w:r>
        <w:rPr>
          <w:rFonts w:hint="eastAsia" w:cs="宋体"/>
          <w:b/>
          <w:bCs/>
          <w:sz w:val="28"/>
          <w:szCs w:val="36"/>
          <w:highlight w:val="none"/>
        </w:rPr>
        <w:t>）残疾人福利性单位声明函（如有，按需提供）</w:t>
      </w:r>
      <w:bookmarkEnd w:id="411"/>
      <w:bookmarkEnd w:id="412"/>
      <w:bookmarkEnd w:id="413"/>
      <w:bookmarkEnd w:id="414"/>
      <w:bookmarkEnd w:id="415"/>
      <w:bookmarkEnd w:id="416"/>
      <w:bookmarkEnd w:id="417"/>
      <w:bookmarkEnd w:id="418"/>
      <w:bookmarkEnd w:id="419"/>
      <w:bookmarkEnd w:id="420"/>
      <w:bookmarkEnd w:id="421"/>
    </w:p>
    <w:p w14:paraId="16272418">
      <w:pPr>
        <w:ind w:firstLine="420" w:firstLineChars="200"/>
        <w:rPr>
          <w:rFonts w:cs="宋体"/>
          <w:szCs w:val="21"/>
          <w:highlight w:val="none"/>
        </w:rPr>
      </w:pPr>
    </w:p>
    <w:p w14:paraId="6CB9A464">
      <w:pPr>
        <w:ind w:firstLine="420" w:firstLineChars="200"/>
        <w:rPr>
          <w:rFonts w:cs="宋体"/>
          <w:szCs w:val="21"/>
          <w:highlight w:val="none"/>
        </w:rPr>
      </w:pPr>
      <w:r>
        <w:rPr>
          <w:rFonts w:hint="eastAsia" w:cs="宋体"/>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中国残疾人联合会关于促进残疾人就业政府采购政策的通知》（财库〔2017〕141号）的规定，本单位为符合条件的残疾人福利性单位，且本单位参加______单位的______项目采购活动提供服务。</w:t>
      </w:r>
    </w:p>
    <w:p w14:paraId="44B33B48">
      <w:pPr>
        <w:ind w:firstLine="420" w:firstLineChars="200"/>
        <w:rPr>
          <w:rFonts w:cs="宋体"/>
          <w:szCs w:val="21"/>
          <w:highlight w:val="none"/>
        </w:rPr>
      </w:pPr>
      <w:r>
        <w:rPr>
          <w:rFonts w:hint="eastAsia" w:cs="宋体"/>
          <w:szCs w:val="21"/>
          <w:highlight w:val="none"/>
        </w:rPr>
        <w:t>本单位对上述声明的真实性负责。如有虚假，将依法承担相应责任。</w:t>
      </w:r>
    </w:p>
    <w:p w14:paraId="721D3B8B">
      <w:pPr>
        <w:ind w:firstLine="420" w:firstLineChars="200"/>
        <w:rPr>
          <w:rFonts w:cs="宋体"/>
          <w:szCs w:val="21"/>
          <w:highlight w:val="none"/>
        </w:rPr>
      </w:pPr>
    </w:p>
    <w:bookmarkEnd w:id="422"/>
    <w:bookmarkEnd w:id="423"/>
    <w:tbl>
      <w:tblPr>
        <w:tblStyle w:val="88"/>
        <w:tblW w:w="5534" w:type="dxa"/>
        <w:tblInd w:w="4294" w:type="dxa"/>
        <w:tblLayout w:type="fixed"/>
        <w:tblCellMar>
          <w:top w:w="0" w:type="dxa"/>
          <w:left w:w="108" w:type="dxa"/>
          <w:bottom w:w="0" w:type="dxa"/>
          <w:right w:w="108" w:type="dxa"/>
        </w:tblCellMar>
      </w:tblPr>
      <w:tblGrid>
        <w:gridCol w:w="5534"/>
      </w:tblGrid>
      <w:tr w14:paraId="5476C745">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3C0CD6D6">
            <w:pPr>
              <w:pStyle w:val="105"/>
              <w:spacing w:line="240" w:lineRule="auto"/>
              <w:jc w:val="both"/>
              <w:rPr>
                <w:rFonts w:cs="宋体"/>
                <w:sz w:val="21"/>
                <w:szCs w:val="21"/>
                <w:highlight w:val="none"/>
              </w:rPr>
            </w:pPr>
            <w:r>
              <w:rPr>
                <w:rFonts w:hint="eastAsia" w:cs="宋体"/>
                <w:b/>
                <w:sz w:val="21"/>
                <w:szCs w:val="21"/>
                <w:highlight w:val="none"/>
              </w:rPr>
              <w:t>投标人：（加盖电子公章）</w:t>
            </w:r>
          </w:p>
        </w:tc>
      </w:tr>
      <w:tr w14:paraId="1BBD70DA">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12360AE5">
            <w:pPr>
              <w:pStyle w:val="105"/>
              <w:spacing w:line="240" w:lineRule="auto"/>
              <w:jc w:val="both"/>
              <w:rPr>
                <w:rFonts w:cs="宋体"/>
                <w:b/>
                <w:bCs/>
                <w:sz w:val="21"/>
                <w:szCs w:val="21"/>
                <w:highlight w:val="none"/>
              </w:rPr>
            </w:pPr>
            <w:r>
              <w:rPr>
                <w:rFonts w:hint="eastAsia" w:cs="宋体"/>
                <w:b/>
                <w:bCs/>
                <w:sz w:val="21"/>
                <w:szCs w:val="21"/>
                <w:highlight w:val="none"/>
              </w:rPr>
              <w:t xml:space="preserve">日期：   </w:t>
            </w:r>
            <w:r>
              <w:rPr>
                <w:rFonts w:hint="eastAsia" w:cs="宋体"/>
                <w:szCs w:val="21"/>
                <w:highlight w:val="none"/>
              </w:rPr>
              <w:t xml:space="preserve"> </w:t>
            </w:r>
            <w:r>
              <w:rPr>
                <w:rFonts w:hint="eastAsia" w:cs="宋体"/>
                <w:b/>
                <w:bCs/>
                <w:sz w:val="21"/>
                <w:szCs w:val="21"/>
                <w:highlight w:val="none"/>
              </w:rPr>
              <w:t>年  月   日</w:t>
            </w:r>
          </w:p>
        </w:tc>
      </w:tr>
    </w:tbl>
    <w:p w14:paraId="1BB38C65">
      <w:pPr>
        <w:jc w:val="left"/>
        <w:rPr>
          <w:rFonts w:cs="宋体"/>
          <w:szCs w:val="21"/>
          <w:highlight w:val="none"/>
        </w:rPr>
      </w:pPr>
    </w:p>
    <w:p w14:paraId="3AC41FAC">
      <w:pPr>
        <w:ind w:firstLine="420" w:firstLineChars="200"/>
        <w:jc w:val="left"/>
        <w:rPr>
          <w:rFonts w:cs="宋体"/>
          <w:szCs w:val="21"/>
          <w:highlight w:val="none"/>
        </w:rPr>
      </w:pPr>
      <w:r>
        <w:rPr>
          <w:rFonts w:hint="eastAsia" w:cs="宋体"/>
          <w:b/>
          <w:szCs w:val="21"/>
          <w:highlight w:val="none"/>
        </w:rPr>
        <w:t>注：中标人为残疾人福利性单位的，其《残疾人福利性单位声明函》将随中标结果同时公告，接受社会监督。投标人提供的《残疾人福利性单位声明函》与事实不符的，依照《政府采购法》第七十七条第一款的规定追究法律责任。</w:t>
      </w:r>
    </w:p>
    <w:p w14:paraId="07288395">
      <w:pPr>
        <w:widowControl/>
        <w:jc w:val="left"/>
        <w:rPr>
          <w:rFonts w:cs="宋体"/>
          <w:b/>
          <w:sz w:val="28"/>
          <w:szCs w:val="28"/>
          <w:highlight w:val="none"/>
          <w:lang w:val="zh-CN"/>
        </w:rPr>
      </w:pPr>
      <w:r>
        <w:rPr>
          <w:rFonts w:hint="eastAsia" w:cs="宋体"/>
          <w:b/>
          <w:sz w:val="28"/>
          <w:szCs w:val="28"/>
          <w:highlight w:val="none"/>
        </w:rPr>
        <w:br w:type="page"/>
      </w:r>
    </w:p>
    <w:p w14:paraId="349B09FA">
      <w:pPr>
        <w:jc w:val="center"/>
        <w:outlineLvl w:val="2"/>
        <w:rPr>
          <w:rFonts w:cs="宋体"/>
          <w:b/>
          <w:bCs/>
          <w:sz w:val="28"/>
          <w:szCs w:val="36"/>
          <w:highlight w:val="none"/>
        </w:rPr>
      </w:pPr>
      <w:bookmarkStart w:id="424" w:name="_Toc523832877"/>
      <w:bookmarkStart w:id="425" w:name="_Toc166067794"/>
      <w:bookmarkStart w:id="426" w:name="_Toc139357091"/>
      <w:bookmarkStart w:id="427" w:name="_Toc20994"/>
      <w:bookmarkStart w:id="428" w:name="_Toc23936"/>
      <w:bookmarkStart w:id="429" w:name="_Toc172205109"/>
      <w:bookmarkStart w:id="430" w:name="_Toc125904360"/>
      <w:bookmarkStart w:id="431" w:name="_Toc13361"/>
      <w:bookmarkStart w:id="432" w:name="_Toc80973388"/>
      <w:bookmarkStart w:id="433" w:name="_Toc175582365"/>
      <w:bookmarkStart w:id="434" w:name="_Toc171929856"/>
      <w:bookmarkStart w:id="435" w:name="_Toc125986495"/>
      <w:bookmarkStart w:id="436" w:name="_Hlk51937745"/>
      <w:r>
        <w:rPr>
          <w:rFonts w:hint="eastAsia" w:cs="宋体"/>
          <w:b/>
          <w:bCs/>
          <w:sz w:val="28"/>
          <w:szCs w:val="36"/>
          <w:highlight w:val="none"/>
        </w:rPr>
        <w:t>（</w:t>
      </w:r>
      <w:r>
        <w:rPr>
          <w:rFonts w:hint="eastAsia" w:cs="宋体"/>
          <w:b/>
          <w:bCs/>
          <w:sz w:val="28"/>
          <w:szCs w:val="36"/>
          <w:highlight w:val="none"/>
          <w:lang w:val="en-US" w:eastAsia="zh-CN"/>
        </w:rPr>
        <w:t>十</w:t>
      </w:r>
      <w:r>
        <w:rPr>
          <w:rFonts w:hint="eastAsia" w:cs="宋体"/>
          <w:b/>
          <w:bCs/>
          <w:sz w:val="28"/>
          <w:szCs w:val="36"/>
          <w:highlight w:val="none"/>
        </w:rPr>
        <w:t>）监狱企业证明文件</w:t>
      </w:r>
      <w:bookmarkEnd w:id="424"/>
      <w:r>
        <w:rPr>
          <w:rFonts w:hint="eastAsia" w:cs="宋体"/>
          <w:b/>
          <w:bCs/>
          <w:sz w:val="28"/>
          <w:szCs w:val="36"/>
          <w:highlight w:val="none"/>
        </w:rPr>
        <w:t>（如有，按需提供）</w:t>
      </w:r>
      <w:bookmarkEnd w:id="425"/>
      <w:bookmarkEnd w:id="426"/>
      <w:bookmarkEnd w:id="427"/>
      <w:bookmarkEnd w:id="428"/>
      <w:bookmarkEnd w:id="429"/>
      <w:bookmarkEnd w:id="430"/>
      <w:bookmarkEnd w:id="431"/>
      <w:bookmarkEnd w:id="432"/>
      <w:bookmarkEnd w:id="433"/>
      <w:bookmarkEnd w:id="434"/>
      <w:bookmarkEnd w:id="435"/>
    </w:p>
    <w:p w14:paraId="40035636">
      <w:pPr>
        <w:rPr>
          <w:rFonts w:cs="宋体"/>
          <w:highlight w:val="none"/>
        </w:rPr>
      </w:pPr>
    </w:p>
    <w:p w14:paraId="44D106BE">
      <w:pPr>
        <w:ind w:firstLine="420" w:firstLineChars="200"/>
        <w:jc w:val="left"/>
        <w:rPr>
          <w:rFonts w:cs="宋体"/>
          <w:szCs w:val="21"/>
          <w:highlight w:val="none"/>
        </w:rPr>
      </w:pPr>
      <w:r>
        <w:rPr>
          <w:rFonts w:hint="eastAsia" w:cs="宋体"/>
          <w:szCs w:val="21"/>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D456E5D">
      <w:pPr>
        <w:ind w:firstLine="315" w:firstLineChars="150"/>
        <w:jc w:val="left"/>
        <w:rPr>
          <w:rFonts w:cs="宋体"/>
          <w:szCs w:val="21"/>
          <w:highlight w:val="none"/>
        </w:rPr>
      </w:pPr>
      <w:r>
        <w:rPr>
          <w:rFonts w:hint="eastAsia" w:cs="宋体"/>
          <w:szCs w:val="21"/>
          <w:highlight w:val="none"/>
        </w:rPr>
        <w:t>监狱企业参加政府采购活动时，应当提供由省级以上监狱管理局、戒毒管理局（含新疆生产建设兵团）出具的属于监狱企业的证明文件。</w:t>
      </w:r>
      <w:bookmarkEnd w:id="436"/>
    </w:p>
    <w:p w14:paraId="0C75DFEA">
      <w:pPr>
        <w:rPr>
          <w:rFonts w:cs="宋体"/>
          <w:highlight w:val="none"/>
        </w:rPr>
      </w:pPr>
    </w:p>
    <w:tbl>
      <w:tblPr>
        <w:tblStyle w:val="88"/>
        <w:tblW w:w="5534" w:type="dxa"/>
        <w:tblInd w:w="4294" w:type="dxa"/>
        <w:tblLayout w:type="fixed"/>
        <w:tblCellMar>
          <w:top w:w="0" w:type="dxa"/>
          <w:left w:w="108" w:type="dxa"/>
          <w:bottom w:w="0" w:type="dxa"/>
          <w:right w:w="108" w:type="dxa"/>
        </w:tblCellMar>
      </w:tblPr>
      <w:tblGrid>
        <w:gridCol w:w="5534"/>
      </w:tblGrid>
      <w:tr w14:paraId="5BAD6DEB">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1E301D2A">
            <w:pPr>
              <w:pStyle w:val="105"/>
              <w:spacing w:line="240" w:lineRule="auto"/>
              <w:jc w:val="both"/>
              <w:rPr>
                <w:rFonts w:cs="宋体"/>
                <w:sz w:val="21"/>
                <w:szCs w:val="21"/>
                <w:highlight w:val="none"/>
              </w:rPr>
            </w:pPr>
            <w:r>
              <w:rPr>
                <w:rFonts w:hint="eastAsia" w:cs="宋体"/>
                <w:b/>
                <w:sz w:val="21"/>
                <w:szCs w:val="21"/>
                <w:highlight w:val="none"/>
              </w:rPr>
              <w:t>投标人：（加盖电子公章）</w:t>
            </w:r>
          </w:p>
        </w:tc>
      </w:tr>
      <w:tr w14:paraId="70E48BD4">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78923223">
            <w:pPr>
              <w:pStyle w:val="105"/>
              <w:spacing w:line="240" w:lineRule="auto"/>
              <w:jc w:val="both"/>
              <w:rPr>
                <w:rFonts w:cs="宋体"/>
                <w:b/>
                <w:bCs/>
                <w:sz w:val="21"/>
                <w:szCs w:val="21"/>
                <w:highlight w:val="none"/>
              </w:rPr>
            </w:pPr>
            <w:r>
              <w:rPr>
                <w:rFonts w:hint="eastAsia" w:cs="宋体"/>
                <w:b/>
                <w:bCs/>
                <w:sz w:val="21"/>
                <w:szCs w:val="21"/>
                <w:highlight w:val="none"/>
              </w:rPr>
              <w:t xml:space="preserve">日期：   </w:t>
            </w:r>
            <w:r>
              <w:rPr>
                <w:rFonts w:hint="eastAsia" w:cs="宋体"/>
                <w:szCs w:val="21"/>
                <w:highlight w:val="none"/>
              </w:rPr>
              <w:t xml:space="preserve"> </w:t>
            </w:r>
            <w:r>
              <w:rPr>
                <w:rFonts w:hint="eastAsia" w:cs="宋体"/>
                <w:b/>
                <w:bCs/>
                <w:sz w:val="21"/>
                <w:szCs w:val="21"/>
                <w:highlight w:val="none"/>
              </w:rPr>
              <w:t>年  月   日</w:t>
            </w:r>
          </w:p>
        </w:tc>
      </w:tr>
    </w:tbl>
    <w:p w14:paraId="1574739C">
      <w:pPr>
        <w:ind w:firstLine="315" w:firstLineChars="150"/>
        <w:jc w:val="left"/>
        <w:rPr>
          <w:rFonts w:cs="宋体"/>
          <w:szCs w:val="21"/>
          <w:highlight w:val="none"/>
        </w:rPr>
      </w:pPr>
    </w:p>
    <w:p w14:paraId="3BCBA72B">
      <w:pPr>
        <w:ind w:firstLine="315" w:firstLineChars="150"/>
        <w:jc w:val="left"/>
        <w:rPr>
          <w:rFonts w:cs="宋体"/>
          <w:szCs w:val="21"/>
          <w:highlight w:val="none"/>
        </w:rPr>
      </w:pPr>
    </w:p>
    <w:p w14:paraId="0DDC3946">
      <w:pPr>
        <w:widowControl/>
        <w:jc w:val="left"/>
        <w:rPr>
          <w:rFonts w:cs="宋体"/>
          <w:kern w:val="0"/>
          <w:sz w:val="24"/>
          <w:szCs w:val="20"/>
          <w:highlight w:val="none"/>
        </w:rPr>
      </w:pPr>
      <w:r>
        <w:rPr>
          <w:rFonts w:hint="eastAsia" w:cs="宋体"/>
          <w:szCs w:val="21"/>
          <w:highlight w:val="none"/>
        </w:rPr>
        <w:br w:type="page"/>
      </w:r>
    </w:p>
    <w:bookmarkEnd w:id="367"/>
    <w:p w14:paraId="1D732359">
      <w:pPr>
        <w:jc w:val="center"/>
        <w:outlineLvl w:val="2"/>
        <w:rPr>
          <w:rFonts w:cs="宋体"/>
          <w:b/>
          <w:bCs/>
          <w:sz w:val="28"/>
          <w:szCs w:val="36"/>
          <w:highlight w:val="none"/>
        </w:rPr>
      </w:pPr>
      <w:bookmarkStart w:id="437" w:name="_Toc166067795"/>
      <w:bookmarkStart w:id="438" w:name="_Toc171929858"/>
      <w:bookmarkStart w:id="439" w:name="_Toc14901"/>
      <w:bookmarkStart w:id="440" w:name="_Toc2173"/>
      <w:bookmarkStart w:id="441" w:name="_Toc139357092"/>
      <w:bookmarkStart w:id="442" w:name="_Toc175582368"/>
      <w:bookmarkStart w:id="443" w:name="_Toc172205112"/>
      <w:bookmarkStart w:id="444" w:name="_Toc125904361"/>
      <w:bookmarkStart w:id="445" w:name="_Toc125986496"/>
      <w:bookmarkStart w:id="446" w:name="_Toc38383425"/>
      <w:bookmarkStart w:id="447" w:name="_Toc38894482"/>
      <w:bookmarkStart w:id="448" w:name="_Toc22122"/>
      <w:r>
        <w:rPr>
          <w:rFonts w:hint="eastAsia" w:cs="宋体"/>
          <w:b/>
          <w:bCs/>
          <w:sz w:val="28"/>
          <w:szCs w:val="36"/>
          <w:highlight w:val="none"/>
        </w:rPr>
        <w:t>（</w:t>
      </w:r>
      <w:r>
        <w:rPr>
          <w:rFonts w:hint="eastAsia" w:cs="宋体"/>
          <w:b/>
          <w:bCs/>
          <w:sz w:val="28"/>
          <w:szCs w:val="36"/>
          <w:highlight w:val="none"/>
          <w:lang w:val="en-US" w:eastAsia="zh-CN"/>
        </w:rPr>
        <w:t>十一</w:t>
      </w:r>
      <w:r>
        <w:rPr>
          <w:rFonts w:hint="eastAsia" w:cs="宋体"/>
          <w:b/>
          <w:bCs/>
          <w:sz w:val="28"/>
          <w:szCs w:val="36"/>
          <w:highlight w:val="none"/>
        </w:rPr>
        <w:t>）构成投标文件商务部分的其他资料</w:t>
      </w:r>
      <w:bookmarkEnd w:id="437"/>
      <w:bookmarkEnd w:id="438"/>
      <w:bookmarkEnd w:id="439"/>
      <w:bookmarkEnd w:id="440"/>
      <w:bookmarkEnd w:id="441"/>
      <w:bookmarkEnd w:id="442"/>
      <w:bookmarkEnd w:id="443"/>
      <w:bookmarkEnd w:id="444"/>
      <w:bookmarkEnd w:id="445"/>
    </w:p>
    <w:bookmarkEnd w:id="446"/>
    <w:bookmarkEnd w:id="447"/>
    <w:bookmarkEnd w:id="448"/>
    <w:p w14:paraId="49509F06">
      <w:pPr>
        <w:jc w:val="center"/>
        <w:rPr>
          <w:rFonts w:cs="宋体"/>
          <w:bCs/>
          <w:highlight w:val="none"/>
        </w:rPr>
      </w:pPr>
      <w:r>
        <w:rPr>
          <w:rFonts w:hint="eastAsia" w:cs="宋体"/>
          <w:bCs/>
          <w:highlight w:val="none"/>
        </w:rPr>
        <w:t>（若有，内容格式自拟）</w:t>
      </w:r>
    </w:p>
    <w:p w14:paraId="7A579A6A">
      <w:pPr>
        <w:rPr>
          <w:rFonts w:cs="宋体"/>
          <w:b/>
          <w:sz w:val="28"/>
          <w:szCs w:val="28"/>
          <w:highlight w:val="none"/>
        </w:rPr>
      </w:pPr>
    </w:p>
    <w:p w14:paraId="7B9366EF">
      <w:pPr>
        <w:rPr>
          <w:rFonts w:cs="宋体"/>
          <w:b/>
          <w:sz w:val="28"/>
          <w:szCs w:val="28"/>
          <w:highlight w:val="none"/>
        </w:rPr>
      </w:pPr>
    </w:p>
    <w:p w14:paraId="2D0F897F">
      <w:pPr>
        <w:rPr>
          <w:rFonts w:cs="宋体"/>
          <w:b/>
          <w:sz w:val="28"/>
          <w:szCs w:val="28"/>
          <w:highlight w:val="none"/>
        </w:rPr>
      </w:pPr>
      <w:r>
        <w:rPr>
          <w:rFonts w:hint="eastAsia" w:cs="宋体"/>
          <w:b/>
          <w:sz w:val="28"/>
          <w:szCs w:val="28"/>
          <w:highlight w:val="none"/>
        </w:rPr>
        <w:br w:type="page"/>
      </w:r>
    </w:p>
    <w:bookmarkEnd w:id="315"/>
    <w:bookmarkEnd w:id="316"/>
    <w:bookmarkEnd w:id="317"/>
    <w:p w14:paraId="334FE588">
      <w:pPr>
        <w:jc w:val="center"/>
        <w:outlineLvl w:val="1"/>
        <w:rPr>
          <w:rFonts w:cs="宋体"/>
          <w:b/>
          <w:bCs/>
          <w:sz w:val="32"/>
          <w:szCs w:val="21"/>
          <w:highlight w:val="none"/>
        </w:rPr>
      </w:pPr>
      <w:bookmarkStart w:id="449" w:name="_Toc31404"/>
      <w:r>
        <w:rPr>
          <w:rFonts w:hint="eastAsia" w:cs="宋体"/>
          <w:b/>
          <w:bCs/>
          <w:sz w:val="32"/>
          <w:szCs w:val="21"/>
          <w:highlight w:val="none"/>
        </w:rPr>
        <w:t>四、技术部分</w:t>
      </w:r>
      <w:bookmarkEnd w:id="449"/>
    </w:p>
    <w:p w14:paraId="40C024B3">
      <w:pPr>
        <w:numPr>
          <w:ilvl w:val="2"/>
          <w:numId w:val="0"/>
        </w:numPr>
        <w:tabs>
          <w:tab w:val="left" w:pos="900"/>
        </w:tabs>
        <w:adjustRightInd w:val="0"/>
        <w:jc w:val="center"/>
        <w:textAlignment w:val="baseline"/>
        <w:outlineLvl w:val="2"/>
        <w:rPr>
          <w:rFonts w:cs="宋体"/>
          <w:b/>
          <w:bCs/>
          <w:sz w:val="28"/>
          <w:szCs w:val="36"/>
          <w:highlight w:val="none"/>
        </w:rPr>
      </w:pPr>
      <w:r>
        <w:rPr>
          <w:rFonts w:hint="eastAsia" w:cs="宋体"/>
          <w:b/>
          <w:bCs/>
          <w:sz w:val="28"/>
          <w:szCs w:val="36"/>
          <w:highlight w:val="none"/>
        </w:rPr>
        <w:t>（</w:t>
      </w:r>
      <w:r>
        <w:rPr>
          <w:rFonts w:hint="eastAsia" w:cs="宋体"/>
          <w:b/>
          <w:bCs/>
          <w:sz w:val="28"/>
          <w:szCs w:val="36"/>
          <w:highlight w:val="none"/>
          <w:lang w:val="en-US" w:eastAsia="zh-CN"/>
        </w:rPr>
        <w:t>一</w:t>
      </w:r>
      <w:r>
        <w:rPr>
          <w:rFonts w:hint="eastAsia" w:cs="宋体"/>
          <w:b/>
          <w:bCs/>
          <w:sz w:val="28"/>
          <w:szCs w:val="36"/>
          <w:highlight w:val="none"/>
        </w:rPr>
        <w:t>）对本项目的理解及重难点分析</w:t>
      </w:r>
    </w:p>
    <w:p w14:paraId="46242F37">
      <w:pPr>
        <w:jc w:val="center"/>
        <w:rPr>
          <w:rFonts w:cs="宋体"/>
          <w:szCs w:val="21"/>
          <w:highlight w:val="none"/>
        </w:rPr>
      </w:pPr>
      <w:r>
        <w:rPr>
          <w:rFonts w:hint="eastAsia" w:cs="宋体"/>
          <w:szCs w:val="21"/>
          <w:highlight w:val="none"/>
        </w:rPr>
        <w:t>（格式内容自拟）</w:t>
      </w:r>
    </w:p>
    <w:p w14:paraId="0CC91C08">
      <w:pPr>
        <w:rPr>
          <w:rFonts w:hint="eastAsia" w:cs="宋体"/>
          <w:b/>
          <w:bCs/>
          <w:sz w:val="28"/>
          <w:szCs w:val="36"/>
          <w:highlight w:val="none"/>
        </w:rPr>
      </w:pPr>
      <w:r>
        <w:rPr>
          <w:rFonts w:hint="eastAsia" w:cs="宋体"/>
          <w:b/>
          <w:bCs/>
          <w:sz w:val="28"/>
          <w:szCs w:val="36"/>
          <w:highlight w:val="none"/>
        </w:rPr>
        <w:br w:type="page"/>
      </w:r>
    </w:p>
    <w:p w14:paraId="3B6E186D">
      <w:pPr>
        <w:numPr>
          <w:ilvl w:val="2"/>
          <w:numId w:val="0"/>
        </w:numPr>
        <w:tabs>
          <w:tab w:val="left" w:pos="900"/>
        </w:tabs>
        <w:adjustRightInd w:val="0"/>
        <w:jc w:val="center"/>
        <w:textAlignment w:val="baseline"/>
        <w:outlineLvl w:val="2"/>
        <w:rPr>
          <w:rFonts w:cs="宋体"/>
          <w:b/>
          <w:bCs/>
          <w:sz w:val="28"/>
          <w:szCs w:val="36"/>
          <w:highlight w:val="none"/>
        </w:rPr>
      </w:pPr>
      <w:r>
        <w:rPr>
          <w:rFonts w:hint="eastAsia" w:cs="宋体"/>
          <w:b/>
          <w:bCs/>
          <w:sz w:val="28"/>
          <w:szCs w:val="36"/>
          <w:highlight w:val="none"/>
        </w:rPr>
        <w:t>（二）整体服务方案</w:t>
      </w:r>
    </w:p>
    <w:p w14:paraId="4C5628A3">
      <w:pPr>
        <w:jc w:val="center"/>
        <w:rPr>
          <w:rFonts w:cs="宋体"/>
          <w:szCs w:val="21"/>
          <w:highlight w:val="none"/>
        </w:rPr>
      </w:pPr>
      <w:r>
        <w:rPr>
          <w:rFonts w:hint="eastAsia" w:cs="宋体"/>
          <w:szCs w:val="21"/>
          <w:highlight w:val="none"/>
        </w:rPr>
        <w:t>（格式内容自拟）</w:t>
      </w:r>
    </w:p>
    <w:p w14:paraId="1DB4CC3C">
      <w:pPr>
        <w:numPr>
          <w:ilvl w:val="2"/>
          <w:numId w:val="0"/>
        </w:numPr>
        <w:tabs>
          <w:tab w:val="left" w:pos="900"/>
        </w:tabs>
        <w:adjustRightInd w:val="0"/>
        <w:jc w:val="center"/>
        <w:textAlignment w:val="baseline"/>
        <w:outlineLvl w:val="2"/>
        <w:rPr>
          <w:rFonts w:cs="宋体"/>
          <w:b/>
          <w:bCs/>
          <w:sz w:val="28"/>
          <w:szCs w:val="36"/>
          <w:highlight w:val="none"/>
        </w:rPr>
      </w:pPr>
      <w:r>
        <w:rPr>
          <w:rFonts w:hint="eastAsia" w:cs="宋体"/>
          <w:b/>
          <w:bCs/>
          <w:sz w:val="28"/>
          <w:szCs w:val="36"/>
          <w:highlight w:val="none"/>
        </w:rPr>
        <w:t>（</w:t>
      </w:r>
      <w:r>
        <w:rPr>
          <w:rFonts w:hint="eastAsia" w:cs="宋体"/>
          <w:b/>
          <w:bCs/>
          <w:sz w:val="28"/>
          <w:szCs w:val="36"/>
          <w:highlight w:val="none"/>
          <w:lang w:val="en-US" w:eastAsia="zh-CN"/>
        </w:rPr>
        <w:t>三</w:t>
      </w:r>
      <w:r>
        <w:rPr>
          <w:rFonts w:hint="eastAsia" w:cs="宋体"/>
          <w:b/>
          <w:bCs/>
          <w:sz w:val="28"/>
          <w:szCs w:val="36"/>
          <w:highlight w:val="none"/>
        </w:rPr>
        <w:t>）服务质量承诺及保证措施</w:t>
      </w:r>
    </w:p>
    <w:p w14:paraId="55FA86B7">
      <w:pPr>
        <w:jc w:val="center"/>
        <w:outlineLvl w:val="9"/>
        <w:rPr>
          <w:rFonts w:hint="eastAsia" w:cs="宋体"/>
          <w:b/>
          <w:bCs/>
          <w:sz w:val="28"/>
          <w:szCs w:val="36"/>
          <w:highlight w:val="none"/>
        </w:rPr>
      </w:pPr>
      <w:r>
        <w:rPr>
          <w:rFonts w:hint="eastAsia" w:cs="宋体"/>
          <w:szCs w:val="21"/>
          <w:highlight w:val="none"/>
        </w:rPr>
        <w:t>（格式内容自拟）</w:t>
      </w:r>
    </w:p>
    <w:p w14:paraId="5DC2E9D1">
      <w:pPr>
        <w:rPr>
          <w:rFonts w:hint="eastAsia" w:cs="宋体"/>
          <w:b/>
          <w:bCs/>
          <w:sz w:val="28"/>
          <w:szCs w:val="36"/>
          <w:highlight w:val="none"/>
        </w:rPr>
      </w:pPr>
      <w:r>
        <w:rPr>
          <w:rFonts w:hint="eastAsia" w:cs="宋体"/>
          <w:b/>
          <w:bCs/>
          <w:sz w:val="28"/>
          <w:szCs w:val="36"/>
          <w:highlight w:val="none"/>
        </w:rPr>
        <w:br w:type="page"/>
      </w:r>
    </w:p>
    <w:p w14:paraId="7F7F0AB2">
      <w:pPr>
        <w:jc w:val="center"/>
        <w:outlineLvl w:val="2"/>
        <w:rPr>
          <w:rFonts w:cs="宋体"/>
          <w:b/>
          <w:bCs/>
          <w:sz w:val="28"/>
          <w:szCs w:val="36"/>
          <w:highlight w:val="none"/>
        </w:rPr>
      </w:pPr>
      <w:r>
        <w:rPr>
          <w:rFonts w:hint="eastAsia" w:cs="宋体"/>
          <w:b/>
          <w:bCs/>
          <w:sz w:val="28"/>
          <w:szCs w:val="36"/>
          <w:highlight w:val="none"/>
        </w:rPr>
        <w:t>（</w:t>
      </w:r>
      <w:r>
        <w:rPr>
          <w:rFonts w:hint="eastAsia" w:cs="宋体"/>
          <w:b/>
          <w:bCs/>
          <w:sz w:val="28"/>
          <w:szCs w:val="36"/>
          <w:highlight w:val="none"/>
          <w:lang w:val="en-US" w:eastAsia="zh-CN"/>
        </w:rPr>
        <w:t>四</w:t>
      </w:r>
      <w:r>
        <w:rPr>
          <w:rFonts w:hint="eastAsia" w:cs="宋体"/>
          <w:b/>
          <w:bCs/>
          <w:sz w:val="28"/>
          <w:szCs w:val="36"/>
          <w:highlight w:val="none"/>
        </w:rPr>
        <w:t>）项目团队人员配置</w:t>
      </w:r>
    </w:p>
    <w:p w14:paraId="061A267F">
      <w:pPr>
        <w:numPr>
          <w:ilvl w:val="2"/>
          <w:numId w:val="0"/>
        </w:numPr>
        <w:tabs>
          <w:tab w:val="left" w:pos="900"/>
        </w:tabs>
        <w:adjustRightInd w:val="0"/>
        <w:spacing w:before="165" w:beforeLines="50" w:after="165" w:afterLines="50"/>
        <w:jc w:val="center"/>
        <w:textAlignment w:val="baseline"/>
        <w:outlineLvl w:val="3"/>
        <w:rPr>
          <w:rFonts w:cs="宋体"/>
          <w:b/>
          <w:kern w:val="0"/>
          <w:sz w:val="24"/>
          <w:highlight w:val="none"/>
        </w:rPr>
      </w:pPr>
      <w:r>
        <w:rPr>
          <w:rFonts w:hint="eastAsia" w:cs="宋体"/>
          <w:b/>
          <w:kern w:val="0"/>
          <w:sz w:val="24"/>
          <w:highlight w:val="none"/>
          <w:lang w:val="en-US" w:eastAsia="zh-CN"/>
        </w:rPr>
        <w:t>1</w:t>
      </w:r>
      <w:r>
        <w:rPr>
          <w:rFonts w:hint="eastAsia" w:cs="宋体"/>
          <w:b/>
          <w:kern w:val="0"/>
          <w:sz w:val="24"/>
          <w:highlight w:val="none"/>
        </w:rPr>
        <w:t>.拟派本项目团队人员配备情况表</w:t>
      </w:r>
    </w:p>
    <w:tbl>
      <w:tblPr>
        <w:tblStyle w:val="88"/>
        <w:tblW w:w="4856"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36"/>
        <w:gridCol w:w="1311"/>
        <w:gridCol w:w="1405"/>
        <w:gridCol w:w="1358"/>
        <w:gridCol w:w="2263"/>
        <w:gridCol w:w="1513"/>
        <w:gridCol w:w="750"/>
      </w:tblGrid>
      <w:tr w14:paraId="5057B9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9" w:hRule="exact"/>
          <w:jc w:val="center"/>
        </w:trPr>
        <w:tc>
          <w:tcPr>
            <w:tcW w:w="443" w:type="pct"/>
            <w:vAlign w:val="center"/>
          </w:tcPr>
          <w:p w14:paraId="78CDFA7C">
            <w:pPr>
              <w:overflowPunct w:val="0"/>
              <w:spacing w:line="288" w:lineRule="auto"/>
              <w:jc w:val="center"/>
              <w:rPr>
                <w:rFonts w:ascii="Times New Roman" w:hAnsi="Times New Roman"/>
                <w:b/>
                <w:bCs/>
                <w:szCs w:val="21"/>
                <w:highlight w:val="none"/>
              </w:rPr>
            </w:pPr>
            <w:r>
              <w:rPr>
                <w:rFonts w:hint="eastAsia" w:ascii="Times New Roman" w:hAnsi="Times New Roman"/>
                <w:b/>
                <w:bCs/>
                <w:szCs w:val="21"/>
                <w:highlight w:val="none"/>
              </w:rPr>
              <w:t>序号</w:t>
            </w:r>
          </w:p>
        </w:tc>
        <w:tc>
          <w:tcPr>
            <w:tcW w:w="694" w:type="pct"/>
            <w:vAlign w:val="center"/>
          </w:tcPr>
          <w:p w14:paraId="4E6C5D35">
            <w:pPr>
              <w:overflowPunct w:val="0"/>
              <w:spacing w:line="288" w:lineRule="auto"/>
              <w:jc w:val="center"/>
              <w:rPr>
                <w:rFonts w:ascii="Times New Roman" w:hAnsi="Times New Roman"/>
                <w:b/>
                <w:bCs/>
                <w:szCs w:val="21"/>
                <w:highlight w:val="none"/>
              </w:rPr>
            </w:pPr>
            <w:r>
              <w:rPr>
                <w:rFonts w:ascii="Times New Roman" w:hAnsi="Times New Roman"/>
                <w:b/>
                <w:bCs/>
                <w:szCs w:val="21"/>
                <w:highlight w:val="none"/>
              </w:rPr>
              <w:t>姓名</w:t>
            </w:r>
          </w:p>
        </w:tc>
        <w:tc>
          <w:tcPr>
            <w:tcW w:w="744" w:type="pct"/>
            <w:vAlign w:val="center"/>
          </w:tcPr>
          <w:p w14:paraId="312B31E3">
            <w:pPr>
              <w:overflowPunct w:val="0"/>
              <w:spacing w:line="288" w:lineRule="auto"/>
              <w:jc w:val="center"/>
              <w:rPr>
                <w:rFonts w:ascii="Times New Roman" w:hAnsi="Times New Roman"/>
                <w:b/>
                <w:bCs/>
                <w:szCs w:val="21"/>
                <w:highlight w:val="none"/>
              </w:rPr>
            </w:pPr>
            <w:r>
              <w:rPr>
                <w:rFonts w:ascii="Times New Roman" w:hAnsi="Times New Roman"/>
                <w:b/>
                <w:bCs/>
                <w:szCs w:val="21"/>
                <w:highlight w:val="none"/>
              </w:rPr>
              <w:t>性别</w:t>
            </w:r>
          </w:p>
        </w:tc>
        <w:tc>
          <w:tcPr>
            <w:tcW w:w="719" w:type="pct"/>
            <w:vAlign w:val="center"/>
          </w:tcPr>
          <w:p w14:paraId="78F6BFE2">
            <w:pPr>
              <w:overflowPunct w:val="0"/>
              <w:spacing w:line="288" w:lineRule="auto"/>
              <w:jc w:val="center"/>
              <w:rPr>
                <w:rFonts w:ascii="Times New Roman" w:hAnsi="Times New Roman"/>
                <w:b/>
                <w:bCs/>
                <w:szCs w:val="21"/>
                <w:highlight w:val="none"/>
              </w:rPr>
            </w:pPr>
            <w:r>
              <w:rPr>
                <w:rFonts w:ascii="Times New Roman" w:hAnsi="Times New Roman"/>
                <w:b/>
                <w:bCs/>
                <w:szCs w:val="21"/>
                <w:highlight w:val="none"/>
              </w:rPr>
              <w:t>年龄</w:t>
            </w:r>
          </w:p>
        </w:tc>
        <w:tc>
          <w:tcPr>
            <w:tcW w:w="1198" w:type="pct"/>
            <w:vAlign w:val="center"/>
          </w:tcPr>
          <w:p w14:paraId="04CF1660">
            <w:pPr>
              <w:overflowPunct w:val="0"/>
              <w:spacing w:line="288" w:lineRule="auto"/>
              <w:jc w:val="center"/>
              <w:rPr>
                <w:rFonts w:ascii="Times New Roman" w:hAnsi="Times New Roman"/>
                <w:b/>
                <w:bCs/>
                <w:szCs w:val="21"/>
                <w:highlight w:val="none"/>
              </w:rPr>
            </w:pPr>
            <w:r>
              <w:rPr>
                <w:rFonts w:ascii="Times New Roman" w:hAnsi="Times New Roman"/>
                <w:b/>
                <w:bCs/>
                <w:szCs w:val="21"/>
                <w:highlight w:val="none"/>
              </w:rPr>
              <w:t>证书名称</w:t>
            </w:r>
          </w:p>
          <w:p w14:paraId="6A9A0F90">
            <w:pPr>
              <w:overflowPunct w:val="0"/>
              <w:spacing w:line="288" w:lineRule="auto"/>
              <w:jc w:val="center"/>
              <w:rPr>
                <w:rFonts w:ascii="Times New Roman" w:hAnsi="Times New Roman"/>
                <w:b/>
                <w:bCs/>
                <w:szCs w:val="21"/>
                <w:highlight w:val="none"/>
              </w:rPr>
            </w:pPr>
            <w:r>
              <w:rPr>
                <w:rFonts w:ascii="Times New Roman" w:hAnsi="Times New Roman"/>
                <w:b/>
                <w:bCs/>
                <w:szCs w:val="21"/>
                <w:highlight w:val="none"/>
              </w:rPr>
              <w:t>（如有）</w:t>
            </w:r>
          </w:p>
        </w:tc>
        <w:tc>
          <w:tcPr>
            <w:tcW w:w="801" w:type="pct"/>
            <w:vAlign w:val="center"/>
          </w:tcPr>
          <w:p w14:paraId="3988B434">
            <w:pPr>
              <w:overflowPunct w:val="0"/>
              <w:spacing w:line="288" w:lineRule="auto"/>
              <w:jc w:val="center"/>
              <w:rPr>
                <w:rFonts w:ascii="Times New Roman" w:hAnsi="Times New Roman"/>
                <w:b/>
                <w:bCs/>
                <w:szCs w:val="21"/>
                <w:highlight w:val="none"/>
              </w:rPr>
            </w:pPr>
            <w:r>
              <w:rPr>
                <w:rFonts w:ascii="Times New Roman" w:hAnsi="Times New Roman"/>
                <w:b/>
                <w:bCs/>
                <w:szCs w:val="21"/>
                <w:highlight w:val="none"/>
              </w:rPr>
              <w:t>拟任岗位/职务</w:t>
            </w:r>
          </w:p>
        </w:tc>
        <w:tc>
          <w:tcPr>
            <w:tcW w:w="397" w:type="pct"/>
            <w:vAlign w:val="center"/>
          </w:tcPr>
          <w:p w14:paraId="2260B734">
            <w:pPr>
              <w:overflowPunct w:val="0"/>
              <w:spacing w:line="288" w:lineRule="auto"/>
              <w:jc w:val="center"/>
              <w:rPr>
                <w:rFonts w:ascii="Times New Roman" w:hAnsi="Times New Roman"/>
                <w:b/>
                <w:bCs/>
                <w:szCs w:val="21"/>
                <w:highlight w:val="none"/>
              </w:rPr>
            </w:pPr>
            <w:r>
              <w:rPr>
                <w:rFonts w:ascii="Times New Roman" w:hAnsi="Times New Roman"/>
                <w:b/>
                <w:bCs/>
                <w:szCs w:val="21"/>
                <w:highlight w:val="none"/>
              </w:rPr>
              <w:t>备注</w:t>
            </w:r>
          </w:p>
        </w:tc>
      </w:tr>
      <w:tr w14:paraId="0125CB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6" w:hRule="exact"/>
          <w:jc w:val="center"/>
        </w:trPr>
        <w:tc>
          <w:tcPr>
            <w:tcW w:w="443" w:type="pct"/>
            <w:vAlign w:val="center"/>
          </w:tcPr>
          <w:p w14:paraId="7FB4C0A5">
            <w:pPr>
              <w:overflowPunct w:val="0"/>
              <w:spacing w:line="288" w:lineRule="auto"/>
              <w:jc w:val="center"/>
              <w:rPr>
                <w:rFonts w:cs="宋体"/>
                <w:b/>
                <w:bCs/>
                <w:szCs w:val="21"/>
                <w:highlight w:val="none"/>
              </w:rPr>
            </w:pPr>
            <w:r>
              <w:rPr>
                <w:rFonts w:hint="eastAsia" w:cs="宋体"/>
                <w:b/>
                <w:bCs/>
                <w:szCs w:val="21"/>
                <w:highlight w:val="none"/>
              </w:rPr>
              <w:t>1</w:t>
            </w:r>
          </w:p>
        </w:tc>
        <w:tc>
          <w:tcPr>
            <w:tcW w:w="694" w:type="pct"/>
            <w:vAlign w:val="center"/>
          </w:tcPr>
          <w:p w14:paraId="4493D869">
            <w:pPr>
              <w:overflowPunct w:val="0"/>
              <w:spacing w:line="288" w:lineRule="auto"/>
              <w:jc w:val="center"/>
              <w:rPr>
                <w:rFonts w:ascii="Times New Roman" w:hAnsi="Times New Roman"/>
                <w:b/>
                <w:bCs/>
                <w:szCs w:val="21"/>
                <w:highlight w:val="none"/>
              </w:rPr>
            </w:pPr>
          </w:p>
        </w:tc>
        <w:tc>
          <w:tcPr>
            <w:tcW w:w="744" w:type="pct"/>
            <w:vAlign w:val="center"/>
          </w:tcPr>
          <w:p w14:paraId="162FBE36">
            <w:pPr>
              <w:overflowPunct w:val="0"/>
              <w:spacing w:line="288" w:lineRule="auto"/>
              <w:jc w:val="center"/>
              <w:rPr>
                <w:rFonts w:ascii="Times New Roman" w:hAnsi="Times New Roman"/>
                <w:b/>
                <w:bCs/>
                <w:szCs w:val="21"/>
                <w:highlight w:val="none"/>
              </w:rPr>
            </w:pPr>
          </w:p>
        </w:tc>
        <w:tc>
          <w:tcPr>
            <w:tcW w:w="719" w:type="pct"/>
            <w:vAlign w:val="center"/>
          </w:tcPr>
          <w:p w14:paraId="70168A56">
            <w:pPr>
              <w:overflowPunct w:val="0"/>
              <w:spacing w:line="288" w:lineRule="auto"/>
              <w:jc w:val="center"/>
              <w:rPr>
                <w:rFonts w:ascii="Times New Roman" w:hAnsi="Times New Roman"/>
                <w:b/>
                <w:bCs/>
                <w:szCs w:val="21"/>
                <w:highlight w:val="none"/>
              </w:rPr>
            </w:pPr>
          </w:p>
        </w:tc>
        <w:tc>
          <w:tcPr>
            <w:tcW w:w="1198" w:type="pct"/>
            <w:vAlign w:val="center"/>
          </w:tcPr>
          <w:p w14:paraId="37192858">
            <w:pPr>
              <w:overflowPunct w:val="0"/>
              <w:spacing w:line="288" w:lineRule="auto"/>
              <w:jc w:val="center"/>
              <w:rPr>
                <w:rFonts w:ascii="Times New Roman" w:hAnsi="Times New Roman"/>
                <w:b/>
                <w:bCs/>
                <w:szCs w:val="21"/>
                <w:highlight w:val="none"/>
              </w:rPr>
            </w:pPr>
          </w:p>
        </w:tc>
        <w:tc>
          <w:tcPr>
            <w:tcW w:w="801" w:type="pct"/>
            <w:vAlign w:val="center"/>
          </w:tcPr>
          <w:p w14:paraId="0B158487">
            <w:pPr>
              <w:overflowPunct w:val="0"/>
              <w:spacing w:line="288" w:lineRule="auto"/>
              <w:jc w:val="center"/>
              <w:rPr>
                <w:rFonts w:ascii="Times New Roman" w:hAnsi="Times New Roman"/>
                <w:b/>
                <w:bCs/>
                <w:szCs w:val="21"/>
                <w:highlight w:val="none"/>
              </w:rPr>
            </w:pPr>
          </w:p>
        </w:tc>
        <w:tc>
          <w:tcPr>
            <w:tcW w:w="397" w:type="pct"/>
            <w:vAlign w:val="center"/>
          </w:tcPr>
          <w:p w14:paraId="694B624D">
            <w:pPr>
              <w:overflowPunct w:val="0"/>
              <w:spacing w:line="288" w:lineRule="auto"/>
              <w:jc w:val="center"/>
              <w:rPr>
                <w:rFonts w:ascii="Times New Roman" w:hAnsi="Times New Roman"/>
                <w:b/>
                <w:bCs/>
                <w:szCs w:val="21"/>
                <w:highlight w:val="none"/>
              </w:rPr>
            </w:pPr>
          </w:p>
        </w:tc>
      </w:tr>
      <w:tr w14:paraId="6BFF82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6" w:hRule="exact"/>
          <w:jc w:val="center"/>
        </w:trPr>
        <w:tc>
          <w:tcPr>
            <w:tcW w:w="443" w:type="pct"/>
            <w:vAlign w:val="center"/>
          </w:tcPr>
          <w:p w14:paraId="48913057">
            <w:pPr>
              <w:overflowPunct w:val="0"/>
              <w:spacing w:line="288" w:lineRule="auto"/>
              <w:jc w:val="center"/>
              <w:rPr>
                <w:rFonts w:cs="宋体"/>
                <w:b/>
                <w:bCs/>
                <w:szCs w:val="21"/>
                <w:highlight w:val="none"/>
              </w:rPr>
            </w:pPr>
            <w:r>
              <w:rPr>
                <w:rFonts w:hint="eastAsia" w:cs="宋体"/>
                <w:b/>
                <w:bCs/>
                <w:szCs w:val="21"/>
                <w:highlight w:val="none"/>
              </w:rPr>
              <w:t>2</w:t>
            </w:r>
          </w:p>
        </w:tc>
        <w:tc>
          <w:tcPr>
            <w:tcW w:w="694" w:type="pct"/>
            <w:vAlign w:val="center"/>
          </w:tcPr>
          <w:p w14:paraId="1B1B4695">
            <w:pPr>
              <w:overflowPunct w:val="0"/>
              <w:spacing w:line="288" w:lineRule="auto"/>
              <w:jc w:val="center"/>
              <w:rPr>
                <w:rFonts w:ascii="Times New Roman" w:hAnsi="Times New Roman"/>
                <w:b/>
                <w:bCs/>
                <w:szCs w:val="21"/>
                <w:highlight w:val="none"/>
              </w:rPr>
            </w:pPr>
          </w:p>
        </w:tc>
        <w:tc>
          <w:tcPr>
            <w:tcW w:w="744" w:type="pct"/>
            <w:vAlign w:val="center"/>
          </w:tcPr>
          <w:p w14:paraId="70516D33">
            <w:pPr>
              <w:overflowPunct w:val="0"/>
              <w:spacing w:line="288" w:lineRule="auto"/>
              <w:jc w:val="center"/>
              <w:rPr>
                <w:rFonts w:ascii="Times New Roman" w:hAnsi="Times New Roman"/>
                <w:b/>
                <w:bCs/>
                <w:szCs w:val="21"/>
                <w:highlight w:val="none"/>
              </w:rPr>
            </w:pPr>
          </w:p>
        </w:tc>
        <w:tc>
          <w:tcPr>
            <w:tcW w:w="719" w:type="pct"/>
            <w:vAlign w:val="center"/>
          </w:tcPr>
          <w:p w14:paraId="0A266BFE">
            <w:pPr>
              <w:overflowPunct w:val="0"/>
              <w:spacing w:line="288" w:lineRule="auto"/>
              <w:jc w:val="center"/>
              <w:rPr>
                <w:rFonts w:ascii="Times New Roman" w:hAnsi="Times New Roman"/>
                <w:b/>
                <w:bCs/>
                <w:szCs w:val="21"/>
                <w:highlight w:val="none"/>
              </w:rPr>
            </w:pPr>
          </w:p>
        </w:tc>
        <w:tc>
          <w:tcPr>
            <w:tcW w:w="1198" w:type="pct"/>
            <w:vAlign w:val="center"/>
          </w:tcPr>
          <w:p w14:paraId="58C4BB86">
            <w:pPr>
              <w:overflowPunct w:val="0"/>
              <w:spacing w:line="288" w:lineRule="auto"/>
              <w:jc w:val="center"/>
              <w:rPr>
                <w:rFonts w:ascii="Times New Roman" w:hAnsi="Times New Roman"/>
                <w:b/>
                <w:bCs/>
                <w:szCs w:val="21"/>
                <w:highlight w:val="none"/>
              </w:rPr>
            </w:pPr>
          </w:p>
        </w:tc>
        <w:tc>
          <w:tcPr>
            <w:tcW w:w="801" w:type="pct"/>
            <w:vAlign w:val="center"/>
          </w:tcPr>
          <w:p w14:paraId="181A1CE8">
            <w:pPr>
              <w:overflowPunct w:val="0"/>
              <w:spacing w:line="288" w:lineRule="auto"/>
              <w:jc w:val="center"/>
              <w:rPr>
                <w:rFonts w:ascii="Times New Roman" w:hAnsi="Times New Roman"/>
                <w:b/>
                <w:bCs/>
                <w:szCs w:val="21"/>
                <w:highlight w:val="none"/>
              </w:rPr>
            </w:pPr>
          </w:p>
        </w:tc>
        <w:tc>
          <w:tcPr>
            <w:tcW w:w="397" w:type="pct"/>
            <w:vAlign w:val="center"/>
          </w:tcPr>
          <w:p w14:paraId="72DAADD7">
            <w:pPr>
              <w:overflowPunct w:val="0"/>
              <w:spacing w:line="288" w:lineRule="auto"/>
              <w:jc w:val="center"/>
              <w:rPr>
                <w:rFonts w:ascii="Times New Roman" w:hAnsi="Times New Roman"/>
                <w:b/>
                <w:bCs/>
                <w:szCs w:val="21"/>
                <w:highlight w:val="none"/>
              </w:rPr>
            </w:pPr>
          </w:p>
        </w:tc>
      </w:tr>
      <w:tr w14:paraId="06773C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9" w:hRule="exact"/>
          <w:jc w:val="center"/>
        </w:trPr>
        <w:tc>
          <w:tcPr>
            <w:tcW w:w="443" w:type="pct"/>
            <w:vAlign w:val="center"/>
          </w:tcPr>
          <w:p w14:paraId="793B5E05">
            <w:pPr>
              <w:overflowPunct w:val="0"/>
              <w:spacing w:line="288" w:lineRule="auto"/>
              <w:jc w:val="center"/>
              <w:rPr>
                <w:rFonts w:cs="宋体"/>
                <w:b/>
                <w:bCs/>
                <w:szCs w:val="21"/>
                <w:highlight w:val="none"/>
              </w:rPr>
            </w:pPr>
            <w:r>
              <w:rPr>
                <w:rFonts w:hint="eastAsia" w:cs="宋体"/>
                <w:b/>
                <w:bCs/>
                <w:szCs w:val="21"/>
                <w:highlight w:val="none"/>
              </w:rPr>
              <w:t>3</w:t>
            </w:r>
          </w:p>
        </w:tc>
        <w:tc>
          <w:tcPr>
            <w:tcW w:w="694" w:type="pct"/>
            <w:vAlign w:val="center"/>
          </w:tcPr>
          <w:p w14:paraId="5CD73A93">
            <w:pPr>
              <w:overflowPunct w:val="0"/>
              <w:spacing w:line="288" w:lineRule="auto"/>
              <w:jc w:val="center"/>
              <w:rPr>
                <w:rFonts w:ascii="Times New Roman" w:hAnsi="Times New Roman"/>
                <w:b/>
                <w:bCs/>
                <w:szCs w:val="21"/>
                <w:highlight w:val="none"/>
              </w:rPr>
            </w:pPr>
          </w:p>
        </w:tc>
        <w:tc>
          <w:tcPr>
            <w:tcW w:w="744" w:type="pct"/>
            <w:vAlign w:val="center"/>
          </w:tcPr>
          <w:p w14:paraId="11237B2A">
            <w:pPr>
              <w:overflowPunct w:val="0"/>
              <w:spacing w:line="288" w:lineRule="auto"/>
              <w:jc w:val="center"/>
              <w:rPr>
                <w:rFonts w:ascii="Times New Roman" w:hAnsi="Times New Roman"/>
                <w:b/>
                <w:bCs/>
                <w:szCs w:val="21"/>
                <w:highlight w:val="none"/>
              </w:rPr>
            </w:pPr>
          </w:p>
        </w:tc>
        <w:tc>
          <w:tcPr>
            <w:tcW w:w="719" w:type="pct"/>
            <w:vAlign w:val="center"/>
          </w:tcPr>
          <w:p w14:paraId="10B7151D">
            <w:pPr>
              <w:overflowPunct w:val="0"/>
              <w:spacing w:line="288" w:lineRule="auto"/>
              <w:jc w:val="center"/>
              <w:rPr>
                <w:rFonts w:ascii="Times New Roman" w:hAnsi="Times New Roman"/>
                <w:b/>
                <w:bCs/>
                <w:szCs w:val="21"/>
                <w:highlight w:val="none"/>
              </w:rPr>
            </w:pPr>
          </w:p>
        </w:tc>
        <w:tc>
          <w:tcPr>
            <w:tcW w:w="1198" w:type="pct"/>
            <w:vAlign w:val="center"/>
          </w:tcPr>
          <w:p w14:paraId="41625FEE">
            <w:pPr>
              <w:overflowPunct w:val="0"/>
              <w:spacing w:line="288" w:lineRule="auto"/>
              <w:jc w:val="center"/>
              <w:rPr>
                <w:rFonts w:ascii="Times New Roman" w:hAnsi="Times New Roman"/>
                <w:b/>
                <w:bCs/>
                <w:szCs w:val="21"/>
                <w:highlight w:val="none"/>
              </w:rPr>
            </w:pPr>
          </w:p>
        </w:tc>
        <w:tc>
          <w:tcPr>
            <w:tcW w:w="801" w:type="pct"/>
            <w:vAlign w:val="center"/>
          </w:tcPr>
          <w:p w14:paraId="18CA5C5D">
            <w:pPr>
              <w:overflowPunct w:val="0"/>
              <w:spacing w:line="288" w:lineRule="auto"/>
              <w:jc w:val="center"/>
              <w:rPr>
                <w:rFonts w:ascii="Times New Roman" w:hAnsi="Times New Roman"/>
                <w:b/>
                <w:bCs/>
                <w:szCs w:val="21"/>
                <w:highlight w:val="none"/>
              </w:rPr>
            </w:pPr>
          </w:p>
        </w:tc>
        <w:tc>
          <w:tcPr>
            <w:tcW w:w="397" w:type="pct"/>
            <w:vAlign w:val="center"/>
          </w:tcPr>
          <w:p w14:paraId="2DAB222C">
            <w:pPr>
              <w:overflowPunct w:val="0"/>
              <w:spacing w:line="288" w:lineRule="auto"/>
              <w:jc w:val="center"/>
              <w:rPr>
                <w:rFonts w:ascii="Times New Roman" w:hAnsi="Times New Roman"/>
                <w:b/>
                <w:bCs/>
                <w:szCs w:val="21"/>
                <w:highlight w:val="none"/>
              </w:rPr>
            </w:pPr>
          </w:p>
        </w:tc>
      </w:tr>
      <w:tr w14:paraId="4EE023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1" w:hRule="exact"/>
          <w:jc w:val="center"/>
        </w:trPr>
        <w:tc>
          <w:tcPr>
            <w:tcW w:w="443" w:type="pct"/>
            <w:vAlign w:val="center"/>
          </w:tcPr>
          <w:p w14:paraId="07CBB449">
            <w:pPr>
              <w:overflowPunct w:val="0"/>
              <w:spacing w:line="288" w:lineRule="auto"/>
              <w:jc w:val="center"/>
              <w:rPr>
                <w:rFonts w:cs="宋体"/>
                <w:b/>
                <w:bCs/>
                <w:szCs w:val="21"/>
                <w:highlight w:val="none"/>
              </w:rPr>
            </w:pPr>
            <w:r>
              <w:rPr>
                <w:rFonts w:hint="eastAsia" w:cs="宋体"/>
                <w:b/>
                <w:bCs/>
                <w:szCs w:val="21"/>
                <w:highlight w:val="none"/>
              </w:rPr>
              <w:t>4</w:t>
            </w:r>
          </w:p>
        </w:tc>
        <w:tc>
          <w:tcPr>
            <w:tcW w:w="694" w:type="pct"/>
            <w:vAlign w:val="center"/>
          </w:tcPr>
          <w:p w14:paraId="4D443192">
            <w:pPr>
              <w:overflowPunct w:val="0"/>
              <w:spacing w:line="288" w:lineRule="auto"/>
              <w:jc w:val="center"/>
              <w:rPr>
                <w:rFonts w:ascii="Times New Roman" w:hAnsi="Times New Roman"/>
                <w:b/>
                <w:bCs/>
                <w:szCs w:val="21"/>
                <w:highlight w:val="none"/>
              </w:rPr>
            </w:pPr>
          </w:p>
        </w:tc>
        <w:tc>
          <w:tcPr>
            <w:tcW w:w="744" w:type="pct"/>
            <w:vAlign w:val="center"/>
          </w:tcPr>
          <w:p w14:paraId="5BC37EF0">
            <w:pPr>
              <w:overflowPunct w:val="0"/>
              <w:spacing w:line="288" w:lineRule="auto"/>
              <w:jc w:val="center"/>
              <w:rPr>
                <w:rFonts w:ascii="Times New Roman" w:hAnsi="Times New Roman"/>
                <w:b/>
                <w:bCs/>
                <w:szCs w:val="21"/>
                <w:highlight w:val="none"/>
              </w:rPr>
            </w:pPr>
          </w:p>
        </w:tc>
        <w:tc>
          <w:tcPr>
            <w:tcW w:w="719" w:type="pct"/>
            <w:vAlign w:val="center"/>
          </w:tcPr>
          <w:p w14:paraId="4BF5E214">
            <w:pPr>
              <w:overflowPunct w:val="0"/>
              <w:spacing w:line="288" w:lineRule="auto"/>
              <w:jc w:val="center"/>
              <w:rPr>
                <w:rFonts w:ascii="Times New Roman" w:hAnsi="Times New Roman"/>
                <w:b/>
                <w:bCs/>
                <w:szCs w:val="21"/>
                <w:highlight w:val="none"/>
              </w:rPr>
            </w:pPr>
          </w:p>
        </w:tc>
        <w:tc>
          <w:tcPr>
            <w:tcW w:w="1198" w:type="pct"/>
            <w:vAlign w:val="center"/>
          </w:tcPr>
          <w:p w14:paraId="2F7FDC0D">
            <w:pPr>
              <w:overflowPunct w:val="0"/>
              <w:spacing w:line="288" w:lineRule="auto"/>
              <w:jc w:val="center"/>
              <w:rPr>
                <w:rFonts w:ascii="Times New Roman" w:hAnsi="Times New Roman"/>
                <w:b/>
                <w:bCs/>
                <w:szCs w:val="21"/>
                <w:highlight w:val="none"/>
              </w:rPr>
            </w:pPr>
          </w:p>
        </w:tc>
        <w:tc>
          <w:tcPr>
            <w:tcW w:w="801" w:type="pct"/>
            <w:vAlign w:val="center"/>
          </w:tcPr>
          <w:p w14:paraId="6CD7FC44">
            <w:pPr>
              <w:overflowPunct w:val="0"/>
              <w:spacing w:line="288" w:lineRule="auto"/>
              <w:jc w:val="center"/>
              <w:rPr>
                <w:rFonts w:ascii="Times New Roman" w:hAnsi="Times New Roman"/>
                <w:b/>
                <w:bCs/>
                <w:szCs w:val="21"/>
                <w:highlight w:val="none"/>
              </w:rPr>
            </w:pPr>
          </w:p>
        </w:tc>
        <w:tc>
          <w:tcPr>
            <w:tcW w:w="397" w:type="pct"/>
            <w:vAlign w:val="center"/>
          </w:tcPr>
          <w:p w14:paraId="13B6BB7F">
            <w:pPr>
              <w:overflowPunct w:val="0"/>
              <w:spacing w:line="288" w:lineRule="auto"/>
              <w:jc w:val="center"/>
              <w:rPr>
                <w:rFonts w:ascii="Times New Roman" w:hAnsi="Times New Roman"/>
                <w:b/>
                <w:bCs/>
                <w:szCs w:val="21"/>
                <w:highlight w:val="none"/>
              </w:rPr>
            </w:pPr>
          </w:p>
        </w:tc>
      </w:tr>
      <w:tr w14:paraId="58CD42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7" w:hRule="exact"/>
          <w:jc w:val="center"/>
        </w:trPr>
        <w:tc>
          <w:tcPr>
            <w:tcW w:w="443" w:type="pct"/>
            <w:vAlign w:val="center"/>
          </w:tcPr>
          <w:p w14:paraId="153838F6">
            <w:pPr>
              <w:overflowPunct w:val="0"/>
              <w:spacing w:line="288" w:lineRule="auto"/>
              <w:jc w:val="center"/>
              <w:rPr>
                <w:rFonts w:cs="宋体"/>
                <w:b/>
                <w:bCs/>
                <w:szCs w:val="21"/>
                <w:highlight w:val="none"/>
              </w:rPr>
            </w:pPr>
            <w:r>
              <w:rPr>
                <w:rFonts w:hint="eastAsia" w:cs="宋体"/>
                <w:b/>
                <w:bCs/>
                <w:szCs w:val="21"/>
                <w:highlight w:val="none"/>
              </w:rPr>
              <w:t>5</w:t>
            </w:r>
          </w:p>
        </w:tc>
        <w:tc>
          <w:tcPr>
            <w:tcW w:w="694" w:type="pct"/>
            <w:vAlign w:val="center"/>
          </w:tcPr>
          <w:p w14:paraId="7DF7CD76">
            <w:pPr>
              <w:overflowPunct w:val="0"/>
              <w:spacing w:line="288" w:lineRule="auto"/>
              <w:jc w:val="center"/>
              <w:rPr>
                <w:rFonts w:ascii="Times New Roman" w:hAnsi="Times New Roman"/>
                <w:b/>
                <w:bCs/>
                <w:szCs w:val="21"/>
                <w:highlight w:val="none"/>
              </w:rPr>
            </w:pPr>
          </w:p>
        </w:tc>
        <w:tc>
          <w:tcPr>
            <w:tcW w:w="744" w:type="pct"/>
            <w:vAlign w:val="center"/>
          </w:tcPr>
          <w:p w14:paraId="6BB4162E">
            <w:pPr>
              <w:overflowPunct w:val="0"/>
              <w:spacing w:line="288" w:lineRule="auto"/>
              <w:jc w:val="center"/>
              <w:rPr>
                <w:rFonts w:ascii="Times New Roman" w:hAnsi="Times New Roman"/>
                <w:b/>
                <w:bCs/>
                <w:szCs w:val="21"/>
                <w:highlight w:val="none"/>
              </w:rPr>
            </w:pPr>
          </w:p>
        </w:tc>
        <w:tc>
          <w:tcPr>
            <w:tcW w:w="719" w:type="pct"/>
            <w:vAlign w:val="center"/>
          </w:tcPr>
          <w:p w14:paraId="61F6386F">
            <w:pPr>
              <w:overflowPunct w:val="0"/>
              <w:spacing w:line="288" w:lineRule="auto"/>
              <w:jc w:val="center"/>
              <w:rPr>
                <w:rFonts w:ascii="Times New Roman" w:hAnsi="Times New Roman"/>
                <w:b/>
                <w:bCs/>
                <w:szCs w:val="21"/>
                <w:highlight w:val="none"/>
              </w:rPr>
            </w:pPr>
          </w:p>
        </w:tc>
        <w:tc>
          <w:tcPr>
            <w:tcW w:w="1198" w:type="pct"/>
            <w:vAlign w:val="center"/>
          </w:tcPr>
          <w:p w14:paraId="251C3926">
            <w:pPr>
              <w:overflowPunct w:val="0"/>
              <w:spacing w:line="288" w:lineRule="auto"/>
              <w:jc w:val="center"/>
              <w:rPr>
                <w:rFonts w:ascii="Times New Roman" w:hAnsi="Times New Roman"/>
                <w:b/>
                <w:bCs/>
                <w:szCs w:val="21"/>
                <w:highlight w:val="none"/>
              </w:rPr>
            </w:pPr>
          </w:p>
        </w:tc>
        <w:tc>
          <w:tcPr>
            <w:tcW w:w="801" w:type="pct"/>
            <w:vAlign w:val="center"/>
          </w:tcPr>
          <w:p w14:paraId="723DCD6D">
            <w:pPr>
              <w:overflowPunct w:val="0"/>
              <w:spacing w:line="288" w:lineRule="auto"/>
              <w:jc w:val="center"/>
              <w:rPr>
                <w:rFonts w:ascii="Times New Roman" w:hAnsi="Times New Roman"/>
                <w:b/>
                <w:bCs/>
                <w:szCs w:val="21"/>
                <w:highlight w:val="none"/>
              </w:rPr>
            </w:pPr>
          </w:p>
        </w:tc>
        <w:tc>
          <w:tcPr>
            <w:tcW w:w="397" w:type="pct"/>
            <w:vAlign w:val="center"/>
          </w:tcPr>
          <w:p w14:paraId="48783421">
            <w:pPr>
              <w:overflowPunct w:val="0"/>
              <w:spacing w:line="288" w:lineRule="auto"/>
              <w:jc w:val="center"/>
              <w:rPr>
                <w:rFonts w:ascii="Times New Roman" w:hAnsi="Times New Roman"/>
                <w:b/>
                <w:bCs/>
                <w:szCs w:val="21"/>
                <w:highlight w:val="none"/>
              </w:rPr>
            </w:pPr>
          </w:p>
        </w:tc>
      </w:tr>
      <w:tr w14:paraId="4725CA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9" w:hRule="exact"/>
          <w:jc w:val="center"/>
        </w:trPr>
        <w:tc>
          <w:tcPr>
            <w:tcW w:w="443" w:type="pct"/>
            <w:vAlign w:val="center"/>
          </w:tcPr>
          <w:p w14:paraId="7E36899A">
            <w:pPr>
              <w:overflowPunct w:val="0"/>
              <w:spacing w:line="288" w:lineRule="auto"/>
              <w:jc w:val="center"/>
              <w:rPr>
                <w:rFonts w:ascii="Times New Roman" w:hAnsi="Times New Roman"/>
                <w:b/>
                <w:bCs/>
                <w:szCs w:val="21"/>
                <w:highlight w:val="none"/>
              </w:rPr>
            </w:pPr>
            <w:r>
              <w:rPr>
                <w:rFonts w:hint="eastAsia" w:ascii="Times New Roman" w:hAnsi="Times New Roman"/>
                <w:szCs w:val="21"/>
                <w:highlight w:val="none"/>
              </w:rPr>
              <w:t>...</w:t>
            </w:r>
          </w:p>
        </w:tc>
        <w:tc>
          <w:tcPr>
            <w:tcW w:w="694" w:type="pct"/>
            <w:vAlign w:val="center"/>
          </w:tcPr>
          <w:p w14:paraId="379EE8C5">
            <w:pPr>
              <w:overflowPunct w:val="0"/>
              <w:spacing w:line="288" w:lineRule="auto"/>
              <w:jc w:val="center"/>
              <w:rPr>
                <w:rFonts w:ascii="Times New Roman" w:hAnsi="Times New Roman"/>
                <w:b/>
                <w:bCs/>
                <w:szCs w:val="21"/>
                <w:highlight w:val="none"/>
              </w:rPr>
            </w:pPr>
          </w:p>
        </w:tc>
        <w:tc>
          <w:tcPr>
            <w:tcW w:w="744" w:type="pct"/>
            <w:vAlign w:val="center"/>
          </w:tcPr>
          <w:p w14:paraId="2D8623F3">
            <w:pPr>
              <w:overflowPunct w:val="0"/>
              <w:spacing w:line="288" w:lineRule="auto"/>
              <w:jc w:val="center"/>
              <w:rPr>
                <w:rFonts w:ascii="Times New Roman" w:hAnsi="Times New Roman"/>
                <w:b/>
                <w:bCs/>
                <w:szCs w:val="21"/>
                <w:highlight w:val="none"/>
              </w:rPr>
            </w:pPr>
          </w:p>
        </w:tc>
        <w:tc>
          <w:tcPr>
            <w:tcW w:w="719" w:type="pct"/>
            <w:vAlign w:val="center"/>
          </w:tcPr>
          <w:p w14:paraId="48D66730">
            <w:pPr>
              <w:overflowPunct w:val="0"/>
              <w:spacing w:line="288" w:lineRule="auto"/>
              <w:jc w:val="center"/>
              <w:rPr>
                <w:rFonts w:ascii="Times New Roman" w:hAnsi="Times New Roman"/>
                <w:b/>
                <w:bCs/>
                <w:szCs w:val="21"/>
                <w:highlight w:val="none"/>
              </w:rPr>
            </w:pPr>
          </w:p>
        </w:tc>
        <w:tc>
          <w:tcPr>
            <w:tcW w:w="1198" w:type="pct"/>
            <w:vAlign w:val="center"/>
          </w:tcPr>
          <w:p w14:paraId="041F87A3">
            <w:pPr>
              <w:overflowPunct w:val="0"/>
              <w:spacing w:line="288" w:lineRule="auto"/>
              <w:jc w:val="center"/>
              <w:rPr>
                <w:rFonts w:ascii="Times New Roman" w:hAnsi="Times New Roman"/>
                <w:b/>
                <w:bCs/>
                <w:szCs w:val="21"/>
                <w:highlight w:val="none"/>
              </w:rPr>
            </w:pPr>
          </w:p>
        </w:tc>
        <w:tc>
          <w:tcPr>
            <w:tcW w:w="801" w:type="pct"/>
            <w:vAlign w:val="center"/>
          </w:tcPr>
          <w:p w14:paraId="5AFB5446">
            <w:pPr>
              <w:overflowPunct w:val="0"/>
              <w:spacing w:line="288" w:lineRule="auto"/>
              <w:jc w:val="center"/>
              <w:rPr>
                <w:rFonts w:ascii="Times New Roman" w:hAnsi="Times New Roman"/>
                <w:b/>
                <w:bCs/>
                <w:szCs w:val="21"/>
                <w:highlight w:val="none"/>
              </w:rPr>
            </w:pPr>
          </w:p>
        </w:tc>
        <w:tc>
          <w:tcPr>
            <w:tcW w:w="397" w:type="pct"/>
            <w:vAlign w:val="center"/>
          </w:tcPr>
          <w:p w14:paraId="4D10A1C1">
            <w:pPr>
              <w:overflowPunct w:val="0"/>
              <w:spacing w:line="288" w:lineRule="auto"/>
              <w:jc w:val="center"/>
              <w:rPr>
                <w:rFonts w:ascii="Times New Roman" w:hAnsi="Times New Roman"/>
                <w:b/>
                <w:bCs/>
                <w:szCs w:val="21"/>
                <w:highlight w:val="none"/>
              </w:rPr>
            </w:pPr>
          </w:p>
        </w:tc>
      </w:tr>
    </w:tbl>
    <w:p w14:paraId="59EDCFA2">
      <w:pPr>
        <w:pStyle w:val="76"/>
        <w:ind w:left="422" w:hanging="420" w:hangingChars="200"/>
        <w:rPr>
          <w:rFonts w:cs="宋体"/>
          <w:b/>
          <w:bCs/>
          <w:color w:val="000000"/>
          <w:sz w:val="21"/>
          <w:szCs w:val="21"/>
          <w:highlight w:val="none"/>
        </w:rPr>
      </w:pPr>
    </w:p>
    <w:p w14:paraId="325BEF41">
      <w:pPr>
        <w:pStyle w:val="76"/>
        <w:ind w:left="422" w:hanging="420" w:hangingChars="200"/>
        <w:rPr>
          <w:rFonts w:cs="宋体"/>
          <w:b/>
          <w:bCs/>
          <w:color w:val="000000"/>
          <w:sz w:val="21"/>
          <w:szCs w:val="21"/>
          <w:highlight w:val="none"/>
        </w:rPr>
      </w:pPr>
      <w:r>
        <w:rPr>
          <w:rFonts w:hint="eastAsia" w:cs="宋体"/>
          <w:b/>
          <w:bCs/>
          <w:color w:val="000000"/>
          <w:sz w:val="21"/>
          <w:szCs w:val="21"/>
          <w:highlight w:val="none"/>
        </w:rPr>
        <w:t>注：①须提供团队人员身份证、劳动合同或社保证明（投标截止时间前六个月内任意一个月缴纳社保证明），未提供相关材料的不予认可。</w:t>
      </w:r>
    </w:p>
    <w:p w14:paraId="479DE3FA">
      <w:pPr>
        <w:pStyle w:val="76"/>
        <w:ind w:left="420" w:leftChars="200"/>
        <w:rPr>
          <w:color w:val="FF0000"/>
          <w:highlight w:val="none"/>
        </w:rPr>
      </w:pPr>
      <w:r>
        <w:rPr>
          <w:rFonts w:hint="eastAsia" w:cs="宋体"/>
          <w:b/>
          <w:bCs/>
          <w:color w:val="FF0000"/>
          <w:sz w:val="21"/>
          <w:szCs w:val="21"/>
          <w:highlight w:val="none"/>
        </w:rPr>
        <w:t>②投标人可根据自身实际情况对本表进行拓展。</w:t>
      </w:r>
    </w:p>
    <w:p w14:paraId="6E862EBA">
      <w:pPr>
        <w:rPr>
          <w:rFonts w:cs="宋体"/>
          <w:b/>
          <w:bCs/>
          <w:sz w:val="28"/>
          <w:szCs w:val="36"/>
          <w:highlight w:val="none"/>
        </w:rPr>
      </w:pPr>
    </w:p>
    <w:tbl>
      <w:tblPr>
        <w:tblStyle w:val="88"/>
        <w:tblW w:w="5480" w:type="dxa"/>
        <w:tblInd w:w="4294" w:type="dxa"/>
        <w:tblLayout w:type="fixed"/>
        <w:tblCellMar>
          <w:top w:w="0" w:type="dxa"/>
          <w:left w:w="108" w:type="dxa"/>
          <w:bottom w:w="0" w:type="dxa"/>
          <w:right w:w="108" w:type="dxa"/>
        </w:tblCellMar>
      </w:tblPr>
      <w:tblGrid>
        <w:gridCol w:w="5480"/>
      </w:tblGrid>
      <w:tr w14:paraId="0108EB9B">
        <w:trPr>
          <w:trHeight w:val="524" w:hRule="atLeast"/>
        </w:trPr>
        <w:tc>
          <w:tcPr>
            <w:tcW w:w="5480" w:type="dxa"/>
            <w:tcBorders>
              <w:top w:val="nil"/>
              <w:left w:val="nil"/>
              <w:bottom w:val="nil"/>
              <w:right w:val="nil"/>
            </w:tcBorders>
            <w:noWrap/>
            <w:vAlign w:val="center"/>
          </w:tcPr>
          <w:p w14:paraId="347F36B7">
            <w:pPr>
              <w:pStyle w:val="105"/>
              <w:spacing w:line="240" w:lineRule="auto"/>
              <w:jc w:val="both"/>
              <w:rPr>
                <w:rFonts w:cs="宋体"/>
                <w:sz w:val="21"/>
                <w:szCs w:val="21"/>
                <w:highlight w:val="none"/>
              </w:rPr>
            </w:pPr>
            <w:r>
              <w:rPr>
                <w:rFonts w:hint="eastAsia" w:cs="宋体"/>
                <w:b/>
                <w:sz w:val="21"/>
                <w:szCs w:val="21"/>
                <w:highlight w:val="none"/>
              </w:rPr>
              <w:t>投标人：（加盖电子公章）</w:t>
            </w:r>
          </w:p>
        </w:tc>
      </w:tr>
      <w:tr w14:paraId="195DB94F">
        <w:tblPrEx>
          <w:tblCellMar>
            <w:top w:w="0" w:type="dxa"/>
            <w:left w:w="108" w:type="dxa"/>
            <w:bottom w:w="0" w:type="dxa"/>
            <w:right w:w="108" w:type="dxa"/>
          </w:tblCellMar>
        </w:tblPrEx>
        <w:trPr>
          <w:trHeight w:val="524" w:hRule="atLeast"/>
        </w:trPr>
        <w:tc>
          <w:tcPr>
            <w:tcW w:w="5480" w:type="dxa"/>
            <w:tcBorders>
              <w:top w:val="nil"/>
              <w:left w:val="nil"/>
              <w:bottom w:val="nil"/>
              <w:right w:val="nil"/>
            </w:tcBorders>
            <w:noWrap/>
            <w:vAlign w:val="center"/>
          </w:tcPr>
          <w:p w14:paraId="7E61619B">
            <w:pPr>
              <w:pStyle w:val="105"/>
              <w:spacing w:line="240" w:lineRule="auto"/>
              <w:jc w:val="both"/>
              <w:rPr>
                <w:rFonts w:cs="宋体"/>
                <w:sz w:val="21"/>
                <w:szCs w:val="21"/>
                <w:highlight w:val="none"/>
              </w:rPr>
            </w:pPr>
            <w:r>
              <w:rPr>
                <w:rFonts w:hint="eastAsia" w:cs="宋体"/>
                <w:b/>
                <w:sz w:val="21"/>
                <w:szCs w:val="21"/>
                <w:highlight w:val="none"/>
              </w:rPr>
              <w:t>法定代表人/单位负责人（电子签名）：</w:t>
            </w:r>
          </w:p>
        </w:tc>
      </w:tr>
      <w:tr w14:paraId="6138FCA0">
        <w:tblPrEx>
          <w:tblCellMar>
            <w:top w:w="0" w:type="dxa"/>
            <w:left w:w="108" w:type="dxa"/>
            <w:bottom w:w="0" w:type="dxa"/>
            <w:right w:w="108" w:type="dxa"/>
          </w:tblCellMar>
        </w:tblPrEx>
        <w:trPr>
          <w:trHeight w:val="524" w:hRule="atLeast"/>
        </w:trPr>
        <w:tc>
          <w:tcPr>
            <w:tcW w:w="5480" w:type="dxa"/>
            <w:tcBorders>
              <w:top w:val="nil"/>
              <w:left w:val="nil"/>
              <w:bottom w:val="nil"/>
              <w:right w:val="nil"/>
            </w:tcBorders>
            <w:noWrap/>
            <w:vAlign w:val="center"/>
          </w:tcPr>
          <w:p w14:paraId="5D91245C">
            <w:pPr>
              <w:pStyle w:val="105"/>
              <w:spacing w:line="240" w:lineRule="auto"/>
              <w:jc w:val="both"/>
              <w:rPr>
                <w:rFonts w:cs="宋体"/>
                <w:b/>
                <w:bCs/>
                <w:sz w:val="21"/>
                <w:szCs w:val="21"/>
                <w:highlight w:val="none"/>
              </w:rPr>
            </w:pPr>
            <w:r>
              <w:rPr>
                <w:rFonts w:hint="eastAsia" w:cs="宋体"/>
                <w:b/>
                <w:bCs/>
                <w:sz w:val="21"/>
                <w:szCs w:val="21"/>
                <w:highlight w:val="none"/>
              </w:rPr>
              <w:t xml:space="preserve">日期：   </w:t>
            </w:r>
            <w:r>
              <w:rPr>
                <w:rFonts w:hint="eastAsia" w:cs="宋体"/>
                <w:szCs w:val="21"/>
                <w:highlight w:val="none"/>
              </w:rPr>
              <w:t xml:space="preserve"> </w:t>
            </w:r>
            <w:r>
              <w:rPr>
                <w:rFonts w:hint="eastAsia" w:cs="宋体"/>
                <w:b/>
                <w:bCs/>
                <w:sz w:val="21"/>
                <w:szCs w:val="21"/>
                <w:highlight w:val="none"/>
              </w:rPr>
              <w:t>年  月   日</w:t>
            </w:r>
          </w:p>
        </w:tc>
      </w:tr>
    </w:tbl>
    <w:p w14:paraId="57EC78FC">
      <w:pPr>
        <w:rPr>
          <w:rFonts w:cs="宋体"/>
          <w:b/>
          <w:bCs/>
          <w:szCs w:val="21"/>
          <w:highlight w:val="none"/>
        </w:rPr>
      </w:pPr>
    </w:p>
    <w:p w14:paraId="197EE1FD">
      <w:pPr>
        <w:rPr>
          <w:rFonts w:cs="宋体"/>
          <w:b/>
          <w:bCs/>
          <w:highlight w:val="none"/>
        </w:rPr>
      </w:pPr>
      <w:r>
        <w:rPr>
          <w:rFonts w:hint="eastAsia" w:cs="宋体"/>
          <w:b/>
          <w:bCs/>
          <w:highlight w:val="none"/>
        </w:rPr>
        <w:br w:type="page"/>
      </w:r>
    </w:p>
    <w:p w14:paraId="64B68176">
      <w:pPr>
        <w:numPr>
          <w:ilvl w:val="2"/>
          <w:numId w:val="0"/>
        </w:numPr>
        <w:tabs>
          <w:tab w:val="left" w:pos="900"/>
        </w:tabs>
        <w:adjustRightInd w:val="0"/>
        <w:jc w:val="center"/>
        <w:textAlignment w:val="baseline"/>
        <w:outlineLvl w:val="3"/>
        <w:rPr>
          <w:rFonts w:cs="宋体"/>
          <w:b/>
          <w:kern w:val="0"/>
          <w:sz w:val="24"/>
          <w:highlight w:val="none"/>
        </w:rPr>
      </w:pPr>
      <w:r>
        <w:rPr>
          <w:rFonts w:hint="eastAsia" w:cs="宋体"/>
          <w:b/>
          <w:kern w:val="0"/>
          <w:sz w:val="24"/>
          <w:highlight w:val="none"/>
          <w:lang w:val="en-US" w:eastAsia="zh-CN"/>
        </w:rPr>
        <w:t>2</w:t>
      </w:r>
      <w:r>
        <w:rPr>
          <w:rFonts w:hint="eastAsia" w:cs="宋体"/>
          <w:b/>
          <w:kern w:val="0"/>
          <w:sz w:val="24"/>
          <w:highlight w:val="none"/>
        </w:rPr>
        <w:t>.项目团队人员配备方案</w:t>
      </w:r>
    </w:p>
    <w:p w14:paraId="01518669">
      <w:pPr>
        <w:jc w:val="center"/>
        <w:rPr>
          <w:rFonts w:cs="宋体"/>
          <w:b/>
          <w:bCs/>
          <w:szCs w:val="21"/>
          <w:highlight w:val="none"/>
        </w:rPr>
      </w:pPr>
      <w:r>
        <w:rPr>
          <w:rFonts w:hint="eastAsia" w:cs="宋体"/>
          <w:szCs w:val="21"/>
          <w:highlight w:val="none"/>
        </w:rPr>
        <w:t>（格式内容自拟）</w:t>
      </w:r>
    </w:p>
    <w:p w14:paraId="2B91CEA1">
      <w:pPr>
        <w:rPr>
          <w:rFonts w:hint="eastAsia" w:cs="宋体"/>
          <w:b/>
          <w:bCs/>
          <w:sz w:val="28"/>
          <w:szCs w:val="36"/>
          <w:highlight w:val="none"/>
        </w:rPr>
      </w:pPr>
      <w:r>
        <w:rPr>
          <w:rFonts w:hint="eastAsia" w:cs="宋体"/>
          <w:b/>
          <w:bCs/>
          <w:sz w:val="28"/>
          <w:szCs w:val="36"/>
          <w:highlight w:val="none"/>
        </w:rPr>
        <w:br w:type="page"/>
      </w:r>
    </w:p>
    <w:p w14:paraId="21B9FD6F">
      <w:pPr>
        <w:numPr>
          <w:ilvl w:val="2"/>
          <w:numId w:val="0"/>
        </w:numPr>
        <w:tabs>
          <w:tab w:val="left" w:pos="900"/>
        </w:tabs>
        <w:adjustRightInd w:val="0"/>
        <w:jc w:val="center"/>
        <w:textAlignment w:val="baseline"/>
        <w:outlineLvl w:val="2"/>
        <w:rPr>
          <w:rFonts w:cs="宋体"/>
          <w:b/>
          <w:kern w:val="0"/>
          <w:sz w:val="32"/>
          <w:szCs w:val="21"/>
          <w:highlight w:val="none"/>
        </w:rPr>
      </w:pPr>
      <w:r>
        <w:rPr>
          <w:rFonts w:hint="eastAsia" w:cs="宋体"/>
          <w:b/>
          <w:bCs/>
          <w:sz w:val="28"/>
          <w:szCs w:val="36"/>
          <w:highlight w:val="none"/>
        </w:rPr>
        <w:t>（</w:t>
      </w:r>
      <w:r>
        <w:rPr>
          <w:rFonts w:hint="eastAsia" w:cs="宋体"/>
          <w:b/>
          <w:bCs/>
          <w:sz w:val="28"/>
          <w:szCs w:val="36"/>
          <w:highlight w:val="none"/>
          <w:lang w:val="en-US" w:eastAsia="zh-CN"/>
        </w:rPr>
        <w:t>五</w:t>
      </w:r>
      <w:r>
        <w:rPr>
          <w:rFonts w:hint="eastAsia" w:cs="宋体"/>
          <w:b/>
          <w:bCs/>
          <w:sz w:val="28"/>
          <w:szCs w:val="36"/>
          <w:highlight w:val="none"/>
        </w:rPr>
        <w:t>）构成投标文件技术部分的其他资料</w:t>
      </w:r>
    </w:p>
    <w:p w14:paraId="353AA1C0">
      <w:pPr>
        <w:pStyle w:val="45"/>
        <w:jc w:val="center"/>
        <w:rPr>
          <w:rFonts w:cs="宋体"/>
          <w:highlight w:val="none"/>
        </w:rPr>
      </w:pPr>
      <w:r>
        <w:rPr>
          <w:rFonts w:hint="eastAsia" w:cs="宋体"/>
          <w:szCs w:val="21"/>
          <w:highlight w:val="none"/>
        </w:rPr>
        <w:t>（</w:t>
      </w:r>
      <w:r>
        <w:rPr>
          <w:rFonts w:hint="eastAsia" w:cs="宋体"/>
          <w:bCs/>
          <w:highlight w:val="none"/>
        </w:rPr>
        <w:t>若有，</w:t>
      </w:r>
      <w:r>
        <w:rPr>
          <w:rFonts w:hint="eastAsia" w:cs="宋体"/>
          <w:szCs w:val="21"/>
          <w:highlight w:val="none"/>
        </w:rPr>
        <w:t>格式内容自拟）</w:t>
      </w:r>
    </w:p>
    <w:p w14:paraId="65FC108E">
      <w:pPr>
        <w:rPr>
          <w:rFonts w:cs="宋体"/>
          <w:highlight w:val="none"/>
        </w:rPr>
      </w:pPr>
    </w:p>
    <w:p w14:paraId="58E9EC27">
      <w:pPr>
        <w:rPr>
          <w:rFonts w:cs="宋体"/>
          <w:highlight w:val="none"/>
        </w:rPr>
      </w:pPr>
    </w:p>
    <w:p w14:paraId="24FDA499">
      <w:pPr>
        <w:rPr>
          <w:rFonts w:cs="宋体"/>
          <w:highlight w:val="none"/>
        </w:rPr>
      </w:pPr>
      <w:r>
        <w:rPr>
          <w:rFonts w:hint="eastAsia" w:cs="宋体"/>
          <w:b/>
          <w:sz w:val="28"/>
          <w:szCs w:val="28"/>
          <w:highlight w:val="none"/>
        </w:rPr>
        <w:br w:type="page"/>
      </w:r>
    </w:p>
    <w:bookmarkEnd w:id="137"/>
    <w:bookmarkEnd w:id="318"/>
    <w:bookmarkEnd w:id="319"/>
    <w:bookmarkEnd w:id="320"/>
    <w:bookmarkEnd w:id="321"/>
    <w:p w14:paraId="484EA930">
      <w:pPr>
        <w:jc w:val="center"/>
        <w:outlineLvl w:val="0"/>
        <w:rPr>
          <w:rFonts w:cs="宋体"/>
          <w:b/>
          <w:sz w:val="36"/>
          <w:highlight w:val="none"/>
        </w:rPr>
      </w:pPr>
      <w:bookmarkStart w:id="450" w:name="_Toc24818"/>
      <w:bookmarkStart w:id="451" w:name="_Toc26722"/>
      <w:bookmarkStart w:id="452" w:name="_Toc14569"/>
      <w:bookmarkStart w:id="453" w:name="_Toc31071"/>
      <w:r>
        <w:rPr>
          <w:rFonts w:hint="eastAsia" w:cs="宋体"/>
          <w:b/>
          <w:sz w:val="36"/>
          <w:highlight w:val="none"/>
        </w:rPr>
        <w:t xml:space="preserve">第五章  </w:t>
      </w:r>
      <w:bookmarkEnd w:id="450"/>
      <w:bookmarkEnd w:id="451"/>
      <w:bookmarkEnd w:id="452"/>
      <w:bookmarkStart w:id="454" w:name="_Toc509500411"/>
      <w:bookmarkStart w:id="455" w:name="_Toc509829330"/>
      <w:bookmarkStart w:id="456" w:name="_Toc213141118"/>
      <w:bookmarkStart w:id="457" w:name="_Toc514663418"/>
      <w:r>
        <w:rPr>
          <w:rFonts w:hint="eastAsia" w:cs="宋体"/>
          <w:b/>
          <w:sz w:val="36"/>
          <w:highlight w:val="none"/>
        </w:rPr>
        <w:t>采购需求</w:t>
      </w:r>
      <w:bookmarkEnd w:id="453"/>
    </w:p>
    <w:p w14:paraId="739277BB">
      <w:pPr>
        <w:spacing w:line="360" w:lineRule="auto"/>
        <w:rPr>
          <w:rStyle w:val="98"/>
          <w:rFonts w:hint="eastAsia" w:ascii="宋体" w:hAnsi="宋体" w:eastAsia="宋体" w:cs="宋体"/>
          <w:bCs/>
          <w:sz w:val="21"/>
          <w:szCs w:val="21"/>
          <w:highlight w:val="none"/>
        </w:rPr>
      </w:pPr>
      <w:bookmarkStart w:id="458" w:name="_Toc19692"/>
      <w:bookmarkStart w:id="459" w:name="_Toc27412"/>
      <w:bookmarkStart w:id="460" w:name="_Toc32162"/>
      <w:bookmarkStart w:id="461" w:name="_Toc23040"/>
      <w:r>
        <w:rPr>
          <w:rStyle w:val="98"/>
          <w:rFonts w:hint="eastAsia" w:ascii="宋体" w:hAnsi="宋体" w:eastAsia="宋体" w:cs="宋体"/>
          <w:bCs/>
          <w:sz w:val="21"/>
          <w:szCs w:val="21"/>
          <w:highlight w:val="none"/>
          <w:lang w:val="en-US" w:eastAsia="zh-CN"/>
        </w:rPr>
        <w:t>一、</w:t>
      </w:r>
      <w:r>
        <w:rPr>
          <w:rStyle w:val="98"/>
          <w:rFonts w:hint="eastAsia" w:ascii="宋体" w:hAnsi="宋体" w:eastAsia="宋体" w:cs="宋体"/>
          <w:bCs/>
          <w:sz w:val="21"/>
          <w:szCs w:val="21"/>
          <w:highlight w:val="none"/>
        </w:rPr>
        <w:t>项目概况</w:t>
      </w:r>
    </w:p>
    <w:bookmarkEnd w:id="458"/>
    <w:p w14:paraId="7FEFB914">
      <w:pPr>
        <w:spacing w:line="360" w:lineRule="auto"/>
        <w:rPr>
          <w:rStyle w:val="98"/>
          <w:rFonts w:hint="eastAsia" w:ascii="宋体" w:hAnsi="宋体" w:eastAsia="宋体" w:cs="宋体"/>
          <w:b w:val="0"/>
          <w:bCs w:val="0"/>
          <w:sz w:val="21"/>
          <w:szCs w:val="21"/>
          <w:highlight w:val="none"/>
        </w:rPr>
      </w:pPr>
      <w:bookmarkStart w:id="462" w:name="_Toc13510"/>
      <w:r>
        <w:rPr>
          <w:rStyle w:val="98"/>
          <w:rFonts w:hint="eastAsia" w:ascii="宋体" w:hAnsi="宋体" w:eastAsia="宋体" w:cs="宋体"/>
          <w:b w:val="0"/>
          <w:bCs w:val="0"/>
          <w:sz w:val="21"/>
          <w:szCs w:val="21"/>
          <w:highlight w:val="none"/>
        </w:rPr>
        <w:t>（</w:t>
      </w:r>
      <w:r>
        <w:rPr>
          <w:rStyle w:val="98"/>
          <w:rFonts w:hint="eastAsia" w:ascii="宋体" w:hAnsi="宋体" w:eastAsia="宋体" w:cs="宋体"/>
          <w:b w:val="0"/>
          <w:bCs w:val="0"/>
          <w:sz w:val="21"/>
          <w:szCs w:val="21"/>
          <w:highlight w:val="none"/>
          <w:lang w:val="en-US" w:eastAsia="zh-CN"/>
        </w:rPr>
        <w:t>一</w:t>
      </w:r>
      <w:r>
        <w:rPr>
          <w:rStyle w:val="98"/>
          <w:rFonts w:hint="eastAsia" w:ascii="宋体" w:hAnsi="宋体" w:eastAsia="宋体" w:cs="宋体"/>
          <w:b w:val="0"/>
          <w:bCs w:val="0"/>
          <w:sz w:val="21"/>
          <w:szCs w:val="21"/>
          <w:highlight w:val="none"/>
        </w:rPr>
        <w:t>）项目名称</w:t>
      </w:r>
    </w:p>
    <w:bookmarkEnd w:id="462"/>
    <w:p w14:paraId="422EA54F">
      <w:pPr>
        <w:spacing w:line="360" w:lineRule="auto"/>
        <w:ind w:firstLine="420" w:firstLineChars="200"/>
        <w:rPr>
          <w:rStyle w:val="98"/>
          <w:rFonts w:hint="eastAsia" w:ascii="宋体" w:hAnsi="宋体" w:eastAsia="宋体" w:cs="宋体"/>
          <w:bCs/>
          <w:sz w:val="21"/>
          <w:szCs w:val="21"/>
          <w:highlight w:val="none"/>
          <w:lang w:val="en-US" w:eastAsia="zh-CN"/>
        </w:rPr>
      </w:pPr>
      <w:bookmarkStart w:id="463" w:name="_Toc8554"/>
      <w:r>
        <w:rPr>
          <w:rStyle w:val="98"/>
          <w:rFonts w:hint="eastAsia" w:cs="宋体"/>
          <w:b w:val="0"/>
          <w:bCs w:val="0"/>
          <w:sz w:val="21"/>
          <w:szCs w:val="21"/>
          <w:highlight w:val="none"/>
          <w:lang w:eastAsia="zh-CN"/>
        </w:rPr>
        <w:t>云南政协报社报纸印刷服务采购（2026-2028服务期限三年）第一年</w:t>
      </w:r>
    </w:p>
    <w:bookmarkEnd w:id="463"/>
    <w:p w14:paraId="54D5E5EB">
      <w:pPr>
        <w:spacing w:line="360" w:lineRule="auto"/>
        <w:rPr>
          <w:rStyle w:val="98"/>
          <w:rFonts w:hint="eastAsia" w:ascii="宋体" w:hAnsi="宋体" w:eastAsia="宋体" w:cs="宋体"/>
          <w:bCs/>
          <w:sz w:val="21"/>
          <w:szCs w:val="21"/>
          <w:highlight w:val="none"/>
        </w:rPr>
      </w:pPr>
      <w:bookmarkStart w:id="464" w:name="_Toc19414"/>
      <w:r>
        <w:rPr>
          <w:rStyle w:val="98"/>
          <w:rFonts w:hint="eastAsia" w:ascii="宋体" w:hAnsi="宋体" w:eastAsia="宋体" w:cs="宋体"/>
          <w:bCs/>
          <w:sz w:val="21"/>
          <w:szCs w:val="21"/>
          <w:highlight w:val="none"/>
        </w:rPr>
        <w:t>二、采购预算资金</w:t>
      </w:r>
    </w:p>
    <w:bookmarkEnd w:id="464"/>
    <w:p w14:paraId="7F336464">
      <w:pPr>
        <w:spacing w:line="360" w:lineRule="auto"/>
        <w:ind w:firstLine="420" w:firstLineChars="200"/>
        <w:rPr>
          <w:rStyle w:val="98"/>
          <w:rFonts w:hint="eastAsia" w:ascii="宋体" w:hAnsi="宋体" w:eastAsia="宋体" w:cs="宋体"/>
          <w:bCs/>
          <w:sz w:val="21"/>
          <w:szCs w:val="21"/>
          <w:highlight w:val="none"/>
        </w:rPr>
      </w:pPr>
      <w:bookmarkStart w:id="465" w:name="_Toc9401"/>
      <w:r>
        <w:rPr>
          <w:rStyle w:val="98"/>
          <w:rFonts w:hint="eastAsia" w:ascii="宋体" w:hAnsi="宋体" w:eastAsia="宋体" w:cs="宋体"/>
          <w:b w:val="0"/>
          <w:bCs w:val="0"/>
          <w:sz w:val="21"/>
          <w:szCs w:val="21"/>
          <w:highlight w:val="none"/>
        </w:rPr>
        <w:t>本项目预算235.2万元/年。</w:t>
      </w:r>
    </w:p>
    <w:bookmarkEnd w:id="465"/>
    <w:p w14:paraId="666F2E5D">
      <w:pPr>
        <w:spacing w:line="360" w:lineRule="auto"/>
        <w:rPr>
          <w:rStyle w:val="98"/>
          <w:rFonts w:hint="eastAsia" w:ascii="宋体" w:hAnsi="宋体" w:eastAsia="宋体" w:cs="宋体"/>
          <w:bCs/>
          <w:sz w:val="21"/>
          <w:szCs w:val="21"/>
          <w:highlight w:val="none"/>
        </w:rPr>
      </w:pPr>
      <w:bookmarkStart w:id="466" w:name="_Toc22029"/>
      <w:r>
        <w:rPr>
          <w:rStyle w:val="98"/>
          <w:rFonts w:hint="eastAsia" w:ascii="宋体" w:hAnsi="宋体" w:eastAsia="宋体" w:cs="宋体"/>
          <w:bCs/>
          <w:sz w:val="21"/>
          <w:szCs w:val="21"/>
          <w:highlight w:val="none"/>
        </w:rPr>
        <w:t>三、服务标准</w:t>
      </w:r>
    </w:p>
    <w:bookmarkEnd w:id="466"/>
    <w:p w14:paraId="42AA2E2B">
      <w:pPr>
        <w:spacing w:line="360" w:lineRule="auto"/>
        <w:ind w:firstLine="420" w:firstLineChars="200"/>
        <w:rPr>
          <w:rStyle w:val="98"/>
          <w:rFonts w:hint="eastAsia" w:ascii="宋体" w:hAnsi="宋体" w:eastAsia="宋体" w:cs="宋体"/>
          <w:b w:val="0"/>
          <w:bCs w:val="0"/>
          <w:sz w:val="21"/>
          <w:szCs w:val="21"/>
          <w:highlight w:val="none"/>
        </w:rPr>
      </w:pPr>
      <w:bookmarkStart w:id="467" w:name="_Toc203"/>
      <w:r>
        <w:rPr>
          <w:rStyle w:val="98"/>
          <w:rFonts w:hint="eastAsia" w:ascii="宋体" w:hAnsi="宋体" w:eastAsia="宋体" w:cs="宋体"/>
          <w:b w:val="0"/>
          <w:bCs w:val="0"/>
          <w:sz w:val="21"/>
          <w:szCs w:val="21"/>
          <w:highlight w:val="none"/>
        </w:rPr>
        <w:t>符合国家相关标准、行业标准、地方标准或者其他标准、规范，满足采购文件及采购方要求。</w:t>
      </w:r>
    </w:p>
    <w:bookmarkEnd w:id="467"/>
    <w:p w14:paraId="038D0FE1">
      <w:pPr>
        <w:spacing w:line="360" w:lineRule="auto"/>
        <w:rPr>
          <w:rStyle w:val="98"/>
          <w:rFonts w:hint="eastAsia" w:ascii="宋体" w:hAnsi="宋体" w:eastAsia="宋体" w:cs="宋体"/>
          <w:bCs/>
          <w:sz w:val="21"/>
          <w:szCs w:val="21"/>
          <w:highlight w:val="none"/>
        </w:rPr>
      </w:pPr>
      <w:bookmarkStart w:id="468" w:name="_Toc11347"/>
      <w:r>
        <w:rPr>
          <w:rStyle w:val="98"/>
          <w:rFonts w:hint="eastAsia" w:ascii="宋体" w:hAnsi="宋体" w:eastAsia="宋体" w:cs="宋体"/>
          <w:bCs/>
          <w:sz w:val="21"/>
          <w:szCs w:val="21"/>
          <w:highlight w:val="none"/>
        </w:rPr>
        <w:t>四、采购要求</w:t>
      </w:r>
    </w:p>
    <w:bookmarkEnd w:id="468"/>
    <w:p w14:paraId="008121F5">
      <w:pPr>
        <w:spacing w:line="360" w:lineRule="auto"/>
        <w:rPr>
          <w:rStyle w:val="98"/>
          <w:rFonts w:hint="eastAsia" w:ascii="宋体" w:hAnsi="宋体" w:eastAsia="宋体" w:cs="宋体"/>
          <w:bCs/>
          <w:sz w:val="21"/>
          <w:szCs w:val="21"/>
          <w:highlight w:val="none"/>
        </w:rPr>
      </w:pPr>
      <w:bookmarkStart w:id="469" w:name="_Toc11934"/>
      <w:r>
        <w:rPr>
          <w:rStyle w:val="98"/>
          <w:rFonts w:hint="eastAsia" w:ascii="宋体" w:hAnsi="宋体" w:eastAsia="宋体" w:cs="宋体"/>
          <w:bCs/>
          <w:sz w:val="21"/>
          <w:szCs w:val="21"/>
          <w:highlight w:val="none"/>
        </w:rPr>
        <w:t>（一）采购内容</w:t>
      </w:r>
    </w:p>
    <w:bookmarkEnd w:id="469"/>
    <w:p w14:paraId="6E365557">
      <w:pPr>
        <w:spacing w:line="360" w:lineRule="auto"/>
        <w:ind w:firstLine="420" w:firstLineChars="200"/>
        <w:rPr>
          <w:rStyle w:val="98"/>
          <w:rFonts w:hint="eastAsia" w:ascii="宋体" w:hAnsi="宋体" w:eastAsia="宋体" w:cs="宋体"/>
          <w:bCs/>
          <w:sz w:val="21"/>
          <w:szCs w:val="21"/>
          <w:highlight w:val="none"/>
        </w:rPr>
      </w:pPr>
      <w:bookmarkStart w:id="470" w:name="_Toc16518"/>
      <w:r>
        <w:rPr>
          <w:rStyle w:val="98"/>
          <w:rFonts w:hint="eastAsia" w:ascii="宋体" w:hAnsi="宋体" w:eastAsia="宋体" w:cs="宋体"/>
          <w:b w:val="0"/>
          <w:bCs w:val="0"/>
          <w:sz w:val="21"/>
          <w:szCs w:val="21"/>
          <w:highlight w:val="none"/>
        </w:rPr>
        <w:t>内容：《云南政协报》报纸的排版、设计、校对、印刷等服务，对开八至二十四版，使用48g新闻纸。每周二、四、六出版（全部彩色印刷），按采购方要求交付。</w:t>
      </w:r>
    </w:p>
    <w:bookmarkEnd w:id="470"/>
    <w:p w14:paraId="753EDD4F">
      <w:pPr>
        <w:spacing w:line="360" w:lineRule="auto"/>
        <w:rPr>
          <w:rStyle w:val="98"/>
          <w:rFonts w:hint="eastAsia" w:ascii="宋体" w:hAnsi="宋体" w:eastAsia="宋体" w:cs="宋体"/>
          <w:bCs/>
          <w:sz w:val="21"/>
          <w:szCs w:val="21"/>
          <w:highlight w:val="none"/>
        </w:rPr>
      </w:pPr>
      <w:bookmarkStart w:id="471" w:name="_Toc2602"/>
      <w:r>
        <w:rPr>
          <w:rStyle w:val="98"/>
          <w:rFonts w:hint="eastAsia" w:ascii="宋体" w:hAnsi="宋体" w:eastAsia="宋体" w:cs="宋体"/>
          <w:bCs/>
          <w:sz w:val="21"/>
          <w:szCs w:val="21"/>
          <w:highlight w:val="none"/>
        </w:rPr>
        <w:t>（二）服务地点：</w:t>
      </w:r>
      <w:r>
        <w:rPr>
          <w:rStyle w:val="98"/>
          <w:rFonts w:hint="eastAsia" w:ascii="宋体" w:hAnsi="宋体" w:eastAsia="宋体" w:cs="宋体"/>
          <w:b w:val="0"/>
          <w:bCs w:val="0"/>
          <w:sz w:val="21"/>
          <w:szCs w:val="21"/>
          <w:highlight w:val="none"/>
        </w:rPr>
        <w:t>采购人指定地点。</w:t>
      </w:r>
    </w:p>
    <w:bookmarkEnd w:id="471"/>
    <w:p w14:paraId="19F342E8">
      <w:pPr>
        <w:spacing w:line="360" w:lineRule="auto"/>
        <w:rPr>
          <w:rStyle w:val="98"/>
          <w:rFonts w:hint="eastAsia" w:ascii="宋体" w:hAnsi="宋体" w:eastAsia="宋体" w:cs="宋体"/>
          <w:bCs/>
          <w:sz w:val="21"/>
          <w:szCs w:val="21"/>
          <w:highlight w:val="none"/>
        </w:rPr>
      </w:pPr>
      <w:bookmarkStart w:id="472" w:name="_Toc4632"/>
      <w:r>
        <w:rPr>
          <w:rStyle w:val="98"/>
          <w:rFonts w:hint="eastAsia" w:ascii="宋体" w:hAnsi="宋体" w:eastAsia="宋体" w:cs="宋体"/>
          <w:bCs/>
          <w:sz w:val="21"/>
          <w:szCs w:val="21"/>
          <w:highlight w:val="none"/>
        </w:rPr>
        <w:t>（三）服务时间：</w:t>
      </w:r>
      <w:r>
        <w:rPr>
          <w:rStyle w:val="98"/>
          <w:rFonts w:hint="eastAsia" w:ascii="宋体" w:hAnsi="宋体" w:eastAsia="宋体" w:cs="宋体"/>
          <w:b w:val="0"/>
          <w:bCs w:val="0"/>
          <w:sz w:val="21"/>
          <w:szCs w:val="21"/>
          <w:highlight w:val="none"/>
        </w:rPr>
        <w:t>三年，合同一年一签；每年期满采购人开展服务评估，评估合格续签、不合格不予续签，采购人无补偿责任。</w:t>
      </w:r>
    </w:p>
    <w:bookmarkEnd w:id="472"/>
    <w:p w14:paraId="01791E61">
      <w:pPr>
        <w:spacing w:line="360" w:lineRule="auto"/>
        <w:rPr>
          <w:rStyle w:val="98"/>
          <w:rFonts w:hint="eastAsia" w:ascii="宋体" w:hAnsi="宋体" w:eastAsia="宋体" w:cs="宋体"/>
          <w:bCs/>
          <w:sz w:val="21"/>
          <w:szCs w:val="21"/>
          <w:highlight w:val="none"/>
        </w:rPr>
      </w:pPr>
      <w:bookmarkStart w:id="473" w:name="_Toc25321"/>
      <w:r>
        <w:rPr>
          <w:rStyle w:val="98"/>
          <w:rFonts w:hint="eastAsia" w:ascii="宋体" w:hAnsi="宋体" w:eastAsia="宋体" w:cs="宋体"/>
          <w:bCs/>
          <w:sz w:val="21"/>
          <w:szCs w:val="21"/>
          <w:highlight w:val="none"/>
        </w:rPr>
        <w:t>（四）交付时间：</w:t>
      </w:r>
      <w:r>
        <w:rPr>
          <w:rStyle w:val="98"/>
          <w:rFonts w:hint="eastAsia" w:ascii="宋体" w:hAnsi="宋体" w:eastAsia="宋体" w:cs="宋体"/>
          <w:b w:val="0"/>
          <w:bCs w:val="0"/>
          <w:sz w:val="21"/>
          <w:szCs w:val="21"/>
          <w:highlight w:val="none"/>
        </w:rPr>
        <w:t>接到采购人通知后按通知规定时间内完成单次印制任务并完成交邮局工作。</w:t>
      </w:r>
    </w:p>
    <w:bookmarkEnd w:id="473"/>
    <w:p w14:paraId="4A30C4A3">
      <w:pPr>
        <w:spacing w:line="360" w:lineRule="auto"/>
        <w:rPr>
          <w:rStyle w:val="98"/>
          <w:rFonts w:hint="eastAsia" w:ascii="宋体" w:hAnsi="宋体" w:eastAsia="宋体" w:cs="宋体"/>
          <w:bCs/>
          <w:sz w:val="21"/>
          <w:szCs w:val="21"/>
          <w:highlight w:val="none"/>
        </w:rPr>
      </w:pPr>
      <w:bookmarkStart w:id="474" w:name="_Toc12563"/>
      <w:r>
        <w:rPr>
          <w:rStyle w:val="98"/>
          <w:rFonts w:hint="eastAsia" w:ascii="宋体" w:hAnsi="宋体" w:eastAsia="宋体" w:cs="宋体"/>
          <w:bCs/>
          <w:sz w:val="21"/>
          <w:szCs w:val="21"/>
          <w:highlight w:val="none"/>
        </w:rPr>
        <w:t>（五）合同形式、支付方式及主要条款</w:t>
      </w:r>
    </w:p>
    <w:bookmarkEnd w:id="474"/>
    <w:p w14:paraId="3244F62E">
      <w:pPr>
        <w:spacing w:line="360" w:lineRule="auto"/>
        <w:ind w:firstLine="420" w:firstLineChars="200"/>
        <w:rPr>
          <w:rStyle w:val="98"/>
          <w:rFonts w:hint="eastAsia" w:ascii="宋体" w:hAnsi="宋体" w:eastAsia="宋体" w:cs="宋体"/>
          <w:b w:val="0"/>
          <w:bCs w:val="0"/>
          <w:sz w:val="21"/>
          <w:szCs w:val="21"/>
          <w:highlight w:val="none"/>
        </w:rPr>
      </w:pPr>
      <w:bookmarkStart w:id="475" w:name="_Toc21872"/>
      <w:r>
        <w:rPr>
          <w:rStyle w:val="98"/>
          <w:rFonts w:hint="eastAsia" w:ascii="宋体" w:hAnsi="宋体" w:eastAsia="宋体" w:cs="宋体"/>
          <w:b w:val="0"/>
          <w:bCs w:val="0"/>
          <w:sz w:val="21"/>
          <w:szCs w:val="21"/>
          <w:highlight w:val="none"/>
        </w:rPr>
        <w:t>合同形式、支付方式、合同主要条款：具体主要合同条款在采购文件中及合同文本中约定，以合同约定为准。</w:t>
      </w:r>
    </w:p>
    <w:bookmarkEnd w:id="475"/>
    <w:p w14:paraId="62224FC2">
      <w:pPr>
        <w:spacing w:line="360" w:lineRule="auto"/>
        <w:rPr>
          <w:rStyle w:val="98"/>
          <w:rFonts w:hint="eastAsia" w:ascii="宋体" w:hAnsi="宋体" w:eastAsia="宋体" w:cs="宋体"/>
          <w:bCs/>
          <w:sz w:val="21"/>
          <w:szCs w:val="21"/>
          <w:highlight w:val="none"/>
        </w:rPr>
      </w:pPr>
      <w:bookmarkStart w:id="476" w:name="_Toc2490"/>
      <w:r>
        <w:rPr>
          <w:rStyle w:val="98"/>
          <w:rFonts w:hint="eastAsia" w:ascii="宋体" w:hAnsi="宋体" w:eastAsia="宋体" w:cs="宋体"/>
          <w:bCs/>
          <w:sz w:val="21"/>
          <w:szCs w:val="21"/>
          <w:highlight w:val="none"/>
        </w:rPr>
        <w:t>五、技术、商务要求</w:t>
      </w:r>
    </w:p>
    <w:bookmarkEnd w:id="476"/>
    <w:p w14:paraId="533F591B">
      <w:pPr>
        <w:spacing w:line="360" w:lineRule="auto"/>
        <w:rPr>
          <w:rStyle w:val="98"/>
          <w:rFonts w:hint="eastAsia" w:ascii="宋体" w:hAnsi="宋体" w:eastAsia="宋体" w:cs="宋体"/>
          <w:bCs/>
          <w:sz w:val="21"/>
          <w:szCs w:val="21"/>
          <w:highlight w:val="none"/>
        </w:rPr>
      </w:pPr>
      <w:bookmarkStart w:id="477" w:name="_Toc24299"/>
      <w:r>
        <w:rPr>
          <w:rStyle w:val="98"/>
          <w:rFonts w:hint="eastAsia" w:ascii="宋体" w:hAnsi="宋体" w:eastAsia="宋体" w:cs="宋体"/>
          <w:bCs/>
          <w:sz w:val="21"/>
          <w:szCs w:val="21"/>
          <w:highlight w:val="none"/>
        </w:rPr>
        <w:t>（一）技术要求</w:t>
      </w:r>
    </w:p>
    <w:bookmarkEnd w:id="477"/>
    <w:p w14:paraId="79890324">
      <w:pPr>
        <w:spacing w:line="360" w:lineRule="auto"/>
        <w:rPr>
          <w:rStyle w:val="98"/>
          <w:rFonts w:hint="eastAsia" w:ascii="宋体" w:hAnsi="宋体" w:eastAsia="宋体" w:cs="宋体"/>
          <w:bCs/>
          <w:sz w:val="21"/>
          <w:szCs w:val="21"/>
          <w:highlight w:val="none"/>
        </w:rPr>
      </w:pPr>
      <w:bookmarkStart w:id="478" w:name="_Toc18072"/>
      <w:r>
        <w:rPr>
          <w:rStyle w:val="98"/>
          <w:rFonts w:hint="eastAsia" w:ascii="宋体" w:hAnsi="宋体" w:eastAsia="宋体" w:cs="宋体"/>
          <w:bCs/>
          <w:sz w:val="21"/>
          <w:szCs w:val="21"/>
          <w:highlight w:val="none"/>
        </w:rPr>
        <w:t>1、提供服务执行的技术标准</w:t>
      </w:r>
    </w:p>
    <w:bookmarkEnd w:id="478"/>
    <w:p w14:paraId="77EBDCEE">
      <w:pPr>
        <w:spacing w:line="360" w:lineRule="auto"/>
        <w:ind w:firstLine="420" w:firstLineChars="200"/>
        <w:rPr>
          <w:rStyle w:val="98"/>
          <w:rFonts w:hint="eastAsia" w:ascii="宋体" w:hAnsi="宋体" w:eastAsia="宋体" w:cs="宋体"/>
          <w:b w:val="0"/>
          <w:bCs w:val="0"/>
          <w:sz w:val="21"/>
          <w:szCs w:val="21"/>
          <w:highlight w:val="none"/>
        </w:rPr>
      </w:pPr>
      <w:bookmarkStart w:id="479" w:name="_Toc24967"/>
      <w:r>
        <w:rPr>
          <w:rStyle w:val="98"/>
          <w:rFonts w:hint="eastAsia" w:ascii="宋体" w:hAnsi="宋体" w:eastAsia="宋体" w:cs="宋体"/>
          <w:b w:val="0"/>
          <w:bCs w:val="0"/>
          <w:sz w:val="21"/>
          <w:szCs w:val="21"/>
          <w:highlight w:val="none"/>
        </w:rPr>
        <w:t>标准参照《全国报纸印刷质量管理暂行办法》《报纸印刷质量检测要求及检测办法》</w:t>
      </w:r>
    </w:p>
    <w:bookmarkEnd w:id="479"/>
    <w:p w14:paraId="3AAE5D8C">
      <w:pPr>
        <w:spacing w:line="360" w:lineRule="auto"/>
        <w:rPr>
          <w:rStyle w:val="98"/>
          <w:rFonts w:hint="eastAsia" w:ascii="宋体" w:hAnsi="宋体" w:eastAsia="宋体" w:cs="宋体"/>
          <w:bCs/>
          <w:sz w:val="21"/>
          <w:szCs w:val="21"/>
          <w:highlight w:val="none"/>
        </w:rPr>
      </w:pPr>
      <w:bookmarkStart w:id="480" w:name="_Toc17352"/>
      <w:r>
        <w:rPr>
          <w:rStyle w:val="98"/>
          <w:rFonts w:hint="eastAsia" w:ascii="宋体" w:hAnsi="宋体" w:eastAsia="宋体" w:cs="宋体"/>
          <w:bCs/>
          <w:sz w:val="21"/>
          <w:szCs w:val="21"/>
          <w:highlight w:val="none"/>
        </w:rPr>
        <w:t>2、详细的服务要求</w:t>
      </w:r>
    </w:p>
    <w:bookmarkEnd w:id="480"/>
    <w:p w14:paraId="4C7E2616">
      <w:pPr>
        <w:spacing w:line="360" w:lineRule="auto"/>
        <w:ind w:firstLine="420" w:firstLineChars="200"/>
        <w:rPr>
          <w:rStyle w:val="98"/>
          <w:rFonts w:hint="eastAsia" w:ascii="宋体" w:hAnsi="宋体" w:eastAsia="宋体" w:cs="宋体"/>
          <w:b w:val="0"/>
          <w:bCs w:val="0"/>
          <w:sz w:val="21"/>
          <w:szCs w:val="21"/>
          <w:highlight w:val="none"/>
        </w:rPr>
      </w:pPr>
      <w:bookmarkStart w:id="481" w:name="_Toc18695"/>
      <w:r>
        <w:rPr>
          <w:rStyle w:val="98"/>
          <w:rFonts w:hint="eastAsia" w:ascii="宋体" w:hAnsi="宋体" w:eastAsia="宋体" w:cs="宋体"/>
          <w:b w:val="0"/>
          <w:bCs w:val="0"/>
          <w:sz w:val="21"/>
          <w:szCs w:val="21"/>
          <w:highlight w:val="none"/>
        </w:rPr>
        <w:t>2.1印刷服务方面</w:t>
      </w:r>
    </w:p>
    <w:bookmarkEnd w:id="481"/>
    <w:p w14:paraId="6B68BEA9">
      <w:pPr>
        <w:spacing w:line="360" w:lineRule="auto"/>
        <w:ind w:firstLine="420" w:firstLineChars="200"/>
        <w:rPr>
          <w:rStyle w:val="98"/>
          <w:rFonts w:hint="eastAsia" w:ascii="宋体" w:hAnsi="宋体" w:eastAsia="宋体" w:cs="宋体"/>
          <w:b w:val="0"/>
          <w:bCs w:val="0"/>
          <w:sz w:val="21"/>
          <w:szCs w:val="21"/>
          <w:highlight w:val="none"/>
        </w:rPr>
      </w:pPr>
      <w:bookmarkStart w:id="482" w:name="_Toc9655"/>
      <w:r>
        <w:rPr>
          <w:rStyle w:val="98"/>
          <w:rFonts w:hint="eastAsia" w:ascii="宋体" w:hAnsi="宋体" w:eastAsia="宋体" w:cs="宋体"/>
          <w:b w:val="0"/>
          <w:bCs w:val="0"/>
          <w:sz w:val="21"/>
          <w:szCs w:val="21"/>
          <w:highlight w:val="none"/>
        </w:rPr>
        <w:t>(1）印刷安全要求：</w:t>
      </w:r>
    </w:p>
    <w:bookmarkEnd w:id="482"/>
    <w:p w14:paraId="5E080667">
      <w:pPr>
        <w:spacing w:line="360" w:lineRule="auto"/>
        <w:ind w:firstLine="420" w:firstLineChars="200"/>
        <w:rPr>
          <w:rStyle w:val="98"/>
          <w:rFonts w:hint="eastAsia" w:ascii="宋体" w:hAnsi="宋体" w:eastAsia="宋体" w:cs="宋体"/>
          <w:b w:val="0"/>
          <w:bCs w:val="0"/>
          <w:sz w:val="21"/>
          <w:szCs w:val="21"/>
          <w:highlight w:val="none"/>
        </w:rPr>
      </w:pPr>
      <w:bookmarkStart w:id="483" w:name="_Toc14610"/>
      <w:r>
        <w:rPr>
          <w:rStyle w:val="98"/>
          <w:rFonts w:hint="eastAsia" w:ascii="宋体" w:hAnsi="宋体" w:eastAsia="宋体" w:cs="宋体"/>
          <w:b w:val="0"/>
          <w:bCs w:val="0"/>
          <w:sz w:val="21"/>
          <w:szCs w:val="21"/>
          <w:highlight w:val="none"/>
        </w:rPr>
        <w:t>投标人须落实意识形态内容终审核查，做好版面资料保密管控；规范印刷设备、用电、消防及新闻纸仓储安全管理，合规处置废报残品，严防样报私自外流，保障报纸印刷全过程合法安全。</w:t>
      </w:r>
    </w:p>
    <w:bookmarkEnd w:id="483"/>
    <w:p w14:paraId="4F366FEA">
      <w:pPr>
        <w:spacing w:line="360" w:lineRule="auto"/>
        <w:rPr>
          <w:rStyle w:val="98"/>
          <w:rFonts w:hint="eastAsia" w:ascii="宋体" w:hAnsi="宋体" w:eastAsia="宋体" w:cs="宋体"/>
          <w:b w:val="0"/>
          <w:bCs w:val="0"/>
          <w:sz w:val="21"/>
          <w:szCs w:val="21"/>
          <w:highlight w:val="none"/>
        </w:rPr>
      </w:pPr>
      <w:bookmarkStart w:id="484" w:name="_Toc30381"/>
      <w:r>
        <w:rPr>
          <w:rStyle w:val="98"/>
          <w:rFonts w:hint="eastAsia" w:ascii="宋体" w:hAnsi="宋体" w:eastAsia="宋体" w:cs="宋体"/>
          <w:b w:val="0"/>
          <w:bCs w:val="0"/>
          <w:sz w:val="21"/>
          <w:szCs w:val="21"/>
          <w:highlight w:val="none"/>
        </w:rPr>
        <w:t>(2）印刷纸张要求：</w:t>
      </w:r>
    </w:p>
    <w:bookmarkEnd w:id="484"/>
    <w:p w14:paraId="34DB8549">
      <w:pPr>
        <w:spacing w:line="360" w:lineRule="auto"/>
        <w:ind w:firstLine="420" w:firstLineChars="200"/>
        <w:rPr>
          <w:rStyle w:val="98"/>
          <w:rFonts w:hint="eastAsia" w:ascii="宋体" w:hAnsi="宋体" w:eastAsia="宋体" w:cs="宋体"/>
          <w:b w:val="0"/>
          <w:bCs w:val="0"/>
          <w:sz w:val="21"/>
          <w:szCs w:val="21"/>
          <w:highlight w:val="none"/>
        </w:rPr>
      </w:pPr>
      <w:bookmarkStart w:id="485" w:name="_Toc15112"/>
      <w:r>
        <w:rPr>
          <w:rStyle w:val="98"/>
          <w:rFonts w:hint="eastAsia" w:ascii="宋体" w:hAnsi="宋体" w:eastAsia="宋体" w:cs="宋体"/>
          <w:b w:val="0"/>
          <w:bCs w:val="0"/>
          <w:sz w:val="21"/>
          <w:szCs w:val="21"/>
          <w:highlight w:val="none"/>
        </w:rPr>
        <w:t>用纸：使用48g优质新闻纸，纸张表面平整，无褶皱、破口。印刷版面无黑斑、无脏迹、无糊版，干净清晰。</w:t>
      </w:r>
    </w:p>
    <w:bookmarkEnd w:id="485"/>
    <w:p w14:paraId="5B42F789">
      <w:pPr>
        <w:spacing w:line="360" w:lineRule="auto"/>
        <w:rPr>
          <w:rStyle w:val="98"/>
          <w:rFonts w:hint="eastAsia" w:ascii="宋体" w:hAnsi="宋体" w:eastAsia="宋体" w:cs="宋体"/>
          <w:b w:val="0"/>
          <w:bCs w:val="0"/>
          <w:sz w:val="21"/>
          <w:szCs w:val="21"/>
          <w:highlight w:val="none"/>
        </w:rPr>
      </w:pPr>
      <w:bookmarkStart w:id="486" w:name="_Toc2526"/>
      <w:r>
        <w:rPr>
          <w:rStyle w:val="98"/>
          <w:rFonts w:hint="eastAsia" w:ascii="宋体" w:hAnsi="宋体" w:eastAsia="宋体" w:cs="宋体"/>
          <w:b w:val="0"/>
          <w:bCs w:val="0"/>
          <w:sz w:val="21"/>
          <w:szCs w:val="21"/>
          <w:highlight w:val="none"/>
        </w:rPr>
        <w:t>(3）印刷质量要求：</w:t>
      </w:r>
    </w:p>
    <w:bookmarkEnd w:id="486"/>
    <w:p w14:paraId="19536BF7">
      <w:pPr>
        <w:spacing w:line="360" w:lineRule="auto"/>
        <w:ind w:firstLine="420" w:firstLineChars="200"/>
        <w:rPr>
          <w:rStyle w:val="98"/>
          <w:rFonts w:hint="eastAsia" w:ascii="宋体" w:hAnsi="宋体" w:eastAsia="宋体" w:cs="宋体"/>
          <w:b w:val="0"/>
          <w:bCs w:val="0"/>
          <w:sz w:val="21"/>
          <w:szCs w:val="21"/>
          <w:highlight w:val="none"/>
        </w:rPr>
      </w:pPr>
      <w:bookmarkStart w:id="487" w:name="_Toc20315"/>
      <w:r>
        <w:rPr>
          <w:rStyle w:val="98"/>
          <w:rFonts w:hint="eastAsia" w:ascii="宋体" w:hAnsi="宋体" w:eastAsia="宋体" w:cs="宋体"/>
          <w:b w:val="0"/>
          <w:bCs w:val="0"/>
          <w:sz w:val="21"/>
          <w:szCs w:val="21"/>
          <w:highlight w:val="none"/>
        </w:rPr>
        <w:t>1.图片：</w:t>
      </w:r>
    </w:p>
    <w:bookmarkEnd w:id="487"/>
    <w:p w14:paraId="3BE19D51">
      <w:pPr>
        <w:spacing w:line="360" w:lineRule="auto"/>
        <w:ind w:firstLine="420" w:firstLineChars="200"/>
        <w:rPr>
          <w:rStyle w:val="98"/>
          <w:rFonts w:hint="eastAsia" w:ascii="宋体" w:hAnsi="宋体" w:eastAsia="宋体" w:cs="宋体"/>
          <w:b w:val="0"/>
          <w:bCs w:val="0"/>
          <w:sz w:val="21"/>
          <w:szCs w:val="21"/>
          <w:highlight w:val="none"/>
        </w:rPr>
      </w:pPr>
      <w:bookmarkStart w:id="488" w:name="_Toc6104"/>
      <w:r>
        <w:rPr>
          <w:rStyle w:val="98"/>
          <w:rFonts w:hint="eastAsia" w:ascii="宋体" w:hAnsi="宋体" w:eastAsia="宋体" w:cs="宋体"/>
          <w:b w:val="0"/>
          <w:bCs w:val="0"/>
          <w:sz w:val="21"/>
          <w:szCs w:val="21"/>
          <w:highlight w:val="none"/>
        </w:rPr>
        <w:t>（1）图片要求层次分明，反差适中，网点清晰结实、不变形，不出龟纹、不缺色、不糊版、清晰度好、符合自然色调。</w:t>
      </w:r>
    </w:p>
    <w:bookmarkEnd w:id="488"/>
    <w:p w14:paraId="4C457213">
      <w:pPr>
        <w:spacing w:line="360" w:lineRule="auto"/>
        <w:ind w:firstLine="420" w:firstLineChars="200"/>
        <w:rPr>
          <w:rStyle w:val="98"/>
          <w:rFonts w:hint="eastAsia" w:ascii="宋体" w:hAnsi="宋体" w:eastAsia="宋体" w:cs="宋体"/>
          <w:b w:val="0"/>
          <w:bCs w:val="0"/>
          <w:sz w:val="21"/>
          <w:szCs w:val="21"/>
          <w:highlight w:val="none"/>
        </w:rPr>
      </w:pPr>
      <w:bookmarkStart w:id="489" w:name="_Toc9911"/>
      <w:r>
        <w:rPr>
          <w:rStyle w:val="98"/>
          <w:rFonts w:hint="eastAsia" w:ascii="宋体" w:hAnsi="宋体" w:eastAsia="宋体" w:cs="宋体"/>
          <w:b w:val="0"/>
          <w:bCs w:val="0"/>
          <w:sz w:val="21"/>
          <w:szCs w:val="21"/>
          <w:highlight w:val="none"/>
        </w:rPr>
        <w:t>（2)彩色图片套印准确，误差小于0.15mm，直观彩色照片边缘无漏色、无网点不实和变形。</w:t>
      </w:r>
    </w:p>
    <w:bookmarkEnd w:id="489"/>
    <w:p w14:paraId="4FDC9AAB">
      <w:pPr>
        <w:spacing w:line="360" w:lineRule="auto"/>
        <w:rPr>
          <w:rStyle w:val="98"/>
          <w:rFonts w:hint="eastAsia" w:ascii="宋体" w:hAnsi="宋体" w:eastAsia="宋体" w:cs="宋体"/>
          <w:b w:val="0"/>
          <w:bCs w:val="0"/>
          <w:sz w:val="21"/>
          <w:szCs w:val="21"/>
          <w:highlight w:val="none"/>
        </w:rPr>
      </w:pPr>
      <w:bookmarkStart w:id="490" w:name="_Toc26500"/>
      <w:r>
        <w:rPr>
          <w:rStyle w:val="98"/>
          <w:rFonts w:hint="eastAsia" w:ascii="宋体" w:hAnsi="宋体" w:eastAsia="宋体" w:cs="宋体"/>
          <w:b w:val="0"/>
          <w:bCs w:val="0"/>
          <w:sz w:val="21"/>
          <w:szCs w:val="21"/>
          <w:highlight w:val="none"/>
        </w:rPr>
        <w:t>2.墨色：</w:t>
      </w:r>
    </w:p>
    <w:bookmarkEnd w:id="490"/>
    <w:p w14:paraId="20A64B07">
      <w:pPr>
        <w:spacing w:line="360" w:lineRule="auto"/>
        <w:ind w:firstLine="420" w:firstLineChars="200"/>
        <w:rPr>
          <w:rStyle w:val="98"/>
          <w:rFonts w:hint="eastAsia" w:ascii="宋体" w:hAnsi="宋体" w:eastAsia="宋体" w:cs="宋体"/>
          <w:b w:val="0"/>
          <w:bCs w:val="0"/>
          <w:sz w:val="21"/>
          <w:szCs w:val="21"/>
          <w:highlight w:val="none"/>
        </w:rPr>
      </w:pPr>
      <w:bookmarkStart w:id="491" w:name="_Toc10636"/>
      <w:r>
        <w:rPr>
          <w:rStyle w:val="98"/>
          <w:rFonts w:hint="eastAsia" w:ascii="宋体" w:hAnsi="宋体" w:eastAsia="宋体" w:cs="宋体"/>
          <w:b w:val="0"/>
          <w:bCs w:val="0"/>
          <w:sz w:val="21"/>
          <w:szCs w:val="21"/>
          <w:highlight w:val="none"/>
        </w:rPr>
        <w:t>（1)整版墨色均匀一致，横向实地密度误差0.05，直观墨色深浅基本一致。</w:t>
      </w:r>
    </w:p>
    <w:bookmarkEnd w:id="491"/>
    <w:p w14:paraId="6AEC3299">
      <w:pPr>
        <w:spacing w:line="360" w:lineRule="auto"/>
        <w:ind w:firstLine="420" w:firstLineChars="200"/>
        <w:rPr>
          <w:rStyle w:val="98"/>
          <w:rFonts w:hint="eastAsia" w:ascii="宋体" w:hAnsi="宋体" w:eastAsia="宋体" w:cs="宋体"/>
          <w:b w:val="0"/>
          <w:bCs w:val="0"/>
          <w:sz w:val="21"/>
          <w:szCs w:val="21"/>
          <w:highlight w:val="none"/>
        </w:rPr>
      </w:pPr>
      <w:bookmarkStart w:id="492" w:name="_Toc12314"/>
      <w:r>
        <w:rPr>
          <w:rStyle w:val="98"/>
          <w:rFonts w:hint="eastAsia" w:ascii="宋体" w:hAnsi="宋体" w:eastAsia="宋体" w:cs="宋体"/>
          <w:b w:val="0"/>
          <w:bCs w:val="0"/>
          <w:sz w:val="21"/>
          <w:szCs w:val="21"/>
          <w:highlight w:val="none"/>
        </w:rPr>
        <w:t>（2)彩色图片的墨色饱满适中，包相纯正，不偏色。</w:t>
      </w:r>
    </w:p>
    <w:bookmarkEnd w:id="492"/>
    <w:p w14:paraId="68C8F0B6">
      <w:pPr>
        <w:spacing w:line="360" w:lineRule="auto"/>
        <w:rPr>
          <w:rStyle w:val="98"/>
          <w:rFonts w:hint="eastAsia" w:ascii="宋体" w:hAnsi="宋体" w:eastAsia="宋体" w:cs="宋体"/>
          <w:b w:val="0"/>
          <w:bCs w:val="0"/>
          <w:sz w:val="21"/>
          <w:szCs w:val="21"/>
          <w:highlight w:val="none"/>
        </w:rPr>
      </w:pPr>
      <w:bookmarkStart w:id="493" w:name="_Toc26798"/>
      <w:r>
        <w:rPr>
          <w:rStyle w:val="98"/>
          <w:rFonts w:hint="eastAsia" w:ascii="宋体" w:hAnsi="宋体" w:eastAsia="宋体" w:cs="宋体"/>
          <w:b w:val="0"/>
          <w:bCs w:val="0"/>
          <w:sz w:val="21"/>
          <w:szCs w:val="21"/>
          <w:highlight w:val="none"/>
        </w:rPr>
        <w:t>3.版面：</w:t>
      </w:r>
    </w:p>
    <w:bookmarkEnd w:id="493"/>
    <w:p w14:paraId="1F104F6B">
      <w:pPr>
        <w:spacing w:line="360" w:lineRule="auto"/>
        <w:rPr>
          <w:rStyle w:val="98"/>
          <w:rFonts w:hint="eastAsia" w:ascii="宋体" w:hAnsi="宋体" w:eastAsia="宋体" w:cs="宋体"/>
          <w:b w:val="0"/>
          <w:bCs w:val="0"/>
          <w:sz w:val="21"/>
          <w:szCs w:val="21"/>
          <w:highlight w:val="none"/>
        </w:rPr>
      </w:pPr>
      <w:bookmarkStart w:id="494" w:name="_Toc943"/>
      <w:r>
        <w:rPr>
          <w:rStyle w:val="98"/>
          <w:rFonts w:hint="eastAsia" w:ascii="宋体" w:hAnsi="宋体" w:eastAsia="宋体" w:cs="宋体"/>
          <w:b w:val="0"/>
          <w:bCs w:val="0"/>
          <w:sz w:val="21"/>
          <w:szCs w:val="21"/>
          <w:highlight w:val="none"/>
        </w:rPr>
        <w:t>外观应整洁，无重影，无透印，版面平整，版心居中，折叠整齐，无破损。</w:t>
      </w:r>
    </w:p>
    <w:bookmarkEnd w:id="494"/>
    <w:p w14:paraId="032A00D6">
      <w:pPr>
        <w:spacing w:line="360" w:lineRule="auto"/>
        <w:ind w:firstLine="420" w:firstLineChars="200"/>
        <w:rPr>
          <w:rStyle w:val="98"/>
          <w:rFonts w:hint="eastAsia" w:ascii="宋体" w:hAnsi="宋体" w:eastAsia="宋体" w:cs="宋体"/>
          <w:b w:val="0"/>
          <w:bCs w:val="0"/>
          <w:sz w:val="21"/>
          <w:szCs w:val="21"/>
          <w:highlight w:val="none"/>
        </w:rPr>
      </w:pPr>
      <w:bookmarkStart w:id="495" w:name="_Toc10275"/>
      <w:r>
        <w:rPr>
          <w:rStyle w:val="98"/>
          <w:rFonts w:hint="eastAsia" w:ascii="宋体" w:hAnsi="宋体" w:eastAsia="宋体" w:cs="宋体"/>
          <w:b w:val="0"/>
          <w:bCs w:val="0"/>
          <w:sz w:val="21"/>
          <w:szCs w:val="21"/>
          <w:highlight w:val="none"/>
        </w:rPr>
        <w:t>（1)天头略大于底角。</w:t>
      </w:r>
    </w:p>
    <w:bookmarkEnd w:id="495"/>
    <w:p w14:paraId="674FDB08">
      <w:pPr>
        <w:spacing w:line="360" w:lineRule="auto"/>
        <w:ind w:firstLine="420" w:firstLineChars="200"/>
        <w:rPr>
          <w:rStyle w:val="98"/>
          <w:rFonts w:hint="eastAsia" w:ascii="宋体" w:hAnsi="宋体" w:eastAsia="宋体" w:cs="宋体"/>
          <w:b w:val="0"/>
          <w:bCs w:val="0"/>
          <w:sz w:val="21"/>
          <w:szCs w:val="21"/>
          <w:highlight w:val="none"/>
        </w:rPr>
      </w:pPr>
      <w:bookmarkStart w:id="496" w:name="_Toc20303"/>
      <w:r>
        <w:rPr>
          <w:rStyle w:val="98"/>
          <w:rFonts w:hint="eastAsia" w:ascii="宋体" w:hAnsi="宋体" w:eastAsia="宋体" w:cs="宋体"/>
          <w:b w:val="0"/>
          <w:bCs w:val="0"/>
          <w:sz w:val="21"/>
          <w:szCs w:val="21"/>
          <w:highlight w:val="none"/>
        </w:rPr>
        <w:t>（2)无版面脏迹、白点、水迹、拼版标记划痕、油脏、墨脏、墨皮、墨杠、白杠等。</w:t>
      </w:r>
    </w:p>
    <w:bookmarkEnd w:id="496"/>
    <w:p w14:paraId="2BFB60C6">
      <w:pPr>
        <w:spacing w:line="360" w:lineRule="auto"/>
        <w:ind w:firstLine="420" w:firstLineChars="200"/>
        <w:rPr>
          <w:rStyle w:val="98"/>
          <w:rFonts w:hint="eastAsia" w:ascii="宋体" w:hAnsi="宋体" w:eastAsia="宋体" w:cs="宋体"/>
          <w:b w:val="0"/>
          <w:bCs w:val="0"/>
          <w:sz w:val="21"/>
          <w:szCs w:val="21"/>
          <w:highlight w:val="none"/>
        </w:rPr>
      </w:pPr>
      <w:bookmarkStart w:id="497" w:name="_Toc32103"/>
      <w:r>
        <w:rPr>
          <w:rStyle w:val="98"/>
          <w:rFonts w:hint="eastAsia" w:ascii="宋体" w:hAnsi="宋体" w:eastAsia="宋体" w:cs="宋体"/>
          <w:b w:val="0"/>
          <w:bCs w:val="0"/>
          <w:sz w:val="21"/>
          <w:szCs w:val="21"/>
          <w:highlight w:val="none"/>
        </w:rPr>
        <w:t>(3)无破损包括纸张破损、叨针眼过大、严重透印。</w:t>
      </w:r>
    </w:p>
    <w:bookmarkEnd w:id="497"/>
    <w:p w14:paraId="02713BA4">
      <w:pPr>
        <w:spacing w:line="360" w:lineRule="auto"/>
        <w:rPr>
          <w:rStyle w:val="98"/>
          <w:rFonts w:hint="eastAsia" w:ascii="宋体" w:hAnsi="宋体" w:eastAsia="宋体" w:cs="宋体"/>
          <w:b w:val="0"/>
          <w:bCs w:val="0"/>
          <w:sz w:val="21"/>
          <w:szCs w:val="21"/>
          <w:highlight w:val="none"/>
        </w:rPr>
      </w:pPr>
      <w:bookmarkStart w:id="498" w:name="_Toc9402"/>
      <w:r>
        <w:rPr>
          <w:rStyle w:val="98"/>
          <w:rFonts w:hint="eastAsia" w:ascii="宋体" w:hAnsi="宋体" w:eastAsia="宋体" w:cs="宋体"/>
          <w:b w:val="0"/>
          <w:bCs w:val="0"/>
          <w:sz w:val="21"/>
          <w:szCs w:val="21"/>
          <w:highlight w:val="none"/>
        </w:rPr>
        <w:t>4.标题：</w:t>
      </w:r>
    </w:p>
    <w:bookmarkEnd w:id="498"/>
    <w:p w14:paraId="67563529">
      <w:pPr>
        <w:spacing w:line="360" w:lineRule="auto"/>
        <w:ind w:firstLine="420" w:firstLineChars="200"/>
        <w:rPr>
          <w:rStyle w:val="98"/>
          <w:rFonts w:hint="eastAsia" w:ascii="宋体" w:hAnsi="宋体" w:eastAsia="宋体" w:cs="宋体"/>
          <w:b w:val="0"/>
          <w:bCs w:val="0"/>
          <w:sz w:val="21"/>
          <w:szCs w:val="21"/>
          <w:highlight w:val="none"/>
        </w:rPr>
      </w:pPr>
      <w:bookmarkStart w:id="499" w:name="_Toc1184"/>
      <w:r>
        <w:rPr>
          <w:rStyle w:val="98"/>
          <w:rFonts w:hint="eastAsia" w:ascii="宋体" w:hAnsi="宋体" w:eastAsia="宋体" w:cs="宋体"/>
          <w:b w:val="0"/>
          <w:bCs w:val="0"/>
          <w:sz w:val="21"/>
          <w:szCs w:val="21"/>
          <w:highlight w:val="none"/>
        </w:rPr>
        <w:t>（1)多色标题套印准确、色相纯正、不出重影。</w:t>
      </w:r>
    </w:p>
    <w:bookmarkEnd w:id="499"/>
    <w:p w14:paraId="56325D5A">
      <w:pPr>
        <w:spacing w:line="360" w:lineRule="auto"/>
        <w:ind w:firstLine="420" w:firstLineChars="200"/>
        <w:rPr>
          <w:rStyle w:val="98"/>
          <w:rFonts w:hint="eastAsia" w:ascii="宋体" w:hAnsi="宋体" w:eastAsia="宋体" w:cs="宋体"/>
          <w:b w:val="0"/>
          <w:bCs w:val="0"/>
          <w:sz w:val="21"/>
          <w:szCs w:val="21"/>
          <w:highlight w:val="none"/>
        </w:rPr>
      </w:pPr>
      <w:bookmarkStart w:id="500" w:name="_Toc25408"/>
      <w:r>
        <w:rPr>
          <w:rStyle w:val="98"/>
          <w:rFonts w:hint="eastAsia" w:ascii="宋体" w:hAnsi="宋体" w:eastAsia="宋体" w:cs="宋体"/>
          <w:b w:val="0"/>
          <w:bCs w:val="0"/>
          <w:sz w:val="21"/>
          <w:szCs w:val="21"/>
          <w:highlight w:val="none"/>
        </w:rPr>
        <w:t>（2)质量标准：图片、题字、版面不发灰、不掉版、无绝网。图片、文字严重模糊，版面有（整版的及展开后宽度满10毫米的）、破洞、油污（指直径满20毫米的）为废报；重要图片印坏、上错版、上倒版、局部漏印等均属事故。</w:t>
      </w:r>
    </w:p>
    <w:bookmarkEnd w:id="500"/>
    <w:p w14:paraId="3CF6876F">
      <w:pPr>
        <w:spacing w:line="360" w:lineRule="auto"/>
        <w:ind w:firstLine="420" w:firstLineChars="200"/>
        <w:rPr>
          <w:rStyle w:val="98"/>
          <w:rFonts w:hint="eastAsia" w:ascii="宋体" w:hAnsi="宋体" w:eastAsia="宋体" w:cs="宋体"/>
          <w:b w:val="0"/>
          <w:bCs w:val="0"/>
          <w:sz w:val="21"/>
          <w:szCs w:val="21"/>
          <w:highlight w:val="none"/>
        </w:rPr>
      </w:pPr>
      <w:bookmarkStart w:id="501" w:name="_Toc3224"/>
      <w:r>
        <w:rPr>
          <w:rStyle w:val="98"/>
          <w:rFonts w:hint="eastAsia" w:ascii="宋体" w:hAnsi="宋体" w:eastAsia="宋体" w:cs="宋体"/>
          <w:b w:val="0"/>
          <w:bCs w:val="0"/>
          <w:sz w:val="21"/>
          <w:szCs w:val="21"/>
          <w:highlight w:val="none"/>
        </w:rPr>
        <w:t>（3)供报数字准确，报纸短缺率不超过万分之三。</w:t>
      </w:r>
    </w:p>
    <w:bookmarkEnd w:id="501"/>
    <w:p w14:paraId="02427C52">
      <w:pPr>
        <w:spacing w:line="360" w:lineRule="auto"/>
        <w:ind w:firstLine="420" w:firstLineChars="200"/>
        <w:rPr>
          <w:rStyle w:val="98"/>
          <w:rFonts w:hint="eastAsia" w:ascii="宋体" w:hAnsi="宋体" w:eastAsia="宋体" w:cs="宋体"/>
          <w:b w:val="0"/>
          <w:bCs w:val="0"/>
          <w:sz w:val="21"/>
          <w:szCs w:val="21"/>
          <w:highlight w:val="none"/>
        </w:rPr>
      </w:pPr>
      <w:bookmarkStart w:id="502" w:name="_Toc16469"/>
      <w:r>
        <w:rPr>
          <w:rStyle w:val="98"/>
          <w:rFonts w:hint="eastAsia" w:ascii="宋体" w:hAnsi="宋体" w:eastAsia="宋体" w:cs="宋体"/>
          <w:b w:val="0"/>
          <w:bCs w:val="0"/>
          <w:sz w:val="21"/>
          <w:szCs w:val="21"/>
          <w:highlight w:val="none"/>
        </w:rPr>
        <w:t>(4）印刷工艺要求：一次性套印双面彩色印刷</w:t>
      </w:r>
    </w:p>
    <w:bookmarkEnd w:id="502"/>
    <w:p w14:paraId="2BC2567F">
      <w:pPr>
        <w:spacing w:line="360" w:lineRule="auto"/>
        <w:ind w:firstLine="420" w:firstLineChars="200"/>
        <w:rPr>
          <w:rStyle w:val="98"/>
          <w:rFonts w:hint="eastAsia" w:ascii="宋体" w:hAnsi="宋体" w:eastAsia="宋体" w:cs="宋体"/>
          <w:b w:val="0"/>
          <w:bCs w:val="0"/>
          <w:sz w:val="21"/>
          <w:szCs w:val="21"/>
          <w:highlight w:val="none"/>
        </w:rPr>
      </w:pPr>
      <w:bookmarkStart w:id="503" w:name="_Toc22400"/>
      <w:r>
        <w:rPr>
          <w:rStyle w:val="98"/>
          <w:rFonts w:hint="eastAsia" w:ascii="宋体" w:hAnsi="宋体" w:eastAsia="宋体" w:cs="宋体"/>
          <w:b w:val="0"/>
          <w:bCs w:val="0"/>
          <w:sz w:val="21"/>
          <w:szCs w:val="21"/>
          <w:highlight w:val="none"/>
        </w:rPr>
        <w:t>（5）印刷和交付时限要求：版面传齐后40分钟内开印，并按邮局规定时间，在每天第一班车、船出发前交报，实行早报早投。</w:t>
      </w:r>
    </w:p>
    <w:bookmarkEnd w:id="503"/>
    <w:p w14:paraId="2F09D8C2">
      <w:pPr>
        <w:spacing w:line="360" w:lineRule="auto"/>
        <w:ind w:firstLine="420" w:firstLineChars="200"/>
        <w:rPr>
          <w:rStyle w:val="98"/>
          <w:rFonts w:hint="eastAsia" w:ascii="宋体" w:hAnsi="宋体" w:eastAsia="宋体" w:cs="宋体"/>
          <w:b w:val="0"/>
          <w:bCs w:val="0"/>
          <w:sz w:val="21"/>
          <w:szCs w:val="21"/>
          <w:highlight w:val="none"/>
        </w:rPr>
      </w:pPr>
      <w:bookmarkStart w:id="504" w:name="_Toc30152"/>
      <w:r>
        <w:rPr>
          <w:rStyle w:val="98"/>
          <w:rFonts w:hint="eastAsia" w:ascii="宋体" w:hAnsi="宋体" w:eastAsia="宋体" w:cs="宋体"/>
          <w:b w:val="0"/>
          <w:bCs w:val="0"/>
          <w:sz w:val="21"/>
          <w:szCs w:val="21"/>
          <w:highlight w:val="none"/>
        </w:rPr>
        <w:t>（6）投标供应商具备发行业务主管单位（中国邮政）驻场邮发条件。</w:t>
      </w:r>
    </w:p>
    <w:bookmarkEnd w:id="504"/>
    <w:p w14:paraId="16EC2865">
      <w:pPr>
        <w:spacing w:line="360" w:lineRule="auto"/>
        <w:rPr>
          <w:rStyle w:val="98"/>
          <w:rFonts w:hint="eastAsia" w:ascii="宋体" w:hAnsi="宋体" w:eastAsia="宋体" w:cs="宋体"/>
          <w:b w:val="0"/>
          <w:bCs w:val="0"/>
          <w:sz w:val="21"/>
          <w:szCs w:val="21"/>
          <w:highlight w:val="none"/>
          <w:lang w:val="en-US" w:eastAsia="zh-CN"/>
        </w:rPr>
      </w:pPr>
      <w:bookmarkStart w:id="505" w:name="_Toc16067"/>
      <w:r>
        <w:rPr>
          <w:rStyle w:val="98"/>
          <w:rFonts w:hint="eastAsia" w:cs="宋体"/>
          <w:b/>
          <w:bCs/>
          <w:sz w:val="21"/>
          <w:szCs w:val="21"/>
          <w:highlight w:val="none"/>
          <w:lang w:val="en-US" w:eastAsia="zh-CN"/>
        </w:rPr>
        <w:t>3</w:t>
      </w:r>
      <w:r>
        <w:rPr>
          <w:rStyle w:val="98"/>
          <w:rFonts w:hint="eastAsia" w:ascii="宋体" w:hAnsi="宋体" w:eastAsia="宋体" w:cs="宋体"/>
          <w:bCs/>
          <w:sz w:val="21"/>
          <w:szCs w:val="21"/>
          <w:highlight w:val="none"/>
        </w:rPr>
        <w:t>、</w:t>
      </w:r>
      <w:r>
        <w:rPr>
          <w:rStyle w:val="98"/>
          <w:rFonts w:hint="eastAsia" w:ascii="宋体" w:hAnsi="宋体" w:eastAsia="宋体" w:cs="宋体"/>
          <w:b/>
          <w:bCs/>
          <w:sz w:val="21"/>
          <w:szCs w:val="21"/>
          <w:highlight w:val="none"/>
        </w:rPr>
        <w:t>组版服务方面</w:t>
      </w:r>
      <w:r>
        <w:rPr>
          <w:rStyle w:val="98"/>
          <w:rFonts w:hint="eastAsia" w:ascii="宋体" w:hAnsi="宋体" w:eastAsia="宋体" w:cs="宋体"/>
          <w:b/>
          <w:bCs/>
          <w:sz w:val="21"/>
          <w:szCs w:val="21"/>
          <w:highlight w:val="none"/>
          <w:lang w:val="en-US" w:eastAsia="zh-CN"/>
        </w:rPr>
        <w:t>要求</w:t>
      </w:r>
    </w:p>
    <w:bookmarkEnd w:id="505"/>
    <w:p w14:paraId="4527CBED">
      <w:pPr>
        <w:spacing w:line="360" w:lineRule="auto"/>
        <w:ind w:firstLine="420" w:firstLineChars="200"/>
        <w:rPr>
          <w:rStyle w:val="98"/>
          <w:rFonts w:hint="eastAsia" w:ascii="宋体" w:hAnsi="宋体" w:eastAsia="宋体" w:cs="宋体"/>
          <w:b w:val="0"/>
          <w:bCs w:val="0"/>
          <w:sz w:val="21"/>
          <w:szCs w:val="21"/>
          <w:highlight w:val="none"/>
        </w:rPr>
      </w:pPr>
      <w:bookmarkStart w:id="506" w:name="_Toc19149"/>
      <w:r>
        <w:rPr>
          <w:rStyle w:val="98"/>
          <w:rFonts w:hint="eastAsia" w:ascii="宋体" w:hAnsi="宋体" w:eastAsia="宋体" w:cs="宋体"/>
          <w:b w:val="0"/>
          <w:bCs w:val="0"/>
          <w:sz w:val="21"/>
          <w:szCs w:val="21"/>
          <w:highlight w:val="none"/>
        </w:rPr>
        <w:t>1.按质按量完成每期报纸录入、组版、初校、按编辑要求修改大样和清样后，交付印刷，打包后送至采购人指定地点；</w:t>
      </w:r>
    </w:p>
    <w:bookmarkEnd w:id="506"/>
    <w:p w14:paraId="620B61CE">
      <w:pPr>
        <w:spacing w:line="360" w:lineRule="auto"/>
        <w:ind w:firstLine="420" w:firstLineChars="200"/>
        <w:rPr>
          <w:rStyle w:val="98"/>
          <w:rFonts w:hint="eastAsia" w:ascii="宋体" w:hAnsi="宋体" w:eastAsia="宋体" w:cs="宋体"/>
          <w:b w:val="0"/>
          <w:bCs w:val="0"/>
          <w:sz w:val="21"/>
          <w:szCs w:val="21"/>
          <w:highlight w:val="none"/>
        </w:rPr>
      </w:pPr>
      <w:bookmarkStart w:id="507" w:name="_Toc14959"/>
      <w:r>
        <w:rPr>
          <w:rStyle w:val="98"/>
          <w:rFonts w:hint="eastAsia" w:ascii="宋体" w:hAnsi="宋体" w:eastAsia="宋体" w:cs="宋体"/>
          <w:b w:val="0"/>
          <w:bCs w:val="0"/>
          <w:sz w:val="21"/>
          <w:szCs w:val="21"/>
          <w:highlight w:val="none"/>
        </w:rPr>
        <w:t>2.严格按照采编校审人员提供的内容开展工作，不得擅自增减、篡改内容；</w:t>
      </w:r>
    </w:p>
    <w:bookmarkEnd w:id="507"/>
    <w:p w14:paraId="1A9A240D">
      <w:pPr>
        <w:spacing w:line="360" w:lineRule="auto"/>
        <w:ind w:firstLine="420" w:firstLineChars="200"/>
        <w:rPr>
          <w:rFonts w:hint="eastAsia" w:ascii="宋体" w:hAnsi="宋体" w:eastAsia="宋体" w:cs="宋体"/>
          <w:b w:val="0"/>
          <w:bCs w:val="0"/>
          <w:sz w:val="21"/>
          <w:szCs w:val="21"/>
          <w:highlight w:val="none"/>
        </w:rPr>
      </w:pPr>
      <w:bookmarkStart w:id="508" w:name="_Toc5686"/>
      <w:r>
        <w:rPr>
          <w:rStyle w:val="98"/>
          <w:rFonts w:hint="eastAsia" w:ascii="宋体" w:hAnsi="宋体" w:eastAsia="宋体" w:cs="宋体"/>
          <w:b w:val="0"/>
          <w:bCs w:val="0"/>
          <w:sz w:val="21"/>
          <w:szCs w:val="21"/>
          <w:highlight w:val="none"/>
        </w:rPr>
        <w:t>3.严格保密，不得将任何版面内容和交接信息外泄。</w:t>
      </w:r>
      <w:bookmarkEnd w:id="508"/>
    </w:p>
    <w:p w14:paraId="33E3656F">
      <w:pPr>
        <w:spacing w:line="360" w:lineRule="auto"/>
        <w:rPr>
          <w:rStyle w:val="98"/>
          <w:rFonts w:hint="eastAsia" w:ascii="宋体" w:hAnsi="宋体" w:eastAsia="宋体" w:cs="宋体"/>
          <w:b/>
          <w:bCs/>
          <w:sz w:val="21"/>
          <w:szCs w:val="21"/>
          <w:highlight w:val="none"/>
        </w:rPr>
      </w:pPr>
      <w:bookmarkStart w:id="509" w:name="_Toc4360"/>
      <w:r>
        <w:rPr>
          <w:rStyle w:val="98"/>
          <w:rFonts w:hint="eastAsia" w:ascii="宋体" w:hAnsi="宋体" w:eastAsia="宋体" w:cs="宋体"/>
          <w:b/>
          <w:bCs/>
          <w:sz w:val="21"/>
          <w:szCs w:val="21"/>
          <w:highlight w:val="none"/>
        </w:rPr>
        <w:t>（二）商务要求</w:t>
      </w:r>
    </w:p>
    <w:bookmarkEnd w:id="509"/>
    <w:p w14:paraId="6B2EFBD5">
      <w:pPr>
        <w:spacing w:line="360" w:lineRule="auto"/>
        <w:ind w:firstLine="420" w:firstLineChars="200"/>
        <w:rPr>
          <w:rStyle w:val="98"/>
          <w:rFonts w:hint="eastAsia" w:ascii="宋体" w:hAnsi="宋体" w:eastAsia="宋体" w:cs="宋体"/>
          <w:b w:val="0"/>
          <w:bCs w:val="0"/>
          <w:sz w:val="21"/>
          <w:szCs w:val="21"/>
          <w:highlight w:val="none"/>
        </w:rPr>
      </w:pPr>
      <w:bookmarkStart w:id="510" w:name="_Toc2958"/>
      <w:r>
        <w:rPr>
          <w:rStyle w:val="98"/>
          <w:rFonts w:hint="eastAsia" w:cs="宋体"/>
          <w:b w:val="0"/>
          <w:bCs w:val="0"/>
          <w:sz w:val="21"/>
          <w:szCs w:val="21"/>
          <w:highlight w:val="none"/>
          <w:lang w:val="en-US" w:eastAsia="zh-CN"/>
        </w:rPr>
        <w:t>1、</w:t>
      </w:r>
      <w:r>
        <w:rPr>
          <w:rStyle w:val="98"/>
          <w:rFonts w:hint="eastAsia" w:ascii="宋体" w:hAnsi="宋体" w:eastAsia="宋体" w:cs="宋体"/>
          <w:b w:val="0"/>
          <w:bCs w:val="0"/>
          <w:sz w:val="21"/>
          <w:szCs w:val="21"/>
          <w:highlight w:val="none"/>
        </w:rPr>
        <w:t>投标人需根据生产流程、服务流程安排相应的人员。项目总负责人（统筹人）</w:t>
      </w:r>
      <w:r>
        <w:rPr>
          <w:rStyle w:val="98"/>
          <w:rFonts w:hint="eastAsia" w:ascii="宋体" w:hAnsi="宋体" w:eastAsia="宋体" w:cs="宋体"/>
          <w:b w:val="0"/>
          <w:bCs w:val="0"/>
          <w:sz w:val="21"/>
          <w:szCs w:val="21"/>
          <w:highlight w:val="none"/>
          <w:lang w:val="en-US" w:eastAsia="zh-CN"/>
        </w:rPr>
        <w:t>1</w:t>
      </w:r>
      <w:r>
        <w:rPr>
          <w:rStyle w:val="98"/>
          <w:rFonts w:hint="eastAsia" w:ascii="宋体" w:hAnsi="宋体" w:eastAsia="宋体" w:cs="宋体"/>
          <w:b w:val="0"/>
          <w:bCs w:val="0"/>
          <w:sz w:val="21"/>
          <w:szCs w:val="21"/>
          <w:highlight w:val="none"/>
        </w:rPr>
        <w:t>人，</w:t>
      </w:r>
      <w:r>
        <w:rPr>
          <w:rStyle w:val="98"/>
          <w:rFonts w:hint="eastAsia" w:ascii="宋体" w:hAnsi="宋体" w:eastAsia="宋体" w:cs="宋体"/>
          <w:b w:val="0"/>
          <w:bCs w:val="0"/>
          <w:sz w:val="21"/>
          <w:szCs w:val="21"/>
          <w:highlight w:val="none"/>
          <w:lang w:val="en-US" w:eastAsia="zh-CN"/>
        </w:rPr>
        <w:t>其他人数</w:t>
      </w:r>
      <w:r>
        <w:rPr>
          <w:rStyle w:val="98"/>
          <w:rFonts w:hint="eastAsia" w:ascii="宋体" w:hAnsi="宋体" w:eastAsia="宋体" w:cs="宋体"/>
          <w:b w:val="0"/>
          <w:bCs w:val="0"/>
          <w:sz w:val="21"/>
          <w:szCs w:val="21"/>
          <w:highlight w:val="none"/>
        </w:rPr>
        <w:t>不少于6人，其中生产过程安排印前、印中、印后和质检技术人员不少于4人；服务流程需分配专门的项目对接、售后、仓储、运输、财务等服务人员不少于2人。</w:t>
      </w:r>
    </w:p>
    <w:bookmarkEnd w:id="510"/>
    <w:p w14:paraId="278DA298">
      <w:pPr>
        <w:spacing w:line="360" w:lineRule="auto"/>
        <w:ind w:firstLine="420" w:firstLineChars="200"/>
        <w:rPr>
          <w:rStyle w:val="98"/>
          <w:rFonts w:hint="eastAsia" w:ascii="宋体" w:hAnsi="宋体" w:eastAsia="宋体" w:cs="宋体"/>
          <w:b w:val="0"/>
          <w:bCs w:val="0"/>
          <w:sz w:val="21"/>
          <w:szCs w:val="21"/>
          <w:highlight w:val="none"/>
        </w:rPr>
      </w:pPr>
      <w:bookmarkStart w:id="511" w:name="_Toc23226"/>
      <w:r>
        <w:rPr>
          <w:rStyle w:val="98"/>
          <w:rFonts w:hint="eastAsia" w:cs="宋体"/>
          <w:b w:val="0"/>
          <w:bCs w:val="0"/>
          <w:sz w:val="21"/>
          <w:szCs w:val="21"/>
          <w:highlight w:val="none"/>
          <w:lang w:val="en-US" w:eastAsia="zh-CN"/>
        </w:rPr>
        <w:t>2、</w:t>
      </w:r>
      <w:r>
        <w:rPr>
          <w:rStyle w:val="98"/>
          <w:rFonts w:hint="eastAsia" w:ascii="宋体" w:hAnsi="宋体" w:eastAsia="宋体" w:cs="宋体"/>
          <w:b w:val="0"/>
          <w:bCs w:val="0"/>
          <w:sz w:val="21"/>
          <w:szCs w:val="21"/>
          <w:highlight w:val="none"/>
        </w:rPr>
        <w:t>中标人服务团队人员在合作期间发生的一切安全事故由投标人自行负责。</w:t>
      </w:r>
    </w:p>
    <w:bookmarkEnd w:id="511"/>
    <w:p w14:paraId="4AD83420">
      <w:pPr>
        <w:spacing w:line="360" w:lineRule="auto"/>
        <w:rPr>
          <w:rStyle w:val="98"/>
          <w:rFonts w:hint="eastAsia" w:ascii="宋体" w:hAnsi="宋体" w:eastAsia="宋体" w:cs="宋体"/>
          <w:b/>
          <w:bCs/>
          <w:sz w:val="21"/>
          <w:szCs w:val="21"/>
          <w:highlight w:val="none"/>
        </w:rPr>
      </w:pPr>
      <w:bookmarkStart w:id="512" w:name="_Toc29171"/>
      <w:r>
        <w:rPr>
          <w:rStyle w:val="98"/>
          <w:rFonts w:hint="eastAsia" w:ascii="宋体" w:hAnsi="宋体" w:eastAsia="宋体" w:cs="宋体"/>
          <w:b/>
          <w:bCs/>
          <w:sz w:val="21"/>
          <w:szCs w:val="21"/>
          <w:highlight w:val="none"/>
          <w:lang w:val="en-US" w:eastAsia="zh-CN"/>
        </w:rPr>
        <w:t>六、</w:t>
      </w:r>
      <w:r>
        <w:rPr>
          <w:rStyle w:val="98"/>
          <w:rFonts w:hint="eastAsia" w:ascii="宋体" w:hAnsi="宋体" w:eastAsia="宋体" w:cs="宋体"/>
          <w:b/>
          <w:bCs/>
          <w:sz w:val="21"/>
          <w:szCs w:val="21"/>
          <w:highlight w:val="none"/>
        </w:rPr>
        <w:t>保密要求</w:t>
      </w:r>
    </w:p>
    <w:bookmarkEnd w:id="512"/>
    <w:p w14:paraId="711BD5B7">
      <w:pPr>
        <w:spacing w:line="360" w:lineRule="auto"/>
        <w:ind w:firstLine="420" w:firstLineChars="200"/>
        <w:rPr>
          <w:rStyle w:val="98"/>
          <w:rFonts w:hint="eastAsia" w:ascii="宋体" w:hAnsi="宋体" w:eastAsia="宋体" w:cs="宋体"/>
          <w:b w:val="0"/>
          <w:bCs w:val="0"/>
          <w:sz w:val="21"/>
          <w:szCs w:val="21"/>
          <w:highlight w:val="none"/>
        </w:rPr>
      </w:pPr>
      <w:bookmarkStart w:id="513" w:name="_Toc6975"/>
      <w:r>
        <w:rPr>
          <w:rStyle w:val="98"/>
          <w:rFonts w:hint="eastAsia" w:ascii="宋体" w:hAnsi="宋体" w:eastAsia="宋体" w:cs="宋体"/>
          <w:b w:val="0"/>
          <w:bCs w:val="0"/>
          <w:sz w:val="21"/>
          <w:szCs w:val="21"/>
          <w:highlight w:val="none"/>
        </w:rPr>
        <w:t>（1）保密资料：投标人在工作过程中接触到或知道的、获悉的属于采购人指明不得公开或根据实际可推断出需要保密的内容（包括但不限于文字资料、照片、录音、录像等)均为保密资料。</w:t>
      </w:r>
    </w:p>
    <w:bookmarkEnd w:id="513"/>
    <w:p w14:paraId="29FEEEA2">
      <w:pPr>
        <w:spacing w:line="360" w:lineRule="auto"/>
        <w:ind w:firstLine="420" w:firstLineChars="200"/>
        <w:rPr>
          <w:rStyle w:val="98"/>
          <w:rFonts w:hint="eastAsia" w:ascii="宋体" w:hAnsi="宋体" w:eastAsia="宋体" w:cs="宋体"/>
          <w:b w:val="0"/>
          <w:bCs w:val="0"/>
          <w:sz w:val="21"/>
          <w:szCs w:val="21"/>
          <w:highlight w:val="none"/>
        </w:rPr>
      </w:pPr>
      <w:bookmarkStart w:id="514" w:name="_Toc6886"/>
      <w:r>
        <w:rPr>
          <w:rStyle w:val="98"/>
          <w:rFonts w:hint="eastAsia" w:ascii="宋体" w:hAnsi="宋体" w:eastAsia="宋体" w:cs="宋体"/>
          <w:b w:val="0"/>
          <w:bCs w:val="0"/>
          <w:sz w:val="21"/>
          <w:szCs w:val="21"/>
          <w:highlight w:val="none"/>
        </w:rPr>
        <w:t>（2）投标人不得向他人泄露保密资料，投标人保证不将保密资料应用于非合同约定的其他用途。</w:t>
      </w:r>
    </w:p>
    <w:bookmarkEnd w:id="514"/>
    <w:p w14:paraId="6DDB8EBA">
      <w:pPr>
        <w:spacing w:line="360" w:lineRule="auto"/>
        <w:rPr>
          <w:rStyle w:val="98"/>
          <w:rFonts w:hint="eastAsia" w:ascii="宋体" w:hAnsi="宋体" w:eastAsia="宋体" w:cs="宋体"/>
          <w:b/>
          <w:bCs/>
          <w:sz w:val="21"/>
          <w:szCs w:val="21"/>
          <w:highlight w:val="none"/>
        </w:rPr>
      </w:pPr>
      <w:bookmarkStart w:id="515" w:name="_Toc4099"/>
      <w:r>
        <w:rPr>
          <w:rStyle w:val="98"/>
          <w:rFonts w:hint="eastAsia" w:ascii="宋体" w:hAnsi="宋体" w:eastAsia="宋体" w:cs="宋体"/>
          <w:b/>
          <w:bCs/>
          <w:sz w:val="21"/>
          <w:szCs w:val="21"/>
          <w:highlight w:val="none"/>
          <w:lang w:val="en-US" w:eastAsia="zh-CN"/>
        </w:rPr>
        <w:t>七</w:t>
      </w:r>
      <w:r>
        <w:rPr>
          <w:rStyle w:val="98"/>
          <w:rFonts w:hint="eastAsia" w:ascii="宋体" w:hAnsi="宋体" w:eastAsia="宋体" w:cs="宋体"/>
          <w:b/>
          <w:bCs/>
          <w:sz w:val="21"/>
          <w:szCs w:val="21"/>
          <w:highlight w:val="none"/>
        </w:rPr>
        <w:t>、验收标准</w:t>
      </w:r>
    </w:p>
    <w:bookmarkEnd w:id="515"/>
    <w:p w14:paraId="629CA37A">
      <w:pPr>
        <w:spacing w:line="360" w:lineRule="auto"/>
        <w:ind w:firstLine="420" w:firstLineChars="200"/>
        <w:rPr>
          <w:rStyle w:val="98"/>
          <w:rFonts w:hint="eastAsia" w:ascii="宋体" w:hAnsi="宋体" w:eastAsia="宋体" w:cs="宋体"/>
          <w:b w:val="0"/>
          <w:bCs w:val="0"/>
          <w:sz w:val="21"/>
          <w:szCs w:val="21"/>
          <w:highlight w:val="none"/>
        </w:rPr>
      </w:pPr>
      <w:bookmarkStart w:id="516" w:name="_Toc24677"/>
      <w:r>
        <w:rPr>
          <w:rStyle w:val="98"/>
          <w:rFonts w:hint="eastAsia" w:ascii="宋体" w:hAnsi="宋体" w:eastAsia="宋体" w:cs="宋体"/>
          <w:b w:val="0"/>
          <w:bCs w:val="0"/>
          <w:sz w:val="21"/>
          <w:szCs w:val="21"/>
          <w:highlight w:val="none"/>
        </w:rPr>
        <w:t>1、所有报纸在制作前需先按照已确定的规格进行打样，样品交由采购人审核通过后方可印刷；按采购人要求设计的产品，在打样前还需先提供设计稿交由采购人审核，审核通过后方可进行打样；</w:t>
      </w:r>
    </w:p>
    <w:bookmarkEnd w:id="516"/>
    <w:p w14:paraId="12718146">
      <w:pPr>
        <w:spacing w:line="360" w:lineRule="auto"/>
        <w:ind w:firstLine="420" w:firstLineChars="200"/>
        <w:rPr>
          <w:rStyle w:val="98"/>
          <w:rFonts w:hint="eastAsia" w:ascii="宋体" w:hAnsi="宋体" w:eastAsia="宋体" w:cs="宋体"/>
          <w:b w:val="0"/>
          <w:bCs w:val="0"/>
          <w:sz w:val="21"/>
          <w:szCs w:val="21"/>
          <w:highlight w:val="none"/>
        </w:rPr>
      </w:pPr>
      <w:bookmarkStart w:id="517" w:name="_Toc31811"/>
      <w:r>
        <w:rPr>
          <w:rStyle w:val="98"/>
          <w:rFonts w:hint="eastAsia" w:ascii="宋体" w:hAnsi="宋体" w:eastAsia="宋体" w:cs="宋体"/>
          <w:b w:val="0"/>
          <w:bCs w:val="0"/>
          <w:sz w:val="21"/>
          <w:szCs w:val="21"/>
          <w:highlight w:val="none"/>
        </w:rPr>
        <w:t>2、最终根据采购人确认的报纸清样或印制需求所明确的数量、打包要求、材质规格、外观及制作工艺进行印刷，采购人随机进行抽样验收。</w:t>
      </w:r>
    </w:p>
    <w:bookmarkEnd w:id="517"/>
    <w:p w14:paraId="6190C1B3">
      <w:pPr>
        <w:spacing w:line="360" w:lineRule="auto"/>
        <w:ind w:firstLine="420" w:firstLineChars="200"/>
        <w:rPr>
          <w:rStyle w:val="98"/>
          <w:rFonts w:hint="eastAsia" w:ascii="宋体" w:hAnsi="宋体" w:eastAsia="宋体" w:cs="宋体"/>
          <w:b w:val="0"/>
          <w:bCs w:val="0"/>
          <w:sz w:val="21"/>
          <w:szCs w:val="21"/>
          <w:highlight w:val="none"/>
        </w:rPr>
      </w:pPr>
      <w:bookmarkStart w:id="518" w:name="_Toc27915"/>
      <w:r>
        <w:rPr>
          <w:rStyle w:val="98"/>
          <w:rFonts w:hint="eastAsia" w:ascii="宋体" w:hAnsi="宋体" w:eastAsia="宋体" w:cs="宋体"/>
          <w:b w:val="0"/>
          <w:bCs w:val="0"/>
          <w:sz w:val="21"/>
          <w:szCs w:val="21"/>
          <w:highlight w:val="none"/>
        </w:rPr>
        <w:t>3、对于验收不合格的报纸，供应商须无条件如数补齐；对于在交邮局过程中破损的报纸，责任由乙方承担，乙方须无条件进行更换。</w:t>
      </w:r>
    </w:p>
    <w:bookmarkEnd w:id="518"/>
    <w:p w14:paraId="452332A7">
      <w:pPr>
        <w:numPr>
          <w:ilvl w:val="0"/>
          <w:numId w:val="0"/>
        </w:numPr>
        <w:spacing w:line="360" w:lineRule="auto"/>
        <w:ind w:firstLine="420" w:firstLineChars="200"/>
        <w:outlineLvl w:val="9"/>
        <w:rPr>
          <w:rFonts w:hint="eastAsia" w:ascii="宋体" w:hAnsi="宋体" w:eastAsia="宋体" w:cs="宋体"/>
          <w:b/>
          <w:bCs/>
          <w:sz w:val="21"/>
          <w:szCs w:val="21"/>
          <w:highlight w:val="none"/>
        </w:rPr>
      </w:pPr>
      <w:r>
        <w:rPr>
          <w:rFonts w:hint="eastAsia" w:cs="宋体"/>
          <w:b/>
          <w:bCs/>
          <w:sz w:val="21"/>
          <w:szCs w:val="21"/>
          <w:highlight w:val="none"/>
          <w:lang w:val="en-US" w:eastAsia="zh-CN"/>
        </w:rPr>
        <w:t>八</w:t>
      </w:r>
      <w:r>
        <w:rPr>
          <w:rFonts w:hint="eastAsia" w:ascii="宋体" w:hAnsi="宋体" w:eastAsia="宋体" w:cs="宋体"/>
          <w:b/>
          <w:bCs/>
          <w:sz w:val="21"/>
          <w:szCs w:val="21"/>
          <w:highlight w:val="none"/>
        </w:rPr>
        <w:t>、其他</w:t>
      </w:r>
    </w:p>
    <w:p w14:paraId="6DA8BF1D">
      <w:pPr>
        <w:numPr>
          <w:ilvl w:val="0"/>
          <w:numId w:val="0"/>
        </w:numPr>
        <w:spacing w:line="360" w:lineRule="auto"/>
        <w:ind w:leftChars="0" w:firstLine="420" w:firstLineChars="200"/>
        <w:outlineLvl w:val="9"/>
        <w:rPr>
          <w:rFonts w:hint="eastAsia"/>
          <w:highlight w:val="none"/>
        </w:rPr>
      </w:pPr>
      <w:r>
        <w:rPr>
          <w:rFonts w:hint="eastAsia" w:ascii="宋体" w:hAnsi="宋体" w:eastAsia="宋体" w:cs="宋体"/>
          <w:sz w:val="21"/>
          <w:szCs w:val="21"/>
          <w:highlight w:val="none"/>
        </w:rPr>
        <w:t>其他未尽事宜，由采购方与项目中标方协商确定。</w:t>
      </w:r>
    </w:p>
    <w:p w14:paraId="339B035D">
      <w:pPr>
        <w:rPr>
          <w:rStyle w:val="98"/>
          <w:rFonts w:eastAsia="宋体" w:cs="宋体"/>
          <w:bCs/>
          <w:sz w:val="36"/>
          <w:szCs w:val="36"/>
          <w:highlight w:val="none"/>
        </w:rPr>
      </w:pPr>
      <w:r>
        <w:rPr>
          <w:rStyle w:val="98"/>
          <w:rFonts w:hint="eastAsia" w:eastAsia="宋体" w:cs="宋体"/>
          <w:bCs/>
          <w:sz w:val="36"/>
          <w:szCs w:val="36"/>
          <w:highlight w:val="none"/>
        </w:rPr>
        <w:br w:type="page"/>
      </w:r>
    </w:p>
    <w:p w14:paraId="4407D010">
      <w:pPr>
        <w:pStyle w:val="3"/>
        <w:numPr>
          <w:ilvl w:val="0"/>
          <w:numId w:val="0"/>
        </w:numPr>
        <w:spacing w:line="240" w:lineRule="auto"/>
        <w:jc w:val="center"/>
        <w:rPr>
          <w:rFonts w:eastAsia="宋体" w:cs="宋体"/>
          <w:bCs/>
          <w:szCs w:val="21"/>
          <w:highlight w:val="none"/>
        </w:rPr>
      </w:pPr>
      <w:bookmarkStart w:id="519" w:name="_Toc19256"/>
      <w:r>
        <w:rPr>
          <w:rStyle w:val="98"/>
          <w:rFonts w:hint="eastAsia" w:eastAsia="宋体" w:cs="宋体"/>
          <w:b/>
          <w:bCs/>
          <w:sz w:val="36"/>
          <w:szCs w:val="36"/>
          <w:highlight w:val="none"/>
        </w:rPr>
        <w:t>第六章  资格评审标准</w:t>
      </w:r>
      <w:bookmarkEnd w:id="454"/>
      <w:bookmarkEnd w:id="455"/>
      <w:bookmarkEnd w:id="459"/>
      <w:bookmarkEnd w:id="460"/>
      <w:bookmarkEnd w:id="461"/>
      <w:bookmarkEnd w:id="519"/>
    </w:p>
    <w:p w14:paraId="477F10C4">
      <w:pPr>
        <w:pStyle w:val="45"/>
        <w:tabs>
          <w:tab w:val="left" w:pos="2472"/>
        </w:tabs>
        <w:ind w:firstLine="420" w:firstLineChars="200"/>
        <w:rPr>
          <w:rFonts w:cs="宋体"/>
          <w:b/>
          <w:szCs w:val="21"/>
          <w:highlight w:val="none"/>
        </w:rPr>
      </w:pPr>
      <w:bookmarkStart w:id="520" w:name="_Hlk17286885"/>
      <w:r>
        <w:rPr>
          <w:rFonts w:hint="eastAsia" w:cs="宋体"/>
          <w:b/>
          <w:szCs w:val="21"/>
          <w:highlight w:val="none"/>
        </w:rPr>
        <w:t>开标结束后，采购人或者采购代理机构应当依法对投标人的资格进行审查，见评审内容及标准。下列条款若有一条不符合要求的，即资格评审不予通过，当资格评审合格投标人不足3家的，不得评标。</w:t>
      </w:r>
    </w:p>
    <w:bookmarkEnd w:id="520"/>
    <w:tbl>
      <w:tblPr>
        <w:tblStyle w:val="8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01"/>
        <w:gridCol w:w="558"/>
        <w:gridCol w:w="8357"/>
      </w:tblGrid>
      <w:tr w14:paraId="47EC16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noWrap/>
            <w:vAlign w:val="center"/>
          </w:tcPr>
          <w:p w14:paraId="3AC1EB7B">
            <w:pPr>
              <w:spacing w:line="276" w:lineRule="auto"/>
              <w:jc w:val="center"/>
              <w:rPr>
                <w:rFonts w:cs="宋体"/>
                <w:szCs w:val="21"/>
                <w:highlight w:val="none"/>
              </w:rPr>
            </w:pPr>
            <w:r>
              <w:rPr>
                <w:rFonts w:hint="eastAsia" w:cs="宋体"/>
                <w:b/>
                <w:szCs w:val="21"/>
                <w:highlight w:val="none"/>
              </w:rPr>
              <w:t>评审程序</w:t>
            </w:r>
          </w:p>
        </w:tc>
        <w:tc>
          <w:tcPr>
            <w:tcW w:w="9145" w:type="dxa"/>
            <w:gridSpan w:val="2"/>
            <w:noWrap/>
            <w:vAlign w:val="center"/>
          </w:tcPr>
          <w:p w14:paraId="0505780F">
            <w:pPr>
              <w:spacing w:line="276" w:lineRule="auto"/>
              <w:jc w:val="center"/>
              <w:rPr>
                <w:rFonts w:cs="宋体"/>
                <w:b/>
                <w:szCs w:val="21"/>
                <w:highlight w:val="none"/>
              </w:rPr>
            </w:pPr>
            <w:r>
              <w:rPr>
                <w:rFonts w:hint="eastAsia" w:cs="宋体"/>
                <w:b/>
                <w:szCs w:val="21"/>
                <w:highlight w:val="none"/>
              </w:rPr>
              <w:t>评 审 内 容 及 标 准</w:t>
            </w:r>
          </w:p>
        </w:tc>
      </w:tr>
      <w:tr w14:paraId="65E89C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restart"/>
            <w:noWrap/>
            <w:vAlign w:val="center"/>
          </w:tcPr>
          <w:p w14:paraId="488AA39E">
            <w:pPr>
              <w:spacing w:line="276" w:lineRule="auto"/>
              <w:jc w:val="center"/>
              <w:rPr>
                <w:rFonts w:cs="宋体"/>
                <w:b/>
                <w:bCs/>
                <w:szCs w:val="21"/>
                <w:highlight w:val="none"/>
              </w:rPr>
            </w:pPr>
            <w:r>
              <w:rPr>
                <w:rFonts w:hint="eastAsia" w:cs="宋体"/>
                <w:b/>
                <w:bCs/>
                <w:szCs w:val="21"/>
                <w:highlight w:val="none"/>
              </w:rPr>
              <w:t>资格评审标准</w:t>
            </w:r>
          </w:p>
        </w:tc>
        <w:tc>
          <w:tcPr>
            <w:tcW w:w="567" w:type="dxa"/>
            <w:noWrap/>
            <w:vAlign w:val="center"/>
          </w:tcPr>
          <w:p w14:paraId="1F90A1F6">
            <w:pPr>
              <w:spacing w:line="276" w:lineRule="auto"/>
              <w:jc w:val="center"/>
              <w:rPr>
                <w:rFonts w:cs="宋体"/>
                <w:b/>
                <w:szCs w:val="21"/>
                <w:highlight w:val="none"/>
              </w:rPr>
            </w:pPr>
            <w:r>
              <w:rPr>
                <w:rFonts w:hint="eastAsia" w:cs="宋体"/>
                <w:b/>
                <w:szCs w:val="21"/>
                <w:highlight w:val="none"/>
              </w:rPr>
              <w:t>1</w:t>
            </w:r>
          </w:p>
        </w:tc>
        <w:tc>
          <w:tcPr>
            <w:tcW w:w="8578" w:type="dxa"/>
            <w:vAlign w:val="center"/>
          </w:tcPr>
          <w:p w14:paraId="638D4F6F">
            <w:pPr>
              <w:spacing w:line="276" w:lineRule="auto"/>
              <w:rPr>
                <w:rFonts w:cs="宋体"/>
                <w:b/>
                <w:szCs w:val="21"/>
                <w:highlight w:val="none"/>
              </w:rPr>
            </w:pPr>
            <w:r>
              <w:rPr>
                <w:rFonts w:hint="eastAsia" w:cs="宋体"/>
                <w:b/>
                <w:szCs w:val="21"/>
                <w:highlight w:val="none"/>
              </w:rPr>
              <w:t>投标人应当符合《中华人民共和国政府采购法》第二十二条规定的条件，并提供下列材料：</w:t>
            </w:r>
          </w:p>
        </w:tc>
      </w:tr>
      <w:tr w14:paraId="2A6E0C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37C012FA">
            <w:pPr>
              <w:spacing w:line="276" w:lineRule="auto"/>
              <w:jc w:val="center"/>
              <w:rPr>
                <w:rFonts w:cs="宋体"/>
                <w:szCs w:val="21"/>
                <w:highlight w:val="none"/>
              </w:rPr>
            </w:pPr>
          </w:p>
        </w:tc>
        <w:tc>
          <w:tcPr>
            <w:tcW w:w="567" w:type="dxa"/>
            <w:noWrap/>
            <w:vAlign w:val="center"/>
          </w:tcPr>
          <w:p w14:paraId="60C96B06">
            <w:pPr>
              <w:spacing w:line="276" w:lineRule="auto"/>
              <w:jc w:val="center"/>
              <w:rPr>
                <w:rFonts w:cs="宋体"/>
                <w:szCs w:val="21"/>
                <w:highlight w:val="none"/>
              </w:rPr>
            </w:pPr>
            <w:r>
              <w:rPr>
                <w:rFonts w:hint="eastAsia" w:cs="宋体"/>
                <w:szCs w:val="21"/>
                <w:highlight w:val="none"/>
              </w:rPr>
              <w:t>1.1</w:t>
            </w:r>
          </w:p>
        </w:tc>
        <w:tc>
          <w:tcPr>
            <w:tcW w:w="8578" w:type="dxa"/>
            <w:noWrap/>
            <w:vAlign w:val="center"/>
          </w:tcPr>
          <w:p w14:paraId="1A1B4D16">
            <w:pPr>
              <w:spacing w:line="276" w:lineRule="auto"/>
              <w:jc w:val="left"/>
              <w:rPr>
                <w:rFonts w:cs="宋体"/>
                <w:szCs w:val="21"/>
                <w:highlight w:val="none"/>
              </w:rPr>
            </w:pPr>
            <w:r>
              <w:rPr>
                <w:rFonts w:hint="eastAsia" w:cs="宋体"/>
                <w:szCs w:val="21"/>
                <w:highlight w:val="none"/>
              </w:rPr>
              <w:t>投标人必须是具有独立承担民事责任能力的法人、其他组织或者自然人；提供有效的三证合一营业执照（扫描件）或同等法定证明</w:t>
            </w:r>
            <w:r>
              <w:rPr>
                <w:rFonts w:hint="eastAsia" w:cs="宋体"/>
                <w:bCs/>
                <w:szCs w:val="21"/>
                <w:highlight w:val="none"/>
              </w:rPr>
              <w:t>。</w:t>
            </w:r>
          </w:p>
        </w:tc>
      </w:tr>
      <w:tr w14:paraId="39D755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0FAAA44A">
            <w:pPr>
              <w:spacing w:line="276" w:lineRule="auto"/>
              <w:jc w:val="center"/>
              <w:rPr>
                <w:rFonts w:cs="宋体"/>
                <w:szCs w:val="21"/>
                <w:highlight w:val="none"/>
              </w:rPr>
            </w:pPr>
          </w:p>
        </w:tc>
        <w:tc>
          <w:tcPr>
            <w:tcW w:w="567" w:type="dxa"/>
            <w:noWrap/>
            <w:vAlign w:val="center"/>
          </w:tcPr>
          <w:p w14:paraId="6228794B">
            <w:pPr>
              <w:spacing w:line="276" w:lineRule="auto"/>
              <w:jc w:val="center"/>
              <w:rPr>
                <w:rFonts w:cs="宋体"/>
                <w:szCs w:val="21"/>
                <w:highlight w:val="none"/>
              </w:rPr>
            </w:pPr>
            <w:r>
              <w:rPr>
                <w:rFonts w:hint="eastAsia" w:cs="宋体"/>
                <w:szCs w:val="21"/>
                <w:highlight w:val="none"/>
              </w:rPr>
              <w:t>1.2</w:t>
            </w:r>
          </w:p>
        </w:tc>
        <w:tc>
          <w:tcPr>
            <w:tcW w:w="8578" w:type="dxa"/>
            <w:noWrap/>
            <w:vAlign w:val="center"/>
          </w:tcPr>
          <w:p w14:paraId="32141009">
            <w:pPr>
              <w:pStyle w:val="45"/>
              <w:spacing w:line="276" w:lineRule="auto"/>
              <w:rPr>
                <w:rFonts w:cs="宋体"/>
                <w:b/>
                <w:bCs/>
                <w:szCs w:val="21"/>
                <w:highlight w:val="none"/>
              </w:rPr>
            </w:pPr>
            <w:r>
              <w:rPr>
                <w:rFonts w:hint="eastAsia" w:cs="宋体"/>
                <w:b/>
                <w:bCs/>
                <w:szCs w:val="21"/>
                <w:highlight w:val="none"/>
              </w:rPr>
              <w:t>投标人具有良好的商业信誉和健全的财务会计制度：</w:t>
            </w:r>
          </w:p>
          <w:p w14:paraId="6A26F09E">
            <w:pPr>
              <w:pStyle w:val="45"/>
              <w:spacing w:line="276" w:lineRule="auto"/>
              <w:rPr>
                <w:rFonts w:cs="宋体"/>
                <w:szCs w:val="21"/>
                <w:highlight w:val="none"/>
              </w:rPr>
            </w:pPr>
            <w:r>
              <w:rPr>
                <w:rFonts w:hint="eastAsia" w:cs="宋体"/>
                <w:b/>
                <w:bCs/>
                <w:szCs w:val="21"/>
                <w:highlight w:val="none"/>
              </w:rPr>
              <w:t>（1）</w:t>
            </w:r>
            <w:r>
              <w:rPr>
                <w:rFonts w:hint="eastAsia" w:cs="宋体"/>
                <w:szCs w:val="21"/>
                <w:highlight w:val="none"/>
              </w:rPr>
              <w:t>2023年-2025年任意一年度经审计的财务审计报告，包括财务审计报告及“四表一注”，“四表一注”即资产负债表、利润表、现金流量表、所有者权益变动表（执行中小企业会计准则的投标人可不提供）及其附注；</w:t>
            </w:r>
          </w:p>
          <w:p w14:paraId="328AF1EC">
            <w:pPr>
              <w:pStyle w:val="45"/>
              <w:spacing w:line="276" w:lineRule="auto"/>
              <w:rPr>
                <w:rFonts w:cs="宋体"/>
                <w:b/>
                <w:bCs/>
                <w:szCs w:val="21"/>
                <w:highlight w:val="none"/>
              </w:rPr>
            </w:pPr>
            <w:r>
              <w:rPr>
                <w:rFonts w:hint="eastAsia" w:cs="宋体"/>
                <w:b/>
                <w:bCs/>
                <w:color w:val="FF0000"/>
                <w:szCs w:val="21"/>
                <w:highlight w:val="none"/>
              </w:rPr>
              <w:t>注：根据《关于加强审计报告查验工作的通知》（财会〔2023〕15号）规定，在2022年10月以后出具的审计报告须在注册会计师行业统一监管平台（网址：http：//acc.mof.gov.cn）取得赋码，未取得赋码的财务报告视为无效。</w:t>
            </w:r>
          </w:p>
          <w:p w14:paraId="4D7339B7">
            <w:pPr>
              <w:pStyle w:val="45"/>
              <w:spacing w:line="276" w:lineRule="auto"/>
              <w:rPr>
                <w:rFonts w:cs="宋体"/>
                <w:szCs w:val="21"/>
                <w:highlight w:val="none"/>
              </w:rPr>
            </w:pPr>
            <w:r>
              <w:rPr>
                <w:rFonts w:hint="eastAsia" w:cs="宋体"/>
                <w:b/>
                <w:bCs/>
                <w:szCs w:val="21"/>
                <w:highlight w:val="none"/>
              </w:rPr>
              <w:t>（2）</w:t>
            </w:r>
            <w:r>
              <w:rPr>
                <w:rFonts w:hint="eastAsia" w:cs="宋体"/>
                <w:szCs w:val="21"/>
                <w:highlight w:val="none"/>
              </w:rPr>
              <w:t>自投标文件提交截止时间前三个月内基本开户银行出具的资信证明。</w:t>
            </w:r>
          </w:p>
          <w:p w14:paraId="34D3FD1F">
            <w:pPr>
              <w:pStyle w:val="45"/>
              <w:spacing w:line="276" w:lineRule="auto"/>
              <w:rPr>
                <w:rFonts w:cs="宋体"/>
                <w:highlight w:val="none"/>
              </w:rPr>
            </w:pPr>
            <w:r>
              <w:rPr>
                <w:rFonts w:hint="eastAsia" w:cs="宋体"/>
                <w:b/>
                <w:bCs/>
                <w:szCs w:val="21"/>
                <w:highlight w:val="none"/>
              </w:rPr>
              <w:t>备注：投标人可根据自身情况提供上述任意一种证明材料。</w:t>
            </w:r>
          </w:p>
        </w:tc>
      </w:tr>
      <w:tr w14:paraId="6D79B6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4F589876">
            <w:pPr>
              <w:spacing w:line="276" w:lineRule="auto"/>
              <w:jc w:val="center"/>
              <w:rPr>
                <w:rFonts w:cs="宋体"/>
                <w:szCs w:val="21"/>
                <w:highlight w:val="none"/>
              </w:rPr>
            </w:pPr>
          </w:p>
        </w:tc>
        <w:tc>
          <w:tcPr>
            <w:tcW w:w="567" w:type="dxa"/>
            <w:noWrap/>
            <w:vAlign w:val="center"/>
          </w:tcPr>
          <w:p w14:paraId="53911B10">
            <w:pPr>
              <w:spacing w:line="276" w:lineRule="auto"/>
              <w:jc w:val="center"/>
              <w:rPr>
                <w:rFonts w:cs="宋体"/>
                <w:szCs w:val="21"/>
                <w:highlight w:val="none"/>
              </w:rPr>
            </w:pPr>
            <w:r>
              <w:rPr>
                <w:rFonts w:hint="eastAsia" w:cs="宋体"/>
                <w:szCs w:val="21"/>
                <w:highlight w:val="none"/>
              </w:rPr>
              <w:t>1.3</w:t>
            </w:r>
          </w:p>
        </w:tc>
        <w:tc>
          <w:tcPr>
            <w:tcW w:w="8578" w:type="dxa"/>
            <w:noWrap/>
            <w:vAlign w:val="center"/>
          </w:tcPr>
          <w:p w14:paraId="735C073E">
            <w:pPr>
              <w:autoSpaceDE w:val="0"/>
              <w:autoSpaceDN w:val="0"/>
              <w:snapToGrid w:val="0"/>
              <w:textAlignment w:val="bottom"/>
              <w:rPr>
                <w:rFonts w:cs="宋体"/>
                <w:highlight w:val="none"/>
              </w:rPr>
            </w:pPr>
            <w:r>
              <w:rPr>
                <w:rFonts w:hint="eastAsia" w:cs="宋体"/>
                <w:szCs w:val="21"/>
                <w:highlight w:val="none"/>
              </w:rPr>
              <w:t>缴税所属时间在</w:t>
            </w:r>
            <w:r>
              <w:rPr>
                <w:rFonts w:hint="eastAsia" w:cs="宋体"/>
                <w:b/>
                <w:bCs/>
                <w:szCs w:val="21"/>
                <w:highlight w:val="none"/>
              </w:rPr>
              <w:t>2025年1月至</w:t>
            </w:r>
            <w:r>
              <w:rPr>
                <w:rFonts w:hint="eastAsia" w:cs="宋体"/>
                <w:szCs w:val="21"/>
                <w:highlight w:val="none"/>
              </w:rPr>
              <w:t>投标截止日期前</w:t>
            </w:r>
            <w:r>
              <w:rPr>
                <w:rFonts w:hint="eastAsia" w:cs="宋体"/>
                <w:b/>
                <w:bCs/>
                <w:szCs w:val="21"/>
                <w:highlight w:val="none"/>
              </w:rPr>
              <w:t>任意1个月</w:t>
            </w:r>
            <w:r>
              <w:rPr>
                <w:rFonts w:hint="eastAsia" w:cs="宋体"/>
                <w:szCs w:val="21"/>
                <w:highlight w:val="none"/>
              </w:rPr>
              <w:t>的税务局税收通用缴款书复印件/扫描件或银行电子缴税（费）凭证复印件/扫描件或税务局出具纳税情况的相关证明复印件/扫描件。</w:t>
            </w:r>
            <w:r>
              <w:rPr>
                <w:rFonts w:hint="eastAsia" w:cs="宋体"/>
                <w:b/>
                <w:bCs/>
                <w:kern w:val="0"/>
                <w:szCs w:val="21"/>
                <w:highlight w:val="none"/>
              </w:rPr>
              <w:t>（成立时间不足3个月的投标人提供依法缴纳税收的承诺书；依法免税的投标人，应提供相应文件证明其依法免税。）</w:t>
            </w:r>
          </w:p>
        </w:tc>
      </w:tr>
      <w:tr w14:paraId="5B0A80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324B0CA6">
            <w:pPr>
              <w:spacing w:line="276" w:lineRule="auto"/>
              <w:rPr>
                <w:rFonts w:cs="宋体"/>
                <w:szCs w:val="21"/>
                <w:highlight w:val="none"/>
              </w:rPr>
            </w:pPr>
          </w:p>
        </w:tc>
        <w:tc>
          <w:tcPr>
            <w:tcW w:w="567" w:type="dxa"/>
            <w:noWrap/>
            <w:vAlign w:val="center"/>
          </w:tcPr>
          <w:p w14:paraId="491CEB9D">
            <w:pPr>
              <w:spacing w:line="276" w:lineRule="auto"/>
              <w:jc w:val="center"/>
              <w:rPr>
                <w:rFonts w:cs="宋体"/>
                <w:szCs w:val="21"/>
                <w:highlight w:val="none"/>
              </w:rPr>
            </w:pPr>
            <w:r>
              <w:rPr>
                <w:rFonts w:hint="eastAsia" w:cs="宋体"/>
                <w:szCs w:val="21"/>
                <w:highlight w:val="none"/>
              </w:rPr>
              <w:t>1.4</w:t>
            </w:r>
          </w:p>
        </w:tc>
        <w:tc>
          <w:tcPr>
            <w:tcW w:w="8578" w:type="dxa"/>
            <w:noWrap/>
            <w:vAlign w:val="center"/>
          </w:tcPr>
          <w:p w14:paraId="0C1A2EA6">
            <w:pPr>
              <w:autoSpaceDE w:val="0"/>
              <w:autoSpaceDN w:val="0"/>
              <w:snapToGrid w:val="0"/>
              <w:textAlignment w:val="bottom"/>
              <w:rPr>
                <w:rFonts w:cs="宋体"/>
                <w:highlight w:val="none"/>
              </w:rPr>
            </w:pPr>
            <w:r>
              <w:rPr>
                <w:rFonts w:hint="eastAsia" w:cs="宋体"/>
                <w:szCs w:val="21"/>
                <w:highlight w:val="none"/>
              </w:rPr>
              <w:t>缴费所属时间在</w:t>
            </w:r>
            <w:r>
              <w:rPr>
                <w:rFonts w:hint="eastAsia" w:cs="宋体"/>
                <w:b/>
                <w:bCs/>
                <w:szCs w:val="21"/>
                <w:highlight w:val="none"/>
              </w:rPr>
              <w:t>2025年1月至</w:t>
            </w:r>
            <w:r>
              <w:rPr>
                <w:rFonts w:hint="eastAsia" w:cs="宋体"/>
                <w:szCs w:val="21"/>
                <w:highlight w:val="none"/>
              </w:rPr>
              <w:t>投标截止日期前</w:t>
            </w:r>
            <w:r>
              <w:rPr>
                <w:rFonts w:hint="eastAsia" w:cs="宋体"/>
                <w:b/>
                <w:bCs/>
                <w:szCs w:val="21"/>
                <w:highlight w:val="none"/>
              </w:rPr>
              <w:t>任意1个月</w:t>
            </w:r>
            <w:r>
              <w:rPr>
                <w:rFonts w:hint="eastAsia" w:cs="宋体"/>
                <w:szCs w:val="21"/>
                <w:highlight w:val="none"/>
              </w:rPr>
              <w:t>的社会保险费缴款书复印件/扫描件或银行电子缴税（费）凭证复印件/扫描件或社保管理部门出具的有效的缴款证明复印件/扫描件。</w:t>
            </w:r>
            <w:r>
              <w:rPr>
                <w:rFonts w:hint="eastAsia" w:cs="宋体"/>
                <w:b/>
                <w:bCs/>
                <w:szCs w:val="21"/>
                <w:highlight w:val="none"/>
              </w:rPr>
              <w:t>（</w:t>
            </w:r>
            <w:r>
              <w:rPr>
                <w:rFonts w:hint="eastAsia" w:cs="宋体"/>
                <w:b/>
                <w:bCs/>
                <w:kern w:val="0"/>
                <w:szCs w:val="21"/>
                <w:highlight w:val="none"/>
              </w:rPr>
              <w:t>成立时间不足3个月的投标人</w:t>
            </w:r>
            <w:r>
              <w:rPr>
                <w:rFonts w:hint="eastAsia" w:cs="宋体"/>
                <w:b/>
                <w:bCs/>
                <w:szCs w:val="21"/>
                <w:highlight w:val="none"/>
              </w:rPr>
              <w:t>提供依法缴纳社会保障资金的承诺书；依法不需要缴纳社会保障资金的投标人，应提供相应文件证明其不需要缴纳社会保障资金。）</w:t>
            </w:r>
          </w:p>
        </w:tc>
      </w:tr>
      <w:tr w14:paraId="302D8A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292D5EE2">
            <w:pPr>
              <w:spacing w:line="276" w:lineRule="auto"/>
              <w:rPr>
                <w:rFonts w:cs="宋体"/>
                <w:szCs w:val="21"/>
                <w:highlight w:val="none"/>
              </w:rPr>
            </w:pPr>
          </w:p>
        </w:tc>
        <w:tc>
          <w:tcPr>
            <w:tcW w:w="567" w:type="dxa"/>
            <w:noWrap/>
            <w:vAlign w:val="center"/>
          </w:tcPr>
          <w:p w14:paraId="6EEB7A54">
            <w:pPr>
              <w:spacing w:line="276" w:lineRule="auto"/>
              <w:jc w:val="center"/>
              <w:rPr>
                <w:rFonts w:cs="宋体"/>
                <w:szCs w:val="21"/>
                <w:highlight w:val="none"/>
              </w:rPr>
            </w:pPr>
            <w:r>
              <w:rPr>
                <w:rFonts w:hint="eastAsia" w:cs="宋体"/>
                <w:szCs w:val="21"/>
                <w:highlight w:val="none"/>
              </w:rPr>
              <w:t>1.5</w:t>
            </w:r>
          </w:p>
        </w:tc>
        <w:tc>
          <w:tcPr>
            <w:tcW w:w="8578" w:type="dxa"/>
            <w:noWrap/>
            <w:vAlign w:val="center"/>
          </w:tcPr>
          <w:p w14:paraId="764CF273">
            <w:pPr>
              <w:spacing w:line="276" w:lineRule="auto"/>
              <w:jc w:val="left"/>
              <w:rPr>
                <w:rFonts w:cs="宋体"/>
                <w:szCs w:val="21"/>
                <w:highlight w:val="none"/>
              </w:rPr>
            </w:pPr>
            <w:r>
              <w:rPr>
                <w:rFonts w:hint="eastAsia" w:cs="宋体"/>
                <w:szCs w:val="21"/>
                <w:highlight w:val="none"/>
              </w:rPr>
              <w:t>投标人须提供具备履行合同所必需的设备和专业技术能力的证明材料。（提供承诺书）</w:t>
            </w:r>
          </w:p>
        </w:tc>
      </w:tr>
      <w:tr w14:paraId="76894E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49F0C55D">
            <w:pPr>
              <w:spacing w:line="276" w:lineRule="auto"/>
              <w:rPr>
                <w:rFonts w:cs="宋体"/>
                <w:szCs w:val="21"/>
                <w:highlight w:val="none"/>
              </w:rPr>
            </w:pPr>
          </w:p>
        </w:tc>
        <w:tc>
          <w:tcPr>
            <w:tcW w:w="567" w:type="dxa"/>
            <w:noWrap/>
            <w:vAlign w:val="center"/>
          </w:tcPr>
          <w:p w14:paraId="5D86BE49">
            <w:pPr>
              <w:spacing w:line="276" w:lineRule="auto"/>
              <w:jc w:val="center"/>
              <w:rPr>
                <w:rFonts w:cs="宋体"/>
                <w:szCs w:val="21"/>
                <w:highlight w:val="none"/>
              </w:rPr>
            </w:pPr>
            <w:r>
              <w:rPr>
                <w:rFonts w:hint="eastAsia" w:cs="宋体"/>
                <w:szCs w:val="21"/>
                <w:highlight w:val="none"/>
              </w:rPr>
              <w:t>1.6</w:t>
            </w:r>
          </w:p>
        </w:tc>
        <w:tc>
          <w:tcPr>
            <w:tcW w:w="8578" w:type="dxa"/>
            <w:noWrap/>
            <w:vAlign w:val="center"/>
          </w:tcPr>
          <w:p w14:paraId="46B608DA">
            <w:pPr>
              <w:spacing w:line="276" w:lineRule="auto"/>
              <w:jc w:val="left"/>
              <w:rPr>
                <w:rFonts w:cs="宋体"/>
                <w:szCs w:val="21"/>
                <w:highlight w:val="none"/>
              </w:rPr>
            </w:pPr>
            <w:r>
              <w:rPr>
                <w:rFonts w:hint="eastAsia" w:cs="宋体"/>
                <w:szCs w:val="21"/>
                <w:highlight w:val="none"/>
              </w:rPr>
              <w:t>投标人必须提供参加政府采购活动前3年内在经营活动中没有重大违法记录的书面声明（重大违法记录，是指投标人因违法经营受到刑事处罚或者责令停产停业、吊销许可证或者执照、较大数额罚款等行政处罚）。</w:t>
            </w:r>
          </w:p>
        </w:tc>
      </w:tr>
      <w:tr w14:paraId="2245FC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759E066E">
            <w:pPr>
              <w:spacing w:line="276" w:lineRule="auto"/>
              <w:rPr>
                <w:rFonts w:cs="宋体"/>
                <w:szCs w:val="21"/>
                <w:highlight w:val="none"/>
              </w:rPr>
            </w:pPr>
          </w:p>
        </w:tc>
        <w:tc>
          <w:tcPr>
            <w:tcW w:w="567" w:type="dxa"/>
            <w:noWrap/>
            <w:vAlign w:val="center"/>
          </w:tcPr>
          <w:p w14:paraId="75EA7E9D">
            <w:pPr>
              <w:spacing w:line="276" w:lineRule="auto"/>
              <w:jc w:val="center"/>
              <w:rPr>
                <w:rFonts w:cs="宋体"/>
                <w:b/>
                <w:bCs/>
                <w:szCs w:val="21"/>
                <w:highlight w:val="none"/>
              </w:rPr>
            </w:pPr>
            <w:r>
              <w:rPr>
                <w:rFonts w:hint="eastAsia" w:cs="宋体"/>
                <w:b/>
                <w:bCs/>
                <w:szCs w:val="21"/>
                <w:highlight w:val="none"/>
              </w:rPr>
              <w:t>2</w:t>
            </w:r>
          </w:p>
        </w:tc>
        <w:tc>
          <w:tcPr>
            <w:tcW w:w="8578" w:type="dxa"/>
            <w:noWrap/>
            <w:vAlign w:val="center"/>
          </w:tcPr>
          <w:p w14:paraId="23761523">
            <w:pPr>
              <w:spacing w:line="276" w:lineRule="auto"/>
              <w:jc w:val="left"/>
              <w:rPr>
                <w:rFonts w:cs="宋体"/>
                <w:b/>
                <w:bCs/>
                <w:szCs w:val="21"/>
                <w:highlight w:val="none"/>
              </w:rPr>
            </w:pPr>
            <w:r>
              <w:rPr>
                <w:rFonts w:hint="eastAsia" w:cs="宋体"/>
                <w:b/>
                <w:bCs/>
                <w:szCs w:val="21"/>
                <w:highlight w:val="none"/>
              </w:rPr>
              <w:t>落实政府采购政策需满足的资格要求：本项目</w:t>
            </w:r>
            <w:r>
              <w:rPr>
                <w:rFonts w:hint="eastAsia" w:cs="宋体"/>
                <w:b/>
                <w:bCs/>
                <w:szCs w:val="21"/>
                <w:highlight w:val="none"/>
                <w:lang w:val="en-US" w:eastAsia="zh-CN"/>
              </w:rPr>
              <w:t>非</w:t>
            </w:r>
            <w:r>
              <w:rPr>
                <w:rFonts w:hint="eastAsia" w:cs="宋体"/>
                <w:b/>
                <w:bCs/>
                <w:szCs w:val="21"/>
                <w:highlight w:val="none"/>
              </w:rPr>
              <w:t>专门面向中小企业采购项目</w:t>
            </w:r>
            <w:r>
              <w:rPr>
                <w:rFonts w:hint="eastAsia" w:cs="宋体"/>
                <w:b/>
                <w:bCs/>
                <w:kern w:val="0"/>
                <w:szCs w:val="21"/>
                <w:highlight w:val="none"/>
              </w:rPr>
              <w:t>。</w:t>
            </w:r>
          </w:p>
        </w:tc>
      </w:tr>
      <w:tr w14:paraId="3BA5D1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48955F49">
            <w:pPr>
              <w:spacing w:line="276" w:lineRule="auto"/>
              <w:rPr>
                <w:rFonts w:cs="宋体"/>
                <w:szCs w:val="21"/>
                <w:highlight w:val="none"/>
              </w:rPr>
            </w:pPr>
          </w:p>
        </w:tc>
        <w:tc>
          <w:tcPr>
            <w:tcW w:w="567" w:type="dxa"/>
            <w:noWrap/>
            <w:vAlign w:val="center"/>
          </w:tcPr>
          <w:p w14:paraId="1E0973E9">
            <w:pPr>
              <w:spacing w:line="276" w:lineRule="auto"/>
              <w:jc w:val="center"/>
              <w:rPr>
                <w:rFonts w:cs="宋体"/>
                <w:b/>
                <w:bCs/>
                <w:szCs w:val="21"/>
                <w:highlight w:val="none"/>
              </w:rPr>
            </w:pPr>
            <w:r>
              <w:rPr>
                <w:rFonts w:hint="eastAsia" w:cs="宋体"/>
                <w:b/>
                <w:bCs/>
                <w:szCs w:val="21"/>
                <w:highlight w:val="none"/>
              </w:rPr>
              <w:t>3</w:t>
            </w:r>
          </w:p>
        </w:tc>
        <w:tc>
          <w:tcPr>
            <w:tcW w:w="8578" w:type="dxa"/>
            <w:noWrap/>
            <w:vAlign w:val="center"/>
          </w:tcPr>
          <w:p w14:paraId="50120100">
            <w:pPr>
              <w:spacing w:line="276" w:lineRule="auto"/>
              <w:jc w:val="left"/>
              <w:rPr>
                <w:rFonts w:cs="宋体"/>
                <w:bCs/>
                <w:szCs w:val="21"/>
                <w:highlight w:val="none"/>
              </w:rPr>
            </w:pPr>
            <w:r>
              <w:rPr>
                <w:rFonts w:hint="eastAsia" w:cs="宋体"/>
                <w:b/>
                <w:szCs w:val="21"/>
                <w:highlight w:val="none"/>
              </w:rPr>
              <w:t>投标人应符合采购人根据采购项目的特殊要求规定的特定条件：</w:t>
            </w:r>
          </w:p>
        </w:tc>
      </w:tr>
      <w:tr w14:paraId="2CE7C1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1A4D1883">
            <w:pPr>
              <w:spacing w:line="276" w:lineRule="auto"/>
              <w:rPr>
                <w:rFonts w:cs="宋体"/>
                <w:szCs w:val="21"/>
                <w:highlight w:val="none"/>
              </w:rPr>
            </w:pPr>
          </w:p>
        </w:tc>
        <w:tc>
          <w:tcPr>
            <w:tcW w:w="567" w:type="dxa"/>
            <w:noWrap/>
            <w:vAlign w:val="center"/>
          </w:tcPr>
          <w:p w14:paraId="1F9329AA">
            <w:pPr>
              <w:spacing w:line="276" w:lineRule="auto"/>
              <w:jc w:val="center"/>
              <w:rPr>
                <w:rFonts w:cs="宋体"/>
                <w:szCs w:val="21"/>
                <w:highlight w:val="none"/>
              </w:rPr>
            </w:pPr>
            <w:r>
              <w:rPr>
                <w:rFonts w:hint="eastAsia" w:cs="宋体"/>
                <w:szCs w:val="21"/>
                <w:highlight w:val="none"/>
              </w:rPr>
              <w:t>3.1</w:t>
            </w:r>
          </w:p>
        </w:tc>
        <w:tc>
          <w:tcPr>
            <w:tcW w:w="8578" w:type="dxa"/>
            <w:shd w:val="clear" w:color="auto" w:fill="auto"/>
            <w:noWrap/>
            <w:vAlign w:val="center"/>
          </w:tcPr>
          <w:p w14:paraId="6F636631">
            <w:pPr>
              <w:spacing w:line="276" w:lineRule="auto"/>
              <w:jc w:val="left"/>
              <w:rPr>
                <w:rFonts w:cs="宋体"/>
                <w:szCs w:val="21"/>
                <w:highlight w:val="none"/>
              </w:rPr>
            </w:pPr>
            <w:r>
              <w:rPr>
                <w:rFonts w:hint="eastAsia" w:cs="宋体"/>
                <w:szCs w:val="21"/>
                <w:highlight w:val="none"/>
              </w:rPr>
              <w:t>投标人必须具备有效的《印刷经营许可证》。</w:t>
            </w:r>
          </w:p>
        </w:tc>
      </w:tr>
      <w:tr w14:paraId="2E3DDF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3DA83C9B">
            <w:pPr>
              <w:spacing w:line="276" w:lineRule="auto"/>
              <w:rPr>
                <w:rFonts w:cs="宋体"/>
                <w:szCs w:val="21"/>
                <w:highlight w:val="none"/>
              </w:rPr>
            </w:pPr>
          </w:p>
        </w:tc>
        <w:tc>
          <w:tcPr>
            <w:tcW w:w="567" w:type="dxa"/>
            <w:noWrap/>
            <w:vAlign w:val="center"/>
          </w:tcPr>
          <w:p w14:paraId="5EB24B21">
            <w:pPr>
              <w:spacing w:line="276" w:lineRule="auto"/>
              <w:jc w:val="center"/>
              <w:rPr>
                <w:rFonts w:cs="宋体"/>
                <w:szCs w:val="21"/>
                <w:highlight w:val="none"/>
              </w:rPr>
            </w:pPr>
            <w:r>
              <w:rPr>
                <w:rFonts w:hint="eastAsia" w:cs="宋体"/>
                <w:szCs w:val="21"/>
                <w:highlight w:val="none"/>
              </w:rPr>
              <w:t>3.2</w:t>
            </w:r>
          </w:p>
        </w:tc>
        <w:tc>
          <w:tcPr>
            <w:tcW w:w="8578" w:type="dxa"/>
            <w:shd w:val="clear" w:color="auto" w:fill="auto"/>
            <w:noWrap/>
            <w:vAlign w:val="center"/>
          </w:tcPr>
          <w:p w14:paraId="5C0DD9E6">
            <w:pPr>
              <w:spacing w:line="276" w:lineRule="auto"/>
              <w:jc w:val="left"/>
              <w:rPr>
                <w:rFonts w:cs="宋体"/>
                <w:szCs w:val="21"/>
                <w:highlight w:val="none"/>
              </w:rPr>
            </w:pPr>
            <w:r>
              <w:rPr>
                <w:rFonts w:hint="eastAsia" w:cs="宋体"/>
                <w:szCs w:val="21"/>
                <w:highlight w:val="none"/>
              </w:rPr>
              <w:t>单位负责人为同一人或者存在直接控股、管理关系的不同投标人，不得参加同一合同项下的政府采购活动。（提供承诺书，</w:t>
            </w:r>
            <w:r>
              <w:rPr>
                <w:rFonts w:hint="eastAsia" w:cs="宋体"/>
                <w:color w:val="000000" w:themeColor="text1"/>
                <w:highlight w:val="none"/>
                <w14:textFill>
                  <w14:solidFill>
                    <w14:schemeClr w14:val="tx1"/>
                  </w14:solidFill>
                </w14:textFill>
              </w:rPr>
              <w:t>内容自拟</w:t>
            </w:r>
            <w:r>
              <w:rPr>
                <w:rFonts w:hint="eastAsia" w:cs="宋体"/>
                <w:szCs w:val="21"/>
                <w:highlight w:val="none"/>
              </w:rPr>
              <w:t>）</w:t>
            </w:r>
          </w:p>
        </w:tc>
      </w:tr>
      <w:tr w14:paraId="09FAF9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122128E5">
            <w:pPr>
              <w:spacing w:line="276" w:lineRule="auto"/>
              <w:rPr>
                <w:rFonts w:cs="宋体"/>
                <w:szCs w:val="21"/>
                <w:highlight w:val="none"/>
              </w:rPr>
            </w:pPr>
          </w:p>
        </w:tc>
        <w:tc>
          <w:tcPr>
            <w:tcW w:w="567" w:type="dxa"/>
            <w:noWrap/>
            <w:vAlign w:val="center"/>
          </w:tcPr>
          <w:p w14:paraId="5A8CC62E">
            <w:pPr>
              <w:spacing w:line="276" w:lineRule="auto"/>
              <w:jc w:val="center"/>
              <w:rPr>
                <w:rFonts w:cs="宋体"/>
                <w:szCs w:val="21"/>
                <w:highlight w:val="none"/>
              </w:rPr>
            </w:pPr>
            <w:r>
              <w:rPr>
                <w:rFonts w:hint="eastAsia" w:cs="宋体"/>
                <w:szCs w:val="21"/>
                <w:highlight w:val="none"/>
              </w:rPr>
              <w:t>3.3</w:t>
            </w:r>
          </w:p>
        </w:tc>
        <w:tc>
          <w:tcPr>
            <w:tcW w:w="8578" w:type="dxa"/>
            <w:shd w:val="clear" w:color="auto" w:fill="auto"/>
            <w:noWrap/>
            <w:vAlign w:val="center"/>
          </w:tcPr>
          <w:p w14:paraId="50404D32">
            <w:pPr>
              <w:spacing w:line="276" w:lineRule="auto"/>
              <w:rPr>
                <w:rFonts w:cs="宋体"/>
                <w:szCs w:val="21"/>
                <w:highlight w:val="none"/>
              </w:rPr>
            </w:pPr>
            <w:r>
              <w:rPr>
                <w:rFonts w:hint="eastAsia" w:cs="宋体"/>
                <w:szCs w:val="21"/>
                <w:highlight w:val="none"/>
              </w:rPr>
              <w:t>投标人未被列入“信用中国”网站（www.creditchina.gov.cn）失信被执行人、重大税收违法失信主体、政府采购严重违法失信行为记录名单，及未被列入中国政府采购网（www.ccgp.gov.cn）“政府采购严重违法失信行为信息记录”（以开标当天工作人员对上述信用信息进行查询核对的结果为准）。</w:t>
            </w:r>
          </w:p>
        </w:tc>
      </w:tr>
      <w:tr w14:paraId="37629D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72E3D479">
            <w:pPr>
              <w:spacing w:line="276" w:lineRule="auto"/>
              <w:rPr>
                <w:rFonts w:cs="宋体"/>
                <w:szCs w:val="21"/>
                <w:highlight w:val="none"/>
              </w:rPr>
            </w:pPr>
          </w:p>
        </w:tc>
        <w:tc>
          <w:tcPr>
            <w:tcW w:w="567" w:type="dxa"/>
            <w:noWrap/>
            <w:vAlign w:val="center"/>
          </w:tcPr>
          <w:p w14:paraId="4DF8CAAD">
            <w:pPr>
              <w:spacing w:line="276" w:lineRule="auto"/>
              <w:jc w:val="center"/>
              <w:rPr>
                <w:rFonts w:cs="宋体"/>
                <w:szCs w:val="21"/>
                <w:highlight w:val="none"/>
              </w:rPr>
            </w:pPr>
            <w:r>
              <w:rPr>
                <w:rFonts w:hint="eastAsia" w:cs="宋体"/>
                <w:szCs w:val="21"/>
                <w:highlight w:val="none"/>
              </w:rPr>
              <w:t>3.4</w:t>
            </w:r>
          </w:p>
        </w:tc>
        <w:tc>
          <w:tcPr>
            <w:tcW w:w="8578" w:type="dxa"/>
            <w:shd w:val="clear" w:color="auto" w:fill="auto"/>
            <w:noWrap/>
            <w:vAlign w:val="center"/>
          </w:tcPr>
          <w:p w14:paraId="44907D95">
            <w:pPr>
              <w:spacing w:line="276" w:lineRule="auto"/>
              <w:rPr>
                <w:rFonts w:cs="宋体"/>
                <w:sz w:val="24"/>
                <w:highlight w:val="none"/>
              </w:rPr>
            </w:pPr>
            <w:r>
              <w:rPr>
                <w:rFonts w:hint="eastAsia" w:cs="宋体"/>
                <w:szCs w:val="21"/>
                <w:highlight w:val="none"/>
              </w:rPr>
              <w:t>本项目不接受联合体投标。（提供承诺书，</w:t>
            </w:r>
            <w:r>
              <w:rPr>
                <w:rFonts w:hint="eastAsia" w:cs="宋体"/>
                <w:color w:val="000000" w:themeColor="text1"/>
                <w:highlight w:val="none"/>
                <w14:textFill>
                  <w14:solidFill>
                    <w14:schemeClr w14:val="tx1"/>
                  </w14:solidFill>
                </w14:textFill>
              </w:rPr>
              <w:t>内容自拟</w:t>
            </w:r>
            <w:r>
              <w:rPr>
                <w:rFonts w:hint="eastAsia" w:cs="宋体"/>
                <w:szCs w:val="21"/>
                <w:highlight w:val="none"/>
              </w:rPr>
              <w:t>）</w:t>
            </w:r>
          </w:p>
        </w:tc>
      </w:tr>
    </w:tbl>
    <w:p w14:paraId="1BF4B6FB">
      <w:pPr>
        <w:widowControl/>
        <w:jc w:val="left"/>
        <w:rPr>
          <w:rFonts w:cs="宋体"/>
          <w:kern w:val="44"/>
          <w:sz w:val="36"/>
          <w:szCs w:val="20"/>
          <w:highlight w:val="none"/>
        </w:rPr>
      </w:pPr>
      <w:r>
        <w:rPr>
          <w:rFonts w:hint="eastAsia" w:cs="宋体"/>
          <w:b/>
          <w:sz w:val="36"/>
          <w:highlight w:val="none"/>
        </w:rPr>
        <w:br w:type="page"/>
      </w:r>
    </w:p>
    <w:p w14:paraId="5A566491">
      <w:pPr>
        <w:pStyle w:val="3"/>
        <w:numPr>
          <w:ilvl w:val="0"/>
          <w:numId w:val="0"/>
        </w:numPr>
        <w:spacing w:line="240" w:lineRule="auto"/>
        <w:jc w:val="center"/>
        <w:rPr>
          <w:rFonts w:eastAsia="宋体" w:cs="宋体"/>
          <w:bCs/>
          <w:sz w:val="36"/>
          <w:highlight w:val="none"/>
        </w:rPr>
      </w:pPr>
      <w:bookmarkStart w:id="521" w:name="_Toc7070"/>
      <w:bookmarkStart w:id="522" w:name="_Toc2667"/>
      <w:bookmarkStart w:id="523" w:name="_Toc26130"/>
      <w:bookmarkStart w:id="524" w:name="_Toc16693"/>
      <w:r>
        <w:rPr>
          <w:rFonts w:hint="eastAsia" w:eastAsia="宋体" w:cs="宋体"/>
          <w:bCs/>
          <w:sz w:val="36"/>
          <w:highlight w:val="none"/>
        </w:rPr>
        <w:t>第七章  评标办法</w:t>
      </w:r>
      <w:bookmarkEnd w:id="456"/>
      <w:bookmarkEnd w:id="457"/>
      <w:bookmarkEnd w:id="521"/>
      <w:bookmarkEnd w:id="522"/>
      <w:bookmarkEnd w:id="523"/>
      <w:bookmarkEnd w:id="524"/>
    </w:p>
    <w:p w14:paraId="36F47AEE">
      <w:pPr>
        <w:jc w:val="center"/>
        <w:outlineLvl w:val="1"/>
        <w:rPr>
          <w:rFonts w:cs="宋体"/>
          <w:b/>
          <w:bCs/>
          <w:sz w:val="28"/>
          <w:szCs w:val="28"/>
          <w:highlight w:val="none"/>
        </w:rPr>
      </w:pPr>
      <w:bookmarkStart w:id="525" w:name="_Toc326218110"/>
      <w:bookmarkStart w:id="526" w:name="_Toc18400"/>
      <w:bookmarkStart w:id="527" w:name="_Toc6843"/>
      <w:bookmarkStart w:id="528" w:name="_Toc125986524"/>
      <w:bookmarkStart w:id="529" w:name="_Toc514663419"/>
      <w:bookmarkStart w:id="530" w:name="_Toc139357100"/>
      <w:bookmarkStart w:id="531" w:name="_Toc24720"/>
      <w:bookmarkStart w:id="532" w:name="_Toc5049"/>
      <w:bookmarkStart w:id="533" w:name="_Hlk17287793"/>
      <w:r>
        <w:rPr>
          <w:rFonts w:hint="eastAsia" w:cs="宋体"/>
          <w:b/>
          <w:bCs/>
          <w:sz w:val="28"/>
          <w:szCs w:val="28"/>
          <w:highlight w:val="none"/>
        </w:rPr>
        <w:t>评标办法前附表</w:t>
      </w:r>
      <w:bookmarkEnd w:id="525"/>
      <w:bookmarkEnd w:id="526"/>
      <w:bookmarkEnd w:id="527"/>
      <w:bookmarkEnd w:id="528"/>
      <w:bookmarkEnd w:id="529"/>
      <w:bookmarkEnd w:id="530"/>
      <w:bookmarkEnd w:id="531"/>
      <w:bookmarkEnd w:id="532"/>
    </w:p>
    <w:tbl>
      <w:tblPr>
        <w:tblStyle w:val="88"/>
        <w:tblW w:w="10039"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autofit"/>
        <w:tblCellMar>
          <w:top w:w="0" w:type="dxa"/>
          <w:left w:w="108" w:type="dxa"/>
          <w:bottom w:w="0" w:type="dxa"/>
          <w:right w:w="108" w:type="dxa"/>
        </w:tblCellMar>
      </w:tblPr>
      <w:tblGrid>
        <w:gridCol w:w="538"/>
        <w:gridCol w:w="1143"/>
        <w:gridCol w:w="1570"/>
        <w:gridCol w:w="6788"/>
      </w:tblGrid>
      <w:tr w14:paraId="7ADF61D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67" w:hRule="atLeast"/>
          <w:jc w:val="center"/>
        </w:trPr>
        <w:tc>
          <w:tcPr>
            <w:tcW w:w="1681" w:type="dxa"/>
            <w:gridSpan w:val="2"/>
            <w:noWrap/>
            <w:vAlign w:val="center"/>
          </w:tcPr>
          <w:p w14:paraId="6E4120FB">
            <w:pPr>
              <w:jc w:val="center"/>
              <w:rPr>
                <w:rFonts w:cs="宋体"/>
                <w:b/>
                <w:szCs w:val="21"/>
                <w:highlight w:val="none"/>
              </w:rPr>
            </w:pPr>
            <w:r>
              <w:rPr>
                <w:rFonts w:hint="eastAsia" w:cs="宋体"/>
                <w:b/>
                <w:szCs w:val="21"/>
                <w:highlight w:val="none"/>
              </w:rPr>
              <w:t>条款号</w:t>
            </w:r>
          </w:p>
        </w:tc>
        <w:tc>
          <w:tcPr>
            <w:tcW w:w="8358" w:type="dxa"/>
            <w:gridSpan w:val="2"/>
            <w:noWrap/>
            <w:vAlign w:val="center"/>
          </w:tcPr>
          <w:p w14:paraId="2327E16B">
            <w:pPr>
              <w:jc w:val="center"/>
              <w:rPr>
                <w:rFonts w:cs="宋体"/>
                <w:b/>
                <w:szCs w:val="21"/>
                <w:highlight w:val="none"/>
              </w:rPr>
            </w:pPr>
            <w:r>
              <w:rPr>
                <w:rFonts w:hint="eastAsia" w:cs="宋体"/>
                <w:b/>
                <w:szCs w:val="21"/>
                <w:highlight w:val="none"/>
              </w:rPr>
              <w:t>评 审 内 容 及 标 准</w:t>
            </w:r>
          </w:p>
        </w:tc>
      </w:tr>
      <w:tr w14:paraId="26B4286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813" w:hRule="atLeast"/>
          <w:jc w:val="center"/>
        </w:trPr>
        <w:tc>
          <w:tcPr>
            <w:tcW w:w="538" w:type="dxa"/>
            <w:vMerge w:val="restart"/>
            <w:tcBorders>
              <w:right w:val="single" w:color="auto" w:sz="4" w:space="0"/>
            </w:tcBorders>
            <w:noWrap/>
            <w:vAlign w:val="center"/>
          </w:tcPr>
          <w:p w14:paraId="380BE7CE">
            <w:pPr>
              <w:jc w:val="center"/>
              <w:rPr>
                <w:rFonts w:cs="宋体"/>
                <w:b/>
                <w:bCs/>
                <w:szCs w:val="21"/>
                <w:highlight w:val="none"/>
              </w:rPr>
            </w:pPr>
            <w:r>
              <w:rPr>
                <w:rFonts w:hint="eastAsia" w:cs="宋体"/>
                <w:b/>
                <w:bCs/>
                <w:szCs w:val="21"/>
                <w:highlight w:val="none"/>
              </w:rPr>
              <w:t>3.1</w:t>
            </w:r>
          </w:p>
        </w:tc>
        <w:tc>
          <w:tcPr>
            <w:tcW w:w="1143" w:type="dxa"/>
            <w:vMerge w:val="restart"/>
            <w:tcBorders>
              <w:left w:val="single" w:color="auto" w:sz="4" w:space="0"/>
            </w:tcBorders>
            <w:noWrap/>
            <w:vAlign w:val="center"/>
          </w:tcPr>
          <w:p w14:paraId="57C0CD34">
            <w:pPr>
              <w:jc w:val="center"/>
              <w:rPr>
                <w:rFonts w:cs="宋体"/>
                <w:b/>
                <w:bCs/>
                <w:szCs w:val="21"/>
                <w:highlight w:val="none"/>
              </w:rPr>
            </w:pPr>
            <w:r>
              <w:rPr>
                <w:rFonts w:hint="eastAsia" w:cs="宋体"/>
                <w:b/>
                <w:bCs/>
                <w:szCs w:val="21"/>
                <w:highlight w:val="none"/>
              </w:rPr>
              <w:t>符合性评审标准</w:t>
            </w:r>
          </w:p>
        </w:tc>
        <w:tc>
          <w:tcPr>
            <w:tcW w:w="1570" w:type="dxa"/>
            <w:noWrap/>
            <w:vAlign w:val="center"/>
          </w:tcPr>
          <w:p w14:paraId="74631707">
            <w:pPr>
              <w:spacing w:before="100" w:beforeAutospacing="1" w:after="100" w:afterAutospacing="1"/>
              <w:jc w:val="center"/>
              <w:rPr>
                <w:rFonts w:cs="宋体"/>
                <w:szCs w:val="21"/>
                <w:highlight w:val="none"/>
              </w:rPr>
            </w:pPr>
            <w:r>
              <w:rPr>
                <w:rFonts w:hint="eastAsia" w:cs="宋体"/>
                <w:szCs w:val="21"/>
                <w:highlight w:val="none"/>
              </w:rPr>
              <w:t>签署、盖章</w:t>
            </w:r>
          </w:p>
        </w:tc>
        <w:tc>
          <w:tcPr>
            <w:tcW w:w="6788" w:type="dxa"/>
            <w:noWrap/>
            <w:vAlign w:val="center"/>
          </w:tcPr>
          <w:p w14:paraId="0075C250">
            <w:pPr>
              <w:spacing w:before="100" w:beforeAutospacing="1" w:after="100" w:afterAutospacing="1"/>
              <w:jc w:val="left"/>
              <w:rPr>
                <w:rFonts w:cs="宋体"/>
                <w:szCs w:val="21"/>
                <w:highlight w:val="none"/>
              </w:rPr>
            </w:pPr>
            <w:r>
              <w:rPr>
                <w:rFonts w:hint="eastAsia" w:cs="宋体"/>
                <w:szCs w:val="21"/>
                <w:highlight w:val="none"/>
              </w:rPr>
              <w:t>投标文件按招标文件要求签署、盖章的；</w:t>
            </w:r>
          </w:p>
        </w:tc>
      </w:tr>
      <w:tr w14:paraId="39216A8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49" w:hRule="atLeast"/>
          <w:jc w:val="center"/>
        </w:trPr>
        <w:tc>
          <w:tcPr>
            <w:tcW w:w="538" w:type="dxa"/>
            <w:vMerge w:val="continue"/>
            <w:tcBorders>
              <w:right w:val="single" w:color="auto" w:sz="4" w:space="0"/>
            </w:tcBorders>
            <w:noWrap/>
            <w:vAlign w:val="center"/>
          </w:tcPr>
          <w:p w14:paraId="5104341C">
            <w:pPr>
              <w:rPr>
                <w:rFonts w:cs="宋体"/>
                <w:szCs w:val="21"/>
                <w:highlight w:val="none"/>
              </w:rPr>
            </w:pPr>
          </w:p>
        </w:tc>
        <w:tc>
          <w:tcPr>
            <w:tcW w:w="1143" w:type="dxa"/>
            <w:vMerge w:val="continue"/>
            <w:tcBorders>
              <w:left w:val="single" w:color="auto" w:sz="4" w:space="0"/>
            </w:tcBorders>
            <w:noWrap/>
            <w:vAlign w:val="center"/>
          </w:tcPr>
          <w:p w14:paraId="3D0ED21A">
            <w:pPr>
              <w:rPr>
                <w:rFonts w:cs="宋体"/>
                <w:szCs w:val="21"/>
                <w:highlight w:val="none"/>
              </w:rPr>
            </w:pPr>
          </w:p>
        </w:tc>
        <w:tc>
          <w:tcPr>
            <w:tcW w:w="1570" w:type="dxa"/>
            <w:noWrap/>
            <w:vAlign w:val="center"/>
          </w:tcPr>
          <w:p w14:paraId="15E69DAB">
            <w:pPr>
              <w:jc w:val="center"/>
              <w:rPr>
                <w:rFonts w:cs="宋体"/>
                <w:szCs w:val="21"/>
                <w:highlight w:val="none"/>
              </w:rPr>
            </w:pPr>
            <w:r>
              <w:rPr>
                <w:rFonts w:hint="eastAsia" w:cs="宋体"/>
                <w:szCs w:val="21"/>
                <w:highlight w:val="none"/>
              </w:rPr>
              <w:t>投标报价</w:t>
            </w:r>
          </w:p>
        </w:tc>
        <w:tc>
          <w:tcPr>
            <w:tcW w:w="6788" w:type="dxa"/>
            <w:noWrap/>
            <w:vAlign w:val="center"/>
          </w:tcPr>
          <w:p w14:paraId="49B23CC5">
            <w:pPr>
              <w:spacing w:before="100" w:beforeAutospacing="1" w:after="100" w:afterAutospacing="1"/>
              <w:jc w:val="left"/>
              <w:rPr>
                <w:rFonts w:cs="宋体"/>
                <w:szCs w:val="21"/>
                <w:highlight w:val="none"/>
              </w:rPr>
            </w:pPr>
            <w:r>
              <w:rPr>
                <w:rFonts w:hint="eastAsia" w:cs="宋体"/>
                <w:szCs w:val="21"/>
                <w:highlight w:val="none"/>
              </w:rPr>
              <w:t>投标报价不得超过招标文件中规定的预算金额或者最高限价；</w:t>
            </w:r>
          </w:p>
        </w:tc>
      </w:tr>
      <w:tr w14:paraId="55C726F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49" w:hRule="atLeast"/>
          <w:jc w:val="center"/>
        </w:trPr>
        <w:tc>
          <w:tcPr>
            <w:tcW w:w="538" w:type="dxa"/>
            <w:vMerge w:val="continue"/>
            <w:tcBorders>
              <w:right w:val="single" w:color="auto" w:sz="4" w:space="0"/>
            </w:tcBorders>
            <w:noWrap/>
            <w:vAlign w:val="center"/>
          </w:tcPr>
          <w:p w14:paraId="30A78AE0">
            <w:pPr>
              <w:rPr>
                <w:rFonts w:cs="宋体"/>
                <w:szCs w:val="21"/>
                <w:highlight w:val="none"/>
              </w:rPr>
            </w:pPr>
          </w:p>
        </w:tc>
        <w:tc>
          <w:tcPr>
            <w:tcW w:w="1143" w:type="dxa"/>
            <w:vMerge w:val="continue"/>
            <w:tcBorders>
              <w:left w:val="single" w:color="auto" w:sz="4" w:space="0"/>
            </w:tcBorders>
            <w:noWrap/>
            <w:vAlign w:val="center"/>
          </w:tcPr>
          <w:p w14:paraId="43F58D03">
            <w:pPr>
              <w:rPr>
                <w:rFonts w:cs="宋体"/>
                <w:szCs w:val="21"/>
                <w:highlight w:val="none"/>
              </w:rPr>
            </w:pPr>
          </w:p>
        </w:tc>
        <w:tc>
          <w:tcPr>
            <w:tcW w:w="1570" w:type="dxa"/>
            <w:noWrap/>
            <w:vAlign w:val="center"/>
          </w:tcPr>
          <w:p w14:paraId="7348BA55">
            <w:pPr>
              <w:spacing w:before="100" w:beforeAutospacing="1" w:after="100" w:afterAutospacing="1"/>
              <w:jc w:val="center"/>
              <w:rPr>
                <w:rFonts w:cs="宋体"/>
                <w:szCs w:val="21"/>
                <w:highlight w:val="none"/>
              </w:rPr>
            </w:pPr>
            <w:r>
              <w:rPr>
                <w:rFonts w:hint="eastAsia" w:cs="宋体"/>
                <w:szCs w:val="21"/>
                <w:highlight w:val="none"/>
              </w:rPr>
              <w:t>实质性条件</w:t>
            </w:r>
          </w:p>
        </w:tc>
        <w:tc>
          <w:tcPr>
            <w:tcW w:w="6788" w:type="dxa"/>
            <w:noWrap/>
            <w:vAlign w:val="center"/>
          </w:tcPr>
          <w:p w14:paraId="1B66CF92">
            <w:pPr>
              <w:spacing w:before="100" w:beforeAutospacing="1" w:after="100" w:afterAutospacing="1"/>
              <w:jc w:val="left"/>
              <w:rPr>
                <w:rFonts w:cs="宋体"/>
                <w:szCs w:val="21"/>
                <w:highlight w:val="none"/>
              </w:rPr>
            </w:pPr>
            <w:r>
              <w:rPr>
                <w:rFonts w:hint="eastAsia" w:cs="宋体"/>
                <w:szCs w:val="21"/>
                <w:highlight w:val="none"/>
              </w:rPr>
              <w:t>投标文件需实质性响应招标文件中标注★号的条款内容；</w:t>
            </w:r>
          </w:p>
        </w:tc>
      </w:tr>
      <w:tr w14:paraId="00DD354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01" w:hRule="atLeast"/>
          <w:jc w:val="center"/>
        </w:trPr>
        <w:tc>
          <w:tcPr>
            <w:tcW w:w="538" w:type="dxa"/>
            <w:vMerge w:val="continue"/>
            <w:tcBorders>
              <w:right w:val="single" w:color="auto" w:sz="4" w:space="0"/>
            </w:tcBorders>
            <w:noWrap/>
            <w:vAlign w:val="center"/>
          </w:tcPr>
          <w:p w14:paraId="63203FE7">
            <w:pPr>
              <w:rPr>
                <w:rFonts w:cs="宋体"/>
                <w:szCs w:val="21"/>
                <w:highlight w:val="none"/>
              </w:rPr>
            </w:pPr>
          </w:p>
        </w:tc>
        <w:tc>
          <w:tcPr>
            <w:tcW w:w="1143" w:type="dxa"/>
            <w:vMerge w:val="continue"/>
            <w:tcBorders>
              <w:left w:val="single" w:color="auto" w:sz="4" w:space="0"/>
            </w:tcBorders>
            <w:noWrap/>
            <w:vAlign w:val="center"/>
          </w:tcPr>
          <w:p w14:paraId="7B802322">
            <w:pPr>
              <w:rPr>
                <w:rFonts w:cs="宋体"/>
                <w:szCs w:val="21"/>
                <w:highlight w:val="none"/>
              </w:rPr>
            </w:pPr>
          </w:p>
        </w:tc>
        <w:tc>
          <w:tcPr>
            <w:tcW w:w="1570" w:type="dxa"/>
            <w:noWrap/>
            <w:vAlign w:val="center"/>
          </w:tcPr>
          <w:p w14:paraId="4A7B4993">
            <w:pPr>
              <w:jc w:val="center"/>
              <w:rPr>
                <w:rFonts w:cs="宋体"/>
                <w:szCs w:val="21"/>
                <w:highlight w:val="none"/>
              </w:rPr>
            </w:pPr>
            <w:r>
              <w:rPr>
                <w:rFonts w:hint="eastAsia" w:cs="宋体"/>
                <w:szCs w:val="21"/>
                <w:highlight w:val="none"/>
              </w:rPr>
              <w:t>其他要求</w:t>
            </w:r>
          </w:p>
        </w:tc>
        <w:tc>
          <w:tcPr>
            <w:tcW w:w="6788" w:type="dxa"/>
            <w:noWrap/>
            <w:vAlign w:val="center"/>
          </w:tcPr>
          <w:p w14:paraId="74384141">
            <w:pPr>
              <w:spacing w:before="100" w:beforeAutospacing="1" w:after="100" w:afterAutospacing="1"/>
              <w:jc w:val="left"/>
              <w:rPr>
                <w:rFonts w:cs="宋体"/>
                <w:szCs w:val="21"/>
                <w:highlight w:val="none"/>
              </w:rPr>
            </w:pPr>
            <w:r>
              <w:rPr>
                <w:rFonts w:hint="eastAsia" w:cs="宋体"/>
                <w:szCs w:val="21"/>
                <w:highlight w:val="none"/>
              </w:rPr>
              <w:t>投标文件不得含有采购人不能接受的附加条件；投标文件不得存在法律、法规和招标文件规定的其他无效情形。</w:t>
            </w:r>
          </w:p>
        </w:tc>
      </w:tr>
    </w:tbl>
    <w:p w14:paraId="0D73CD36">
      <w:pPr>
        <w:rPr>
          <w:rFonts w:cs="宋体"/>
          <w:highlight w:val="none"/>
        </w:rPr>
      </w:pPr>
    </w:p>
    <w:p w14:paraId="7506A394">
      <w:pPr>
        <w:widowControl/>
        <w:spacing w:line="240" w:lineRule="auto"/>
        <w:jc w:val="left"/>
        <w:rPr>
          <w:rFonts w:cs="宋体"/>
          <w:highlight w:val="none"/>
        </w:rPr>
      </w:pPr>
      <w:r>
        <w:rPr>
          <w:rFonts w:hint="eastAsia" w:cs="宋体"/>
          <w:highlight w:val="none"/>
        </w:rPr>
        <w:br w:type="page"/>
      </w:r>
    </w:p>
    <w:tbl>
      <w:tblPr>
        <w:tblStyle w:val="88"/>
        <w:tblW w:w="996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1559"/>
        <w:gridCol w:w="6877"/>
      </w:tblGrid>
      <w:tr w14:paraId="791C86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62" w:type="dxa"/>
            <w:gridSpan w:val="4"/>
            <w:shd w:val="clear" w:color="auto" w:fill="auto"/>
            <w:noWrap/>
            <w:vAlign w:val="center"/>
          </w:tcPr>
          <w:p w14:paraId="00890B94">
            <w:pPr>
              <w:jc w:val="center"/>
              <w:rPr>
                <w:rFonts w:cs="宋体"/>
                <w:b/>
                <w:szCs w:val="21"/>
                <w:highlight w:val="none"/>
              </w:rPr>
            </w:pPr>
            <w:r>
              <w:rPr>
                <w:rFonts w:hint="eastAsia" w:cs="宋体"/>
                <w:b/>
                <w:szCs w:val="21"/>
                <w:highlight w:val="none"/>
              </w:rPr>
              <w:t>评审标准</w:t>
            </w:r>
          </w:p>
        </w:tc>
      </w:tr>
      <w:tr w14:paraId="072170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526" w:type="dxa"/>
            <w:gridSpan w:val="2"/>
            <w:shd w:val="clear" w:color="auto" w:fill="auto"/>
            <w:noWrap/>
            <w:vAlign w:val="center"/>
          </w:tcPr>
          <w:p w14:paraId="70683A09">
            <w:pPr>
              <w:jc w:val="center"/>
              <w:rPr>
                <w:rFonts w:cs="宋体"/>
                <w:szCs w:val="21"/>
                <w:highlight w:val="none"/>
              </w:rPr>
            </w:pPr>
            <w:r>
              <w:rPr>
                <w:rFonts w:hint="eastAsia" w:cs="宋体"/>
                <w:b/>
                <w:szCs w:val="21"/>
                <w:highlight w:val="none"/>
              </w:rPr>
              <w:t>条款号</w:t>
            </w:r>
          </w:p>
        </w:tc>
        <w:tc>
          <w:tcPr>
            <w:tcW w:w="1559" w:type="dxa"/>
            <w:shd w:val="clear" w:color="auto" w:fill="auto"/>
            <w:noWrap/>
            <w:vAlign w:val="center"/>
          </w:tcPr>
          <w:p w14:paraId="1366A4D5">
            <w:pPr>
              <w:jc w:val="center"/>
              <w:rPr>
                <w:rFonts w:cs="宋体"/>
                <w:b/>
                <w:szCs w:val="21"/>
                <w:highlight w:val="none"/>
              </w:rPr>
            </w:pPr>
            <w:r>
              <w:rPr>
                <w:rFonts w:hint="eastAsia" w:cs="宋体"/>
                <w:b/>
                <w:szCs w:val="21"/>
                <w:highlight w:val="none"/>
              </w:rPr>
              <w:t>条款内容</w:t>
            </w:r>
          </w:p>
        </w:tc>
        <w:tc>
          <w:tcPr>
            <w:tcW w:w="6877" w:type="dxa"/>
            <w:shd w:val="clear" w:color="auto" w:fill="auto"/>
            <w:noWrap/>
            <w:vAlign w:val="center"/>
          </w:tcPr>
          <w:p w14:paraId="53BA0957">
            <w:pPr>
              <w:jc w:val="center"/>
              <w:rPr>
                <w:rFonts w:cs="宋体"/>
                <w:b/>
                <w:szCs w:val="21"/>
                <w:highlight w:val="none"/>
              </w:rPr>
            </w:pPr>
            <w:r>
              <w:rPr>
                <w:rFonts w:hint="eastAsia" w:cs="宋体"/>
                <w:b/>
                <w:szCs w:val="21"/>
                <w:highlight w:val="none"/>
              </w:rPr>
              <w:t>编列内容</w:t>
            </w:r>
          </w:p>
        </w:tc>
      </w:tr>
      <w:tr w14:paraId="173EF9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26" w:type="dxa"/>
            <w:gridSpan w:val="2"/>
            <w:vMerge w:val="restart"/>
            <w:shd w:val="clear" w:color="auto" w:fill="auto"/>
            <w:noWrap/>
            <w:vAlign w:val="center"/>
          </w:tcPr>
          <w:p w14:paraId="11ECE345">
            <w:pPr>
              <w:jc w:val="center"/>
              <w:rPr>
                <w:rFonts w:cs="宋体"/>
                <w:b/>
                <w:szCs w:val="21"/>
                <w:highlight w:val="none"/>
              </w:rPr>
            </w:pPr>
            <w:r>
              <w:rPr>
                <w:rFonts w:hint="eastAsia" w:cs="宋体"/>
                <w:b/>
                <w:bCs/>
                <w:szCs w:val="21"/>
                <w:highlight w:val="none"/>
              </w:rPr>
              <w:t>3.2.1</w:t>
            </w:r>
          </w:p>
        </w:tc>
        <w:tc>
          <w:tcPr>
            <w:tcW w:w="1559" w:type="dxa"/>
            <w:vMerge w:val="restart"/>
            <w:shd w:val="clear" w:color="auto" w:fill="auto"/>
            <w:noWrap/>
            <w:vAlign w:val="center"/>
          </w:tcPr>
          <w:p w14:paraId="69BE2224">
            <w:pPr>
              <w:jc w:val="center"/>
              <w:rPr>
                <w:rFonts w:cs="宋体"/>
                <w:b/>
                <w:bCs/>
                <w:szCs w:val="21"/>
                <w:highlight w:val="none"/>
              </w:rPr>
            </w:pPr>
            <w:r>
              <w:rPr>
                <w:rFonts w:hint="eastAsia" w:cs="宋体"/>
                <w:b/>
                <w:bCs/>
                <w:szCs w:val="21"/>
                <w:highlight w:val="none"/>
              </w:rPr>
              <w:t>分值构成</w:t>
            </w:r>
          </w:p>
          <w:p w14:paraId="62320065">
            <w:pPr>
              <w:jc w:val="center"/>
              <w:rPr>
                <w:rFonts w:cs="宋体"/>
                <w:b/>
                <w:szCs w:val="21"/>
                <w:highlight w:val="none"/>
              </w:rPr>
            </w:pPr>
            <w:r>
              <w:rPr>
                <w:rFonts w:hint="eastAsia" w:cs="宋体"/>
                <w:b/>
                <w:bCs/>
                <w:szCs w:val="21"/>
                <w:highlight w:val="none"/>
              </w:rPr>
              <w:t>（满分100分）</w:t>
            </w:r>
          </w:p>
        </w:tc>
        <w:tc>
          <w:tcPr>
            <w:tcW w:w="6877" w:type="dxa"/>
            <w:shd w:val="clear" w:color="auto" w:fill="auto"/>
            <w:noWrap/>
            <w:vAlign w:val="center"/>
          </w:tcPr>
          <w:p w14:paraId="2BED5011">
            <w:pPr>
              <w:rPr>
                <w:rFonts w:cs="宋体"/>
                <w:szCs w:val="21"/>
                <w:highlight w:val="none"/>
              </w:rPr>
            </w:pPr>
            <w:r>
              <w:rPr>
                <w:rFonts w:hint="eastAsia" w:cs="宋体"/>
                <w:szCs w:val="21"/>
                <w:highlight w:val="none"/>
              </w:rPr>
              <w:t>投标人的评标总得分＝F1＋F2＋F3</w:t>
            </w:r>
          </w:p>
          <w:p w14:paraId="2781057F">
            <w:pPr>
              <w:rPr>
                <w:rFonts w:cs="宋体"/>
                <w:szCs w:val="21"/>
                <w:highlight w:val="none"/>
              </w:rPr>
            </w:pPr>
            <w:r>
              <w:rPr>
                <w:rFonts w:hint="eastAsia" w:cs="宋体"/>
                <w:szCs w:val="21"/>
                <w:highlight w:val="none"/>
              </w:rPr>
              <w:t>其中：F1、F2、F3分别为投标报价、技术部分、商务部分3项评分因素的汇总得分。</w:t>
            </w:r>
          </w:p>
        </w:tc>
      </w:tr>
      <w:tr w14:paraId="7DFF0D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26" w:type="dxa"/>
            <w:gridSpan w:val="2"/>
            <w:vMerge w:val="continue"/>
            <w:noWrap/>
            <w:vAlign w:val="center"/>
          </w:tcPr>
          <w:p w14:paraId="136845CA">
            <w:pPr>
              <w:jc w:val="center"/>
              <w:rPr>
                <w:rFonts w:cs="宋体"/>
                <w:b/>
                <w:szCs w:val="21"/>
                <w:highlight w:val="none"/>
              </w:rPr>
            </w:pPr>
          </w:p>
        </w:tc>
        <w:tc>
          <w:tcPr>
            <w:tcW w:w="1559" w:type="dxa"/>
            <w:vMerge w:val="continue"/>
            <w:noWrap/>
            <w:vAlign w:val="center"/>
          </w:tcPr>
          <w:p w14:paraId="0555633B">
            <w:pPr>
              <w:jc w:val="center"/>
              <w:rPr>
                <w:rFonts w:cs="宋体"/>
                <w:b/>
                <w:szCs w:val="21"/>
                <w:highlight w:val="none"/>
              </w:rPr>
            </w:pPr>
          </w:p>
        </w:tc>
        <w:tc>
          <w:tcPr>
            <w:tcW w:w="6877" w:type="dxa"/>
            <w:shd w:val="clear" w:color="auto" w:fill="auto"/>
            <w:noWrap/>
            <w:vAlign w:val="center"/>
          </w:tcPr>
          <w:p w14:paraId="10944AF3">
            <w:pPr>
              <w:rPr>
                <w:rFonts w:cs="宋体"/>
                <w:szCs w:val="21"/>
                <w:highlight w:val="none"/>
              </w:rPr>
            </w:pPr>
            <w:r>
              <w:rPr>
                <w:rFonts w:hint="eastAsia" w:cs="宋体"/>
                <w:szCs w:val="21"/>
                <w:highlight w:val="none"/>
              </w:rPr>
              <w:t>投标报价F1：</w:t>
            </w:r>
            <w:r>
              <w:rPr>
                <w:rFonts w:hint="eastAsia" w:cs="宋体"/>
                <w:szCs w:val="21"/>
                <w:highlight w:val="none"/>
                <w:lang w:val="en-US" w:eastAsia="zh-CN"/>
              </w:rPr>
              <w:t>1</w:t>
            </w:r>
            <w:r>
              <w:rPr>
                <w:rFonts w:cs="宋体"/>
                <w:szCs w:val="21"/>
                <w:highlight w:val="none"/>
              </w:rPr>
              <w:t>0</w:t>
            </w:r>
            <w:r>
              <w:rPr>
                <w:rFonts w:hint="eastAsia" w:cs="宋体"/>
                <w:szCs w:val="21"/>
                <w:highlight w:val="none"/>
              </w:rPr>
              <w:t>分。</w:t>
            </w:r>
          </w:p>
          <w:p w14:paraId="64BB4763">
            <w:pPr>
              <w:rPr>
                <w:rFonts w:cs="宋体"/>
                <w:szCs w:val="21"/>
                <w:highlight w:val="none"/>
              </w:rPr>
            </w:pPr>
            <w:r>
              <w:rPr>
                <w:rFonts w:hint="eastAsia" w:cs="宋体"/>
                <w:szCs w:val="21"/>
                <w:highlight w:val="none"/>
              </w:rPr>
              <w:t>技术部分F2：</w:t>
            </w:r>
            <w:r>
              <w:rPr>
                <w:rFonts w:hint="eastAsia" w:cs="宋体"/>
                <w:szCs w:val="21"/>
                <w:highlight w:val="none"/>
                <w:lang w:val="en-US" w:eastAsia="zh-CN"/>
              </w:rPr>
              <w:t>63</w:t>
            </w:r>
            <w:r>
              <w:rPr>
                <w:rFonts w:hint="eastAsia" w:cs="宋体"/>
                <w:szCs w:val="21"/>
                <w:highlight w:val="none"/>
              </w:rPr>
              <w:t>分。</w:t>
            </w:r>
          </w:p>
          <w:p w14:paraId="6787FA69">
            <w:pPr>
              <w:rPr>
                <w:rFonts w:cs="宋体"/>
                <w:szCs w:val="21"/>
                <w:highlight w:val="none"/>
              </w:rPr>
            </w:pPr>
            <w:r>
              <w:rPr>
                <w:rFonts w:hint="eastAsia" w:cs="宋体"/>
                <w:szCs w:val="21"/>
                <w:highlight w:val="none"/>
              </w:rPr>
              <w:t>商务部分F3：</w:t>
            </w:r>
            <w:r>
              <w:rPr>
                <w:rFonts w:hint="eastAsia" w:cs="宋体"/>
                <w:szCs w:val="21"/>
                <w:highlight w:val="none"/>
                <w:lang w:val="en-US" w:eastAsia="zh-CN"/>
              </w:rPr>
              <w:t>27</w:t>
            </w:r>
            <w:r>
              <w:rPr>
                <w:rFonts w:hint="eastAsia" w:cs="宋体"/>
                <w:szCs w:val="21"/>
                <w:highlight w:val="none"/>
              </w:rPr>
              <w:t>分。</w:t>
            </w:r>
          </w:p>
        </w:tc>
      </w:tr>
      <w:tr w14:paraId="25A9D3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1526" w:type="dxa"/>
            <w:gridSpan w:val="2"/>
            <w:shd w:val="clear" w:color="auto" w:fill="auto"/>
            <w:noWrap/>
            <w:vAlign w:val="center"/>
          </w:tcPr>
          <w:p w14:paraId="5B99B1D8">
            <w:pPr>
              <w:jc w:val="center"/>
              <w:rPr>
                <w:rFonts w:cs="宋体"/>
                <w:szCs w:val="21"/>
                <w:highlight w:val="none"/>
              </w:rPr>
            </w:pPr>
            <w:r>
              <w:rPr>
                <w:rFonts w:hint="eastAsia" w:cs="宋体"/>
                <w:b/>
                <w:szCs w:val="21"/>
                <w:highlight w:val="none"/>
              </w:rPr>
              <w:t>条款号</w:t>
            </w:r>
          </w:p>
        </w:tc>
        <w:tc>
          <w:tcPr>
            <w:tcW w:w="1559" w:type="dxa"/>
            <w:shd w:val="clear" w:color="auto" w:fill="auto"/>
            <w:noWrap/>
            <w:vAlign w:val="center"/>
          </w:tcPr>
          <w:p w14:paraId="408FD4E5">
            <w:pPr>
              <w:jc w:val="center"/>
              <w:rPr>
                <w:rFonts w:cs="宋体"/>
                <w:b/>
                <w:szCs w:val="21"/>
                <w:highlight w:val="none"/>
              </w:rPr>
            </w:pPr>
            <w:r>
              <w:rPr>
                <w:rFonts w:hint="eastAsia" w:cs="宋体"/>
                <w:b/>
                <w:szCs w:val="21"/>
                <w:highlight w:val="none"/>
              </w:rPr>
              <w:t>评分因素</w:t>
            </w:r>
          </w:p>
        </w:tc>
        <w:tc>
          <w:tcPr>
            <w:tcW w:w="6877" w:type="dxa"/>
            <w:shd w:val="clear" w:color="auto" w:fill="auto"/>
            <w:noWrap/>
            <w:vAlign w:val="center"/>
          </w:tcPr>
          <w:p w14:paraId="13636067">
            <w:pPr>
              <w:jc w:val="center"/>
              <w:rPr>
                <w:rFonts w:cs="宋体"/>
                <w:b/>
                <w:szCs w:val="21"/>
                <w:highlight w:val="none"/>
              </w:rPr>
            </w:pPr>
            <w:r>
              <w:rPr>
                <w:rFonts w:hint="eastAsia" w:cs="宋体"/>
                <w:b/>
                <w:szCs w:val="21"/>
                <w:highlight w:val="none"/>
              </w:rPr>
              <w:t>评分标准</w:t>
            </w:r>
          </w:p>
        </w:tc>
      </w:tr>
      <w:tr w14:paraId="0F7BF6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7" w:type="dxa"/>
            <w:noWrap/>
            <w:vAlign w:val="center"/>
          </w:tcPr>
          <w:p w14:paraId="0E658E4E">
            <w:pPr>
              <w:jc w:val="center"/>
              <w:rPr>
                <w:rFonts w:cs="宋体"/>
                <w:b/>
                <w:bCs/>
                <w:szCs w:val="21"/>
                <w:highlight w:val="none"/>
              </w:rPr>
            </w:pPr>
            <w:r>
              <w:rPr>
                <w:rFonts w:hint="eastAsia" w:cs="宋体"/>
                <w:b/>
                <w:bCs/>
                <w:szCs w:val="21"/>
                <w:highlight w:val="none"/>
              </w:rPr>
              <w:t>3.2.2（1）</w:t>
            </w:r>
          </w:p>
        </w:tc>
        <w:tc>
          <w:tcPr>
            <w:tcW w:w="709" w:type="dxa"/>
            <w:noWrap/>
            <w:vAlign w:val="center"/>
          </w:tcPr>
          <w:p w14:paraId="6D82C703">
            <w:pPr>
              <w:jc w:val="center"/>
              <w:rPr>
                <w:rFonts w:cs="宋体"/>
                <w:b/>
                <w:bCs/>
                <w:szCs w:val="21"/>
                <w:highlight w:val="none"/>
              </w:rPr>
            </w:pPr>
            <w:r>
              <w:rPr>
                <w:rFonts w:hint="eastAsia" w:cs="宋体"/>
                <w:b/>
                <w:bCs/>
                <w:szCs w:val="21"/>
                <w:highlight w:val="none"/>
              </w:rPr>
              <w:t>投标报价</w:t>
            </w:r>
          </w:p>
          <w:p w14:paraId="3B19BFCC">
            <w:pPr>
              <w:jc w:val="center"/>
              <w:rPr>
                <w:rFonts w:cs="宋体"/>
                <w:b/>
                <w:bCs/>
                <w:szCs w:val="21"/>
                <w:highlight w:val="none"/>
              </w:rPr>
            </w:pPr>
            <w:r>
              <w:rPr>
                <w:rFonts w:hint="eastAsia" w:cs="宋体"/>
                <w:b/>
                <w:bCs/>
                <w:szCs w:val="21"/>
                <w:highlight w:val="none"/>
              </w:rPr>
              <w:t>F1</w:t>
            </w:r>
          </w:p>
          <w:p w14:paraId="63675C0B">
            <w:pPr>
              <w:jc w:val="center"/>
              <w:rPr>
                <w:rFonts w:cs="宋体"/>
                <w:b/>
                <w:bCs/>
                <w:szCs w:val="21"/>
                <w:highlight w:val="none"/>
              </w:rPr>
            </w:pPr>
            <w:r>
              <w:rPr>
                <w:rFonts w:hint="eastAsia" w:cs="宋体"/>
                <w:b/>
                <w:bCs/>
                <w:szCs w:val="21"/>
                <w:highlight w:val="none"/>
              </w:rPr>
              <w:t>评分标准</w:t>
            </w:r>
          </w:p>
        </w:tc>
        <w:tc>
          <w:tcPr>
            <w:tcW w:w="1559" w:type="dxa"/>
            <w:noWrap/>
            <w:vAlign w:val="center"/>
          </w:tcPr>
          <w:p w14:paraId="44886ABB">
            <w:pPr>
              <w:jc w:val="center"/>
              <w:rPr>
                <w:rFonts w:cs="宋体"/>
                <w:b/>
                <w:bCs/>
                <w:szCs w:val="21"/>
                <w:highlight w:val="none"/>
              </w:rPr>
            </w:pPr>
            <w:r>
              <w:rPr>
                <w:rFonts w:hint="eastAsia" w:cs="宋体"/>
                <w:b/>
                <w:bCs/>
                <w:szCs w:val="21"/>
                <w:highlight w:val="none"/>
              </w:rPr>
              <w:t>投标报价评分计算公式</w:t>
            </w:r>
          </w:p>
          <w:p w14:paraId="327ABF16">
            <w:pPr>
              <w:jc w:val="center"/>
              <w:rPr>
                <w:rFonts w:cs="宋体"/>
                <w:b/>
                <w:bCs/>
                <w:szCs w:val="21"/>
                <w:highlight w:val="none"/>
              </w:rPr>
            </w:pPr>
            <w:r>
              <w:rPr>
                <w:rFonts w:hint="eastAsia" w:cs="宋体"/>
                <w:b/>
                <w:bCs/>
                <w:szCs w:val="21"/>
                <w:highlight w:val="none"/>
              </w:rPr>
              <w:t>（满分</w:t>
            </w:r>
            <w:r>
              <w:rPr>
                <w:rFonts w:cs="宋体"/>
                <w:b/>
                <w:bCs/>
                <w:szCs w:val="21"/>
                <w:highlight w:val="none"/>
              </w:rPr>
              <w:t>1</w:t>
            </w:r>
            <w:r>
              <w:rPr>
                <w:rFonts w:hint="eastAsia" w:cs="宋体"/>
                <w:b/>
                <w:bCs/>
                <w:szCs w:val="21"/>
                <w:highlight w:val="none"/>
              </w:rPr>
              <w:t>0</w:t>
            </w:r>
            <w:r>
              <w:rPr>
                <w:rFonts w:cs="宋体"/>
                <w:b/>
                <w:bCs/>
                <w:szCs w:val="21"/>
                <w:highlight w:val="none"/>
              </w:rPr>
              <w:t>分）</w:t>
            </w:r>
          </w:p>
        </w:tc>
        <w:tc>
          <w:tcPr>
            <w:tcW w:w="6877" w:type="dxa"/>
            <w:noWrap/>
            <w:vAlign w:val="center"/>
          </w:tcPr>
          <w:p w14:paraId="443D4B95">
            <w:pPr>
              <w:adjustRightInd w:val="0"/>
              <w:rPr>
                <w:rFonts w:hint="default" w:eastAsia="宋体"/>
                <w:b/>
                <w:bCs/>
                <w:szCs w:val="21"/>
                <w:highlight w:val="none"/>
                <w:lang w:val="en-US" w:eastAsia="zh-CN"/>
              </w:rPr>
            </w:pPr>
            <w:r>
              <w:rPr>
                <w:rFonts w:hint="eastAsia"/>
                <w:b/>
                <w:bCs/>
                <w:szCs w:val="21"/>
                <w:highlight w:val="none"/>
                <w:lang w:val="en-US" w:eastAsia="zh-CN"/>
              </w:rPr>
              <w:t>投标报价得分分由：</w:t>
            </w:r>
            <w:r>
              <w:rPr>
                <w:rFonts w:hint="eastAsia" w:cs="宋体"/>
                <w:b/>
                <w:bCs/>
                <w:szCs w:val="21"/>
                <w:highlight w:val="none"/>
              </w:rPr>
              <w:t>①</w:t>
            </w:r>
            <w:r>
              <w:rPr>
                <w:rFonts w:hint="eastAsia"/>
                <w:b/>
                <w:bCs/>
                <w:szCs w:val="21"/>
                <w:highlight w:val="none"/>
                <w:lang w:val="en-US" w:eastAsia="zh-CN"/>
              </w:rPr>
              <w:t>印刷服务费；</w:t>
            </w:r>
            <w:r>
              <w:rPr>
                <w:rFonts w:hint="eastAsia" w:cs="宋体"/>
                <w:b/>
                <w:bCs/>
                <w:szCs w:val="21"/>
                <w:highlight w:val="none"/>
              </w:rPr>
              <w:t>②</w:t>
            </w:r>
            <w:r>
              <w:rPr>
                <w:rFonts w:hint="eastAsia"/>
                <w:b/>
                <w:bCs/>
                <w:szCs w:val="21"/>
                <w:highlight w:val="none"/>
                <w:lang w:val="en-US" w:eastAsia="zh-CN"/>
              </w:rPr>
              <w:t>设计排版服务费；</w:t>
            </w:r>
            <w:r>
              <w:rPr>
                <w:rFonts w:hint="eastAsia" w:cs="宋体"/>
                <w:b/>
                <w:bCs/>
                <w:szCs w:val="21"/>
                <w:highlight w:val="none"/>
              </w:rPr>
              <w:t>③</w:t>
            </w:r>
            <w:r>
              <w:rPr>
                <w:rFonts w:hint="eastAsia"/>
                <w:b/>
                <w:bCs/>
                <w:szCs w:val="21"/>
                <w:highlight w:val="none"/>
                <w:lang w:val="en-US" w:eastAsia="zh-CN"/>
              </w:rPr>
              <w:t>校对服务费构成，其中印刷服务费满分3分，设计排版服务费满分4分，校对服务费满分3分。</w:t>
            </w:r>
          </w:p>
          <w:p w14:paraId="1DEEE84C">
            <w:pPr>
              <w:adjustRightInd w:val="0"/>
              <w:rPr>
                <w:rFonts w:hint="eastAsia" w:eastAsia="宋体"/>
                <w:b/>
                <w:bCs/>
                <w:szCs w:val="21"/>
                <w:highlight w:val="none"/>
                <w:lang w:val="en-US" w:eastAsia="zh-CN"/>
              </w:rPr>
            </w:pPr>
            <w:r>
              <w:rPr>
                <w:rFonts w:hint="eastAsia"/>
                <w:color w:val="000000"/>
                <w:szCs w:val="21"/>
                <w:highlight w:val="none"/>
                <w:lang w:val="en-US" w:eastAsia="zh-CN"/>
              </w:rPr>
              <w:t>投标人</w:t>
            </w:r>
            <w:r>
              <w:rPr>
                <w:color w:val="000000"/>
                <w:szCs w:val="21"/>
                <w:highlight w:val="none"/>
              </w:rPr>
              <w:t>的价格分按照下列公式计算</w:t>
            </w:r>
            <w:r>
              <w:rPr>
                <w:rFonts w:hint="eastAsia"/>
                <w:color w:val="000000"/>
                <w:szCs w:val="21"/>
                <w:highlight w:val="none"/>
                <w:lang w:eastAsia="zh-CN"/>
              </w:rPr>
              <w:t>：</w:t>
            </w:r>
          </w:p>
          <w:p w14:paraId="693B9800">
            <w:pPr>
              <w:adjustRightInd w:val="0"/>
              <w:rPr>
                <w:rFonts w:hint="eastAsia" w:eastAsia="宋体"/>
                <w:b/>
                <w:bCs/>
                <w:szCs w:val="21"/>
                <w:highlight w:val="none"/>
                <w:lang w:eastAsia="zh-CN"/>
              </w:rPr>
            </w:pPr>
            <w:r>
              <w:rPr>
                <w:rFonts w:hint="eastAsia"/>
                <w:b/>
                <w:bCs/>
                <w:szCs w:val="21"/>
                <w:highlight w:val="none"/>
                <w:lang w:val="en-US" w:eastAsia="zh-CN"/>
              </w:rPr>
              <w:t>1.印刷服务费</w:t>
            </w:r>
            <w:r>
              <w:rPr>
                <w:rFonts w:hint="eastAsia"/>
                <w:b/>
                <w:bCs/>
                <w:szCs w:val="21"/>
                <w:highlight w:val="none"/>
              </w:rPr>
              <w:t>投标</w:t>
            </w:r>
            <w:r>
              <w:rPr>
                <w:rFonts w:hint="eastAsia"/>
                <w:b/>
                <w:bCs/>
                <w:szCs w:val="21"/>
                <w:highlight w:val="none"/>
                <w:lang w:val="en-US" w:eastAsia="zh-CN"/>
              </w:rPr>
              <w:t>单价</w:t>
            </w:r>
            <w:r>
              <w:rPr>
                <w:rFonts w:hint="eastAsia"/>
                <w:b/>
                <w:bCs/>
                <w:szCs w:val="21"/>
                <w:highlight w:val="none"/>
              </w:rPr>
              <w:t>得分=(评标基准价</w:t>
            </w:r>
            <w:r>
              <w:rPr>
                <w:b/>
                <w:bCs/>
                <w:szCs w:val="21"/>
                <w:highlight w:val="none"/>
              </w:rPr>
              <w:t>/</w:t>
            </w:r>
            <w:r>
              <w:rPr>
                <w:rFonts w:hint="eastAsia"/>
                <w:b/>
                <w:bCs/>
                <w:szCs w:val="21"/>
                <w:highlight w:val="none"/>
              </w:rPr>
              <w:t>单价报价合计)×</w:t>
            </w:r>
            <w:r>
              <w:rPr>
                <w:rFonts w:hint="eastAsia"/>
                <w:b/>
                <w:bCs/>
                <w:szCs w:val="21"/>
                <w:highlight w:val="none"/>
                <w:lang w:val="en-US" w:eastAsia="zh-CN"/>
              </w:rPr>
              <w:t>3</w:t>
            </w:r>
          </w:p>
          <w:p w14:paraId="638F02DA">
            <w:pPr>
              <w:adjustRightInd w:val="0"/>
              <w:rPr>
                <w:rFonts w:hint="eastAsia" w:eastAsia="宋体"/>
                <w:szCs w:val="21"/>
                <w:highlight w:val="none"/>
                <w:lang w:eastAsia="zh-CN"/>
              </w:rPr>
            </w:pPr>
            <w:r>
              <w:rPr>
                <w:rFonts w:hint="eastAsia"/>
                <w:szCs w:val="21"/>
                <w:highlight w:val="none"/>
              </w:rPr>
              <w:t>即：</w:t>
            </w:r>
            <w:r>
              <w:rPr>
                <w:szCs w:val="21"/>
                <w:highlight w:val="none"/>
              </w:rPr>
              <w:t>F</w:t>
            </w:r>
            <w:r>
              <w:rPr>
                <w:rFonts w:hint="eastAsia"/>
                <w:szCs w:val="21"/>
                <w:highlight w:val="none"/>
              </w:rPr>
              <w:t>1</w:t>
            </w:r>
            <w:r>
              <w:rPr>
                <w:szCs w:val="21"/>
                <w:highlight w:val="none"/>
              </w:rPr>
              <w:t>=[C/（B1，B2，…</w:t>
            </w:r>
            <w:r>
              <w:rPr>
                <w:rFonts w:hint="eastAsia"/>
                <w:szCs w:val="21"/>
                <w:highlight w:val="none"/>
              </w:rPr>
              <w:t>，</w:t>
            </w:r>
            <w:r>
              <w:rPr>
                <w:szCs w:val="21"/>
                <w:highlight w:val="none"/>
              </w:rPr>
              <w:t>Bn）]</w:t>
            </w:r>
            <w:r>
              <w:rPr>
                <w:rFonts w:hint="eastAsia"/>
                <w:szCs w:val="21"/>
                <w:highlight w:val="none"/>
              </w:rPr>
              <w:t>×</w:t>
            </w:r>
            <w:r>
              <w:rPr>
                <w:rFonts w:hint="eastAsia"/>
                <w:szCs w:val="21"/>
                <w:highlight w:val="none"/>
                <w:lang w:val="en-US" w:eastAsia="zh-CN"/>
              </w:rPr>
              <w:t>3</w:t>
            </w:r>
          </w:p>
          <w:p w14:paraId="469DD02F">
            <w:pPr>
              <w:adjustRightInd w:val="0"/>
              <w:rPr>
                <w:szCs w:val="21"/>
                <w:highlight w:val="none"/>
              </w:rPr>
            </w:pPr>
            <w:r>
              <w:rPr>
                <w:rFonts w:hint="eastAsia"/>
                <w:szCs w:val="21"/>
                <w:highlight w:val="none"/>
              </w:rPr>
              <w:t>注：</w:t>
            </w:r>
            <w:r>
              <w:rPr>
                <w:szCs w:val="21"/>
                <w:highlight w:val="none"/>
              </w:rPr>
              <w:t>C为评标基准价，即经</w:t>
            </w:r>
            <w:r>
              <w:rPr>
                <w:rFonts w:hint="eastAsia"/>
                <w:szCs w:val="21"/>
                <w:highlight w:val="none"/>
              </w:rPr>
              <w:t>初步</w:t>
            </w:r>
            <w:r>
              <w:rPr>
                <w:szCs w:val="21"/>
                <w:highlight w:val="none"/>
              </w:rPr>
              <w:t>审查合格</w:t>
            </w:r>
            <w:r>
              <w:rPr>
                <w:rFonts w:hint="eastAsia"/>
                <w:szCs w:val="21"/>
                <w:highlight w:val="none"/>
              </w:rPr>
              <w:t>且投标价格最低</w:t>
            </w:r>
            <w:r>
              <w:rPr>
                <w:szCs w:val="21"/>
                <w:highlight w:val="none"/>
              </w:rPr>
              <w:t>的</w:t>
            </w:r>
            <w:r>
              <w:rPr>
                <w:rFonts w:hint="eastAsia"/>
                <w:szCs w:val="21"/>
                <w:highlight w:val="none"/>
              </w:rPr>
              <w:t>有效单价报价</w:t>
            </w:r>
            <w:r>
              <w:rPr>
                <w:szCs w:val="21"/>
                <w:highlight w:val="none"/>
              </w:rPr>
              <w:t>；B1，B2，…</w:t>
            </w:r>
            <w:r>
              <w:rPr>
                <w:rFonts w:hint="eastAsia"/>
                <w:szCs w:val="21"/>
                <w:highlight w:val="none"/>
              </w:rPr>
              <w:t>，</w:t>
            </w:r>
            <w:r>
              <w:rPr>
                <w:szCs w:val="21"/>
                <w:highlight w:val="none"/>
              </w:rPr>
              <w:t>Bn为第n个经</w:t>
            </w:r>
            <w:r>
              <w:rPr>
                <w:rFonts w:hint="eastAsia"/>
                <w:szCs w:val="21"/>
                <w:highlight w:val="none"/>
              </w:rPr>
              <w:t>初步</w:t>
            </w:r>
            <w:r>
              <w:rPr>
                <w:szCs w:val="21"/>
                <w:highlight w:val="none"/>
              </w:rPr>
              <w:t>审查合格的有效</w:t>
            </w:r>
            <w:r>
              <w:rPr>
                <w:rFonts w:hint="eastAsia"/>
                <w:szCs w:val="21"/>
                <w:highlight w:val="none"/>
              </w:rPr>
              <w:t>单价报价</w:t>
            </w:r>
            <w:r>
              <w:rPr>
                <w:szCs w:val="21"/>
                <w:highlight w:val="none"/>
              </w:rPr>
              <w:t>。</w:t>
            </w:r>
          </w:p>
          <w:p w14:paraId="21EA4ACA">
            <w:pPr>
              <w:adjustRightInd w:val="0"/>
              <w:rPr>
                <w:rFonts w:hint="eastAsia" w:eastAsia="宋体"/>
                <w:b/>
                <w:bCs/>
                <w:szCs w:val="21"/>
                <w:highlight w:val="none"/>
                <w:lang w:eastAsia="zh-CN"/>
              </w:rPr>
            </w:pPr>
            <w:r>
              <w:rPr>
                <w:rFonts w:hint="eastAsia"/>
                <w:b/>
                <w:bCs/>
                <w:szCs w:val="21"/>
                <w:highlight w:val="none"/>
                <w:lang w:val="en-US" w:eastAsia="zh-CN"/>
              </w:rPr>
              <w:t>2.设计排版服务费</w:t>
            </w:r>
            <w:r>
              <w:rPr>
                <w:rFonts w:hint="eastAsia"/>
                <w:b/>
                <w:bCs/>
                <w:szCs w:val="21"/>
                <w:highlight w:val="none"/>
              </w:rPr>
              <w:t>投标</w:t>
            </w:r>
            <w:r>
              <w:rPr>
                <w:rFonts w:hint="eastAsia"/>
                <w:b/>
                <w:bCs/>
                <w:szCs w:val="21"/>
                <w:highlight w:val="none"/>
                <w:lang w:val="en-US" w:eastAsia="zh-CN"/>
              </w:rPr>
              <w:t>单价</w:t>
            </w:r>
            <w:r>
              <w:rPr>
                <w:rFonts w:hint="eastAsia"/>
                <w:b/>
                <w:bCs/>
                <w:szCs w:val="21"/>
                <w:highlight w:val="none"/>
              </w:rPr>
              <w:t>得分=(评标基准价</w:t>
            </w:r>
            <w:r>
              <w:rPr>
                <w:b/>
                <w:bCs/>
                <w:szCs w:val="21"/>
                <w:highlight w:val="none"/>
              </w:rPr>
              <w:t>/</w:t>
            </w:r>
            <w:r>
              <w:rPr>
                <w:rFonts w:hint="eastAsia"/>
                <w:b/>
                <w:bCs/>
                <w:szCs w:val="21"/>
                <w:highlight w:val="none"/>
              </w:rPr>
              <w:t>单价报价合计)×</w:t>
            </w:r>
            <w:r>
              <w:rPr>
                <w:rFonts w:hint="eastAsia"/>
                <w:b/>
                <w:bCs/>
                <w:szCs w:val="21"/>
                <w:highlight w:val="none"/>
                <w:lang w:val="en-US" w:eastAsia="zh-CN"/>
              </w:rPr>
              <w:t>4</w:t>
            </w:r>
          </w:p>
          <w:p w14:paraId="3B24A8AC">
            <w:pPr>
              <w:adjustRightInd w:val="0"/>
              <w:rPr>
                <w:rFonts w:hint="eastAsia" w:eastAsia="宋体"/>
                <w:szCs w:val="21"/>
                <w:highlight w:val="none"/>
                <w:lang w:eastAsia="zh-CN"/>
              </w:rPr>
            </w:pPr>
            <w:r>
              <w:rPr>
                <w:rFonts w:hint="eastAsia"/>
                <w:szCs w:val="21"/>
                <w:highlight w:val="none"/>
              </w:rPr>
              <w:t>即：</w:t>
            </w:r>
            <w:r>
              <w:rPr>
                <w:szCs w:val="21"/>
                <w:highlight w:val="none"/>
              </w:rPr>
              <w:t>F</w:t>
            </w:r>
            <w:r>
              <w:rPr>
                <w:rFonts w:hint="eastAsia"/>
                <w:szCs w:val="21"/>
                <w:highlight w:val="none"/>
              </w:rPr>
              <w:t>1</w:t>
            </w:r>
            <w:r>
              <w:rPr>
                <w:szCs w:val="21"/>
                <w:highlight w:val="none"/>
              </w:rPr>
              <w:t>=[C/（B1，B2，…</w:t>
            </w:r>
            <w:r>
              <w:rPr>
                <w:rFonts w:hint="eastAsia"/>
                <w:szCs w:val="21"/>
                <w:highlight w:val="none"/>
              </w:rPr>
              <w:t>，</w:t>
            </w:r>
            <w:r>
              <w:rPr>
                <w:szCs w:val="21"/>
                <w:highlight w:val="none"/>
              </w:rPr>
              <w:t>Bn）]</w:t>
            </w:r>
            <w:r>
              <w:rPr>
                <w:rFonts w:hint="eastAsia"/>
                <w:szCs w:val="21"/>
                <w:highlight w:val="none"/>
              </w:rPr>
              <w:t>×</w:t>
            </w:r>
            <w:r>
              <w:rPr>
                <w:rFonts w:hint="eastAsia"/>
                <w:szCs w:val="21"/>
                <w:highlight w:val="none"/>
                <w:lang w:val="en-US" w:eastAsia="zh-CN"/>
              </w:rPr>
              <w:t>4</w:t>
            </w:r>
          </w:p>
          <w:p w14:paraId="5C8DA969">
            <w:pPr>
              <w:keepNext w:val="0"/>
              <w:keepLines w:val="0"/>
              <w:suppressLineNumbers w:val="0"/>
              <w:spacing w:before="0" w:beforeAutospacing="0" w:after="0" w:afterAutospacing="0" w:line="360" w:lineRule="auto"/>
              <w:ind w:left="37" w:right="0"/>
              <w:rPr>
                <w:rFonts w:hint="eastAsia" w:ascii="宋体" w:hAnsi="宋体" w:cs="宋体"/>
                <w:szCs w:val="21"/>
                <w:highlight w:val="none"/>
              </w:rPr>
            </w:pPr>
            <w:r>
              <w:rPr>
                <w:rFonts w:hint="eastAsia"/>
                <w:szCs w:val="21"/>
                <w:highlight w:val="none"/>
              </w:rPr>
              <w:t>注：</w:t>
            </w:r>
            <w:r>
              <w:rPr>
                <w:szCs w:val="21"/>
                <w:highlight w:val="none"/>
              </w:rPr>
              <w:t>C为评标基准价，即经</w:t>
            </w:r>
            <w:r>
              <w:rPr>
                <w:rFonts w:hint="eastAsia"/>
                <w:szCs w:val="21"/>
                <w:highlight w:val="none"/>
              </w:rPr>
              <w:t>初步</w:t>
            </w:r>
            <w:r>
              <w:rPr>
                <w:szCs w:val="21"/>
                <w:highlight w:val="none"/>
              </w:rPr>
              <w:t>审查合格</w:t>
            </w:r>
            <w:r>
              <w:rPr>
                <w:rFonts w:hint="eastAsia"/>
                <w:szCs w:val="21"/>
                <w:highlight w:val="none"/>
              </w:rPr>
              <w:t>且投标价格最低</w:t>
            </w:r>
            <w:r>
              <w:rPr>
                <w:szCs w:val="21"/>
                <w:highlight w:val="none"/>
              </w:rPr>
              <w:t>的</w:t>
            </w:r>
            <w:r>
              <w:rPr>
                <w:rFonts w:hint="eastAsia"/>
                <w:szCs w:val="21"/>
                <w:highlight w:val="none"/>
              </w:rPr>
              <w:t>有效单价报价</w:t>
            </w:r>
            <w:r>
              <w:rPr>
                <w:szCs w:val="21"/>
                <w:highlight w:val="none"/>
              </w:rPr>
              <w:t>；B1，B2，…</w:t>
            </w:r>
            <w:r>
              <w:rPr>
                <w:rFonts w:hint="eastAsia"/>
                <w:szCs w:val="21"/>
                <w:highlight w:val="none"/>
              </w:rPr>
              <w:t>，</w:t>
            </w:r>
            <w:r>
              <w:rPr>
                <w:szCs w:val="21"/>
                <w:highlight w:val="none"/>
              </w:rPr>
              <w:t>Bn为第n个经</w:t>
            </w:r>
            <w:r>
              <w:rPr>
                <w:rFonts w:hint="eastAsia"/>
                <w:szCs w:val="21"/>
                <w:highlight w:val="none"/>
              </w:rPr>
              <w:t>初步</w:t>
            </w:r>
            <w:r>
              <w:rPr>
                <w:szCs w:val="21"/>
                <w:highlight w:val="none"/>
              </w:rPr>
              <w:t>审查合格的有效</w:t>
            </w:r>
            <w:r>
              <w:rPr>
                <w:rFonts w:hint="eastAsia"/>
                <w:szCs w:val="21"/>
                <w:highlight w:val="none"/>
              </w:rPr>
              <w:t>单价报价</w:t>
            </w:r>
            <w:r>
              <w:rPr>
                <w:szCs w:val="21"/>
                <w:highlight w:val="none"/>
              </w:rPr>
              <w:t>。</w:t>
            </w:r>
          </w:p>
          <w:p w14:paraId="34640F69">
            <w:pPr>
              <w:adjustRightInd w:val="0"/>
              <w:rPr>
                <w:rFonts w:hint="eastAsia" w:eastAsia="宋体"/>
                <w:b/>
                <w:bCs/>
                <w:szCs w:val="21"/>
                <w:highlight w:val="none"/>
                <w:lang w:eastAsia="zh-CN"/>
              </w:rPr>
            </w:pPr>
            <w:r>
              <w:rPr>
                <w:rFonts w:hint="eastAsia"/>
                <w:b/>
                <w:bCs/>
                <w:szCs w:val="21"/>
                <w:highlight w:val="none"/>
                <w:lang w:val="en-US" w:eastAsia="zh-CN"/>
              </w:rPr>
              <w:t>3.校对服务费</w:t>
            </w:r>
            <w:r>
              <w:rPr>
                <w:rFonts w:hint="eastAsia"/>
                <w:b/>
                <w:bCs/>
                <w:szCs w:val="21"/>
                <w:highlight w:val="none"/>
              </w:rPr>
              <w:t>投标</w:t>
            </w:r>
            <w:r>
              <w:rPr>
                <w:rFonts w:hint="eastAsia"/>
                <w:b/>
                <w:bCs/>
                <w:szCs w:val="21"/>
                <w:highlight w:val="none"/>
                <w:lang w:val="en-US" w:eastAsia="zh-CN"/>
              </w:rPr>
              <w:t>单价</w:t>
            </w:r>
            <w:r>
              <w:rPr>
                <w:rFonts w:hint="eastAsia"/>
                <w:b/>
                <w:bCs/>
                <w:szCs w:val="21"/>
                <w:highlight w:val="none"/>
              </w:rPr>
              <w:t>得分=(评标基准价</w:t>
            </w:r>
            <w:r>
              <w:rPr>
                <w:b/>
                <w:bCs/>
                <w:szCs w:val="21"/>
                <w:highlight w:val="none"/>
              </w:rPr>
              <w:t>/</w:t>
            </w:r>
            <w:r>
              <w:rPr>
                <w:rFonts w:hint="eastAsia"/>
                <w:b/>
                <w:bCs/>
                <w:szCs w:val="21"/>
                <w:highlight w:val="none"/>
              </w:rPr>
              <w:t>单价报价合计)×</w:t>
            </w:r>
            <w:r>
              <w:rPr>
                <w:rFonts w:hint="eastAsia"/>
                <w:b/>
                <w:bCs/>
                <w:szCs w:val="21"/>
                <w:highlight w:val="none"/>
                <w:lang w:val="en-US" w:eastAsia="zh-CN"/>
              </w:rPr>
              <w:t>3</w:t>
            </w:r>
          </w:p>
          <w:p w14:paraId="2FC38190">
            <w:pPr>
              <w:adjustRightInd w:val="0"/>
              <w:rPr>
                <w:rFonts w:hint="eastAsia" w:eastAsia="宋体"/>
                <w:szCs w:val="21"/>
                <w:highlight w:val="none"/>
                <w:lang w:eastAsia="zh-CN"/>
              </w:rPr>
            </w:pPr>
            <w:r>
              <w:rPr>
                <w:rFonts w:hint="eastAsia"/>
                <w:szCs w:val="21"/>
                <w:highlight w:val="none"/>
              </w:rPr>
              <w:t>即：</w:t>
            </w:r>
            <w:r>
              <w:rPr>
                <w:szCs w:val="21"/>
                <w:highlight w:val="none"/>
              </w:rPr>
              <w:t>F</w:t>
            </w:r>
            <w:r>
              <w:rPr>
                <w:rFonts w:hint="eastAsia"/>
                <w:szCs w:val="21"/>
                <w:highlight w:val="none"/>
              </w:rPr>
              <w:t>1</w:t>
            </w:r>
            <w:r>
              <w:rPr>
                <w:szCs w:val="21"/>
                <w:highlight w:val="none"/>
              </w:rPr>
              <w:t>=[C/（B1，B2，…</w:t>
            </w:r>
            <w:r>
              <w:rPr>
                <w:rFonts w:hint="eastAsia"/>
                <w:szCs w:val="21"/>
                <w:highlight w:val="none"/>
              </w:rPr>
              <w:t>，</w:t>
            </w:r>
            <w:r>
              <w:rPr>
                <w:szCs w:val="21"/>
                <w:highlight w:val="none"/>
              </w:rPr>
              <w:t>Bn）]</w:t>
            </w:r>
            <w:r>
              <w:rPr>
                <w:rFonts w:hint="eastAsia"/>
                <w:szCs w:val="21"/>
                <w:highlight w:val="none"/>
              </w:rPr>
              <w:t>×</w:t>
            </w:r>
            <w:r>
              <w:rPr>
                <w:rFonts w:hint="eastAsia"/>
                <w:szCs w:val="21"/>
                <w:highlight w:val="none"/>
                <w:lang w:val="en-US" w:eastAsia="zh-CN"/>
              </w:rPr>
              <w:t>3</w:t>
            </w:r>
          </w:p>
          <w:p w14:paraId="79DC4E50">
            <w:pPr>
              <w:keepNext w:val="0"/>
              <w:keepLines w:val="0"/>
              <w:suppressLineNumbers w:val="0"/>
              <w:spacing w:before="0" w:beforeAutospacing="0" w:after="0" w:afterAutospacing="0" w:line="360" w:lineRule="auto"/>
              <w:ind w:left="37" w:right="0"/>
              <w:rPr>
                <w:rFonts w:hint="eastAsia" w:ascii="宋体" w:hAnsi="宋体" w:cs="宋体"/>
                <w:szCs w:val="21"/>
                <w:highlight w:val="none"/>
              </w:rPr>
            </w:pPr>
            <w:r>
              <w:rPr>
                <w:rFonts w:hint="eastAsia"/>
                <w:szCs w:val="21"/>
                <w:highlight w:val="none"/>
              </w:rPr>
              <w:t>注：</w:t>
            </w:r>
            <w:r>
              <w:rPr>
                <w:szCs w:val="21"/>
                <w:highlight w:val="none"/>
              </w:rPr>
              <w:t>C为评标基准价，即经</w:t>
            </w:r>
            <w:r>
              <w:rPr>
                <w:rFonts w:hint="eastAsia"/>
                <w:szCs w:val="21"/>
                <w:highlight w:val="none"/>
              </w:rPr>
              <w:t>初步</w:t>
            </w:r>
            <w:r>
              <w:rPr>
                <w:szCs w:val="21"/>
                <w:highlight w:val="none"/>
              </w:rPr>
              <w:t>审查合格</w:t>
            </w:r>
            <w:r>
              <w:rPr>
                <w:rFonts w:hint="eastAsia"/>
                <w:szCs w:val="21"/>
                <w:highlight w:val="none"/>
              </w:rPr>
              <w:t>且投标价格最低</w:t>
            </w:r>
            <w:r>
              <w:rPr>
                <w:szCs w:val="21"/>
                <w:highlight w:val="none"/>
              </w:rPr>
              <w:t>的</w:t>
            </w:r>
            <w:r>
              <w:rPr>
                <w:rFonts w:hint="eastAsia"/>
                <w:szCs w:val="21"/>
                <w:highlight w:val="none"/>
              </w:rPr>
              <w:t>有效单价报价</w:t>
            </w:r>
            <w:r>
              <w:rPr>
                <w:szCs w:val="21"/>
                <w:highlight w:val="none"/>
              </w:rPr>
              <w:t>；B1，B2，…</w:t>
            </w:r>
            <w:r>
              <w:rPr>
                <w:rFonts w:hint="eastAsia"/>
                <w:szCs w:val="21"/>
                <w:highlight w:val="none"/>
              </w:rPr>
              <w:t>，</w:t>
            </w:r>
            <w:r>
              <w:rPr>
                <w:szCs w:val="21"/>
                <w:highlight w:val="none"/>
              </w:rPr>
              <w:t>Bn为第n个经</w:t>
            </w:r>
            <w:r>
              <w:rPr>
                <w:rFonts w:hint="eastAsia"/>
                <w:szCs w:val="21"/>
                <w:highlight w:val="none"/>
              </w:rPr>
              <w:t>初步</w:t>
            </w:r>
            <w:r>
              <w:rPr>
                <w:szCs w:val="21"/>
                <w:highlight w:val="none"/>
              </w:rPr>
              <w:t>审查合格的有效</w:t>
            </w:r>
            <w:r>
              <w:rPr>
                <w:rFonts w:hint="eastAsia"/>
                <w:szCs w:val="21"/>
                <w:highlight w:val="none"/>
              </w:rPr>
              <w:t>单价报价</w:t>
            </w:r>
            <w:r>
              <w:rPr>
                <w:szCs w:val="21"/>
                <w:highlight w:val="none"/>
              </w:rPr>
              <w:t>。</w:t>
            </w:r>
          </w:p>
          <w:p w14:paraId="44B3B03A">
            <w:pPr>
              <w:keepNext w:val="0"/>
              <w:keepLines w:val="0"/>
              <w:suppressLineNumbers w:val="0"/>
              <w:spacing w:before="0" w:beforeAutospacing="0" w:after="0" w:afterAutospacing="0" w:line="360" w:lineRule="auto"/>
              <w:ind w:left="37" w:right="0"/>
              <w:rPr>
                <w:rFonts w:hint="eastAsia" w:ascii="宋体" w:hAnsi="宋体" w:cs="宋体"/>
                <w:szCs w:val="21"/>
                <w:highlight w:val="none"/>
              </w:rPr>
            </w:pPr>
            <w:r>
              <w:rPr>
                <w:rFonts w:hint="eastAsia" w:ascii="宋体" w:hAnsi="宋体" w:cs="宋体"/>
                <w:szCs w:val="21"/>
                <w:highlight w:val="none"/>
              </w:rPr>
              <w:t>注：</w:t>
            </w:r>
          </w:p>
          <w:p w14:paraId="03B4AFF7">
            <w:pPr>
              <w:keepNext w:val="0"/>
              <w:keepLines w:val="0"/>
              <w:suppressLineNumbers w:val="0"/>
              <w:spacing w:before="0" w:beforeAutospacing="0" w:after="0" w:afterAutospacing="0" w:line="360" w:lineRule="auto"/>
              <w:ind w:left="37" w:right="0"/>
              <w:rPr>
                <w:rFonts w:hint="eastAsia" w:ascii="宋体" w:hAnsi="宋体" w:cs="宋体"/>
                <w:szCs w:val="21"/>
                <w:highlight w:val="none"/>
              </w:rPr>
            </w:pPr>
            <w:r>
              <w:rPr>
                <w:rFonts w:hint="eastAsia" w:ascii="宋体" w:hAnsi="宋体" w:cs="宋体"/>
                <w:szCs w:val="21"/>
                <w:highlight w:val="none"/>
              </w:rPr>
              <w:t>1.在计算投标报价得分时，对小型或微型企业的价格给予10%的扣除。</w:t>
            </w:r>
          </w:p>
          <w:p w14:paraId="615AFAA9">
            <w:pPr>
              <w:keepNext w:val="0"/>
              <w:keepLines w:val="0"/>
              <w:suppressLineNumbers w:val="0"/>
              <w:spacing w:before="0" w:beforeAutospacing="0" w:after="0" w:afterAutospacing="0" w:line="360" w:lineRule="auto"/>
              <w:ind w:left="37" w:right="0"/>
              <w:rPr>
                <w:rFonts w:hint="default" w:ascii="宋体" w:hAnsi="宋体" w:cs="宋体"/>
                <w:szCs w:val="21"/>
                <w:highlight w:val="none"/>
              </w:rPr>
            </w:pPr>
            <w:r>
              <w:rPr>
                <w:rFonts w:hint="eastAsia" w:ascii="宋体" w:hAnsi="宋体" w:cs="宋体"/>
                <w:szCs w:val="21"/>
                <w:highlight w:val="none"/>
                <w:lang w:val="en-US" w:eastAsia="zh-CN"/>
              </w:rPr>
              <w:t>2</w:t>
            </w:r>
            <w:r>
              <w:rPr>
                <w:rFonts w:hint="eastAsia" w:ascii="宋体" w:hAnsi="宋体" w:cs="宋体"/>
                <w:szCs w:val="21"/>
                <w:highlight w:val="none"/>
              </w:rPr>
              <w:t>.残疾人福利性单位、监狱企业视同小型、微型企业。</w:t>
            </w:r>
          </w:p>
          <w:p w14:paraId="5EE6AF69">
            <w:pPr>
              <w:rPr>
                <w:rFonts w:cs="宋体"/>
                <w:szCs w:val="21"/>
                <w:highlight w:val="none"/>
              </w:rPr>
            </w:pPr>
            <w:r>
              <w:rPr>
                <w:rFonts w:hint="eastAsia" w:ascii="宋体" w:hAnsi="宋体" w:cs="宋体"/>
                <w:szCs w:val="21"/>
                <w:highlight w:val="none"/>
                <w:lang w:val="en-US" w:eastAsia="zh-CN"/>
              </w:rPr>
              <w:t>3</w:t>
            </w:r>
            <w:r>
              <w:rPr>
                <w:rFonts w:hint="eastAsia" w:ascii="宋体" w:hAnsi="宋体" w:cs="宋体"/>
                <w:szCs w:val="21"/>
                <w:highlight w:val="none"/>
              </w:rPr>
              <w:t>.监狱企业或残疾人福利性单位属于小型、微型企业的，不重复享受政策，只进行一次价格扣除。</w:t>
            </w:r>
          </w:p>
        </w:tc>
      </w:tr>
      <w:tr w14:paraId="6AF2BC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17" w:type="dxa"/>
            <w:vMerge w:val="restart"/>
            <w:noWrap/>
            <w:vAlign w:val="center"/>
          </w:tcPr>
          <w:p w14:paraId="391EEE02">
            <w:pPr>
              <w:jc w:val="center"/>
              <w:rPr>
                <w:rFonts w:cs="宋体"/>
                <w:b/>
                <w:bCs/>
                <w:szCs w:val="21"/>
                <w:highlight w:val="none"/>
              </w:rPr>
            </w:pPr>
            <w:r>
              <w:rPr>
                <w:rFonts w:hint="eastAsia" w:cs="宋体"/>
                <w:b/>
                <w:bCs/>
                <w:szCs w:val="21"/>
                <w:highlight w:val="none"/>
              </w:rPr>
              <w:t>3.2.2（2）</w:t>
            </w:r>
          </w:p>
        </w:tc>
        <w:tc>
          <w:tcPr>
            <w:tcW w:w="709" w:type="dxa"/>
            <w:vMerge w:val="restart"/>
            <w:noWrap/>
            <w:vAlign w:val="center"/>
          </w:tcPr>
          <w:p w14:paraId="0496D10D">
            <w:pPr>
              <w:jc w:val="center"/>
              <w:rPr>
                <w:rFonts w:cs="宋体"/>
                <w:b/>
                <w:bCs/>
                <w:szCs w:val="21"/>
                <w:highlight w:val="none"/>
              </w:rPr>
            </w:pPr>
            <w:r>
              <w:rPr>
                <w:rFonts w:hint="eastAsia" w:cs="宋体"/>
                <w:b/>
                <w:bCs/>
                <w:szCs w:val="21"/>
                <w:highlight w:val="none"/>
              </w:rPr>
              <w:t>技术部分F2</w:t>
            </w:r>
          </w:p>
          <w:p w14:paraId="6CF99516">
            <w:pPr>
              <w:jc w:val="center"/>
              <w:rPr>
                <w:rFonts w:cs="宋体"/>
                <w:b/>
                <w:bCs/>
                <w:szCs w:val="21"/>
                <w:highlight w:val="none"/>
              </w:rPr>
            </w:pPr>
            <w:r>
              <w:rPr>
                <w:rFonts w:hint="eastAsia" w:cs="宋体"/>
                <w:b/>
                <w:bCs/>
                <w:szCs w:val="21"/>
                <w:highlight w:val="none"/>
              </w:rPr>
              <w:t>评分标准</w:t>
            </w:r>
          </w:p>
        </w:tc>
        <w:tc>
          <w:tcPr>
            <w:tcW w:w="1559" w:type="dxa"/>
            <w:noWrap/>
            <w:vAlign w:val="center"/>
          </w:tcPr>
          <w:p w14:paraId="662E8F34">
            <w:pPr>
              <w:adjustRightInd w:val="0"/>
              <w:snapToGrid w:val="0"/>
              <w:jc w:val="center"/>
              <w:rPr>
                <w:rFonts w:cs="宋体"/>
                <w:b/>
                <w:bCs/>
                <w:szCs w:val="21"/>
                <w:highlight w:val="none"/>
              </w:rPr>
            </w:pPr>
            <w:r>
              <w:rPr>
                <w:rFonts w:hint="eastAsia"/>
                <w:b/>
                <w:szCs w:val="21"/>
                <w:highlight w:val="none"/>
              </w:rPr>
              <w:t>对本项目的理解及重难点分析（满分</w:t>
            </w:r>
            <w:r>
              <w:rPr>
                <w:rFonts w:hint="eastAsia"/>
                <w:b/>
                <w:szCs w:val="21"/>
                <w:highlight w:val="none"/>
                <w:lang w:val="en-US" w:eastAsia="zh-CN"/>
              </w:rPr>
              <w:t>9</w:t>
            </w:r>
            <w:r>
              <w:rPr>
                <w:rFonts w:hint="eastAsia"/>
                <w:b/>
                <w:szCs w:val="21"/>
                <w:highlight w:val="none"/>
              </w:rPr>
              <w:t>分）</w:t>
            </w:r>
          </w:p>
        </w:tc>
        <w:tc>
          <w:tcPr>
            <w:tcW w:w="6877" w:type="dxa"/>
            <w:noWrap/>
            <w:vAlign w:val="center"/>
          </w:tcPr>
          <w:p w14:paraId="201A3917">
            <w:pPr>
              <w:keepNext w:val="0"/>
              <w:keepLines w:val="0"/>
              <w:suppressLineNumbers w:val="0"/>
              <w:spacing w:before="0" w:beforeAutospacing="0" w:after="0" w:afterAutospacing="0" w:line="360" w:lineRule="auto"/>
              <w:ind w:left="0" w:right="0" w:firstLine="420" w:firstLineChars="200"/>
              <w:rPr>
                <w:spacing w:val="-8"/>
                <w:highlight w:val="none"/>
              </w:rPr>
            </w:pPr>
            <w:r>
              <w:rPr>
                <w:szCs w:val="21"/>
                <w:highlight w:val="none"/>
              </w:rPr>
              <w:t>对本项目的理解及重难点分析</w:t>
            </w:r>
            <w:r>
              <w:rPr>
                <w:rFonts w:hint="eastAsia"/>
                <w:szCs w:val="21"/>
                <w:highlight w:val="none"/>
              </w:rPr>
              <w:t>至少应</w:t>
            </w:r>
            <w:r>
              <w:rPr>
                <w:spacing w:val="-8"/>
                <w:highlight w:val="none"/>
              </w:rPr>
              <w:t>包含</w:t>
            </w:r>
            <w:r>
              <w:rPr>
                <w:rFonts w:hint="eastAsia"/>
                <w:spacing w:val="-8"/>
                <w:highlight w:val="none"/>
              </w:rPr>
              <w:t>“</w:t>
            </w:r>
            <w:r>
              <w:rPr>
                <w:rFonts w:hint="eastAsia"/>
                <w:b/>
                <w:bCs/>
                <w:highlight w:val="none"/>
              </w:rPr>
              <w:t>①</w:t>
            </w:r>
            <w:r>
              <w:rPr>
                <w:rFonts w:hint="eastAsia"/>
                <w:b/>
                <w:bCs/>
                <w:color w:val="000000"/>
                <w:kern w:val="0"/>
                <w:szCs w:val="21"/>
                <w:highlight w:val="none"/>
              </w:rPr>
              <w:t>对本项目的理解及特点分析</w:t>
            </w:r>
            <w:r>
              <w:rPr>
                <w:rFonts w:hint="eastAsia"/>
                <w:b/>
                <w:bCs/>
                <w:highlight w:val="none"/>
              </w:rPr>
              <w:t>；②</w:t>
            </w:r>
            <w:r>
              <w:rPr>
                <w:rFonts w:hint="eastAsia"/>
                <w:b/>
                <w:bCs/>
                <w:color w:val="000000"/>
                <w:kern w:val="0"/>
                <w:szCs w:val="21"/>
                <w:highlight w:val="none"/>
              </w:rPr>
              <w:t>重点分析及应对措施</w:t>
            </w:r>
            <w:r>
              <w:rPr>
                <w:rFonts w:hint="eastAsia"/>
                <w:b/>
                <w:bCs/>
                <w:highlight w:val="none"/>
              </w:rPr>
              <w:t>；③</w:t>
            </w:r>
            <w:r>
              <w:rPr>
                <w:rFonts w:hint="eastAsia"/>
                <w:b/>
                <w:bCs/>
                <w:color w:val="000000"/>
                <w:kern w:val="0"/>
                <w:szCs w:val="21"/>
                <w:highlight w:val="none"/>
              </w:rPr>
              <w:t>难点分析及解决方案</w:t>
            </w:r>
            <w:r>
              <w:rPr>
                <w:rFonts w:hint="eastAsia"/>
                <w:b/>
                <w:bCs/>
                <w:spacing w:val="-8"/>
                <w:highlight w:val="none"/>
              </w:rPr>
              <w:t>”</w:t>
            </w:r>
            <w:r>
              <w:rPr>
                <w:rFonts w:hint="eastAsia"/>
                <w:spacing w:val="-8"/>
                <w:highlight w:val="none"/>
              </w:rPr>
              <w:t>3项内容</w:t>
            </w:r>
            <w:r>
              <w:rPr>
                <w:spacing w:val="-8"/>
                <w:highlight w:val="none"/>
              </w:rPr>
              <w:t>。</w:t>
            </w:r>
          </w:p>
          <w:p w14:paraId="2ECA168D">
            <w:pPr>
              <w:snapToGrid w:val="0"/>
              <w:spacing w:line="360" w:lineRule="auto"/>
              <w:jc w:val="left"/>
              <w:rPr>
                <w:rFonts w:hint="eastAsia" w:ascii="宋体" w:hAnsi="宋体" w:cs="宋体"/>
                <w:szCs w:val="21"/>
                <w:highlight w:val="none"/>
              </w:rPr>
            </w:pPr>
            <w:r>
              <w:rPr>
                <w:rFonts w:hint="eastAsia" w:ascii="宋体" w:hAnsi="宋体" w:cs="宋体"/>
                <w:szCs w:val="21"/>
                <w:highlight w:val="none"/>
              </w:rPr>
              <w:t>以上</w:t>
            </w:r>
            <w:r>
              <w:rPr>
                <w:rFonts w:hint="eastAsia" w:ascii="宋体" w:hAnsi="宋体" w:cs="宋体"/>
                <w:szCs w:val="21"/>
                <w:highlight w:val="none"/>
                <w:lang w:val="en-US" w:eastAsia="zh-CN"/>
              </w:rPr>
              <w:t>3</w:t>
            </w:r>
            <w:r>
              <w:rPr>
                <w:rFonts w:hint="eastAsia" w:ascii="宋体" w:hAnsi="宋体" w:cs="宋体"/>
                <w:szCs w:val="21"/>
                <w:highlight w:val="none"/>
              </w:rPr>
              <w:t>项内容无漏项、无缺陷</w:t>
            </w:r>
            <w:r>
              <w:rPr>
                <w:rFonts w:hint="eastAsia" w:ascii="宋体" w:hAnsi="宋体" w:cs="宋体"/>
                <w:b/>
                <w:bCs/>
                <w:szCs w:val="21"/>
                <w:highlight w:val="none"/>
              </w:rPr>
              <w:t>得</w:t>
            </w:r>
            <w:r>
              <w:rPr>
                <w:rFonts w:hint="eastAsia" w:ascii="宋体" w:hAnsi="宋体" w:cs="宋体"/>
                <w:b/>
                <w:bCs/>
                <w:szCs w:val="21"/>
                <w:highlight w:val="none"/>
                <w:lang w:val="en-US" w:eastAsia="zh-CN"/>
              </w:rPr>
              <w:t>9</w:t>
            </w:r>
            <w:r>
              <w:rPr>
                <w:rFonts w:hint="eastAsia" w:ascii="宋体" w:hAnsi="宋体" w:cs="宋体"/>
                <w:b/>
                <w:bCs/>
                <w:szCs w:val="21"/>
                <w:highlight w:val="none"/>
              </w:rPr>
              <w:t>分</w:t>
            </w:r>
            <w:r>
              <w:rPr>
                <w:rFonts w:hint="eastAsia" w:ascii="宋体" w:hAnsi="宋体" w:cs="宋体"/>
                <w:szCs w:val="21"/>
                <w:highlight w:val="none"/>
              </w:rPr>
              <w:t>，每缺少一项</w:t>
            </w:r>
            <w:r>
              <w:rPr>
                <w:rFonts w:hint="eastAsia" w:ascii="宋体" w:hAnsi="宋体" w:cs="宋体"/>
                <w:b/>
                <w:bCs/>
                <w:szCs w:val="21"/>
                <w:highlight w:val="none"/>
              </w:rPr>
              <w:t>扣</w:t>
            </w:r>
            <w:r>
              <w:rPr>
                <w:rFonts w:hint="eastAsia" w:ascii="宋体" w:hAnsi="宋体" w:cs="宋体"/>
                <w:b/>
                <w:bCs/>
                <w:szCs w:val="21"/>
                <w:highlight w:val="none"/>
                <w:lang w:val="en-US" w:eastAsia="zh-CN"/>
              </w:rPr>
              <w:t>3</w:t>
            </w:r>
            <w:r>
              <w:rPr>
                <w:rFonts w:hint="eastAsia" w:ascii="宋体" w:hAnsi="宋体" w:cs="宋体"/>
                <w:b/>
                <w:bCs/>
                <w:szCs w:val="21"/>
                <w:highlight w:val="none"/>
              </w:rPr>
              <w:t>分</w:t>
            </w:r>
            <w:r>
              <w:rPr>
                <w:rFonts w:hint="eastAsia" w:ascii="宋体" w:hAnsi="宋体" w:cs="宋体"/>
                <w:szCs w:val="21"/>
                <w:highlight w:val="none"/>
              </w:rPr>
              <w:t>；每有一项内容存在缺陷的</w:t>
            </w:r>
            <w:r>
              <w:rPr>
                <w:rFonts w:hint="eastAsia" w:ascii="宋体" w:hAnsi="宋体" w:cs="宋体"/>
                <w:b/>
                <w:bCs/>
                <w:szCs w:val="21"/>
                <w:highlight w:val="none"/>
              </w:rPr>
              <w:t>扣</w:t>
            </w:r>
            <w:r>
              <w:rPr>
                <w:rFonts w:hint="eastAsia" w:ascii="宋体" w:hAnsi="宋体" w:cs="宋体"/>
                <w:b/>
                <w:bCs/>
                <w:szCs w:val="21"/>
                <w:highlight w:val="none"/>
                <w:lang w:val="en-US" w:eastAsia="zh-CN"/>
              </w:rPr>
              <w:t>1.5</w:t>
            </w:r>
            <w:r>
              <w:rPr>
                <w:rFonts w:hint="eastAsia" w:ascii="宋体" w:hAnsi="宋体" w:cs="宋体"/>
                <w:b/>
                <w:bCs/>
                <w:szCs w:val="21"/>
                <w:highlight w:val="none"/>
              </w:rPr>
              <w:t>分</w:t>
            </w:r>
            <w:r>
              <w:rPr>
                <w:rFonts w:hint="eastAsia" w:ascii="宋体" w:hAnsi="宋体" w:cs="宋体"/>
                <w:szCs w:val="21"/>
                <w:highlight w:val="none"/>
              </w:rPr>
              <w:t>，未提供方案的不得分。</w:t>
            </w:r>
          </w:p>
          <w:p w14:paraId="3E87DD02">
            <w:pPr>
              <w:adjustRightInd w:val="0"/>
              <w:snapToGrid w:val="0"/>
              <w:rPr>
                <w:rFonts w:cs="宋体"/>
                <w:b/>
                <w:bCs/>
                <w:szCs w:val="21"/>
                <w:highlight w:val="none"/>
              </w:rPr>
            </w:pPr>
            <w:r>
              <w:rPr>
                <w:rFonts w:hint="eastAsia" w:ascii="宋体" w:hAnsi="宋体" w:cs="宋体"/>
                <w:szCs w:val="21"/>
                <w:highlight w:val="none"/>
              </w:rPr>
              <w:t>（缺陷是指：非专门针对本项目或不适用项目特性的情形、套用其他项目方案、内容前后矛盾、方案内容交叉混乱、缺乏重点、生搬硬造、套用错用、存在歧义、层次粗略、仅有标题或框架缺乏具体说明阐述或阐述说明缺乏完整性的情形等任意一种情形。）</w:t>
            </w:r>
            <w:r>
              <w:rPr>
                <w:rFonts w:hint="eastAsia"/>
                <w:bCs/>
                <w:szCs w:val="21"/>
                <w:highlight w:val="none"/>
              </w:rPr>
              <w:t>。</w:t>
            </w:r>
          </w:p>
        </w:tc>
      </w:tr>
      <w:tr w14:paraId="7B2781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17" w:type="dxa"/>
            <w:vMerge w:val="continue"/>
            <w:noWrap/>
            <w:vAlign w:val="center"/>
          </w:tcPr>
          <w:p w14:paraId="39D0878E">
            <w:pPr>
              <w:jc w:val="center"/>
              <w:rPr>
                <w:rFonts w:hint="eastAsia" w:cs="宋体"/>
                <w:b/>
                <w:bCs/>
                <w:szCs w:val="21"/>
                <w:highlight w:val="none"/>
              </w:rPr>
            </w:pPr>
          </w:p>
        </w:tc>
        <w:tc>
          <w:tcPr>
            <w:tcW w:w="709" w:type="dxa"/>
            <w:vMerge w:val="continue"/>
            <w:noWrap/>
            <w:vAlign w:val="center"/>
          </w:tcPr>
          <w:p w14:paraId="249D6E74">
            <w:pPr>
              <w:jc w:val="center"/>
              <w:rPr>
                <w:rFonts w:hint="eastAsia" w:cs="宋体"/>
                <w:b/>
                <w:bCs/>
                <w:szCs w:val="21"/>
                <w:highlight w:val="none"/>
              </w:rPr>
            </w:pPr>
          </w:p>
        </w:tc>
        <w:tc>
          <w:tcPr>
            <w:tcW w:w="1559" w:type="dxa"/>
            <w:noWrap/>
            <w:vAlign w:val="center"/>
          </w:tcPr>
          <w:p w14:paraId="51B9E9D1">
            <w:pPr>
              <w:spacing w:line="312" w:lineRule="auto"/>
              <w:jc w:val="center"/>
              <w:rPr>
                <w:rFonts w:cs="宋体"/>
                <w:b/>
                <w:bCs/>
                <w:szCs w:val="21"/>
                <w:highlight w:val="none"/>
              </w:rPr>
            </w:pPr>
            <w:r>
              <w:rPr>
                <w:rFonts w:hint="eastAsia" w:cs="宋体"/>
                <w:b/>
                <w:bCs/>
                <w:szCs w:val="21"/>
                <w:highlight w:val="none"/>
              </w:rPr>
              <w:t>整体服务方案</w:t>
            </w:r>
          </w:p>
          <w:p w14:paraId="2B8353C9">
            <w:pPr>
              <w:spacing w:line="312" w:lineRule="auto"/>
              <w:jc w:val="center"/>
              <w:rPr>
                <w:rFonts w:cs="宋体"/>
                <w:b/>
                <w:bCs/>
                <w:szCs w:val="21"/>
                <w:highlight w:val="none"/>
              </w:rPr>
            </w:pPr>
            <w:r>
              <w:rPr>
                <w:rFonts w:hint="eastAsia" w:cs="宋体"/>
                <w:b/>
                <w:bCs/>
                <w:szCs w:val="21"/>
                <w:highlight w:val="none"/>
              </w:rPr>
              <w:t>（满分</w:t>
            </w:r>
            <w:r>
              <w:rPr>
                <w:rFonts w:hint="eastAsia" w:cs="宋体"/>
                <w:b/>
                <w:bCs/>
                <w:szCs w:val="21"/>
                <w:highlight w:val="none"/>
                <w:lang w:val="en-US" w:eastAsia="zh-CN"/>
              </w:rPr>
              <w:t>30</w:t>
            </w:r>
            <w:r>
              <w:rPr>
                <w:rFonts w:hint="eastAsia" w:cs="宋体"/>
                <w:b/>
                <w:bCs/>
                <w:szCs w:val="21"/>
                <w:highlight w:val="none"/>
              </w:rPr>
              <w:t>分）</w:t>
            </w:r>
          </w:p>
        </w:tc>
        <w:tc>
          <w:tcPr>
            <w:tcW w:w="6877" w:type="dxa"/>
            <w:noWrap/>
            <w:vAlign w:val="center"/>
          </w:tcPr>
          <w:p w14:paraId="71F4E1D9">
            <w:pPr>
              <w:snapToGrid w:val="0"/>
              <w:spacing w:line="312" w:lineRule="auto"/>
              <w:jc w:val="left"/>
              <w:rPr>
                <w:rFonts w:cs="宋体"/>
                <w:b/>
                <w:szCs w:val="21"/>
                <w:highlight w:val="none"/>
              </w:rPr>
            </w:pPr>
            <w:r>
              <w:rPr>
                <w:rFonts w:hint="eastAsia" w:cs="宋体"/>
                <w:b/>
                <w:szCs w:val="21"/>
                <w:highlight w:val="none"/>
              </w:rPr>
              <w:t>根据投标人提供的整体服务方案内容进行评审及评分。</w:t>
            </w:r>
          </w:p>
          <w:p w14:paraId="344E2494">
            <w:pPr>
              <w:snapToGrid w:val="0"/>
              <w:spacing w:line="360" w:lineRule="auto"/>
              <w:jc w:val="left"/>
              <w:rPr>
                <w:rFonts w:hint="eastAsia"/>
                <w:spacing w:val="-8"/>
                <w:highlight w:val="none"/>
              </w:rPr>
            </w:pPr>
            <w:r>
              <w:rPr>
                <w:rFonts w:hint="eastAsia" w:cs="宋体"/>
                <w:szCs w:val="21"/>
                <w:highlight w:val="none"/>
              </w:rPr>
              <w:t>投标人提供的整体服务方案，至少应包含</w:t>
            </w:r>
            <w:r>
              <w:rPr>
                <w:rFonts w:hint="eastAsia"/>
                <w:spacing w:val="-8"/>
                <w:highlight w:val="none"/>
              </w:rPr>
              <w:t>“</w:t>
            </w:r>
            <w:r>
              <w:rPr>
                <w:rFonts w:hint="eastAsia"/>
                <w:b/>
                <w:bCs/>
                <w:highlight w:val="none"/>
              </w:rPr>
              <w:t>①印刷工艺、设计排版与文稿校对工作服务方案；②生产设备与产能保障方案；③服务</w:t>
            </w:r>
            <w:r>
              <w:rPr>
                <w:rFonts w:hint="eastAsia"/>
                <w:b/>
                <w:bCs/>
                <w:highlight w:val="none"/>
                <w:lang w:val="en-US" w:eastAsia="zh-CN"/>
              </w:rPr>
              <w:t>方式及服务</w:t>
            </w:r>
            <w:r>
              <w:rPr>
                <w:rFonts w:hint="eastAsia"/>
                <w:b/>
                <w:bCs/>
                <w:highlight w:val="none"/>
              </w:rPr>
              <w:t>流程；④项目组织实施计划；⑤质量管理控制</w:t>
            </w:r>
            <w:r>
              <w:rPr>
                <w:rFonts w:hint="eastAsia"/>
                <w:b/>
                <w:bCs/>
                <w:highlight w:val="none"/>
                <w:lang w:val="en-US" w:eastAsia="zh-CN"/>
              </w:rPr>
              <w:t>方案；⑥售后服务方案；</w:t>
            </w:r>
            <w:r>
              <w:rPr>
                <w:rFonts w:hint="eastAsia"/>
                <w:spacing w:val="-8"/>
                <w:highlight w:val="none"/>
              </w:rPr>
              <w:t>”</w:t>
            </w:r>
          </w:p>
          <w:p w14:paraId="5001B176">
            <w:pPr>
              <w:snapToGrid w:val="0"/>
              <w:spacing w:line="360" w:lineRule="auto"/>
              <w:jc w:val="left"/>
              <w:rPr>
                <w:rFonts w:hint="eastAsia" w:ascii="宋体" w:hAnsi="宋体" w:cs="宋体"/>
                <w:szCs w:val="21"/>
                <w:highlight w:val="none"/>
              </w:rPr>
            </w:pPr>
            <w:r>
              <w:rPr>
                <w:rFonts w:hint="eastAsia" w:ascii="宋体" w:hAnsi="宋体" w:cs="宋体"/>
                <w:szCs w:val="21"/>
                <w:highlight w:val="none"/>
              </w:rPr>
              <w:t>以上</w:t>
            </w:r>
            <w:r>
              <w:rPr>
                <w:rFonts w:hint="eastAsia" w:ascii="宋体" w:hAnsi="宋体" w:cs="宋体"/>
                <w:szCs w:val="21"/>
                <w:highlight w:val="none"/>
                <w:lang w:val="en-US" w:eastAsia="zh-CN"/>
              </w:rPr>
              <w:t>6</w:t>
            </w:r>
            <w:r>
              <w:rPr>
                <w:rFonts w:hint="eastAsia" w:ascii="宋体" w:hAnsi="宋体" w:cs="宋体"/>
                <w:szCs w:val="21"/>
                <w:highlight w:val="none"/>
              </w:rPr>
              <w:t>项内容无漏项、无缺陷</w:t>
            </w:r>
            <w:r>
              <w:rPr>
                <w:rFonts w:hint="eastAsia" w:ascii="宋体" w:hAnsi="宋体" w:cs="宋体"/>
                <w:b/>
                <w:bCs/>
                <w:szCs w:val="21"/>
                <w:highlight w:val="none"/>
              </w:rPr>
              <w:t>得</w:t>
            </w:r>
            <w:r>
              <w:rPr>
                <w:rFonts w:hint="eastAsia" w:ascii="宋体" w:hAnsi="宋体" w:cs="宋体"/>
                <w:b/>
                <w:bCs/>
                <w:szCs w:val="21"/>
                <w:highlight w:val="none"/>
                <w:lang w:val="en-US" w:eastAsia="zh-CN"/>
              </w:rPr>
              <w:t>30</w:t>
            </w:r>
            <w:r>
              <w:rPr>
                <w:rFonts w:hint="eastAsia" w:ascii="宋体" w:hAnsi="宋体" w:cs="宋体"/>
                <w:b/>
                <w:bCs/>
                <w:szCs w:val="21"/>
                <w:highlight w:val="none"/>
              </w:rPr>
              <w:t>分</w:t>
            </w:r>
            <w:r>
              <w:rPr>
                <w:rFonts w:hint="eastAsia" w:ascii="宋体" w:hAnsi="宋体" w:cs="宋体"/>
                <w:szCs w:val="21"/>
                <w:highlight w:val="none"/>
              </w:rPr>
              <w:t>，每缺少一项</w:t>
            </w:r>
            <w:r>
              <w:rPr>
                <w:rFonts w:hint="eastAsia" w:ascii="宋体" w:hAnsi="宋体" w:cs="宋体"/>
                <w:b/>
                <w:bCs/>
                <w:szCs w:val="21"/>
                <w:highlight w:val="none"/>
              </w:rPr>
              <w:t>扣</w:t>
            </w:r>
            <w:r>
              <w:rPr>
                <w:rFonts w:hint="eastAsia" w:ascii="宋体" w:hAnsi="宋体" w:cs="宋体"/>
                <w:b/>
                <w:bCs/>
                <w:szCs w:val="21"/>
                <w:highlight w:val="none"/>
                <w:lang w:val="en-US" w:eastAsia="zh-CN"/>
              </w:rPr>
              <w:t>5</w:t>
            </w:r>
            <w:r>
              <w:rPr>
                <w:rFonts w:hint="eastAsia" w:ascii="宋体" w:hAnsi="宋体" w:cs="宋体"/>
                <w:b/>
                <w:bCs/>
                <w:szCs w:val="21"/>
                <w:highlight w:val="none"/>
              </w:rPr>
              <w:t>分</w:t>
            </w:r>
            <w:r>
              <w:rPr>
                <w:rFonts w:hint="eastAsia" w:ascii="宋体" w:hAnsi="宋体" w:cs="宋体"/>
                <w:szCs w:val="21"/>
                <w:highlight w:val="none"/>
              </w:rPr>
              <w:t>；每有一项内容存在缺陷的</w:t>
            </w:r>
            <w:r>
              <w:rPr>
                <w:rFonts w:hint="eastAsia" w:ascii="宋体" w:hAnsi="宋体" w:cs="宋体"/>
                <w:b/>
                <w:bCs/>
                <w:szCs w:val="21"/>
                <w:highlight w:val="none"/>
              </w:rPr>
              <w:t>扣</w:t>
            </w:r>
            <w:r>
              <w:rPr>
                <w:rFonts w:hint="eastAsia" w:ascii="宋体" w:hAnsi="宋体" w:cs="宋体"/>
                <w:b/>
                <w:bCs/>
                <w:szCs w:val="21"/>
                <w:highlight w:val="none"/>
                <w:lang w:val="en-US" w:eastAsia="zh-CN"/>
              </w:rPr>
              <w:t>2.5</w:t>
            </w:r>
            <w:r>
              <w:rPr>
                <w:rFonts w:hint="eastAsia" w:ascii="宋体" w:hAnsi="宋体" w:cs="宋体"/>
                <w:b/>
                <w:bCs/>
                <w:szCs w:val="21"/>
                <w:highlight w:val="none"/>
              </w:rPr>
              <w:t>分</w:t>
            </w:r>
            <w:r>
              <w:rPr>
                <w:rFonts w:hint="eastAsia" w:ascii="宋体" w:hAnsi="宋体" w:cs="宋体"/>
                <w:szCs w:val="21"/>
                <w:highlight w:val="none"/>
              </w:rPr>
              <w:t>，未提供方案的不得分。</w:t>
            </w:r>
          </w:p>
          <w:p w14:paraId="209C27BB">
            <w:pPr>
              <w:snapToGrid w:val="0"/>
              <w:rPr>
                <w:bCs/>
                <w:szCs w:val="21"/>
                <w:highlight w:val="none"/>
              </w:rPr>
            </w:pPr>
            <w:r>
              <w:rPr>
                <w:rFonts w:hint="eastAsia" w:ascii="宋体" w:hAnsi="宋体" w:cs="宋体"/>
                <w:szCs w:val="21"/>
                <w:highlight w:val="none"/>
              </w:rPr>
              <w:t>（缺陷是指：非专门针对本项目或不适用项目特性的情形、套用其他项目方案、内容前后矛盾、方案内容交叉混乱、缺乏重点、生搬硬造、套用错用、存在歧义、层次粗略、仅有标题或框架缺乏具体说明阐述或阐述说明缺乏完整性的情形等任意一种情形。）</w:t>
            </w:r>
            <w:r>
              <w:rPr>
                <w:rFonts w:hint="eastAsia"/>
                <w:bCs/>
                <w:szCs w:val="21"/>
                <w:highlight w:val="none"/>
              </w:rPr>
              <w:t>。</w:t>
            </w:r>
          </w:p>
        </w:tc>
      </w:tr>
      <w:tr w14:paraId="2A4EBD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17" w:type="dxa"/>
            <w:vMerge w:val="continue"/>
            <w:noWrap/>
            <w:vAlign w:val="center"/>
          </w:tcPr>
          <w:p w14:paraId="109F2467">
            <w:pPr>
              <w:jc w:val="center"/>
              <w:rPr>
                <w:rFonts w:hint="eastAsia" w:cs="宋体"/>
                <w:b/>
                <w:bCs/>
                <w:szCs w:val="21"/>
                <w:highlight w:val="none"/>
              </w:rPr>
            </w:pPr>
          </w:p>
        </w:tc>
        <w:tc>
          <w:tcPr>
            <w:tcW w:w="709" w:type="dxa"/>
            <w:vMerge w:val="continue"/>
            <w:noWrap/>
            <w:vAlign w:val="center"/>
          </w:tcPr>
          <w:p w14:paraId="4A184929">
            <w:pPr>
              <w:jc w:val="center"/>
              <w:rPr>
                <w:rFonts w:hint="eastAsia" w:cs="宋体"/>
                <w:b/>
                <w:bCs/>
                <w:szCs w:val="21"/>
                <w:highlight w:val="none"/>
              </w:rPr>
            </w:pPr>
          </w:p>
        </w:tc>
        <w:tc>
          <w:tcPr>
            <w:tcW w:w="1559" w:type="dxa"/>
            <w:noWrap/>
            <w:vAlign w:val="center"/>
          </w:tcPr>
          <w:p w14:paraId="20DB3C86">
            <w:pPr>
              <w:jc w:val="center"/>
              <w:rPr>
                <w:rFonts w:cs="宋体"/>
                <w:b/>
                <w:bCs/>
                <w:szCs w:val="21"/>
                <w:highlight w:val="none"/>
              </w:rPr>
            </w:pPr>
            <w:r>
              <w:rPr>
                <w:rFonts w:hint="eastAsia" w:cs="宋体"/>
                <w:b/>
                <w:bCs/>
                <w:szCs w:val="21"/>
                <w:highlight w:val="none"/>
              </w:rPr>
              <w:t>服务质量承诺及保证措施</w:t>
            </w:r>
          </w:p>
          <w:p w14:paraId="4C76D5A1">
            <w:pPr>
              <w:jc w:val="center"/>
              <w:rPr>
                <w:rFonts w:hint="eastAsia" w:cs="宋体"/>
                <w:b/>
                <w:bCs/>
                <w:szCs w:val="21"/>
                <w:highlight w:val="none"/>
              </w:rPr>
            </w:pPr>
            <w:r>
              <w:rPr>
                <w:rFonts w:hint="eastAsia" w:cs="宋体"/>
                <w:b/>
                <w:bCs/>
                <w:szCs w:val="21"/>
                <w:highlight w:val="none"/>
              </w:rPr>
              <w:t>（满分</w:t>
            </w:r>
            <w:r>
              <w:rPr>
                <w:rFonts w:hint="eastAsia" w:cs="宋体"/>
                <w:b/>
                <w:bCs/>
                <w:szCs w:val="21"/>
                <w:highlight w:val="none"/>
                <w:lang w:val="en-US" w:eastAsia="zh-CN"/>
              </w:rPr>
              <w:t>12</w:t>
            </w:r>
            <w:r>
              <w:rPr>
                <w:rFonts w:hint="eastAsia" w:cs="宋体"/>
                <w:b/>
                <w:bCs/>
                <w:szCs w:val="21"/>
                <w:highlight w:val="none"/>
              </w:rPr>
              <w:t>分）</w:t>
            </w:r>
          </w:p>
        </w:tc>
        <w:tc>
          <w:tcPr>
            <w:tcW w:w="6877" w:type="dxa"/>
            <w:noWrap/>
            <w:vAlign w:val="center"/>
          </w:tcPr>
          <w:p w14:paraId="3196F3E3">
            <w:pPr>
              <w:rPr>
                <w:rFonts w:cs="宋体"/>
                <w:b/>
                <w:bCs/>
                <w:szCs w:val="21"/>
                <w:highlight w:val="none"/>
              </w:rPr>
            </w:pPr>
            <w:r>
              <w:rPr>
                <w:rFonts w:hint="eastAsia" w:cs="宋体"/>
                <w:b/>
                <w:bCs/>
                <w:szCs w:val="21"/>
                <w:highlight w:val="none"/>
              </w:rPr>
              <w:t>根据投标人提供的服务质量承诺及保证措施内容进行评审及评分。</w:t>
            </w:r>
          </w:p>
          <w:p w14:paraId="2F30BFA2">
            <w:pPr>
              <w:snapToGrid w:val="0"/>
              <w:spacing w:line="360" w:lineRule="auto"/>
              <w:jc w:val="left"/>
              <w:rPr>
                <w:rFonts w:hint="eastAsia"/>
                <w:szCs w:val="21"/>
                <w:highlight w:val="none"/>
              </w:rPr>
            </w:pPr>
            <w:r>
              <w:rPr>
                <w:rFonts w:hint="eastAsia"/>
                <w:szCs w:val="21"/>
                <w:highlight w:val="none"/>
              </w:rPr>
              <w:t>投标人提供的服务质量承诺及保证措施，至少应包含</w:t>
            </w:r>
            <w:r>
              <w:rPr>
                <w:rFonts w:hint="eastAsia"/>
                <w:b/>
                <w:bCs/>
                <w:szCs w:val="21"/>
                <w:highlight w:val="none"/>
              </w:rPr>
              <w:t>“①</w:t>
            </w:r>
            <w:r>
              <w:rPr>
                <w:rFonts w:hint="eastAsia" w:cs="宋体"/>
                <w:b/>
                <w:bCs/>
                <w:szCs w:val="21"/>
                <w:highlight w:val="none"/>
              </w:rPr>
              <w:t>服务</w:t>
            </w:r>
            <w:r>
              <w:rPr>
                <w:rFonts w:hint="eastAsia"/>
                <w:b/>
                <w:bCs/>
                <w:szCs w:val="21"/>
                <w:highlight w:val="none"/>
              </w:rPr>
              <w:t>质量目标承诺；②服务质量保证措施；③违约承诺及处罚措施”</w:t>
            </w:r>
            <w:r>
              <w:rPr>
                <w:rFonts w:hint="eastAsia"/>
                <w:szCs w:val="21"/>
                <w:highlight w:val="none"/>
              </w:rPr>
              <w:t>3项内容。</w:t>
            </w:r>
          </w:p>
          <w:p w14:paraId="5B219DB9">
            <w:pPr>
              <w:snapToGrid w:val="0"/>
              <w:spacing w:line="360" w:lineRule="auto"/>
              <w:jc w:val="left"/>
              <w:rPr>
                <w:rFonts w:hint="eastAsia" w:ascii="宋体" w:hAnsi="宋体" w:cs="宋体"/>
                <w:szCs w:val="21"/>
                <w:highlight w:val="none"/>
              </w:rPr>
            </w:pPr>
            <w:r>
              <w:rPr>
                <w:rFonts w:hint="eastAsia" w:ascii="宋体" w:hAnsi="宋体" w:cs="宋体"/>
                <w:szCs w:val="21"/>
                <w:highlight w:val="none"/>
              </w:rPr>
              <w:t>以上</w:t>
            </w:r>
            <w:r>
              <w:rPr>
                <w:rFonts w:hint="eastAsia" w:ascii="宋体" w:hAnsi="宋体" w:cs="宋体"/>
                <w:szCs w:val="21"/>
                <w:highlight w:val="none"/>
                <w:lang w:val="en-US" w:eastAsia="zh-CN"/>
              </w:rPr>
              <w:t>3</w:t>
            </w:r>
            <w:r>
              <w:rPr>
                <w:rFonts w:hint="eastAsia" w:ascii="宋体" w:hAnsi="宋体" w:cs="宋体"/>
                <w:szCs w:val="21"/>
                <w:highlight w:val="none"/>
              </w:rPr>
              <w:t>项内容无漏项、无缺陷</w:t>
            </w:r>
            <w:r>
              <w:rPr>
                <w:rFonts w:hint="eastAsia" w:ascii="宋体" w:hAnsi="宋体" w:cs="宋体"/>
                <w:b/>
                <w:bCs/>
                <w:szCs w:val="21"/>
                <w:highlight w:val="none"/>
              </w:rPr>
              <w:t>得</w:t>
            </w:r>
            <w:r>
              <w:rPr>
                <w:rFonts w:hint="eastAsia" w:ascii="宋体" w:hAnsi="宋体" w:cs="宋体"/>
                <w:b/>
                <w:bCs/>
                <w:szCs w:val="21"/>
                <w:highlight w:val="none"/>
                <w:lang w:val="en-US" w:eastAsia="zh-CN"/>
              </w:rPr>
              <w:t>12</w:t>
            </w:r>
            <w:r>
              <w:rPr>
                <w:rFonts w:hint="eastAsia" w:ascii="宋体" w:hAnsi="宋体" w:cs="宋体"/>
                <w:b/>
                <w:bCs/>
                <w:szCs w:val="21"/>
                <w:highlight w:val="none"/>
              </w:rPr>
              <w:t>分</w:t>
            </w:r>
            <w:r>
              <w:rPr>
                <w:rFonts w:hint="eastAsia" w:ascii="宋体" w:hAnsi="宋体" w:cs="宋体"/>
                <w:szCs w:val="21"/>
                <w:highlight w:val="none"/>
              </w:rPr>
              <w:t>，每缺少一项</w:t>
            </w:r>
            <w:r>
              <w:rPr>
                <w:rFonts w:hint="eastAsia" w:ascii="宋体" w:hAnsi="宋体" w:cs="宋体"/>
                <w:b/>
                <w:bCs/>
                <w:szCs w:val="21"/>
                <w:highlight w:val="none"/>
              </w:rPr>
              <w:t>扣</w:t>
            </w:r>
            <w:r>
              <w:rPr>
                <w:rFonts w:hint="eastAsia" w:ascii="宋体" w:hAnsi="宋体" w:cs="宋体"/>
                <w:b/>
                <w:bCs/>
                <w:szCs w:val="21"/>
                <w:highlight w:val="none"/>
                <w:lang w:val="en-US" w:eastAsia="zh-CN"/>
              </w:rPr>
              <w:t>4</w:t>
            </w:r>
            <w:r>
              <w:rPr>
                <w:rFonts w:hint="eastAsia" w:ascii="宋体" w:hAnsi="宋体" w:cs="宋体"/>
                <w:b/>
                <w:bCs/>
                <w:szCs w:val="21"/>
                <w:highlight w:val="none"/>
              </w:rPr>
              <w:t>分</w:t>
            </w:r>
            <w:r>
              <w:rPr>
                <w:rFonts w:hint="eastAsia" w:ascii="宋体" w:hAnsi="宋体" w:cs="宋体"/>
                <w:szCs w:val="21"/>
                <w:highlight w:val="none"/>
              </w:rPr>
              <w:t>；每有一项内容存在缺陷的</w:t>
            </w:r>
            <w:r>
              <w:rPr>
                <w:rFonts w:hint="eastAsia" w:ascii="宋体" w:hAnsi="宋体" w:cs="宋体"/>
                <w:b/>
                <w:bCs/>
                <w:szCs w:val="21"/>
                <w:highlight w:val="none"/>
              </w:rPr>
              <w:t>扣</w:t>
            </w:r>
            <w:r>
              <w:rPr>
                <w:rFonts w:hint="eastAsia" w:ascii="宋体" w:hAnsi="宋体" w:cs="宋体"/>
                <w:b/>
                <w:bCs/>
                <w:szCs w:val="21"/>
                <w:highlight w:val="none"/>
                <w:lang w:val="en-US" w:eastAsia="zh-CN"/>
              </w:rPr>
              <w:t>2</w:t>
            </w:r>
            <w:r>
              <w:rPr>
                <w:rFonts w:hint="eastAsia" w:ascii="宋体" w:hAnsi="宋体" w:cs="宋体"/>
                <w:b/>
                <w:bCs/>
                <w:szCs w:val="21"/>
                <w:highlight w:val="none"/>
              </w:rPr>
              <w:t>分</w:t>
            </w:r>
            <w:r>
              <w:rPr>
                <w:rFonts w:hint="eastAsia" w:ascii="宋体" w:hAnsi="宋体" w:cs="宋体"/>
                <w:szCs w:val="21"/>
                <w:highlight w:val="none"/>
              </w:rPr>
              <w:t>，未提供方案的不得分。</w:t>
            </w:r>
          </w:p>
          <w:p w14:paraId="32F148D6">
            <w:pPr>
              <w:pStyle w:val="409"/>
              <w:rPr>
                <w:rFonts w:hint="eastAsia"/>
                <w:bCs/>
                <w:szCs w:val="21"/>
                <w:highlight w:val="none"/>
              </w:rPr>
            </w:pPr>
            <w:r>
              <w:rPr>
                <w:rFonts w:hint="eastAsia" w:ascii="宋体" w:hAnsi="宋体" w:cs="宋体"/>
                <w:szCs w:val="21"/>
                <w:highlight w:val="none"/>
              </w:rPr>
              <w:t>（缺陷是指：非专门针对本项目或不适用项目特性的情形、套用其他项目方案、内容前后矛盾、方案内容交叉混乱、缺乏重点、生搬硬造、套用错用、存在歧义、层次粗略、仅有标题或框架缺乏具体说明阐述或阐述说明缺乏完整性的情形等任意一种情形。）</w:t>
            </w:r>
            <w:r>
              <w:rPr>
                <w:rFonts w:hint="eastAsia"/>
                <w:bCs/>
                <w:szCs w:val="21"/>
                <w:highlight w:val="none"/>
              </w:rPr>
              <w:t>。</w:t>
            </w:r>
          </w:p>
        </w:tc>
      </w:tr>
      <w:tr w14:paraId="1D1946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17" w:type="dxa"/>
            <w:vMerge w:val="continue"/>
            <w:noWrap/>
            <w:vAlign w:val="center"/>
          </w:tcPr>
          <w:p w14:paraId="64029865">
            <w:pPr>
              <w:jc w:val="center"/>
              <w:rPr>
                <w:rFonts w:hint="eastAsia" w:cs="宋体"/>
                <w:b/>
                <w:bCs/>
                <w:szCs w:val="21"/>
                <w:highlight w:val="none"/>
              </w:rPr>
            </w:pPr>
          </w:p>
        </w:tc>
        <w:tc>
          <w:tcPr>
            <w:tcW w:w="709" w:type="dxa"/>
            <w:vMerge w:val="continue"/>
            <w:noWrap/>
            <w:vAlign w:val="center"/>
          </w:tcPr>
          <w:p w14:paraId="0A121A54">
            <w:pPr>
              <w:jc w:val="center"/>
              <w:rPr>
                <w:rFonts w:hint="eastAsia" w:cs="宋体"/>
                <w:b/>
                <w:bCs/>
                <w:szCs w:val="21"/>
                <w:highlight w:val="none"/>
              </w:rPr>
            </w:pPr>
          </w:p>
        </w:tc>
        <w:tc>
          <w:tcPr>
            <w:tcW w:w="1559" w:type="dxa"/>
            <w:noWrap/>
            <w:vAlign w:val="center"/>
          </w:tcPr>
          <w:p w14:paraId="7C612173">
            <w:pPr>
              <w:jc w:val="center"/>
              <w:rPr>
                <w:rFonts w:cs="宋体"/>
                <w:b/>
                <w:szCs w:val="21"/>
                <w:highlight w:val="none"/>
              </w:rPr>
            </w:pPr>
            <w:r>
              <w:rPr>
                <w:rFonts w:hint="eastAsia" w:cs="宋体"/>
                <w:b/>
                <w:szCs w:val="21"/>
                <w:highlight w:val="none"/>
              </w:rPr>
              <w:t>项目团队人员配备</w:t>
            </w:r>
          </w:p>
          <w:p w14:paraId="47608E88">
            <w:pPr>
              <w:jc w:val="center"/>
              <w:rPr>
                <w:rFonts w:cs="宋体"/>
                <w:b/>
                <w:bCs/>
                <w:szCs w:val="21"/>
                <w:highlight w:val="none"/>
              </w:rPr>
            </w:pPr>
            <w:r>
              <w:rPr>
                <w:rFonts w:hint="eastAsia" w:cs="宋体"/>
                <w:b/>
                <w:szCs w:val="21"/>
                <w:highlight w:val="none"/>
              </w:rPr>
              <w:t>（满分1</w:t>
            </w:r>
            <w:r>
              <w:rPr>
                <w:rFonts w:hint="eastAsia" w:cs="宋体"/>
                <w:b/>
                <w:szCs w:val="21"/>
                <w:highlight w:val="none"/>
                <w:lang w:val="en-US" w:eastAsia="zh-CN"/>
              </w:rPr>
              <w:t>2</w:t>
            </w:r>
            <w:r>
              <w:rPr>
                <w:rFonts w:hint="eastAsia" w:cs="宋体"/>
                <w:b/>
                <w:szCs w:val="21"/>
                <w:highlight w:val="none"/>
              </w:rPr>
              <w:t>分）</w:t>
            </w:r>
          </w:p>
        </w:tc>
        <w:tc>
          <w:tcPr>
            <w:tcW w:w="6877" w:type="dxa"/>
            <w:noWrap/>
            <w:vAlign w:val="center"/>
          </w:tcPr>
          <w:p w14:paraId="523F2FD4">
            <w:pPr>
              <w:rPr>
                <w:rFonts w:cs="宋体"/>
                <w:b/>
                <w:bCs/>
                <w:szCs w:val="21"/>
                <w:highlight w:val="none"/>
              </w:rPr>
            </w:pPr>
            <w:r>
              <w:rPr>
                <w:rFonts w:hint="eastAsia" w:cs="宋体"/>
                <w:b/>
                <w:bCs/>
                <w:szCs w:val="21"/>
                <w:highlight w:val="none"/>
              </w:rPr>
              <w:t>根据投标人提供的项目</w:t>
            </w:r>
            <w:r>
              <w:rPr>
                <w:rFonts w:hint="eastAsia" w:cs="宋体"/>
                <w:b/>
                <w:szCs w:val="21"/>
                <w:highlight w:val="none"/>
              </w:rPr>
              <w:t>团队人员配备方案</w:t>
            </w:r>
            <w:r>
              <w:rPr>
                <w:rFonts w:hint="eastAsia" w:cs="宋体"/>
                <w:b/>
                <w:bCs/>
                <w:szCs w:val="21"/>
                <w:highlight w:val="none"/>
              </w:rPr>
              <w:t>进行评审及评分。</w:t>
            </w:r>
          </w:p>
          <w:p w14:paraId="7622D5B9">
            <w:pPr>
              <w:rPr>
                <w:rFonts w:hint="eastAsia"/>
                <w:szCs w:val="21"/>
                <w:highlight w:val="none"/>
              </w:rPr>
            </w:pPr>
            <w:r>
              <w:rPr>
                <w:rFonts w:hint="eastAsia" w:ascii="宋体" w:hAnsi="宋体" w:cs="宋体"/>
                <w:szCs w:val="21"/>
                <w:highlight w:val="none"/>
                <w:lang w:val="en-US" w:eastAsia="zh-CN"/>
              </w:rPr>
              <w:t>1.投标人提供了拟投入人员清单，并提供了</w:t>
            </w:r>
            <w:r>
              <w:rPr>
                <w:rFonts w:hint="eastAsia" w:ascii="宋体" w:hAnsi="宋体" w:cs="宋体"/>
                <w:szCs w:val="21"/>
                <w:highlight w:val="none"/>
              </w:rPr>
              <w:t>身份证、劳动合同或社保、相关证书（如有）</w:t>
            </w:r>
            <w:r>
              <w:rPr>
                <w:rFonts w:hint="eastAsia" w:ascii="宋体" w:hAnsi="宋体" w:cs="宋体"/>
                <w:szCs w:val="21"/>
                <w:highlight w:val="none"/>
                <w:lang w:val="en-US" w:eastAsia="zh-CN"/>
              </w:rPr>
              <w:t>的</w:t>
            </w:r>
            <w:r>
              <w:rPr>
                <w:rFonts w:hint="eastAsia" w:ascii="宋体" w:hAnsi="宋体" w:cs="宋体"/>
                <w:b/>
                <w:bCs/>
                <w:szCs w:val="21"/>
                <w:highlight w:val="none"/>
                <w:lang w:val="en-US" w:eastAsia="zh-CN"/>
              </w:rPr>
              <w:t>得1分</w:t>
            </w:r>
            <w:r>
              <w:rPr>
                <w:rFonts w:hint="eastAsia" w:ascii="宋体" w:hAnsi="宋体" w:cs="宋体"/>
                <w:szCs w:val="21"/>
                <w:highlight w:val="none"/>
                <w:lang w:val="en-US" w:eastAsia="zh-CN"/>
              </w:rPr>
              <w:t>。拟投入的人员满足项目需求并提供了到位承诺的</w:t>
            </w:r>
            <w:r>
              <w:rPr>
                <w:rFonts w:hint="eastAsia" w:ascii="宋体" w:hAnsi="宋体" w:cs="宋体"/>
                <w:b/>
                <w:bCs/>
                <w:szCs w:val="21"/>
                <w:highlight w:val="none"/>
                <w:lang w:val="en-US" w:eastAsia="zh-CN"/>
              </w:rPr>
              <w:t>加2分</w:t>
            </w:r>
            <w:r>
              <w:rPr>
                <w:rFonts w:hint="eastAsia" w:ascii="宋体" w:hAnsi="宋体" w:cs="宋体"/>
                <w:szCs w:val="21"/>
                <w:highlight w:val="none"/>
                <w:lang w:val="en-US" w:eastAsia="zh-CN"/>
              </w:rPr>
              <w:t>。</w:t>
            </w:r>
          </w:p>
          <w:p w14:paraId="5E5E463C">
            <w:pPr>
              <w:rPr>
                <w:rFonts w:hint="eastAsia"/>
                <w:szCs w:val="21"/>
                <w:highlight w:val="none"/>
              </w:rPr>
            </w:pPr>
            <w:r>
              <w:rPr>
                <w:rFonts w:hint="eastAsia"/>
                <w:szCs w:val="21"/>
                <w:highlight w:val="none"/>
                <w:lang w:val="en-US" w:eastAsia="zh-CN"/>
              </w:rPr>
              <w:t>2.</w:t>
            </w:r>
            <w:r>
              <w:rPr>
                <w:rFonts w:hint="eastAsia"/>
                <w:szCs w:val="21"/>
                <w:highlight w:val="none"/>
              </w:rPr>
              <w:t>投标人提供的项目团队人员配备方案，至少应包含</w:t>
            </w:r>
            <w:r>
              <w:rPr>
                <w:rFonts w:hint="eastAsia"/>
                <w:b/>
                <w:bCs/>
                <w:szCs w:val="21"/>
                <w:highlight w:val="none"/>
              </w:rPr>
              <w:t>“①人员岗位职责分工方案；②人员</w:t>
            </w:r>
            <w:r>
              <w:rPr>
                <w:rFonts w:hint="eastAsia"/>
                <w:b/>
                <w:bCs/>
                <w:szCs w:val="21"/>
                <w:highlight w:val="none"/>
                <w:lang w:val="en-US" w:eastAsia="zh-CN"/>
              </w:rPr>
              <w:t>管理</w:t>
            </w:r>
            <w:r>
              <w:rPr>
                <w:rFonts w:hint="eastAsia"/>
                <w:b/>
                <w:bCs/>
                <w:szCs w:val="21"/>
                <w:highlight w:val="none"/>
              </w:rPr>
              <w:t>方案；③</w:t>
            </w:r>
            <w:r>
              <w:rPr>
                <w:rFonts w:hint="eastAsia" w:ascii="宋体" w:hAnsi="宋体" w:cs="宋体"/>
                <w:b/>
                <w:bCs/>
                <w:szCs w:val="21"/>
                <w:highlight w:val="none"/>
              </w:rPr>
              <w:t>服务效率及服务标准</w:t>
            </w:r>
            <w:r>
              <w:rPr>
                <w:rFonts w:hint="eastAsia"/>
                <w:b/>
                <w:bCs/>
                <w:szCs w:val="21"/>
                <w:highlight w:val="none"/>
              </w:rPr>
              <w:t>”</w:t>
            </w:r>
            <w:r>
              <w:rPr>
                <w:rFonts w:hint="eastAsia"/>
                <w:szCs w:val="21"/>
                <w:highlight w:val="none"/>
                <w:lang w:val="en-US" w:eastAsia="zh-CN"/>
              </w:rPr>
              <w:t>3</w:t>
            </w:r>
            <w:r>
              <w:rPr>
                <w:rFonts w:hint="eastAsia"/>
                <w:szCs w:val="21"/>
                <w:highlight w:val="none"/>
              </w:rPr>
              <w:t>项内容。</w:t>
            </w:r>
          </w:p>
          <w:p w14:paraId="2DCE224D">
            <w:pPr>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以上3项内容无漏项、无缺陷</w:t>
            </w:r>
            <w:r>
              <w:rPr>
                <w:rFonts w:hint="eastAsia" w:ascii="宋体" w:hAnsi="宋体" w:cs="宋体"/>
                <w:b/>
                <w:bCs/>
                <w:szCs w:val="21"/>
                <w:highlight w:val="none"/>
              </w:rPr>
              <w:t>得</w:t>
            </w:r>
            <w:r>
              <w:rPr>
                <w:rFonts w:hint="eastAsia" w:ascii="宋体" w:hAnsi="宋体" w:cs="宋体"/>
                <w:b/>
                <w:bCs/>
                <w:szCs w:val="21"/>
                <w:highlight w:val="none"/>
                <w:lang w:val="en-US" w:eastAsia="zh-CN"/>
              </w:rPr>
              <w:t>9</w:t>
            </w:r>
            <w:r>
              <w:rPr>
                <w:rFonts w:hint="eastAsia" w:ascii="宋体" w:hAnsi="宋体" w:cs="宋体"/>
                <w:b/>
                <w:bCs/>
                <w:szCs w:val="21"/>
                <w:highlight w:val="none"/>
              </w:rPr>
              <w:t>分</w:t>
            </w:r>
            <w:r>
              <w:rPr>
                <w:rFonts w:hint="eastAsia" w:ascii="宋体" w:hAnsi="宋体" w:cs="宋体"/>
                <w:szCs w:val="21"/>
                <w:highlight w:val="none"/>
              </w:rPr>
              <w:t>，每缺少一项</w:t>
            </w:r>
            <w:r>
              <w:rPr>
                <w:rFonts w:hint="eastAsia" w:ascii="宋体" w:hAnsi="宋体" w:cs="宋体"/>
                <w:b/>
                <w:bCs/>
                <w:szCs w:val="21"/>
                <w:highlight w:val="none"/>
              </w:rPr>
              <w:t>扣</w:t>
            </w:r>
            <w:r>
              <w:rPr>
                <w:rFonts w:hint="eastAsia" w:ascii="宋体" w:hAnsi="宋体" w:cs="宋体"/>
                <w:b/>
                <w:bCs/>
                <w:szCs w:val="21"/>
                <w:highlight w:val="none"/>
                <w:lang w:val="en-US" w:eastAsia="zh-CN"/>
              </w:rPr>
              <w:t>3</w:t>
            </w:r>
            <w:r>
              <w:rPr>
                <w:rFonts w:hint="eastAsia" w:ascii="宋体" w:hAnsi="宋体" w:cs="宋体"/>
                <w:b/>
                <w:bCs/>
                <w:szCs w:val="21"/>
                <w:highlight w:val="none"/>
              </w:rPr>
              <w:t>分</w:t>
            </w:r>
            <w:r>
              <w:rPr>
                <w:rFonts w:hint="eastAsia" w:ascii="宋体" w:hAnsi="宋体" w:cs="宋体"/>
                <w:szCs w:val="21"/>
                <w:highlight w:val="none"/>
              </w:rPr>
              <w:t>；每有一项内容存在缺陷的</w:t>
            </w:r>
            <w:r>
              <w:rPr>
                <w:rFonts w:hint="eastAsia" w:ascii="宋体" w:hAnsi="宋体" w:cs="宋体"/>
                <w:b/>
                <w:bCs/>
                <w:szCs w:val="21"/>
                <w:highlight w:val="none"/>
              </w:rPr>
              <w:t>扣1.5分</w:t>
            </w:r>
            <w:r>
              <w:rPr>
                <w:rFonts w:hint="eastAsia" w:ascii="宋体" w:hAnsi="宋体" w:cs="宋体"/>
                <w:szCs w:val="21"/>
                <w:highlight w:val="none"/>
              </w:rPr>
              <w:t>，未提供方案的不得分。</w:t>
            </w:r>
          </w:p>
          <w:p w14:paraId="29C31DE0">
            <w:pPr>
              <w:jc w:val="left"/>
              <w:rPr>
                <w:rFonts w:hint="eastAsia" w:ascii="宋体" w:hAnsi="宋体" w:cs="宋体"/>
                <w:szCs w:val="21"/>
                <w:highlight w:val="none"/>
              </w:rPr>
            </w:pPr>
            <w:r>
              <w:rPr>
                <w:rFonts w:hint="eastAsia" w:ascii="宋体" w:hAnsi="宋体" w:cs="宋体"/>
                <w:szCs w:val="21"/>
                <w:highlight w:val="none"/>
              </w:rPr>
              <w:t>（缺陷是指：非专门针对本项目或不适用项目特性的情形、套用其他项目方案、内容前后矛盾、方案内容交叉混乱、缺乏重点、生搬硬造、套用错用、存在歧义、层次粗略、仅有标题或框架缺乏具体说明阐述或阐述说明缺乏完整性的情形等任意一种情形。）。</w:t>
            </w:r>
          </w:p>
          <w:p w14:paraId="45BDA3F1">
            <w:pPr>
              <w:jc w:val="left"/>
              <w:rPr>
                <w:bCs/>
                <w:szCs w:val="21"/>
                <w:highlight w:val="none"/>
              </w:rPr>
            </w:pPr>
            <w:r>
              <w:rPr>
                <w:rFonts w:hint="eastAsia" w:cs="宋体"/>
                <w:b/>
                <w:szCs w:val="21"/>
                <w:highlight w:val="none"/>
              </w:rPr>
              <w:t>注：须提供团队人员身份证、劳动合同或社保证明（投标截止时间前六个月内任意一个月缴纳社保证明），未提供相关材料的不予认可。</w:t>
            </w:r>
          </w:p>
        </w:tc>
      </w:tr>
      <w:tr w14:paraId="31AD48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7" w:type="dxa"/>
            <w:vMerge w:val="continue"/>
            <w:noWrap/>
            <w:vAlign w:val="center"/>
          </w:tcPr>
          <w:p w14:paraId="5B515774">
            <w:pPr>
              <w:jc w:val="left"/>
              <w:rPr>
                <w:rFonts w:cs="宋体"/>
                <w:b/>
                <w:bCs/>
                <w:szCs w:val="21"/>
                <w:highlight w:val="none"/>
              </w:rPr>
            </w:pPr>
          </w:p>
        </w:tc>
        <w:tc>
          <w:tcPr>
            <w:tcW w:w="709" w:type="dxa"/>
            <w:vMerge w:val="continue"/>
            <w:noWrap/>
            <w:vAlign w:val="center"/>
          </w:tcPr>
          <w:p w14:paraId="70605A95">
            <w:pPr>
              <w:jc w:val="left"/>
              <w:rPr>
                <w:rFonts w:cs="宋体"/>
                <w:b/>
                <w:bCs/>
                <w:szCs w:val="21"/>
                <w:highlight w:val="none"/>
              </w:rPr>
            </w:pPr>
          </w:p>
        </w:tc>
        <w:tc>
          <w:tcPr>
            <w:tcW w:w="8436" w:type="dxa"/>
            <w:gridSpan w:val="2"/>
            <w:noWrap/>
            <w:vAlign w:val="center"/>
          </w:tcPr>
          <w:p w14:paraId="33AC26D7">
            <w:pPr>
              <w:jc w:val="left"/>
              <w:rPr>
                <w:rFonts w:cs="宋体"/>
                <w:b/>
                <w:bCs/>
                <w:szCs w:val="21"/>
                <w:highlight w:val="none"/>
              </w:rPr>
            </w:pPr>
            <w:r>
              <w:rPr>
                <w:rFonts w:hint="eastAsia" w:cs="宋体"/>
                <w:b/>
                <w:szCs w:val="21"/>
                <w:highlight w:val="none"/>
              </w:rPr>
              <w:t>备注：根据进入详细评审的投标人的投标文件，对评分因素的响应情况进行打分。</w:t>
            </w:r>
          </w:p>
        </w:tc>
      </w:tr>
      <w:tr w14:paraId="41EC386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081" w:hRule="atLeast"/>
          <w:jc w:val="center"/>
        </w:trPr>
        <w:tc>
          <w:tcPr>
            <w:tcW w:w="817" w:type="dxa"/>
            <w:vMerge w:val="restart"/>
            <w:tcBorders>
              <w:right w:val="single" w:color="auto" w:sz="4" w:space="0"/>
            </w:tcBorders>
            <w:noWrap/>
            <w:vAlign w:val="center"/>
          </w:tcPr>
          <w:p w14:paraId="65658BB1">
            <w:pPr>
              <w:jc w:val="center"/>
              <w:rPr>
                <w:rFonts w:cs="宋体"/>
                <w:b/>
                <w:kern w:val="0"/>
                <w:szCs w:val="21"/>
                <w:highlight w:val="none"/>
              </w:rPr>
            </w:pPr>
            <w:r>
              <w:rPr>
                <w:rFonts w:hint="eastAsia" w:cs="宋体"/>
                <w:b/>
                <w:bCs/>
                <w:szCs w:val="21"/>
                <w:highlight w:val="none"/>
              </w:rPr>
              <w:t>3.2.2（3）</w:t>
            </w:r>
          </w:p>
        </w:tc>
        <w:tc>
          <w:tcPr>
            <w:tcW w:w="709" w:type="dxa"/>
            <w:vMerge w:val="restart"/>
            <w:tcBorders>
              <w:left w:val="single" w:color="auto" w:sz="4" w:space="0"/>
            </w:tcBorders>
            <w:noWrap/>
            <w:vAlign w:val="center"/>
          </w:tcPr>
          <w:p w14:paraId="29D5A05A">
            <w:pPr>
              <w:jc w:val="center"/>
              <w:rPr>
                <w:rFonts w:cs="宋体"/>
                <w:b/>
                <w:bCs/>
                <w:szCs w:val="21"/>
                <w:highlight w:val="none"/>
              </w:rPr>
            </w:pPr>
            <w:r>
              <w:rPr>
                <w:rFonts w:hint="eastAsia" w:cs="宋体"/>
                <w:b/>
                <w:bCs/>
                <w:szCs w:val="21"/>
                <w:highlight w:val="none"/>
              </w:rPr>
              <w:t>商务部分F3</w:t>
            </w:r>
          </w:p>
          <w:p w14:paraId="76FE47FD">
            <w:pPr>
              <w:jc w:val="center"/>
              <w:rPr>
                <w:rFonts w:cs="宋体"/>
                <w:szCs w:val="21"/>
                <w:highlight w:val="none"/>
              </w:rPr>
            </w:pPr>
            <w:r>
              <w:rPr>
                <w:rFonts w:hint="eastAsia" w:cs="宋体"/>
                <w:b/>
                <w:bCs/>
                <w:szCs w:val="21"/>
                <w:highlight w:val="none"/>
              </w:rPr>
              <w:t>评分标准</w:t>
            </w:r>
          </w:p>
        </w:tc>
        <w:tc>
          <w:tcPr>
            <w:tcW w:w="1559" w:type="dxa"/>
            <w:noWrap/>
            <w:vAlign w:val="center"/>
          </w:tcPr>
          <w:p w14:paraId="58ECB839">
            <w:pPr>
              <w:spacing w:line="312" w:lineRule="auto"/>
              <w:jc w:val="center"/>
              <w:rPr>
                <w:b/>
                <w:bCs/>
                <w:highlight w:val="none"/>
              </w:rPr>
            </w:pPr>
            <w:r>
              <w:rPr>
                <w:rFonts w:hint="eastAsia"/>
                <w:b/>
                <w:bCs/>
                <w:highlight w:val="none"/>
              </w:rPr>
              <w:t>保密管理方案</w:t>
            </w:r>
          </w:p>
          <w:p w14:paraId="3EE68C50">
            <w:pPr>
              <w:spacing w:line="312" w:lineRule="auto"/>
              <w:jc w:val="center"/>
              <w:rPr>
                <w:rFonts w:cs="宋体"/>
                <w:b/>
                <w:szCs w:val="21"/>
                <w:highlight w:val="none"/>
              </w:rPr>
            </w:pPr>
            <w:r>
              <w:rPr>
                <w:rFonts w:hint="eastAsia" w:cs="宋体"/>
                <w:b/>
                <w:bCs/>
                <w:szCs w:val="21"/>
                <w:highlight w:val="none"/>
              </w:rPr>
              <w:t>（满分</w:t>
            </w:r>
            <w:r>
              <w:rPr>
                <w:rFonts w:hint="eastAsia" w:cs="宋体"/>
                <w:b/>
                <w:bCs/>
                <w:szCs w:val="21"/>
                <w:highlight w:val="none"/>
                <w:lang w:val="en-US" w:eastAsia="zh-CN"/>
              </w:rPr>
              <w:t>12</w:t>
            </w:r>
            <w:r>
              <w:rPr>
                <w:rFonts w:hint="eastAsia" w:cs="宋体"/>
                <w:b/>
                <w:bCs/>
                <w:szCs w:val="21"/>
                <w:highlight w:val="none"/>
              </w:rPr>
              <w:t>分）</w:t>
            </w:r>
          </w:p>
        </w:tc>
        <w:tc>
          <w:tcPr>
            <w:tcW w:w="6877" w:type="dxa"/>
            <w:noWrap/>
            <w:vAlign w:val="center"/>
          </w:tcPr>
          <w:p w14:paraId="48C4E44E">
            <w:pPr>
              <w:snapToGrid w:val="0"/>
              <w:spacing w:line="312" w:lineRule="auto"/>
              <w:jc w:val="left"/>
              <w:rPr>
                <w:rFonts w:cs="宋体"/>
                <w:b/>
                <w:szCs w:val="21"/>
                <w:highlight w:val="none"/>
              </w:rPr>
            </w:pPr>
            <w:r>
              <w:rPr>
                <w:rFonts w:hint="eastAsia" w:cs="宋体"/>
                <w:b/>
                <w:szCs w:val="21"/>
                <w:highlight w:val="none"/>
              </w:rPr>
              <w:t>根据投标人提供的保密管理方案内容进行评审及评分。</w:t>
            </w:r>
          </w:p>
          <w:p w14:paraId="2E0E18C7">
            <w:pPr>
              <w:snapToGrid w:val="0"/>
              <w:spacing w:line="360" w:lineRule="auto"/>
              <w:jc w:val="left"/>
              <w:rPr>
                <w:rFonts w:hint="eastAsia" w:cs="宋体"/>
                <w:szCs w:val="21"/>
                <w:highlight w:val="none"/>
              </w:rPr>
            </w:pPr>
            <w:r>
              <w:rPr>
                <w:rFonts w:hint="eastAsia" w:cs="宋体"/>
                <w:szCs w:val="21"/>
                <w:highlight w:val="none"/>
              </w:rPr>
              <w:t>投标人提供的保密管理方案，至少应包含“</w:t>
            </w:r>
            <w:r>
              <w:rPr>
                <w:rFonts w:hint="eastAsia" w:cs="宋体"/>
                <w:b/>
                <w:bCs/>
                <w:szCs w:val="21"/>
                <w:highlight w:val="none"/>
              </w:rPr>
              <w:t>①保密制度；②工作人员保密培训措施；③泄密处罚措施</w:t>
            </w:r>
            <w:r>
              <w:rPr>
                <w:rFonts w:hint="eastAsia" w:cs="宋体"/>
                <w:szCs w:val="21"/>
                <w:highlight w:val="none"/>
              </w:rPr>
              <w:t>”3项内容。</w:t>
            </w:r>
          </w:p>
          <w:p w14:paraId="15140A5B">
            <w:pPr>
              <w:snapToGrid w:val="0"/>
              <w:spacing w:line="360" w:lineRule="auto"/>
              <w:jc w:val="left"/>
              <w:rPr>
                <w:rFonts w:hint="eastAsia" w:ascii="宋体" w:hAnsi="宋体" w:cs="宋体"/>
                <w:szCs w:val="21"/>
                <w:highlight w:val="none"/>
              </w:rPr>
            </w:pPr>
            <w:r>
              <w:rPr>
                <w:rFonts w:hint="eastAsia" w:ascii="宋体" w:hAnsi="宋体" w:cs="宋体"/>
                <w:szCs w:val="21"/>
                <w:highlight w:val="none"/>
              </w:rPr>
              <w:t>以上</w:t>
            </w:r>
            <w:r>
              <w:rPr>
                <w:rFonts w:hint="eastAsia" w:ascii="宋体" w:hAnsi="宋体" w:cs="宋体"/>
                <w:szCs w:val="21"/>
                <w:highlight w:val="none"/>
                <w:lang w:val="en-US" w:eastAsia="zh-CN"/>
              </w:rPr>
              <w:t>3</w:t>
            </w:r>
            <w:r>
              <w:rPr>
                <w:rFonts w:hint="eastAsia" w:ascii="宋体" w:hAnsi="宋体" w:cs="宋体"/>
                <w:szCs w:val="21"/>
                <w:highlight w:val="none"/>
              </w:rPr>
              <w:t>项内容无漏项、无缺陷</w:t>
            </w:r>
            <w:r>
              <w:rPr>
                <w:rFonts w:hint="eastAsia" w:ascii="宋体" w:hAnsi="宋体" w:cs="宋体"/>
                <w:b/>
                <w:bCs/>
                <w:szCs w:val="21"/>
                <w:highlight w:val="none"/>
              </w:rPr>
              <w:t>得</w:t>
            </w:r>
            <w:r>
              <w:rPr>
                <w:rFonts w:hint="eastAsia" w:ascii="宋体" w:hAnsi="宋体" w:cs="宋体"/>
                <w:b/>
                <w:bCs/>
                <w:szCs w:val="21"/>
                <w:highlight w:val="none"/>
                <w:lang w:val="en-US" w:eastAsia="zh-CN"/>
              </w:rPr>
              <w:t>12</w:t>
            </w:r>
            <w:r>
              <w:rPr>
                <w:rFonts w:hint="eastAsia" w:ascii="宋体" w:hAnsi="宋体" w:cs="宋体"/>
                <w:b/>
                <w:bCs/>
                <w:szCs w:val="21"/>
                <w:highlight w:val="none"/>
              </w:rPr>
              <w:t>分</w:t>
            </w:r>
            <w:r>
              <w:rPr>
                <w:rFonts w:hint="eastAsia" w:ascii="宋体" w:hAnsi="宋体" w:cs="宋体"/>
                <w:szCs w:val="21"/>
                <w:highlight w:val="none"/>
              </w:rPr>
              <w:t>，每缺少一项</w:t>
            </w:r>
            <w:r>
              <w:rPr>
                <w:rFonts w:hint="eastAsia" w:ascii="宋体" w:hAnsi="宋体" w:cs="宋体"/>
                <w:b/>
                <w:bCs/>
                <w:szCs w:val="21"/>
                <w:highlight w:val="none"/>
              </w:rPr>
              <w:t>扣</w:t>
            </w:r>
            <w:r>
              <w:rPr>
                <w:rFonts w:hint="eastAsia" w:ascii="宋体" w:hAnsi="宋体" w:cs="宋体"/>
                <w:b/>
                <w:bCs/>
                <w:szCs w:val="21"/>
                <w:highlight w:val="none"/>
                <w:lang w:val="en-US" w:eastAsia="zh-CN"/>
              </w:rPr>
              <w:t>4</w:t>
            </w:r>
            <w:r>
              <w:rPr>
                <w:rFonts w:hint="eastAsia" w:ascii="宋体" w:hAnsi="宋体" w:cs="宋体"/>
                <w:b/>
                <w:bCs/>
                <w:szCs w:val="21"/>
                <w:highlight w:val="none"/>
              </w:rPr>
              <w:t>分</w:t>
            </w:r>
            <w:r>
              <w:rPr>
                <w:rFonts w:hint="eastAsia" w:ascii="宋体" w:hAnsi="宋体" w:cs="宋体"/>
                <w:szCs w:val="21"/>
                <w:highlight w:val="none"/>
              </w:rPr>
              <w:t>；每有一项内容存在缺陷的</w:t>
            </w:r>
            <w:r>
              <w:rPr>
                <w:rFonts w:hint="eastAsia" w:ascii="宋体" w:hAnsi="宋体" w:cs="宋体"/>
                <w:b/>
                <w:bCs/>
                <w:szCs w:val="21"/>
                <w:highlight w:val="none"/>
              </w:rPr>
              <w:t>扣</w:t>
            </w:r>
            <w:r>
              <w:rPr>
                <w:rFonts w:hint="eastAsia" w:ascii="宋体" w:hAnsi="宋体" w:cs="宋体"/>
                <w:b/>
                <w:bCs/>
                <w:szCs w:val="21"/>
                <w:highlight w:val="none"/>
                <w:lang w:val="en-US" w:eastAsia="zh-CN"/>
              </w:rPr>
              <w:t>2</w:t>
            </w:r>
            <w:r>
              <w:rPr>
                <w:rFonts w:hint="eastAsia" w:ascii="宋体" w:hAnsi="宋体" w:cs="宋体"/>
                <w:b/>
                <w:bCs/>
                <w:szCs w:val="21"/>
                <w:highlight w:val="none"/>
              </w:rPr>
              <w:t>分</w:t>
            </w:r>
            <w:r>
              <w:rPr>
                <w:rFonts w:hint="eastAsia" w:ascii="宋体" w:hAnsi="宋体" w:cs="宋体"/>
                <w:szCs w:val="21"/>
                <w:highlight w:val="none"/>
              </w:rPr>
              <w:t>，未提供方案的不得分。</w:t>
            </w:r>
          </w:p>
          <w:p w14:paraId="1C760B20">
            <w:pPr>
              <w:spacing w:line="312" w:lineRule="auto"/>
              <w:rPr>
                <w:rFonts w:cs="宋体"/>
                <w:b/>
                <w:szCs w:val="21"/>
                <w:highlight w:val="none"/>
              </w:rPr>
            </w:pPr>
            <w:r>
              <w:rPr>
                <w:rFonts w:hint="eastAsia" w:ascii="宋体" w:hAnsi="宋体" w:cs="宋体"/>
                <w:szCs w:val="21"/>
                <w:highlight w:val="none"/>
              </w:rPr>
              <w:t>（缺陷是指：非专门针对本项目或不适用项目特性的情形、套用其他项目方案、内容前后矛盾、方案内容交叉混乱、缺乏重点、生搬硬造、套用错用、存在歧义、层次粗略、仅有标题或框架缺乏具体说明阐述或阐述说明缺乏完整性的情形等任意一种情形。）</w:t>
            </w:r>
            <w:r>
              <w:rPr>
                <w:rFonts w:hint="eastAsia"/>
                <w:bCs/>
                <w:szCs w:val="21"/>
                <w:highlight w:val="none"/>
              </w:rPr>
              <w:t>。</w:t>
            </w:r>
          </w:p>
        </w:tc>
      </w:tr>
      <w:tr w14:paraId="1F1FB13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908" w:hRule="atLeast"/>
          <w:jc w:val="center"/>
        </w:trPr>
        <w:tc>
          <w:tcPr>
            <w:tcW w:w="817" w:type="dxa"/>
            <w:vMerge w:val="continue"/>
            <w:tcBorders>
              <w:right w:val="single" w:color="auto" w:sz="4" w:space="0"/>
            </w:tcBorders>
            <w:noWrap/>
            <w:vAlign w:val="center"/>
          </w:tcPr>
          <w:p w14:paraId="72C9DCAA">
            <w:pPr>
              <w:jc w:val="center"/>
              <w:rPr>
                <w:rFonts w:hint="eastAsia" w:cs="宋体"/>
                <w:b/>
                <w:bCs/>
                <w:szCs w:val="21"/>
                <w:highlight w:val="none"/>
              </w:rPr>
            </w:pPr>
          </w:p>
        </w:tc>
        <w:tc>
          <w:tcPr>
            <w:tcW w:w="709" w:type="dxa"/>
            <w:vMerge w:val="continue"/>
            <w:tcBorders>
              <w:left w:val="single" w:color="auto" w:sz="4" w:space="0"/>
            </w:tcBorders>
            <w:noWrap/>
            <w:vAlign w:val="center"/>
          </w:tcPr>
          <w:p w14:paraId="6522AD10">
            <w:pPr>
              <w:jc w:val="center"/>
              <w:rPr>
                <w:rFonts w:hint="eastAsia" w:cs="宋体"/>
                <w:b/>
                <w:bCs/>
                <w:szCs w:val="21"/>
                <w:highlight w:val="none"/>
              </w:rPr>
            </w:pPr>
          </w:p>
        </w:tc>
        <w:tc>
          <w:tcPr>
            <w:tcW w:w="1559" w:type="dxa"/>
            <w:noWrap/>
            <w:vAlign w:val="center"/>
          </w:tcPr>
          <w:p w14:paraId="6F33024E">
            <w:pPr>
              <w:spacing w:line="312" w:lineRule="auto"/>
              <w:jc w:val="center"/>
              <w:rPr>
                <w:b/>
                <w:bCs/>
                <w:highlight w:val="none"/>
              </w:rPr>
            </w:pPr>
            <w:r>
              <w:rPr>
                <w:rFonts w:hint="eastAsia"/>
                <w:b/>
                <w:bCs/>
                <w:highlight w:val="none"/>
              </w:rPr>
              <w:t>应急预案及保障措施</w:t>
            </w:r>
          </w:p>
          <w:p w14:paraId="463B0517">
            <w:pPr>
              <w:spacing w:line="312" w:lineRule="auto"/>
              <w:jc w:val="center"/>
              <w:rPr>
                <w:rFonts w:cs="宋体"/>
                <w:b/>
                <w:szCs w:val="21"/>
                <w:highlight w:val="none"/>
              </w:rPr>
            </w:pPr>
            <w:r>
              <w:rPr>
                <w:rFonts w:hint="eastAsia" w:cs="宋体"/>
                <w:b/>
                <w:bCs/>
                <w:szCs w:val="21"/>
                <w:highlight w:val="none"/>
              </w:rPr>
              <w:t>（满分1</w:t>
            </w:r>
            <w:r>
              <w:rPr>
                <w:rFonts w:hint="eastAsia" w:cs="宋体"/>
                <w:b/>
                <w:bCs/>
                <w:szCs w:val="21"/>
                <w:highlight w:val="none"/>
                <w:lang w:val="en-US" w:eastAsia="zh-CN"/>
              </w:rPr>
              <w:t>2</w:t>
            </w:r>
            <w:r>
              <w:rPr>
                <w:rFonts w:hint="eastAsia" w:cs="宋体"/>
                <w:b/>
                <w:bCs/>
                <w:szCs w:val="21"/>
                <w:highlight w:val="none"/>
              </w:rPr>
              <w:t>分）</w:t>
            </w:r>
          </w:p>
        </w:tc>
        <w:tc>
          <w:tcPr>
            <w:tcW w:w="6877" w:type="dxa"/>
            <w:noWrap/>
            <w:vAlign w:val="center"/>
          </w:tcPr>
          <w:p w14:paraId="006ADBCF">
            <w:pPr>
              <w:snapToGrid w:val="0"/>
              <w:spacing w:line="312" w:lineRule="auto"/>
              <w:jc w:val="left"/>
              <w:rPr>
                <w:rFonts w:cs="宋体"/>
                <w:b/>
                <w:szCs w:val="21"/>
                <w:highlight w:val="none"/>
              </w:rPr>
            </w:pPr>
            <w:r>
              <w:rPr>
                <w:rFonts w:hint="eastAsia" w:cs="宋体"/>
                <w:b/>
                <w:szCs w:val="21"/>
                <w:highlight w:val="none"/>
              </w:rPr>
              <w:t>根据投标人提供的应急预案内容进行评审及评分。</w:t>
            </w:r>
          </w:p>
          <w:p w14:paraId="4335EC24">
            <w:pPr>
              <w:snapToGrid w:val="0"/>
              <w:spacing w:line="360" w:lineRule="auto"/>
              <w:jc w:val="left"/>
              <w:rPr>
                <w:rFonts w:hint="eastAsia" w:cs="宋体"/>
                <w:szCs w:val="21"/>
                <w:highlight w:val="none"/>
              </w:rPr>
            </w:pPr>
            <w:r>
              <w:rPr>
                <w:rFonts w:hint="eastAsia" w:cs="宋体"/>
                <w:szCs w:val="21"/>
                <w:highlight w:val="none"/>
              </w:rPr>
              <w:t>投标人提供的应急预案，至少应包含“</w:t>
            </w:r>
            <w:r>
              <w:rPr>
                <w:rFonts w:hint="eastAsia" w:cs="宋体"/>
                <w:b/>
                <w:bCs/>
                <w:szCs w:val="21"/>
                <w:highlight w:val="none"/>
              </w:rPr>
              <w:t>①印刷延迟、遗漏、丢失应急预案；②设备故障应急预案；③紧急印制任务与调换需求应急预案；④应急保障措施</w:t>
            </w:r>
            <w:r>
              <w:rPr>
                <w:rFonts w:hint="eastAsia" w:cs="宋体"/>
                <w:szCs w:val="21"/>
                <w:highlight w:val="none"/>
              </w:rPr>
              <w:t>”</w:t>
            </w:r>
          </w:p>
          <w:p w14:paraId="1D19302D">
            <w:pPr>
              <w:snapToGrid w:val="0"/>
              <w:spacing w:line="360" w:lineRule="auto"/>
              <w:jc w:val="left"/>
              <w:rPr>
                <w:rFonts w:hint="eastAsia" w:ascii="宋体" w:hAnsi="宋体" w:cs="宋体"/>
                <w:szCs w:val="21"/>
                <w:highlight w:val="none"/>
              </w:rPr>
            </w:pPr>
            <w:r>
              <w:rPr>
                <w:rFonts w:hint="eastAsia" w:ascii="宋体" w:hAnsi="宋体" w:cs="宋体"/>
                <w:szCs w:val="21"/>
                <w:highlight w:val="none"/>
              </w:rPr>
              <w:t>以上</w:t>
            </w:r>
            <w:r>
              <w:rPr>
                <w:rFonts w:hint="eastAsia" w:ascii="宋体" w:hAnsi="宋体" w:cs="宋体"/>
                <w:szCs w:val="21"/>
                <w:highlight w:val="none"/>
                <w:lang w:val="en-US" w:eastAsia="zh-CN"/>
              </w:rPr>
              <w:t>4</w:t>
            </w:r>
            <w:r>
              <w:rPr>
                <w:rFonts w:hint="eastAsia" w:ascii="宋体" w:hAnsi="宋体" w:cs="宋体"/>
                <w:szCs w:val="21"/>
                <w:highlight w:val="none"/>
              </w:rPr>
              <w:t>项内容无漏项、无缺陷</w:t>
            </w:r>
            <w:r>
              <w:rPr>
                <w:rFonts w:hint="eastAsia" w:ascii="宋体" w:hAnsi="宋体" w:cs="宋体"/>
                <w:b/>
                <w:bCs/>
                <w:szCs w:val="21"/>
                <w:highlight w:val="none"/>
              </w:rPr>
              <w:t>得</w:t>
            </w:r>
            <w:r>
              <w:rPr>
                <w:rFonts w:hint="eastAsia" w:ascii="宋体" w:hAnsi="宋体" w:cs="宋体"/>
                <w:b/>
                <w:bCs/>
                <w:szCs w:val="21"/>
                <w:highlight w:val="none"/>
                <w:lang w:val="en-US" w:eastAsia="zh-CN"/>
              </w:rPr>
              <w:t>12</w:t>
            </w:r>
            <w:r>
              <w:rPr>
                <w:rFonts w:hint="eastAsia" w:ascii="宋体" w:hAnsi="宋体" w:cs="宋体"/>
                <w:b/>
                <w:bCs/>
                <w:szCs w:val="21"/>
                <w:highlight w:val="none"/>
              </w:rPr>
              <w:t>分</w:t>
            </w:r>
            <w:r>
              <w:rPr>
                <w:rFonts w:hint="eastAsia" w:ascii="宋体" w:hAnsi="宋体" w:cs="宋体"/>
                <w:szCs w:val="21"/>
                <w:highlight w:val="none"/>
              </w:rPr>
              <w:t>，每缺少一项</w:t>
            </w:r>
            <w:r>
              <w:rPr>
                <w:rFonts w:hint="eastAsia" w:ascii="宋体" w:hAnsi="宋体" w:cs="宋体"/>
                <w:b/>
                <w:bCs/>
                <w:szCs w:val="21"/>
                <w:highlight w:val="none"/>
              </w:rPr>
              <w:t>扣</w:t>
            </w:r>
            <w:r>
              <w:rPr>
                <w:rFonts w:hint="eastAsia" w:ascii="宋体" w:hAnsi="宋体" w:cs="宋体"/>
                <w:b/>
                <w:bCs/>
                <w:szCs w:val="21"/>
                <w:highlight w:val="none"/>
                <w:lang w:val="en-US" w:eastAsia="zh-CN"/>
              </w:rPr>
              <w:t>3</w:t>
            </w:r>
            <w:r>
              <w:rPr>
                <w:rFonts w:hint="eastAsia" w:ascii="宋体" w:hAnsi="宋体" w:cs="宋体"/>
                <w:b/>
                <w:bCs/>
                <w:szCs w:val="21"/>
                <w:highlight w:val="none"/>
              </w:rPr>
              <w:t>分</w:t>
            </w:r>
            <w:r>
              <w:rPr>
                <w:rFonts w:hint="eastAsia" w:ascii="宋体" w:hAnsi="宋体" w:cs="宋体"/>
                <w:szCs w:val="21"/>
                <w:highlight w:val="none"/>
              </w:rPr>
              <w:t>；每有一项内容存在缺陷的</w:t>
            </w:r>
            <w:r>
              <w:rPr>
                <w:rFonts w:hint="eastAsia" w:ascii="宋体" w:hAnsi="宋体" w:cs="宋体"/>
                <w:b/>
                <w:bCs/>
                <w:szCs w:val="21"/>
                <w:highlight w:val="none"/>
              </w:rPr>
              <w:t>扣</w:t>
            </w:r>
            <w:r>
              <w:rPr>
                <w:rFonts w:hint="eastAsia" w:ascii="宋体" w:hAnsi="宋体" w:cs="宋体"/>
                <w:b/>
                <w:bCs/>
                <w:szCs w:val="21"/>
                <w:highlight w:val="none"/>
                <w:lang w:val="en-US" w:eastAsia="zh-CN"/>
              </w:rPr>
              <w:t>1.5</w:t>
            </w:r>
            <w:r>
              <w:rPr>
                <w:rFonts w:hint="eastAsia" w:ascii="宋体" w:hAnsi="宋体" w:cs="宋体"/>
                <w:b/>
                <w:bCs/>
                <w:szCs w:val="21"/>
                <w:highlight w:val="none"/>
              </w:rPr>
              <w:t>分</w:t>
            </w:r>
            <w:r>
              <w:rPr>
                <w:rFonts w:hint="eastAsia" w:ascii="宋体" w:hAnsi="宋体" w:cs="宋体"/>
                <w:szCs w:val="21"/>
                <w:highlight w:val="none"/>
              </w:rPr>
              <w:t>，未提供方案的不得分。</w:t>
            </w:r>
          </w:p>
          <w:p w14:paraId="54CABF69">
            <w:pPr>
              <w:spacing w:line="312" w:lineRule="auto"/>
              <w:rPr>
                <w:rFonts w:cs="宋体"/>
                <w:b/>
                <w:szCs w:val="21"/>
                <w:highlight w:val="none"/>
              </w:rPr>
            </w:pPr>
            <w:r>
              <w:rPr>
                <w:rFonts w:hint="eastAsia" w:ascii="宋体" w:hAnsi="宋体" w:cs="宋体"/>
                <w:szCs w:val="21"/>
                <w:highlight w:val="none"/>
              </w:rPr>
              <w:t>（缺陷是指：非专门针对本项目或不适用项目特性的情形、套用其他项目方案、内容前后矛盾、方案内容交叉混乱、缺乏重点、生搬硬造、套用错用、存在歧义、层次粗略、仅有标题或框架缺乏具体说明阐述或阐述说明缺乏完整性的情形等任意一种情形。）</w:t>
            </w:r>
            <w:r>
              <w:rPr>
                <w:rFonts w:hint="eastAsia"/>
                <w:bCs/>
                <w:szCs w:val="21"/>
                <w:highlight w:val="none"/>
              </w:rPr>
              <w:t>。</w:t>
            </w:r>
          </w:p>
        </w:tc>
      </w:tr>
      <w:tr w14:paraId="1A17B3D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238" w:hRule="atLeast"/>
          <w:jc w:val="center"/>
        </w:trPr>
        <w:tc>
          <w:tcPr>
            <w:tcW w:w="817" w:type="dxa"/>
            <w:vMerge w:val="continue"/>
            <w:tcBorders>
              <w:right w:val="single" w:color="auto" w:sz="4" w:space="0"/>
            </w:tcBorders>
            <w:noWrap/>
            <w:vAlign w:val="center"/>
          </w:tcPr>
          <w:p w14:paraId="5A116402">
            <w:pPr>
              <w:jc w:val="center"/>
              <w:rPr>
                <w:rFonts w:hint="eastAsia" w:cs="宋体"/>
                <w:b/>
                <w:bCs/>
                <w:szCs w:val="21"/>
                <w:highlight w:val="none"/>
              </w:rPr>
            </w:pPr>
          </w:p>
        </w:tc>
        <w:tc>
          <w:tcPr>
            <w:tcW w:w="709" w:type="dxa"/>
            <w:vMerge w:val="continue"/>
            <w:tcBorders>
              <w:left w:val="single" w:color="auto" w:sz="4" w:space="0"/>
            </w:tcBorders>
            <w:noWrap/>
            <w:vAlign w:val="center"/>
          </w:tcPr>
          <w:p w14:paraId="5E608E80">
            <w:pPr>
              <w:jc w:val="center"/>
              <w:rPr>
                <w:rFonts w:hint="eastAsia" w:cs="宋体"/>
                <w:b/>
                <w:bCs/>
                <w:szCs w:val="21"/>
                <w:highlight w:val="none"/>
              </w:rPr>
            </w:pPr>
          </w:p>
        </w:tc>
        <w:tc>
          <w:tcPr>
            <w:tcW w:w="1559" w:type="dxa"/>
            <w:noWrap/>
            <w:vAlign w:val="center"/>
          </w:tcPr>
          <w:p w14:paraId="13AD0CB3">
            <w:pPr>
              <w:jc w:val="center"/>
              <w:rPr>
                <w:rFonts w:hint="eastAsia" w:cs="宋体"/>
                <w:b/>
                <w:bCs/>
                <w:szCs w:val="21"/>
                <w:highlight w:val="none"/>
              </w:rPr>
            </w:pPr>
            <w:r>
              <w:rPr>
                <w:rFonts w:hint="eastAsia" w:ascii="宋体" w:hAnsi="宋体" w:cs="宋体"/>
                <w:b/>
                <w:bCs/>
                <w:color w:val="000000"/>
                <w:szCs w:val="21"/>
                <w:highlight w:val="none"/>
              </w:rPr>
              <w:t>类似业绩（满分</w:t>
            </w:r>
            <w:r>
              <w:rPr>
                <w:rFonts w:hint="eastAsia" w:ascii="宋体" w:hAnsi="宋体" w:cs="宋体"/>
                <w:b/>
                <w:bCs/>
                <w:color w:val="000000"/>
                <w:szCs w:val="21"/>
                <w:highlight w:val="none"/>
                <w:lang w:val="en-US" w:eastAsia="zh-CN"/>
              </w:rPr>
              <w:t>3</w:t>
            </w:r>
            <w:r>
              <w:rPr>
                <w:rFonts w:hint="eastAsia" w:ascii="宋体" w:hAnsi="宋体" w:cs="宋体"/>
                <w:b/>
                <w:bCs/>
                <w:color w:val="000000"/>
                <w:szCs w:val="21"/>
                <w:highlight w:val="none"/>
              </w:rPr>
              <w:t>分）</w:t>
            </w:r>
          </w:p>
        </w:tc>
        <w:tc>
          <w:tcPr>
            <w:tcW w:w="6877" w:type="dxa"/>
            <w:noWrap/>
            <w:vAlign w:val="center"/>
          </w:tcPr>
          <w:p w14:paraId="1732E587">
            <w:pPr>
              <w:ind w:firstLine="420" w:firstLineChars="200"/>
              <w:rPr>
                <w:color w:val="000000"/>
                <w:szCs w:val="21"/>
                <w:highlight w:val="none"/>
              </w:rPr>
            </w:pPr>
            <w:r>
              <w:rPr>
                <w:rFonts w:hint="eastAsia"/>
                <w:color w:val="000000"/>
                <w:szCs w:val="21"/>
                <w:highlight w:val="none"/>
              </w:rPr>
              <w:t>供应商</w:t>
            </w:r>
            <w:r>
              <w:rPr>
                <w:color w:val="000000"/>
                <w:szCs w:val="21"/>
                <w:highlight w:val="none"/>
              </w:rPr>
              <w:t>提供自202</w:t>
            </w:r>
            <w:r>
              <w:rPr>
                <w:rFonts w:hint="eastAsia"/>
                <w:color w:val="000000"/>
                <w:szCs w:val="21"/>
                <w:highlight w:val="none"/>
              </w:rPr>
              <w:t>3</w:t>
            </w:r>
            <w:r>
              <w:rPr>
                <w:color w:val="000000"/>
                <w:szCs w:val="21"/>
                <w:highlight w:val="none"/>
              </w:rPr>
              <w:t>年1月1日至今</w:t>
            </w:r>
            <w:r>
              <w:rPr>
                <w:rFonts w:hint="eastAsia"/>
                <w:color w:val="000000"/>
                <w:szCs w:val="21"/>
                <w:highlight w:val="none"/>
              </w:rPr>
              <w:t>承担</w:t>
            </w:r>
            <w:r>
              <w:rPr>
                <w:color w:val="000000"/>
                <w:szCs w:val="21"/>
                <w:highlight w:val="none"/>
              </w:rPr>
              <w:t>的</w:t>
            </w:r>
            <w:r>
              <w:rPr>
                <w:rFonts w:hint="eastAsia"/>
                <w:szCs w:val="21"/>
                <w:highlight w:val="none"/>
              </w:rPr>
              <w:t>类似</w:t>
            </w:r>
            <w:r>
              <w:rPr>
                <w:rFonts w:hint="eastAsia"/>
                <w:szCs w:val="21"/>
                <w:highlight w:val="none"/>
                <w:lang w:val="en-US" w:eastAsia="zh-CN"/>
              </w:rPr>
              <w:t>印刷服务</w:t>
            </w:r>
            <w:r>
              <w:rPr>
                <w:rFonts w:hint="eastAsia"/>
                <w:szCs w:val="21"/>
                <w:highlight w:val="none"/>
              </w:rPr>
              <w:t>项目</w:t>
            </w:r>
            <w:r>
              <w:rPr>
                <w:highlight w:val="none"/>
              </w:rPr>
              <w:t>业绩</w:t>
            </w:r>
            <w:r>
              <w:rPr>
                <w:color w:val="000000"/>
                <w:szCs w:val="21"/>
                <w:highlight w:val="none"/>
              </w:rPr>
              <w:t>，每提供1个得</w:t>
            </w:r>
            <w:r>
              <w:rPr>
                <w:rFonts w:hint="eastAsia"/>
                <w:color w:val="000000"/>
                <w:szCs w:val="21"/>
                <w:highlight w:val="none"/>
                <w:lang w:val="en-US" w:eastAsia="zh-CN"/>
              </w:rPr>
              <w:t>1</w:t>
            </w:r>
            <w:r>
              <w:rPr>
                <w:color w:val="000000"/>
                <w:szCs w:val="21"/>
                <w:highlight w:val="none"/>
              </w:rPr>
              <w:t>分，满分</w:t>
            </w:r>
            <w:r>
              <w:rPr>
                <w:rFonts w:hint="eastAsia"/>
                <w:color w:val="000000"/>
                <w:szCs w:val="21"/>
                <w:highlight w:val="none"/>
                <w:lang w:val="en-US" w:eastAsia="zh-CN"/>
              </w:rPr>
              <w:t>3</w:t>
            </w:r>
            <w:r>
              <w:rPr>
                <w:color w:val="000000"/>
                <w:szCs w:val="21"/>
                <w:highlight w:val="none"/>
              </w:rPr>
              <w:t>分。</w:t>
            </w:r>
          </w:p>
          <w:p w14:paraId="164583EA">
            <w:pPr>
              <w:ind w:firstLine="420" w:firstLineChars="200"/>
              <w:rPr>
                <w:rFonts w:hint="eastAsia" w:ascii="宋体" w:hAnsi="宋体" w:cs="宋体"/>
                <w:szCs w:val="21"/>
                <w:highlight w:val="none"/>
              </w:rPr>
            </w:pPr>
            <w:r>
              <w:rPr>
                <w:color w:val="000000"/>
                <w:highlight w:val="none"/>
              </w:rPr>
              <w:t>注：</w:t>
            </w:r>
            <w:r>
              <w:rPr>
                <w:rFonts w:hint="eastAsia"/>
                <w:color w:val="000000"/>
                <w:szCs w:val="21"/>
                <w:highlight w:val="none"/>
              </w:rPr>
              <w:t>供应商</w:t>
            </w:r>
            <w:r>
              <w:rPr>
                <w:color w:val="000000"/>
                <w:highlight w:val="none"/>
              </w:rPr>
              <w:t>应提供</w:t>
            </w:r>
            <w:r>
              <w:rPr>
                <w:rFonts w:hint="eastAsia"/>
                <w:color w:val="000000"/>
                <w:highlight w:val="none"/>
              </w:rPr>
              <w:t>中标</w:t>
            </w:r>
            <w:r>
              <w:rPr>
                <w:color w:val="000000"/>
                <w:highlight w:val="none"/>
              </w:rPr>
              <w:t>/成交通知书</w:t>
            </w:r>
            <w:r>
              <w:rPr>
                <w:b/>
                <w:bCs/>
                <w:color w:val="000000"/>
                <w:highlight w:val="none"/>
              </w:rPr>
              <w:t>或</w:t>
            </w:r>
            <w:r>
              <w:rPr>
                <w:color w:val="000000"/>
                <w:highlight w:val="none"/>
              </w:rPr>
              <w:t>合同</w:t>
            </w:r>
            <w:r>
              <w:rPr>
                <w:b/>
                <w:bCs/>
                <w:color w:val="000000"/>
                <w:highlight w:val="none"/>
              </w:rPr>
              <w:t>或</w:t>
            </w:r>
            <w:r>
              <w:rPr>
                <w:color w:val="000000"/>
                <w:highlight w:val="none"/>
              </w:rPr>
              <w:t>业主证明材料</w:t>
            </w:r>
            <w:r>
              <w:rPr>
                <w:color w:val="000000"/>
                <w:szCs w:val="21"/>
                <w:highlight w:val="none"/>
              </w:rPr>
              <w:t>，</w:t>
            </w:r>
            <w:r>
              <w:rPr>
                <w:color w:val="000000"/>
                <w:highlight w:val="none"/>
              </w:rPr>
              <w:t>否则不予认可。</w:t>
            </w:r>
          </w:p>
        </w:tc>
      </w:tr>
      <w:tr w14:paraId="171086A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24" w:hRule="atLeast"/>
          <w:jc w:val="center"/>
        </w:trPr>
        <w:tc>
          <w:tcPr>
            <w:tcW w:w="817" w:type="dxa"/>
            <w:vMerge w:val="continue"/>
            <w:tcBorders>
              <w:right w:val="single" w:color="auto" w:sz="4" w:space="0"/>
            </w:tcBorders>
            <w:noWrap/>
            <w:vAlign w:val="center"/>
          </w:tcPr>
          <w:p w14:paraId="249129D3">
            <w:pPr>
              <w:jc w:val="center"/>
              <w:rPr>
                <w:rFonts w:cs="宋体"/>
                <w:b/>
                <w:bCs/>
                <w:szCs w:val="21"/>
                <w:highlight w:val="none"/>
              </w:rPr>
            </w:pPr>
          </w:p>
        </w:tc>
        <w:tc>
          <w:tcPr>
            <w:tcW w:w="709" w:type="dxa"/>
            <w:vMerge w:val="continue"/>
            <w:tcBorders>
              <w:left w:val="single" w:color="auto" w:sz="4" w:space="0"/>
            </w:tcBorders>
            <w:noWrap/>
            <w:vAlign w:val="center"/>
          </w:tcPr>
          <w:p w14:paraId="3E5142F0">
            <w:pPr>
              <w:jc w:val="center"/>
              <w:rPr>
                <w:rFonts w:cs="宋体"/>
                <w:b/>
                <w:bCs/>
                <w:szCs w:val="21"/>
                <w:highlight w:val="none"/>
              </w:rPr>
            </w:pPr>
          </w:p>
        </w:tc>
        <w:tc>
          <w:tcPr>
            <w:tcW w:w="8436" w:type="dxa"/>
            <w:gridSpan w:val="2"/>
            <w:noWrap/>
            <w:vAlign w:val="center"/>
          </w:tcPr>
          <w:p w14:paraId="3FE55EE0">
            <w:pPr>
              <w:jc w:val="left"/>
              <w:rPr>
                <w:rFonts w:cs="宋体"/>
                <w:b/>
                <w:szCs w:val="21"/>
                <w:highlight w:val="none"/>
              </w:rPr>
            </w:pPr>
            <w:r>
              <w:rPr>
                <w:rFonts w:hint="eastAsia" w:cs="宋体"/>
                <w:b/>
                <w:szCs w:val="21"/>
                <w:highlight w:val="none"/>
              </w:rPr>
              <w:t>备注：根据进入详细评审的投标人的投标文件，对评分因素的响应情况进行打分。</w:t>
            </w:r>
          </w:p>
        </w:tc>
      </w:tr>
    </w:tbl>
    <w:p w14:paraId="778B6F19">
      <w:pPr>
        <w:widowControl/>
        <w:spacing w:line="240" w:lineRule="auto"/>
        <w:jc w:val="left"/>
        <w:rPr>
          <w:rFonts w:cs="宋体"/>
          <w:bCs/>
          <w:szCs w:val="21"/>
          <w:highlight w:val="none"/>
        </w:rPr>
      </w:pPr>
    </w:p>
    <w:p w14:paraId="26328F85">
      <w:pPr>
        <w:widowControl/>
        <w:spacing w:line="240" w:lineRule="auto"/>
        <w:jc w:val="left"/>
        <w:rPr>
          <w:rFonts w:cs="宋体"/>
          <w:bCs/>
          <w:szCs w:val="21"/>
          <w:highlight w:val="none"/>
        </w:rPr>
      </w:pPr>
      <w:r>
        <w:rPr>
          <w:rFonts w:hint="eastAsia" w:cs="宋体"/>
          <w:bCs/>
          <w:szCs w:val="21"/>
          <w:highlight w:val="none"/>
        </w:rPr>
        <w:br w:type="page"/>
      </w:r>
    </w:p>
    <w:p w14:paraId="0FBCD03C">
      <w:pPr>
        <w:rPr>
          <w:rFonts w:cs="宋体"/>
          <w:b/>
          <w:bCs/>
          <w:sz w:val="24"/>
          <w:szCs w:val="32"/>
          <w:highlight w:val="none"/>
        </w:rPr>
      </w:pPr>
      <w:bookmarkStart w:id="534" w:name="_Toc139357101"/>
      <w:bookmarkStart w:id="535" w:name="_Toc5687"/>
      <w:bookmarkStart w:id="536" w:name="_Toc508191814"/>
      <w:bookmarkStart w:id="537" w:name="_Toc175582386"/>
      <w:bookmarkStart w:id="538" w:name="_Toc16616"/>
      <w:bookmarkStart w:id="539" w:name="_Toc125986525"/>
      <w:bookmarkStart w:id="540" w:name="_Toc166067809"/>
      <w:bookmarkStart w:id="541" w:name="_Toc17922"/>
      <w:r>
        <w:rPr>
          <w:rFonts w:hint="eastAsia" w:cs="宋体"/>
          <w:b/>
          <w:bCs/>
          <w:sz w:val="24"/>
          <w:szCs w:val="32"/>
          <w:highlight w:val="none"/>
        </w:rPr>
        <w:t>1.评标方法</w:t>
      </w:r>
      <w:bookmarkEnd w:id="534"/>
      <w:bookmarkEnd w:id="535"/>
      <w:bookmarkEnd w:id="536"/>
      <w:bookmarkEnd w:id="537"/>
      <w:bookmarkEnd w:id="538"/>
      <w:bookmarkEnd w:id="539"/>
      <w:bookmarkEnd w:id="540"/>
      <w:bookmarkEnd w:id="541"/>
    </w:p>
    <w:p w14:paraId="3EED481D">
      <w:pPr>
        <w:adjustRightInd w:val="0"/>
        <w:ind w:firstLine="420" w:firstLineChars="200"/>
        <w:rPr>
          <w:rFonts w:cs="宋体"/>
          <w:szCs w:val="21"/>
          <w:highlight w:val="none"/>
        </w:rPr>
      </w:pPr>
      <w:bookmarkStart w:id="542" w:name="_Toc508191815"/>
      <w:r>
        <w:rPr>
          <w:rFonts w:hint="eastAsia" w:cs="宋体"/>
          <w:b/>
          <w:bCs/>
          <w:szCs w:val="21"/>
          <w:highlight w:val="none"/>
        </w:rPr>
        <w:t>本次评标采用综合评分法。</w:t>
      </w:r>
      <w:r>
        <w:rPr>
          <w:rFonts w:hint="eastAsia" w:cs="宋体"/>
          <w:szCs w:val="21"/>
          <w:highlight w:val="none"/>
        </w:rPr>
        <w:t>评标委员会对</w:t>
      </w:r>
      <w:r>
        <w:rPr>
          <w:rFonts w:hint="eastAsia" w:cs="宋体"/>
          <w:kern w:val="0"/>
          <w:szCs w:val="21"/>
          <w:highlight w:val="none"/>
        </w:rPr>
        <w:t>满足招标文件全部实质性要求（即通过资格性评审及符合性评审）的投标文件</w:t>
      </w:r>
      <w:r>
        <w:rPr>
          <w:rFonts w:hint="eastAsia" w:cs="宋体"/>
          <w:szCs w:val="21"/>
          <w:highlight w:val="none"/>
        </w:rPr>
        <w:t>，按照本章前附表规定的评分标准进行打分，并按评标总得分计算公式计算评标总得分，按总得分由高到低的顺序推荐3名中标候选人；评标总得分相等时，按投标报价由低到高顺序排列；评标总得分相等且投标报价相同时，按技术部分得分高低顺序排列；所有得分均相等的，按优先采购监狱企业、残疾人福利性单位的原则推荐中标候选人；所有得分均相等且政府采购政策条件也相等的，由评标委员会采用记名投票方式，以少数服从多数原则推荐中标候选人。</w:t>
      </w:r>
    </w:p>
    <w:p w14:paraId="670FD17A">
      <w:pPr>
        <w:rPr>
          <w:rFonts w:cs="宋体"/>
          <w:b/>
          <w:bCs/>
          <w:sz w:val="24"/>
          <w:szCs w:val="32"/>
          <w:highlight w:val="none"/>
        </w:rPr>
      </w:pPr>
      <w:bookmarkStart w:id="543" w:name="_Toc175582387"/>
      <w:bookmarkStart w:id="544" w:name="_Toc10575"/>
      <w:bookmarkStart w:id="545" w:name="_Toc139357102"/>
      <w:bookmarkStart w:id="546" w:name="_Toc166067810"/>
      <w:bookmarkStart w:id="547" w:name="_Toc16971"/>
      <w:bookmarkStart w:id="548" w:name="_Toc8904"/>
      <w:bookmarkStart w:id="549" w:name="_Toc125986526"/>
      <w:r>
        <w:rPr>
          <w:rFonts w:hint="eastAsia" w:cs="宋体"/>
          <w:b/>
          <w:bCs/>
          <w:sz w:val="24"/>
          <w:szCs w:val="32"/>
          <w:highlight w:val="none"/>
        </w:rPr>
        <w:t>2.政府采购政策</w:t>
      </w:r>
      <w:bookmarkEnd w:id="542"/>
      <w:bookmarkEnd w:id="543"/>
      <w:bookmarkEnd w:id="544"/>
      <w:bookmarkEnd w:id="545"/>
      <w:bookmarkEnd w:id="546"/>
      <w:bookmarkEnd w:id="547"/>
      <w:bookmarkEnd w:id="548"/>
      <w:bookmarkEnd w:id="549"/>
    </w:p>
    <w:p w14:paraId="3EC3C56A">
      <w:pPr>
        <w:pStyle w:val="5"/>
        <w:numPr>
          <w:ilvl w:val="2"/>
          <w:numId w:val="0"/>
        </w:numPr>
        <w:spacing w:before="0"/>
        <w:ind w:firstLine="480" w:firstLineChars="200"/>
        <w:rPr>
          <w:rFonts w:eastAsia="宋体" w:cs="宋体"/>
          <w:sz w:val="24"/>
          <w:szCs w:val="24"/>
          <w:highlight w:val="none"/>
        </w:rPr>
      </w:pPr>
      <w:bookmarkStart w:id="550" w:name="_Toc326218112"/>
      <w:bookmarkStart w:id="551" w:name="_Toc508191816"/>
      <w:bookmarkStart w:id="552" w:name="_Toc314817934"/>
      <w:r>
        <w:rPr>
          <w:rFonts w:hint="eastAsia" w:eastAsia="宋体" w:cs="宋体"/>
          <w:sz w:val="24"/>
          <w:szCs w:val="24"/>
          <w:highlight w:val="none"/>
        </w:rPr>
        <w:t>2.1中小企业</w:t>
      </w:r>
    </w:p>
    <w:p w14:paraId="1696FE0C">
      <w:pPr>
        <w:adjustRightInd w:val="0"/>
        <w:ind w:firstLine="420" w:firstLineChars="200"/>
        <w:rPr>
          <w:rFonts w:cs="宋体"/>
          <w:szCs w:val="21"/>
          <w:highlight w:val="none"/>
        </w:rPr>
      </w:pPr>
      <w:r>
        <w:rPr>
          <w:rFonts w:hint="eastAsia" w:cs="宋体"/>
          <w:szCs w:val="21"/>
          <w:highlight w:val="none"/>
        </w:rPr>
        <w:t>2.1.1根据《关于进一步加大政府采购支持中小企业力度的通知》（财库【2022】19号）、《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374FDCC6">
      <w:pPr>
        <w:adjustRightInd w:val="0"/>
        <w:ind w:firstLine="420" w:firstLineChars="200"/>
        <w:rPr>
          <w:rFonts w:cs="宋体"/>
          <w:szCs w:val="21"/>
          <w:highlight w:val="none"/>
        </w:rPr>
      </w:pPr>
      <w:r>
        <w:rPr>
          <w:rFonts w:hint="eastAsia" w:cs="宋体"/>
          <w:szCs w:val="21"/>
          <w:highlight w:val="none"/>
        </w:rPr>
        <w:t>2.1.2</w:t>
      </w:r>
      <w:r>
        <w:rPr>
          <w:rFonts w:hint="eastAsia"/>
          <w:color w:val="000000"/>
          <w:szCs w:val="21"/>
          <w:highlight w:val="none"/>
        </w:rPr>
        <w:t>在服务采购项目中，服务由中小企业承接，即提供服务的人员为中小企业依照《中华人民共和国劳动合同法》订立劳动合同的从业人员。</w:t>
      </w:r>
    </w:p>
    <w:p w14:paraId="427CAF16">
      <w:pPr>
        <w:adjustRightInd w:val="0"/>
        <w:ind w:firstLine="420" w:firstLineChars="200"/>
        <w:rPr>
          <w:rFonts w:cs="宋体"/>
          <w:szCs w:val="21"/>
          <w:highlight w:val="none"/>
        </w:rPr>
      </w:pPr>
      <w:r>
        <w:rPr>
          <w:rFonts w:hint="eastAsia" w:cs="宋体"/>
          <w:szCs w:val="21"/>
          <w:highlight w:val="none"/>
        </w:rPr>
        <w:t>2.1.3以联合体形式参加政府采购活动，联合体各方均为中小企业的，联合体视同中小企业。其中，联合体各方均为小微企业的，联合体视同小微企业。</w:t>
      </w:r>
    </w:p>
    <w:p w14:paraId="43CAA5F2">
      <w:pPr>
        <w:adjustRightInd w:val="0"/>
        <w:ind w:firstLine="420" w:firstLineChars="200"/>
        <w:rPr>
          <w:rFonts w:cs="宋体"/>
          <w:szCs w:val="21"/>
          <w:highlight w:val="none"/>
        </w:rPr>
      </w:pPr>
      <w:r>
        <w:rPr>
          <w:rFonts w:hint="eastAsia" w:cs="宋体"/>
          <w:szCs w:val="21"/>
          <w:highlight w:val="none"/>
        </w:rPr>
        <w:t>2.1.4本规定所称中小企业划分标准，是指国务院有关部门根据企业从业人员、营业收入、资产总额等指标制定的中小企业划型标准，详见《关于印发中小企业划型标准规定的通知》（工信部联企业〔2011〕300号）。</w:t>
      </w:r>
    </w:p>
    <w:p w14:paraId="52D831D4">
      <w:pPr>
        <w:pStyle w:val="5"/>
        <w:numPr>
          <w:ilvl w:val="2"/>
          <w:numId w:val="0"/>
        </w:numPr>
        <w:spacing w:before="0"/>
        <w:ind w:firstLine="480" w:firstLineChars="200"/>
        <w:rPr>
          <w:rFonts w:eastAsia="宋体" w:cs="宋体"/>
          <w:sz w:val="24"/>
          <w:szCs w:val="24"/>
          <w:highlight w:val="none"/>
        </w:rPr>
      </w:pPr>
      <w:r>
        <w:rPr>
          <w:rFonts w:hint="eastAsia" w:eastAsia="宋体" w:cs="宋体"/>
          <w:sz w:val="24"/>
          <w:szCs w:val="24"/>
          <w:highlight w:val="none"/>
        </w:rPr>
        <w:t>2.2监狱企业</w:t>
      </w:r>
    </w:p>
    <w:p w14:paraId="1755EEF6">
      <w:pPr>
        <w:pStyle w:val="45"/>
        <w:tabs>
          <w:tab w:val="left" w:pos="2472"/>
        </w:tabs>
        <w:ind w:firstLine="420" w:firstLineChars="200"/>
        <w:rPr>
          <w:rFonts w:cs="宋体"/>
          <w:szCs w:val="21"/>
          <w:highlight w:val="none"/>
        </w:rPr>
      </w:pPr>
      <w:r>
        <w:rPr>
          <w:rFonts w:hint="eastAsia" w:cs="宋体"/>
          <w:szCs w:val="21"/>
          <w:highlight w:val="none"/>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73F19AE">
      <w:pPr>
        <w:pStyle w:val="5"/>
        <w:numPr>
          <w:ilvl w:val="2"/>
          <w:numId w:val="0"/>
        </w:numPr>
        <w:spacing w:before="0"/>
        <w:ind w:firstLine="480" w:firstLineChars="200"/>
        <w:rPr>
          <w:rFonts w:eastAsia="宋体" w:cs="宋体"/>
          <w:sz w:val="24"/>
          <w:szCs w:val="24"/>
          <w:highlight w:val="none"/>
        </w:rPr>
      </w:pPr>
      <w:r>
        <w:rPr>
          <w:rFonts w:hint="eastAsia" w:eastAsia="宋体" w:cs="宋体"/>
          <w:sz w:val="24"/>
          <w:szCs w:val="24"/>
          <w:highlight w:val="none"/>
        </w:rPr>
        <w:t>2.3残疾人福利性单位</w:t>
      </w:r>
    </w:p>
    <w:p w14:paraId="51D4C899">
      <w:pPr>
        <w:pStyle w:val="45"/>
        <w:tabs>
          <w:tab w:val="left" w:pos="2472"/>
        </w:tabs>
        <w:ind w:firstLine="420" w:firstLineChars="200"/>
        <w:rPr>
          <w:rFonts w:cs="宋体"/>
          <w:szCs w:val="21"/>
          <w:highlight w:val="none"/>
        </w:rPr>
      </w:pPr>
      <w:r>
        <w:rPr>
          <w:rFonts w:hint="eastAsia" w:cs="宋体"/>
          <w:szCs w:val="21"/>
          <w:highlight w:val="none"/>
        </w:rPr>
        <w:t>2.3.1根据《财政部 民政部 中国残疾人联合会关于促进残疾人就业政府采购政策的通知》，享受政府采购支持政策的残疾人福利性单位应当同时满足以下条件：</w:t>
      </w:r>
    </w:p>
    <w:p w14:paraId="7BC590A3">
      <w:pPr>
        <w:ind w:firstLine="420" w:firstLineChars="200"/>
        <w:rPr>
          <w:rFonts w:cs="宋体"/>
          <w:szCs w:val="21"/>
          <w:highlight w:val="none"/>
        </w:rPr>
      </w:pPr>
      <w:r>
        <w:rPr>
          <w:rFonts w:hint="eastAsia" w:cs="宋体"/>
          <w:szCs w:val="21"/>
          <w:highlight w:val="none"/>
        </w:rPr>
        <w:t>（1）安置的残疾人占本单位在职职工人数的比例不低于25%（含25%），并且安置的残疾人人数不少于10人（含10人）；</w:t>
      </w:r>
    </w:p>
    <w:p w14:paraId="6B5F2133">
      <w:pPr>
        <w:ind w:firstLine="420" w:firstLineChars="200"/>
        <w:rPr>
          <w:rFonts w:cs="宋体"/>
          <w:szCs w:val="21"/>
          <w:highlight w:val="none"/>
        </w:rPr>
      </w:pPr>
      <w:r>
        <w:rPr>
          <w:rFonts w:hint="eastAsia" w:cs="宋体"/>
          <w:szCs w:val="21"/>
          <w:highlight w:val="none"/>
        </w:rPr>
        <w:t>（2）依法与安置的每位残疾人签订了一年以上（含一年）的劳动合同或服务协议；</w:t>
      </w:r>
    </w:p>
    <w:p w14:paraId="0B787E40">
      <w:pPr>
        <w:ind w:firstLine="420" w:firstLineChars="200"/>
        <w:rPr>
          <w:rFonts w:cs="宋体"/>
          <w:szCs w:val="21"/>
          <w:highlight w:val="none"/>
        </w:rPr>
      </w:pPr>
      <w:r>
        <w:rPr>
          <w:rFonts w:hint="eastAsia" w:cs="宋体"/>
          <w:szCs w:val="21"/>
          <w:highlight w:val="none"/>
        </w:rPr>
        <w:t>（3）为安置的每位残疾人按月足额缴纳了基本养老保险、基本医疗保险、失业保险、工伤保险和生育保险等社会保险费；</w:t>
      </w:r>
    </w:p>
    <w:p w14:paraId="4FB6306C">
      <w:pPr>
        <w:ind w:firstLine="420" w:firstLineChars="200"/>
        <w:rPr>
          <w:rFonts w:cs="宋体"/>
          <w:szCs w:val="21"/>
          <w:highlight w:val="none"/>
        </w:rPr>
      </w:pPr>
      <w:r>
        <w:rPr>
          <w:rFonts w:hint="eastAsia" w:cs="宋体"/>
          <w:szCs w:val="21"/>
          <w:highlight w:val="none"/>
        </w:rPr>
        <w:t>（4）通过银行等金融机构向安置的每位残疾人，按月支付了不低于单位所在区县适用的经省级人民政府批准的月最低工资标准的工资；</w:t>
      </w:r>
    </w:p>
    <w:p w14:paraId="0D3D82B5">
      <w:pPr>
        <w:ind w:firstLine="420" w:firstLineChars="200"/>
        <w:rPr>
          <w:rFonts w:cs="宋体"/>
          <w:szCs w:val="21"/>
          <w:highlight w:val="none"/>
        </w:rPr>
      </w:pPr>
      <w:r>
        <w:rPr>
          <w:rFonts w:hint="eastAsia" w:cs="宋体"/>
          <w:szCs w:val="21"/>
          <w:highlight w:val="none"/>
        </w:rPr>
        <w:t>（5）提供本单位制造的货物、承担的工程或者服务（以下简称产品），或者提供其他残疾人福利性单位制造的货物（不包括使用非残疾人福利性单位注册商标的货物）。</w:t>
      </w:r>
    </w:p>
    <w:p w14:paraId="72E1EE7C">
      <w:pPr>
        <w:ind w:firstLine="420" w:firstLineChars="200"/>
        <w:rPr>
          <w:rFonts w:cs="宋体"/>
          <w:szCs w:val="21"/>
          <w:highlight w:val="none"/>
        </w:rPr>
      </w:pPr>
      <w:r>
        <w:rPr>
          <w:rFonts w:hint="eastAsia" w:cs="宋体"/>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C2AA6D9">
      <w:pPr>
        <w:pStyle w:val="45"/>
        <w:tabs>
          <w:tab w:val="left" w:pos="2472"/>
        </w:tabs>
        <w:ind w:firstLine="420" w:firstLineChars="200"/>
        <w:rPr>
          <w:rFonts w:cs="宋体"/>
          <w:szCs w:val="21"/>
          <w:highlight w:val="none"/>
        </w:rPr>
      </w:pPr>
      <w:r>
        <w:rPr>
          <w:rFonts w:hint="eastAsia" w:cs="宋体"/>
          <w:szCs w:val="21"/>
          <w:highlight w:val="none"/>
        </w:rPr>
        <w:t>2.3.2符合条件的残疾人福利性单位在参加政府采购活动时，应当提供《残疾人福利性单位声明函》，并对声明的真实性负责。</w:t>
      </w:r>
    </w:p>
    <w:p w14:paraId="2525321C">
      <w:pPr>
        <w:pStyle w:val="45"/>
        <w:tabs>
          <w:tab w:val="left" w:pos="2472"/>
        </w:tabs>
        <w:ind w:firstLine="420" w:firstLineChars="200"/>
        <w:rPr>
          <w:rFonts w:cs="宋体"/>
          <w:b/>
          <w:szCs w:val="21"/>
          <w:highlight w:val="none"/>
        </w:rPr>
      </w:pPr>
      <w:r>
        <w:rPr>
          <w:rFonts w:hint="eastAsia" w:cs="宋体"/>
          <w:b/>
          <w:szCs w:val="21"/>
          <w:highlight w:val="none"/>
        </w:rPr>
        <w:t>2.4节能、环境标志产品扶持政策（本项目不适用）</w:t>
      </w:r>
    </w:p>
    <w:p w14:paraId="7E85A87C">
      <w:pPr>
        <w:pStyle w:val="45"/>
        <w:tabs>
          <w:tab w:val="left" w:pos="2472"/>
        </w:tabs>
        <w:snapToGrid w:val="0"/>
        <w:ind w:firstLine="420" w:firstLineChars="200"/>
        <w:rPr>
          <w:rFonts w:cs="宋体"/>
          <w:szCs w:val="21"/>
          <w:highlight w:val="none"/>
        </w:rPr>
      </w:pPr>
      <w:r>
        <w:rPr>
          <w:rFonts w:hint="eastAsia" w:cs="宋体"/>
          <w:szCs w:val="21"/>
          <w:highlight w:val="none"/>
        </w:rPr>
        <w:t>2.4.1节能产品是指列入财政部和国家发改委公布的《节能产品政府采购品目清单》中的货物。政府强制采购节能产品是指《节能产品政府采购品目清单》中以“★”标注类别的产品。</w:t>
      </w:r>
    </w:p>
    <w:p w14:paraId="773E4D30">
      <w:pPr>
        <w:pStyle w:val="45"/>
        <w:tabs>
          <w:tab w:val="left" w:pos="2472"/>
        </w:tabs>
        <w:snapToGrid w:val="0"/>
        <w:ind w:firstLine="420" w:firstLineChars="200"/>
        <w:rPr>
          <w:rFonts w:cs="宋体"/>
          <w:szCs w:val="21"/>
          <w:highlight w:val="none"/>
        </w:rPr>
      </w:pPr>
      <w:r>
        <w:rPr>
          <w:rFonts w:hint="eastAsia" w:cs="宋体"/>
          <w:szCs w:val="21"/>
          <w:highlight w:val="none"/>
        </w:rPr>
        <w:t>2.4.2环境标志产品是指列入财政部、生态环境部公布的《环境标志产品政府采购品目清单》中的货物。</w:t>
      </w:r>
    </w:p>
    <w:p w14:paraId="191E3DB2">
      <w:pPr>
        <w:pStyle w:val="45"/>
        <w:tabs>
          <w:tab w:val="left" w:pos="2472"/>
        </w:tabs>
        <w:snapToGrid w:val="0"/>
        <w:ind w:firstLine="420" w:firstLineChars="200"/>
        <w:rPr>
          <w:rFonts w:cs="宋体"/>
          <w:szCs w:val="21"/>
          <w:highlight w:val="none"/>
        </w:rPr>
      </w:pPr>
      <w:r>
        <w:rPr>
          <w:rFonts w:hint="eastAsia" w:cs="宋体"/>
          <w:szCs w:val="21"/>
          <w:highlight w:val="none"/>
        </w:rPr>
        <w:t>★2.4.3本项目采购清单中若有政府强制采购节能产品，只接受强制节能产品投标，投标人必须在投标文件中提供国家确定的认证机构出具的、处于有效期之内的节能产品认证证书。投标人必须选报，否则按不实质性响应招标文件要求处理。</w:t>
      </w:r>
    </w:p>
    <w:p w14:paraId="14867C85">
      <w:pPr>
        <w:pStyle w:val="45"/>
        <w:tabs>
          <w:tab w:val="left" w:pos="2472"/>
        </w:tabs>
        <w:snapToGrid w:val="0"/>
        <w:ind w:firstLine="420" w:firstLineChars="200"/>
        <w:rPr>
          <w:rFonts w:cs="宋体"/>
          <w:szCs w:val="21"/>
          <w:highlight w:val="none"/>
        </w:rPr>
      </w:pPr>
      <w:r>
        <w:rPr>
          <w:rFonts w:hint="eastAsia" w:cs="宋体"/>
          <w:szCs w:val="21"/>
          <w:highlight w:val="none"/>
        </w:rPr>
        <w:t>2.4.4投标人应在投标文件中提供所投标产品国家确定的认证机构出具的、处于有效期之内的节能产品、环境标志产品认证证书，否则不予认可。</w:t>
      </w:r>
    </w:p>
    <w:p w14:paraId="543F3CBB">
      <w:pPr>
        <w:pStyle w:val="45"/>
        <w:tabs>
          <w:tab w:val="left" w:pos="2472"/>
        </w:tabs>
        <w:snapToGrid w:val="0"/>
        <w:ind w:firstLine="420" w:firstLineChars="200"/>
        <w:rPr>
          <w:rFonts w:cs="宋体"/>
          <w:szCs w:val="21"/>
          <w:highlight w:val="none"/>
        </w:rPr>
      </w:pPr>
      <w:r>
        <w:rPr>
          <w:rFonts w:hint="eastAsia" w:cs="宋体"/>
          <w:szCs w:val="21"/>
          <w:highlight w:val="none"/>
        </w:rPr>
        <w:t>2.4.5《节能产品政府采购品目清单》及《环境标志产品政府采购品目清单》可通过中国政府采购网（http://www.ccgp.gov.cn/ ）查阅、下载。</w:t>
      </w:r>
    </w:p>
    <w:p w14:paraId="3CC96EED">
      <w:pPr>
        <w:pStyle w:val="45"/>
        <w:tabs>
          <w:tab w:val="left" w:pos="2472"/>
        </w:tabs>
        <w:snapToGrid w:val="0"/>
        <w:ind w:firstLine="420" w:firstLineChars="200"/>
        <w:rPr>
          <w:rFonts w:cs="宋体"/>
          <w:szCs w:val="21"/>
          <w:highlight w:val="none"/>
        </w:rPr>
      </w:pPr>
      <w:r>
        <w:rPr>
          <w:rFonts w:hint="eastAsia" w:cs="宋体"/>
          <w:szCs w:val="21"/>
          <w:highlight w:val="none"/>
        </w:rPr>
        <w:t>2.4.6参与实施政府采购节能产品认证机构名录：</w:t>
      </w:r>
    </w:p>
    <w:tbl>
      <w:tblPr>
        <w:tblStyle w:val="88"/>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Layout w:type="autofit"/>
        <w:tblCellMar>
          <w:top w:w="30" w:type="dxa"/>
          <w:left w:w="30" w:type="dxa"/>
          <w:bottom w:w="30" w:type="dxa"/>
          <w:right w:w="30" w:type="dxa"/>
        </w:tblCellMar>
      </w:tblPr>
      <w:tblGrid>
        <w:gridCol w:w="514"/>
        <w:gridCol w:w="1100"/>
        <w:gridCol w:w="1586"/>
        <w:gridCol w:w="1371"/>
        <w:gridCol w:w="1889"/>
        <w:gridCol w:w="3266"/>
      </w:tblGrid>
      <w:tr w14:paraId="51E98AE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restart"/>
            <w:shd w:val="clear" w:color="auto" w:fill="FFFFFF"/>
            <w:tcMar>
              <w:top w:w="0" w:type="dxa"/>
              <w:left w:w="108" w:type="dxa"/>
              <w:bottom w:w="0" w:type="dxa"/>
              <w:right w:w="108" w:type="dxa"/>
            </w:tcMar>
            <w:vAlign w:val="center"/>
          </w:tcPr>
          <w:p w14:paraId="3B96F144">
            <w:pPr>
              <w:widowControl/>
              <w:spacing w:line="276" w:lineRule="auto"/>
              <w:jc w:val="center"/>
              <w:textAlignment w:val="baseline"/>
              <w:rPr>
                <w:rFonts w:cs="宋体"/>
                <w:kern w:val="0"/>
                <w:szCs w:val="21"/>
                <w:highlight w:val="none"/>
              </w:rPr>
            </w:pPr>
            <w:r>
              <w:rPr>
                <w:rFonts w:hint="eastAsia" w:cs="宋体"/>
                <w:kern w:val="0"/>
                <w:szCs w:val="21"/>
                <w:highlight w:val="none"/>
              </w:rPr>
              <w:t>序号</w:t>
            </w:r>
          </w:p>
        </w:tc>
        <w:tc>
          <w:tcPr>
            <w:tcW w:w="1388" w:type="pct"/>
            <w:gridSpan w:val="2"/>
            <w:shd w:val="clear" w:color="auto" w:fill="FFFFFF"/>
            <w:tcMar>
              <w:top w:w="0" w:type="dxa"/>
              <w:left w:w="108" w:type="dxa"/>
              <w:bottom w:w="0" w:type="dxa"/>
              <w:right w:w="108" w:type="dxa"/>
            </w:tcMar>
            <w:vAlign w:val="center"/>
          </w:tcPr>
          <w:p w14:paraId="0E6F23DB">
            <w:pPr>
              <w:widowControl/>
              <w:spacing w:line="276" w:lineRule="auto"/>
              <w:jc w:val="center"/>
              <w:textAlignment w:val="baseline"/>
              <w:rPr>
                <w:rFonts w:cs="宋体"/>
                <w:kern w:val="0"/>
                <w:szCs w:val="21"/>
                <w:highlight w:val="none"/>
              </w:rPr>
            </w:pPr>
            <w:r>
              <w:rPr>
                <w:rFonts w:hint="eastAsia" w:cs="宋体"/>
                <w:kern w:val="0"/>
                <w:szCs w:val="21"/>
                <w:highlight w:val="none"/>
              </w:rPr>
              <w:t>一级目录</w:t>
            </w:r>
          </w:p>
        </w:tc>
        <w:tc>
          <w:tcPr>
            <w:tcW w:w="1662" w:type="pct"/>
            <w:gridSpan w:val="2"/>
            <w:shd w:val="clear" w:color="auto" w:fill="FFFFFF"/>
            <w:tcMar>
              <w:top w:w="0" w:type="dxa"/>
              <w:left w:w="108" w:type="dxa"/>
              <w:bottom w:w="0" w:type="dxa"/>
              <w:right w:w="108" w:type="dxa"/>
            </w:tcMar>
            <w:vAlign w:val="center"/>
          </w:tcPr>
          <w:p w14:paraId="5F56AB97">
            <w:pPr>
              <w:widowControl/>
              <w:spacing w:line="276" w:lineRule="auto"/>
              <w:jc w:val="center"/>
              <w:textAlignment w:val="baseline"/>
              <w:rPr>
                <w:rFonts w:cs="宋体"/>
                <w:kern w:val="0"/>
                <w:szCs w:val="21"/>
                <w:highlight w:val="none"/>
              </w:rPr>
            </w:pPr>
            <w:r>
              <w:rPr>
                <w:rFonts w:hint="eastAsia" w:cs="宋体"/>
                <w:kern w:val="0"/>
                <w:szCs w:val="21"/>
                <w:highlight w:val="none"/>
              </w:rPr>
              <w:t>二级目录</w:t>
            </w:r>
          </w:p>
        </w:tc>
        <w:tc>
          <w:tcPr>
            <w:tcW w:w="1682" w:type="pct"/>
            <w:vMerge w:val="restart"/>
            <w:shd w:val="clear" w:color="auto" w:fill="FFFFFF"/>
            <w:tcMar>
              <w:top w:w="0" w:type="dxa"/>
              <w:left w:w="108" w:type="dxa"/>
              <w:bottom w:w="0" w:type="dxa"/>
              <w:right w:w="108" w:type="dxa"/>
            </w:tcMar>
            <w:vAlign w:val="center"/>
          </w:tcPr>
          <w:p w14:paraId="64546F1A">
            <w:pPr>
              <w:widowControl/>
              <w:spacing w:line="276" w:lineRule="auto"/>
              <w:jc w:val="center"/>
              <w:textAlignment w:val="baseline"/>
              <w:rPr>
                <w:rFonts w:cs="宋体"/>
                <w:kern w:val="0"/>
                <w:szCs w:val="21"/>
                <w:highlight w:val="none"/>
              </w:rPr>
            </w:pPr>
            <w:r>
              <w:rPr>
                <w:rFonts w:hint="eastAsia" w:cs="宋体"/>
                <w:kern w:val="0"/>
                <w:szCs w:val="21"/>
                <w:highlight w:val="none"/>
              </w:rPr>
              <w:t>认证机构名录</w:t>
            </w:r>
          </w:p>
        </w:tc>
      </w:tr>
      <w:tr w14:paraId="4F96351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3CB63382">
            <w:pPr>
              <w:widowControl/>
              <w:spacing w:line="276" w:lineRule="auto"/>
              <w:jc w:val="center"/>
              <w:rPr>
                <w:rFonts w:cs="宋体"/>
                <w:kern w:val="0"/>
                <w:szCs w:val="21"/>
                <w:highlight w:val="none"/>
              </w:rPr>
            </w:pPr>
          </w:p>
        </w:tc>
        <w:tc>
          <w:tcPr>
            <w:tcW w:w="569" w:type="pct"/>
            <w:shd w:val="clear" w:color="auto" w:fill="FFFFFF"/>
            <w:tcMar>
              <w:top w:w="0" w:type="dxa"/>
              <w:left w:w="108" w:type="dxa"/>
              <w:bottom w:w="0" w:type="dxa"/>
              <w:right w:w="108" w:type="dxa"/>
            </w:tcMar>
            <w:vAlign w:val="center"/>
          </w:tcPr>
          <w:p w14:paraId="2E503F1B">
            <w:pPr>
              <w:widowControl/>
              <w:spacing w:line="276" w:lineRule="auto"/>
              <w:jc w:val="center"/>
              <w:textAlignment w:val="baseline"/>
              <w:rPr>
                <w:rFonts w:cs="宋体"/>
                <w:kern w:val="0"/>
                <w:szCs w:val="21"/>
                <w:highlight w:val="none"/>
              </w:rPr>
            </w:pPr>
            <w:r>
              <w:rPr>
                <w:rFonts w:hint="eastAsia" w:cs="宋体"/>
                <w:kern w:val="0"/>
                <w:szCs w:val="21"/>
                <w:highlight w:val="none"/>
              </w:rPr>
              <w:t>产品代码</w:t>
            </w:r>
          </w:p>
        </w:tc>
        <w:tc>
          <w:tcPr>
            <w:tcW w:w="819" w:type="pct"/>
            <w:shd w:val="clear" w:color="auto" w:fill="FFFFFF"/>
            <w:tcMar>
              <w:top w:w="0" w:type="dxa"/>
              <w:left w:w="108" w:type="dxa"/>
              <w:bottom w:w="0" w:type="dxa"/>
              <w:right w:w="108" w:type="dxa"/>
            </w:tcMar>
            <w:vAlign w:val="center"/>
          </w:tcPr>
          <w:p w14:paraId="301525DD">
            <w:pPr>
              <w:widowControl/>
              <w:spacing w:line="276" w:lineRule="auto"/>
              <w:jc w:val="center"/>
              <w:textAlignment w:val="baseline"/>
              <w:rPr>
                <w:rFonts w:cs="宋体"/>
                <w:kern w:val="0"/>
                <w:szCs w:val="21"/>
                <w:highlight w:val="none"/>
              </w:rPr>
            </w:pPr>
            <w:r>
              <w:rPr>
                <w:rFonts w:hint="eastAsia" w:cs="宋体"/>
                <w:kern w:val="0"/>
                <w:szCs w:val="21"/>
                <w:highlight w:val="none"/>
              </w:rPr>
              <w:t>产品名称</w:t>
            </w:r>
          </w:p>
        </w:tc>
        <w:tc>
          <w:tcPr>
            <w:tcW w:w="688" w:type="pct"/>
            <w:shd w:val="clear" w:color="auto" w:fill="FFFFFF"/>
            <w:tcMar>
              <w:top w:w="0" w:type="dxa"/>
              <w:left w:w="108" w:type="dxa"/>
              <w:bottom w:w="0" w:type="dxa"/>
              <w:right w:w="108" w:type="dxa"/>
            </w:tcMar>
            <w:vAlign w:val="center"/>
          </w:tcPr>
          <w:p w14:paraId="62D3B3D9">
            <w:pPr>
              <w:widowControl/>
              <w:spacing w:line="276" w:lineRule="auto"/>
              <w:jc w:val="center"/>
              <w:textAlignment w:val="baseline"/>
              <w:rPr>
                <w:rFonts w:cs="宋体"/>
                <w:kern w:val="0"/>
                <w:szCs w:val="21"/>
                <w:highlight w:val="none"/>
              </w:rPr>
            </w:pPr>
            <w:r>
              <w:rPr>
                <w:rFonts w:hint="eastAsia" w:cs="宋体"/>
                <w:kern w:val="0"/>
                <w:szCs w:val="21"/>
                <w:highlight w:val="none"/>
              </w:rPr>
              <w:t>产品代码</w:t>
            </w:r>
          </w:p>
        </w:tc>
        <w:tc>
          <w:tcPr>
            <w:tcW w:w="974" w:type="pct"/>
            <w:shd w:val="clear" w:color="auto" w:fill="FFFFFF"/>
            <w:tcMar>
              <w:top w:w="0" w:type="dxa"/>
              <w:left w:w="108" w:type="dxa"/>
              <w:bottom w:w="0" w:type="dxa"/>
              <w:right w:w="108" w:type="dxa"/>
            </w:tcMar>
            <w:vAlign w:val="center"/>
          </w:tcPr>
          <w:p w14:paraId="60688C56">
            <w:pPr>
              <w:widowControl/>
              <w:spacing w:line="276" w:lineRule="auto"/>
              <w:jc w:val="center"/>
              <w:textAlignment w:val="baseline"/>
              <w:rPr>
                <w:rFonts w:cs="宋体"/>
                <w:kern w:val="0"/>
                <w:szCs w:val="21"/>
                <w:highlight w:val="none"/>
              </w:rPr>
            </w:pPr>
            <w:r>
              <w:rPr>
                <w:rFonts w:hint="eastAsia" w:cs="宋体"/>
                <w:kern w:val="0"/>
                <w:szCs w:val="21"/>
                <w:highlight w:val="none"/>
              </w:rPr>
              <w:t>产品名称</w:t>
            </w:r>
          </w:p>
        </w:tc>
        <w:tc>
          <w:tcPr>
            <w:tcW w:w="1682" w:type="pct"/>
            <w:vMerge w:val="continue"/>
            <w:shd w:val="clear" w:color="auto" w:fill="FFFFFF"/>
            <w:tcMar>
              <w:top w:w="0" w:type="dxa"/>
              <w:left w:w="0" w:type="dxa"/>
              <w:bottom w:w="0" w:type="dxa"/>
              <w:right w:w="0" w:type="dxa"/>
            </w:tcMar>
            <w:vAlign w:val="center"/>
          </w:tcPr>
          <w:p w14:paraId="007067B5">
            <w:pPr>
              <w:widowControl/>
              <w:spacing w:line="276" w:lineRule="auto"/>
              <w:jc w:val="center"/>
              <w:rPr>
                <w:rFonts w:cs="宋体"/>
                <w:kern w:val="0"/>
                <w:szCs w:val="21"/>
                <w:highlight w:val="none"/>
              </w:rPr>
            </w:pPr>
          </w:p>
        </w:tc>
      </w:tr>
      <w:tr w14:paraId="35A10BD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20" w:hRule="atLeast"/>
        </w:trPr>
        <w:tc>
          <w:tcPr>
            <w:tcW w:w="268" w:type="pct"/>
            <w:vMerge w:val="restart"/>
            <w:shd w:val="clear" w:color="auto" w:fill="FFFFFF"/>
            <w:tcMar>
              <w:top w:w="0" w:type="dxa"/>
              <w:left w:w="108" w:type="dxa"/>
              <w:bottom w:w="0" w:type="dxa"/>
              <w:right w:w="108" w:type="dxa"/>
            </w:tcMar>
            <w:vAlign w:val="center"/>
          </w:tcPr>
          <w:p w14:paraId="265F5C89">
            <w:pPr>
              <w:widowControl/>
              <w:spacing w:line="276" w:lineRule="auto"/>
              <w:jc w:val="center"/>
              <w:textAlignment w:val="baseline"/>
              <w:rPr>
                <w:rFonts w:cs="宋体"/>
                <w:kern w:val="0"/>
                <w:szCs w:val="21"/>
                <w:highlight w:val="none"/>
              </w:rPr>
            </w:pPr>
            <w:r>
              <w:rPr>
                <w:rFonts w:hint="eastAsia" w:cs="宋体"/>
                <w:kern w:val="0"/>
                <w:szCs w:val="21"/>
                <w:highlight w:val="none"/>
              </w:rPr>
              <w:t>1</w:t>
            </w:r>
          </w:p>
        </w:tc>
        <w:tc>
          <w:tcPr>
            <w:tcW w:w="569" w:type="pct"/>
            <w:vMerge w:val="restart"/>
            <w:shd w:val="clear" w:color="auto" w:fill="FFFFFF"/>
            <w:tcMar>
              <w:top w:w="0" w:type="dxa"/>
              <w:left w:w="108" w:type="dxa"/>
              <w:bottom w:w="0" w:type="dxa"/>
              <w:right w:w="108" w:type="dxa"/>
            </w:tcMar>
            <w:vAlign w:val="center"/>
          </w:tcPr>
          <w:p w14:paraId="1D79E235">
            <w:pPr>
              <w:widowControl/>
              <w:spacing w:line="276" w:lineRule="auto"/>
              <w:jc w:val="center"/>
              <w:textAlignment w:val="baseline"/>
              <w:rPr>
                <w:rFonts w:cs="宋体"/>
                <w:kern w:val="0"/>
                <w:szCs w:val="21"/>
                <w:highlight w:val="none"/>
              </w:rPr>
            </w:pPr>
            <w:r>
              <w:rPr>
                <w:rFonts w:hint="eastAsia" w:cs="宋体"/>
                <w:kern w:val="0"/>
                <w:szCs w:val="21"/>
                <w:highlight w:val="none"/>
              </w:rPr>
              <w:t>A020101</w:t>
            </w:r>
          </w:p>
        </w:tc>
        <w:tc>
          <w:tcPr>
            <w:tcW w:w="819" w:type="pct"/>
            <w:vMerge w:val="restart"/>
            <w:shd w:val="clear" w:color="auto" w:fill="FFFFFF"/>
            <w:tcMar>
              <w:top w:w="0" w:type="dxa"/>
              <w:left w:w="108" w:type="dxa"/>
              <w:bottom w:w="0" w:type="dxa"/>
              <w:right w:w="108" w:type="dxa"/>
            </w:tcMar>
            <w:vAlign w:val="center"/>
          </w:tcPr>
          <w:p w14:paraId="657E42BE">
            <w:pPr>
              <w:widowControl/>
              <w:spacing w:line="276" w:lineRule="auto"/>
              <w:jc w:val="center"/>
              <w:textAlignment w:val="baseline"/>
              <w:rPr>
                <w:rFonts w:cs="宋体"/>
                <w:kern w:val="0"/>
                <w:szCs w:val="21"/>
                <w:highlight w:val="none"/>
              </w:rPr>
            </w:pPr>
            <w:r>
              <w:rPr>
                <w:rFonts w:hint="eastAsia" w:cs="宋体"/>
                <w:kern w:val="0"/>
                <w:szCs w:val="21"/>
                <w:highlight w:val="none"/>
              </w:rPr>
              <w:t>计算机设备</w:t>
            </w:r>
          </w:p>
        </w:tc>
        <w:tc>
          <w:tcPr>
            <w:tcW w:w="688" w:type="pct"/>
            <w:shd w:val="clear" w:color="auto" w:fill="FFFFFF"/>
            <w:tcMar>
              <w:top w:w="0" w:type="dxa"/>
              <w:left w:w="108" w:type="dxa"/>
              <w:bottom w:w="0" w:type="dxa"/>
              <w:right w:w="108" w:type="dxa"/>
            </w:tcMar>
            <w:vAlign w:val="center"/>
          </w:tcPr>
          <w:p w14:paraId="35103567">
            <w:pPr>
              <w:widowControl/>
              <w:spacing w:line="276" w:lineRule="auto"/>
              <w:jc w:val="center"/>
              <w:textAlignment w:val="baseline"/>
              <w:rPr>
                <w:rFonts w:cs="宋体"/>
                <w:kern w:val="0"/>
                <w:szCs w:val="21"/>
                <w:highlight w:val="none"/>
              </w:rPr>
            </w:pPr>
            <w:r>
              <w:rPr>
                <w:rFonts w:hint="eastAsia" w:cs="宋体"/>
                <w:kern w:val="0"/>
                <w:szCs w:val="21"/>
                <w:highlight w:val="none"/>
              </w:rPr>
              <w:t>A02010104</w:t>
            </w:r>
          </w:p>
        </w:tc>
        <w:tc>
          <w:tcPr>
            <w:tcW w:w="974" w:type="pct"/>
            <w:shd w:val="clear" w:color="auto" w:fill="FFFFFF"/>
            <w:tcMar>
              <w:top w:w="0" w:type="dxa"/>
              <w:left w:w="108" w:type="dxa"/>
              <w:bottom w:w="0" w:type="dxa"/>
              <w:right w:w="108" w:type="dxa"/>
            </w:tcMar>
            <w:vAlign w:val="center"/>
          </w:tcPr>
          <w:p w14:paraId="5D7DF77B">
            <w:pPr>
              <w:widowControl/>
              <w:spacing w:line="276" w:lineRule="auto"/>
              <w:jc w:val="center"/>
              <w:textAlignment w:val="baseline"/>
              <w:rPr>
                <w:rFonts w:cs="宋体"/>
                <w:kern w:val="0"/>
                <w:szCs w:val="21"/>
                <w:highlight w:val="none"/>
              </w:rPr>
            </w:pPr>
            <w:r>
              <w:rPr>
                <w:rFonts w:hint="eastAsia" w:cs="宋体"/>
                <w:kern w:val="0"/>
                <w:szCs w:val="21"/>
                <w:highlight w:val="none"/>
              </w:rPr>
              <w:t>台式计算机</w:t>
            </w:r>
          </w:p>
        </w:tc>
        <w:tc>
          <w:tcPr>
            <w:tcW w:w="1682" w:type="pct"/>
            <w:vMerge w:val="restart"/>
            <w:shd w:val="clear" w:color="auto" w:fill="FFFFFF"/>
            <w:tcMar>
              <w:top w:w="0" w:type="dxa"/>
              <w:left w:w="108" w:type="dxa"/>
              <w:bottom w:w="0" w:type="dxa"/>
              <w:right w:w="108" w:type="dxa"/>
            </w:tcMar>
            <w:vAlign w:val="center"/>
          </w:tcPr>
          <w:p w14:paraId="3081B797">
            <w:pPr>
              <w:widowControl/>
              <w:spacing w:line="276" w:lineRule="auto"/>
              <w:jc w:val="center"/>
              <w:textAlignment w:val="baseline"/>
              <w:rPr>
                <w:rFonts w:cs="宋体"/>
                <w:kern w:val="0"/>
                <w:szCs w:val="21"/>
                <w:highlight w:val="none"/>
              </w:rPr>
            </w:pPr>
            <w:r>
              <w:rPr>
                <w:rFonts w:hint="eastAsia" w:cs="宋体"/>
                <w:kern w:val="0"/>
                <w:szCs w:val="21"/>
                <w:highlight w:val="none"/>
              </w:rPr>
              <w:t>中国质量认证中心</w:t>
            </w:r>
          </w:p>
          <w:p w14:paraId="1DB9188F">
            <w:pPr>
              <w:widowControl/>
              <w:spacing w:line="276" w:lineRule="auto"/>
              <w:jc w:val="center"/>
              <w:textAlignment w:val="baseline"/>
              <w:rPr>
                <w:rFonts w:cs="宋体"/>
                <w:kern w:val="0"/>
                <w:szCs w:val="21"/>
                <w:highlight w:val="none"/>
              </w:rPr>
            </w:pPr>
            <w:r>
              <w:rPr>
                <w:rFonts w:hint="eastAsia" w:cs="宋体"/>
                <w:kern w:val="0"/>
                <w:szCs w:val="21"/>
                <w:highlight w:val="none"/>
              </w:rPr>
              <w:t>北京赛西认证有限责任公司</w:t>
            </w:r>
          </w:p>
          <w:p w14:paraId="6A1CDA15">
            <w:pPr>
              <w:widowControl/>
              <w:spacing w:line="276" w:lineRule="auto"/>
              <w:jc w:val="center"/>
              <w:textAlignment w:val="baseline"/>
              <w:rPr>
                <w:rFonts w:cs="宋体"/>
                <w:kern w:val="0"/>
                <w:szCs w:val="21"/>
                <w:highlight w:val="none"/>
              </w:rPr>
            </w:pPr>
            <w:r>
              <w:rPr>
                <w:rFonts w:hint="eastAsia" w:cs="宋体"/>
                <w:kern w:val="0"/>
                <w:szCs w:val="21"/>
                <w:highlight w:val="none"/>
              </w:rPr>
              <w:t>中国网络安全审查技术与认证中心</w:t>
            </w:r>
          </w:p>
          <w:p w14:paraId="43482A83">
            <w:pPr>
              <w:widowControl/>
              <w:spacing w:line="276" w:lineRule="auto"/>
              <w:jc w:val="center"/>
              <w:textAlignment w:val="baseline"/>
              <w:rPr>
                <w:rFonts w:cs="宋体"/>
                <w:kern w:val="0"/>
                <w:szCs w:val="21"/>
                <w:highlight w:val="none"/>
              </w:rPr>
            </w:pPr>
            <w:r>
              <w:rPr>
                <w:rFonts w:hint="eastAsia" w:cs="宋体"/>
                <w:kern w:val="0"/>
                <w:szCs w:val="21"/>
                <w:highlight w:val="none"/>
              </w:rPr>
              <w:t>广州赛宝认证中心服务有限公司</w:t>
            </w:r>
          </w:p>
        </w:tc>
      </w:tr>
      <w:tr w14:paraId="50E6194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617736BA">
            <w:pPr>
              <w:widowControl/>
              <w:spacing w:line="276" w:lineRule="auto"/>
              <w:jc w:val="center"/>
              <w:rPr>
                <w:rFonts w:cs="宋体"/>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577DD251">
            <w:pPr>
              <w:widowControl/>
              <w:spacing w:line="276" w:lineRule="auto"/>
              <w:jc w:val="center"/>
              <w:rPr>
                <w:rFonts w:cs="宋体"/>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217CC50E">
            <w:pPr>
              <w:widowControl/>
              <w:spacing w:line="276" w:lineRule="auto"/>
              <w:jc w:val="center"/>
              <w:rPr>
                <w:rFonts w:cs="宋体"/>
                <w:kern w:val="0"/>
                <w:szCs w:val="21"/>
                <w:highlight w:val="none"/>
              </w:rPr>
            </w:pPr>
          </w:p>
        </w:tc>
        <w:tc>
          <w:tcPr>
            <w:tcW w:w="688" w:type="pct"/>
            <w:shd w:val="clear" w:color="auto" w:fill="FFFFFF"/>
            <w:tcMar>
              <w:top w:w="0" w:type="dxa"/>
              <w:left w:w="108" w:type="dxa"/>
              <w:bottom w:w="0" w:type="dxa"/>
              <w:right w:w="108" w:type="dxa"/>
            </w:tcMar>
            <w:vAlign w:val="center"/>
          </w:tcPr>
          <w:p w14:paraId="75ADBA4B">
            <w:pPr>
              <w:widowControl/>
              <w:spacing w:line="276" w:lineRule="auto"/>
              <w:jc w:val="center"/>
              <w:textAlignment w:val="baseline"/>
              <w:rPr>
                <w:rFonts w:cs="宋体"/>
                <w:kern w:val="0"/>
                <w:szCs w:val="21"/>
                <w:highlight w:val="none"/>
              </w:rPr>
            </w:pPr>
            <w:r>
              <w:rPr>
                <w:rFonts w:hint="eastAsia" w:cs="宋体"/>
                <w:kern w:val="0"/>
                <w:szCs w:val="21"/>
                <w:highlight w:val="none"/>
              </w:rPr>
              <w:t>A02010105</w:t>
            </w:r>
          </w:p>
        </w:tc>
        <w:tc>
          <w:tcPr>
            <w:tcW w:w="974" w:type="pct"/>
            <w:shd w:val="clear" w:color="auto" w:fill="FFFFFF"/>
            <w:tcMar>
              <w:top w:w="0" w:type="dxa"/>
              <w:left w:w="108" w:type="dxa"/>
              <w:bottom w:w="0" w:type="dxa"/>
              <w:right w:w="108" w:type="dxa"/>
            </w:tcMar>
            <w:vAlign w:val="center"/>
          </w:tcPr>
          <w:p w14:paraId="3B2B71E3">
            <w:pPr>
              <w:widowControl/>
              <w:spacing w:line="276" w:lineRule="auto"/>
              <w:jc w:val="center"/>
              <w:textAlignment w:val="baseline"/>
              <w:rPr>
                <w:rFonts w:cs="宋体"/>
                <w:kern w:val="0"/>
                <w:szCs w:val="21"/>
                <w:highlight w:val="none"/>
              </w:rPr>
            </w:pPr>
            <w:r>
              <w:rPr>
                <w:rFonts w:hint="eastAsia" w:cs="宋体"/>
                <w:kern w:val="0"/>
                <w:szCs w:val="21"/>
                <w:highlight w:val="none"/>
              </w:rPr>
              <w:t>便携式计算机</w:t>
            </w:r>
          </w:p>
        </w:tc>
        <w:tc>
          <w:tcPr>
            <w:tcW w:w="1682" w:type="pct"/>
            <w:vMerge w:val="continue"/>
            <w:shd w:val="clear" w:color="auto" w:fill="FFFFFF"/>
            <w:tcMar>
              <w:top w:w="0" w:type="dxa"/>
              <w:left w:w="0" w:type="dxa"/>
              <w:bottom w:w="0" w:type="dxa"/>
              <w:right w:w="0" w:type="dxa"/>
            </w:tcMar>
            <w:vAlign w:val="center"/>
          </w:tcPr>
          <w:p w14:paraId="02A96377">
            <w:pPr>
              <w:widowControl/>
              <w:spacing w:line="276" w:lineRule="auto"/>
              <w:jc w:val="center"/>
              <w:rPr>
                <w:rFonts w:cs="宋体"/>
                <w:kern w:val="0"/>
                <w:szCs w:val="21"/>
                <w:highlight w:val="none"/>
              </w:rPr>
            </w:pPr>
          </w:p>
        </w:tc>
      </w:tr>
      <w:tr w14:paraId="16A1E33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71C56B8D">
            <w:pPr>
              <w:widowControl/>
              <w:spacing w:line="276" w:lineRule="auto"/>
              <w:jc w:val="center"/>
              <w:rPr>
                <w:rFonts w:cs="宋体"/>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4D10D4D9">
            <w:pPr>
              <w:widowControl/>
              <w:spacing w:line="276" w:lineRule="auto"/>
              <w:jc w:val="center"/>
              <w:rPr>
                <w:rFonts w:cs="宋体"/>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143540FF">
            <w:pPr>
              <w:widowControl/>
              <w:spacing w:line="276" w:lineRule="auto"/>
              <w:jc w:val="center"/>
              <w:rPr>
                <w:rFonts w:cs="宋体"/>
                <w:kern w:val="0"/>
                <w:szCs w:val="21"/>
                <w:highlight w:val="none"/>
              </w:rPr>
            </w:pPr>
          </w:p>
        </w:tc>
        <w:tc>
          <w:tcPr>
            <w:tcW w:w="688" w:type="pct"/>
            <w:shd w:val="clear" w:color="auto" w:fill="FFFFFF"/>
            <w:tcMar>
              <w:top w:w="0" w:type="dxa"/>
              <w:left w:w="108" w:type="dxa"/>
              <w:bottom w:w="0" w:type="dxa"/>
              <w:right w:w="108" w:type="dxa"/>
            </w:tcMar>
            <w:vAlign w:val="center"/>
          </w:tcPr>
          <w:p w14:paraId="46A63624">
            <w:pPr>
              <w:widowControl/>
              <w:spacing w:line="276" w:lineRule="auto"/>
              <w:jc w:val="center"/>
              <w:textAlignment w:val="baseline"/>
              <w:rPr>
                <w:rFonts w:cs="宋体"/>
                <w:kern w:val="0"/>
                <w:szCs w:val="21"/>
                <w:highlight w:val="none"/>
              </w:rPr>
            </w:pPr>
            <w:r>
              <w:rPr>
                <w:rFonts w:hint="eastAsia" w:cs="宋体"/>
                <w:kern w:val="0"/>
                <w:szCs w:val="21"/>
                <w:highlight w:val="none"/>
              </w:rPr>
              <w:t>A02010107</w:t>
            </w:r>
          </w:p>
        </w:tc>
        <w:tc>
          <w:tcPr>
            <w:tcW w:w="974" w:type="pct"/>
            <w:shd w:val="clear" w:color="auto" w:fill="FFFFFF"/>
            <w:tcMar>
              <w:top w:w="0" w:type="dxa"/>
              <w:left w:w="108" w:type="dxa"/>
              <w:bottom w:w="0" w:type="dxa"/>
              <w:right w:w="108" w:type="dxa"/>
            </w:tcMar>
            <w:vAlign w:val="center"/>
          </w:tcPr>
          <w:p w14:paraId="5CC96F4D">
            <w:pPr>
              <w:widowControl/>
              <w:spacing w:line="276" w:lineRule="auto"/>
              <w:jc w:val="center"/>
              <w:textAlignment w:val="baseline"/>
              <w:rPr>
                <w:rFonts w:cs="宋体"/>
                <w:kern w:val="0"/>
                <w:szCs w:val="21"/>
                <w:highlight w:val="none"/>
              </w:rPr>
            </w:pPr>
            <w:r>
              <w:rPr>
                <w:rFonts w:hint="eastAsia" w:cs="宋体"/>
                <w:kern w:val="0"/>
                <w:szCs w:val="21"/>
                <w:highlight w:val="none"/>
              </w:rPr>
              <w:t>平板式微型计算机</w:t>
            </w:r>
          </w:p>
        </w:tc>
        <w:tc>
          <w:tcPr>
            <w:tcW w:w="1682" w:type="pct"/>
            <w:vMerge w:val="continue"/>
            <w:shd w:val="clear" w:color="auto" w:fill="FFFFFF"/>
            <w:tcMar>
              <w:top w:w="0" w:type="dxa"/>
              <w:left w:w="0" w:type="dxa"/>
              <w:bottom w:w="0" w:type="dxa"/>
              <w:right w:w="0" w:type="dxa"/>
            </w:tcMar>
            <w:vAlign w:val="center"/>
          </w:tcPr>
          <w:p w14:paraId="3751FA90">
            <w:pPr>
              <w:widowControl/>
              <w:spacing w:line="276" w:lineRule="auto"/>
              <w:jc w:val="center"/>
              <w:rPr>
                <w:rFonts w:cs="宋体"/>
                <w:kern w:val="0"/>
                <w:szCs w:val="21"/>
                <w:highlight w:val="none"/>
              </w:rPr>
            </w:pPr>
          </w:p>
        </w:tc>
      </w:tr>
      <w:tr w14:paraId="2D4050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restart"/>
            <w:shd w:val="clear" w:color="auto" w:fill="FFFFFF"/>
            <w:tcMar>
              <w:top w:w="0" w:type="dxa"/>
              <w:left w:w="108" w:type="dxa"/>
              <w:bottom w:w="0" w:type="dxa"/>
              <w:right w:w="108" w:type="dxa"/>
            </w:tcMar>
            <w:vAlign w:val="center"/>
          </w:tcPr>
          <w:p w14:paraId="12BC88F9">
            <w:pPr>
              <w:widowControl/>
              <w:spacing w:line="276" w:lineRule="auto"/>
              <w:jc w:val="center"/>
              <w:textAlignment w:val="baseline"/>
              <w:rPr>
                <w:rFonts w:cs="宋体"/>
                <w:kern w:val="0"/>
                <w:szCs w:val="21"/>
                <w:highlight w:val="none"/>
              </w:rPr>
            </w:pPr>
            <w:r>
              <w:rPr>
                <w:rFonts w:hint="eastAsia" w:cs="宋体"/>
                <w:kern w:val="0"/>
                <w:szCs w:val="21"/>
                <w:highlight w:val="none"/>
              </w:rPr>
              <w:t>2</w:t>
            </w:r>
          </w:p>
        </w:tc>
        <w:tc>
          <w:tcPr>
            <w:tcW w:w="569" w:type="pct"/>
            <w:vMerge w:val="restart"/>
            <w:shd w:val="clear" w:color="auto" w:fill="FFFFFF"/>
            <w:tcMar>
              <w:top w:w="0" w:type="dxa"/>
              <w:left w:w="108" w:type="dxa"/>
              <w:bottom w:w="0" w:type="dxa"/>
              <w:right w:w="108" w:type="dxa"/>
            </w:tcMar>
            <w:vAlign w:val="center"/>
          </w:tcPr>
          <w:p w14:paraId="6CE12DE1">
            <w:pPr>
              <w:widowControl/>
              <w:spacing w:line="276" w:lineRule="auto"/>
              <w:jc w:val="center"/>
              <w:textAlignment w:val="baseline"/>
              <w:rPr>
                <w:rFonts w:cs="宋体"/>
                <w:kern w:val="0"/>
                <w:szCs w:val="21"/>
                <w:highlight w:val="none"/>
              </w:rPr>
            </w:pPr>
            <w:r>
              <w:rPr>
                <w:rFonts w:hint="eastAsia" w:cs="宋体"/>
                <w:kern w:val="0"/>
                <w:szCs w:val="21"/>
                <w:highlight w:val="none"/>
              </w:rPr>
              <w:t>A020106</w:t>
            </w:r>
          </w:p>
        </w:tc>
        <w:tc>
          <w:tcPr>
            <w:tcW w:w="819" w:type="pct"/>
            <w:vMerge w:val="restart"/>
            <w:shd w:val="clear" w:color="auto" w:fill="FFFFFF"/>
            <w:tcMar>
              <w:top w:w="0" w:type="dxa"/>
              <w:left w:w="108" w:type="dxa"/>
              <w:bottom w:w="0" w:type="dxa"/>
              <w:right w:w="108" w:type="dxa"/>
            </w:tcMar>
            <w:vAlign w:val="center"/>
          </w:tcPr>
          <w:p w14:paraId="4DCC6DDC">
            <w:pPr>
              <w:widowControl/>
              <w:spacing w:line="276" w:lineRule="auto"/>
              <w:jc w:val="center"/>
              <w:textAlignment w:val="baseline"/>
              <w:rPr>
                <w:rFonts w:cs="宋体"/>
                <w:kern w:val="0"/>
                <w:szCs w:val="21"/>
                <w:highlight w:val="none"/>
              </w:rPr>
            </w:pPr>
            <w:r>
              <w:rPr>
                <w:rFonts w:hint="eastAsia" w:cs="宋体"/>
                <w:kern w:val="0"/>
                <w:szCs w:val="21"/>
                <w:highlight w:val="none"/>
              </w:rPr>
              <w:t>输入输出设备</w:t>
            </w:r>
          </w:p>
        </w:tc>
        <w:tc>
          <w:tcPr>
            <w:tcW w:w="688" w:type="pct"/>
            <w:shd w:val="clear" w:color="auto" w:fill="FFFFFF"/>
            <w:tcMar>
              <w:top w:w="0" w:type="dxa"/>
              <w:left w:w="108" w:type="dxa"/>
              <w:bottom w:w="0" w:type="dxa"/>
              <w:right w:w="108" w:type="dxa"/>
            </w:tcMar>
            <w:vAlign w:val="center"/>
          </w:tcPr>
          <w:p w14:paraId="442030C1">
            <w:pPr>
              <w:widowControl/>
              <w:spacing w:line="276" w:lineRule="auto"/>
              <w:jc w:val="center"/>
              <w:textAlignment w:val="baseline"/>
              <w:rPr>
                <w:rFonts w:cs="宋体"/>
                <w:kern w:val="0"/>
                <w:szCs w:val="21"/>
                <w:highlight w:val="none"/>
              </w:rPr>
            </w:pPr>
            <w:r>
              <w:rPr>
                <w:rFonts w:hint="eastAsia" w:cs="宋体"/>
                <w:kern w:val="0"/>
                <w:szCs w:val="21"/>
                <w:highlight w:val="none"/>
              </w:rPr>
              <w:t>A02010601</w:t>
            </w:r>
          </w:p>
        </w:tc>
        <w:tc>
          <w:tcPr>
            <w:tcW w:w="974" w:type="pct"/>
            <w:shd w:val="clear" w:color="auto" w:fill="FFFFFF"/>
            <w:tcMar>
              <w:top w:w="0" w:type="dxa"/>
              <w:left w:w="108" w:type="dxa"/>
              <w:bottom w:w="0" w:type="dxa"/>
              <w:right w:w="108" w:type="dxa"/>
            </w:tcMar>
            <w:vAlign w:val="center"/>
          </w:tcPr>
          <w:p w14:paraId="03654BBD">
            <w:pPr>
              <w:widowControl/>
              <w:spacing w:line="276" w:lineRule="auto"/>
              <w:jc w:val="center"/>
              <w:textAlignment w:val="baseline"/>
              <w:rPr>
                <w:rFonts w:cs="宋体"/>
                <w:kern w:val="0"/>
                <w:szCs w:val="21"/>
                <w:highlight w:val="none"/>
              </w:rPr>
            </w:pPr>
            <w:r>
              <w:rPr>
                <w:rFonts w:hint="eastAsia" w:cs="宋体"/>
                <w:kern w:val="0"/>
                <w:szCs w:val="21"/>
                <w:highlight w:val="none"/>
              </w:rPr>
              <w:t>打印设备</w:t>
            </w:r>
          </w:p>
        </w:tc>
        <w:tc>
          <w:tcPr>
            <w:tcW w:w="1682" w:type="pct"/>
            <w:vMerge w:val="continue"/>
            <w:shd w:val="clear" w:color="auto" w:fill="FFFFFF"/>
            <w:tcMar>
              <w:top w:w="0" w:type="dxa"/>
              <w:left w:w="0" w:type="dxa"/>
              <w:bottom w:w="0" w:type="dxa"/>
              <w:right w:w="0" w:type="dxa"/>
            </w:tcMar>
            <w:vAlign w:val="center"/>
          </w:tcPr>
          <w:p w14:paraId="7370387D">
            <w:pPr>
              <w:widowControl/>
              <w:spacing w:line="276" w:lineRule="auto"/>
              <w:jc w:val="center"/>
              <w:rPr>
                <w:rFonts w:cs="宋体"/>
                <w:kern w:val="0"/>
                <w:szCs w:val="21"/>
                <w:highlight w:val="none"/>
              </w:rPr>
            </w:pPr>
          </w:p>
        </w:tc>
      </w:tr>
      <w:tr w14:paraId="0A4F6B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24AE67FE">
            <w:pPr>
              <w:widowControl/>
              <w:spacing w:line="276" w:lineRule="auto"/>
              <w:jc w:val="center"/>
              <w:rPr>
                <w:rFonts w:cs="宋体"/>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7570322D">
            <w:pPr>
              <w:widowControl/>
              <w:spacing w:line="276" w:lineRule="auto"/>
              <w:jc w:val="center"/>
              <w:rPr>
                <w:rFonts w:cs="宋体"/>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384FAE4A">
            <w:pPr>
              <w:widowControl/>
              <w:spacing w:line="276" w:lineRule="auto"/>
              <w:jc w:val="center"/>
              <w:rPr>
                <w:rFonts w:cs="宋体"/>
                <w:kern w:val="0"/>
                <w:szCs w:val="21"/>
                <w:highlight w:val="none"/>
              </w:rPr>
            </w:pPr>
          </w:p>
        </w:tc>
        <w:tc>
          <w:tcPr>
            <w:tcW w:w="688" w:type="pct"/>
            <w:shd w:val="clear" w:color="auto" w:fill="FFFFFF"/>
            <w:tcMar>
              <w:top w:w="0" w:type="dxa"/>
              <w:left w:w="108" w:type="dxa"/>
              <w:bottom w:w="0" w:type="dxa"/>
              <w:right w:w="108" w:type="dxa"/>
            </w:tcMar>
            <w:vAlign w:val="center"/>
          </w:tcPr>
          <w:p w14:paraId="167F1FF6">
            <w:pPr>
              <w:widowControl/>
              <w:spacing w:line="276" w:lineRule="auto"/>
              <w:jc w:val="center"/>
              <w:textAlignment w:val="baseline"/>
              <w:rPr>
                <w:rFonts w:cs="宋体"/>
                <w:kern w:val="0"/>
                <w:szCs w:val="21"/>
                <w:highlight w:val="none"/>
              </w:rPr>
            </w:pPr>
            <w:r>
              <w:rPr>
                <w:rFonts w:hint="eastAsia" w:cs="宋体"/>
                <w:kern w:val="0"/>
                <w:szCs w:val="21"/>
                <w:highlight w:val="none"/>
              </w:rPr>
              <w:t>A02010604</w:t>
            </w:r>
          </w:p>
        </w:tc>
        <w:tc>
          <w:tcPr>
            <w:tcW w:w="974" w:type="pct"/>
            <w:shd w:val="clear" w:color="auto" w:fill="FFFFFF"/>
            <w:tcMar>
              <w:top w:w="0" w:type="dxa"/>
              <w:left w:w="108" w:type="dxa"/>
              <w:bottom w:w="0" w:type="dxa"/>
              <w:right w:w="108" w:type="dxa"/>
            </w:tcMar>
            <w:vAlign w:val="center"/>
          </w:tcPr>
          <w:p w14:paraId="6BB2EA9A">
            <w:pPr>
              <w:widowControl/>
              <w:spacing w:line="276" w:lineRule="auto"/>
              <w:jc w:val="center"/>
              <w:textAlignment w:val="baseline"/>
              <w:rPr>
                <w:rFonts w:cs="宋体"/>
                <w:kern w:val="0"/>
                <w:szCs w:val="21"/>
                <w:highlight w:val="none"/>
              </w:rPr>
            </w:pPr>
            <w:r>
              <w:rPr>
                <w:rFonts w:hint="eastAsia" w:cs="宋体"/>
                <w:kern w:val="0"/>
                <w:szCs w:val="21"/>
                <w:highlight w:val="none"/>
              </w:rPr>
              <w:t>显示设备</w:t>
            </w:r>
          </w:p>
        </w:tc>
        <w:tc>
          <w:tcPr>
            <w:tcW w:w="1682" w:type="pct"/>
            <w:vMerge w:val="continue"/>
            <w:shd w:val="clear" w:color="auto" w:fill="FFFFFF"/>
            <w:tcMar>
              <w:top w:w="0" w:type="dxa"/>
              <w:left w:w="0" w:type="dxa"/>
              <w:bottom w:w="0" w:type="dxa"/>
              <w:right w:w="0" w:type="dxa"/>
            </w:tcMar>
            <w:vAlign w:val="center"/>
          </w:tcPr>
          <w:p w14:paraId="4EEC287E">
            <w:pPr>
              <w:widowControl/>
              <w:spacing w:line="276" w:lineRule="auto"/>
              <w:jc w:val="center"/>
              <w:rPr>
                <w:rFonts w:cs="宋体"/>
                <w:kern w:val="0"/>
                <w:szCs w:val="21"/>
                <w:highlight w:val="none"/>
              </w:rPr>
            </w:pPr>
          </w:p>
        </w:tc>
      </w:tr>
      <w:tr w14:paraId="3B9B830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1D374468">
            <w:pPr>
              <w:widowControl/>
              <w:spacing w:line="276" w:lineRule="auto"/>
              <w:jc w:val="center"/>
              <w:rPr>
                <w:rFonts w:cs="宋体"/>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39E117CC">
            <w:pPr>
              <w:widowControl/>
              <w:spacing w:line="276" w:lineRule="auto"/>
              <w:jc w:val="center"/>
              <w:rPr>
                <w:rFonts w:cs="宋体"/>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0E6AEF70">
            <w:pPr>
              <w:widowControl/>
              <w:spacing w:line="276" w:lineRule="auto"/>
              <w:jc w:val="center"/>
              <w:rPr>
                <w:rFonts w:cs="宋体"/>
                <w:kern w:val="0"/>
                <w:szCs w:val="21"/>
                <w:highlight w:val="none"/>
              </w:rPr>
            </w:pPr>
          </w:p>
        </w:tc>
        <w:tc>
          <w:tcPr>
            <w:tcW w:w="688" w:type="pct"/>
            <w:shd w:val="clear" w:color="auto" w:fill="FFFFFF"/>
            <w:tcMar>
              <w:top w:w="0" w:type="dxa"/>
              <w:left w:w="108" w:type="dxa"/>
              <w:bottom w:w="0" w:type="dxa"/>
              <w:right w:w="108" w:type="dxa"/>
            </w:tcMar>
            <w:vAlign w:val="center"/>
          </w:tcPr>
          <w:p w14:paraId="4BA46803">
            <w:pPr>
              <w:widowControl/>
              <w:spacing w:line="276" w:lineRule="auto"/>
              <w:jc w:val="center"/>
              <w:textAlignment w:val="baseline"/>
              <w:rPr>
                <w:rFonts w:cs="宋体"/>
                <w:kern w:val="0"/>
                <w:szCs w:val="21"/>
                <w:highlight w:val="none"/>
              </w:rPr>
            </w:pPr>
            <w:r>
              <w:rPr>
                <w:rFonts w:hint="eastAsia" w:cs="宋体"/>
                <w:kern w:val="0"/>
                <w:szCs w:val="21"/>
                <w:highlight w:val="none"/>
              </w:rPr>
              <w:t>A02010609</w:t>
            </w:r>
          </w:p>
        </w:tc>
        <w:tc>
          <w:tcPr>
            <w:tcW w:w="974" w:type="pct"/>
            <w:shd w:val="clear" w:color="auto" w:fill="FFFFFF"/>
            <w:tcMar>
              <w:top w:w="0" w:type="dxa"/>
              <w:left w:w="108" w:type="dxa"/>
              <w:bottom w:w="0" w:type="dxa"/>
              <w:right w:w="108" w:type="dxa"/>
            </w:tcMar>
            <w:vAlign w:val="center"/>
          </w:tcPr>
          <w:p w14:paraId="14A7148A">
            <w:pPr>
              <w:widowControl/>
              <w:spacing w:line="276" w:lineRule="auto"/>
              <w:jc w:val="center"/>
              <w:textAlignment w:val="baseline"/>
              <w:rPr>
                <w:rFonts w:cs="宋体"/>
                <w:kern w:val="0"/>
                <w:szCs w:val="21"/>
                <w:highlight w:val="none"/>
              </w:rPr>
            </w:pPr>
            <w:r>
              <w:rPr>
                <w:rFonts w:hint="eastAsia" w:cs="宋体"/>
                <w:kern w:val="0"/>
                <w:szCs w:val="21"/>
                <w:highlight w:val="none"/>
              </w:rPr>
              <w:t>图形图像输入设备</w:t>
            </w:r>
          </w:p>
        </w:tc>
        <w:tc>
          <w:tcPr>
            <w:tcW w:w="1682" w:type="pct"/>
            <w:vMerge w:val="continue"/>
            <w:shd w:val="clear" w:color="auto" w:fill="FFFFFF"/>
            <w:tcMar>
              <w:top w:w="0" w:type="dxa"/>
              <w:left w:w="0" w:type="dxa"/>
              <w:bottom w:w="0" w:type="dxa"/>
              <w:right w:w="0" w:type="dxa"/>
            </w:tcMar>
            <w:vAlign w:val="center"/>
          </w:tcPr>
          <w:p w14:paraId="189E651A">
            <w:pPr>
              <w:widowControl/>
              <w:spacing w:line="276" w:lineRule="auto"/>
              <w:jc w:val="center"/>
              <w:rPr>
                <w:rFonts w:cs="宋体"/>
                <w:kern w:val="0"/>
                <w:szCs w:val="21"/>
                <w:highlight w:val="none"/>
              </w:rPr>
            </w:pPr>
          </w:p>
        </w:tc>
      </w:tr>
      <w:tr w14:paraId="48BD681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58410BB0">
            <w:pPr>
              <w:widowControl/>
              <w:spacing w:line="276" w:lineRule="auto"/>
              <w:jc w:val="center"/>
              <w:textAlignment w:val="baseline"/>
              <w:rPr>
                <w:rFonts w:cs="宋体"/>
                <w:kern w:val="0"/>
                <w:szCs w:val="21"/>
                <w:highlight w:val="none"/>
              </w:rPr>
            </w:pPr>
            <w:r>
              <w:rPr>
                <w:rFonts w:hint="eastAsia" w:cs="宋体"/>
                <w:kern w:val="0"/>
                <w:szCs w:val="21"/>
                <w:highlight w:val="none"/>
              </w:rPr>
              <w:t>3</w:t>
            </w:r>
          </w:p>
        </w:tc>
        <w:tc>
          <w:tcPr>
            <w:tcW w:w="569" w:type="pct"/>
            <w:shd w:val="clear" w:color="auto" w:fill="FFFFFF"/>
            <w:tcMar>
              <w:top w:w="0" w:type="dxa"/>
              <w:left w:w="108" w:type="dxa"/>
              <w:bottom w:w="0" w:type="dxa"/>
              <w:right w:w="108" w:type="dxa"/>
            </w:tcMar>
            <w:vAlign w:val="center"/>
          </w:tcPr>
          <w:p w14:paraId="76A3CC89">
            <w:pPr>
              <w:widowControl/>
              <w:spacing w:line="276" w:lineRule="auto"/>
              <w:jc w:val="center"/>
              <w:textAlignment w:val="baseline"/>
              <w:rPr>
                <w:rFonts w:cs="宋体"/>
                <w:kern w:val="0"/>
                <w:szCs w:val="21"/>
                <w:highlight w:val="none"/>
              </w:rPr>
            </w:pPr>
            <w:r>
              <w:rPr>
                <w:rFonts w:hint="eastAsia" w:cs="宋体"/>
                <w:kern w:val="0"/>
                <w:szCs w:val="21"/>
                <w:highlight w:val="none"/>
              </w:rPr>
              <w:t>A020202</w:t>
            </w:r>
          </w:p>
        </w:tc>
        <w:tc>
          <w:tcPr>
            <w:tcW w:w="819" w:type="pct"/>
            <w:shd w:val="clear" w:color="auto" w:fill="FFFFFF"/>
            <w:tcMar>
              <w:top w:w="0" w:type="dxa"/>
              <w:left w:w="108" w:type="dxa"/>
              <w:bottom w:w="0" w:type="dxa"/>
              <w:right w:w="108" w:type="dxa"/>
            </w:tcMar>
            <w:vAlign w:val="center"/>
          </w:tcPr>
          <w:p w14:paraId="66CCA231">
            <w:pPr>
              <w:widowControl/>
              <w:spacing w:line="276" w:lineRule="auto"/>
              <w:jc w:val="center"/>
              <w:textAlignment w:val="baseline"/>
              <w:rPr>
                <w:rFonts w:cs="宋体"/>
                <w:kern w:val="0"/>
                <w:szCs w:val="21"/>
                <w:highlight w:val="none"/>
              </w:rPr>
            </w:pPr>
            <w:r>
              <w:rPr>
                <w:rFonts w:hint="eastAsia" w:cs="宋体"/>
                <w:kern w:val="0"/>
                <w:szCs w:val="21"/>
                <w:highlight w:val="none"/>
              </w:rPr>
              <w:t>投影仪</w:t>
            </w:r>
          </w:p>
        </w:tc>
        <w:tc>
          <w:tcPr>
            <w:tcW w:w="688" w:type="pct"/>
            <w:shd w:val="clear" w:color="auto" w:fill="FFFFFF"/>
            <w:tcMar>
              <w:top w:w="0" w:type="dxa"/>
              <w:left w:w="108" w:type="dxa"/>
              <w:bottom w:w="0" w:type="dxa"/>
              <w:right w:w="108" w:type="dxa"/>
            </w:tcMar>
            <w:vAlign w:val="center"/>
          </w:tcPr>
          <w:p w14:paraId="66C49889">
            <w:pPr>
              <w:widowControl/>
              <w:spacing w:line="276" w:lineRule="auto"/>
              <w:jc w:val="center"/>
              <w:textAlignment w:val="baseline"/>
              <w:rPr>
                <w:rFonts w:cs="宋体"/>
                <w:kern w:val="0"/>
                <w:szCs w:val="21"/>
                <w:highlight w:val="none"/>
              </w:rPr>
            </w:pPr>
          </w:p>
        </w:tc>
        <w:tc>
          <w:tcPr>
            <w:tcW w:w="974" w:type="pct"/>
            <w:shd w:val="clear" w:color="auto" w:fill="FFFFFF"/>
            <w:tcMar>
              <w:top w:w="0" w:type="dxa"/>
              <w:left w:w="108" w:type="dxa"/>
              <w:bottom w:w="0" w:type="dxa"/>
              <w:right w:w="108" w:type="dxa"/>
            </w:tcMar>
            <w:vAlign w:val="center"/>
          </w:tcPr>
          <w:p w14:paraId="58F1FABD">
            <w:pPr>
              <w:widowControl/>
              <w:spacing w:line="276" w:lineRule="auto"/>
              <w:jc w:val="center"/>
              <w:textAlignment w:val="baseline"/>
              <w:rPr>
                <w:rFonts w:cs="宋体"/>
                <w:kern w:val="0"/>
                <w:szCs w:val="21"/>
                <w:highlight w:val="none"/>
              </w:rPr>
            </w:pPr>
          </w:p>
        </w:tc>
        <w:tc>
          <w:tcPr>
            <w:tcW w:w="1682" w:type="pct"/>
            <w:vMerge w:val="continue"/>
            <w:shd w:val="clear" w:color="auto" w:fill="FFFFFF"/>
            <w:tcMar>
              <w:top w:w="0" w:type="dxa"/>
              <w:left w:w="0" w:type="dxa"/>
              <w:bottom w:w="0" w:type="dxa"/>
              <w:right w:w="0" w:type="dxa"/>
            </w:tcMar>
            <w:vAlign w:val="center"/>
          </w:tcPr>
          <w:p w14:paraId="58EA7C4E">
            <w:pPr>
              <w:widowControl/>
              <w:spacing w:line="276" w:lineRule="auto"/>
              <w:jc w:val="center"/>
              <w:rPr>
                <w:rFonts w:cs="宋体"/>
                <w:kern w:val="0"/>
                <w:szCs w:val="21"/>
                <w:highlight w:val="none"/>
              </w:rPr>
            </w:pPr>
          </w:p>
        </w:tc>
      </w:tr>
      <w:tr w14:paraId="5E4117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4E0BA50A">
            <w:pPr>
              <w:widowControl/>
              <w:spacing w:line="276" w:lineRule="auto"/>
              <w:jc w:val="center"/>
              <w:textAlignment w:val="baseline"/>
              <w:rPr>
                <w:rFonts w:cs="宋体"/>
                <w:kern w:val="0"/>
                <w:szCs w:val="21"/>
                <w:highlight w:val="none"/>
              </w:rPr>
            </w:pPr>
            <w:r>
              <w:rPr>
                <w:rFonts w:hint="eastAsia" w:cs="宋体"/>
                <w:kern w:val="0"/>
                <w:szCs w:val="21"/>
                <w:highlight w:val="none"/>
              </w:rPr>
              <w:t>4</w:t>
            </w:r>
          </w:p>
        </w:tc>
        <w:tc>
          <w:tcPr>
            <w:tcW w:w="569" w:type="pct"/>
            <w:shd w:val="clear" w:color="auto" w:fill="FFFFFF"/>
            <w:tcMar>
              <w:top w:w="0" w:type="dxa"/>
              <w:left w:w="108" w:type="dxa"/>
              <w:bottom w:w="0" w:type="dxa"/>
              <w:right w:w="108" w:type="dxa"/>
            </w:tcMar>
            <w:vAlign w:val="center"/>
          </w:tcPr>
          <w:p w14:paraId="03B5BB68">
            <w:pPr>
              <w:widowControl/>
              <w:spacing w:line="276" w:lineRule="auto"/>
              <w:jc w:val="center"/>
              <w:textAlignment w:val="baseline"/>
              <w:rPr>
                <w:rFonts w:cs="宋体"/>
                <w:kern w:val="0"/>
                <w:szCs w:val="21"/>
                <w:highlight w:val="none"/>
              </w:rPr>
            </w:pPr>
            <w:r>
              <w:rPr>
                <w:rFonts w:hint="eastAsia" w:cs="宋体"/>
                <w:kern w:val="0"/>
                <w:szCs w:val="21"/>
                <w:highlight w:val="none"/>
              </w:rPr>
              <w:t>A020204</w:t>
            </w:r>
          </w:p>
        </w:tc>
        <w:tc>
          <w:tcPr>
            <w:tcW w:w="819" w:type="pct"/>
            <w:shd w:val="clear" w:color="auto" w:fill="FFFFFF"/>
            <w:tcMar>
              <w:top w:w="0" w:type="dxa"/>
              <w:left w:w="108" w:type="dxa"/>
              <w:bottom w:w="0" w:type="dxa"/>
              <w:right w:w="108" w:type="dxa"/>
            </w:tcMar>
            <w:vAlign w:val="center"/>
          </w:tcPr>
          <w:p w14:paraId="6F5B8064">
            <w:pPr>
              <w:widowControl/>
              <w:spacing w:line="276" w:lineRule="auto"/>
              <w:jc w:val="center"/>
              <w:textAlignment w:val="baseline"/>
              <w:rPr>
                <w:rFonts w:cs="宋体"/>
                <w:kern w:val="0"/>
                <w:szCs w:val="21"/>
                <w:highlight w:val="none"/>
              </w:rPr>
            </w:pPr>
            <w:r>
              <w:rPr>
                <w:rFonts w:hint="eastAsia" w:cs="宋体"/>
                <w:kern w:val="0"/>
                <w:szCs w:val="21"/>
                <w:highlight w:val="none"/>
              </w:rPr>
              <w:t>多功能一体机</w:t>
            </w:r>
          </w:p>
        </w:tc>
        <w:tc>
          <w:tcPr>
            <w:tcW w:w="688" w:type="pct"/>
            <w:shd w:val="clear" w:color="auto" w:fill="FFFFFF"/>
            <w:tcMar>
              <w:top w:w="0" w:type="dxa"/>
              <w:left w:w="108" w:type="dxa"/>
              <w:bottom w:w="0" w:type="dxa"/>
              <w:right w:w="108" w:type="dxa"/>
            </w:tcMar>
            <w:vAlign w:val="center"/>
          </w:tcPr>
          <w:p w14:paraId="382AA41F">
            <w:pPr>
              <w:widowControl/>
              <w:spacing w:line="276" w:lineRule="auto"/>
              <w:jc w:val="center"/>
              <w:textAlignment w:val="baseline"/>
              <w:rPr>
                <w:rFonts w:cs="宋体"/>
                <w:kern w:val="0"/>
                <w:szCs w:val="21"/>
                <w:highlight w:val="none"/>
              </w:rPr>
            </w:pPr>
          </w:p>
        </w:tc>
        <w:tc>
          <w:tcPr>
            <w:tcW w:w="974" w:type="pct"/>
            <w:shd w:val="clear" w:color="auto" w:fill="FFFFFF"/>
            <w:tcMar>
              <w:top w:w="0" w:type="dxa"/>
              <w:left w:w="108" w:type="dxa"/>
              <w:bottom w:w="0" w:type="dxa"/>
              <w:right w:w="108" w:type="dxa"/>
            </w:tcMar>
            <w:vAlign w:val="center"/>
          </w:tcPr>
          <w:p w14:paraId="2639F0A4">
            <w:pPr>
              <w:widowControl/>
              <w:spacing w:line="276" w:lineRule="auto"/>
              <w:jc w:val="center"/>
              <w:textAlignment w:val="baseline"/>
              <w:rPr>
                <w:rFonts w:cs="宋体"/>
                <w:kern w:val="0"/>
                <w:szCs w:val="21"/>
                <w:highlight w:val="none"/>
              </w:rPr>
            </w:pPr>
          </w:p>
        </w:tc>
        <w:tc>
          <w:tcPr>
            <w:tcW w:w="1682" w:type="pct"/>
            <w:vMerge w:val="continue"/>
            <w:shd w:val="clear" w:color="auto" w:fill="FFFFFF"/>
            <w:tcMar>
              <w:top w:w="0" w:type="dxa"/>
              <w:left w:w="0" w:type="dxa"/>
              <w:bottom w:w="0" w:type="dxa"/>
              <w:right w:w="0" w:type="dxa"/>
            </w:tcMar>
            <w:vAlign w:val="center"/>
          </w:tcPr>
          <w:p w14:paraId="36F4CCDA">
            <w:pPr>
              <w:widowControl/>
              <w:spacing w:line="276" w:lineRule="auto"/>
              <w:jc w:val="center"/>
              <w:rPr>
                <w:rFonts w:cs="宋体"/>
                <w:kern w:val="0"/>
                <w:szCs w:val="21"/>
                <w:highlight w:val="none"/>
              </w:rPr>
            </w:pPr>
          </w:p>
        </w:tc>
      </w:tr>
      <w:tr w14:paraId="77BE4ED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33711E39">
            <w:pPr>
              <w:widowControl/>
              <w:spacing w:line="276" w:lineRule="auto"/>
              <w:jc w:val="center"/>
              <w:textAlignment w:val="baseline"/>
              <w:rPr>
                <w:rFonts w:cs="宋体"/>
                <w:kern w:val="0"/>
                <w:szCs w:val="21"/>
                <w:highlight w:val="none"/>
              </w:rPr>
            </w:pPr>
            <w:r>
              <w:rPr>
                <w:rFonts w:hint="eastAsia" w:cs="宋体"/>
                <w:kern w:val="0"/>
                <w:szCs w:val="21"/>
                <w:highlight w:val="none"/>
              </w:rPr>
              <w:t>5</w:t>
            </w:r>
          </w:p>
        </w:tc>
        <w:tc>
          <w:tcPr>
            <w:tcW w:w="569" w:type="pct"/>
            <w:shd w:val="clear" w:color="auto" w:fill="FFFFFF"/>
            <w:tcMar>
              <w:top w:w="0" w:type="dxa"/>
              <w:left w:w="108" w:type="dxa"/>
              <w:bottom w:w="0" w:type="dxa"/>
              <w:right w:w="108" w:type="dxa"/>
            </w:tcMar>
            <w:vAlign w:val="center"/>
          </w:tcPr>
          <w:p w14:paraId="2C69D99B">
            <w:pPr>
              <w:widowControl/>
              <w:spacing w:line="276" w:lineRule="auto"/>
              <w:jc w:val="center"/>
              <w:textAlignment w:val="baseline"/>
              <w:rPr>
                <w:rFonts w:cs="宋体"/>
                <w:kern w:val="0"/>
                <w:szCs w:val="21"/>
                <w:highlight w:val="none"/>
              </w:rPr>
            </w:pPr>
            <w:r>
              <w:rPr>
                <w:rFonts w:hint="eastAsia" w:cs="宋体"/>
                <w:kern w:val="0"/>
                <w:szCs w:val="21"/>
                <w:highlight w:val="none"/>
              </w:rPr>
              <w:t>A020519</w:t>
            </w:r>
          </w:p>
        </w:tc>
        <w:tc>
          <w:tcPr>
            <w:tcW w:w="819" w:type="pct"/>
            <w:shd w:val="clear" w:color="auto" w:fill="FFFFFF"/>
            <w:tcMar>
              <w:top w:w="0" w:type="dxa"/>
              <w:left w:w="108" w:type="dxa"/>
              <w:bottom w:w="0" w:type="dxa"/>
              <w:right w:w="108" w:type="dxa"/>
            </w:tcMar>
            <w:vAlign w:val="center"/>
          </w:tcPr>
          <w:p w14:paraId="661885C6">
            <w:pPr>
              <w:widowControl/>
              <w:spacing w:line="276" w:lineRule="auto"/>
              <w:jc w:val="center"/>
              <w:textAlignment w:val="baseline"/>
              <w:rPr>
                <w:rFonts w:cs="宋体"/>
                <w:kern w:val="0"/>
                <w:szCs w:val="21"/>
                <w:highlight w:val="none"/>
              </w:rPr>
            </w:pPr>
            <w:r>
              <w:rPr>
                <w:rFonts w:hint="eastAsia" w:cs="宋体"/>
                <w:kern w:val="0"/>
                <w:szCs w:val="21"/>
                <w:highlight w:val="none"/>
              </w:rPr>
              <w:t>泵</w:t>
            </w:r>
          </w:p>
        </w:tc>
        <w:tc>
          <w:tcPr>
            <w:tcW w:w="688" w:type="pct"/>
            <w:shd w:val="clear" w:color="auto" w:fill="FFFFFF"/>
            <w:tcMar>
              <w:top w:w="0" w:type="dxa"/>
              <w:left w:w="108" w:type="dxa"/>
              <w:bottom w:w="0" w:type="dxa"/>
              <w:right w:w="108" w:type="dxa"/>
            </w:tcMar>
            <w:vAlign w:val="center"/>
          </w:tcPr>
          <w:p w14:paraId="704799FF">
            <w:pPr>
              <w:widowControl/>
              <w:spacing w:line="276" w:lineRule="auto"/>
              <w:jc w:val="center"/>
              <w:textAlignment w:val="baseline"/>
              <w:rPr>
                <w:rFonts w:cs="宋体"/>
                <w:kern w:val="0"/>
                <w:szCs w:val="21"/>
                <w:highlight w:val="none"/>
              </w:rPr>
            </w:pPr>
            <w:r>
              <w:rPr>
                <w:rFonts w:hint="eastAsia" w:cs="宋体"/>
                <w:kern w:val="0"/>
                <w:szCs w:val="21"/>
                <w:highlight w:val="none"/>
              </w:rPr>
              <w:t>A02051901</w:t>
            </w:r>
          </w:p>
        </w:tc>
        <w:tc>
          <w:tcPr>
            <w:tcW w:w="974" w:type="pct"/>
            <w:shd w:val="clear" w:color="auto" w:fill="FFFFFF"/>
            <w:tcMar>
              <w:top w:w="0" w:type="dxa"/>
              <w:left w:w="108" w:type="dxa"/>
              <w:bottom w:w="0" w:type="dxa"/>
              <w:right w:w="108" w:type="dxa"/>
            </w:tcMar>
            <w:vAlign w:val="center"/>
          </w:tcPr>
          <w:p w14:paraId="3C038005">
            <w:pPr>
              <w:widowControl/>
              <w:spacing w:line="276" w:lineRule="auto"/>
              <w:jc w:val="center"/>
              <w:textAlignment w:val="baseline"/>
              <w:rPr>
                <w:rFonts w:cs="宋体"/>
                <w:kern w:val="0"/>
                <w:szCs w:val="21"/>
                <w:highlight w:val="none"/>
              </w:rPr>
            </w:pPr>
            <w:r>
              <w:rPr>
                <w:rFonts w:hint="eastAsia" w:cs="宋体"/>
                <w:kern w:val="0"/>
                <w:szCs w:val="21"/>
                <w:highlight w:val="none"/>
              </w:rPr>
              <w:t>离心泵</w:t>
            </w:r>
          </w:p>
        </w:tc>
        <w:tc>
          <w:tcPr>
            <w:tcW w:w="1682" w:type="pct"/>
            <w:shd w:val="clear" w:color="auto" w:fill="FFFFFF"/>
            <w:tcMar>
              <w:top w:w="0" w:type="dxa"/>
              <w:left w:w="108" w:type="dxa"/>
              <w:bottom w:w="0" w:type="dxa"/>
              <w:right w:w="108" w:type="dxa"/>
            </w:tcMar>
            <w:vAlign w:val="center"/>
          </w:tcPr>
          <w:p w14:paraId="5AB4347C">
            <w:pPr>
              <w:widowControl/>
              <w:spacing w:line="276" w:lineRule="auto"/>
              <w:jc w:val="center"/>
              <w:textAlignment w:val="baseline"/>
              <w:rPr>
                <w:rFonts w:cs="宋体"/>
                <w:kern w:val="0"/>
                <w:szCs w:val="21"/>
                <w:highlight w:val="none"/>
              </w:rPr>
            </w:pPr>
            <w:r>
              <w:rPr>
                <w:rFonts w:hint="eastAsia" w:cs="宋体"/>
                <w:kern w:val="0"/>
                <w:szCs w:val="21"/>
                <w:highlight w:val="none"/>
              </w:rPr>
              <w:t>中国质量认证中心</w:t>
            </w:r>
          </w:p>
          <w:p w14:paraId="3241A240">
            <w:pPr>
              <w:widowControl/>
              <w:spacing w:line="276" w:lineRule="auto"/>
              <w:jc w:val="center"/>
              <w:textAlignment w:val="baseline"/>
              <w:rPr>
                <w:rFonts w:cs="宋体"/>
                <w:kern w:val="0"/>
                <w:szCs w:val="21"/>
                <w:highlight w:val="none"/>
              </w:rPr>
            </w:pPr>
            <w:r>
              <w:rPr>
                <w:rFonts w:hint="eastAsia" w:cs="宋体"/>
                <w:kern w:val="0"/>
                <w:szCs w:val="21"/>
                <w:highlight w:val="none"/>
              </w:rPr>
              <w:t>电能（北京）认证中心有限公司</w:t>
            </w:r>
          </w:p>
          <w:p w14:paraId="2333A11C">
            <w:pPr>
              <w:widowControl/>
              <w:spacing w:line="276" w:lineRule="auto"/>
              <w:jc w:val="center"/>
              <w:textAlignment w:val="baseline"/>
              <w:rPr>
                <w:rFonts w:cs="宋体"/>
                <w:kern w:val="0"/>
                <w:szCs w:val="21"/>
                <w:highlight w:val="none"/>
              </w:rPr>
            </w:pPr>
            <w:r>
              <w:rPr>
                <w:rFonts w:hint="eastAsia" w:cs="宋体"/>
                <w:kern w:val="0"/>
                <w:szCs w:val="21"/>
                <w:highlight w:val="none"/>
              </w:rPr>
              <w:t>方圆标志认证集团有限公司</w:t>
            </w:r>
          </w:p>
        </w:tc>
      </w:tr>
      <w:tr w14:paraId="6F6F6C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restart"/>
            <w:shd w:val="clear" w:color="auto" w:fill="FFFFFF"/>
            <w:tcMar>
              <w:top w:w="0" w:type="dxa"/>
              <w:left w:w="108" w:type="dxa"/>
              <w:bottom w:w="0" w:type="dxa"/>
              <w:right w:w="108" w:type="dxa"/>
            </w:tcMar>
            <w:vAlign w:val="center"/>
          </w:tcPr>
          <w:p w14:paraId="73173DA1">
            <w:pPr>
              <w:widowControl/>
              <w:spacing w:line="276" w:lineRule="auto"/>
              <w:jc w:val="center"/>
              <w:textAlignment w:val="baseline"/>
              <w:rPr>
                <w:rFonts w:cs="宋体"/>
                <w:kern w:val="0"/>
                <w:szCs w:val="21"/>
                <w:highlight w:val="none"/>
              </w:rPr>
            </w:pPr>
            <w:r>
              <w:rPr>
                <w:rFonts w:hint="eastAsia" w:cs="宋体"/>
                <w:kern w:val="0"/>
                <w:szCs w:val="21"/>
                <w:highlight w:val="none"/>
              </w:rPr>
              <w:t>6</w:t>
            </w:r>
          </w:p>
        </w:tc>
        <w:tc>
          <w:tcPr>
            <w:tcW w:w="569" w:type="pct"/>
            <w:vMerge w:val="restart"/>
            <w:shd w:val="clear" w:color="auto" w:fill="FFFFFF"/>
            <w:tcMar>
              <w:top w:w="0" w:type="dxa"/>
              <w:left w:w="108" w:type="dxa"/>
              <w:bottom w:w="0" w:type="dxa"/>
              <w:right w:w="108" w:type="dxa"/>
            </w:tcMar>
            <w:vAlign w:val="center"/>
          </w:tcPr>
          <w:p w14:paraId="3AFBCD8D">
            <w:pPr>
              <w:widowControl/>
              <w:spacing w:line="276" w:lineRule="auto"/>
              <w:jc w:val="center"/>
              <w:textAlignment w:val="baseline"/>
              <w:rPr>
                <w:rFonts w:cs="宋体"/>
                <w:kern w:val="0"/>
                <w:szCs w:val="21"/>
                <w:highlight w:val="none"/>
              </w:rPr>
            </w:pPr>
            <w:r>
              <w:rPr>
                <w:rFonts w:hint="eastAsia" w:cs="宋体"/>
                <w:kern w:val="0"/>
                <w:szCs w:val="21"/>
                <w:highlight w:val="none"/>
              </w:rPr>
              <w:t>A020523</w:t>
            </w:r>
          </w:p>
        </w:tc>
        <w:tc>
          <w:tcPr>
            <w:tcW w:w="819" w:type="pct"/>
            <w:vMerge w:val="restart"/>
            <w:shd w:val="clear" w:color="auto" w:fill="FFFFFF"/>
            <w:tcMar>
              <w:top w:w="0" w:type="dxa"/>
              <w:left w:w="108" w:type="dxa"/>
              <w:bottom w:w="0" w:type="dxa"/>
              <w:right w:w="108" w:type="dxa"/>
            </w:tcMar>
            <w:vAlign w:val="center"/>
          </w:tcPr>
          <w:p w14:paraId="1367ED5A">
            <w:pPr>
              <w:widowControl/>
              <w:spacing w:line="276" w:lineRule="auto"/>
              <w:jc w:val="center"/>
              <w:textAlignment w:val="baseline"/>
              <w:rPr>
                <w:rFonts w:cs="宋体"/>
                <w:kern w:val="0"/>
                <w:szCs w:val="21"/>
                <w:highlight w:val="none"/>
              </w:rPr>
            </w:pPr>
            <w:r>
              <w:rPr>
                <w:rFonts w:hint="eastAsia" w:cs="宋体"/>
                <w:kern w:val="0"/>
                <w:szCs w:val="21"/>
                <w:highlight w:val="none"/>
              </w:rPr>
              <w:t>制冷空调设备</w:t>
            </w:r>
          </w:p>
        </w:tc>
        <w:tc>
          <w:tcPr>
            <w:tcW w:w="688" w:type="pct"/>
            <w:shd w:val="clear" w:color="auto" w:fill="FFFFFF"/>
            <w:tcMar>
              <w:top w:w="0" w:type="dxa"/>
              <w:left w:w="108" w:type="dxa"/>
              <w:bottom w:w="0" w:type="dxa"/>
              <w:right w:w="108" w:type="dxa"/>
            </w:tcMar>
            <w:vAlign w:val="center"/>
          </w:tcPr>
          <w:p w14:paraId="2C65D4AD">
            <w:pPr>
              <w:widowControl/>
              <w:spacing w:line="276" w:lineRule="auto"/>
              <w:jc w:val="center"/>
              <w:textAlignment w:val="baseline"/>
              <w:rPr>
                <w:rFonts w:cs="宋体"/>
                <w:kern w:val="0"/>
                <w:szCs w:val="21"/>
                <w:highlight w:val="none"/>
              </w:rPr>
            </w:pPr>
            <w:r>
              <w:rPr>
                <w:rFonts w:hint="eastAsia" w:cs="宋体"/>
                <w:kern w:val="0"/>
                <w:szCs w:val="21"/>
                <w:highlight w:val="none"/>
              </w:rPr>
              <w:t>A02052301</w:t>
            </w:r>
          </w:p>
        </w:tc>
        <w:tc>
          <w:tcPr>
            <w:tcW w:w="974" w:type="pct"/>
            <w:shd w:val="clear" w:color="auto" w:fill="FFFFFF"/>
            <w:tcMar>
              <w:top w:w="0" w:type="dxa"/>
              <w:left w:w="108" w:type="dxa"/>
              <w:bottom w:w="0" w:type="dxa"/>
              <w:right w:w="108" w:type="dxa"/>
            </w:tcMar>
            <w:vAlign w:val="center"/>
          </w:tcPr>
          <w:p w14:paraId="798104A5">
            <w:pPr>
              <w:widowControl/>
              <w:spacing w:line="276" w:lineRule="auto"/>
              <w:jc w:val="center"/>
              <w:textAlignment w:val="baseline"/>
              <w:rPr>
                <w:rFonts w:cs="宋体"/>
                <w:kern w:val="0"/>
                <w:szCs w:val="21"/>
                <w:highlight w:val="none"/>
              </w:rPr>
            </w:pPr>
            <w:r>
              <w:rPr>
                <w:rFonts w:hint="eastAsia" w:cs="宋体"/>
                <w:kern w:val="0"/>
                <w:szCs w:val="21"/>
                <w:highlight w:val="none"/>
              </w:rPr>
              <w:t>制冷压缩机</w:t>
            </w:r>
          </w:p>
        </w:tc>
        <w:tc>
          <w:tcPr>
            <w:tcW w:w="1682" w:type="pct"/>
            <w:vMerge w:val="restart"/>
            <w:shd w:val="clear" w:color="auto" w:fill="FFFFFF"/>
            <w:tcMar>
              <w:top w:w="0" w:type="dxa"/>
              <w:left w:w="108" w:type="dxa"/>
              <w:bottom w:w="0" w:type="dxa"/>
              <w:right w:w="108" w:type="dxa"/>
            </w:tcMar>
            <w:vAlign w:val="center"/>
          </w:tcPr>
          <w:p w14:paraId="3D4C2E8C">
            <w:pPr>
              <w:widowControl/>
              <w:spacing w:line="276" w:lineRule="auto"/>
              <w:jc w:val="center"/>
              <w:textAlignment w:val="baseline"/>
              <w:rPr>
                <w:rFonts w:cs="宋体"/>
                <w:kern w:val="0"/>
                <w:szCs w:val="21"/>
                <w:highlight w:val="none"/>
              </w:rPr>
            </w:pPr>
            <w:r>
              <w:rPr>
                <w:rFonts w:hint="eastAsia" w:cs="宋体"/>
                <w:kern w:val="0"/>
                <w:szCs w:val="21"/>
                <w:highlight w:val="none"/>
              </w:rPr>
              <w:t>中国质量认证中心</w:t>
            </w:r>
          </w:p>
          <w:p w14:paraId="287ACF17">
            <w:pPr>
              <w:widowControl/>
              <w:spacing w:line="276" w:lineRule="auto"/>
              <w:jc w:val="center"/>
              <w:textAlignment w:val="baseline"/>
              <w:rPr>
                <w:rFonts w:cs="宋体"/>
                <w:kern w:val="0"/>
                <w:szCs w:val="21"/>
                <w:highlight w:val="none"/>
              </w:rPr>
            </w:pPr>
            <w:r>
              <w:rPr>
                <w:rFonts w:hint="eastAsia" w:cs="宋体"/>
                <w:kern w:val="0"/>
                <w:szCs w:val="21"/>
                <w:highlight w:val="none"/>
              </w:rPr>
              <w:t>威凯认证检测有限公司</w:t>
            </w:r>
          </w:p>
          <w:p w14:paraId="779B0B21">
            <w:pPr>
              <w:widowControl/>
              <w:spacing w:line="276" w:lineRule="auto"/>
              <w:jc w:val="center"/>
              <w:textAlignment w:val="baseline"/>
              <w:rPr>
                <w:rFonts w:cs="宋体"/>
                <w:kern w:val="0"/>
                <w:szCs w:val="21"/>
                <w:highlight w:val="none"/>
              </w:rPr>
            </w:pPr>
            <w:r>
              <w:rPr>
                <w:rFonts w:hint="eastAsia" w:cs="宋体"/>
                <w:kern w:val="0"/>
                <w:szCs w:val="21"/>
                <w:highlight w:val="none"/>
              </w:rPr>
              <w:t>合肥通用机械产品认证有限公司</w:t>
            </w:r>
          </w:p>
          <w:p w14:paraId="26067927">
            <w:pPr>
              <w:widowControl/>
              <w:spacing w:line="276" w:lineRule="auto"/>
              <w:jc w:val="center"/>
              <w:textAlignment w:val="baseline"/>
              <w:rPr>
                <w:rFonts w:cs="宋体"/>
                <w:kern w:val="0"/>
                <w:szCs w:val="21"/>
                <w:highlight w:val="none"/>
              </w:rPr>
            </w:pPr>
            <w:r>
              <w:rPr>
                <w:rFonts w:hint="eastAsia" w:cs="宋体"/>
                <w:kern w:val="0"/>
                <w:szCs w:val="21"/>
                <w:highlight w:val="none"/>
              </w:rPr>
              <w:t>北京中冷通质量认证中心有限公司</w:t>
            </w:r>
          </w:p>
        </w:tc>
      </w:tr>
      <w:tr w14:paraId="287B26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212A65FA">
            <w:pPr>
              <w:widowControl/>
              <w:spacing w:line="276" w:lineRule="auto"/>
              <w:jc w:val="center"/>
              <w:rPr>
                <w:rFonts w:cs="宋体"/>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4E1A41AD">
            <w:pPr>
              <w:widowControl/>
              <w:spacing w:line="276" w:lineRule="auto"/>
              <w:jc w:val="center"/>
              <w:rPr>
                <w:rFonts w:cs="宋体"/>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4BAC6F05">
            <w:pPr>
              <w:widowControl/>
              <w:spacing w:line="276" w:lineRule="auto"/>
              <w:jc w:val="center"/>
              <w:rPr>
                <w:rFonts w:cs="宋体"/>
                <w:kern w:val="0"/>
                <w:szCs w:val="21"/>
                <w:highlight w:val="none"/>
              </w:rPr>
            </w:pPr>
          </w:p>
        </w:tc>
        <w:tc>
          <w:tcPr>
            <w:tcW w:w="688" w:type="pct"/>
            <w:shd w:val="clear" w:color="auto" w:fill="FFFFFF"/>
            <w:tcMar>
              <w:top w:w="0" w:type="dxa"/>
              <w:left w:w="108" w:type="dxa"/>
              <w:bottom w:w="0" w:type="dxa"/>
              <w:right w:w="108" w:type="dxa"/>
            </w:tcMar>
            <w:vAlign w:val="center"/>
          </w:tcPr>
          <w:p w14:paraId="6C9DDD85">
            <w:pPr>
              <w:widowControl/>
              <w:spacing w:line="276" w:lineRule="auto"/>
              <w:jc w:val="center"/>
              <w:textAlignment w:val="baseline"/>
              <w:rPr>
                <w:rFonts w:cs="宋体"/>
                <w:kern w:val="0"/>
                <w:szCs w:val="21"/>
                <w:highlight w:val="none"/>
              </w:rPr>
            </w:pPr>
            <w:r>
              <w:rPr>
                <w:rFonts w:hint="eastAsia" w:cs="宋体"/>
                <w:kern w:val="0"/>
                <w:szCs w:val="21"/>
                <w:highlight w:val="none"/>
              </w:rPr>
              <w:t>A02052305</w:t>
            </w:r>
          </w:p>
        </w:tc>
        <w:tc>
          <w:tcPr>
            <w:tcW w:w="974" w:type="pct"/>
            <w:shd w:val="clear" w:color="auto" w:fill="FFFFFF"/>
            <w:tcMar>
              <w:top w:w="0" w:type="dxa"/>
              <w:left w:w="108" w:type="dxa"/>
              <w:bottom w:w="0" w:type="dxa"/>
              <w:right w:w="108" w:type="dxa"/>
            </w:tcMar>
            <w:vAlign w:val="center"/>
          </w:tcPr>
          <w:p w14:paraId="1885B2C7">
            <w:pPr>
              <w:widowControl/>
              <w:spacing w:line="276" w:lineRule="auto"/>
              <w:jc w:val="center"/>
              <w:textAlignment w:val="baseline"/>
              <w:rPr>
                <w:rFonts w:cs="宋体"/>
                <w:kern w:val="0"/>
                <w:szCs w:val="21"/>
                <w:highlight w:val="none"/>
              </w:rPr>
            </w:pPr>
            <w:r>
              <w:rPr>
                <w:rFonts w:hint="eastAsia" w:cs="宋体"/>
                <w:kern w:val="0"/>
                <w:szCs w:val="21"/>
                <w:highlight w:val="none"/>
              </w:rPr>
              <w:t>空调机组</w:t>
            </w:r>
          </w:p>
        </w:tc>
        <w:tc>
          <w:tcPr>
            <w:tcW w:w="1682" w:type="pct"/>
            <w:vMerge w:val="continue"/>
            <w:shd w:val="clear" w:color="auto" w:fill="FFFFFF"/>
            <w:tcMar>
              <w:top w:w="0" w:type="dxa"/>
              <w:left w:w="0" w:type="dxa"/>
              <w:bottom w:w="0" w:type="dxa"/>
              <w:right w:w="0" w:type="dxa"/>
            </w:tcMar>
            <w:vAlign w:val="center"/>
          </w:tcPr>
          <w:p w14:paraId="07F9739B">
            <w:pPr>
              <w:widowControl/>
              <w:spacing w:line="276" w:lineRule="auto"/>
              <w:jc w:val="center"/>
              <w:rPr>
                <w:rFonts w:cs="宋体"/>
                <w:kern w:val="0"/>
                <w:szCs w:val="21"/>
                <w:highlight w:val="none"/>
              </w:rPr>
            </w:pPr>
          </w:p>
        </w:tc>
      </w:tr>
      <w:tr w14:paraId="05E85C2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5369E00D">
            <w:pPr>
              <w:widowControl/>
              <w:spacing w:line="276" w:lineRule="auto"/>
              <w:jc w:val="center"/>
              <w:rPr>
                <w:rFonts w:cs="宋体"/>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373A0E47">
            <w:pPr>
              <w:widowControl/>
              <w:spacing w:line="276" w:lineRule="auto"/>
              <w:jc w:val="center"/>
              <w:rPr>
                <w:rFonts w:cs="宋体"/>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0430E54F">
            <w:pPr>
              <w:widowControl/>
              <w:spacing w:line="276" w:lineRule="auto"/>
              <w:jc w:val="center"/>
              <w:rPr>
                <w:rFonts w:cs="宋体"/>
                <w:kern w:val="0"/>
                <w:szCs w:val="21"/>
                <w:highlight w:val="none"/>
              </w:rPr>
            </w:pPr>
          </w:p>
        </w:tc>
        <w:tc>
          <w:tcPr>
            <w:tcW w:w="688" w:type="pct"/>
            <w:shd w:val="clear" w:color="auto" w:fill="FFFFFF"/>
            <w:tcMar>
              <w:top w:w="0" w:type="dxa"/>
              <w:left w:w="108" w:type="dxa"/>
              <w:bottom w:w="0" w:type="dxa"/>
              <w:right w:w="108" w:type="dxa"/>
            </w:tcMar>
            <w:vAlign w:val="center"/>
          </w:tcPr>
          <w:p w14:paraId="5B03CDF8">
            <w:pPr>
              <w:widowControl/>
              <w:spacing w:line="276" w:lineRule="auto"/>
              <w:jc w:val="center"/>
              <w:textAlignment w:val="baseline"/>
              <w:rPr>
                <w:rFonts w:cs="宋体"/>
                <w:kern w:val="0"/>
                <w:szCs w:val="21"/>
                <w:highlight w:val="none"/>
              </w:rPr>
            </w:pPr>
            <w:r>
              <w:rPr>
                <w:rFonts w:hint="eastAsia" w:cs="宋体"/>
                <w:kern w:val="0"/>
                <w:szCs w:val="21"/>
                <w:highlight w:val="none"/>
              </w:rPr>
              <w:t>A02052309</w:t>
            </w:r>
          </w:p>
        </w:tc>
        <w:tc>
          <w:tcPr>
            <w:tcW w:w="974" w:type="pct"/>
            <w:shd w:val="clear" w:color="auto" w:fill="FFFFFF"/>
            <w:tcMar>
              <w:top w:w="0" w:type="dxa"/>
              <w:left w:w="108" w:type="dxa"/>
              <w:bottom w:w="0" w:type="dxa"/>
              <w:right w:w="108" w:type="dxa"/>
            </w:tcMar>
            <w:vAlign w:val="center"/>
          </w:tcPr>
          <w:p w14:paraId="1A73D457">
            <w:pPr>
              <w:widowControl/>
              <w:spacing w:line="276" w:lineRule="auto"/>
              <w:jc w:val="center"/>
              <w:textAlignment w:val="baseline"/>
              <w:rPr>
                <w:rFonts w:cs="宋体"/>
                <w:kern w:val="0"/>
                <w:szCs w:val="21"/>
                <w:highlight w:val="none"/>
              </w:rPr>
            </w:pPr>
            <w:r>
              <w:rPr>
                <w:rFonts w:hint="eastAsia" w:cs="宋体"/>
                <w:kern w:val="0"/>
                <w:szCs w:val="21"/>
                <w:highlight w:val="none"/>
              </w:rPr>
              <w:t>专用制冷、空调设备</w:t>
            </w:r>
          </w:p>
        </w:tc>
        <w:tc>
          <w:tcPr>
            <w:tcW w:w="1682" w:type="pct"/>
            <w:vMerge w:val="continue"/>
            <w:shd w:val="clear" w:color="auto" w:fill="FFFFFF"/>
            <w:tcMar>
              <w:top w:w="0" w:type="dxa"/>
              <w:left w:w="0" w:type="dxa"/>
              <w:bottom w:w="0" w:type="dxa"/>
              <w:right w:w="0" w:type="dxa"/>
            </w:tcMar>
            <w:vAlign w:val="center"/>
          </w:tcPr>
          <w:p w14:paraId="37C4A0F3">
            <w:pPr>
              <w:widowControl/>
              <w:spacing w:line="276" w:lineRule="auto"/>
              <w:jc w:val="center"/>
              <w:rPr>
                <w:rFonts w:cs="宋体"/>
                <w:kern w:val="0"/>
                <w:szCs w:val="21"/>
                <w:highlight w:val="none"/>
              </w:rPr>
            </w:pPr>
          </w:p>
        </w:tc>
      </w:tr>
      <w:tr w14:paraId="592138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154CE5F7">
            <w:pPr>
              <w:widowControl/>
              <w:spacing w:line="276" w:lineRule="auto"/>
              <w:jc w:val="center"/>
              <w:rPr>
                <w:rFonts w:cs="宋体"/>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3E26428B">
            <w:pPr>
              <w:widowControl/>
              <w:spacing w:line="276" w:lineRule="auto"/>
              <w:jc w:val="center"/>
              <w:rPr>
                <w:rFonts w:cs="宋体"/>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64EB8FAB">
            <w:pPr>
              <w:widowControl/>
              <w:spacing w:line="276" w:lineRule="auto"/>
              <w:jc w:val="center"/>
              <w:rPr>
                <w:rFonts w:cs="宋体"/>
                <w:kern w:val="0"/>
                <w:szCs w:val="21"/>
                <w:highlight w:val="none"/>
              </w:rPr>
            </w:pPr>
          </w:p>
        </w:tc>
        <w:tc>
          <w:tcPr>
            <w:tcW w:w="688" w:type="pct"/>
            <w:shd w:val="clear" w:color="auto" w:fill="FFFFFF"/>
            <w:tcMar>
              <w:top w:w="0" w:type="dxa"/>
              <w:left w:w="108" w:type="dxa"/>
              <w:bottom w:w="0" w:type="dxa"/>
              <w:right w:w="108" w:type="dxa"/>
            </w:tcMar>
            <w:vAlign w:val="center"/>
          </w:tcPr>
          <w:p w14:paraId="4AF26CB0">
            <w:pPr>
              <w:widowControl/>
              <w:spacing w:line="276" w:lineRule="auto"/>
              <w:jc w:val="center"/>
              <w:textAlignment w:val="baseline"/>
              <w:rPr>
                <w:rFonts w:cs="宋体"/>
                <w:kern w:val="0"/>
                <w:szCs w:val="21"/>
                <w:highlight w:val="none"/>
              </w:rPr>
            </w:pPr>
            <w:r>
              <w:rPr>
                <w:rFonts w:hint="eastAsia" w:cs="宋体"/>
                <w:kern w:val="0"/>
                <w:szCs w:val="21"/>
                <w:highlight w:val="none"/>
              </w:rPr>
              <w:t>A02052399</w:t>
            </w:r>
          </w:p>
        </w:tc>
        <w:tc>
          <w:tcPr>
            <w:tcW w:w="974" w:type="pct"/>
            <w:shd w:val="clear" w:color="auto" w:fill="FFFFFF"/>
            <w:tcMar>
              <w:top w:w="0" w:type="dxa"/>
              <w:left w:w="108" w:type="dxa"/>
              <w:bottom w:w="0" w:type="dxa"/>
              <w:right w:w="108" w:type="dxa"/>
            </w:tcMar>
            <w:vAlign w:val="center"/>
          </w:tcPr>
          <w:p w14:paraId="36291063">
            <w:pPr>
              <w:widowControl/>
              <w:spacing w:line="276" w:lineRule="auto"/>
              <w:jc w:val="center"/>
              <w:textAlignment w:val="baseline"/>
              <w:rPr>
                <w:rFonts w:cs="宋体"/>
                <w:kern w:val="0"/>
                <w:szCs w:val="21"/>
                <w:highlight w:val="none"/>
              </w:rPr>
            </w:pPr>
            <w:r>
              <w:rPr>
                <w:rFonts w:hint="eastAsia" w:cs="宋体"/>
                <w:kern w:val="0"/>
                <w:szCs w:val="21"/>
                <w:highlight w:val="none"/>
              </w:rPr>
              <w:t>其他制冷空调设备</w:t>
            </w:r>
          </w:p>
        </w:tc>
        <w:tc>
          <w:tcPr>
            <w:tcW w:w="1682" w:type="pct"/>
            <w:vMerge w:val="continue"/>
            <w:shd w:val="clear" w:color="auto" w:fill="FFFFFF"/>
            <w:tcMar>
              <w:top w:w="0" w:type="dxa"/>
              <w:left w:w="0" w:type="dxa"/>
              <w:bottom w:w="0" w:type="dxa"/>
              <w:right w:w="0" w:type="dxa"/>
            </w:tcMar>
            <w:vAlign w:val="center"/>
          </w:tcPr>
          <w:p w14:paraId="65E28DA3">
            <w:pPr>
              <w:widowControl/>
              <w:spacing w:line="276" w:lineRule="auto"/>
              <w:jc w:val="center"/>
              <w:rPr>
                <w:rFonts w:cs="宋体"/>
                <w:kern w:val="0"/>
                <w:szCs w:val="21"/>
                <w:highlight w:val="none"/>
              </w:rPr>
            </w:pPr>
          </w:p>
        </w:tc>
      </w:tr>
      <w:tr w14:paraId="03CF46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62006459">
            <w:pPr>
              <w:widowControl/>
              <w:spacing w:line="276" w:lineRule="auto"/>
              <w:jc w:val="center"/>
              <w:textAlignment w:val="baseline"/>
              <w:rPr>
                <w:rFonts w:cs="宋体"/>
                <w:kern w:val="0"/>
                <w:szCs w:val="21"/>
                <w:highlight w:val="none"/>
              </w:rPr>
            </w:pPr>
            <w:r>
              <w:rPr>
                <w:rFonts w:hint="eastAsia" w:cs="宋体"/>
                <w:kern w:val="0"/>
                <w:szCs w:val="21"/>
                <w:highlight w:val="none"/>
              </w:rPr>
              <w:t>7</w:t>
            </w:r>
          </w:p>
        </w:tc>
        <w:tc>
          <w:tcPr>
            <w:tcW w:w="569" w:type="pct"/>
            <w:shd w:val="clear" w:color="auto" w:fill="FFFFFF"/>
            <w:tcMar>
              <w:top w:w="0" w:type="dxa"/>
              <w:left w:w="108" w:type="dxa"/>
              <w:bottom w:w="0" w:type="dxa"/>
              <w:right w:w="108" w:type="dxa"/>
            </w:tcMar>
            <w:vAlign w:val="center"/>
          </w:tcPr>
          <w:p w14:paraId="24D6F382">
            <w:pPr>
              <w:widowControl/>
              <w:spacing w:line="276" w:lineRule="auto"/>
              <w:jc w:val="center"/>
              <w:textAlignment w:val="baseline"/>
              <w:rPr>
                <w:rFonts w:cs="宋体"/>
                <w:kern w:val="0"/>
                <w:szCs w:val="21"/>
                <w:highlight w:val="none"/>
              </w:rPr>
            </w:pPr>
            <w:r>
              <w:rPr>
                <w:rFonts w:hint="eastAsia" w:cs="宋体"/>
                <w:kern w:val="0"/>
                <w:szCs w:val="21"/>
                <w:highlight w:val="none"/>
              </w:rPr>
              <w:t>A020601</w:t>
            </w:r>
          </w:p>
        </w:tc>
        <w:tc>
          <w:tcPr>
            <w:tcW w:w="819" w:type="pct"/>
            <w:shd w:val="clear" w:color="auto" w:fill="FFFFFF"/>
            <w:tcMar>
              <w:top w:w="0" w:type="dxa"/>
              <w:left w:w="108" w:type="dxa"/>
              <w:bottom w:w="0" w:type="dxa"/>
              <w:right w:w="108" w:type="dxa"/>
            </w:tcMar>
            <w:vAlign w:val="center"/>
          </w:tcPr>
          <w:p w14:paraId="7CD17C0E">
            <w:pPr>
              <w:widowControl/>
              <w:spacing w:line="276" w:lineRule="auto"/>
              <w:jc w:val="center"/>
              <w:textAlignment w:val="baseline"/>
              <w:rPr>
                <w:rFonts w:cs="宋体"/>
                <w:kern w:val="0"/>
                <w:szCs w:val="21"/>
                <w:highlight w:val="none"/>
              </w:rPr>
            </w:pPr>
            <w:r>
              <w:rPr>
                <w:rFonts w:hint="eastAsia" w:cs="宋体"/>
                <w:kern w:val="0"/>
                <w:szCs w:val="21"/>
                <w:highlight w:val="none"/>
              </w:rPr>
              <w:t>电机</w:t>
            </w:r>
          </w:p>
        </w:tc>
        <w:tc>
          <w:tcPr>
            <w:tcW w:w="688" w:type="pct"/>
            <w:shd w:val="clear" w:color="auto" w:fill="FFFFFF"/>
            <w:tcMar>
              <w:top w:w="0" w:type="dxa"/>
              <w:left w:w="108" w:type="dxa"/>
              <w:bottom w:w="0" w:type="dxa"/>
              <w:right w:w="108" w:type="dxa"/>
            </w:tcMar>
            <w:vAlign w:val="center"/>
          </w:tcPr>
          <w:p w14:paraId="55641535">
            <w:pPr>
              <w:widowControl/>
              <w:spacing w:line="276" w:lineRule="auto"/>
              <w:jc w:val="center"/>
              <w:textAlignment w:val="baseline"/>
              <w:rPr>
                <w:rFonts w:cs="宋体"/>
                <w:kern w:val="0"/>
                <w:szCs w:val="21"/>
                <w:highlight w:val="none"/>
              </w:rPr>
            </w:pPr>
          </w:p>
        </w:tc>
        <w:tc>
          <w:tcPr>
            <w:tcW w:w="974" w:type="pct"/>
            <w:shd w:val="clear" w:color="auto" w:fill="FFFFFF"/>
            <w:tcMar>
              <w:top w:w="0" w:type="dxa"/>
              <w:left w:w="108" w:type="dxa"/>
              <w:bottom w:w="0" w:type="dxa"/>
              <w:right w:w="108" w:type="dxa"/>
            </w:tcMar>
            <w:vAlign w:val="center"/>
          </w:tcPr>
          <w:p w14:paraId="1D159651">
            <w:pPr>
              <w:widowControl/>
              <w:spacing w:line="276" w:lineRule="auto"/>
              <w:jc w:val="center"/>
              <w:textAlignment w:val="baseline"/>
              <w:rPr>
                <w:rFonts w:cs="宋体"/>
                <w:kern w:val="0"/>
                <w:szCs w:val="21"/>
                <w:highlight w:val="none"/>
              </w:rPr>
            </w:pPr>
          </w:p>
        </w:tc>
        <w:tc>
          <w:tcPr>
            <w:tcW w:w="1682" w:type="pct"/>
            <w:shd w:val="clear" w:color="auto" w:fill="FFFFFF"/>
            <w:tcMar>
              <w:top w:w="0" w:type="dxa"/>
              <w:left w:w="108" w:type="dxa"/>
              <w:bottom w:w="0" w:type="dxa"/>
              <w:right w:w="108" w:type="dxa"/>
            </w:tcMar>
            <w:vAlign w:val="center"/>
          </w:tcPr>
          <w:p w14:paraId="2724FB71">
            <w:pPr>
              <w:widowControl/>
              <w:spacing w:line="276" w:lineRule="auto"/>
              <w:jc w:val="center"/>
              <w:textAlignment w:val="baseline"/>
              <w:rPr>
                <w:rFonts w:cs="宋体"/>
                <w:kern w:val="0"/>
                <w:szCs w:val="21"/>
                <w:highlight w:val="none"/>
              </w:rPr>
            </w:pPr>
            <w:r>
              <w:rPr>
                <w:rFonts w:hint="eastAsia" w:cs="宋体"/>
                <w:kern w:val="0"/>
                <w:szCs w:val="21"/>
                <w:highlight w:val="none"/>
              </w:rPr>
              <w:t>中国质量认证中心</w:t>
            </w:r>
          </w:p>
          <w:p w14:paraId="4A5F0B4C">
            <w:pPr>
              <w:widowControl/>
              <w:spacing w:line="276" w:lineRule="auto"/>
              <w:jc w:val="center"/>
              <w:textAlignment w:val="baseline"/>
              <w:rPr>
                <w:rFonts w:cs="宋体"/>
                <w:kern w:val="0"/>
                <w:szCs w:val="21"/>
                <w:highlight w:val="none"/>
              </w:rPr>
            </w:pPr>
            <w:r>
              <w:rPr>
                <w:rFonts w:hint="eastAsia" w:cs="宋体"/>
                <w:kern w:val="0"/>
                <w:szCs w:val="21"/>
                <w:highlight w:val="none"/>
              </w:rPr>
              <w:t>威凯认证检测有限公司</w:t>
            </w:r>
          </w:p>
          <w:p w14:paraId="3E46B8BE">
            <w:pPr>
              <w:widowControl/>
              <w:spacing w:line="276" w:lineRule="auto"/>
              <w:jc w:val="center"/>
              <w:textAlignment w:val="baseline"/>
              <w:rPr>
                <w:rFonts w:cs="宋体"/>
                <w:kern w:val="0"/>
                <w:szCs w:val="21"/>
                <w:highlight w:val="none"/>
              </w:rPr>
            </w:pPr>
            <w:r>
              <w:rPr>
                <w:rFonts w:hint="eastAsia" w:cs="宋体"/>
                <w:kern w:val="0"/>
                <w:szCs w:val="21"/>
                <w:highlight w:val="none"/>
              </w:rPr>
              <w:t>电能（北京）认证中心有限公司</w:t>
            </w:r>
          </w:p>
          <w:p w14:paraId="106DE38D">
            <w:pPr>
              <w:widowControl/>
              <w:spacing w:line="276" w:lineRule="auto"/>
              <w:jc w:val="center"/>
              <w:textAlignment w:val="baseline"/>
              <w:rPr>
                <w:rFonts w:cs="宋体"/>
                <w:kern w:val="0"/>
                <w:szCs w:val="21"/>
                <w:highlight w:val="none"/>
              </w:rPr>
            </w:pPr>
            <w:r>
              <w:rPr>
                <w:rFonts w:hint="eastAsia" w:cs="宋体"/>
                <w:kern w:val="0"/>
                <w:szCs w:val="21"/>
                <w:highlight w:val="none"/>
              </w:rPr>
              <w:t>中国船级社质量认证公司</w:t>
            </w:r>
          </w:p>
        </w:tc>
      </w:tr>
      <w:tr w14:paraId="3844CDC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62EC50F1">
            <w:pPr>
              <w:widowControl/>
              <w:spacing w:line="276" w:lineRule="auto"/>
              <w:jc w:val="center"/>
              <w:textAlignment w:val="baseline"/>
              <w:rPr>
                <w:rFonts w:cs="宋体"/>
                <w:kern w:val="0"/>
                <w:szCs w:val="21"/>
                <w:highlight w:val="none"/>
              </w:rPr>
            </w:pPr>
            <w:r>
              <w:rPr>
                <w:rFonts w:hint="eastAsia" w:cs="宋体"/>
                <w:kern w:val="0"/>
                <w:szCs w:val="21"/>
                <w:highlight w:val="none"/>
              </w:rPr>
              <w:t>8</w:t>
            </w:r>
          </w:p>
        </w:tc>
        <w:tc>
          <w:tcPr>
            <w:tcW w:w="569" w:type="pct"/>
            <w:shd w:val="clear" w:color="auto" w:fill="FFFFFF"/>
            <w:tcMar>
              <w:top w:w="0" w:type="dxa"/>
              <w:left w:w="108" w:type="dxa"/>
              <w:bottom w:w="0" w:type="dxa"/>
              <w:right w:w="108" w:type="dxa"/>
            </w:tcMar>
            <w:vAlign w:val="center"/>
          </w:tcPr>
          <w:p w14:paraId="3CF007E4">
            <w:pPr>
              <w:widowControl/>
              <w:spacing w:line="276" w:lineRule="auto"/>
              <w:jc w:val="center"/>
              <w:textAlignment w:val="baseline"/>
              <w:rPr>
                <w:rFonts w:cs="宋体"/>
                <w:kern w:val="0"/>
                <w:szCs w:val="21"/>
                <w:highlight w:val="none"/>
              </w:rPr>
            </w:pPr>
            <w:r>
              <w:rPr>
                <w:rFonts w:hint="eastAsia" w:cs="宋体"/>
                <w:kern w:val="0"/>
                <w:szCs w:val="21"/>
                <w:highlight w:val="none"/>
              </w:rPr>
              <w:t>A020602</w:t>
            </w:r>
          </w:p>
        </w:tc>
        <w:tc>
          <w:tcPr>
            <w:tcW w:w="819" w:type="pct"/>
            <w:shd w:val="clear" w:color="auto" w:fill="FFFFFF"/>
            <w:tcMar>
              <w:top w:w="0" w:type="dxa"/>
              <w:left w:w="108" w:type="dxa"/>
              <w:bottom w:w="0" w:type="dxa"/>
              <w:right w:w="108" w:type="dxa"/>
            </w:tcMar>
            <w:vAlign w:val="center"/>
          </w:tcPr>
          <w:p w14:paraId="51CB7F5B">
            <w:pPr>
              <w:widowControl/>
              <w:spacing w:line="276" w:lineRule="auto"/>
              <w:jc w:val="center"/>
              <w:textAlignment w:val="baseline"/>
              <w:rPr>
                <w:rFonts w:cs="宋体"/>
                <w:kern w:val="0"/>
                <w:szCs w:val="21"/>
                <w:highlight w:val="none"/>
              </w:rPr>
            </w:pPr>
            <w:r>
              <w:rPr>
                <w:rFonts w:hint="eastAsia" w:cs="宋体"/>
                <w:kern w:val="0"/>
                <w:szCs w:val="21"/>
                <w:highlight w:val="none"/>
              </w:rPr>
              <w:t>变压器</w:t>
            </w:r>
          </w:p>
        </w:tc>
        <w:tc>
          <w:tcPr>
            <w:tcW w:w="688" w:type="pct"/>
            <w:shd w:val="clear" w:color="auto" w:fill="FFFFFF"/>
            <w:tcMar>
              <w:top w:w="0" w:type="dxa"/>
              <w:left w:w="108" w:type="dxa"/>
              <w:bottom w:w="0" w:type="dxa"/>
              <w:right w:w="108" w:type="dxa"/>
            </w:tcMar>
            <w:vAlign w:val="center"/>
          </w:tcPr>
          <w:p w14:paraId="49436264">
            <w:pPr>
              <w:widowControl/>
              <w:spacing w:line="276" w:lineRule="auto"/>
              <w:jc w:val="center"/>
              <w:textAlignment w:val="baseline"/>
              <w:rPr>
                <w:rFonts w:cs="宋体"/>
                <w:kern w:val="0"/>
                <w:szCs w:val="21"/>
                <w:highlight w:val="none"/>
              </w:rPr>
            </w:pPr>
          </w:p>
        </w:tc>
        <w:tc>
          <w:tcPr>
            <w:tcW w:w="974" w:type="pct"/>
            <w:shd w:val="clear" w:color="auto" w:fill="FFFFFF"/>
            <w:tcMar>
              <w:top w:w="0" w:type="dxa"/>
              <w:left w:w="108" w:type="dxa"/>
              <w:bottom w:w="0" w:type="dxa"/>
              <w:right w:w="108" w:type="dxa"/>
            </w:tcMar>
            <w:vAlign w:val="center"/>
          </w:tcPr>
          <w:p w14:paraId="711F1D02">
            <w:pPr>
              <w:widowControl/>
              <w:spacing w:line="276" w:lineRule="auto"/>
              <w:jc w:val="center"/>
              <w:textAlignment w:val="baseline"/>
              <w:rPr>
                <w:rFonts w:cs="宋体"/>
                <w:kern w:val="0"/>
                <w:szCs w:val="21"/>
                <w:highlight w:val="none"/>
              </w:rPr>
            </w:pPr>
          </w:p>
        </w:tc>
        <w:tc>
          <w:tcPr>
            <w:tcW w:w="1682" w:type="pct"/>
            <w:shd w:val="clear" w:color="auto" w:fill="FFFFFF"/>
            <w:tcMar>
              <w:top w:w="0" w:type="dxa"/>
              <w:left w:w="108" w:type="dxa"/>
              <w:bottom w:w="0" w:type="dxa"/>
              <w:right w:w="108" w:type="dxa"/>
            </w:tcMar>
            <w:vAlign w:val="center"/>
          </w:tcPr>
          <w:p w14:paraId="0571F5D8">
            <w:pPr>
              <w:widowControl/>
              <w:spacing w:line="276" w:lineRule="auto"/>
              <w:jc w:val="center"/>
              <w:textAlignment w:val="baseline"/>
              <w:rPr>
                <w:rFonts w:cs="宋体"/>
                <w:kern w:val="0"/>
                <w:szCs w:val="21"/>
                <w:highlight w:val="none"/>
              </w:rPr>
            </w:pPr>
            <w:r>
              <w:rPr>
                <w:rFonts w:hint="eastAsia" w:cs="宋体"/>
                <w:kern w:val="0"/>
                <w:szCs w:val="21"/>
                <w:highlight w:val="none"/>
              </w:rPr>
              <w:t>中国质量认证中心</w:t>
            </w:r>
          </w:p>
          <w:p w14:paraId="27494161">
            <w:pPr>
              <w:widowControl/>
              <w:spacing w:line="276" w:lineRule="auto"/>
              <w:jc w:val="center"/>
              <w:textAlignment w:val="baseline"/>
              <w:rPr>
                <w:rFonts w:cs="宋体"/>
                <w:kern w:val="0"/>
                <w:szCs w:val="21"/>
                <w:highlight w:val="none"/>
              </w:rPr>
            </w:pPr>
            <w:r>
              <w:rPr>
                <w:rFonts w:hint="eastAsia" w:cs="宋体"/>
                <w:kern w:val="0"/>
                <w:szCs w:val="21"/>
                <w:highlight w:val="none"/>
              </w:rPr>
              <w:t>电能（北京）认证中心有限公司</w:t>
            </w:r>
          </w:p>
          <w:p w14:paraId="70187E9B">
            <w:pPr>
              <w:widowControl/>
              <w:spacing w:line="276" w:lineRule="auto"/>
              <w:jc w:val="center"/>
              <w:textAlignment w:val="baseline"/>
              <w:rPr>
                <w:rFonts w:cs="宋体"/>
                <w:kern w:val="0"/>
                <w:szCs w:val="21"/>
                <w:highlight w:val="none"/>
              </w:rPr>
            </w:pPr>
            <w:r>
              <w:rPr>
                <w:rFonts w:hint="eastAsia" w:cs="宋体"/>
                <w:kern w:val="0"/>
                <w:szCs w:val="21"/>
                <w:highlight w:val="none"/>
              </w:rPr>
              <w:t>方圆标志认证集团有限公司</w:t>
            </w:r>
          </w:p>
        </w:tc>
      </w:tr>
      <w:tr w14:paraId="3FAD5D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186C61AA">
            <w:pPr>
              <w:widowControl/>
              <w:spacing w:line="276" w:lineRule="auto"/>
              <w:jc w:val="center"/>
              <w:textAlignment w:val="baseline"/>
              <w:rPr>
                <w:rFonts w:cs="宋体"/>
                <w:kern w:val="0"/>
                <w:szCs w:val="21"/>
                <w:highlight w:val="none"/>
              </w:rPr>
            </w:pPr>
            <w:r>
              <w:rPr>
                <w:rFonts w:hint="eastAsia" w:cs="宋体"/>
                <w:kern w:val="0"/>
                <w:szCs w:val="21"/>
                <w:highlight w:val="none"/>
              </w:rPr>
              <w:t>9</w:t>
            </w:r>
          </w:p>
        </w:tc>
        <w:tc>
          <w:tcPr>
            <w:tcW w:w="569" w:type="pct"/>
            <w:shd w:val="clear" w:color="auto" w:fill="FFFFFF"/>
            <w:tcMar>
              <w:top w:w="0" w:type="dxa"/>
              <w:left w:w="108" w:type="dxa"/>
              <w:bottom w:w="0" w:type="dxa"/>
              <w:right w:w="108" w:type="dxa"/>
            </w:tcMar>
            <w:vAlign w:val="center"/>
          </w:tcPr>
          <w:p w14:paraId="6374AF59">
            <w:pPr>
              <w:widowControl/>
              <w:spacing w:line="276" w:lineRule="auto"/>
              <w:jc w:val="center"/>
              <w:textAlignment w:val="baseline"/>
              <w:rPr>
                <w:rFonts w:cs="宋体"/>
                <w:kern w:val="0"/>
                <w:szCs w:val="21"/>
                <w:highlight w:val="none"/>
              </w:rPr>
            </w:pPr>
            <w:r>
              <w:rPr>
                <w:rFonts w:hint="eastAsia" w:cs="宋体"/>
                <w:kern w:val="0"/>
                <w:szCs w:val="21"/>
                <w:highlight w:val="none"/>
              </w:rPr>
              <w:t>A020609</w:t>
            </w:r>
          </w:p>
        </w:tc>
        <w:tc>
          <w:tcPr>
            <w:tcW w:w="819" w:type="pct"/>
            <w:shd w:val="clear" w:color="auto" w:fill="FFFFFF"/>
            <w:tcMar>
              <w:top w:w="0" w:type="dxa"/>
              <w:left w:w="108" w:type="dxa"/>
              <w:bottom w:w="0" w:type="dxa"/>
              <w:right w:w="108" w:type="dxa"/>
            </w:tcMar>
            <w:vAlign w:val="center"/>
          </w:tcPr>
          <w:p w14:paraId="39471221">
            <w:pPr>
              <w:widowControl/>
              <w:spacing w:line="276" w:lineRule="auto"/>
              <w:jc w:val="center"/>
              <w:textAlignment w:val="baseline"/>
              <w:rPr>
                <w:rFonts w:cs="宋体"/>
                <w:kern w:val="0"/>
                <w:szCs w:val="21"/>
                <w:highlight w:val="none"/>
              </w:rPr>
            </w:pPr>
            <w:r>
              <w:rPr>
                <w:rFonts w:hint="eastAsia" w:cs="宋体"/>
                <w:kern w:val="0"/>
                <w:szCs w:val="21"/>
                <w:highlight w:val="none"/>
              </w:rPr>
              <w:t>镇流器</w:t>
            </w:r>
          </w:p>
        </w:tc>
        <w:tc>
          <w:tcPr>
            <w:tcW w:w="688" w:type="pct"/>
            <w:shd w:val="clear" w:color="auto" w:fill="FFFFFF"/>
            <w:tcMar>
              <w:top w:w="0" w:type="dxa"/>
              <w:left w:w="108" w:type="dxa"/>
              <w:bottom w:w="0" w:type="dxa"/>
              <w:right w:w="108" w:type="dxa"/>
            </w:tcMar>
            <w:vAlign w:val="center"/>
          </w:tcPr>
          <w:p w14:paraId="4F6E3D09">
            <w:pPr>
              <w:widowControl/>
              <w:spacing w:line="276" w:lineRule="auto"/>
              <w:jc w:val="center"/>
              <w:textAlignment w:val="baseline"/>
              <w:rPr>
                <w:rFonts w:cs="宋体"/>
                <w:kern w:val="0"/>
                <w:szCs w:val="21"/>
                <w:highlight w:val="none"/>
              </w:rPr>
            </w:pPr>
          </w:p>
        </w:tc>
        <w:tc>
          <w:tcPr>
            <w:tcW w:w="974" w:type="pct"/>
            <w:shd w:val="clear" w:color="auto" w:fill="FFFFFF"/>
            <w:tcMar>
              <w:top w:w="0" w:type="dxa"/>
              <w:left w:w="108" w:type="dxa"/>
              <w:bottom w:w="0" w:type="dxa"/>
              <w:right w:w="108" w:type="dxa"/>
            </w:tcMar>
            <w:vAlign w:val="center"/>
          </w:tcPr>
          <w:p w14:paraId="0082731C">
            <w:pPr>
              <w:widowControl/>
              <w:spacing w:line="276" w:lineRule="auto"/>
              <w:jc w:val="center"/>
              <w:textAlignment w:val="baseline"/>
              <w:rPr>
                <w:rFonts w:cs="宋体"/>
                <w:kern w:val="0"/>
                <w:szCs w:val="21"/>
                <w:highlight w:val="none"/>
              </w:rPr>
            </w:pPr>
          </w:p>
        </w:tc>
        <w:tc>
          <w:tcPr>
            <w:tcW w:w="1682" w:type="pct"/>
            <w:shd w:val="clear" w:color="auto" w:fill="FFFFFF"/>
            <w:tcMar>
              <w:top w:w="0" w:type="dxa"/>
              <w:left w:w="108" w:type="dxa"/>
              <w:bottom w:w="0" w:type="dxa"/>
              <w:right w:w="108" w:type="dxa"/>
            </w:tcMar>
            <w:vAlign w:val="center"/>
          </w:tcPr>
          <w:p w14:paraId="3A527159">
            <w:pPr>
              <w:widowControl/>
              <w:spacing w:line="276" w:lineRule="auto"/>
              <w:jc w:val="center"/>
              <w:textAlignment w:val="baseline"/>
              <w:rPr>
                <w:rFonts w:cs="宋体"/>
                <w:kern w:val="0"/>
                <w:szCs w:val="21"/>
                <w:highlight w:val="none"/>
              </w:rPr>
            </w:pPr>
            <w:r>
              <w:rPr>
                <w:rFonts w:hint="eastAsia" w:cs="宋体"/>
                <w:kern w:val="0"/>
                <w:szCs w:val="21"/>
                <w:highlight w:val="none"/>
              </w:rPr>
              <w:t>中国质量认证中心</w:t>
            </w:r>
          </w:p>
          <w:p w14:paraId="6995F5B0">
            <w:pPr>
              <w:widowControl/>
              <w:spacing w:line="276" w:lineRule="auto"/>
              <w:jc w:val="center"/>
              <w:textAlignment w:val="baseline"/>
              <w:rPr>
                <w:rFonts w:cs="宋体"/>
                <w:kern w:val="0"/>
                <w:szCs w:val="21"/>
                <w:highlight w:val="none"/>
              </w:rPr>
            </w:pPr>
            <w:r>
              <w:rPr>
                <w:rFonts w:hint="eastAsia" w:cs="宋体"/>
                <w:kern w:val="0"/>
                <w:szCs w:val="21"/>
                <w:highlight w:val="none"/>
              </w:rPr>
              <w:t>深圳市计量质量检测研究院</w:t>
            </w:r>
          </w:p>
          <w:p w14:paraId="13C2A83F">
            <w:pPr>
              <w:widowControl/>
              <w:spacing w:line="276" w:lineRule="auto"/>
              <w:jc w:val="center"/>
              <w:textAlignment w:val="baseline"/>
              <w:rPr>
                <w:rFonts w:cs="宋体"/>
                <w:kern w:val="0"/>
                <w:szCs w:val="21"/>
                <w:highlight w:val="none"/>
              </w:rPr>
            </w:pPr>
            <w:r>
              <w:rPr>
                <w:rFonts w:hint="eastAsia" w:cs="宋体"/>
                <w:kern w:val="0"/>
                <w:szCs w:val="21"/>
                <w:highlight w:val="none"/>
              </w:rPr>
              <w:t>中标合信（北京）认证有限公司</w:t>
            </w:r>
          </w:p>
        </w:tc>
      </w:tr>
      <w:tr w14:paraId="43661D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20" w:hRule="atLeast"/>
        </w:trPr>
        <w:tc>
          <w:tcPr>
            <w:tcW w:w="268" w:type="pct"/>
            <w:vMerge w:val="restart"/>
            <w:shd w:val="clear" w:color="auto" w:fill="FFFFFF"/>
            <w:tcMar>
              <w:top w:w="0" w:type="dxa"/>
              <w:left w:w="108" w:type="dxa"/>
              <w:bottom w:w="0" w:type="dxa"/>
              <w:right w:w="108" w:type="dxa"/>
            </w:tcMar>
            <w:vAlign w:val="center"/>
          </w:tcPr>
          <w:p w14:paraId="0F1AAE53">
            <w:pPr>
              <w:widowControl/>
              <w:spacing w:line="276" w:lineRule="auto"/>
              <w:jc w:val="center"/>
              <w:textAlignment w:val="baseline"/>
              <w:rPr>
                <w:rFonts w:cs="宋体"/>
                <w:kern w:val="0"/>
                <w:szCs w:val="21"/>
                <w:highlight w:val="none"/>
              </w:rPr>
            </w:pPr>
            <w:r>
              <w:rPr>
                <w:rFonts w:hint="eastAsia" w:cs="宋体"/>
                <w:kern w:val="0"/>
                <w:szCs w:val="21"/>
                <w:highlight w:val="none"/>
              </w:rPr>
              <w:t>10</w:t>
            </w:r>
          </w:p>
        </w:tc>
        <w:tc>
          <w:tcPr>
            <w:tcW w:w="569" w:type="pct"/>
            <w:vMerge w:val="restart"/>
            <w:shd w:val="clear" w:color="auto" w:fill="FFFFFF"/>
            <w:tcMar>
              <w:top w:w="0" w:type="dxa"/>
              <w:left w:w="108" w:type="dxa"/>
              <w:bottom w:w="0" w:type="dxa"/>
              <w:right w:w="108" w:type="dxa"/>
            </w:tcMar>
            <w:vAlign w:val="center"/>
          </w:tcPr>
          <w:p w14:paraId="1F06F513">
            <w:pPr>
              <w:widowControl/>
              <w:spacing w:line="276" w:lineRule="auto"/>
              <w:jc w:val="center"/>
              <w:textAlignment w:val="baseline"/>
              <w:rPr>
                <w:rFonts w:cs="宋体"/>
                <w:kern w:val="0"/>
                <w:szCs w:val="21"/>
                <w:highlight w:val="none"/>
              </w:rPr>
            </w:pPr>
            <w:r>
              <w:rPr>
                <w:rFonts w:hint="eastAsia" w:cs="宋体"/>
                <w:kern w:val="0"/>
                <w:szCs w:val="21"/>
                <w:highlight w:val="none"/>
              </w:rPr>
              <w:t>A020618</w:t>
            </w:r>
          </w:p>
        </w:tc>
        <w:tc>
          <w:tcPr>
            <w:tcW w:w="819" w:type="pct"/>
            <w:vMerge w:val="restart"/>
            <w:shd w:val="clear" w:color="auto" w:fill="FFFFFF"/>
            <w:tcMar>
              <w:top w:w="0" w:type="dxa"/>
              <w:left w:w="108" w:type="dxa"/>
              <w:bottom w:w="0" w:type="dxa"/>
              <w:right w:w="108" w:type="dxa"/>
            </w:tcMar>
            <w:vAlign w:val="center"/>
          </w:tcPr>
          <w:p w14:paraId="43B10D07">
            <w:pPr>
              <w:widowControl/>
              <w:spacing w:line="276" w:lineRule="auto"/>
              <w:jc w:val="center"/>
              <w:textAlignment w:val="baseline"/>
              <w:rPr>
                <w:rFonts w:cs="宋体"/>
                <w:kern w:val="0"/>
                <w:szCs w:val="21"/>
                <w:highlight w:val="none"/>
              </w:rPr>
            </w:pPr>
            <w:r>
              <w:rPr>
                <w:rFonts w:hint="eastAsia" w:cs="宋体"/>
                <w:kern w:val="0"/>
                <w:szCs w:val="21"/>
                <w:highlight w:val="none"/>
              </w:rPr>
              <w:t>生活用电器</w:t>
            </w:r>
          </w:p>
        </w:tc>
        <w:tc>
          <w:tcPr>
            <w:tcW w:w="688" w:type="pct"/>
            <w:shd w:val="clear" w:color="auto" w:fill="FFFFFF"/>
            <w:tcMar>
              <w:top w:w="0" w:type="dxa"/>
              <w:left w:w="108" w:type="dxa"/>
              <w:bottom w:w="0" w:type="dxa"/>
              <w:right w:w="108" w:type="dxa"/>
            </w:tcMar>
            <w:vAlign w:val="center"/>
          </w:tcPr>
          <w:p w14:paraId="54BD31A3">
            <w:pPr>
              <w:widowControl/>
              <w:spacing w:line="276" w:lineRule="auto"/>
              <w:jc w:val="center"/>
              <w:textAlignment w:val="baseline"/>
              <w:rPr>
                <w:rFonts w:cs="宋体"/>
                <w:kern w:val="0"/>
                <w:szCs w:val="21"/>
                <w:highlight w:val="none"/>
              </w:rPr>
            </w:pPr>
            <w:r>
              <w:rPr>
                <w:rFonts w:hint="eastAsia" w:cs="宋体"/>
                <w:kern w:val="0"/>
                <w:szCs w:val="21"/>
                <w:highlight w:val="none"/>
              </w:rPr>
              <w:t>A0206180101</w:t>
            </w:r>
          </w:p>
        </w:tc>
        <w:tc>
          <w:tcPr>
            <w:tcW w:w="974" w:type="pct"/>
            <w:shd w:val="clear" w:color="auto" w:fill="FFFFFF"/>
            <w:tcMar>
              <w:top w:w="0" w:type="dxa"/>
              <w:left w:w="108" w:type="dxa"/>
              <w:bottom w:w="0" w:type="dxa"/>
              <w:right w:w="108" w:type="dxa"/>
            </w:tcMar>
            <w:vAlign w:val="center"/>
          </w:tcPr>
          <w:p w14:paraId="240A2704">
            <w:pPr>
              <w:widowControl/>
              <w:spacing w:line="276" w:lineRule="auto"/>
              <w:jc w:val="center"/>
              <w:textAlignment w:val="baseline"/>
              <w:rPr>
                <w:rFonts w:cs="宋体"/>
                <w:kern w:val="0"/>
                <w:szCs w:val="21"/>
                <w:highlight w:val="none"/>
              </w:rPr>
            </w:pPr>
            <w:r>
              <w:rPr>
                <w:rFonts w:hint="eastAsia" w:cs="宋体"/>
                <w:kern w:val="0"/>
                <w:szCs w:val="21"/>
                <w:highlight w:val="none"/>
              </w:rPr>
              <w:t>电冰箱</w:t>
            </w:r>
          </w:p>
        </w:tc>
        <w:tc>
          <w:tcPr>
            <w:tcW w:w="1682" w:type="pct"/>
            <w:shd w:val="clear" w:color="auto" w:fill="FFFFFF"/>
            <w:tcMar>
              <w:top w:w="0" w:type="dxa"/>
              <w:left w:w="108" w:type="dxa"/>
              <w:bottom w:w="0" w:type="dxa"/>
              <w:right w:w="108" w:type="dxa"/>
            </w:tcMar>
            <w:vAlign w:val="center"/>
          </w:tcPr>
          <w:p w14:paraId="07C67F1A">
            <w:pPr>
              <w:widowControl/>
              <w:spacing w:line="276" w:lineRule="auto"/>
              <w:jc w:val="center"/>
              <w:textAlignment w:val="baseline"/>
              <w:rPr>
                <w:rFonts w:cs="宋体"/>
                <w:kern w:val="0"/>
                <w:szCs w:val="21"/>
                <w:highlight w:val="none"/>
              </w:rPr>
            </w:pPr>
            <w:r>
              <w:rPr>
                <w:rFonts w:hint="eastAsia" w:cs="宋体"/>
                <w:kern w:val="0"/>
                <w:szCs w:val="21"/>
                <w:highlight w:val="none"/>
              </w:rPr>
              <w:t>中国质量认证中心</w:t>
            </w:r>
          </w:p>
          <w:p w14:paraId="6631B7FA">
            <w:pPr>
              <w:widowControl/>
              <w:spacing w:line="276" w:lineRule="auto"/>
              <w:jc w:val="center"/>
              <w:textAlignment w:val="baseline"/>
              <w:rPr>
                <w:rFonts w:cs="宋体"/>
                <w:kern w:val="0"/>
                <w:szCs w:val="21"/>
                <w:highlight w:val="none"/>
              </w:rPr>
            </w:pPr>
            <w:r>
              <w:rPr>
                <w:rFonts w:hint="eastAsia" w:cs="宋体"/>
                <w:kern w:val="0"/>
                <w:szCs w:val="21"/>
                <w:highlight w:val="none"/>
              </w:rPr>
              <w:t>威凯认证检测有限公司</w:t>
            </w:r>
          </w:p>
          <w:p w14:paraId="3BC9EBD8">
            <w:pPr>
              <w:widowControl/>
              <w:spacing w:line="276" w:lineRule="auto"/>
              <w:jc w:val="center"/>
              <w:textAlignment w:val="baseline"/>
              <w:rPr>
                <w:rFonts w:cs="宋体"/>
                <w:kern w:val="0"/>
                <w:szCs w:val="21"/>
                <w:highlight w:val="none"/>
              </w:rPr>
            </w:pPr>
            <w:r>
              <w:rPr>
                <w:rFonts w:hint="eastAsia" w:cs="宋体"/>
                <w:kern w:val="0"/>
                <w:szCs w:val="21"/>
                <w:highlight w:val="none"/>
              </w:rPr>
              <w:t>中家院（北京）检测认证有限公司</w:t>
            </w:r>
          </w:p>
        </w:tc>
      </w:tr>
      <w:tr w14:paraId="75D6E8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21259872">
            <w:pPr>
              <w:widowControl/>
              <w:spacing w:line="276" w:lineRule="auto"/>
              <w:jc w:val="center"/>
              <w:rPr>
                <w:rFonts w:cs="宋体"/>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68EDF077">
            <w:pPr>
              <w:widowControl/>
              <w:spacing w:line="276" w:lineRule="auto"/>
              <w:jc w:val="center"/>
              <w:rPr>
                <w:rFonts w:cs="宋体"/>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6AEEB401">
            <w:pPr>
              <w:widowControl/>
              <w:spacing w:line="276" w:lineRule="auto"/>
              <w:jc w:val="center"/>
              <w:rPr>
                <w:rFonts w:cs="宋体"/>
                <w:kern w:val="0"/>
                <w:szCs w:val="21"/>
                <w:highlight w:val="none"/>
              </w:rPr>
            </w:pPr>
          </w:p>
        </w:tc>
        <w:tc>
          <w:tcPr>
            <w:tcW w:w="688" w:type="pct"/>
            <w:shd w:val="clear" w:color="auto" w:fill="FFFFFF"/>
            <w:tcMar>
              <w:top w:w="0" w:type="dxa"/>
              <w:left w:w="108" w:type="dxa"/>
              <w:bottom w:w="0" w:type="dxa"/>
              <w:right w:w="108" w:type="dxa"/>
            </w:tcMar>
            <w:vAlign w:val="center"/>
          </w:tcPr>
          <w:p w14:paraId="62F7D9C9">
            <w:pPr>
              <w:widowControl/>
              <w:spacing w:line="276" w:lineRule="auto"/>
              <w:jc w:val="center"/>
              <w:textAlignment w:val="baseline"/>
              <w:rPr>
                <w:rFonts w:cs="宋体"/>
                <w:kern w:val="0"/>
                <w:szCs w:val="21"/>
                <w:highlight w:val="none"/>
              </w:rPr>
            </w:pPr>
            <w:r>
              <w:rPr>
                <w:rFonts w:hint="eastAsia" w:cs="宋体"/>
                <w:kern w:val="0"/>
                <w:szCs w:val="21"/>
                <w:highlight w:val="none"/>
              </w:rPr>
              <w:t>A0206180203</w:t>
            </w:r>
          </w:p>
        </w:tc>
        <w:tc>
          <w:tcPr>
            <w:tcW w:w="974" w:type="pct"/>
            <w:shd w:val="clear" w:color="auto" w:fill="FFFFFF"/>
            <w:tcMar>
              <w:top w:w="0" w:type="dxa"/>
              <w:left w:w="108" w:type="dxa"/>
              <w:bottom w:w="0" w:type="dxa"/>
              <w:right w:w="108" w:type="dxa"/>
            </w:tcMar>
            <w:vAlign w:val="center"/>
          </w:tcPr>
          <w:p w14:paraId="4F7934E1">
            <w:pPr>
              <w:widowControl/>
              <w:spacing w:line="276" w:lineRule="auto"/>
              <w:jc w:val="center"/>
              <w:textAlignment w:val="baseline"/>
              <w:rPr>
                <w:rFonts w:cs="宋体"/>
                <w:kern w:val="0"/>
                <w:szCs w:val="21"/>
                <w:highlight w:val="none"/>
              </w:rPr>
            </w:pPr>
            <w:r>
              <w:rPr>
                <w:rFonts w:hint="eastAsia" w:cs="宋体"/>
                <w:kern w:val="0"/>
                <w:szCs w:val="21"/>
                <w:highlight w:val="none"/>
              </w:rPr>
              <w:t>空调机</w:t>
            </w:r>
          </w:p>
        </w:tc>
        <w:tc>
          <w:tcPr>
            <w:tcW w:w="1682" w:type="pct"/>
            <w:shd w:val="clear" w:color="auto" w:fill="FFFFFF"/>
            <w:tcMar>
              <w:top w:w="0" w:type="dxa"/>
              <w:left w:w="108" w:type="dxa"/>
              <w:bottom w:w="0" w:type="dxa"/>
              <w:right w:w="108" w:type="dxa"/>
            </w:tcMar>
            <w:vAlign w:val="center"/>
          </w:tcPr>
          <w:p w14:paraId="4FBDF9CC">
            <w:pPr>
              <w:widowControl/>
              <w:spacing w:line="276" w:lineRule="auto"/>
              <w:jc w:val="center"/>
              <w:textAlignment w:val="baseline"/>
              <w:rPr>
                <w:rFonts w:cs="宋体"/>
                <w:kern w:val="0"/>
                <w:szCs w:val="21"/>
                <w:highlight w:val="none"/>
              </w:rPr>
            </w:pPr>
            <w:r>
              <w:rPr>
                <w:rFonts w:hint="eastAsia" w:cs="宋体"/>
                <w:kern w:val="0"/>
                <w:szCs w:val="21"/>
                <w:highlight w:val="none"/>
              </w:rPr>
              <w:t>中国质量认证中心</w:t>
            </w:r>
          </w:p>
          <w:p w14:paraId="2B6053A0">
            <w:pPr>
              <w:widowControl/>
              <w:spacing w:line="276" w:lineRule="auto"/>
              <w:jc w:val="center"/>
              <w:textAlignment w:val="baseline"/>
              <w:rPr>
                <w:rFonts w:cs="宋体"/>
                <w:kern w:val="0"/>
                <w:szCs w:val="21"/>
                <w:highlight w:val="none"/>
              </w:rPr>
            </w:pPr>
            <w:r>
              <w:rPr>
                <w:rFonts w:hint="eastAsia" w:cs="宋体"/>
                <w:kern w:val="0"/>
                <w:szCs w:val="21"/>
                <w:highlight w:val="none"/>
              </w:rPr>
              <w:t>威凯认证检测有限公司</w:t>
            </w:r>
          </w:p>
          <w:p w14:paraId="02E83FBD">
            <w:pPr>
              <w:widowControl/>
              <w:spacing w:line="276" w:lineRule="auto"/>
              <w:jc w:val="center"/>
              <w:textAlignment w:val="baseline"/>
              <w:rPr>
                <w:rFonts w:cs="宋体"/>
                <w:kern w:val="0"/>
                <w:szCs w:val="21"/>
                <w:highlight w:val="none"/>
              </w:rPr>
            </w:pPr>
            <w:r>
              <w:rPr>
                <w:rFonts w:hint="eastAsia" w:cs="宋体"/>
                <w:kern w:val="0"/>
                <w:szCs w:val="21"/>
                <w:highlight w:val="none"/>
              </w:rPr>
              <w:t>中家院（北京）检测认证有限公司</w:t>
            </w:r>
          </w:p>
          <w:p w14:paraId="19A92F79">
            <w:pPr>
              <w:widowControl/>
              <w:spacing w:line="276" w:lineRule="auto"/>
              <w:jc w:val="center"/>
              <w:textAlignment w:val="baseline"/>
              <w:rPr>
                <w:rFonts w:cs="宋体"/>
                <w:kern w:val="0"/>
                <w:szCs w:val="21"/>
                <w:highlight w:val="none"/>
              </w:rPr>
            </w:pPr>
            <w:r>
              <w:rPr>
                <w:rFonts w:hint="eastAsia" w:cs="宋体"/>
                <w:kern w:val="0"/>
                <w:szCs w:val="21"/>
                <w:highlight w:val="none"/>
              </w:rPr>
              <w:t>合肥通用机械产品认证有限公司</w:t>
            </w:r>
          </w:p>
        </w:tc>
      </w:tr>
      <w:tr w14:paraId="7EAB301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6A3B99AC">
            <w:pPr>
              <w:widowControl/>
              <w:spacing w:line="276" w:lineRule="auto"/>
              <w:jc w:val="center"/>
              <w:rPr>
                <w:rFonts w:cs="宋体"/>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4551990B">
            <w:pPr>
              <w:widowControl/>
              <w:spacing w:line="276" w:lineRule="auto"/>
              <w:jc w:val="center"/>
              <w:rPr>
                <w:rFonts w:cs="宋体"/>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69618454">
            <w:pPr>
              <w:widowControl/>
              <w:spacing w:line="276" w:lineRule="auto"/>
              <w:jc w:val="center"/>
              <w:rPr>
                <w:rFonts w:cs="宋体"/>
                <w:kern w:val="0"/>
                <w:szCs w:val="21"/>
                <w:highlight w:val="none"/>
              </w:rPr>
            </w:pPr>
          </w:p>
        </w:tc>
        <w:tc>
          <w:tcPr>
            <w:tcW w:w="688" w:type="pct"/>
            <w:shd w:val="clear" w:color="auto" w:fill="FFFFFF"/>
            <w:tcMar>
              <w:top w:w="0" w:type="dxa"/>
              <w:left w:w="108" w:type="dxa"/>
              <w:bottom w:w="0" w:type="dxa"/>
              <w:right w:w="108" w:type="dxa"/>
            </w:tcMar>
            <w:vAlign w:val="center"/>
          </w:tcPr>
          <w:p w14:paraId="1B8EFBB1">
            <w:pPr>
              <w:widowControl/>
              <w:spacing w:line="276" w:lineRule="auto"/>
              <w:jc w:val="center"/>
              <w:textAlignment w:val="baseline"/>
              <w:rPr>
                <w:rFonts w:cs="宋体"/>
                <w:kern w:val="0"/>
                <w:szCs w:val="21"/>
                <w:highlight w:val="none"/>
              </w:rPr>
            </w:pPr>
            <w:r>
              <w:rPr>
                <w:rFonts w:hint="eastAsia" w:cs="宋体"/>
                <w:kern w:val="0"/>
                <w:szCs w:val="21"/>
                <w:highlight w:val="none"/>
              </w:rPr>
              <w:t>A0206180301</w:t>
            </w:r>
          </w:p>
        </w:tc>
        <w:tc>
          <w:tcPr>
            <w:tcW w:w="974" w:type="pct"/>
            <w:shd w:val="clear" w:color="auto" w:fill="FFFFFF"/>
            <w:tcMar>
              <w:top w:w="0" w:type="dxa"/>
              <w:left w:w="108" w:type="dxa"/>
              <w:bottom w:w="0" w:type="dxa"/>
              <w:right w:w="108" w:type="dxa"/>
            </w:tcMar>
            <w:vAlign w:val="center"/>
          </w:tcPr>
          <w:p w14:paraId="6F4461CF">
            <w:pPr>
              <w:widowControl/>
              <w:spacing w:line="276" w:lineRule="auto"/>
              <w:jc w:val="center"/>
              <w:textAlignment w:val="baseline"/>
              <w:rPr>
                <w:rFonts w:cs="宋体"/>
                <w:kern w:val="0"/>
                <w:szCs w:val="21"/>
                <w:highlight w:val="none"/>
              </w:rPr>
            </w:pPr>
            <w:r>
              <w:rPr>
                <w:rFonts w:hint="eastAsia" w:cs="宋体"/>
                <w:kern w:val="0"/>
                <w:szCs w:val="21"/>
                <w:highlight w:val="none"/>
              </w:rPr>
              <w:t>洗衣机</w:t>
            </w:r>
          </w:p>
        </w:tc>
        <w:tc>
          <w:tcPr>
            <w:tcW w:w="1682" w:type="pct"/>
            <w:shd w:val="clear" w:color="auto" w:fill="FFFFFF"/>
            <w:tcMar>
              <w:top w:w="0" w:type="dxa"/>
              <w:left w:w="108" w:type="dxa"/>
              <w:bottom w:w="0" w:type="dxa"/>
              <w:right w:w="108" w:type="dxa"/>
            </w:tcMar>
            <w:vAlign w:val="center"/>
          </w:tcPr>
          <w:p w14:paraId="5F271EAD">
            <w:pPr>
              <w:widowControl/>
              <w:spacing w:line="276" w:lineRule="auto"/>
              <w:jc w:val="center"/>
              <w:textAlignment w:val="baseline"/>
              <w:rPr>
                <w:rFonts w:cs="宋体"/>
                <w:kern w:val="0"/>
                <w:szCs w:val="21"/>
                <w:highlight w:val="none"/>
              </w:rPr>
            </w:pPr>
            <w:r>
              <w:rPr>
                <w:rFonts w:hint="eastAsia" w:cs="宋体"/>
                <w:kern w:val="0"/>
                <w:szCs w:val="21"/>
                <w:highlight w:val="none"/>
              </w:rPr>
              <w:t>中国质量认证中心</w:t>
            </w:r>
          </w:p>
          <w:p w14:paraId="12356C69">
            <w:pPr>
              <w:widowControl/>
              <w:spacing w:line="276" w:lineRule="auto"/>
              <w:jc w:val="center"/>
              <w:textAlignment w:val="baseline"/>
              <w:rPr>
                <w:rFonts w:cs="宋体"/>
                <w:kern w:val="0"/>
                <w:szCs w:val="21"/>
                <w:highlight w:val="none"/>
              </w:rPr>
            </w:pPr>
            <w:r>
              <w:rPr>
                <w:rFonts w:hint="eastAsia" w:cs="宋体"/>
                <w:kern w:val="0"/>
                <w:szCs w:val="21"/>
                <w:highlight w:val="none"/>
              </w:rPr>
              <w:t>威凯认证检测有限公司</w:t>
            </w:r>
          </w:p>
          <w:p w14:paraId="1C1B6221">
            <w:pPr>
              <w:widowControl/>
              <w:spacing w:line="276" w:lineRule="auto"/>
              <w:jc w:val="center"/>
              <w:textAlignment w:val="baseline"/>
              <w:rPr>
                <w:rFonts w:cs="宋体"/>
                <w:kern w:val="0"/>
                <w:szCs w:val="21"/>
                <w:highlight w:val="none"/>
              </w:rPr>
            </w:pPr>
            <w:r>
              <w:rPr>
                <w:rFonts w:hint="eastAsia" w:cs="宋体"/>
                <w:kern w:val="0"/>
                <w:szCs w:val="21"/>
                <w:highlight w:val="none"/>
              </w:rPr>
              <w:t>中家院（北京）检测认证有限公司</w:t>
            </w:r>
          </w:p>
        </w:tc>
      </w:tr>
      <w:tr w14:paraId="1130546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41EC744C">
            <w:pPr>
              <w:widowControl/>
              <w:spacing w:line="276" w:lineRule="auto"/>
              <w:jc w:val="center"/>
              <w:rPr>
                <w:rFonts w:cs="宋体"/>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42C59E2C">
            <w:pPr>
              <w:widowControl/>
              <w:spacing w:line="276" w:lineRule="auto"/>
              <w:jc w:val="center"/>
              <w:rPr>
                <w:rFonts w:cs="宋体"/>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3718738D">
            <w:pPr>
              <w:widowControl/>
              <w:spacing w:line="276" w:lineRule="auto"/>
              <w:jc w:val="center"/>
              <w:rPr>
                <w:rFonts w:cs="宋体"/>
                <w:kern w:val="0"/>
                <w:szCs w:val="21"/>
                <w:highlight w:val="none"/>
              </w:rPr>
            </w:pPr>
          </w:p>
        </w:tc>
        <w:tc>
          <w:tcPr>
            <w:tcW w:w="688" w:type="pct"/>
            <w:shd w:val="clear" w:color="auto" w:fill="FFFFFF"/>
            <w:tcMar>
              <w:top w:w="0" w:type="dxa"/>
              <w:left w:w="108" w:type="dxa"/>
              <w:bottom w:w="0" w:type="dxa"/>
              <w:right w:w="108" w:type="dxa"/>
            </w:tcMar>
            <w:vAlign w:val="center"/>
          </w:tcPr>
          <w:p w14:paraId="2DBBD080">
            <w:pPr>
              <w:widowControl/>
              <w:spacing w:line="276" w:lineRule="auto"/>
              <w:jc w:val="center"/>
              <w:textAlignment w:val="baseline"/>
              <w:rPr>
                <w:rFonts w:cs="宋体"/>
                <w:kern w:val="0"/>
                <w:szCs w:val="21"/>
                <w:highlight w:val="none"/>
              </w:rPr>
            </w:pPr>
            <w:r>
              <w:rPr>
                <w:rFonts w:hint="eastAsia" w:cs="宋体"/>
                <w:kern w:val="0"/>
                <w:szCs w:val="21"/>
                <w:highlight w:val="none"/>
              </w:rPr>
              <w:t>A02061808</w:t>
            </w:r>
          </w:p>
        </w:tc>
        <w:tc>
          <w:tcPr>
            <w:tcW w:w="974" w:type="pct"/>
            <w:shd w:val="clear" w:color="auto" w:fill="FFFFFF"/>
            <w:tcMar>
              <w:top w:w="0" w:type="dxa"/>
              <w:left w:w="108" w:type="dxa"/>
              <w:bottom w:w="0" w:type="dxa"/>
              <w:right w:w="108" w:type="dxa"/>
            </w:tcMar>
            <w:vAlign w:val="center"/>
          </w:tcPr>
          <w:p w14:paraId="1A77364D">
            <w:pPr>
              <w:widowControl/>
              <w:spacing w:line="276" w:lineRule="auto"/>
              <w:jc w:val="center"/>
              <w:textAlignment w:val="baseline"/>
              <w:rPr>
                <w:rFonts w:cs="宋体"/>
                <w:kern w:val="0"/>
                <w:szCs w:val="21"/>
                <w:highlight w:val="none"/>
              </w:rPr>
            </w:pPr>
            <w:r>
              <w:rPr>
                <w:rFonts w:hint="eastAsia" w:cs="宋体"/>
                <w:kern w:val="0"/>
                <w:szCs w:val="21"/>
                <w:highlight w:val="none"/>
              </w:rPr>
              <w:t>热水器</w:t>
            </w:r>
          </w:p>
        </w:tc>
        <w:tc>
          <w:tcPr>
            <w:tcW w:w="1682" w:type="pct"/>
            <w:shd w:val="clear" w:color="auto" w:fill="FFFFFF"/>
            <w:tcMar>
              <w:top w:w="0" w:type="dxa"/>
              <w:left w:w="108" w:type="dxa"/>
              <w:bottom w:w="0" w:type="dxa"/>
              <w:right w:w="108" w:type="dxa"/>
            </w:tcMar>
            <w:vAlign w:val="center"/>
          </w:tcPr>
          <w:p w14:paraId="3A407A9E">
            <w:pPr>
              <w:widowControl/>
              <w:spacing w:line="276" w:lineRule="auto"/>
              <w:jc w:val="center"/>
              <w:textAlignment w:val="baseline"/>
              <w:rPr>
                <w:rFonts w:cs="宋体"/>
                <w:kern w:val="0"/>
                <w:szCs w:val="21"/>
                <w:highlight w:val="none"/>
              </w:rPr>
            </w:pPr>
            <w:r>
              <w:rPr>
                <w:rFonts w:hint="eastAsia" w:cs="宋体"/>
                <w:kern w:val="0"/>
                <w:szCs w:val="21"/>
                <w:highlight w:val="none"/>
              </w:rPr>
              <w:t>中国质量认证中心</w:t>
            </w:r>
          </w:p>
          <w:p w14:paraId="57E928EE">
            <w:pPr>
              <w:widowControl/>
              <w:spacing w:line="276" w:lineRule="auto"/>
              <w:jc w:val="center"/>
              <w:textAlignment w:val="baseline"/>
              <w:rPr>
                <w:rFonts w:cs="宋体"/>
                <w:kern w:val="0"/>
                <w:szCs w:val="21"/>
                <w:highlight w:val="none"/>
              </w:rPr>
            </w:pPr>
            <w:r>
              <w:rPr>
                <w:rFonts w:hint="eastAsia" w:cs="宋体"/>
                <w:kern w:val="0"/>
                <w:szCs w:val="21"/>
                <w:highlight w:val="none"/>
              </w:rPr>
              <w:t>威凯认证检测有限公司</w:t>
            </w:r>
          </w:p>
          <w:p w14:paraId="22FF647D">
            <w:pPr>
              <w:widowControl/>
              <w:spacing w:line="276" w:lineRule="auto"/>
              <w:jc w:val="center"/>
              <w:textAlignment w:val="baseline"/>
              <w:rPr>
                <w:rFonts w:cs="宋体"/>
                <w:kern w:val="0"/>
                <w:szCs w:val="21"/>
                <w:highlight w:val="none"/>
              </w:rPr>
            </w:pPr>
            <w:r>
              <w:rPr>
                <w:rFonts w:hint="eastAsia" w:cs="宋体"/>
                <w:kern w:val="0"/>
                <w:szCs w:val="21"/>
                <w:highlight w:val="none"/>
              </w:rPr>
              <w:t>中家院（北京）检测认证有限公司</w:t>
            </w:r>
          </w:p>
          <w:p w14:paraId="5B279D03">
            <w:pPr>
              <w:widowControl/>
              <w:spacing w:line="276" w:lineRule="auto"/>
              <w:jc w:val="center"/>
              <w:textAlignment w:val="baseline"/>
              <w:rPr>
                <w:rFonts w:cs="宋体"/>
                <w:kern w:val="0"/>
                <w:szCs w:val="21"/>
                <w:highlight w:val="none"/>
              </w:rPr>
            </w:pPr>
            <w:r>
              <w:rPr>
                <w:rFonts w:hint="eastAsia" w:cs="宋体"/>
                <w:kern w:val="0"/>
                <w:szCs w:val="21"/>
                <w:highlight w:val="none"/>
              </w:rPr>
              <w:t>合肥通用机械产品认证有限公司(范围仅限于“热泵热水器”)</w:t>
            </w:r>
          </w:p>
        </w:tc>
      </w:tr>
      <w:tr w14:paraId="18EFBD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2046E55B">
            <w:pPr>
              <w:widowControl/>
              <w:spacing w:line="276" w:lineRule="auto"/>
              <w:jc w:val="center"/>
              <w:textAlignment w:val="baseline"/>
              <w:rPr>
                <w:rFonts w:cs="宋体"/>
                <w:kern w:val="0"/>
                <w:szCs w:val="21"/>
                <w:highlight w:val="none"/>
              </w:rPr>
            </w:pPr>
            <w:r>
              <w:rPr>
                <w:rFonts w:hint="eastAsia" w:cs="宋体"/>
                <w:kern w:val="0"/>
                <w:szCs w:val="21"/>
                <w:highlight w:val="none"/>
              </w:rPr>
              <w:t>11</w:t>
            </w:r>
          </w:p>
        </w:tc>
        <w:tc>
          <w:tcPr>
            <w:tcW w:w="569" w:type="pct"/>
            <w:shd w:val="clear" w:color="auto" w:fill="FFFFFF"/>
            <w:tcMar>
              <w:top w:w="0" w:type="dxa"/>
              <w:left w:w="108" w:type="dxa"/>
              <w:bottom w:w="0" w:type="dxa"/>
              <w:right w:w="108" w:type="dxa"/>
            </w:tcMar>
            <w:vAlign w:val="center"/>
          </w:tcPr>
          <w:p w14:paraId="57AD37BC">
            <w:pPr>
              <w:widowControl/>
              <w:spacing w:line="276" w:lineRule="auto"/>
              <w:jc w:val="center"/>
              <w:textAlignment w:val="baseline"/>
              <w:rPr>
                <w:rFonts w:cs="宋体"/>
                <w:kern w:val="0"/>
                <w:szCs w:val="21"/>
                <w:highlight w:val="none"/>
              </w:rPr>
            </w:pPr>
            <w:r>
              <w:rPr>
                <w:rFonts w:hint="eastAsia" w:cs="宋体"/>
                <w:kern w:val="0"/>
                <w:szCs w:val="21"/>
                <w:highlight w:val="none"/>
              </w:rPr>
              <w:t>A020619</w:t>
            </w:r>
          </w:p>
        </w:tc>
        <w:tc>
          <w:tcPr>
            <w:tcW w:w="819" w:type="pct"/>
            <w:shd w:val="clear" w:color="auto" w:fill="FFFFFF"/>
            <w:tcMar>
              <w:top w:w="0" w:type="dxa"/>
              <w:left w:w="108" w:type="dxa"/>
              <w:bottom w:w="0" w:type="dxa"/>
              <w:right w:w="108" w:type="dxa"/>
            </w:tcMar>
            <w:vAlign w:val="center"/>
          </w:tcPr>
          <w:p w14:paraId="51C2A250">
            <w:pPr>
              <w:widowControl/>
              <w:spacing w:line="276" w:lineRule="auto"/>
              <w:jc w:val="center"/>
              <w:textAlignment w:val="baseline"/>
              <w:rPr>
                <w:rFonts w:cs="宋体"/>
                <w:kern w:val="0"/>
                <w:szCs w:val="21"/>
                <w:highlight w:val="none"/>
              </w:rPr>
            </w:pPr>
            <w:r>
              <w:rPr>
                <w:rFonts w:hint="eastAsia" w:cs="宋体"/>
                <w:kern w:val="0"/>
                <w:szCs w:val="21"/>
                <w:highlight w:val="none"/>
              </w:rPr>
              <w:t>照明设备</w:t>
            </w:r>
          </w:p>
        </w:tc>
        <w:tc>
          <w:tcPr>
            <w:tcW w:w="688" w:type="pct"/>
            <w:shd w:val="clear" w:color="auto" w:fill="FFFFFF"/>
            <w:tcMar>
              <w:top w:w="0" w:type="dxa"/>
              <w:left w:w="108" w:type="dxa"/>
              <w:bottom w:w="0" w:type="dxa"/>
              <w:right w:w="108" w:type="dxa"/>
            </w:tcMar>
            <w:vAlign w:val="center"/>
          </w:tcPr>
          <w:p w14:paraId="2F6F17E1">
            <w:pPr>
              <w:widowControl/>
              <w:spacing w:line="276" w:lineRule="auto"/>
              <w:jc w:val="center"/>
              <w:textAlignment w:val="baseline"/>
              <w:rPr>
                <w:rFonts w:cs="宋体"/>
                <w:kern w:val="0"/>
                <w:szCs w:val="21"/>
                <w:highlight w:val="none"/>
              </w:rPr>
            </w:pPr>
          </w:p>
        </w:tc>
        <w:tc>
          <w:tcPr>
            <w:tcW w:w="974" w:type="pct"/>
            <w:shd w:val="clear" w:color="auto" w:fill="FFFFFF"/>
            <w:tcMar>
              <w:top w:w="0" w:type="dxa"/>
              <w:left w:w="108" w:type="dxa"/>
              <w:bottom w:w="0" w:type="dxa"/>
              <w:right w:w="108" w:type="dxa"/>
            </w:tcMar>
            <w:vAlign w:val="center"/>
          </w:tcPr>
          <w:p w14:paraId="2837C51B">
            <w:pPr>
              <w:widowControl/>
              <w:spacing w:line="276" w:lineRule="auto"/>
              <w:jc w:val="center"/>
              <w:textAlignment w:val="baseline"/>
              <w:rPr>
                <w:rFonts w:cs="宋体"/>
                <w:kern w:val="0"/>
                <w:szCs w:val="21"/>
                <w:highlight w:val="none"/>
              </w:rPr>
            </w:pPr>
          </w:p>
        </w:tc>
        <w:tc>
          <w:tcPr>
            <w:tcW w:w="1682" w:type="pct"/>
            <w:shd w:val="clear" w:color="auto" w:fill="FFFFFF"/>
            <w:tcMar>
              <w:top w:w="0" w:type="dxa"/>
              <w:left w:w="108" w:type="dxa"/>
              <w:bottom w:w="0" w:type="dxa"/>
              <w:right w:w="108" w:type="dxa"/>
            </w:tcMar>
            <w:vAlign w:val="center"/>
          </w:tcPr>
          <w:p w14:paraId="67395998">
            <w:pPr>
              <w:widowControl/>
              <w:spacing w:line="276" w:lineRule="auto"/>
              <w:jc w:val="center"/>
              <w:textAlignment w:val="baseline"/>
              <w:rPr>
                <w:rFonts w:cs="宋体"/>
                <w:kern w:val="0"/>
                <w:szCs w:val="21"/>
                <w:highlight w:val="none"/>
              </w:rPr>
            </w:pPr>
            <w:r>
              <w:rPr>
                <w:rFonts w:hint="eastAsia" w:cs="宋体"/>
                <w:kern w:val="0"/>
                <w:szCs w:val="21"/>
                <w:highlight w:val="none"/>
              </w:rPr>
              <w:t>中国质量认证中心</w:t>
            </w:r>
          </w:p>
          <w:p w14:paraId="21B3D470">
            <w:pPr>
              <w:widowControl/>
              <w:spacing w:line="276" w:lineRule="auto"/>
              <w:jc w:val="center"/>
              <w:textAlignment w:val="baseline"/>
              <w:rPr>
                <w:rFonts w:cs="宋体"/>
                <w:kern w:val="0"/>
                <w:szCs w:val="21"/>
                <w:highlight w:val="none"/>
              </w:rPr>
            </w:pPr>
            <w:r>
              <w:rPr>
                <w:rFonts w:hint="eastAsia" w:cs="宋体"/>
                <w:kern w:val="0"/>
                <w:szCs w:val="21"/>
                <w:highlight w:val="none"/>
              </w:rPr>
              <w:t>深圳市计量质量检测研究院</w:t>
            </w:r>
          </w:p>
          <w:p w14:paraId="460BA9AF">
            <w:pPr>
              <w:widowControl/>
              <w:spacing w:line="276" w:lineRule="auto"/>
              <w:jc w:val="center"/>
              <w:textAlignment w:val="baseline"/>
              <w:rPr>
                <w:rFonts w:cs="宋体"/>
                <w:kern w:val="0"/>
                <w:szCs w:val="21"/>
                <w:highlight w:val="none"/>
              </w:rPr>
            </w:pPr>
            <w:r>
              <w:rPr>
                <w:rFonts w:hint="eastAsia" w:cs="宋体"/>
                <w:kern w:val="0"/>
                <w:szCs w:val="21"/>
                <w:highlight w:val="none"/>
              </w:rPr>
              <w:t>中标合信（北京）认证有限公司</w:t>
            </w:r>
          </w:p>
        </w:tc>
      </w:tr>
      <w:tr w14:paraId="3131CD6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321F0A75">
            <w:pPr>
              <w:widowControl/>
              <w:spacing w:line="276" w:lineRule="auto"/>
              <w:jc w:val="center"/>
              <w:textAlignment w:val="baseline"/>
              <w:rPr>
                <w:rFonts w:cs="宋体"/>
                <w:kern w:val="0"/>
                <w:szCs w:val="21"/>
                <w:highlight w:val="none"/>
              </w:rPr>
            </w:pPr>
            <w:r>
              <w:rPr>
                <w:rFonts w:hint="eastAsia" w:cs="宋体"/>
                <w:kern w:val="0"/>
                <w:szCs w:val="21"/>
                <w:highlight w:val="none"/>
              </w:rPr>
              <w:t>12</w:t>
            </w:r>
          </w:p>
        </w:tc>
        <w:tc>
          <w:tcPr>
            <w:tcW w:w="569" w:type="pct"/>
            <w:shd w:val="clear" w:color="auto" w:fill="FFFFFF"/>
            <w:tcMar>
              <w:top w:w="0" w:type="dxa"/>
              <w:left w:w="108" w:type="dxa"/>
              <w:bottom w:w="0" w:type="dxa"/>
              <w:right w:w="108" w:type="dxa"/>
            </w:tcMar>
            <w:vAlign w:val="center"/>
          </w:tcPr>
          <w:p w14:paraId="392A5B37">
            <w:pPr>
              <w:widowControl/>
              <w:spacing w:line="276" w:lineRule="auto"/>
              <w:jc w:val="center"/>
              <w:textAlignment w:val="baseline"/>
              <w:rPr>
                <w:rFonts w:cs="宋体"/>
                <w:kern w:val="0"/>
                <w:szCs w:val="21"/>
                <w:highlight w:val="none"/>
              </w:rPr>
            </w:pPr>
            <w:r>
              <w:rPr>
                <w:rFonts w:hint="eastAsia" w:cs="宋体"/>
                <w:kern w:val="0"/>
                <w:szCs w:val="21"/>
                <w:highlight w:val="none"/>
              </w:rPr>
              <w:t>A020910</w:t>
            </w:r>
          </w:p>
        </w:tc>
        <w:tc>
          <w:tcPr>
            <w:tcW w:w="819" w:type="pct"/>
            <w:shd w:val="clear" w:color="auto" w:fill="FFFFFF"/>
            <w:tcMar>
              <w:top w:w="0" w:type="dxa"/>
              <w:left w:w="108" w:type="dxa"/>
              <w:bottom w:w="0" w:type="dxa"/>
              <w:right w:w="108" w:type="dxa"/>
            </w:tcMar>
            <w:vAlign w:val="center"/>
          </w:tcPr>
          <w:p w14:paraId="3EA7EC60">
            <w:pPr>
              <w:widowControl/>
              <w:spacing w:line="276" w:lineRule="auto"/>
              <w:jc w:val="center"/>
              <w:textAlignment w:val="baseline"/>
              <w:rPr>
                <w:rFonts w:cs="宋体"/>
                <w:kern w:val="0"/>
                <w:szCs w:val="21"/>
                <w:highlight w:val="none"/>
              </w:rPr>
            </w:pPr>
            <w:r>
              <w:rPr>
                <w:rFonts w:hint="eastAsia" w:cs="宋体"/>
                <w:kern w:val="0"/>
                <w:szCs w:val="21"/>
                <w:highlight w:val="none"/>
              </w:rPr>
              <w:t>电视设备</w:t>
            </w:r>
          </w:p>
        </w:tc>
        <w:tc>
          <w:tcPr>
            <w:tcW w:w="688" w:type="pct"/>
            <w:shd w:val="clear" w:color="auto" w:fill="FFFFFF"/>
            <w:tcMar>
              <w:top w:w="0" w:type="dxa"/>
              <w:left w:w="108" w:type="dxa"/>
              <w:bottom w:w="0" w:type="dxa"/>
              <w:right w:w="108" w:type="dxa"/>
            </w:tcMar>
            <w:vAlign w:val="center"/>
          </w:tcPr>
          <w:p w14:paraId="21743ADE">
            <w:pPr>
              <w:widowControl/>
              <w:spacing w:line="276" w:lineRule="auto"/>
              <w:jc w:val="center"/>
              <w:textAlignment w:val="baseline"/>
              <w:rPr>
                <w:rFonts w:cs="宋体"/>
                <w:kern w:val="0"/>
                <w:szCs w:val="21"/>
                <w:highlight w:val="none"/>
              </w:rPr>
            </w:pPr>
            <w:r>
              <w:rPr>
                <w:rFonts w:hint="eastAsia" w:cs="宋体"/>
                <w:kern w:val="0"/>
                <w:szCs w:val="21"/>
                <w:highlight w:val="none"/>
              </w:rPr>
              <w:t>A02091001</w:t>
            </w:r>
          </w:p>
        </w:tc>
        <w:tc>
          <w:tcPr>
            <w:tcW w:w="974" w:type="pct"/>
            <w:shd w:val="clear" w:color="auto" w:fill="FFFFFF"/>
            <w:tcMar>
              <w:top w:w="0" w:type="dxa"/>
              <w:left w:w="108" w:type="dxa"/>
              <w:bottom w:w="0" w:type="dxa"/>
              <w:right w:w="108" w:type="dxa"/>
            </w:tcMar>
            <w:vAlign w:val="center"/>
          </w:tcPr>
          <w:p w14:paraId="4E844DA0">
            <w:pPr>
              <w:widowControl/>
              <w:spacing w:line="276" w:lineRule="auto"/>
              <w:jc w:val="center"/>
              <w:textAlignment w:val="baseline"/>
              <w:rPr>
                <w:rFonts w:cs="宋体"/>
                <w:kern w:val="0"/>
                <w:szCs w:val="21"/>
                <w:highlight w:val="none"/>
              </w:rPr>
            </w:pPr>
            <w:r>
              <w:rPr>
                <w:rFonts w:hint="eastAsia" w:cs="宋体"/>
                <w:kern w:val="0"/>
                <w:szCs w:val="21"/>
                <w:highlight w:val="none"/>
              </w:rPr>
              <w:t>普通电视设备（电视机）</w:t>
            </w:r>
          </w:p>
        </w:tc>
        <w:tc>
          <w:tcPr>
            <w:tcW w:w="1682" w:type="pct"/>
            <w:vMerge w:val="restart"/>
            <w:shd w:val="clear" w:color="auto" w:fill="FFFFFF"/>
            <w:tcMar>
              <w:top w:w="0" w:type="dxa"/>
              <w:left w:w="108" w:type="dxa"/>
              <w:bottom w:w="0" w:type="dxa"/>
              <w:right w:w="108" w:type="dxa"/>
            </w:tcMar>
            <w:vAlign w:val="center"/>
          </w:tcPr>
          <w:p w14:paraId="78075234">
            <w:pPr>
              <w:widowControl/>
              <w:spacing w:line="276" w:lineRule="auto"/>
              <w:jc w:val="center"/>
              <w:textAlignment w:val="baseline"/>
              <w:rPr>
                <w:rFonts w:cs="宋体"/>
                <w:kern w:val="0"/>
                <w:szCs w:val="21"/>
                <w:highlight w:val="none"/>
              </w:rPr>
            </w:pPr>
            <w:r>
              <w:rPr>
                <w:rFonts w:hint="eastAsia" w:cs="宋体"/>
                <w:kern w:val="0"/>
                <w:szCs w:val="21"/>
                <w:highlight w:val="none"/>
              </w:rPr>
              <w:t>中国质量认证中心</w:t>
            </w:r>
          </w:p>
          <w:p w14:paraId="11467603">
            <w:pPr>
              <w:widowControl/>
              <w:spacing w:line="276" w:lineRule="auto"/>
              <w:jc w:val="center"/>
              <w:textAlignment w:val="baseline"/>
              <w:rPr>
                <w:rFonts w:cs="宋体"/>
                <w:kern w:val="0"/>
                <w:szCs w:val="21"/>
                <w:highlight w:val="none"/>
              </w:rPr>
            </w:pPr>
            <w:r>
              <w:rPr>
                <w:rFonts w:hint="eastAsia" w:cs="宋体"/>
                <w:kern w:val="0"/>
                <w:szCs w:val="21"/>
                <w:highlight w:val="none"/>
              </w:rPr>
              <w:t>北京泰瑞特认证有限责任公司</w:t>
            </w:r>
          </w:p>
          <w:p w14:paraId="7B2AF11F">
            <w:pPr>
              <w:widowControl/>
              <w:spacing w:line="276" w:lineRule="auto"/>
              <w:jc w:val="center"/>
              <w:textAlignment w:val="baseline"/>
              <w:rPr>
                <w:rFonts w:cs="宋体"/>
                <w:kern w:val="0"/>
                <w:szCs w:val="21"/>
                <w:highlight w:val="none"/>
              </w:rPr>
            </w:pPr>
            <w:r>
              <w:rPr>
                <w:rFonts w:hint="eastAsia" w:cs="宋体"/>
                <w:kern w:val="0"/>
                <w:szCs w:val="21"/>
                <w:highlight w:val="none"/>
              </w:rPr>
              <w:t>广州赛宝认证中心服务有限公司</w:t>
            </w:r>
          </w:p>
        </w:tc>
      </w:tr>
      <w:tr w14:paraId="2E3D81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4D5E5989">
            <w:pPr>
              <w:widowControl/>
              <w:spacing w:line="276" w:lineRule="auto"/>
              <w:jc w:val="center"/>
              <w:textAlignment w:val="baseline"/>
              <w:rPr>
                <w:rFonts w:cs="宋体"/>
                <w:kern w:val="0"/>
                <w:szCs w:val="21"/>
                <w:highlight w:val="none"/>
              </w:rPr>
            </w:pPr>
            <w:r>
              <w:rPr>
                <w:rFonts w:hint="eastAsia" w:cs="宋体"/>
                <w:kern w:val="0"/>
                <w:szCs w:val="21"/>
                <w:highlight w:val="none"/>
              </w:rPr>
              <w:t>13</w:t>
            </w:r>
          </w:p>
        </w:tc>
        <w:tc>
          <w:tcPr>
            <w:tcW w:w="569" w:type="pct"/>
            <w:shd w:val="clear" w:color="auto" w:fill="FFFFFF"/>
            <w:tcMar>
              <w:top w:w="0" w:type="dxa"/>
              <w:left w:w="108" w:type="dxa"/>
              <w:bottom w:w="0" w:type="dxa"/>
              <w:right w:w="108" w:type="dxa"/>
            </w:tcMar>
            <w:vAlign w:val="center"/>
          </w:tcPr>
          <w:p w14:paraId="1DD4B43C">
            <w:pPr>
              <w:widowControl/>
              <w:spacing w:line="276" w:lineRule="auto"/>
              <w:jc w:val="center"/>
              <w:textAlignment w:val="baseline"/>
              <w:rPr>
                <w:rFonts w:cs="宋体"/>
                <w:kern w:val="0"/>
                <w:szCs w:val="21"/>
                <w:highlight w:val="none"/>
              </w:rPr>
            </w:pPr>
            <w:r>
              <w:rPr>
                <w:rFonts w:hint="eastAsia" w:cs="宋体"/>
                <w:kern w:val="0"/>
                <w:szCs w:val="21"/>
                <w:highlight w:val="none"/>
              </w:rPr>
              <w:t>A020911</w:t>
            </w:r>
          </w:p>
        </w:tc>
        <w:tc>
          <w:tcPr>
            <w:tcW w:w="819" w:type="pct"/>
            <w:shd w:val="clear" w:color="auto" w:fill="FFFFFF"/>
            <w:tcMar>
              <w:top w:w="0" w:type="dxa"/>
              <w:left w:w="108" w:type="dxa"/>
              <w:bottom w:w="0" w:type="dxa"/>
              <w:right w:w="108" w:type="dxa"/>
            </w:tcMar>
            <w:vAlign w:val="center"/>
          </w:tcPr>
          <w:p w14:paraId="52427AFF">
            <w:pPr>
              <w:widowControl/>
              <w:spacing w:line="276" w:lineRule="auto"/>
              <w:jc w:val="center"/>
              <w:textAlignment w:val="baseline"/>
              <w:rPr>
                <w:rFonts w:cs="宋体"/>
                <w:kern w:val="0"/>
                <w:szCs w:val="21"/>
                <w:highlight w:val="none"/>
              </w:rPr>
            </w:pPr>
            <w:r>
              <w:rPr>
                <w:rFonts w:hint="eastAsia" w:cs="宋体"/>
                <w:kern w:val="0"/>
                <w:szCs w:val="21"/>
                <w:highlight w:val="none"/>
              </w:rPr>
              <w:t>视频设备</w:t>
            </w:r>
          </w:p>
        </w:tc>
        <w:tc>
          <w:tcPr>
            <w:tcW w:w="688" w:type="pct"/>
            <w:shd w:val="clear" w:color="auto" w:fill="FFFFFF"/>
            <w:tcMar>
              <w:top w:w="0" w:type="dxa"/>
              <w:left w:w="108" w:type="dxa"/>
              <w:bottom w:w="0" w:type="dxa"/>
              <w:right w:w="108" w:type="dxa"/>
            </w:tcMar>
            <w:vAlign w:val="center"/>
          </w:tcPr>
          <w:p w14:paraId="789E89C2">
            <w:pPr>
              <w:widowControl/>
              <w:spacing w:line="276" w:lineRule="auto"/>
              <w:jc w:val="center"/>
              <w:textAlignment w:val="baseline"/>
              <w:rPr>
                <w:rFonts w:cs="宋体"/>
                <w:kern w:val="0"/>
                <w:szCs w:val="21"/>
                <w:highlight w:val="none"/>
              </w:rPr>
            </w:pPr>
            <w:r>
              <w:rPr>
                <w:rFonts w:hint="eastAsia" w:cs="宋体"/>
                <w:kern w:val="0"/>
                <w:szCs w:val="21"/>
                <w:highlight w:val="none"/>
              </w:rPr>
              <w:t>A02091107</w:t>
            </w:r>
          </w:p>
        </w:tc>
        <w:tc>
          <w:tcPr>
            <w:tcW w:w="974" w:type="pct"/>
            <w:shd w:val="clear" w:color="auto" w:fill="FFFFFF"/>
            <w:tcMar>
              <w:top w:w="0" w:type="dxa"/>
              <w:left w:w="108" w:type="dxa"/>
              <w:bottom w:w="0" w:type="dxa"/>
              <w:right w:w="108" w:type="dxa"/>
            </w:tcMar>
            <w:vAlign w:val="center"/>
          </w:tcPr>
          <w:p w14:paraId="6B9AD29B">
            <w:pPr>
              <w:widowControl/>
              <w:spacing w:line="276" w:lineRule="auto"/>
              <w:jc w:val="center"/>
              <w:textAlignment w:val="baseline"/>
              <w:rPr>
                <w:rFonts w:cs="宋体"/>
                <w:kern w:val="0"/>
                <w:szCs w:val="21"/>
                <w:highlight w:val="none"/>
              </w:rPr>
            </w:pPr>
            <w:r>
              <w:rPr>
                <w:rFonts w:hint="eastAsia" w:cs="宋体"/>
                <w:kern w:val="0"/>
                <w:szCs w:val="21"/>
                <w:highlight w:val="none"/>
              </w:rPr>
              <w:t>视频监控设备</w:t>
            </w:r>
          </w:p>
        </w:tc>
        <w:tc>
          <w:tcPr>
            <w:tcW w:w="1682" w:type="pct"/>
            <w:vMerge w:val="continue"/>
            <w:shd w:val="clear" w:color="auto" w:fill="FFFFFF"/>
            <w:tcMar>
              <w:top w:w="0" w:type="dxa"/>
              <w:left w:w="0" w:type="dxa"/>
              <w:bottom w:w="0" w:type="dxa"/>
              <w:right w:w="0" w:type="dxa"/>
            </w:tcMar>
            <w:vAlign w:val="center"/>
          </w:tcPr>
          <w:p w14:paraId="10A28A18">
            <w:pPr>
              <w:widowControl/>
              <w:spacing w:line="276" w:lineRule="auto"/>
              <w:jc w:val="center"/>
              <w:rPr>
                <w:rFonts w:cs="宋体"/>
                <w:kern w:val="0"/>
                <w:szCs w:val="21"/>
                <w:highlight w:val="none"/>
              </w:rPr>
            </w:pPr>
          </w:p>
        </w:tc>
      </w:tr>
      <w:tr w14:paraId="5E637E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0A1FF5D3">
            <w:pPr>
              <w:widowControl/>
              <w:spacing w:line="276" w:lineRule="auto"/>
              <w:jc w:val="center"/>
              <w:textAlignment w:val="baseline"/>
              <w:rPr>
                <w:rFonts w:cs="宋体"/>
                <w:kern w:val="0"/>
                <w:szCs w:val="21"/>
                <w:highlight w:val="none"/>
              </w:rPr>
            </w:pPr>
            <w:r>
              <w:rPr>
                <w:rFonts w:hint="eastAsia" w:cs="宋体"/>
                <w:kern w:val="0"/>
                <w:szCs w:val="21"/>
                <w:highlight w:val="none"/>
              </w:rPr>
              <w:t>14</w:t>
            </w:r>
          </w:p>
        </w:tc>
        <w:tc>
          <w:tcPr>
            <w:tcW w:w="569" w:type="pct"/>
            <w:shd w:val="clear" w:color="auto" w:fill="FFFFFF"/>
            <w:tcMar>
              <w:top w:w="0" w:type="dxa"/>
              <w:left w:w="108" w:type="dxa"/>
              <w:bottom w:w="0" w:type="dxa"/>
              <w:right w:w="108" w:type="dxa"/>
            </w:tcMar>
            <w:vAlign w:val="center"/>
          </w:tcPr>
          <w:p w14:paraId="613CE591">
            <w:pPr>
              <w:widowControl/>
              <w:spacing w:line="276" w:lineRule="auto"/>
              <w:jc w:val="center"/>
              <w:textAlignment w:val="baseline"/>
              <w:rPr>
                <w:rFonts w:cs="宋体"/>
                <w:kern w:val="0"/>
                <w:szCs w:val="21"/>
                <w:highlight w:val="none"/>
              </w:rPr>
            </w:pPr>
            <w:r>
              <w:rPr>
                <w:rFonts w:hint="eastAsia" w:cs="宋体"/>
                <w:kern w:val="0"/>
                <w:szCs w:val="21"/>
                <w:highlight w:val="none"/>
              </w:rPr>
              <w:t>A031210</w:t>
            </w:r>
          </w:p>
        </w:tc>
        <w:tc>
          <w:tcPr>
            <w:tcW w:w="819" w:type="pct"/>
            <w:shd w:val="clear" w:color="auto" w:fill="FFFFFF"/>
            <w:tcMar>
              <w:top w:w="0" w:type="dxa"/>
              <w:left w:w="108" w:type="dxa"/>
              <w:bottom w:w="0" w:type="dxa"/>
              <w:right w:w="108" w:type="dxa"/>
            </w:tcMar>
            <w:vAlign w:val="center"/>
          </w:tcPr>
          <w:p w14:paraId="2B55656D">
            <w:pPr>
              <w:widowControl/>
              <w:spacing w:line="276" w:lineRule="auto"/>
              <w:jc w:val="center"/>
              <w:textAlignment w:val="baseline"/>
              <w:rPr>
                <w:rFonts w:cs="宋体"/>
                <w:kern w:val="0"/>
                <w:szCs w:val="21"/>
                <w:highlight w:val="none"/>
              </w:rPr>
            </w:pPr>
            <w:r>
              <w:rPr>
                <w:rFonts w:hint="eastAsia" w:cs="宋体"/>
                <w:kern w:val="0"/>
                <w:szCs w:val="21"/>
                <w:highlight w:val="none"/>
              </w:rPr>
              <w:t>饮食炊事机械</w:t>
            </w:r>
          </w:p>
        </w:tc>
        <w:tc>
          <w:tcPr>
            <w:tcW w:w="688" w:type="pct"/>
            <w:shd w:val="clear" w:color="auto" w:fill="FFFFFF"/>
            <w:tcMar>
              <w:top w:w="0" w:type="dxa"/>
              <w:left w:w="108" w:type="dxa"/>
              <w:bottom w:w="0" w:type="dxa"/>
              <w:right w:w="108" w:type="dxa"/>
            </w:tcMar>
            <w:vAlign w:val="center"/>
          </w:tcPr>
          <w:p w14:paraId="7AA91E30">
            <w:pPr>
              <w:widowControl/>
              <w:spacing w:line="276" w:lineRule="auto"/>
              <w:jc w:val="center"/>
              <w:textAlignment w:val="baseline"/>
              <w:rPr>
                <w:rFonts w:cs="宋体"/>
                <w:kern w:val="0"/>
                <w:szCs w:val="21"/>
                <w:highlight w:val="none"/>
              </w:rPr>
            </w:pPr>
          </w:p>
        </w:tc>
        <w:tc>
          <w:tcPr>
            <w:tcW w:w="974" w:type="pct"/>
            <w:shd w:val="clear" w:color="auto" w:fill="FFFFFF"/>
            <w:tcMar>
              <w:top w:w="0" w:type="dxa"/>
              <w:left w:w="108" w:type="dxa"/>
              <w:bottom w:w="0" w:type="dxa"/>
              <w:right w:w="108" w:type="dxa"/>
            </w:tcMar>
            <w:vAlign w:val="center"/>
          </w:tcPr>
          <w:p w14:paraId="6312AD94">
            <w:pPr>
              <w:widowControl/>
              <w:spacing w:line="276" w:lineRule="auto"/>
              <w:jc w:val="center"/>
              <w:textAlignment w:val="baseline"/>
              <w:rPr>
                <w:rFonts w:cs="宋体"/>
                <w:kern w:val="0"/>
                <w:szCs w:val="21"/>
                <w:highlight w:val="none"/>
              </w:rPr>
            </w:pPr>
          </w:p>
        </w:tc>
        <w:tc>
          <w:tcPr>
            <w:tcW w:w="1682" w:type="pct"/>
            <w:shd w:val="clear" w:color="auto" w:fill="FFFFFF"/>
            <w:tcMar>
              <w:top w:w="0" w:type="dxa"/>
              <w:left w:w="108" w:type="dxa"/>
              <w:bottom w:w="0" w:type="dxa"/>
              <w:right w:w="108" w:type="dxa"/>
            </w:tcMar>
            <w:vAlign w:val="center"/>
          </w:tcPr>
          <w:p w14:paraId="4DE87951">
            <w:pPr>
              <w:widowControl/>
              <w:spacing w:line="276" w:lineRule="auto"/>
              <w:jc w:val="center"/>
              <w:textAlignment w:val="baseline"/>
              <w:rPr>
                <w:rFonts w:cs="宋体"/>
                <w:kern w:val="0"/>
                <w:szCs w:val="21"/>
                <w:highlight w:val="none"/>
              </w:rPr>
            </w:pPr>
            <w:r>
              <w:rPr>
                <w:rFonts w:hint="eastAsia" w:cs="宋体"/>
                <w:kern w:val="0"/>
                <w:szCs w:val="21"/>
                <w:highlight w:val="none"/>
              </w:rPr>
              <w:t>中国质量认证中心</w:t>
            </w:r>
          </w:p>
          <w:p w14:paraId="48FC1128">
            <w:pPr>
              <w:widowControl/>
              <w:spacing w:line="276" w:lineRule="auto"/>
              <w:jc w:val="center"/>
              <w:textAlignment w:val="baseline"/>
              <w:rPr>
                <w:rFonts w:cs="宋体"/>
                <w:kern w:val="0"/>
                <w:szCs w:val="21"/>
                <w:highlight w:val="none"/>
              </w:rPr>
            </w:pPr>
            <w:r>
              <w:rPr>
                <w:rFonts w:hint="eastAsia" w:cs="宋体"/>
                <w:kern w:val="0"/>
                <w:szCs w:val="21"/>
                <w:highlight w:val="none"/>
              </w:rPr>
              <w:t>北京鉴衡认证中心</w:t>
            </w:r>
          </w:p>
          <w:p w14:paraId="557E3DF1">
            <w:pPr>
              <w:widowControl/>
              <w:spacing w:line="276" w:lineRule="auto"/>
              <w:jc w:val="center"/>
              <w:textAlignment w:val="baseline"/>
              <w:rPr>
                <w:rFonts w:cs="宋体"/>
                <w:kern w:val="0"/>
                <w:szCs w:val="21"/>
                <w:highlight w:val="none"/>
              </w:rPr>
            </w:pPr>
            <w:r>
              <w:rPr>
                <w:rFonts w:hint="eastAsia" w:cs="宋体"/>
                <w:kern w:val="0"/>
                <w:szCs w:val="21"/>
                <w:highlight w:val="none"/>
              </w:rPr>
              <w:t>中国市政工程华北设计研究总院有限公司</w:t>
            </w:r>
          </w:p>
        </w:tc>
      </w:tr>
      <w:tr w14:paraId="609D25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33F6C456">
            <w:pPr>
              <w:widowControl/>
              <w:spacing w:line="276" w:lineRule="auto"/>
              <w:jc w:val="center"/>
              <w:textAlignment w:val="baseline"/>
              <w:rPr>
                <w:rFonts w:cs="宋体"/>
                <w:kern w:val="0"/>
                <w:szCs w:val="21"/>
                <w:highlight w:val="none"/>
              </w:rPr>
            </w:pPr>
            <w:r>
              <w:rPr>
                <w:rFonts w:hint="eastAsia" w:cs="宋体"/>
                <w:kern w:val="0"/>
                <w:szCs w:val="21"/>
                <w:highlight w:val="none"/>
              </w:rPr>
              <w:t>15</w:t>
            </w:r>
          </w:p>
        </w:tc>
        <w:tc>
          <w:tcPr>
            <w:tcW w:w="569" w:type="pct"/>
            <w:shd w:val="clear" w:color="auto" w:fill="FFFFFF"/>
            <w:tcMar>
              <w:top w:w="0" w:type="dxa"/>
              <w:left w:w="108" w:type="dxa"/>
              <w:bottom w:w="0" w:type="dxa"/>
              <w:right w:w="108" w:type="dxa"/>
            </w:tcMar>
            <w:vAlign w:val="center"/>
          </w:tcPr>
          <w:p w14:paraId="5A2F52B8">
            <w:pPr>
              <w:widowControl/>
              <w:spacing w:line="276" w:lineRule="auto"/>
              <w:jc w:val="center"/>
              <w:textAlignment w:val="baseline"/>
              <w:rPr>
                <w:rFonts w:cs="宋体"/>
                <w:kern w:val="0"/>
                <w:szCs w:val="21"/>
                <w:highlight w:val="none"/>
              </w:rPr>
            </w:pPr>
            <w:r>
              <w:rPr>
                <w:rFonts w:hint="eastAsia" w:cs="宋体"/>
                <w:kern w:val="0"/>
                <w:szCs w:val="21"/>
                <w:highlight w:val="none"/>
              </w:rPr>
              <w:t>A060805</w:t>
            </w:r>
          </w:p>
        </w:tc>
        <w:tc>
          <w:tcPr>
            <w:tcW w:w="819" w:type="pct"/>
            <w:shd w:val="clear" w:color="auto" w:fill="FFFFFF"/>
            <w:tcMar>
              <w:top w:w="0" w:type="dxa"/>
              <w:left w:w="108" w:type="dxa"/>
              <w:bottom w:w="0" w:type="dxa"/>
              <w:right w:w="108" w:type="dxa"/>
            </w:tcMar>
            <w:vAlign w:val="center"/>
          </w:tcPr>
          <w:p w14:paraId="77351A78">
            <w:pPr>
              <w:widowControl/>
              <w:spacing w:line="276" w:lineRule="auto"/>
              <w:jc w:val="center"/>
              <w:textAlignment w:val="baseline"/>
              <w:rPr>
                <w:rFonts w:cs="宋体"/>
                <w:kern w:val="0"/>
                <w:szCs w:val="21"/>
                <w:highlight w:val="none"/>
              </w:rPr>
            </w:pPr>
            <w:r>
              <w:rPr>
                <w:rFonts w:hint="eastAsia" w:cs="宋体"/>
                <w:kern w:val="0"/>
                <w:szCs w:val="21"/>
                <w:highlight w:val="none"/>
              </w:rPr>
              <w:t>便器</w:t>
            </w:r>
          </w:p>
        </w:tc>
        <w:tc>
          <w:tcPr>
            <w:tcW w:w="688" w:type="pct"/>
            <w:shd w:val="clear" w:color="auto" w:fill="FFFFFF"/>
            <w:tcMar>
              <w:top w:w="0" w:type="dxa"/>
              <w:left w:w="108" w:type="dxa"/>
              <w:bottom w:w="0" w:type="dxa"/>
              <w:right w:w="108" w:type="dxa"/>
            </w:tcMar>
            <w:vAlign w:val="center"/>
          </w:tcPr>
          <w:p w14:paraId="4381F4F4">
            <w:pPr>
              <w:widowControl/>
              <w:spacing w:line="276" w:lineRule="auto"/>
              <w:jc w:val="center"/>
              <w:textAlignment w:val="baseline"/>
              <w:rPr>
                <w:rFonts w:cs="宋体"/>
                <w:kern w:val="0"/>
                <w:szCs w:val="21"/>
                <w:highlight w:val="none"/>
              </w:rPr>
            </w:pPr>
          </w:p>
        </w:tc>
        <w:tc>
          <w:tcPr>
            <w:tcW w:w="974" w:type="pct"/>
            <w:shd w:val="clear" w:color="auto" w:fill="FFFFFF"/>
            <w:tcMar>
              <w:top w:w="0" w:type="dxa"/>
              <w:left w:w="108" w:type="dxa"/>
              <w:bottom w:w="0" w:type="dxa"/>
              <w:right w:w="108" w:type="dxa"/>
            </w:tcMar>
            <w:vAlign w:val="center"/>
          </w:tcPr>
          <w:p w14:paraId="2C7F0588">
            <w:pPr>
              <w:widowControl/>
              <w:spacing w:line="276" w:lineRule="auto"/>
              <w:jc w:val="center"/>
              <w:textAlignment w:val="baseline"/>
              <w:rPr>
                <w:rFonts w:cs="宋体"/>
                <w:kern w:val="0"/>
                <w:szCs w:val="21"/>
                <w:highlight w:val="none"/>
              </w:rPr>
            </w:pPr>
          </w:p>
        </w:tc>
        <w:tc>
          <w:tcPr>
            <w:tcW w:w="1682" w:type="pct"/>
            <w:vMerge w:val="restart"/>
            <w:shd w:val="clear" w:color="auto" w:fill="FFFFFF"/>
            <w:tcMar>
              <w:top w:w="0" w:type="dxa"/>
              <w:left w:w="108" w:type="dxa"/>
              <w:bottom w:w="0" w:type="dxa"/>
              <w:right w:w="108" w:type="dxa"/>
            </w:tcMar>
            <w:vAlign w:val="center"/>
          </w:tcPr>
          <w:p w14:paraId="516A4B17">
            <w:pPr>
              <w:widowControl/>
              <w:spacing w:line="276" w:lineRule="auto"/>
              <w:jc w:val="center"/>
              <w:textAlignment w:val="baseline"/>
              <w:rPr>
                <w:rFonts w:cs="宋体"/>
                <w:kern w:val="0"/>
                <w:szCs w:val="21"/>
                <w:highlight w:val="none"/>
              </w:rPr>
            </w:pPr>
            <w:r>
              <w:rPr>
                <w:rFonts w:hint="eastAsia" w:cs="宋体"/>
                <w:kern w:val="0"/>
                <w:szCs w:val="21"/>
                <w:highlight w:val="none"/>
              </w:rPr>
              <w:t>中国质量认证中心</w:t>
            </w:r>
          </w:p>
          <w:p w14:paraId="42D34C77">
            <w:pPr>
              <w:widowControl/>
              <w:spacing w:line="276" w:lineRule="auto"/>
              <w:jc w:val="center"/>
              <w:textAlignment w:val="baseline"/>
              <w:rPr>
                <w:rFonts w:cs="宋体"/>
                <w:kern w:val="0"/>
                <w:szCs w:val="21"/>
                <w:highlight w:val="none"/>
              </w:rPr>
            </w:pPr>
            <w:r>
              <w:rPr>
                <w:rFonts w:hint="eastAsia" w:cs="宋体"/>
                <w:kern w:val="0"/>
                <w:szCs w:val="21"/>
                <w:highlight w:val="none"/>
              </w:rPr>
              <w:t>北京新华节水产品认证有限公司</w:t>
            </w:r>
          </w:p>
          <w:p w14:paraId="09554477">
            <w:pPr>
              <w:widowControl/>
              <w:spacing w:line="276" w:lineRule="auto"/>
              <w:jc w:val="center"/>
              <w:textAlignment w:val="baseline"/>
              <w:rPr>
                <w:rFonts w:cs="宋体"/>
                <w:kern w:val="0"/>
                <w:szCs w:val="21"/>
                <w:highlight w:val="none"/>
              </w:rPr>
            </w:pPr>
            <w:r>
              <w:rPr>
                <w:rFonts w:hint="eastAsia" w:cs="宋体"/>
                <w:kern w:val="0"/>
                <w:szCs w:val="21"/>
                <w:highlight w:val="none"/>
              </w:rPr>
              <w:t>方圆标志认证集团有限公司</w:t>
            </w:r>
          </w:p>
        </w:tc>
      </w:tr>
      <w:tr w14:paraId="3A9F404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2E49743C">
            <w:pPr>
              <w:widowControl/>
              <w:spacing w:line="276" w:lineRule="auto"/>
              <w:jc w:val="center"/>
              <w:textAlignment w:val="baseline"/>
              <w:rPr>
                <w:rFonts w:cs="宋体"/>
                <w:kern w:val="0"/>
                <w:szCs w:val="21"/>
                <w:highlight w:val="none"/>
              </w:rPr>
            </w:pPr>
            <w:r>
              <w:rPr>
                <w:rFonts w:hint="eastAsia" w:cs="宋体"/>
                <w:kern w:val="0"/>
                <w:szCs w:val="21"/>
                <w:highlight w:val="none"/>
              </w:rPr>
              <w:t>16</w:t>
            </w:r>
          </w:p>
        </w:tc>
        <w:tc>
          <w:tcPr>
            <w:tcW w:w="569" w:type="pct"/>
            <w:shd w:val="clear" w:color="auto" w:fill="FFFFFF"/>
            <w:tcMar>
              <w:top w:w="0" w:type="dxa"/>
              <w:left w:w="108" w:type="dxa"/>
              <w:bottom w:w="0" w:type="dxa"/>
              <w:right w:w="108" w:type="dxa"/>
            </w:tcMar>
            <w:vAlign w:val="center"/>
          </w:tcPr>
          <w:p w14:paraId="4C57BAAA">
            <w:pPr>
              <w:widowControl/>
              <w:spacing w:line="276" w:lineRule="auto"/>
              <w:jc w:val="center"/>
              <w:textAlignment w:val="baseline"/>
              <w:rPr>
                <w:rFonts w:cs="宋体"/>
                <w:kern w:val="0"/>
                <w:szCs w:val="21"/>
                <w:highlight w:val="none"/>
              </w:rPr>
            </w:pPr>
            <w:r>
              <w:rPr>
                <w:rFonts w:hint="eastAsia" w:cs="宋体"/>
                <w:kern w:val="0"/>
                <w:szCs w:val="21"/>
                <w:highlight w:val="none"/>
              </w:rPr>
              <w:t>A060806</w:t>
            </w:r>
          </w:p>
        </w:tc>
        <w:tc>
          <w:tcPr>
            <w:tcW w:w="819" w:type="pct"/>
            <w:shd w:val="clear" w:color="auto" w:fill="FFFFFF"/>
            <w:tcMar>
              <w:top w:w="0" w:type="dxa"/>
              <w:left w:w="108" w:type="dxa"/>
              <w:bottom w:w="0" w:type="dxa"/>
              <w:right w:w="108" w:type="dxa"/>
            </w:tcMar>
            <w:vAlign w:val="center"/>
          </w:tcPr>
          <w:p w14:paraId="33280BE5">
            <w:pPr>
              <w:widowControl/>
              <w:spacing w:line="276" w:lineRule="auto"/>
              <w:jc w:val="center"/>
              <w:textAlignment w:val="baseline"/>
              <w:rPr>
                <w:rFonts w:cs="宋体"/>
                <w:kern w:val="0"/>
                <w:szCs w:val="21"/>
                <w:highlight w:val="none"/>
              </w:rPr>
            </w:pPr>
            <w:r>
              <w:rPr>
                <w:rFonts w:hint="eastAsia" w:cs="宋体"/>
                <w:kern w:val="0"/>
                <w:szCs w:val="21"/>
                <w:highlight w:val="none"/>
              </w:rPr>
              <w:t>水嘴</w:t>
            </w:r>
          </w:p>
        </w:tc>
        <w:tc>
          <w:tcPr>
            <w:tcW w:w="688" w:type="pct"/>
            <w:shd w:val="clear" w:color="auto" w:fill="FFFFFF"/>
            <w:tcMar>
              <w:top w:w="0" w:type="dxa"/>
              <w:left w:w="108" w:type="dxa"/>
              <w:bottom w:w="0" w:type="dxa"/>
              <w:right w:w="108" w:type="dxa"/>
            </w:tcMar>
            <w:vAlign w:val="center"/>
          </w:tcPr>
          <w:p w14:paraId="6212385E">
            <w:pPr>
              <w:widowControl/>
              <w:spacing w:line="276" w:lineRule="auto"/>
              <w:jc w:val="center"/>
              <w:textAlignment w:val="baseline"/>
              <w:rPr>
                <w:rFonts w:cs="宋体"/>
                <w:kern w:val="0"/>
                <w:szCs w:val="21"/>
                <w:highlight w:val="none"/>
              </w:rPr>
            </w:pPr>
          </w:p>
        </w:tc>
        <w:tc>
          <w:tcPr>
            <w:tcW w:w="974" w:type="pct"/>
            <w:shd w:val="clear" w:color="auto" w:fill="FFFFFF"/>
            <w:tcMar>
              <w:top w:w="0" w:type="dxa"/>
              <w:left w:w="108" w:type="dxa"/>
              <w:bottom w:w="0" w:type="dxa"/>
              <w:right w:w="108" w:type="dxa"/>
            </w:tcMar>
            <w:vAlign w:val="center"/>
          </w:tcPr>
          <w:p w14:paraId="5F64FCB3">
            <w:pPr>
              <w:widowControl/>
              <w:spacing w:line="276" w:lineRule="auto"/>
              <w:jc w:val="center"/>
              <w:textAlignment w:val="baseline"/>
              <w:rPr>
                <w:rFonts w:cs="宋体"/>
                <w:kern w:val="0"/>
                <w:szCs w:val="21"/>
                <w:highlight w:val="none"/>
              </w:rPr>
            </w:pPr>
          </w:p>
        </w:tc>
        <w:tc>
          <w:tcPr>
            <w:tcW w:w="1682" w:type="pct"/>
            <w:vMerge w:val="continue"/>
            <w:shd w:val="clear" w:color="auto" w:fill="FFFFFF"/>
            <w:tcMar>
              <w:top w:w="0" w:type="dxa"/>
              <w:left w:w="0" w:type="dxa"/>
              <w:bottom w:w="0" w:type="dxa"/>
              <w:right w:w="0" w:type="dxa"/>
            </w:tcMar>
            <w:vAlign w:val="center"/>
          </w:tcPr>
          <w:p w14:paraId="4E61BF12">
            <w:pPr>
              <w:widowControl/>
              <w:spacing w:line="276" w:lineRule="auto"/>
              <w:jc w:val="center"/>
              <w:rPr>
                <w:rFonts w:cs="宋体"/>
                <w:kern w:val="0"/>
                <w:szCs w:val="21"/>
                <w:highlight w:val="none"/>
              </w:rPr>
            </w:pPr>
          </w:p>
        </w:tc>
      </w:tr>
      <w:tr w14:paraId="074431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5AB3FC42">
            <w:pPr>
              <w:widowControl/>
              <w:spacing w:line="276" w:lineRule="auto"/>
              <w:jc w:val="center"/>
              <w:textAlignment w:val="baseline"/>
              <w:rPr>
                <w:rFonts w:cs="宋体"/>
                <w:kern w:val="0"/>
                <w:szCs w:val="21"/>
                <w:highlight w:val="none"/>
              </w:rPr>
            </w:pPr>
            <w:r>
              <w:rPr>
                <w:rFonts w:hint="eastAsia" w:cs="宋体"/>
                <w:kern w:val="0"/>
                <w:szCs w:val="21"/>
                <w:highlight w:val="none"/>
              </w:rPr>
              <w:t>17</w:t>
            </w:r>
          </w:p>
        </w:tc>
        <w:tc>
          <w:tcPr>
            <w:tcW w:w="569" w:type="pct"/>
            <w:shd w:val="clear" w:color="auto" w:fill="FFFFFF"/>
            <w:tcMar>
              <w:top w:w="0" w:type="dxa"/>
              <w:left w:w="108" w:type="dxa"/>
              <w:bottom w:w="0" w:type="dxa"/>
              <w:right w:w="108" w:type="dxa"/>
            </w:tcMar>
            <w:vAlign w:val="center"/>
          </w:tcPr>
          <w:p w14:paraId="40C218E4">
            <w:pPr>
              <w:widowControl/>
              <w:spacing w:line="276" w:lineRule="auto"/>
              <w:jc w:val="center"/>
              <w:textAlignment w:val="baseline"/>
              <w:rPr>
                <w:rFonts w:cs="宋体"/>
                <w:kern w:val="0"/>
                <w:szCs w:val="21"/>
                <w:highlight w:val="none"/>
              </w:rPr>
            </w:pPr>
            <w:r>
              <w:rPr>
                <w:rFonts w:hint="eastAsia" w:cs="宋体"/>
                <w:kern w:val="0"/>
                <w:szCs w:val="21"/>
                <w:highlight w:val="none"/>
              </w:rPr>
              <w:t>A060807</w:t>
            </w:r>
          </w:p>
        </w:tc>
        <w:tc>
          <w:tcPr>
            <w:tcW w:w="819" w:type="pct"/>
            <w:shd w:val="clear" w:color="auto" w:fill="FFFFFF"/>
            <w:tcMar>
              <w:top w:w="0" w:type="dxa"/>
              <w:left w:w="108" w:type="dxa"/>
              <w:bottom w:w="0" w:type="dxa"/>
              <w:right w:w="108" w:type="dxa"/>
            </w:tcMar>
            <w:vAlign w:val="center"/>
          </w:tcPr>
          <w:p w14:paraId="36AE1CA5">
            <w:pPr>
              <w:widowControl/>
              <w:spacing w:line="276" w:lineRule="auto"/>
              <w:jc w:val="center"/>
              <w:textAlignment w:val="baseline"/>
              <w:rPr>
                <w:rFonts w:cs="宋体"/>
                <w:kern w:val="0"/>
                <w:szCs w:val="21"/>
                <w:highlight w:val="none"/>
              </w:rPr>
            </w:pPr>
            <w:r>
              <w:rPr>
                <w:rFonts w:hint="eastAsia" w:cs="宋体"/>
                <w:kern w:val="0"/>
                <w:szCs w:val="21"/>
                <w:highlight w:val="none"/>
              </w:rPr>
              <w:t>便器冲洗阀</w:t>
            </w:r>
          </w:p>
        </w:tc>
        <w:tc>
          <w:tcPr>
            <w:tcW w:w="688" w:type="pct"/>
            <w:shd w:val="clear" w:color="auto" w:fill="FFFFFF"/>
            <w:tcMar>
              <w:top w:w="0" w:type="dxa"/>
              <w:left w:w="108" w:type="dxa"/>
              <w:bottom w:w="0" w:type="dxa"/>
              <w:right w:w="108" w:type="dxa"/>
            </w:tcMar>
            <w:vAlign w:val="center"/>
          </w:tcPr>
          <w:p w14:paraId="31889C04">
            <w:pPr>
              <w:widowControl/>
              <w:spacing w:line="276" w:lineRule="auto"/>
              <w:jc w:val="center"/>
              <w:textAlignment w:val="baseline"/>
              <w:rPr>
                <w:rFonts w:cs="宋体"/>
                <w:kern w:val="0"/>
                <w:szCs w:val="21"/>
                <w:highlight w:val="none"/>
              </w:rPr>
            </w:pPr>
          </w:p>
        </w:tc>
        <w:tc>
          <w:tcPr>
            <w:tcW w:w="974" w:type="pct"/>
            <w:shd w:val="clear" w:color="auto" w:fill="FFFFFF"/>
            <w:tcMar>
              <w:top w:w="0" w:type="dxa"/>
              <w:left w:w="108" w:type="dxa"/>
              <w:bottom w:w="0" w:type="dxa"/>
              <w:right w:w="108" w:type="dxa"/>
            </w:tcMar>
            <w:vAlign w:val="center"/>
          </w:tcPr>
          <w:p w14:paraId="19B3D463">
            <w:pPr>
              <w:widowControl/>
              <w:spacing w:line="276" w:lineRule="auto"/>
              <w:jc w:val="center"/>
              <w:textAlignment w:val="baseline"/>
              <w:rPr>
                <w:rFonts w:cs="宋体"/>
                <w:kern w:val="0"/>
                <w:szCs w:val="21"/>
                <w:highlight w:val="none"/>
              </w:rPr>
            </w:pPr>
          </w:p>
        </w:tc>
        <w:tc>
          <w:tcPr>
            <w:tcW w:w="1682" w:type="pct"/>
            <w:vMerge w:val="continue"/>
            <w:shd w:val="clear" w:color="auto" w:fill="FFFFFF"/>
            <w:tcMar>
              <w:top w:w="0" w:type="dxa"/>
              <w:left w:w="0" w:type="dxa"/>
              <w:bottom w:w="0" w:type="dxa"/>
              <w:right w:w="0" w:type="dxa"/>
            </w:tcMar>
            <w:vAlign w:val="center"/>
          </w:tcPr>
          <w:p w14:paraId="1294DC10">
            <w:pPr>
              <w:widowControl/>
              <w:spacing w:line="276" w:lineRule="auto"/>
              <w:jc w:val="center"/>
              <w:rPr>
                <w:rFonts w:cs="宋体"/>
                <w:kern w:val="0"/>
                <w:szCs w:val="21"/>
                <w:highlight w:val="none"/>
              </w:rPr>
            </w:pPr>
          </w:p>
        </w:tc>
      </w:tr>
      <w:tr w14:paraId="30DF6AA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0608D497">
            <w:pPr>
              <w:widowControl/>
              <w:spacing w:line="276" w:lineRule="auto"/>
              <w:jc w:val="center"/>
              <w:textAlignment w:val="baseline"/>
              <w:rPr>
                <w:rFonts w:cs="宋体"/>
                <w:kern w:val="0"/>
                <w:szCs w:val="21"/>
                <w:highlight w:val="none"/>
              </w:rPr>
            </w:pPr>
            <w:r>
              <w:rPr>
                <w:rFonts w:hint="eastAsia" w:cs="宋体"/>
                <w:kern w:val="0"/>
                <w:szCs w:val="21"/>
                <w:highlight w:val="none"/>
              </w:rPr>
              <w:t>18</w:t>
            </w:r>
          </w:p>
        </w:tc>
        <w:tc>
          <w:tcPr>
            <w:tcW w:w="569" w:type="pct"/>
            <w:shd w:val="clear" w:color="auto" w:fill="FFFFFF"/>
            <w:tcMar>
              <w:top w:w="0" w:type="dxa"/>
              <w:left w:w="108" w:type="dxa"/>
              <w:bottom w:w="0" w:type="dxa"/>
              <w:right w:w="108" w:type="dxa"/>
            </w:tcMar>
            <w:vAlign w:val="center"/>
          </w:tcPr>
          <w:p w14:paraId="05C90F93">
            <w:pPr>
              <w:widowControl/>
              <w:spacing w:line="276" w:lineRule="auto"/>
              <w:jc w:val="center"/>
              <w:textAlignment w:val="baseline"/>
              <w:rPr>
                <w:rFonts w:cs="宋体"/>
                <w:kern w:val="0"/>
                <w:szCs w:val="21"/>
                <w:highlight w:val="none"/>
              </w:rPr>
            </w:pPr>
            <w:r>
              <w:rPr>
                <w:rFonts w:hint="eastAsia" w:cs="宋体"/>
                <w:kern w:val="0"/>
                <w:szCs w:val="21"/>
                <w:highlight w:val="none"/>
              </w:rPr>
              <w:t>A060810</w:t>
            </w:r>
          </w:p>
        </w:tc>
        <w:tc>
          <w:tcPr>
            <w:tcW w:w="819" w:type="pct"/>
            <w:shd w:val="clear" w:color="auto" w:fill="FFFFFF"/>
            <w:tcMar>
              <w:top w:w="0" w:type="dxa"/>
              <w:left w:w="108" w:type="dxa"/>
              <w:bottom w:w="0" w:type="dxa"/>
              <w:right w:w="108" w:type="dxa"/>
            </w:tcMar>
            <w:vAlign w:val="center"/>
          </w:tcPr>
          <w:p w14:paraId="37FCAB24">
            <w:pPr>
              <w:widowControl/>
              <w:spacing w:line="276" w:lineRule="auto"/>
              <w:jc w:val="center"/>
              <w:textAlignment w:val="baseline"/>
              <w:rPr>
                <w:rFonts w:cs="宋体"/>
                <w:kern w:val="0"/>
                <w:szCs w:val="21"/>
                <w:highlight w:val="none"/>
              </w:rPr>
            </w:pPr>
            <w:r>
              <w:rPr>
                <w:rFonts w:hint="eastAsia" w:cs="宋体"/>
                <w:kern w:val="0"/>
                <w:szCs w:val="21"/>
                <w:highlight w:val="none"/>
              </w:rPr>
              <w:t>淋浴器</w:t>
            </w:r>
          </w:p>
        </w:tc>
        <w:tc>
          <w:tcPr>
            <w:tcW w:w="688" w:type="pct"/>
            <w:shd w:val="clear" w:color="auto" w:fill="FFFFFF"/>
            <w:tcMar>
              <w:top w:w="0" w:type="dxa"/>
              <w:left w:w="108" w:type="dxa"/>
              <w:bottom w:w="0" w:type="dxa"/>
              <w:right w:w="108" w:type="dxa"/>
            </w:tcMar>
            <w:vAlign w:val="center"/>
          </w:tcPr>
          <w:p w14:paraId="0F2A6229">
            <w:pPr>
              <w:widowControl/>
              <w:spacing w:line="276" w:lineRule="auto"/>
              <w:jc w:val="center"/>
              <w:textAlignment w:val="baseline"/>
              <w:rPr>
                <w:rFonts w:cs="宋体"/>
                <w:kern w:val="0"/>
                <w:szCs w:val="21"/>
                <w:highlight w:val="none"/>
              </w:rPr>
            </w:pPr>
          </w:p>
        </w:tc>
        <w:tc>
          <w:tcPr>
            <w:tcW w:w="974" w:type="pct"/>
            <w:shd w:val="clear" w:color="auto" w:fill="FFFFFF"/>
            <w:tcMar>
              <w:top w:w="0" w:type="dxa"/>
              <w:left w:w="108" w:type="dxa"/>
              <w:bottom w:w="0" w:type="dxa"/>
              <w:right w:w="108" w:type="dxa"/>
            </w:tcMar>
            <w:vAlign w:val="center"/>
          </w:tcPr>
          <w:p w14:paraId="0EA348D1">
            <w:pPr>
              <w:widowControl/>
              <w:spacing w:line="276" w:lineRule="auto"/>
              <w:jc w:val="center"/>
              <w:textAlignment w:val="baseline"/>
              <w:rPr>
                <w:rFonts w:cs="宋体"/>
                <w:kern w:val="0"/>
                <w:szCs w:val="21"/>
                <w:highlight w:val="none"/>
              </w:rPr>
            </w:pPr>
          </w:p>
        </w:tc>
        <w:tc>
          <w:tcPr>
            <w:tcW w:w="1682" w:type="pct"/>
            <w:vMerge w:val="continue"/>
            <w:shd w:val="clear" w:color="auto" w:fill="FFFFFF"/>
            <w:tcMar>
              <w:top w:w="0" w:type="dxa"/>
              <w:left w:w="0" w:type="dxa"/>
              <w:bottom w:w="0" w:type="dxa"/>
              <w:right w:w="0" w:type="dxa"/>
            </w:tcMar>
            <w:vAlign w:val="center"/>
          </w:tcPr>
          <w:p w14:paraId="6A3AEC9A">
            <w:pPr>
              <w:widowControl/>
              <w:spacing w:line="276" w:lineRule="auto"/>
              <w:jc w:val="center"/>
              <w:rPr>
                <w:rFonts w:cs="宋体"/>
                <w:kern w:val="0"/>
                <w:szCs w:val="21"/>
                <w:highlight w:val="none"/>
              </w:rPr>
            </w:pPr>
          </w:p>
        </w:tc>
      </w:tr>
    </w:tbl>
    <w:p w14:paraId="21E2CCEF">
      <w:pPr>
        <w:widowControl/>
        <w:shd w:val="clear" w:color="auto" w:fill="FFFFFF"/>
        <w:textAlignment w:val="baseline"/>
        <w:rPr>
          <w:rFonts w:cs="宋体"/>
          <w:kern w:val="0"/>
          <w:szCs w:val="21"/>
          <w:highlight w:val="none"/>
        </w:rPr>
      </w:pPr>
      <w:r>
        <w:rPr>
          <w:rFonts w:hint="eastAsia" w:cs="宋体"/>
          <w:szCs w:val="21"/>
          <w:highlight w:val="none"/>
        </w:rPr>
        <w:t>2.4.7</w:t>
      </w:r>
      <w:r>
        <w:rPr>
          <w:rFonts w:hint="eastAsia" w:cs="宋体"/>
          <w:kern w:val="0"/>
          <w:szCs w:val="21"/>
          <w:highlight w:val="none"/>
        </w:rPr>
        <w:t>参与实施政府采购环境标志产品认证机构名录</w:t>
      </w:r>
    </w:p>
    <w:tbl>
      <w:tblPr>
        <w:tblStyle w:val="88"/>
        <w:tblW w:w="10038" w:type="dxa"/>
        <w:jc w:val="center"/>
        <w:shd w:val="clear" w:color="auto" w:fill="FFFFFF"/>
        <w:tblLayout w:type="autofit"/>
        <w:tblCellMar>
          <w:top w:w="30" w:type="dxa"/>
          <w:left w:w="30" w:type="dxa"/>
          <w:bottom w:w="30" w:type="dxa"/>
          <w:right w:w="30" w:type="dxa"/>
        </w:tblCellMar>
      </w:tblPr>
      <w:tblGrid>
        <w:gridCol w:w="729"/>
        <w:gridCol w:w="2396"/>
        <w:gridCol w:w="6913"/>
      </w:tblGrid>
      <w:tr w14:paraId="5B332DE1">
        <w:tblPrEx>
          <w:shd w:val="clear" w:color="auto" w:fill="FFFFFF"/>
          <w:tblCellMar>
            <w:top w:w="30" w:type="dxa"/>
            <w:left w:w="30" w:type="dxa"/>
            <w:bottom w:w="30" w:type="dxa"/>
            <w:right w:w="30" w:type="dxa"/>
          </w:tblCellMar>
        </w:tblPrEx>
        <w:trPr>
          <w:trHeight w:val="461" w:hRule="atLeast"/>
          <w:jc w:val="center"/>
        </w:trPr>
        <w:tc>
          <w:tcPr>
            <w:tcW w:w="729"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45D5AA4">
            <w:pPr>
              <w:widowControl/>
              <w:spacing w:line="240" w:lineRule="atLeast"/>
              <w:jc w:val="center"/>
              <w:textAlignment w:val="baseline"/>
              <w:rPr>
                <w:rFonts w:cs="宋体"/>
                <w:kern w:val="0"/>
                <w:szCs w:val="21"/>
                <w:highlight w:val="none"/>
              </w:rPr>
            </w:pPr>
            <w:r>
              <w:rPr>
                <w:rFonts w:hint="eastAsia" w:cs="宋体"/>
                <w:kern w:val="0"/>
                <w:szCs w:val="21"/>
                <w:highlight w:val="none"/>
              </w:rPr>
              <w:t>序号</w:t>
            </w:r>
          </w:p>
        </w:tc>
        <w:tc>
          <w:tcPr>
            <w:tcW w:w="2396"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BDEDBE8">
            <w:pPr>
              <w:widowControl/>
              <w:spacing w:line="240" w:lineRule="atLeast"/>
              <w:jc w:val="center"/>
              <w:textAlignment w:val="baseline"/>
              <w:rPr>
                <w:rFonts w:cs="宋体"/>
                <w:kern w:val="0"/>
                <w:szCs w:val="21"/>
                <w:highlight w:val="none"/>
              </w:rPr>
            </w:pPr>
            <w:r>
              <w:rPr>
                <w:rFonts w:hint="eastAsia" w:cs="宋体"/>
                <w:kern w:val="0"/>
                <w:szCs w:val="21"/>
                <w:highlight w:val="none"/>
              </w:rPr>
              <w:t>目录</w:t>
            </w:r>
          </w:p>
        </w:tc>
        <w:tc>
          <w:tcPr>
            <w:tcW w:w="6913"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59AB105">
            <w:pPr>
              <w:widowControl/>
              <w:spacing w:line="240" w:lineRule="atLeast"/>
              <w:jc w:val="center"/>
              <w:textAlignment w:val="baseline"/>
              <w:rPr>
                <w:rFonts w:cs="宋体"/>
                <w:kern w:val="0"/>
                <w:szCs w:val="21"/>
                <w:highlight w:val="none"/>
              </w:rPr>
            </w:pPr>
            <w:r>
              <w:rPr>
                <w:rFonts w:hint="eastAsia" w:cs="宋体"/>
                <w:kern w:val="0"/>
                <w:szCs w:val="21"/>
                <w:highlight w:val="none"/>
              </w:rPr>
              <w:t>认证机构名录</w:t>
            </w:r>
          </w:p>
        </w:tc>
      </w:tr>
      <w:tr w14:paraId="134A8801">
        <w:tblPrEx>
          <w:tblCellMar>
            <w:top w:w="30" w:type="dxa"/>
            <w:left w:w="30" w:type="dxa"/>
            <w:bottom w:w="30" w:type="dxa"/>
            <w:right w:w="30" w:type="dxa"/>
          </w:tblCellMar>
        </w:tblPrEx>
        <w:trPr>
          <w:trHeight w:val="1386" w:hRule="atLeast"/>
          <w:jc w:val="center"/>
        </w:trPr>
        <w:tc>
          <w:tcPr>
            <w:tcW w:w="72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D724A95">
            <w:pPr>
              <w:widowControl/>
              <w:spacing w:line="240" w:lineRule="atLeast"/>
              <w:jc w:val="center"/>
              <w:textAlignment w:val="baseline"/>
              <w:rPr>
                <w:rFonts w:cs="宋体"/>
                <w:kern w:val="0"/>
                <w:szCs w:val="21"/>
                <w:highlight w:val="none"/>
              </w:rPr>
            </w:pPr>
            <w:r>
              <w:rPr>
                <w:rFonts w:hint="eastAsia" w:cs="宋体"/>
                <w:kern w:val="0"/>
                <w:szCs w:val="21"/>
                <w:highlight w:val="none"/>
              </w:rPr>
              <w:t>1</w:t>
            </w:r>
          </w:p>
        </w:tc>
        <w:tc>
          <w:tcPr>
            <w:tcW w:w="239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33ED53A">
            <w:pPr>
              <w:widowControl/>
              <w:spacing w:line="240" w:lineRule="atLeast"/>
              <w:jc w:val="center"/>
              <w:textAlignment w:val="baseline"/>
              <w:rPr>
                <w:rFonts w:cs="宋体"/>
                <w:kern w:val="0"/>
                <w:szCs w:val="21"/>
                <w:highlight w:val="none"/>
              </w:rPr>
            </w:pPr>
            <w:r>
              <w:rPr>
                <w:rFonts w:hint="eastAsia" w:cs="宋体"/>
                <w:kern w:val="0"/>
                <w:szCs w:val="21"/>
                <w:highlight w:val="none"/>
              </w:rPr>
              <w:t>环境标志产品</w:t>
            </w:r>
          </w:p>
        </w:tc>
        <w:tc>
          <w:tcPr>
            <w:tcW w:w="691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9CBF8A2">
            <w:pPr>
              <w:widowControl/>
              <w:spacing w:line="240" w:lineRule="atLeast"/>
              <w:jc w:val="center"/>
              <w:textAlignment w:val="baseline"/>
              <w:rPr>
                <w:rFonts w:cs="宋体"/>
                <w:kern w:val="0"/>
                <w:szCs w:val="21"/>
                <w:highlight w:val="none"/>
              </w:rPr>
            </w:pPr>
            <w:r>
              <w:rPr>
                <w:rFonts w:hint="eastAsia" w:cs="宋体"/>
                <w:kern w:val="0"/>
                <w:szCs w:val="21"/>
                <w:highlight w:val="none"/>
              </w:rPr>
              <w:t>中环联合（北京）认证中心有限公司</w:t>
            </w:r>
          </w:p>
          <w:p w14:paraId="6A30CCFA">
            <w:pPr>
              <w:widowControl/>
              <w:spacing w:line="240" w:lineRule="atLeast"/>
              <w:jc w:val="center"/>
              <w:textAlignment w:val="baseline"/>
              <w:rPr>
                <w:rFonts w:cs="宋体"/>
                <w:kern w:val="0"/>
                <w:szCs w:val="21"/>
                <w:highlight w:val="none"/>
              </w:rPr>
            </w:pPr>
            <w:r>
              <w:rPr>
                <w:rFonts w:hint="eastAsia" w:cs="宋体"/>
                <w:kern w:val="0"/>
                <w:szCs w:val="21"/>
                <w:highlight w:val="none"/>
              </w:rPr>
              <w:t>中标合信（北京）认证有限公司</w:t>
            </w:r>
          </w:p>
          <w:p w14:paraId="145481BD">
            <w:pPr>
              <w:widowControl/>
              <w:spacing w:line="240" w:lineRule="atLeast"/>
              <w:jc w:val="center"/>
              <w:textAlignment w:val="baseline"/>
              <w:rPr>
                <w:rFonts w:cs="宋体"/>
                <w:kern w:val="0"/>
                <w:szCs w:val="21"/>
                <w:highlight w:val="none"/>
              </w:rPr>
            </w:pPr>
            <w:r>
              <w:rPr>
                <w:rFonts w:hint="eastAsia" w:cs="宋体"/>
                <w:kern w:val="0"/>
                <w:szCs w:val="21"/>
                <w:highlight w:val="none"/>
              </w:rPr>
              <w:t>中环协（北京）认证中心</w:t>
            </w:r>
          </w:p>
          <w:p w14:paraId="34A377B8">
            <w:pPr>
              <w:widowControl/>
              <w:spacing w:line="240" w:lineRule="atLeast"/>
              <w:jc w:val="center"/>
              <w:textAlignment w:val="baseline"/>
              <w:rPr>
                <w:rFonts w:cs="宋体"/>
                <w:kern w:val="0"/>
                <w:szCs w:val="21"/>
                <w:highlight w:val="none"/>
              </w:rPr>
            </w:pPr>
            <w:r>
              <w:rPr>
                <w:rFonts w:hint="eastAsia" w:cs="宋体"/>
                <w:kern w:val="0"/>
                <w:szCs w:val="21"/>
                <w:highlight w:val="none"/>
              </w:rPr>
              <w:t>天津华诚认证有限公司</w:t>
            </w:r>
          </w:p>
        </w:tc>
      </w:tr>
    </w:tbl>
    <w:p w14:paraId="67A92316">
      <w:pPr>
        <w:rPr>
          <w:rFonts w:cs="宋体"/>
          <w:b/>
          <w:bCs/>
          <w:sz w:val="24"/>
          <w:szCs w:val="32"/>
          <w:highlight w:val="none"/>
        </w:rPr>
      </w:pPr>
      <w:bookmarkStart w:id="553" w:name="_Toc17988"/>
      <w:bookmarkStart w:id="554" w:name="_Toc802"/>
      <w:bookmarkStart w:id="555" w:name="_Toc139357103"/>
      <w:bookmarkStart w:id="556" w:name="_Toc23253"/>
      <w:bookmarkStart w:id="557" w:name="_Toc166067811"/>
      <w:bookmarkStart w:id="558" w:name="_Toc175582388"/>
      <w:bookmarkStart w:id="559" w:name="_Toc125986527"/>
      <w:r>
        <w:rPr>
          <w:rFonts w:hint="eastAsia" w:cs="宋体"/>
          <w:b/>
          <w:bCs/>
          <w:sz w:val="24"/>
          <w:szCs w:val="32"/>
          <w:highlight w:val="none"/>
        </w:rPr>
        <w:t>3.评审标准</w:t>
      </w:r>
      <w:bookmarkEnd w:id="550"/>
      <w:bookmarkEnd w:id="551"/>
      <w:bookmarkEnd w:id="552"/>
      <w:bookmarkEnd w:id="553"/>
      <w:bookmarkEnd w:id="554"/>
      <w:bookmarkEnd w:id="555"/>
      <w:bookmarkEnd w:id="556"/>
      <w:bookmarkEnd w:id="557"/>
      <w:bookmarkEnd w:id="558"/>
      <w:bookmarkEnd w:id="559"/>
    </w:p>
    <w:p w14:paraId="7E30DB47">
      <w:pPr>
        <w:pStyle w:val="5"/>
        <w:numPr>
          <w:ilvl w:val="2"/>
          <w:numId w:val="0"/>
        </w:numPr>
        <w:spacing w:before="0"/>
        <w:ind w:firstLine="480" w:firstLineChars="200"/>
        <w:rPr>
          <w:rFonts w:eastAsia="宋体" w:cs="宋体"/>
          <w:sz w:val="24"/>
          <w:szCs w:val="24"/>
          <w:highlight w:val="none"/>
        </w:rPr>
      </w:pPr>
      <w:bookmarkStart w:id="560" w:name="_Toc139357104"/>
      <w:bookmarkStart w:id="561" w:name="_Toc15066"/>
      <w:bookmarkStart w:id="562" w:name="_Toc172205154"/>
      <w:bookmarkStart w:id="563" w:name="_Toc171929900"/>
      <w:bookmarkStart w:id="564" w:name="_Toc125986528"/>
      <w:bookmarkStart w:id="565" w:name="_Toc175582389"/>
      <w:bookmarkStart w:id="566" w:name="_Toc125904393"/>
      <w:bookmarkStart w:id="567" w:name="_Toc166067812"/>
      <w:r>
        <w:rPr>
          <w:rFonts w:hint="eastAsia" w:eastAsia="宋体" w:cs="宋体"/>
          <w:sz w:val="24"/>
          <w:szCs w:val="24"/>
          <w:highlight w:val="none"/>
        </w:rPr>
        <w:t>3.1符合性评审</w:t>
      </w:r>
      <w:bookmarkEnd w:id="560"/>
      <w:bookmarkEnd w:id="561"/>
      <w:bookmarkEnd w:id="562"/>
      <w:bookmarkEnd w:id="563"/>
      <w:bookmarkEnd w:id="564"/>
      <w:bookmarkEnd w:id="565"/>
      <w:bookmarkEnd w:id="566"/>
      <w:bookmarkEnd w:id="567"/>
    </w:p>
    <w:p w14:paraId="19DD59F6">
      <w:pPr>
        <w:pStyle w:val="45"/>
        <w:tabs>
          <w:tab w:val="left" w:pos="2472"/>
        </w:tabs>
        <w:ind w:firstLine="420" w:firstLineChars="200"/>
        <w:rPr>
          <w:rFonts w:cs="宋体"/>
          <w:szCs w:val="21"/>
          <w:highlight w:val="none"/>
        </w:rPr>
      </w:pPr>
      <w:bookmarkStart w:id="568" w:name="_Hlk48744286"/>
      <w:r>
        <w:rPr>
          <w:rFonts w:hint="eastAsia" w:cs="宋体"/>
          <w:szCs w:val="21"/>
          <w:highlight w:val="none"/>
        </w:rPr>
        <w:t>依据招标文件的规定，从投标文件的有效性、完整性和对招标文件的响应程度进行审查，以确定是否对招标文件的实质性要求作出响应；见评标办法前附表。</w:t>
      </w:r>
    </w:p>
    <w:bookmarkEnd w:id="568"/>
    <w:p w14:paraId="0C9F2D5A">
      <w:pPr>
        <w:pStyle w:val="5"/>
        <w:numPr>
          <w:ilvl w:val="2"/>
          <w:numId w:val="0"/>
        </w:numPr>
        <w:spacing w:before="0"/>
        <w:ind w:firstLine="480" w:firstLineChars="200"/>
        <w:rPr>
          <w:rFonts w:eastAsia="宋体" w:cs="宋体"/>
          <w:sz w:val="24"/>
          <w:szCs w:val="24"/>
          <w:highlight w:val="none"/>
        </w:rPr>
      </w:pPr>
      <w:bookmarkStart w:id="569" w:name="_Toc125986529"/>
      <w:bookmarkStart w:id="570" w:name="_Toc172205155"/>
      <w:bookmarkStart w:id="571" w:name="_Toc175582390"/>
      <w:bookmarkStart w:id="572" w:name="_Toc326218114"/>
      <w:bookmarkStart w:id="573" w:name="_Toc171929901"/>
      <w:bookmarkStart w:id="574" w:name="_Toc166067813"/>
      <w:bookmarkStart w:id="575" w:name="_Toc125904394"/>
      <w:bookmarkStart w:id="576" w:name="_Toc20518"/>
      <w:bookmarkStart w:id="577" w:name="_Toc314817936"/>
      <w:bookmarkStart w:id="578" w:name="_Toc139357105"/>
      <w:r>
        <w:rPr>
          <w:rFonts w:hint="eastAsia" w:eastAsia="宋体" w:cs="宋体"/>
          <w:sz w:val="24"/>
          <w:szCs w:val="24"/>
          <w:highlight w:val="none"/>
        </w:rPr>
        <w:t>3.2分值构成与评分标准</w:t>
      </w:r>
      <w:bookmarkEnd w:id="569"/>
      <w:bookmarkEnd w:id="570"/>
      <w:bookmarkEnd w:id="571"/>
      <w:bookmarkEnd w:id="572"/>
      <w:bookmarkEnd w:id="573"/>
      <w:bookmarkEnd w:id="574"/>
      <w:bookmarkEnd w:id="575"/>
      <w:bookmarkEnd w:id="576"/>
      <w:bookmarkEnd w:id="577"/>
      <w:bookmarkEnd w:id="578"/>
    </w:p>
    <w:p w14:paraId="42EF13FE">
      <w:pPr>
        <w:pStyle w:val="45"/>
        <w:tabs>
          <w:tab w:val="left" w:pos="2472"/>
        </w:tabs>
        <w:ind w:firstLine="420" w:firstLineChars="200"/>
        <w:rPr>
          <w:rFonts w:cs="宋体"/>
          <w:szCs w:val="21"/>
          <w:highlight w:val="none"/>
        </w:rPr>
      </w:pPr>
      <w:bookmarkStart w:id="579" w:name="_Hlk48744311"/>
      <w:r>
        <w:rPr>
          <w:rFonts w:hint="eastAsia" w:cs="宋体"/>
          <w:szCs w:val="21"/>
          <w:highlight w:val="none"/>
        </w:rPr>
        <w:t>3.2.1分值构成</w:t>
      </w:r>
    </w:p>
    <w:p w14:paraId="00C2B285">
      <w:pPr>
        <w:pStyle w:val="45"/>
        <w:tabs>
          <w:tab w:val="left" w:pos="2472"/>
        </w:tabs>
        <w:ind w:firstLine="420" w:firstLineChars="200"/>
        <w:rPr>
          <w:rFonts w:cs="宋体"/>
          <w:szCs w:val="21"/>
          <w:highlight w:val="none"/>
        </w:rPr>
      </w:pPr>
      <w:r>
        <w:rPr>
          <w:rFonts w:hint="eastAsia" w:cs="宋体"/>
          <w:szCs w:val="21"/>
          <w:highlight w:val="none"/>
        </w:rPr>
        <w:t>（1）投标报价：见评标办法前附表；</w:t>
      </w:r>
    </w:p>
    <w:p w14:paraId="619D4DA1">
      <w:pPr>
        <w:pStyle w:val="45"/>
        <w:tabs>
          <w:tab w:val="left" w:pos="2472"/>
        </w:tabs>
        <w:ind w:firstLine="420" w:firstLineChars="200"/>
        <w:rPr>
          <w:rFonts w:cs="宋体"/>
          <w:szCs w:val="21"/>
          <w:highlight w:val="none"/>
        </w:rPr>
      </w:pPr>
      <w:r>
        <w:rPr>
          <w:rFonts w:hint="eastAsia" w:cs="宋体"/>
          <w:szCs w:val="21"/>
          <w:highlight w:val="none"/>
        </w:rPr>
        <w:t>（2）技术部分：见评标办法前附表；</w:t>
      </w:r>
    </w:p>
    <w:p w14:paraId="7137534C">
      <w:pPr>
        <w:pStyle w:val="45"/>
        <w:tabs>
          <w:tab w:val="left" w:pos="2472"/>
        </w:tabs>
        <w:ind w:firstLine="420" w:firstLineChars="200"/>
        <w:rPr>
          <w:rFonts w:cs="宋体"/>
          <w:szCs w:val="21"/>
          <w:highlight w:val="none"/>
        </w:rPr>
      </w:pPr>
      <w:r>
        <w:rPr>
          <w:rFonts w:hint="eastAsia" w:cs="宋体"/>
          <w:szCs w:val="21"/>
          <w:highlight w:val="none"/>
        </w:rPr>
        <w:t>（3）商务部分：见评标办法前附表。</w:t>
      </w:r>
    </w:p>
    <w:p w14:paraId="294B8C0F">
      <w:pPr>
        <w:pStyle w:val="45"/>
        <w:tabs>
          <w:tab w:val="left" w:pos="2472"/>
        </w:tabs>
        <w:ind w:firstLine="420" w:firstLineChars="200"/>
        <w:rPr>
          <w:rFonts w:cs="宋体"/>
          <w:szCs w:val="21"/>
          <w:highlight w:val="none"/>
        </w:rPr>
      </w:pPr>
      <w:r>
        <w:rPr>
          <w:rFonts w:hint="eastAsia" w:cs="宋体"/>
          <w:szCs w:val="21"/>
          <w:highlight w:val="none"/>
        </w:rPr>
        <w:t>3.2.2评分标准</w:t>
      </w:r>
    </w:p>
    <w:p w14:paraId="472051B5">
      <w:pPr>
        <w:pStyle w:val="45"/>
        <w:tabs>
          <w:tab w:val="left" w:pos="2472"/>
        </w:tabs>
        <w:ind w:firstLine="420" w:firstLineChars="200"/>
        <w:rPr>
          <w:rFonts w:cs="宋体"/>
          <w:szCs w:val="21"/>
          <w:highlight w:val="none"/>
        </w:rPr>
      </w:pPr>
      <w:r>
        <w:rPr>
          <w:rFonts w:hint="eastAsia" w:cs="宋体"/>
          <w:szCs w:val="21"/>
          <w:highlight w:val="none"/>
        </w:rPr>
        <w:t>按招标文件中规定的评标方法和标准，对资格评审和符合性评审合格的投标文件进行商务和技术评估，综合比较与评价。</w:t>
      </w:r>
    </w:p>
    <w:p w14:paraId="59631F98">
      <w:pPr>
        <w:pStyle w:val="45"/>
        <w:tabs>
          <w:tab w:val="left" w:pos="2472"/>
        </w:tabs>
        <w:ind w:firstLine="420" w:firstLineChars="200"/>
        <w:rPr>
          <w:rFonts w:cs="宋体"/>
          <w:szCs w:val="21"/>
          <w:highlight w:val="none"/>
        </w:rPr>
      </w:pPr>
      <w:r>
        <w:rPr>
          <w:rFonts w:hint="eastAsia" w:cs="宋体"/>
          <w:szCs w:val="21"/>
          <w:highlight w:val="none"/>
        </w:rPr>
        <w:t>（1）投标报价评分标准：见评标办法前附表；</w:t>
      </w:r>
    </w:p>
    <w:p w14:paraId="06554024">
      <w:pPr>
        <w:pStyle w:val="45"/>
        <w:tabs>
          <w:tab w:val="left" w:pos="2472"/>
        </w:tabs>
        <w:ind w:firstLine="420" w:firstLineChars="200"/>
        <w:rPr>
          <w:rFonts w:cs="宋体"/>
          <w:szCs w:val="21"/>
          <w:highlight w:val="none"/>
        </w:rPr>
      </w:pPr>
      <w:r>
        <w:rPr>
          <w:rFonts w:hint="eastAsia" w:cs="宋体"/>
          <w:szCs w:val="21"/>
          <w:highlight w:val="none"/>
        </w:rPr>
        <w:t>（2）技术部分评分标准：见评标办法前附表；</w:t>
      </w:r>
    </w:p>
    <w:p w14:paraId="75EAB0A7">
      <w:pPr>
        <w:pStyle w:val="45"/>
        <w:tabs>
          <w:tab w:val="left" w:pos="2472"/>
        </w:tabs>
        <w:ind w:firstLine="420" w:firstLineChars="200"/>
        <w:rPr>
          <w:rFonts w:cs="宋体"/>
          <w:szCs w:val="21"/>
          <w:highlight w:val="none"/>
        </w:rPr>
      </w:pPr>
      <w:r>
        <w:rPr>
          <w:rFonts w:hint="eastAsia" w:cs="宋体"/>
          <w:szCs w:val="21"/>
          <w:highlight w:val="none"/>
        </w:rPr>
        <w:t>（3）商务部分评分标准：见评标办法前附表。</w:t>
      </w:r>
      <w:bookmarkEnd w:id="579"/>
    </w:p>
    <w:p w14:paraId="4F054813">
      <w:pPr>
        <w:rPr>
          <w:rFonts w:cs="宋体"/>
          <w:b/>
          <w:bCs/>
          <w:sz w:val="24"/>
          <w:szCs w:val="32"/>
          <w:highlight w:val="none"/>
        </w:rPr>
      </w:pPr>
      <w:bookmarkStart w:id="580" w:name="_Toc125986530"/>
      <w:bookmarkStart w:id="581" w:name="_Toc139357106"/>
      <w:bookmarkStart w:id="582" w:name="_Toc30411"/>
      <w:bookmarkStart w:id="583" w:name="_Toc21683"/>
      <w:bookmarkStart w:id="584" w:name="_Toc1683"/>
      <w:bookmarkStart w:id="585" w:name="_Toc166067814"/>
      <w:bookmarkStart w:id="586" w:name="_Toc314817937"/>
      <w:bookmarkStart w:id="587" w:name="_Toc508191817"/>
      <w:bookmarkStart w:id="588" w:name="_Toc326218115"/>
      <w:bookmarkStart w:id="589" w:name="_Toc175582391"/>
      <w:r>
        <w:rPr>
          <w:rFonts w:hint="eastAsia" w:cs="宋体"/>
          <w:b/>
          <w:bCs/>
          <w:sz w:val="24"/>
          <w:szCs w:val="32"/>
          <w:highlight w:val="none"/>
        </w:rPr>
        <w:t>4.评标程序</w:t>
      </w:r>
      <w:bookmarkEnd w:id="580"/>
      <w:bookmarkEnd w:id="581"/>
      <w:bookmarkEnd w:id="582"/>
      <w:bookmarkEnd w:id="583"/>
      <w:bookmarkEnd w:id="584"/>
      <w:bookmarkEnd w:id="585"/>
      <w:bookmarkEnd w:id="586"/>
      <w:bookmarkEnd w:id="587"/>
      <w:bookmarkEnd w:id="588"/>
      <w:bookmarkEnd w:id="589"/>
    </w:p>
    <w:p w14:paraId="11391BD0">
      <w:pPr>
        <w:pStyle w:val="5"/>
        <w:numPr>
          <w:ilvl w:val="2"/>
          <w:numId w:val="0"/>
        </w:numPr>
        <w:spacing w:before="0"/>
        <w:ind w:firstLine="480" w:firstLineChars="200"/>
        <w:rPr>
          <w:rFonts w:eastAsia="宋体" w:cs="宋体"/>
          <w:sz w:val="24"/>
          <w:szCs w:val="24"/>
          <w:highlight w:val="none"/>
        </w:rPr>
      </w:pPr>
      <w:bookmarkStart w:id="590" w:name="_Toc171929903"/>
      <w:bookmarkStart w:id="591" w:name="_Toc125986531"/>
      <w:bookmarkStart w:id="592" w:name="_Toc172205157"/>
      <w:bookmarkStart w:id="593" w:name="_Toc139357107"/>
      <w:bookmarkStart w:id="594" w:name="_Toc20522"/>
      <w:bookmarkStart w:id="595" w:name="_Toc125904396"/>
      <w:bookmarkStart w:id="596" w:name="_Toc166067815"/>
      <w:bookmarkStart w:id="597" w:name="_Toc175582392"/>
      <w:r>
        <w:rPr>
          <w:rFonts w:hint="eastAsia" w:eastAsia="宋体" w:cs="宋体"/>
          <w:sz w:val="24"/>
          <w:szCs w:val="24"/>
          <w:highlight w:val="none"/>
        </w:rPr>
        <w:t>4.1符合性评审</w:t>
      </w:r>
      <w:bookmarkEnd w:id="590"/>
      <w:bookmarkEnd w:id="591"/>
      <w:bookmarkEnd w:id="592"/>
      <w:bookmarkEnd w:id="593"/>
      <w:bookmarkEnd w:id="594"/>
      <w:bookmarkEnd w:id="595"/>
      <w:bookmarkEnd w:id="596"/>
      <w:bookmarkEnd w:id="597"/>
    </w:p>
    <w:p w14:paraId="36458268">
      <w:pPr>
        <w:pStyle w:val="45"/>
        <w:tabs>
          <w:tab w:val="left" w:pos="2472"/>
        </w:tabs>
        <w:ind w:firstLine="420" w:firstLineChars="200"/>
        <w:rPr>
          <w:rFonts w:cs="宋体"/>
          <w:szCs w:val="21"/>
          <w:highlight w:val="none"/>
        </w:rPr>
      </w:pPr>
      <w:r>
        <w:rPr>
          <w:rFonts w:hint="eastAsia" w:cs="宋体"/>
          <w:szCs w:val="21"/>
          <w:highlight w:val="none"/>
        </w:rPr>
        <w:t>依据本章第3.1项规定的标准对投标文件进行符合性评审。有一项不符合评审标准的，作废标处理。</w:t>
      </w:r>
    </w:p>
    <w:p w14:paraId="74AC4B7A">
      <w:pPr>
        <w:pStyle w:val="5"/>
        <w:numPr>
          <w:ilvl w:val="2"/>
          <w:numId w:val="0"/>
        </w:numPr>
        <w:spacing w:before="0"/>
        <w:ind w:firstLine="480" w:firstLineChars="200"/>
        <w:rPr>
          <w:rFonts w:eastAsia="宋体" w:cs="宋体"/>
          <w:sz w:val="24"/>
          <w:szCs w:val="24"/>
          <w:highlight w:val="none"/>
        </w:rPr>
      </w:pPr>
      <w:bookmarkStart w:id="598" w:name="_Toc326218117"/>
      <w:bookmarkStart w:id="599" w:name="_Toc314817939"/>
      <w:bookmarkStart w:id="600" w:name="_Toc166067816"/>
      <w:bookmarkStart w:id="601" w:name="_Toc6486"/>
      <w:bookmarkStart w:id="602" w:name="_Toc172205158"/>
      <w:bookmarkStart w:id="603" w:name="_Toc139357108"/>
      <w:bookmarkStart w:id="604" w:name="_Toc125986532"/>
      <w:bookmarkStart w:id="605" w:name="_Toc125904397"/>
      <w:bookmarkStart w:id="606" w:name="_Toc175582393"/>
      <w:bookmarkStart w:id="607" w:name="_Toc171929904"/>
      <w:r>
        <w:rPr>
          <w:rFonts w:hint="eastAsia" w:eastAsia="宋体" w:cs="宋体"/>
          <w:sz w:val="24"/>
          <w:szCs w:val="24"/>
          <w:highlight w:val="none"/>
        </w:rPr>
        <w:t>4.2 详细评审</w:t>
      </w:r>
      <w:bookmarkEnd w:id="598"/>
      <w:bookmarkEnd w:id="599"/>
      <w:bookmarkEnd w:id="600"/>
      <w:bookmarkEnd w:id="601"/>
      <w:bookmarkEnd w:id="602"/>
      <w:bookmarkEnd w:id="603"/>
      <w:bookmarkEnd w:id="604"/>
      <w:bookmarkEnd w:id="605"/>
      <w:bookmarkEnd w:id="606"/>
      <w:bookmarkEnd w:id="607"/>
    </w:p>
    <w:p w14:paraId="5A8789DA">
      <w:pPr>
        <w:pStyle w:val="45"/>
        <w:tabs>
          <w:tab w:val="left" w:pos="2472"/>
        </w:tabs>
        <w:ind w:firstLine="420" w:firstLineChars="200"/>
        <w:rPr>
          <w:rFonts w:cs="宋体"/>
          <w:szCs w:val="21"/>
          <w:highlight w:val="none"/>
        </w:rPr>
      </w:pPr>
      <w:r>
        <w:rPr>
          <w:rFonts w:hint="eastAsia" w:cs="宋体"/>
          <w:szCs w:val="21"/>
          <w:highlight w:val="none"/>
        </w:rPr>
        <w:t>4.2.1 评标委员会按本章第3.2款规定的量化因素和分值进行打分，并计算出投标人的评标总得分。</w:t>
      </w:r>
    </w:p>
    <w:p w14:paraId="6F2463A5">
      <w:pPr>
        <w:pStyle w:val="45"/>
        <w:tabs>
          <w:tab w:val="left" w:pos="2472"/>
        </w:tabs>
        <w:ind w:firstLine="420" w:firstLineChars="200"/>
        <w:rPr>
          <w:rFonts w:cs="宋体"/>
          <w:szCs w:val="21"/>
          <w:highlight w:val="none"/>
        </w:rPr>
      </w:pPr>
      <w:r>
        <w:rPr>
          <w:rFonts w:hint="eastAsia" w:cs="宋体"/>
          <w:szCs w:val="21"/>
          <w:highlight w:val="none"/>
        </w:rPr>
        <w:t>（1）按本章第3.2.2（1）目规定的评分因素和分值对投标报价计算出得分F1；</w:t>
      </w:r>
    </w:p>
    <w:p w14:paraId="04CD4490">
      <w:pPr>
        <w:pStyle w:val="45"/>
        <w:tabs>
          <w:tab w:val="left" w:pos="2472"/>
        </w:tabs>
        <w:ind w:firstLine="420" w:firstLineChars="200"/>
        <w:rPr>
          <w:rFonts w:cs="宋体"/>
          <w:szCs w:val="21"/>
          <w:highlight w:val="none"/>
        </w:rPr>
      </w:pPr>
      <w:r>
        <w:rPr>
          <w:rFonts w:hint="eastAsia" w:cs="宋体"/>
          <w:szCs w:val="21"/>
          <w:highlight w:val="none"/>
        </w:rPr>
        <w:t>（2）按本章第3.2.2（2）目规定的评分因素和分值对技术部分计算出得分F2；</w:t>
      </w:r>
    </w:p>
    <w:p w14:paraId="562B27FE">
      <w:pPr>
        <w:pStyle w:val="45"/>
        <w:tabs>
          <w:tab w:val="left" w:pos="2472"/>
        </w:tabs>
        <w:ind w:firstLine="420" w:firstLineChars="200"/>
        <w:rPr>
          <w:rFonts w:cs="宋体"/>
          <w:szCs w:val="21"/>
          <w:highlight w:val="none"/>
        </w:rPr>
      </w:pPr>
      <w:r>
        <w:rPr>
          <w:rFonts w:hint="eastAsia" w:cs="宋体"/>
          <w:szCs w:val="21"/>
          <w:highlight w:val="none"/>
        </w:rPr>
        <w:t>（3）按本章第3.2.2（3）目规定的评分因素和分值对商务部分计算出得分F3；</w:t>
      </w:r>
    </w:p>
    <w:p w14:paraId="130A02E0">
      <w:pPr>
        <w:pStyle w:val="45"/>
        <w:tabs>
          <w:tab w:val="left" w:pos="2472"/>
        </w:tabs>
        <w:ind w:firstLine="420" w:firstLineChars="200"/>
        <w:rPr>
          <w:rFonts w:cs="宋体"/>
          <w:szCs w:val="21"/>
          <w:highlight w:val="none"/>
        </w:rPr>
      </w:pPr>
      <w:r>
        <w:rPr>
          <w:rFonts w:hint="eastAsia" w:cs="宋体"/>
          <w:szCs w:val="21"/>
          <w:highlight w:val="none"/>
        </w:rPr>
        <w:t>（4）按本章第3.2.1项所列公式计算评标总得分。</w:t>
      </w:r>
    </w:p>
    <w:p w14:paraId="06B9EC70">
      <w:pPr>
        <w:pStyle w:val="45"/>
        <w:tabs>
          <w:tab w:val="left" w:pos="2472"/>
        </w:tabs>
        <w:ind w:firstLine="420" w:firstLineChars="200"/>
        <w:rPr>
          <w:rFonts w:cs="宋体"/>
          <w:szCs w:val="21"/>
          <w:highlight w:val="none"/>
        </w:rPr>
      </w:pPr>
      <w:r>
        <w:rPr>
          <w:rFonts w:hint="eastAsia" w:cs="宋体"/>
          <w:szCs w:val="21"/>
          <w:highlight w:val="none"/>
        </w:rPr>
        <w:t>4.2.2 投标文件如果出现计算或表达上的错误，修正错误的原则如下：</w:t>
      </w:r>
    </w:p>
    <w:p w14:paraId="2B0264ED">
      <w:pPr>
        <w:pStyle w:val="45"/>
        <w:ind w:firstLine="420" w:firstLineChars="200"/>
        <w:rPr>
          <w:rFonts w:cs="宋体"/>
          <w:szCs w:val="21"/>
          <w:highlight w:val="none"/>
        </w:rPr>
      </w:pPr>
      <w:r>
        <w:rPr>
          <w:rFonts w:hint="eastAsia" w:cs="宋体"/>
          <w:szCs w:val="21"/>
          <w:highlight w:val="none"/>
        </w:rPr>
        <w:t>（一）投标文件中开标一览表（报价表）内容与投标文件中相应内容不一致的，以开标一览表（报价表）为准；</w:t>
      </w:r>
    </w:p>
    <w:p w14:paraId="1AF37CE7">
      <w:pPr>
        <w:pStyle w:val="45"/>
        <w:ind w:firstLine="420" w:firstLineChars="200"/>
        <w:rPr>
          <w:rFonts w:cs="宋体"/>
          <w:szCs w:val="21"/>
          <w:highlight w:val="none"/>
        </w:rPr>
      </w:pPr>
      <w:r>
        <w:rPr>
          <w:rFonts w:hint="eastAsia" w:cs="宋体"/>
          <w:szCs w:val="21"/>
          <w:highlight w:val="none"/>
        </w:rPr>
        <w:t>（二）大写金额和小写金额不一致的，以大写金额为准；</w:t>
      </w:r>
    </w:p>
    <w:p w14:paraId="43C618AD">
      <w:pPr>
        <w:pStyle w:val="45"/>
        <w:ind w:firstLine="420" w:firstLineChars="200"/>
        <w:rPr>
          <w:rFonts w:cs="宋体"/>
          <w:szCs w:val="21"/>
          <w:highlight w:val="none"/>
        </w:rPr>
      </w:pPr>
      <w:r>
        <w:rPr>
          <w:rFonts w:hint="eastAsia" w:cs="宋体"/>
          <w:szCs w:val="21"/>
          <w:highlight w:val="none"/>
        </w:rPr>
        <w:t>（三）单价金额小数点或者百分比有明显错位的，以开标一览表的总价为准，并修改单价；</w:t>
      </w:r>
    </w:p>
    <w:p w14:paraId="6ACCF653">
      <w:pPr>
        <w:pStyle w:val="45"/>
        <w:ind w:firstLine="420" w:firstLineChars="200"/>
        <w:rPr>
          <w:rFonts w:cs="宋体"/>
          <w:szCs w:val="21"/>
          <w:highlight w:val="none"/>
        </w:rPr>
      </w:pPr>
      <w:r>
        <w:rPr>
          <w:rFonts w:hint="eastAsia" w:cs="宋体"/>
          <w:szCs w:val="21"/>
          <w:highlight w:val="none"/>
        </w:rPr>
        <w:t>（四）总价金额与按单价汇总金额不一致的，以单价金额计算结果为准。</w:t>
      </w:r>
    </w:p>
    <w:p w14:paraId="44D01608">
      <w:pPr>
        <w:pStyle w:val="45"/>
        <w:ind w:firstLine="420" w:firstLineChars="200"/>
        <w:rPr>
          <w:rFonts w:cs="宋体"/>
          <w:szCs w:val="21"/>
          <w:highlight w:val="none"/>
        </w:rPr>
      </w:pPr>
      <w:r>
        <w:rPr>
          <w:rFonts w:hint="eastAsia" w:cs="宋体"/>
          <w:szCs w:val="21"/>
          <w:highlight w:val="none"/>
        </w:rPr>
        <w:t>同时出现两种以上不一致的，按照前款规定的顺序修正。修正后的报价按照本章3.2款的规定经投标人确认后产生约束力，投标人不确认的，其投标无效。</w:t>
      </w:r>
    </w:p>
    <w:p w14:paraId="53BD831F">
      <w:pPr>
        <w:ind w:firstLine="420" w:firstLineChars="200"/>
        <w:jc w:val="left"/>
        <w:rPr>
          <w:rFonts w:cs="宋体"/>
          <w:szCs w:val="21"/>
          <w:highlight w:val="none"/>
        </w:rPr>
      </w:pPr>
      <w:r>
        <w:rPr>
          <w:rFonts w:hint="eastAsia" w:cs="宋体"/>
          <w:szCs w:val="21"/>
          <w:highlight w:val="none"/>
        </w:rPr>
        <w:t>4.2.3技术部分（F2）和商务部分（F3）得分由评标委员会成员独立评分，计算各投标人得分的算术平均值计入各投标人总分。评分分值计算保留小数点后两位，小数点后第三位“四舍五入”。</w:t>
      </w:r>
    </w:p>
    <w:p w14:paraId="4DD9FCE2">
      <w:pPr>
        <w:ind w:firstLine="420" w:firstLineChars="200"/>
        <w:jc w:val="left"/>
        <w:rPr>
          <w:rFonts w:cs="宋体"/>
          <w:b/>
          <w:bCs/>
          <w:szCs w:val="21"/>
          <w:highlight w:val="none"/>
        </w:rPr>
      </w:pPr>
      <w:r>
        <w:rPr>
          <w:rFonts w:hint="eastAsia" w:cs="宋体"/>
          <w:b/>
          <w:bCs/>
          <w:szCs w:val="21"/>
          <w:highlight w:val="none"/>
        </w:rPr>
        <w:t>★4.2.4异常低价投标（响应）审查程序：</w:t>
      </w:r>
    </w:p>
    <w:p w14:paraId="35302F72">
      <w:pPr>
        <w:ind w:firstLine="420" w:firstLineChars="200"/>
        <w:jc w:val="left"/>
        <w:rPr>
          <w:rFonts w:cs="宋体"/>
          <w:szCs w:val="21"/>
          <w:highlight w:val="none"/>
        </w:rPr>
      </w:pPr>
      <w:r>
        <w:rPr>
          <w:rFonts w:hint="eastAsia" w:cs="宋体"/>
          <w:szCs w:val="21"/>
          <w:highlight w:val="none"/>
        </w:rPr>
        <w:t>政府采购评审中出现下列情形之一的，评审委员会应当启动异常低价投标（响应）审查程序：</w:t>
      </w:r>
    </w:p>
    <w:p w14:paraId="67164357">
      <w:pPr>
        <w:ind w:firstLine="420" w:firstLineChars="200"/>
        <w:jc w:val="left"/>
        <w:rPr>
          <w:rFonts w:cs="宋体"/>
          <w:szCs w:val="21"/>
          <w:highlight w:val="none"/>
        </w:rPr>
      </w:pPr>
      <w:r>
        <w:rPr>
          <w:rFonts w:hint="eastAsia" w:cs="宋体"/>
          <w:szCs w:val="21"/>
          <w:highlight w:val="none"/>
        </w:rPr>
        <w:t>1.投标（响应）报价低于全部通过符合性审查供应商投标（响应）报价平均值</w:t>
      </w:r>
      <w:r>
        <w:rPr>
          <w:rFonts w:hint="eastAsia" w:cs="宋体"/>
          <w:color w:val="000000" w:themeColor="text1"/>
          <w:szCs w:val="21"/>
          <w:highlight w:val="none"/>
          <w14:textFill>
            <w14:solidFill>
              <w14:schemeClr w14:val="tx1"/>
            </w14:solidFill>
          </w14:textFill>
        </w:rPr>
        <w:t>50%</w:t>
      </w:r>
      <w:r>
        <w:rPr>
          <w:rFonts w:hint="eastAsia" w:cs="宋体"/>
          <w:szCs w:val="21"/>
          <w:highlight w:val="none"/>
        </w:rPr>
        <w:t>的，即投标（响应）报价&lt;全部通过符合性审查供应商投标（响应）报价平均值×50%；</w:t>
      </w:r>
    </w:p>
    <w:p w14:paraId="41B4C601">
      <w:pPr>
        <w:ind w:firstLine="420" w:firstLineChars="200"/>
        <w:jc w:val="left"/>
        <w:rPr>
          <w:rFonts w:cs="宋体"/>
          <w:szCs w:val="21"/>
          <w:highlight w:val="none"/>
        </w:rPr>
      </w:pPr>
      <w:r>
        <w:rPr>
          <w:rFonts w:hint="eastAsia" w:cs="宋体"/>
          <w:szCs w:val="21"/>
          <w:highlight w:val="none"/>
        </w:rPr>
        <w:t>2.投标（响应）报价低于通过符合性审查的次低报价供应商投标（响应）报价</w:t>
      </w:r>
      <w:r>
        <w:rPr>
          <w:rFonts w:hint="eastAsia" w:cs="宋体"/>
          <w:color w:val="000000" w:themeColor="text1"/>
          <w:szCs w:val="21"/>
          <w:highlight w:val="none"/>
          <w14:textFill>
            <w14:solidFill>
              <w14:schemeClr w14:val="tx1"/>
            </w14:solidFill>
          </w14:textFill>
        </w:rPr>
        <w:t>50%</w:t>
      </w:r>
      <w:r>
        <w:rPr>
          <w:rFonts w:hint="eastAsia" w:cs="宋体"/>
          <w:szCs w:val="21"/>
          <w:highlight w:val="none"/>
        </w:rPr>
        <w:t>的，即投标（响应）报价&lt;通过符合性审查的次低报价供应商投标（响应）报价×50%；</w:t>
      </w:r>
    </w:p>
    <w:p w14:paraId="3FB89D71">
      <w:pPr>
        <w:ind w:firstLine="420" w:firstLineChars="200"/>
        <w:jc w:val="left"/>
        <w:rPr>
          <w:rFonts w:cs="宋体"/>
          <w:szCs w:val="21"/>
          <w:highlight w:val="none"/>
        </w:rPr>
      </w:pPr>
      <w:r>
        <w:rPr>
          <w:rFonts w:hint="eastAsia" w:cs="宋体"/>
          <w:szCs w:val="21"/>
          <w:highlight w:val="none"/>
        </w:rPr>
        <w:t>3.投标（响应）报价低于采购项目最高限价</w:t>
      </w:r>
      <w:r>
        <w:rPr>
          <w:rFonts w:hint="eastAsia" w:cs="宋体"/>
          <w:color w:val="000000" w:themeColor="text1"/>
          <w:szCs w:val="21"/>
          <w:highlight w:val="none"/>
          <w14:textFill>
            <w14:solidFill>
              <w14:schemeClr w14:val="tx1"/>
            </w14:solidFill>
          </w14:textFill>
        </w:rPr>
        <w:t>45%</w:t>
      </w:r>
      <w:r>
        <w:rPr>
          <w:rFonts w:hint="eastAsia" w:cs="宋体"/>
          <w:szCs w:val="21"/>
          <w:highlight w:val="none"/>
        </w:rPr>
        <w:t>的，即投标（响应）报价&lt;采购项目最高限价×45%；</w:t>
      </w:r>
    </w:p>
    <w:p w14:paraId="7EF71C72">
      <w:pPr>
        <w:ind w:firstLine="420" w:firstLineChars="200"/>
        <w:jc w:val="left"/>
        <w:rPr>
          <w:rFonts w:cs="宋体"/>
          <w:szCs w:val="21"/>
          <w:highlight w:val="none"/>
        </w:rPr>
      </w:pPr>
      <w:r>
        <w:rPr>
          <w:rFonts w:hint="eastAsia" w:cs="宋体"/>
          <w:szCs w:val="21"/>
          <w:highlight w:val="none"/>
        </w:rPr>
        <w:t>4.评审委员会基于专业判断，认为供应商报价过低，有可能影响产品质量或者不能诚信履约的其他情形。</w:t>
      </w:r>
    </w:p>
    <w:p w14:paraId="47CA76FF">
      <w:pPr>
        <w:ind w:firstLine="420" w:firstLineChars="200"/>
        <w:jc w:val="left"/>
        <w:rPr>
          <w:rFonts w:cs="宋体"/>
          <w:szCs w:val="21"/>
          <w:highlight w:val="none"/>
        </w:rPr>
      </w:pPr>
      <w:r>
        <w:rPr>
          <w:rFonts w:hint="eastAsia" w:cs="宋体"/>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E97D83D">
      <w:pPr>
        <w:ind w:firstLine="420" w:firstLineChars="200"/>
        <w:jc w:val="left"/>
        <w:rPr>
          <w:rFonts w:cs="宋体"/>
          <w:szCs w:val="21"/>
          <w:highlight w:val="none"/>
        </w:rPr>
      </w:pPr>
      <w:r>
        <w:rPr>
          <w:rFonts w:hint="eastAsia" w:cs="宋体"/>
          <w:b/>
          <w:bCs/>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2C12C85">
      <w:pPr>
        <w:ind w:firstLine="420" w:firstLineChars="200"/>
        <w:jc w:val="left"/>
        <w:rPr>
          <w:rFonts w:cs="宋体"/>
          <w:szCs w:val="21"/>
          <w:highlight w:val="none"/>
        </w:rPr>
      </w:pPr>
      <w:r>
        <w:rPr>
          <w:rFonts w:hint="eastAsia" w:cs="宋体"/>
          <w:szCs w:val="21"/>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86C84D8">
      <w:pPr>
        <w:ind w:firstLine="420" w:firstLineChars="200"/>
        <w:jc w:val="left"/>
        <w:rPr>
          <w:rFonts w:cs="宋体"/>
          <w:szCs w:val="21"/>
          <w:highlight w:val="none"/>
        </w:rPr>
      </w:pPr>
      <w:r>
        <w:rPr>
          <w:rFonts w:hint="eastAsia" w:cs="宋体"/>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34022D58">
      <w:pPr>
        <w:ind w:firstLine="420" w:firstLineChars="200"/>
        <w:jc w:val="left"/>
        <w:rPr>
          <w:rFonts w:cs="宋体"/>
          <w:szCs w:val="21"/>
          <w:highlight w:val="none"/>
        </w:rPr>
      </w:pPr>
      <w:r>
        <w:rPr>
          <w:rFonts w:hint="eastAsia" w:cs="宋体"/>
          <w:szCs w:val="21"/>
          <w:highlight w:val="none"/>
        </w:rPr>
        <w:t>4.2.5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14:paraId="2CA7BC85">
      <w:pPr>
        <w:ind w:firstLine="420" w:firstLineChars="200"/>
        <w:jc w:val="left"/>
        <w:rPr>
          <w:rFonts w:cs="宋体"/>
          <w:szCs w:val="21"/>
          <w:highlight w:val="none"/>
        </w:rPr>
      </w:pPr>
      <w:r>
        <w:rPr>
          <w:rFonts w:hint="eastAsia" w:cs="宋体"/>
          <w:szCs w:val="21"/>
          <w:highlight w:val="none"/>
        </w:rPr>
        <w:t>4.2.6评标中若遇特殊问题，由评标委员会根据有关法律、法规研究决定。</w:t>
      </w:r>
    </w:p>
    <w:p w14:paraId="59163733">
      <w:pPr>
        <w:pStyle w:val="5"/>
        <w:numPr>
          <w:ilvl w:val="2"/>
          <w:numId w:val="0"/>
        </w:numPr>
        <w:spacing w:before="0"/>
        <w:ind w:firstLine="480" w:firstLineChars="200"/>
        <w:rPr>
          <w:rFonts w:eastAsia="宋体" w:cs="宋体"/>
          <w:sz w:val="24"/>
          <w:szCs w:val="24"/>
          <w:highlight w:val="none"/>
        </w:rPr>
      </w:pPr>
      <w:bookmarkStart w:id="608" w:name="_Toc125904398"/>
      <w:bookmarkStart w:id="609" w:name="_Toc139357109"/>
      <w:bookmarkStart w:id="610" w:name="_Toc314817940"/>
      <w:bookmarkStart w:id="611" w:name="_Toc18029"/>
      <w:bookmarkStart w:id="612" w:name="_Toc166067817"/>
      <w:bookmarkStart w:id="613" w:name="_Toc171929905"/>
      <w:bookmarkStart w:id="614" w:name="_Toc175582394"/>
      <w:bookmarkStart w:id="615" w:name="_Toc125986533"/>
      <w:bookmarkStart w:id="616" w:name="_Toc326218118"/>
      <w:bookmarkStart w:id="617" w:name="_Toc172205159"/>
      <w:r>
        <w:rPr>
          <w:rFonts w:hint="eastAsia" w:eastAsia="宋体" w:cs="宋体"/>
          <w:sz w:val="24"/>
          <w:szCs w:val="24"/>
          <w:highlight w:val="none"/>
        </w:rPr>
        <w:t>4.3 投标文件的澄清和补正统计分数原则</w:t>
      </w:r>
      <w:bookmarkEnd w:id="608"/>
      <w:bookmarkEnd w:id="609"/>
      <w:bookmarkEnd w:id="610"/>
      <w:bookmarkEnd w:id="611"/>
      <w:bookmarkEnd w:id="612"/>
      <w:bookmarkEnd w:id="613"/>
      <w:bookmarkEnd w:id="614"/>
      <w:bookmarkEnd w:id="615"/>
      <w:bookmarkEnd w:id="616"/>
      <w:bookmarkEnd w:id="617"/>
    </w:p>
    <w:p w14:paraId="3146785C">
      <w:pPr>
        <w:ind w:firstLine="420" w:firstLineChars="200"/>
        <w:jc w:val="left"/>
        <w:rPr>
          <w:rFonts w:cs="宋体"/>
          <w:szCs w:val="21"/>
          <w:highlight w:val="none"/>
        </w:rPr>
      </w:pPr>
      <w:r>
        <w:rPr>
          <w:rFonts w:hint="eastAsia" w:cs="宋体"/>
          <w:szCs w:val="21"/>
          <w:highlight w:val="none"/>
        </w:rPr>
        <w:t>4.3.1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0C8EC235">
      <w:pPr>
        <w:ind w:firstLine="420" w:firstLineChars="200"/>
        <w:jc w:val="left"/>
        <w:rPr>
          <w:rFonts w:cs="宋体"/>
          <w:szCs w:val="21"/>
          <w:highlight w:val="none"/>
        </w:rPr>
      </w:pPr>
      <w:r>
        <w:rPr>
          <w:rFonts w:hint="eastAsia" w:cs="宋体"/>
          <w:szCs w:val="21"/>
          <w:highlight w:val="none"/>
        </w:rPr>
        <w:t>4.3.2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322F7AA7">
      <w:pPr>
        <w:ind w:firstLine="420" w:firstLineChars="200"/>
        <w:jc w:val="left"/>
        <w:rPr>
          <w:rFonts w:cs="宋体"/>
          <w:szCs w:val="21"/>
          <w:highlight w:val="none"/>
        </w:rPr>
      </w:pPr>
      <w:r>
        <w:rPr>
          <w:rFonts w:hint="eastAsia" w:cs="宋体"/>
          <w:szCs w:val="21"/>
          <w:highlight w:val="none"/>
        </w:rPr>
        <w:t>4.3.3评标委员会对投标人提交的澄清、说明有疑问的，可以要求投标人进一步澄清、说明。</w:t>
      </w:r>
    </w:p>
    <w:p w14:paraId="3C268AE7">
      <w:pPr>
        <w:pStyle w:val="5"/>
        <w:numPr>
          <w:ilvl w:val="2"/>
          <w:numId w:val="0"/>
        </w:numPr>
        <w:spacing w:before="0"/>
        <w:ind w:firstLine="480" w:firstLineChars="200"/>
        <w:rPr>
          <w:rFonts w:eastAsia="宋体" w:cs="宋体"/>
          <w:sz w:val="24"/>
          <w:szCs w:val="24"/>
          <w:highlight w:val="none"/>
        </w:rPr>
      </w:pPr>
      <w:bookmarkStart w:id="618" w:name="_Toc172205160"/>
      <w:bookmarkStart w:id="619" w:name="_Toc125904399"/>
      <w:bookmarkStart w:id="620" w:name="_Toc19466"/>
      <w:bookmarkStart w:id="621" w:name="_Toc175582395"/>
      <w:bookmarkStart w:id="622" w:name="_Toc314817941"/>
      <w:bookmarkStart w:id="623" w:name="_Toc171929906"/>
      <w:bookmarkStart w:id="624" w:name="_Toc326218119"/>
      <w:bookmarkStart w:id="625" w:name="_Toc139357110"/>
      <w:bookmarkStart w:id="626" w:name="_Toc125986534"/>
      <w:bookmarkStart w:id="627" w:name="_Toc166067818"/>
      <w:r>
        <w:rPr>
          <w:rFonts w:hint="eastAsia" w:eastAsia="宋体" w:cs="宋体"/>
          <w:sz w:val="24"/>
          <w:szCs w:val="24"/>
          <w:highlight w:val="none"/>
        </w:rPr>
        <w:t>4.4 评标结果</w:t>
      </w:r>
      <w:bookmarkEnd w:id="618"/>
      <w:bookmarkEnd w:id="619"/>
      <w:bookmarkEnd w:id="620"/>
      <w:bookmarkEnd w:id="621"/>
      <w:bookmarkEnd w:id="622"/>
      <w:bookmarkEnd w:id="623"/>
      <w:bookmarkEnd w:id="624"/>
      <w:bookmarkEnd w:id="625"/>
      <w:bookmarkEnd w:id="626"/>
      <w:bookmarkEnd w:id="627"/>
    </w:p>
    <w:p w14:paraId="06309C60">
      <w:pPr>
        <w:adjustRightInd w:val="0"/>
        <w:ind w:firstLine="420" w:firstLineChars="200"/>
        <w:rPr>
          <w:rFonts w:cs="宋体"/>
          <w:szCs w:val="21"/>
          <w:highlight w:val="none"/>
        </w:rPr>
      </w:pPr>
      <w:r>
        <w:rPr>
          <w:rFonts w:hint="eastAsia" w:cs="宋体"/>
          <w:szCs w:val="21"/>
          <w:highlight w:val="none"/>
        </w:rPr>
        <w:t>4.4.1评标委员会对满足招标文件资格评审及符合性评审要求的投标文件，</w:t>
      </w:r>
      <w:bookmarkStart w:id="628" w:name="_Hlk49243521"/>
      <w:r>
        <w:rPr>
          <w:rFonts w:hint="eastAsia" w:cs="宋体"/>
          <w:szCs w:val="21"/>
          <w:highlight w:val="none"/>
        </w:rPr>
        <w:t>按照本章前附表规定的评分标准</w:t>
      </w:r>
      <w:bookmarkEnd w:id="628"/>
      <w:r>
        <w:rPr>
          <w:rFonts w:hint="eastAsia" w:cs="宋体"/>
          <w:szCs w:val="21"/>
          <w:highlight w:val="none"/>
        </w:rPr>
        <w:t>进行打分。</w:t>
      </w:r>
    </w:p>
    <w:p w14:paraId="6105D9F8">
      <w:pPr>
        <w:pStyle w:val="45"/>
        <w:tabs>
          <w:tab w:val="left" w:pos="2472"/>
        </w:tabs>
        <w:ind w:firstLine="420" w:firstLineChars="200"/>
        <w:rPr>
          <w:rFonts w:cs="宋体"/>
          <w:szCs w:val="21"/>
          <w:highlight w:val="none"/>
        </w:rPr>
      </w:pPr>
      <w:r>
        <w:rPr>
          <w:rFonts w:hint="eastAsia" w:cs="宋体"/>
          <w:szCs w:val="21"/>
          <w:highlight w:val="none"/>
        </w:rPr>
        <w:t>评标委员按照本章前附表规定的评分标准评审并计算评标总得分后，按总得分由高到低的顺序推荐中标候选人排序。评标总得分相等时，按投标报价由低到高顺序排序；评标总得分相等且投标报价相同时，按技术部分得分由高到低顺序排序；所有得分均相等时，按</w:t>
      </w:r>
      <w:r>
        <w:rPr>
          <w:rFonts w:hint="eastAsia" w:cs="宋体"/>
          <w:bCs/>
          <w:szCs w:val="21"/>
          <w:highlight w:val="none"/>
        </w:rPr>
        <w:t>优先采购监狱企业、残疾人福利性单位服务的原则</w:t>
      </w:r>
      <w:r>
        <w:rPr>
          <w:rFonts w:hint="eastAsia" w:cs="宋体"/>
          <w:szCs w:val="21"/>
          <w:highlight w:val="none"/>
        </w:rPr>
        <w:t>的顺序排列推荐中标候选人；所有得分均相等且政府采购政策条件也相等的，由评标委员会采用记名投票方式，以少数服从多数原则推荐中标候选人。</w:t>
      </w:r>
    </w:p>
    <w:p w14:paraId="26FDFB63">
      <w:pPr>
        <w:pStyle w:val="45"/>
        <w:tabs>
          <w:tab w:val="left" w:pos="2472"/>
        </w:tabs>
        <w:ind w:firstLine="420" w:firstLineChars="200"/>
        <w:rPr>
          <w:rFonts w:cs="宋体"/>
          <w:szCs w:val="21"/>
          <w:highlight w:val="none"/>
        </w:rPr>
      </w:pPr>
      <w:r>
        <w:rPr>
          <w:rFonts w:hint="eastAsia" w:cs="宋体"/>
          <w:szCs w:val="21"/>
          <w:highlight w:val="none"/>
        </w:rPr>
        <w:t>评标委员会推荐3名中标候选人，并提出书面评标报告。</w:t>
      </w:r>
    </w:p>
    <w:p w14:paraId="6EBA8783">
      <w:pPr>
        <w:ind w:firstLine="420" w:firstLineChars="200"/>
        <w:jc w:val="left"/>
        <w:rPr>
          <w:rFonts w:cs="宋体"/>
          <w:szCs w:val="21"/>
          <w:highlight w:val="none"/>
        </w:rPr>
      </w:pPr>
      <w:r>
        <w:rPr>
          <w:rFonts w:hint="eastAsia" w:cs="宋体"/>
          <w:szCs w:val="21"/>
          <w:highlight w:val="none"/>
        </w:rPr>
        <w:t>4.4.2采购人根据评标委员会提出的书面评标报告和推荐的中标候选人名单，确定中标人。</w:t>
      </w:r>
    </w:p>
    <w:p w14:paraId="4E39579B">
      <w:pPr>
        <w:ind w:firstLine="420" w:firstLineChars="200"/>
        <w:jc w:val="left"/>
        <w:rPr>
          <w:rFonts w:cs="宋体"/>
          <w:szCs w:val="21"/>
          <w:highlight w:val="none"/>
        </w:rPr>
      </w:pPr>
      <w:r>
        <w:rPr>
          <w:rFonts w:hint="eastAsia" w:cs="宋体"/>
          <w:szCs w:val="21"/>
          <w:highlight w:val="none"/>
        </w:rPr>
        <w:t>4.4.3评标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bookmarkEnd w:id="533"/>
    <w:p w14:paraId="03928EE3">
      <w:pPr>
        <w:pStyle w:val="5"/>
        <w:numPr>
          <w:ilvl w:val="2"/>
          <w:numId w:val="0"/>
        </w:numPr>
        <w:tabs>
          <w:tab w:val="clear" w:pos="360"/>
        </w:tabs>
        <w:spacing w:before="0"/>
        <w:ind w:firstLine="480" w:firstLineChars="200"/>
        <w:rPr>
          <w:rFonts w:eastAsia="宋体" w:cs="宋体"/>
          <w:sz w:val="24"/>
          <w:szCs w:val="24"/>
          <w:highlight w:val="none"/>
        </w:rPr>
      </w:pPr>
      <w:bookmarkStart w:id="629" w:name="_Toc24699"/>
      <w:bookmarkStart w:id="630" w:name="_Toc125986535"/>
      <w:bookmarkStart w:id="631" w:name="_Toc166067819"/>
      <w:bookmarkStart w:id="632" w:name="_Toc175582396"/>
      <w:bookmarkStart w:id="633" w:name="_Toc139357111"/>
      <w:bookmarkStart w:id="634" w:name="_Toc125904400"/>
      <w:bookmarkStart w:id="635" w:name="_Toc172205161"/>
      <w:bookmarkStart w:id="636" w:name="_Toc171929907"/>
      <w:r>
        <w:rPr>
          <w:rFonts w:hint="eastAsia" w:eastAsia="宋体" w:cs="宋体"/>
          <w:sz w:val="24"/>
          <w:szCs w:val="24"/>
          <w:highlight w:val="none"/>
        </w:rPr>
        <w:t>4.5其他</w:t>
      </w:r>
      <w:bookmarkEnd w:id="629"/>
      <w:bookmarkEnd w:id="630"/>
      <w:bookmarkEnd w:id="631"/>
      <w:bookmarkEnd w:id="632"/>
      <w:bookmarkEnd w:id="633"/>
      <w:bookmarkEnd w:id="634"/>
      <w:bookmarkEnd w:id="635"/>
      <w:bookmarkEnd w:id="636"/>
    </w:p>
    <w:p w14:paraId="3CE8AC28">
      <w:pPr>
        <w:ind w:firstLine="420" w:firstLineChars="200"/>
        <w:jc w:val="left"/>
        <w:rPr>
          <w:rFonts w:cs="宋体"/>
          <w:szCs w:val="21"/>
          <w:highlight w:val="none"/>
          <w:lang w:val="zh-CN"/>
        </w:rPr>
      </w:pPr>
      <w:r>
        <w:rPr>
          <w:rFonts w:hint="eastAsia" w:cs="宋体"/>
          <w:szCs w:val="21"/>
          <w:highlight w:val="none"/>
        </w:rPr>
        <w:t>其他未尽事宜遵照国家相关法律法规执行。</w:t>
      </w:r>
    </w:p>
    <w:sectPr>
      <w:footerReference r:id="rId7" w:type="default"/>
      <w:pgSz w:w="11906" w:h="16838"/>
      <w:pgMar w:top="1440" w:right="1080" w:bottom="1440" w:left="1080" w:header="907" w:footer="907" w:gutter="0"/>
      <w:pgNumType w:start="1"/>
      <w:cols w:space="720" w:num="1"/>
      <w:docGrid w:type="linesAndChars" w:linePitch="33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金山简黑体">
    <w:altName w:val="宋体"/>
    <w:panose1 w:val="00000000000000000000"/>
    <w:charset w:val="86"/>
    <w:family w:val="modern"/>
    <w:pitch w:val="default"/>
    <w:sig w:usb0="00000000" w:usb1="00000000" w:usb2="00000010" w:usb3="00000000" w:csb0="00040000" w:csb1="00000000"/>
  </w:font>
  <w:font w:name="Century Gothic">
    <w:altName w:val="Yu Gothic UI"/>
    <w:panose1 w:val="020B0502020202020204"/>
    <w:charset w:val="00"/>
    <w:family w:val="swiss"/>
    <w:pitch w:val="default"/>
    <w:sig w:usb0="00000000" w:usb1="00000000" w:usb2="00000000" w:usb3="00000000" w:csb0="2000009F" w:csb1="DFD70000"/>
  </w:font>
  <w:font w:name="Arial Unicode MS">
    <w:altName w:val="宋体"/>
    <w:panose1 w:val="020B0604020202020204"/>
    <w:charset w:val="86"/>
    <w:family w:val="swiss"/>
    <w:pitch w:val="default"/>
    <w:sig w:usb0="00000000" w:usb1="00000000" w:usb2="0000003F" w:usb3="00000000" w:csb0="003F01FF" w:csb1="00000000"/>
  </w:font>
  <w:font w:name="华文仿宋">
    <w:altName w:val="仿宋"/>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华文中宋">
    <w:altName w:val="宋体"/>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方正小标宋_GBK">
    <w:panose1 w:val="02000000000000000000"/>
    <w:charset w:val="86"/>
    <w:family w:val="script"/>
    <w:pitch w:val="default"/>
    <w:sig w:usb0="A00002BF" w:usb1="38CF7CFA" w:usb2="00082016" w:usb3="00000000" w:csb0="00040001" w:csb1="0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2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 w:name="Cambria Math">
    <w:panose1 w:val="02040503050406030204"/>
    <w:charset w:val="00"/>
    <w:family w:val="roman"/>
    <w:pitch w:val="default"/>
    <w:sig w:usb0="E00006FF" w:usb1="420024FF" w:usb2="02000000" w:usb3="00000000" w:csb0="2000019F" w:csb1="00000000"/>
  </w:font>
  <w:font w:name="Heiti SC Light">
    <w:altName w:val="Noto Serif SC"/>
    <w:panose1 w:val="00000000000000000000"/>
    <w:charset w:val="80"/>
    <w:family w:val="auto"/>
    <w:pitch w:val="default"/>
    <w:sig w:usb0="00000000" w:usb1="00000000" w:usb2="00000000" w:usb3="00000000" w:csb0="203E0000" w:csb1="00000000"/>
  </w:font>
  <w:font w:name="Noto Serif SC">
    <w:panose1 w:val="02020200000000000000"/>
    <w:charset w:val="86"/>
    <w:family w:val="auto"/>
    <w:pitch w:val="default"/>
    <w:sig w:usb0="20000083" w:usb1="2ADF3C10" w:usb2="00000016" w:usb3="00000000" w:csb0="60060107" w:csb1="00000000"/>
  </w:font>
  <w:font w:name="Times New Roman (标题 CS)">
    <w:altName w:val="Times New Roman"/>
    <w:panose1 w:val="00000000000000000000"/>
    <w:charset w:val="00"/>
    <w:family w:val="roman"/>
    <w:pitch w:val="default"/>
    <w:sig w:usb0="00000000" w:usb1="00000000" w:usb2="00000009" w:usb3="00000000" w:csb0="000001FF" w:csb1="00000000"/>
  </w:font>
  <w:font w:name="Times New Roman (正文 CS 字体)">
    <w:altName w:val="Times New Roman"/>
    <w:panose1 w:val="00000000000000000000"/>
    <w:charset w:val="00"/>
    <w:family w:val="roman"/>
    <w:pitch w:val="default"/>
    <w:sig w:usb0="00000000" w:usb1="00000000" w:usb2="00000009" w:usb3="00000000" w:csb0="0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Frutiger Roman">
    <w:altName w:val="Lucida Sans Unicode"/>
    <w:panose1 w:val="00000000000000000000"/>
    <w:charset w:val="00"/>
    <w:family w:val="swiss"/>
    <w:pitch w:val="default"/>
    <w:sig w:usb0="00000000" w:usb1="00000000" w:usb2="00000000" w:usb3="00000000" w:csb0="00000013" w:csb1="00000000"/>
  </w:font>
  <w:font w:name="Lucida Sans Unicode">
    <w:panose1 w:val="020B0602030504020204"/>
    <w:charset w:val="00"/>
    <w:family w:val="auto"/>
    <w:pitch w:val="default"/>
    <w:sig w:usb0="80001AFF" w:usb1="0000396B" w:usb2="00000000" w:usb3="00000000" w:csb0="200000BF" w:csb1="D7F70000"/>
  </w:font>
  <w:font w:name="方正仿宋_GBK">
    <w:panose1 w:val="02000000000000000000"/>
    <w:charset w:val="86"/>
    <w:family w:val="auto"/>
    <w:pitch w:val="default"/>
    <w:sig w:usb0="A00002BF" w:usb1="38CF7CFA"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33388">
    <w:pPr>
      <w:pStyle w:val="55"/>
      <w:rPr>
        <w:b/>
        <w:bCs/>
        <w:sz w:val="21"/>
        <w:szCs w:val="22"/>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9A695E">
                          <w:pPr>
                            <w:pStyle w:val="55"/>
                          </w:pPr>
                          <w:r>
                            <w:fldChar w:fldCharType="begin"/>
                          </w:r>
                          <w:r>
                            <w:instrText xml:space="preserve"> PAGE  \* MERGEFORMAT </w:instrText>
                          </w:r>
                          <w:r>
                            <w:fldChar w:fldCharType="separate"/>
                          </w:r>
                          <w:r>
                            <w:t>II</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789A695E">
                    <w:pPr>
                      <w:pStyle w:val="55"/>
                    </w:pPr>
                    <w:r>
                      <w:fldChar w:fldCharType="begin"/>
                    </w:r>
                    <w:r>
                      <w:instrText xml:space="preserve"> PAGE  \* MERGEFORMAT </w:instrText>
                    </w:r>
                    <w:r>
                      <w:fldChar w:fldCharType="separate"/>
                    </w:r>
                    <w:r>
                      <w:t>II</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D0FD0">
    <w:pPr>
      <w:pStyle w:val="55"/>
      <w:rPr>
        <w:b/>
        <w:bCs/>
        <w:sz w:val="21"/>
        <w:szCs w:val="22"/>
      </w:rPr>
    </w:pPr>
    <w:r>
      <w:rPr>
        <w:sz w:val="21"/>
      </w:rPr>
      <mc:AlternateContent>
        <mc:Choice Requires="wps">
          <w:drawing>
            <wp:anchor distT="0" distB="0" distL="114300" distR="114300" simplePos="0" relativeHeight="251660288" behindDoc="0" locked="0" layoutInCell="1" allowOverlap="1">
              <wp:simplePos x="0" y="0"/>
              <wp:positionH relativeFrom="margin">
                <wp:posOffset>2906395</wp:posOffset>
              </wp:positionH>
              <wp:positionV relativeFrom="paragraph">
                <wp:posOffset>-56515</wp:posOffset>
              </wp:positionV>
              <wp:extent cx="470535" cy="3346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470535" cy="3346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3D6D41">
                          <w:pPr>
                            <w:pStyle w:val="55"/>
                            <w:jc w:val="center"/>
                            <w:rPr>
                              <w:b/>
                              <w:bCs/>
                              <w:sz w:val="22"/>
                              <w:szCs w:val="24"/>
                            </w:rPr>
                          </w:pPr>
                          <w:r>
                            <w:rPr>
                              <w:b/>
                              <w:bCs/>
                              <w:sz w:val="22"/>
                              <w:szCs w:val="24"/>
                            </w:rPr>
                            <w:fldChar w:fldCharType="begin"/>
                          </w:r>
                          <w:r>
                            <w:rPr>
                              <w:b/>
                              <w:bCs/>
                              <w:sz w:val="22"/>
                              <w:szCs w:val="24"/>
                            </w:rPr>
                            <w:instrText xml:space="preserve"> PAGE  \* MERGEFORMAT </w:instrText>
                          </w:r>
                          <w:r>
                            <w:rPr>
                              <w:b/>
                              <w:bCs/>
                              <w:sz w:val="22"/>
                              <w:szCs w:val="24"/>
                            </w:rPr>
                            <w:fldChar w:fldCharType="separate"/>
                          </w:r>
                          <w:r>
                            <w:rPr>
                              <w:b/>
                              <w:bCs/>
                              <w:sz w:val="22"/>
                              <w:szCs w:val="24"/>
                            </w:rPr>
                            <w:t>25</w:t>
                          </w:r>
                          <w:r>
                            <w:rPr>
                              <w:b/>
                              <w:bCs/>
                              <w:sz w:val="22"/>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28.85pt;margin-top:-4.45pt;height:26.35pt;width:37.05pt;mso-position-horizontal-relative:margin;z-index:251660288;mso-width-relative:page;mso-height-relative:page;" filled="f" stroked="f" coordsize="21600,21600" o:gfxdata="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Gi39b2QAAAAkBAAAPAAAAAAAAAAEAIAAAACIAAABkcnMvZG93bnJldi54&#10;bWxQSwECFAAUAAAACACHTuJAJGjgKjICAABVBAAADgAAAAAAAAABACAAAAAoAQAAZHJzL2Uyb0Rv&#10;Yy54bWxQSwUGAAAAAAYABgBZAQAAzAUAAAAA&#10;">
              <v:fill on="f" focussize="0,0"/>
              <v:stroke on="f" weight="0.5pt"/>
              <v:imagedata o:title=""/>
              <o:lock v:ext="edit" aspectratio="f"/>
              <v:textbox inset="0mm,0mm,0mm,0mm">
                <w:txbxContent>
                  <w:p w14:paraId="553D6D41">
                    <w:pPr>
                      <w:pStyle w:val="55"/>
                      <w:jc w:val="center"/>
                      <w:rPr>
                        <w:b/>
                        <w:bCs/>
                        <w:sz w:val="22"/>
                        <w:szCs w:val="24"/>
                      </w:rPr>
                    </w:pPr>
                    <w:r>
                      <w:rPr>
                        <w:b/>
                        <w:bCs/>
                        <w:sz w:val="22"/>
                        <w:szCs w:val="24"/>
                      </w:rPr>
                      <w:fldChar w:fldCharType="begin"/>
                    </w:r>
                    <w:r>
                      <w:rPr>
                        <w:b/>
                        <w:bCs/>
                        <w:sz w:val="22"/>
                        <w:szCs w:val="24"/>
                      </w:rPr>
                      <w:instrText xml:space="preserve"> PAGE  \* MERGEFORMAT </w:instrText>
                    </w:r>
                    <w:r>
                      <w:rPr>
                        <w:b/>
                        <w:bCs/>
                        <w:sz w:val="22"/>
                        <w:szCs w:val="24"/>
                      </w:rPr>
                      <w:fldChar w:fldCharType="separate"/>
                    </w:r>
                    <w:r>
                      <w:rPr>
                        <w:b/>
                        <w:bCs/>
                        <w:sz w:val="22"/>
                        <w:szCs w:val="24"/>
                      </w:rPr>
                      <w:t>25</w:t>
                    </w:r>
                    <w:r>
                      <w:rPr>
                        <w:b/>
                        <w:bCs/>
                        <w:sz w:val="22"/>
                        <w:szCs w:val="24"/>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A2A1E">
    <w:pPr>
      <w:pStyle w:val="57"/>
      <w:pBdr>
        <w:bottom w:val="none" w:color="auto" w:sz="0" w:space="0"/>
      </w:pBdr>
      <w:spacing w:line="240" w:lineRule="auto"/>
      <w:jc w:val="right"/>
    </w:pPr>
    <w:r>
      <w:drawing>
        <wp:inline distT="0" distB="0" distL="114300" distR="114300">
          <wp:extent cx="1698625" cy="335280"/>
          <wp:effectExtent l="0" t="0" r="15875" b="7620"/>
          <wp:docPr id="1720696903" name="图片 172069690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696903" name="图片 1720696903" descr="标志"/>
                  <pic:cNvPicPr>
                    <a:picLocks noChangeAspect="1"/>
                  </pic:cNvPicPr>
                </pic:nvPicPr>
                <pic:blipFill>
                  <a:blip r:embed="rId1">
                    <a:lum contrast="20000"/>
                  </a:blip>
                  <a:stretch>
                    <a:fillRect/>
                  </a:stretch>
                </pic:blipFill>
                <pic:spPr>
                  <a:xfrm>
                    <a:off x="0" y="0"/>
                    <a:ext cx="1698625" cy="33528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65"/>
      <w:lvlText w:val="%1."/>
      <w:lvlJc w:val="left"/>
      <w:pPr>
        <w:tabs>
          <w:tab w:val="left" w:pos="2040"/>
        </w:tabs>
        <w:ind w:left="2040" w:leftChars="800" w:hanging="360" w:hangingChars="200"/>
      </w:pPr>
    </w:lvl>
  </w:abstractNum>
  <w:abstractNum w:abstractNumId="1">
    <w:nsid w:val="FFFFFF7D"/>
    <w:multiLevelType w:val="singleLevel"/>
    <w:tmpl w:val="FFFFFF7D"/>
    <w:lvl w:ilvl="0" w:tentative="0">
      <w:start w:val="1"/>
      <w:numFmt w:val="decimal"/>
      <w:pStyle w:val="47"/>
      <w:lvlText w:val="%1."/>
      <w:lvlJc w:val="left"/>
      <w:pPr>
        <w:tabs>
          <w:tab w:val="left" w:pos="1620"/>
        </w:tabs>
        <w:ind w:left="1620" w:leftChars="600" w:hanging="360" w:hangingChars="200"/>
      </w:pPr>
    </w:lvl>
  </w:abstractNum>
  <w:abstractNum w:abstractNumId="2">
    <w:nsid w:val="FFFFFF7E"/>
    <w:multiLevelType w:val="singleLevel"/>
    <w:tmpl w:val="FFFFFF7E"/>
    <w:lvl w:ilvl="0" w:tentative="0">
      <w:start w:val="1"/>
      <w:numFmt w:val="decimal"/>
      <w:pStyle w:val="36"/>
      <w:lvlText w:val="%1."/>
      <w:lvlJc w:val="left"/>
      <w:pPr>
        <w:tabs>
          <w:tab w:val="left" w:pos="1200"/>
        </w:tabs>
        <w:ind w:left="1200" w:leftChars="400" w:hanging="360" w:hangingChars="200"/>
      </w:pPr>
    </w:lvl>
  </w:abstractNum>
  <w:abstractNum w:abstractNumId="3">
    <w:nsid w:val="FFFFFF80"/>
    <w:multiLevelType w:val="singleLevel"/>
    <w:tmpl w:val="FFFFFF80"/>
    <w:lvl w:ilvl="0" w:tentative="0">
      <w:start w:val="1"/>
      <w:numFmt w:val="bullet"/>
      <w:pStyle w:val="46"/>
      <w:lvlText w:val=""/>
      <w:lvlJc w:val="left"/>
      <w:pPr>
        <w:tabs>
          <w:tab w:val="left" w:pos="2040"/>
        </w:tabs>
        <w:ind w:left="2040" w:leftChars="800" w:hanging="360" w:hangingChars="200"/>
      </w:pPr>
      <w:rPr>
        <w:rFonts w:hint="default" w:ascii="Wingdings" w:hAnsi="Wingdings"/>
      </w:rPr>
    </w:lvl>
  </w:abstractNum>
  <w:abstractNum w:abstractNumId="4">
    <w:nsid w:val="FFFFFF81"/>
    <w:multiLevelType w:val="singleLevel"/>
    <w:tmpl w:val="FFFFFF81"/>
    <w:lvl w:ilvl="0" w:tentative="0">
      <w:start w:val="1"/>
      <w:numFmt w:val="bullet"/>
      <w:pStyle w:val="17"/>
      <w:lvlText w:val=""/>
      <w:lvlJc w:val="left"/>
      <w:pPr>
        <w:tabs>
          <w:tab w:val="left" w:pos="1620"/>
        </w:tabs>
        <w:ind w:left="1620" w:leftChars="600" w:hanging="360" w:hangingChars="200"/>
      </w:pPr>
      <w:rPr>
        <w:rFonts w:hint="default" w:ascii="Wingdings" w:hAnsi="Wingdings"/>
      </w:rPr>
    </w:lvl>
  </w:abstractNum>
  <w:abstractNum w:abstractNumId="5">
    <w:nsid w:val="FFFFFF82"/>
    <w:multiLevelType w:val="singleLevel"/>
    <w:tmpl w:val="FFFFFF82"/>
    <w:lvl w:ilvl="0" w:tentative="0">
      <w:start w:val="1"/>
      <w:numFmt w:val="bullet"/>
      <w:pStyle w:val="33"/>
      <w:lvlText w:val=""/>
      <w:lvlJc w:val="left"/>
      <w:pPr>
        <w:tabs>
          <w:tab w:val="left" w:pos="1200"/>
        </w:tabs>
        <w:ind w:left="1200" w:leftChars="400" w:hanging="360" w:hangingChars="200"/>
      </w:pPr>
      <w:rPr>
        <w:rFonts w:hint="default" w:ascii="Wingdings" w:hAnsi="Wingdings"/>
      </w:rPr>
    </w:lvl>
  </w:abstractNum>
  <w:abstractNum w:abstractNumId="6">
    <w:nsid w:val="FFFFFF83"/>
    <w:multiLevelType w:val="singleLevel"/>
    <w:tmpl w:val="FFFFFF83"/>
    <w:lvl w:ilvl="0" w:tentative="0">
      <w:start w:val="1"/>
      <w:numFmt w:val="bullet"/>
      <w:pStyle w:val="40"/>
      <w:lvlText w:val=""/>
      <w:lvlJc w:val="left"/>
      <w:pPr>
        <w:tabs>
          <w:tab w:val="left" w:pos="780"/>
        </w:tabs>
        <w:ind w:left="780" w:leftChars="200" w:hanging="360" w:hangingChars="200"/>
      </w:pPr>
      <w:rPr>
        <w:rFonts w:hint="default" w:ascii="Wingdings" w:hAnsi="Wingdings"/>
      </w:rPr>
    </w:lvl>
  </w:abstractNum>
  <w:abstractNum w:abstractNumId="7">
    <w:nsid w:val="FFFFFF88"/>
    <w:multiLevelType w:val="singleLevel"/>
    <w:tmpl w:val="FFFFFF88"/>
    <w:lvl w:ilvl="0" w:tentative="0">
      <w:start w:val="1"/>
      <w:numFmt w:val="decimal"/>
      <w:pStyle w:val="20"/>
      <w:lvlText w:val="%1."/>
      <w:lvlJc w:val="left"/>
      <w:pPr>
        <w:tabs>
          <w:tab w:val="left" w:pos="360"/>
        </w:tabs>
        <w:ind w:left="360" w:hanging="360" w:hangingChars="200"/>
      </w:pPr>
    </w:lvl>
  </w:abstractNum>
  <w:abstractNum w:abstractNumId="8">
    <w:nsid w:val="FFFFFF89"/>
    <w:multiLevelType w:val="singleLevel"/>
    <w:tmpl w:val="FFFFFF89"/>
    <w:lvl w:ilvl="0" w:tentative="0">
      <w:start w:val="1"/>
      <w:numFmt w:val="bullet"/>
      <w:pStyle w:val="24"/>
      <w:lvlText w:val=""/>
      <w:lvlJc w:val="left"/>
      <w:pPr>
        <w:tabs>
          <w:tab w:val="left" w:pos="360"/>
        </w:tabs>
        <w:ind w:left="360" w:hanging="360" w:hangingChars="200"/>
      </w:pPr>
      <w:rPr>
        <w:rFonts w:hint="default" w:ascii="Wingdings" w:hAnsi="Wingdings"/>
      </w:rPr>
    </w:lvl>
  </w:abstractNum>
  <w:abstractNum w:abstractNumId="9">
    <w:nsid w:val="FFFFFFFB"/>
    <w:multiLevelType w:val="multilevel"/>
    <w:tmpl w:val="FFFFFFFB"/>
    <w:lvl w:ilvl="0" w:tentative="0">
      <w:start w:val="1"/>
      <w:numFmt w:val="decimal"/>
      <w:lvlText w:val="%1."/>
      <w:legacy w:legacy="1" w:legacySpace="0" w:legacyIndent="425"/>
      <w:lvlJc w:val="left"/>
      <w:pPr>
        <w:ind w:left="425" w:hanging="425"/>
      </w:pPr>
    </w:lvl>
    <w:lvl w:ilvl="1" w:tentative="0">
      <w:start w:val="1"/>
      <w:numFmt w:val="decimal"/>
      <w:lvlText w:val="%1.%2."/>
      <w:legacy w:legacy="1" w:legacySpace="0" w:legacyIndent="425"/>
      <w:lvlJc w:val="left"/>
      <w:pPr>
        <w:ind w:left="850" w:hanging="425"/>
      </w:pPr>
    </w:lvl>
    <w:lvl w:ilvl="2" w:tentative="0">
      <w:start w:val="1"/>
      <w:numFmt w:val="decimal"/>
      <w:lvlText w:val="%1.%2.%3."/>
      <w:legacy w:legacy="1" w:legacySpace="0" w:legacyIndent="425"/>
      <w:lvlJc w:val="left"/>
      <w:pPr>
        <w:ind w:left="1275" w:hanging="425"/>
      </w:pPr>
    </w:lvl>
    <w:lvl w:ilvl="3" w:tentative="0">
      <w:start w:val="1"/>
      <w:numFmt w:val="decimal"/>
      <w:lvlText w:val="%1.%2.%3.%4."/>
      <w:legacy w:legacy="1" w:legacySpace="0" w:legacyIndent="425"/>
      <w:lvlJc w:val="left"/>
      <w:pPr>
        <w:ind w:left="1700" w:hanging="425"/>
      </w:pPr>
    </w:lvl>
    <w:lvl w:ilvl="4" w:tentative="0">
      <w:start w:val="1"/>
      <w:numFmt w:val="decimal"/>
      <w:pStyle w:val="7"/>
      <w:lvlText w:val="%1.%2.%3.%4.%5."/>
      <w:legacy w:legacy="1" w:legacySpace="0" w:legacyIndent="425"/>
      <w:lvlJc w:val="left"/>
      <w:pPr>
        <w:ind w:left="2125" w:hanging="425"/>
      </w:pPr>
    </w:lvl>
    <w:lvl w:ilvl="5" w:tentative="0">
      <w:start w:val="1"/>
      <w:numFmt w:val="decimal"/>
      <w:lvlText w:val="%1.%2.%3.%4.%5.%6."/>
      <w:legacy w:legacy="1" w:legacySpace="0" w:legacyIndent="425"/>
      <w:lvlJc w:val="left"/>
      <w:pPr>
        <w:ind w:left="2550" w:hanging="425"/>
      </w:pPr>
    </w:lvl>
    <w:lvl w:ilvl="6" w:tentative="0">
      <w:start w:val="1"/>
      <w:numFmt w:val="decimal"/>
      <w:lvlText w:val="%1.%2.%3.%4.%5.%6.%7."/>
      <w:legacy w:legacy="1" w:legacySpace="0" w:legacyIndent="425"/>
      <w:lvlJc w:val="left"/>
      <w:pPr>
        <w:ind w:left="2975" w:hanging="425"/>
      </w:pPr>
    </w:lvl>
    <w:lvl w:ilvl="7" w:tentative="0">
      <w:start w:val="1"/>
      <w:numFmt w:val="decimal"/>
      <w:lvlText w:val="%1.%2.%3.%4.%5.%6.%7.%8."/>
      <w:legacy w:legacy="1" w:legacySpace="0" w:legacyIndent="425"/>
      <w:lvlJc w:val="left"/>
      <w:pPr>
        <w:ind w:left="3400" w:hanging="425"/>
      </w:pPr>
    </w:lvl>
    <w:lvl w:ilvl="8" w:tentative="0">
      <w:start w:val="1"/>
      <w:numFmt w:val="decimal"/>
      <w:lvlText w:val="%1.%2.%3.%4.%5.%6.%7.%8.%9."/>
      <w:legacy w:legacy="1" w:legacySpace="0" w:legacyIndent="425"/>
      <w:lvlJc w:val="left"/>
      <w:pPr>
        <w:ind w:left="3825" w:hanging="425"/>
      </w:pPr>
    </w:lvl>
  </w:abstractNum>
  <w:abstractNum w:abstractNumId="10">
    <w:nsid w:val="00000014"/>
    <w:multiLevelType w:val="multilevel"/>
    <w:tmpl w:val="00000014"/>
    <w:lvl w:ilvl="0" w:tentative="0">
      <w:start w:val="2"/>
      <w:numFmt w:val="lowerLetter"/>
      <w:pStyle w:val="14"/>
      <w:lvlText w:val="%1)"/>
      <w:lvlJc w:val="left"/>
      <w:pPr>
        <w:tabs>
          <w:tab w:val="left" w:pos="330"/>
        </w:tabs>
        <w:ind w:left="330" w:hanging="360"/>
      </w:pPr>
      <w:rPr>
        <w:rFonts w:hint="default"/>
      </w:rPr>
    </w:lvl>
    <w:lvl w:ilvl="1" w:tentative="0">
      <w:start w:val="1"/>
      <w:numFmt w:val="lowerLetter"/>
      <w:lvlText w:val="%2)"/>
      <w:lvlJc w:val="left"/>
      <w:pPr>
        <w:tabs>
          <w:tab w:val="left" w:pos="810"/>
        </w:tabs>
        <w:ind w:left="810" w:hanging="420"/>
      </w:pPr>
    </w:lvl>
    <w:lvl w:ilvl="2" w:tentative="0">
      <w:start w:val="1"/>
      <w:numFmt w:val="lowerRoman"/>
      <w:lvlText w:val="%3."/>
      <w:lvlJc w:val="right"/>
      <w:pPr>
        <w:tabs>
          <w:tab w:val="left" w:pos="1230"/>
        </w:tabs>
        <w:ind w:left="1230" w:hanging="420"/>
      </w:pPr>
    </w:lvl>
    <w:lvl w:ilvl="3" w:tentative="0">
      <w:start w:val="1"/>
      <w:numFmt w:val="decimal"/>
      <w:lvlText w:val="%4."/>
      <w:lvlJc w:val="left"/>
      <w:pPr>
        <w:tabs>
          <w:tab w:val="left" w:pos="1650"/>
        </w:tabs>
        <w:ind w:left="1650" w:hanging="420"/>
      </w:pPr>
    </w:lvl>
    <w:lvl w:ilvl="4" w:tentative="0">
      <w:start w:val="1"/>
      <w:numFmt w:val="lowerLetter"/>
      <w:lvlText w:val="%5)"/>
      <w:lvlJc w:val="left"/>
      <w:pPr>
        <w:tabs>
          <w:tab w:val="left" w:pos="2070"/>
        </w:tabs>
        <w:ind w:left="2070" w:hanging="420"/>
      </w:pPr>
    </w:lvl>
    <w:lvl w:ilvl="5" w:tentative="0">
      <w:start w:val="1"/>
      <w:numFmt w:val="lowerRoman"/>
      <w:lvlText w:val="%6."/>
      <w:lvlJc w:val="right"/>
      <w:pPr>
        <w:tabs>
          <w:tab w:val="left" w:pos="2490"/>
        </w:tabs>
        <w:ind w:left="2490" w:hanging="420"/>
      </w:pPr>
    </w:lvl>
    <w:lvl w:ilvl="6" w:tentative="0">
      <w:start w:val="1"/>
      <w:numFmt w:val="decimal"/>
      <w:lvlText w:val="%7."/>
      <w:lvlJc w:val="left"/>
      <w:pPr>
        <w:tabs>
          <w:tab w:val="left" w:pos="2910"/>
        </w:tabs>
        <w:ind w:left="2910" w:hanging="420"/>
      </w:pPr>
    </w:lvl>
    <w:lvl w:ilvl="7" w:tentative="0">
      <w:start w:val="1"/>
      <w:numFmt w:val="lowerLetter"/>
      <w:lvlText w:val="%8)"/>
      <w:lvlJc w:val="left"/>
      <w:pPr>
        <w:tabs>
          <w:tab w:val="left" w:pos="3330"/>
        </w:tabs>
        <w:ind w:left="3330" w:hanging="420"/>
      </w:pPr>
    </w:lvl>
    <w:lvl w:ilvl="8" w:tentative="0">
      <w:start w:val="1"/>
      <w:numFmt w:val="lowerRoman"/>
      <w:lvlText w:val="%9."/>
      <w:lvlJc w:val="right"/>
      <w:pPr>
        <w:tabs>
          <w:tab w:val="left" w:pos="3750"/>
        </w:tabs>
        <w:ind w:left="3750" w:hanging="420"/>
      </w:pPr>
    </w:lvl>
  </w:abstractNum>
  <w:abstractNum w:abstractNumId="11">
    <w:nsid w:val="0315620E"/>
    <w:multiLevelType w:val="multilevel"/>
    <w:tmpl w:val="0315620E"/>
    <w:lvl w:ilvl="0" w:tentative="0">
      <w:start w:val="1"/>
      <w:numFmt w:val="decimal"/>
      <w:pStyle w:val="3"/>
      <w:lvlText w:val="%1"/>
      <w:lvlJc w:val="left"/>
      <w:pPr>
        <w:tabs>
          <w:tab w:val="left" w:pos="360"/>
        </w:tabs>
        <w:ind w:left="284" w:hanging="284"/>
      </w:pPr>
      <w:rPr>
        <w:rFonts w:hint="default" w:ascii="Times New Roman" w:hAnsi="Times New Roman"/>
        <w:b/>
        <w:i w:val="0"/>
        <w:sz w:val="28"/>
      </w:rPr>
    </w:lvl>
    <w:lvl w:ilvl="1" w:tentative="0">
      <w:start w:val="1"/>
      <w:numFmt w:val="decimal"/>
      <w:pStyle w:val="4"/>
      <w:lvlText w:val="%1.%2"/>
      <w:lvlJc w:val="left"/>
      <w:pPr>
        <w:tabs>
          <w:tab w:val="left" w:pos="596"/>
        </w:tabs>
        <w:ind w:left="596" w:hanging="596"/>
      </w:pPr>
      <w:rPr>
        <w:rFonts w:hint="default" w:ascii="Times New Roman" w:hAnsi="Times New Roman"/>
        <w:b/>
        <w:i w:val="0"/>
        <w:sz w:val="28"/>
      </w:rPr>
    </w:lvl>
    <w:lvl w:ilvl="2" w:tentative="0">
      <w:start w:val="1"/>
      <w:numFmt w:val="decimal"/>
      <w:pStyle w:val="5"/>
      <w:lvlText w:val="%1.%2.%3"/>
      <w:lvlJc w:val="left"/>
      <w:pPr>
        <w:tabs>
          <w:tab w:val="left" w:pos="1588"/>
        </w:tabs>
        <w:ind w:left="1588" w:hanging="737"/>
      </w:pPr>
      <w:rPr>
        <w:rFonts w:hint="default" w:ascii="Times New Roman" w:hAnsi="Times New Roman"/>
        <w:b/>
        <w:i w:val="0"/>
        <w:sz w:val="24"/>
      </w:rPr>
    </w:lvl>
    <w:lvl w:ilvl="3" w:tentative="0">
      <w:start w:val="1"/>
      <w:numFmt w:val="decimal"/>
      <w:pStyle w:val="6"/>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2">
    <w:nsid w:val="07020397"/>
    <w:multiLevelType w:val="multilevel"/>
    <w:tmpl w:val="07020397"/>
    <w:lvl w:ilvl="0" w:tentative="0">
      <w:start w:val="1"/>
      <w:numFmt w:val="decimal"/>
      <w:pStyle w:val="401"/>
      <w:lvlText w:val="%1"/>
      <w:lvlJc w:val="left"/>
      <w:pPr>
        <w:ind w:left="425" w:hanging="425"/>
      </w:pPr>
      <w:rPr>
        <w:rFonts w:hint="eastAsia"/>
      </w:rPr>
    </w:lvl>
    <w:lvl w:ilvl="1" w:tentative="0">
      <w:start w:val="1"/>
      <w:numFmt w:val="decimal"/>
      <w:pStyle w:val="397"/>
      <w:lvlText w:val="%1.%2"/>
      <w:lvlJc w:val="left"/>
      <w:pPr>
        <w:ind w:left="0" w:firstLine="0"/>
      </w:pPr>
      <w:rPr>
        <w:rFonts w:hint="eastAsia"/>
      </w:rPr>
    </w:lvl>
    <w:lvl w:ilvl="2" w:tentative="0">
      <w:start w:val="1"/>
      <w:numFmt w:val="decimal"/>
      <w:pStyle w:val="403"/>
      <w:lvlText w:val="%1.%2.%3"/>
      <w:lvlJc w:val="left"/>
      <w:pPr>
        <w:ind w:left="0" w:firstLine="0"/>
      </w:pPr>
      <w:rPr>
        <w:rFonts w:hint="eastAsia"/>
      </w:rPr>
    </w:lvl>
    <w:lvl w:ilvl="3" w:tentative="0">
      <w:start w:val="1"/>
      <w:numFmt w:val="decimal"/>
      <w:pStyle w:val="406"/>
      <w:lvlText w:val="%1.%2.%3.%4"/>
      <w:lvlJc w:val="left"/>
      <w:pPr>
        <w:ind w:left="0" w:firstLine="0"/>
      </w:pPr>
      <w:rPr>
        <w:rFonts w:hint="eastAsia"/>
      </w:rPr>
    </w:lvl>
    <w:lvl w:ilvl="4" w:tentative="0">
      <w:start w:val="1"/>
      <w:numFmt w:val="decimal"/>
      <w:pStyle w:val="407"/>
      <w:lvlText w:val="%1.%2.%3.%4.%5"/>
      <w:lvlJc w:val="left"/>
      <w:pPr>
        <w:ind w:left="0" w:firstLine="0"/>
      </w:pPr>
      <w:rPr>
        <w:rFonts w:hint="eastAsia"/>
      </w:rPr>
    </w:lvl>
    <w:lvl w:ilvl="5" w:tentative="0">
      <w:start w:val="1"/>
      <w:numFmt w:val="decimal"/>
      <w:pStyle w:val="405"/>
      <w:lvlText w:val="%1.%2.%3.%4.%5.%6"/>
      <w:lvlJc w:val="left"/>
      <w:pPr>
        <w:ind w:left="0" w:firstLine="0"/>
      </w:pPr>
      <w:rPr>
        <w:rFonts w:hint="eastAsia"/>
      </w:rPr>
    </w:lvl>
    <w:lvl w:ilvl="6" w:tentative="0">
      <w:start w:val="1"/>
      <w:numFmt w:val="decimal"/>
      <w:pStyle w:val="404"/>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3">
    <w:nsid w:val="097907D7"/>
    <w:multiLevelType w:val="multilevel"/>
    <w:tmpl w:val="097907D7"/>
    <w:lvl w:ilvl="0" w:tentative="0">
      <w:start w:val="1"/>
      <w:numFmt w:val="decimal"/>
      <w:pStyle w:val="113"/>
      <w:lvlText w:val="(%1)"/>
      <w:lvlJc w:val="lef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63852405"/>
    <w:multiLevelType w:val="multilevel"/>
    <w:tmpl w:val="63852405"/>
    <w:lvl w:ilvl="0" w:tentative="0">
      <w:start w:val="1"/>
      <w:numFmt w:val="decimal"/>
      <w:pStyle w:val="198"/>
      <w:lvlText w:val="%1."/>
      <w:lvlJc w:val="left"/>
      <w:pPr>
        <w:tabs>
          <w:tab w:val="left" w:pos="779"/>
        </w:tabs>
        <w:ind w:left="779" w:hanging="420"/>
      </w:pPr>
    </w:lvl>
    <w:lvl w:ilvl="1" w:tentative="0">
      <w:start w:val="1"/>
      <w:numFmt w:val="lowerLetter"/>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num w:numId="1">
    <w:abstractNumId w:val="11"/>
  </w:num>
  <w:num w:numId="2">
    <w:abstractNumId w:val="9"/>
  </w:num>
  <w:num w:numId="3">
    <w:abstractNumId w:val="10"/>
  </w:num>
  <w:num w:numId="4">
    <w:abstractNumId w:val="4"/>
  </w:num>
  <w:num w:numId="5">
    <w:abstractNumId w:val="7"/>
  </w:num>
  <w:num w:numId="6">
    <w:abstractNumId w:val="8"/>
  </w:num>
  <w:num w:numId="7">
    <w:abstractNumId w:val="5"/>
  </w:num>
  <w:num w:numId="8">
    <w:abstractNumId w:val="2"/>
  </w:num>
  <w:num w:numId="9">
    <w:abstractNumId w:val="6"/>
  </w:num>
  <w:num w:numId="10">
    <w:abstractNumId w:val="3"/>
  </w:num>
  <w:num w:numId="11">
    <w:abstractNumId w:val="1"/>
  </w:num>
  <w:num w:numId="12">
    <w:abstractNumId w:val="0"/>
  </w:num>
  <w:num w:numId="13">
    <w:abstractNumId w:val="13"/>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displayBackgroundShape w:val="1"/>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331"/>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xMmI2YTg2ODcyNWI0M2M3YzFlYzEwZjRmOWNhYzUifQ=="/>
  </w:docVars>
  <w:rsids>
    <w:rsidRoot w:val="00172A27"/>
    <w:rsid w:val="000002B2"/>
    <w:rsid w:val="00000416"/>
    <w:rsid w:val="00000E1C"/>
    <w:rsid w:val="00001088"/>
    <w:rsid w:val="0000113A"/>
    <w:rsid w:val="00001932"/>
    <w:rsid w:val="00001BD9"/>
    <w:rsid w:val="000022BC"/>
    <w:rsid w:val="0000241B"/>
    <w:rsid w:val="0000291B"/>
    <w:rsid w:val="00002A12"/>
    <w:rsid w:val="00002B38"/>
    <w:rsid w:val="0000321A"/>
    <w:rsid w:val="00003547"/>
    <w:rsid w:val="00003E94"/>
    <w:rsid w:val="00003FC8"/>
    <w:rsid w:val="00003FD6"/>
    <w:rsid w:val="0000405C"/>
    <w:rsid w:val="000042BF"/>
    <w:rsid w:val="00004374"/>
    <w:rsid w:val="00004736"/>
    <w:rsid w:val="00004EAB"/>
    <w:rsid w:val="00004EFD"/>
    <w:rsid w:val="000054BE"/>
    <w:rsid w:val="00006C99"/>
    <w:rsid w:val="00007097"/>
    <w:rsid w:val="00007211"/>
    <w:rsid w:val="000072A0"/>
    <w:rsid w:val="00007A2A"/>
    <w:rsid w:val="00007F83"/>
    <w:rsid w:val="00010154"/>
    <w:rsid w:val="000101A8"/>
    <w:rsid w:val="000105AA"/>
    <w:rsid w:val="000107A4"/>
    <w:rsid w:val="000111B4"/>
    <w:rsid w:val="000123A6"/>
    <w:rsid w:val="00012B90"/>
    <w:rsid w:val="00012F3D"/>
    <w:rsid w:val="00013DB5"/>
    <w:rsid w:val="00013E6F"/>
    <w:rsid w:val="00014087"/>
    <w:rsid w:val="00014214"/>
    <w:rsid w:val="0001422F"/>
    <w:rsid w:val="00014307"/>
    <w:rsid w:val="0001480F"/>
    <w:rsid w:val="00014D1F"/>
    <w:rsid w:val="00015067"/>
    <w:rsid w:val="0001575F"/>
    <w:rsid w:val="00016091"/>
    <w:rsid w:val="00016892"/>
    <w:rsid w:val="00016A8C"/>
    <w:rsid w:val="00016CB0"/>
    <w:rsid w:val="00016D39"/>
    <w:rsid w:val="00016EBB"/>
    <w:rsid w:val="00017BE9"/>
    <w:rsid w:val="00017C95"/>
    <w:rsid w:val="00017FDA"/>
    <w:rsid w:val="000207FD"/>
    <w:rsid w:val="00020BD0"/>
    <w:rsid w:val="00020C1E"/>
    <w:rsid w:val="00020EFD"/>
    <w:rsid w:val="00020F88"/>
    <w:rsid w:val="0002140F"/>
    <w:rsid w:val="000216A5"/>
    <w:rsid w:val="00021AA2"/>
    <w:rsid w:val="00021B69"/>
    <w:rsid w:val="00021B8C"/>
    <w:rsid w:val="00021DD3"/>
    <w:rsid w:val="00021EC5"/>
    <w:rsid w:val="0002239C"/>
    <w:rsid w:val="00022493"/>
    <w:rsid w:val="0002297D"/>
    <w:rsid w:val="00022AEC"/>
    <w:rsid w:val="00022E45"/>
    <w:rsid w:val="00022F5E"/>
    <w:rsid w:val="000251A8"/>
    <w:rsid w:val="000253D2"/>
    <w:rsid w:val="0002557B"/>
    <w:rsid w:val="000258D1"/>
    <w:rsid w:val="00025E3B"/>
    <w:rsid w:val="00026470"/>
    <w:rsid w:val="0002648E"/>
    <w:rsid w:val="000273FE"/>
    <w:rsid w:val="000274D9"/>
    <w:rsid w:val="000274E3"/>
    <w:rsid w:val="000279F3"/>
    <w:rsid w:val="00027E64"/>
    <w:rsid w:val="000305A9"/>
    <w:rsid w:val="000305E4"/>
    <w:rsid w:val="000307EE"/>
    <w:rsid w:val="00030D67"/>
    <w:rsid w:val="000310EE"/>
    <w:rsid w:val="000313A4"/>
    <w:rsid w:val="0003148A"/>
    <w:rsid w:val="00031B31"/>
    <w:rsid w:val="000320AF"/>
    <w:rsid w:val="00032A6B"/>
    <w:rsid w:val="00032B7D"/>
    <w:rsid w:val="000330E3"/>
    <w:rsid w:val="00033487"/>
    <w:rsid w:val="00033506"/>
    <w:rsid w:val="000338B0"/>
    <w:rsid w:val="0003443D"/>
    <w:rsid w:val="000349A7"/>
    <w:rsid w:val="00034A12"/>
    <w:rsid w:val="00034C04"/>
    <w:rsid w:val="00034E42"/>
    <w:rsid w:val="0003587C"/>
    <w:rsid w:val="0003618A"/>
    <w:rsid w:val="0003653F"/>
    <w:rsid w:val="00040310"/>
    <w:rsid w:val="0004067B"/>
    <w:rsid w:val="00040B0F"/>
    <w:rsid w:val="00040C2D"/>
    <w:rsid w:val="00040DF3"/>
    <w:rsid w:val="00040FFB"/>
    <w:rsid w:val="00041180"/>
    <w:rsid w:val="000413B7"/>
    <w:rsid w:val="000419A6"/>
    <w:rsid w:val="00041A62"/>
    <w:rsid w:val="00041D1C"/>
    <w:rsid w:val="0004218D"/>
    <w:rsid w:val="000421B3"/>
    <w:rsid w:val="000422F0"/>
    <w:rsid w:val="00042498"/>
    <w:rsid w:val="0004267B"/>
    <w:rsid w:val="00042761"/>
    <w:rsid w:val="00042A1F"/>
    <w:rsid w:val="00042E3D"/>
    <w:rsid w:val="00042FFA"/>
    <w:rsid w:val="000430D5"/>
    <w:rsid w:val="00043169"/>
    <w:rsid w:val="0004346B"/>
    <w:rsid w:val="000436A7"/>
    <w:rsid w:val="00043B3F"/>
    <w:rsid w:val="000450DA"/>
    <w:rsid w:val="00045E5D"/>
    <w:rsid w:val="00045F72"/>
    <w:rsid w:val="00046B40"/>
    <w:rsid w:val="0004768C"/>
    <w:rsid w:val="00047A46"/>
    <w:rsid w:val="00047D61"/>
    <w:rsid w:val="00047F83"/>
    <w:rsid w:val="00050840"/>
    <w:rsid w:val="0005084A"/>
    <w:rsid w:val="0005148F"/>
    <w:rsid w:val="00051989"/>
    <w:rsid w:val="00051E14"/>
    <w:rsid w:val="0005226D"/>
    <w:rsid w:val="00052290"/>
    <w:rsid w:val="00052BAA"/>
    <w:rsid w:val="00052BAF"/>
    <w:rsid w:val="00052C24"/>
    <w:rsid w:val="000530B8"/>
    <w:rsid w:val="000542F9"/>
    <w:rsid w:val="0005452A"/>
    <w:rsid w:val="00054933"/>
    <w:rsid w:val="000553D1"/>
    <w:rsid w:val="000559B1"/>
    <w:rsid w:val="0005650D"/>
    <w:rsid w:val="000567DF"/>
    <w:rsid w:val="00056933"/>
    <w:rsid w:val="00057281"/>
    <w:rsid w:val="00057FB5"/>
    <w:rsid w:val="000601BA"/>
    <w:rsid w:val="00060901"/>
    <w:rsid w:val="000609A0"/>
    <w:rsid w:val="000611F0"/>
    <w:rsid w:val="000613E7"/>
    <w:rsid w:val="00061672"/>
    <w:rsid w:val="00061C37"/>
    <w:rsid w:val="00061EBC"/>
    <w:rsid w:val="000622B2"/>
    <w:rsid w:val="000630DF"/>
    <w:rsid w:val="0006348D"/>
    <w:rsid w:val="00063788"/>
    <w:rsid w:val="00063BB2"/>
    <w:rsid w:val="00064455"/>
    <w:rsid w:val="0006495E"/>
    <w:rsid w:val="00064B5D"/>
    <w:rsid w:val="000658A4"/>
    <w:rsid w:val="000659E4"/>
    <w:rsid w:val="00065A99"/>
    <w:rsid w:val="00065DC2"/>
    <w:rsid w:val="00065F72"/>
    <w:rsid w:val="00066082"/>
    <w:rsid w:val="00066423"/>
    <w:rsid w:val="000664AA"/>
    <w:rsid w:val="00066EBC"/>
    <w:rsid w:val="00067665"/>
    <w:rsid w:val="00067DB2"/>
    <w:rsid w:val="0007142B"/>
    <w:rsid w:val="00071B90"/>
    <w:rsid w:val="00071D5E"/>
    <w:rsid w:val="00072333"/>
    <w:rsid w:val="0007268E"/>
    <w:rsid w:val="0007273A"/>
    <w:rsid w:val="0007290C"/>
    <w:rsid w:val="00072912"/>
    <w:rsid w:val="00072AEC"/>
    <w:rsid w:val="00073731"/>
    <w:rsid w:val="00073BF5"/>
    <w:rsid w:val="00073D63"/>
    <w:rsid w:val="0007439D"/>
    <w:rsid w:val="00074548"/>
    <w:rsid w:val="000747DA"/>
    <w:rsid w:val="000748CD"/>
    <w:rsid w:val="00074B25"/>
    <w:rsid w:val="00075091"/>
    <w:rsid w:val="0007526C"/>
    <w:rsid w:val="000753B5"/>
    <w:rsid w:val="00075D47"/>
    <w:rsid w:val="00075EF7"/>
    <w:rsid w:val="00076444"/>
    <w:rsid w:val="0007646A"/>
    <w:rsid w:val="0007675A"/>
    <w:rsid w:val="00076CE8"/>
    <w:rsid w:val="000771D0"/>
    <w:rsid w:val="00077249"/>
    <w:rsid w:val="000779EE"/>
    <w:rsid w:val="00077A59"/>
    <w:rsid w:val="00077BF9"/>
    <w:rsid w:val="00077C3A"/>
    <w:rsid w:val="00077CC1"/>
    <w:rsid w:val="000809A0"/>
    <w:rsid w:val="000809CE"/>
    <w:rsid w:val="00081714"/>
    <w:rsid w:val="00081BB1"/>
    <w:rsid w:val="00082118"/>
    <w:rsid w:val="000825C6"/>
    <w:rsid w:val="0008261F"/>
    <w:rsid w:val="0008271D"/>
    <w:rsid w:val="0008271F"/>
    <w:rsid w:val="00082CB4"/>
    <w:rsid w:val="000839DC"/>
    <w:rsid w:val="00083BF5"/>
    <w:rsid w:val="000846D4"/>
    <w:rsid w:val="00084971"/>
    <w:rsid w:val="0008499E"/>
    <w:rsid w:val="00084B40"/>
    <w:rsid w:val="00085163"/>
    <w:rsid w:val="00085C13"/>
    <w:rsid w:val="00086438"/>
    <w:rsid w:val="000865B4"/>
    <w:rsid w:val="0008694A"/>
    <w:rsid w:val="00086CC5"/>
    <w:rsid w:val="000873F4"/>
    <w:rsid w:val="000879D9"/>
    <w:rsid w:val="00087A6D"/>
    <w:rsid w:val="00087B59"/>
    <w:rsid w:val="00087FE4"/>
    <w:rsid w:val="00090067"/>
    <w:rsid w:val="000900E2"/>
    <w:rsid w:val="000900F7"/>
    <w:rsid w:val="000902BA"/>
    <w:rsid w:val="0009052A"/>
    <w:rsid w:val="0009073F"/>
    <w:rsid w:val="00090ABB"/>
    <w:rsid w:val="00090D5F"/>
    <w:rsid w:val="00090FDF"/>
    <w:rsid w:val="00091180"/>
    <w:rsid w:val="00091226"/>
    <w:rsid w:val="00091299"/>
    <w:rsid w:val="000918E6"/>
    <w:rsid w:val="00091EF4"/>
    <w:rsid w:val="000921EE"/>
    <w:rsid w:val="00092605"/>
    <w:rsid w:val="00092616"/>
    <w:rsid w:val="000936DE"/>
    <w:rsid w:val="00093AD7"/>
    <w:rsid w:val="00093CB8"/>
    <w:rsid w:val="00093D50"/>
    <w:rsid w:val="0009464C"/>
    <w:rsid w:val="00094C7C"/>
    <w:rsid w:val="000955DB"/>
    <w:rsid w:val="00095B23"/>
    <w:rsid w:val="00095C42"/>
    <w:rsid w:val="00095DBB"/>
    <w:rsid w:val="00096312"/>
    <w:rsid w:val="00096E5E"/>
    <w:rsid w:val="00096E66"/>
    <w:rsid w:val="00096F74"/>
    <w:rsid w:val="00097142"/>
    <w:rsid w:val="000971C5"/>
    <w:rsid w:val="0009793C"/>
    <w:rsid w:val="000A07B9"/>
    <w:rsid w:val="000A0C07"/>
    <w:rsid w:val="000A10FB"/>
    <w:rsid w:val="000A111D"/>
    <w:rsid w:val="000A1A45"/>
    <w:rsid w:val="000A1B2E"/>
    <w:rsid w:val="000A1DC2"/>
    <w:rsid w:val="000A1E67"/>
    <w:rsid w:val="000A1FA1"/>
    <w:rsid w:val="000A3C44"/>
    <w:rsid w:val="000A42EF"/>
    <w:rsid w:val="000A459D"/>
    <w:rsid w:val="000A4A34"/>
    <w:rsid w:val="000A513A"/>
    <w:rsid w:val="000A53DA"/>
    <w:rsid w:val="000A561B"/>
    <w:rsid w:val="000A5767"/>
    <w:rsid w:val="000A615B"/>
    <w:rsid w:val="000A6908"/>
    <w:rsid w:val="000A699B"/>
    <w:rsid w:val="000A6A24"/>
    <w:rsid w:val="000A6D64"/>
    <w:rsid w:val="000A6FDA"/>
    <w:rsid w:val="000A75E3"/>
    <w:rsid w:val="000A7950"/>
    <w:rsid w:val="000A79B6"/>
    <w:rsid w:val="000A7BB1"/>
    <w:rsid w:val="000A7CF0"/>
    <w:rsid w:val="000B00FE"/>
    <w:rsid w:val="000B01E8"/>
    <w:rsid w:val="000B119E"/>
    <w:rsid w:val="000B1C18"/>
    <w:rsid w:val="000B2B6A"/>
    <w:rsid w:val="000B3741"/>
    <w:rsid w:val="000B3A83"/>
    <w:rsid w:val="000B3D96"/>
    <w:rsid w:val="000B41D3"/>
    <w:rsid w:val="000B44F9"/>
    <w:rsid w:val="000B45F2"/>
    <w:rsid w:val="000B4A65"/>
    <w:rsid w:val="000B50AB"/>
    <w:rsid w:val="000B53CA"/>
    <w:rsid w:val="000B5616"/>
    <w:rsid w:val="000B5663"/>
    <w:rsid w:val="000B5915"/>
    <w:rsid w:val="000B6177"/>
    <w:rsid w:val="000B621C"/>
    <w:rsid w:val="000B688B"/>
    <w:rsid w:val="000B734D"/>
    <w:rsid w:val="000B73CA"/>
    <w:rsid w:val="000B7564"/>
    <w:rsid w:val="000B7873"/>
    <w:rsid w:val="000B7E73"/>
    <w:rsid w:val="000C0183"/>
    <w:rsid w:val="000C034D"/>
    <w:rsid w:val="000C0514"/>
    <w:rsid w:val="000C0D46"/>
    <w:rsid w:val="000C1550"/>
    <w:rsid w:val="000C16B5"/>
    <w:rsid w:val="000C1F8E"/>
    <w:rsid w:val="000C20E3"/>
    <w:rsid w:val="000C2298"/>
    <w:rsid w:val="000C2368"/>
    <w:rsid w:val="000C2405"/>
    <w:rsid w:val="000C2C1A"/>
    <w:rsid w:val="000C2F86"/>
    <w:rsid w:val="000C31E7"/>
    <w:rsid w:val="000C3475"/>
    <w:rsid w:val="000C3CF3"/>
    <w:rsid w:val="000C3F13"/>
    <w:rsid w:val="000C4A4B"/>
    <w:rsid w:val="000C4A6D"/>
    <w:rsid w:val="000C4EDC"/>
    <w:rsid w:val="000C5410"/>
    <w:rsid w:val="000C571B"/>
    <w:rsid w:val="000C5D65"/>
    <w:rsid w:val="000C5D9D"/>
    <w:rsid w:val="000C61B0"/>
    <w:rsid w:val="000C62E2"/>
    <w:rsid w:val="000C63D7"/>
    <w:rsid w:val="000C6A38"/>
    <w:rsid w:val="000C6A71"/>
    <w:rsid w:val="000C7404"/>
    <w:rsid w:val="000D0327"/>
    <w:rsid w:val="000D0ED8"/>
    <w:rsid w:val="000D16AB"/>
    <w:rsid w:val="000D1778"/>
    <w:rsid w:val="000D2233"/>
    <w:rsid w:val="000D226F"/>
    <w:rsid w:val="000D2E79"/>
    <w:rsid w:val="000D2F32"/>
    <w:rsid w:val="000D3248"/>
    <w:rsid w:val="000D48C8"/>
    <w:rsid w:val="000D4BD7"/>
    <w:rsid w:val="000D4C4A"/>
    <w:rsid w:val="000D51DA"/>
    <w:rsid w:val="000D5A02"/>
    <w:rsid w:val="000D5D91"/>
    <w:rsid w:val="000D601C"/>
    <w:rsid w:val="000D612C"/>
    <w:rsid w:val="000D6371"/>
    <w:rsid w:val="000D63CF"/>
    <w:rsid w:val="000D68DA"/>
    <w:rsid w:val="000D6D3B"/>
    <w:rsid w:val="000D6D44"/>
    <w:rsid w:val="000D6E63"/>
    <w:rsid w:val="000D6E86"/>
    <w:rsid w:val="000D7187"/>
    <w:rsid w:val="000D782E"/>
    <w:rsid w:val="000D7A36"/>
    <w:rsid w:val="000E0452"/>
    <w:rsid w:val="000E0775"/>
    <w:rsid w:val="000E0D8D"/>
    <w:rsid w:val="000E0F20"/>
    <w:rsid w:val="000E1422"/>
    <w:rsid w:val="000E1CD9"/>
    <w:rsid w:val="000E203B"/>
    <w:rsid w:val="000E213D"/>
    <w:rsid w:val="000E335D"/>
    <w:rsid w:val="000E4017"/>
    <w:rsid w:val="000E482A"/>
    <w:rsid w:val="000E4D57"/>
    <w:rsid w:val="000E53B3"/>
    <w:rsid w:val="000E545A"/>
    <w:rsid w:val="000E5B62"/>
    <w:rsid w:val="000E5D0D"/>
    <w:rsid w:val="000E60A7"/>
    <w:rsid w:val="000E662D"/>
    <w:rsid w:val="000E72B7"/>
    <w:rsid w:val="000E75F1"/>
    <w:rsid w:val="000E7B0A"/>
    <w:rsid w:val="000E7C09"/>
    <w:rsid w:val="000F030A"/>
    <w:rsid w:val="000F0961"/>
    <w:rsid w:val="000F0A90"/>
    <w:rsid w:val="000F0AB3"/>
    <w:rsid w:val="000F180B"/>
    <w:rsid w:val="000F226E"/>
    <w:rsid w:val="000F24D0"/>
    <w:rsid w:val="000F303D"/>
    <w:rsid w:val="000F3053"/>
    <w:rsid w:val="000F30F5"/>
    <w:rsid w:val="000F350B"/>
    <w:rsid w:val="000F3776"/>
    <w:rsid w:val="000F3BCD"/>
    <w:rsid w:val="000F3D67"/>
    <w:rsid w:val="000F42A3"/>
    <w:rsid w:val="000F47D9"/>
    <w:rsid w:val="000F48EF"/>
    <w:rsid w:val="000F52A3"/>
    <w:rsid w:val="000F5382"/>
    <w:rsid w:val="000F57B2"/>
    <w:rsid w:val="000F5D89"/>
    <w:rsid w:val="000F5E28"/>
    <w:rsid w:val="000F5F31"/>
    <w:rsid w:val="000F5F6F"/>
    <w:rsid w:val="000F6077"/>
    <w:rsid w:val="000F6247"/>
    <w:rsid w:val="000F63AE"/>
    <w:rsid w:val="000F6950"/>
    <w:rsid w:val="000F6BA0"/>
    <w:rsid w:val="000F6C46"/>
    <w:rsid w:val="000F6DD8"/>
    <w:rsid w:val="000F6DEE"/>
    <w:rsid w:val="000F6EF1"/>
    <w:rsid w:val="000F7865"/>
    <w:rsid w:val="001000F9"/>
    <w:rsid w:val="0010087A"/>
    <w:rsid w:val="00100F3D"/>
    <w:rsid w:val="00101336"/>
    <w:rsid w:val="001018F8"/>
    <w:rsid w:val="00101B2D"/>
    <w:rsid w:val="00101C23"/>
    <w:rsid w:val="001020AE"/>
    <w:rsid w:val="001022EE"/>
    <w:rsid w:val="0010285C"/>
    <w:rsid w:val="001029E7"/>
    <w:rsid w:val="00102B8F"/>
    <w:rsid w:val="00103265"/>
    <w:rsid w:val="00103400"/>
    <w:rsid w:val="0010366D"/>
    <w:rsid w:val="00103E0F"/>
    <w:rsid w:val="00103F2A"/>
    <w:rsid w:val="00104009"/>
    <w:rsid w:val="00104850"/>
    <w:rsid w:val="00104983"/>
    <w:rsid w:val="00104BF5"/>
    <w:rsid w:val="001054A9"/>
    <w:rsid w:val="00105908"/>
    <w:rsid w:val="00105AE5"/>
    <w:rsid w:val="0010634B"/>
    <w:rsid w:val="00106D72"/>
    <w:rsid w:val="00106DEC"/>
    <w:rsid w:val="00106EC9"/>
    <w:rsid w:val="001078DE"/>
    <w:rsid w:val="00107C9F"/>
    <w:rsid w:val="00107E23"/>
    <w:rsid w:val="00107E48"/>
    <w:rsid w:val="001107E1"/>
    <w:rsid w:val="00110B44"/>
    <w:rsid w:val="001111DE"/>
    <w:rsid w:val="001115B5"/>
    <w:rsid w:val="001117DC"/>
    <w:rsid w:val="00111B37"/>
    <w:rsid w:val="00111E0A"/>
    <w:rsid w:val="00111F12"/>
    <w:rsid w:val="00112503"/>
    <w:rsid w:val="00112B14"/>
    <w:rsid w:val="00112DDB"/>
    <w:rsid w:val="00112F38"/>
    <w:rsid w:val="00113BCC"/>
    <w:rsid w:val="00113D91"/>
    <w:rsid w:val="001140D0"/>
    <w:rsid w:val="001144FD"/>
    <w:rsid w:val="0011495A"/>
    <w:rsid w:val="00115276"/>
    <w:rsid w:val="001154FC"/>
    <w:rsid w:val="00115568"/>
    <w:rsid w:val="001156FA"/>
    <w:rsid w:val="00115B44"/>
    <w:rsid w:val="00115D41"/>
    <w:rsid w:val="0011760F"/>
    <w:rsid w:val="00117883"/>
    <w:rsid w:val="00117B07"/>
    <w:rsid w:val="00117B44"/>
    <w:rsid w:val="00117BF0"/>
    <w:rsid w:val="00117CBB"/>
    <w:rsid w:val="0012036E"/>
    <w:rsid w:val="00120873"/>
    <w:rsid w:val="00120995"/>
    <w:rsid w:val="001212CF"/>
    <w:rsid w:val="001215E3"/>
    <w:rsid w:val="0012173D"/>
    <w:rsid w:val="0012173F"/>
    <w:rsid w:val="00121877"/>
    <w:rsid w:val="00121D8D"/>
    <w:rsid w:val="00121D94"/>
    <w:rsid w:val="00122907"/>
    <w:rsid w:val="00122BDB"/>
    <w:rsid w:val="00122DDB"/>
    <w:rsid w:val="001234E6"/>
    <w:rsid w:val="00123531"/>
    <w:rsid w:val="00123D62"/>
    <w:rsid w:val="001246EC"/>
    <w:rsid w:val="0012472D"/>
    <w:rsid w:val="00124810"/>
    <w:rsid w:val="00124854"/>
    <w:rsid w:val="00124B99"/>
    <w:rsid w:val="00125708"/>
    <w:rsid w:val="00125756"/>
    <w:rsid w:val="00125EC7"/>
    <w:rsid w:val="00125F73"/>
    <w:rsid w:val="0012621F"/>
    <w:rsid w:val="001262B2"/>
    <w:rsid w:val="00126A6B"/>
    <w:rsid w:val="00126C82"/>
    <w:rsid w:val="00126D0C"/>
    <w:rsid w:val="0012723B"/>
    <w:rsid w:val="0012778E"/>
    <w:rsid w:val="00127CEC"/>
    <w:rsid w:val="00127CED"/>
    <w:rsid w:val="00127F49"/>
    <w:rsid w:val="00130256"/>
    <w:rsid w:val="00130571"/>
    <w:rsid w:val="00130D57"/>
    <w:rsid w:val="00131EC2"/>
    <w:rsid w:val="001320ED"/>
    <w:rsid w:val="00132824"/>
    <w:rsid w:val="00132B9C"/>
    <w:rsid w:val="00132BD5"/>
    <w:rsid w:val="0013319F"/>
    <w:rsid w:val="00133449"/>
    <w:rsid w:val="001339D7"/>
    <w:rsid w:val="001344CE"/>
    <w:rsid w:val="00134533"/>
    <w:rsid w:val="00134827"/>
    <w:rsid w:val="0013490A"/>
    <w:rsid w:val="00134B04"/>
    <w:rsid w:val="001350B4"/>
    <w:rsid w:val="0013580A"/>
    <w:rsid w:val="00135A7C"/>
    <w:rsid w:val="00135F16"/>
    <w:rsid w:val="0013626F"/>
    <w:rsid w:val="00136754"/>
    <w:rsid w:val="00136AE4"/>
    <w:rsid w:val="001371B5"/>
    <w:rsid w:val="00137E64"/>
    <w:rsid w:val="00137FE8"/>
    <w:rsid w:val="00140256"/>
    <w:rsid w:val="0014040D"/>
    <w:rsid w:val="001406C2"/>
    <w:rsid w:val="001406C4"/>
    <w:rsid w:val="001407CD"/>
    <w:rsid w:val="00141629"/>
    <w:rsid w:val="00141704"/>
    <w:rsid w:val="00141E92"/>
    <w:rsid w:val="00142044"/>
    <w:rsid w:val="0014229D"/>
    <w:rsid w:val="00142C47"/>
    <w:rsid w:val="00143168"/>
    <w:rsid w:val="001435A9"/>
    <w:rsid w:val="00143901"/>
    <w:rsid w:val="001439CD"/>
    <w:rsid w:val="0014443D"/>
    <w:rsid w:val="00144721"/>
    <w:rsid w:val="00144C4D"/>
    <w:rsid w:val="00144EBF"/>
    <w:rsid w:val="00145235"/>
    <w:rsid w:val="001454C9"/>
    <w:rsid w:val="0014578A"/>
    <w:rsid w:val="001457A5"/>
    <w:rsid w:val="00145D48"/>
    <w:rsid w:val="00145DFE"/>
    <w:rsid w:val="00146468"/>
    <w:rsid w:val="00146606"/>
    <w:rsid w:val="00146675"/>
    <w:rsid w:val="00146B2F"/>
    <w:rsid w:val="00146D1E"/>
    <w:rsid w:val="00146D29"/>
    <w:rsid w:val="00146E8B"/>
    <w:rsid w:val="00147447"/>
    <w:rsid w:val="0014785E"/>
    <w:rsid w:val="00147D40"/>
    <w:rsid w:val="001501A9"/>
    <w:rsid w:val="001503AC"/>
    <w:rsid w:val="001504D7"/>
    <w:rsid w:val="00150A7D"/>
    <w:rsid w:val="00150C1A"/>
    <w:rsid w:val="00150C8E"/>
    <w:rsid w:val="00150F93"/>
    <w:rsid w:val="0015213D"/>
    <w:rsid w:val="001521DD"/>
    <w:rsid w:val="001528FF"/>
    <w:rsid w:val="0015290A"/>
    <w:rsid w:val="00152ACF"/>
    <w:rsid w:val="00152C40"/>
    <w:rsid w:val="00153452"/>
    <w:rsid w:val="00153466"/>
    <w:rsid w:val="001534B3"/>
    <w:rsid w:val="0015351D"/>
    <w:rsid w:val="001538A3"/>
    <w:rsid w:val="00153906"/>
    <w:rsid w:val="0015399B"/>
    <w:rsid w:val="00153C9D"/>
    <w:rsid w:val="00154525"/>
    <w:rsid w:val="001547BC"/>
    <w:rsid w:val="00154E81"/>
    <w:rsid w:val="00155EDE"/>
    <w:rsid w:val="00155F68"/>
    <w:rsid w:val="001572F2"/>
    <w:rsid w:val="00157ECD"/>
    <w:rsid w:val="001601B2"/>
    <w:rsid w:val="001601E6"/>
    <w:rsid w:val="001605CE"/>
    <w:rsid w:val="001607FE"/>
    <w:rsid w:val="0016096A"/>
    <w:rsid w:val="00160FC7"/>
    <w:rsid w:val="0016101A"/>
    <w:rsid w:val="00161082"/>
    <w:rsid w:val="001611D9"/>
    <w:rsid w:val="00161844"/>
    <w:rsid w:val="00162364"/>
    <w:rsid w:val="00162B24"/>
    <w:rsid w:val="00162BB3"/>
    <w:rsid w:val="00162F61"/>
    <w:rsid w:val="00163668"/>
    <w:rsid w:val="00163A0C"/>
    <w:rsid w:val="0016456A"/>
    <w:rsid w:val="0016458A"/>
    <w:rsid w:val="00164A48"/>
    <w:rsid w:val="00165514"/>
    <w:rsid w:val="00165890"/>
    <w:rsid w:val="00165A32"/>
    <w:rsid w:val="00165A7D"/>
    <w:rsid w:val="001661CD"/>
    <w:rsid w:val="00166252"/>
    <w:rsid w:val="00166934"/>
    <w:rsid w:val="00166B51"/>
    <w:rsid w:val="00166C76"/>
    <w:rsid w:val="00167143"/>
    <w:rsid w:val="00170123"/>
    <w:rsid w:val="0017050E"/>
    <w:rsid w:val="00170AA0"/>
    <w:rsid w:val="00170D64"/>
    <w:rsid w:val="00170F41"/>
    <w:rsid w:val="00171713"/>
    <w:rsid w:val="00171A0D"/>
    <w:rsid w:val="001728B8"/>
    <w:rsid w:val="00172B20"/>
    <w:rsid w:val="00173408"/>
    <w:rsid w:val="00173F94"/>
    <w:rsid w:val="0017472B"/>
    <w:rsid w:val="00174B6B"/>
    <w:rsid w:val="00174DB0"/>
    <w:rsid w:val="00174FAE"/>
    <w:rsid w:val="00174FDD"/>
    <w:rsid w:val="00175056"/>
    <w:rsid w:val="00175532"/>
    <w:rsid w:val="00175B68"/>
    <w:rsid w:val="00175C44"/>
    <w:rsid w:val="00175EC8"/>
    <w:rsid w:val="00176107"/>
    <w:rsid w:val="00176628"/>
    <w:rsid w:val="001768E9"/>
    <w:rsid w:val="001769E4"/>
    <w:rsid w:val="00177676"/>
    <w:rsid w:val="0017774A"/>
    <w:rsid w:val="00177B7C"/>
    <w:rsid w:val="001815D8"/>
    <w:rsid w:val="001819BB"/>
    <w:rsid w:val="00181DA7"/>
    <w:rsid w:val="00181E98"/>
    <w:rsid w:val="0018253C"/>
    <w:rsid w:val="00183321"/>
    <w:rsid w:val="00183CE1"/>
    <w:rsid w:val="00184284"/>
    <w:rsid w:val="001843B6"/>
    <w:rsid w:val="001844D4"/>
    <w:rsid w:val="001844F5"/>
    <w:rsid w:val="00184510"/>
    <w:rsid w:val="00184639"/>
    <w:rsid w:val="00184BBA"/>
    <w:rsid w:val="00184CC5"/>
    <w:rsid w:val="00184E27"/>
    <w:rsid w:val="0018510C"/>
    <w:rsid w:val="00185129"/>
    <w:rsid w:val="001861F2"/>
    <w:rsid w:val="001863C7"/>
    <w:rsid w:val="00186D12"/>
    <w:rsid w:val="00187776"/>
    <w:rsid w:val="00187873"/>
    <w:rsid w:val="00187B65"/>
    <w:rsid w:val="00187BF7"/>
    <w:rsid w:val="00187D6F"/>
    <w:rsid w:val="00190469"/>
    <w:rsid w:val="0019099F"/>
    <w:rsid w:val="00190AF7"/>
    <w:rsid w:val="0019112D"/>
    <w:rsid w:val="001916CC"/>
    <w:rsid w:val="00191994"/>
    <w:rsid w:val="00191CB1"/>
    <w:rsid w:val="00192C12"/>
    <w:rsid w:val="00193135"/>
    <w:rsid w:val="00193459"/>
    <w:rsid w:val="0019436E"/>
    <w:rsid w:val="001944B7"/>
    <w:rsid w:val="0019520B"/>
    <w:rsid w:val="00195366"/>
    <w:rsid w:val="00195385"/>
    <w:rsid w:val="001953EF"/>
    <w:rsid w:val="0019548A"/>
    <w:rsid w:val="00195F45"/>
    <w:rsid w:val="0019682C"/>
    <w:rsid w:val="00196CB3"/>
    <w:rsid w:val="00197558"/>
    <w:rsid w:val="00197C02"/>
    <w:rsid w:val="00197FBD"/>
    <w:rsid w:val="001A01A0"/>
    <w:rsid w:val="001A0729"/>
    <w:rsid w:val="001A0890"/>
    <w:rsid w:val="001A0BDD"/>
    <w:rsid w:val="001A0FF8"/>
    <w:rsid w:val="001A1061"/>
    <w:rsid w:val="001A1857"/>
    <w:rsid w:val="001A1908"/>
    <w:rsid w:val="001A1E4C"/>
    <w:rsid w:val="001A23F1"/>
    <w:rsid w:val="001A259A"/>
    <w:rsid w:val="001A2BBA"/>
    <w:rsid w:val="001A2C68"/>
    <w:rsid w:val="001A3CEE"/>
    <w:rsid w:val="001A406B"/>
    <w:rsid w:val="001A429B"/>
    <w:rsid w:val="001A4716"/>
    <w:rsid w:val="001A4D34"/>
    <w:rsid w:val="001A4DFA"/>
    <w:rsid w:val="001A51DE"/>
    <w:rsid w:val="001A568E"/>
    <w:rsid w:val="001A5DB6"/>
    <w:rsid w:val="001A5FE4"/>
    <w:rsid w:val="001A66CD"/>
    <w:rsid w:val="001A6D48"/>
    <w:rsid w:val="001A6DEC"/>
    <w:rsid w:val="001A6DF5"/>
    <w:rsid w:val="001A6F36"/>
    <w:rsid w:val="001A7005"/>
    <w:rsid w:val="001A75FD"/>
    <w:rsid w:val="001A76F4"/>
    <w:rsid w:val="001A7791"/>
    <w:rsid w:val="001A79DD"/>
    <w:rsid w:val="001A7C68"/>
    <w:rsid w:val="001B0243"/>
    <w:rsid w:val="001B07CE"/>
    <w:rsid w:val="001B0B76"/>
    <w:rsid w:val="001B0C0D"/>
    <w:rsid w:val="001B0E55"/>
    <w:rsid w:val="001B1037"/>
    <w:rsid w:val="001B1079"/>
    <w:rsid w:val="001B1681"/>
    <w:rsid w:val="001B16C8"/>
    <w:rsid w:val="001B1771"/>
    <w:rsid w:val="001B1A25"/>
    <w:rsid w:val="001B2145"/>
    <w:rsid w:val="001B24D7"/>
    <w:rsid w:val="001B27F3"/>
    <w:rsid w:val="001B2E82"/>
    <w:rsid w:val="001B2FF7"/>
    <w:rsid w:val="001B3446"/>
    <w:rsid w:val="001B36CD"/>
    <w:rsid w:val="001B385F"/>
    <w:rsid w:val="001B4628"/>
    <w:rsid w:val="001B5011"/>
    <w:rsid w:val="001B501A"/>
    <w:rsid w:val="001B564F"/>
    <w:rsid w:val="001B5821"/>
    <w:rsid w:val="001B655C"/>
    <w:rsid w:val="001B78A4"/>
    <w:rsid w:val="001B7A6E"/>
    <w:rsid w:val="001B7E4A"/>
    <w:rsid w:val="001B7E7A"/>
    <w:rsid w:val="001B7F0B"/>
    <w:rsid w:val="001C0025"/>
    <w:rsid w:val="001C0187"/>
    <w:rsid w:val="001C0210"/>
    <w:rsid w:val="001C06D6"/>
    <w:rsid w:val="001C0C05"/>
    <w:rsid w:val="001C0D8E"/>
    <w:rsid w:val="001C1168"/>
    <w:rsid w:val="001C1A77"/>
    <w:rsid w:val="001C1C72"/>
    <w:rsid w:val="001C1F7C"/>
    <w:rsid w:val="001C23C8"/>
    <w:rsid w:val="001C26F0"/>
    <w:rsid w:val="001C27DA"/>
    <w:rsid w:val="001C3050"/>
    <w:rsid w:val="001C30A8"/>
    <w:rsid w:val="001C3B2C"/>
    <w:rsid w:val="001C3C06"/>
    <w:rsid w:val="001C3DD0"/>
    <w:rsid w:val="001C3E17"/>
    <w:rsid w:val="001C456C"/>
    <w:rsid w:val="001C45B5"/>
    <w:rsid w:val="001C4613"/>
    <w:rsid w:val="001C47B3"/>
    <w:rsid w:val="001C4915"/>
    <w:rsid w:val="001C4C8E"/>
    <w:rsid w:val="001C543C"/>
    <w:rsid w:val="001C5C59"/>
    <w:rsid w:val="001C5F51"/>
    <w:rsid w:val="001C66E0"/>
    <w:rsid w:val="001C6773"/>
    <w:rsid w:val="001C6FCF"/>
    <w:rsid w:val="001C7197"/>
    <w:rsid w:val="001C71A4"/>
    <w:rsid w:val="001C729A"/>
    <w:rsid w:val="001C7A75"/>
    <w:rsid w:val="001C7C88"/>
    <w:rsid w:val="001C7D2A"/>
    <w:rsid w:val="001D12B3"/>
    <w:rsid w:val="001D1D77"/>
    <w:rsid w:val="001D216E"/>
    <w:rsid w:val="001D2EA8"/>
    <w:rsid w:val="001D2FFD"/>
    <w:rsid w:val="001D3494"/>
    <w:rsid w:val="001D38A4"/>
    <w:rsid w:val="001D3E70"/>
    <w:rsid w:val="001D3FB6"/>
    <w:rsid w:val="001D42AF"/>
    <w:rsid w:val="001D43E5"/>
    <w:rsid w:val="001D460B"/>
    <w:rsid w:val="001D49B6"/>
    <w:rsid w:val="001D4F00"/>
    <w:rsid w:val="001D5664"/>
    <w:rsid w:val="001D605D"/>
    <w:rsid w:val="001D6483"/>
    <w:rsid w:val="001D6AE9"/>
    <w:rsid w:val="001D6B41"/>
    <w:rsid w:val="001D702E"/>
    <w:rsid w:val="001D74C8"/>
    <w:rsid w:val="001D7501"/>
    <w:rsid w:val="001D75B1"/>
    <w:rsid w:val="001E06C8"/>
    <w:rsid w:val="001E095D"/>
    <w:rsid w:val="001E0EB4"/>
    <w:rsid w:val="001E191B"/>
    <w:rsid w:val="001E1A7D"/>
    <w:rsid w:val="001E217B"/>
    <w:rsid w:val="001E21FD"/>
    <w:rsid w:val="001E2451"/>
    <w:rsid w:val="001E2487"/>
    <w:rsid w:val="001E2A5A"/>
    <w:rsid w:val="001E3082"/>
    <w:rsid w:val="001E4895"/>
    <w:rsid w:val="001E4C25"/>
    <w:rsid w:val="001E5148"/>
    <w:rsid w:val="001E525E"/>
    <w:rsid w:val="001E526F"/>
    <w:rsid w:val="001E5800"/>
    <w:rsid w:val="001E5C44"/>
    <w:rsid w:val="001E5C8C"/>
    <w:rsid w:val="001E5D73"/>
    <w:rsid w:val="001E60EB"/>
    <w:rsid w:val="001E641B"/>
    <w:rsid w:val="001E68DF"/>
    <w:rsid w:val="001E6981"/>
    <w:rsid w:val="001E7260"/>
    <w:rsid w:val="001E7A44"/>
    <w:rsid w:val="001E7F85"/>
    <w:rsid w:val="001F0F11"/>
    <w:rsid w:val="001F1112"/>
    <w:rsid w:val="001F1D88"/>
    <w:rsid w:val="001F21D0"/>
    <w:rsid w:val="001F2722"/>
    <w:rsid w:val="001F2794"/>
    <w:rsid w:val="001F2C12"/>
    <w:rsid w:val="001F2D98"/>
    <w:rsid w:val="001F33C2"/>
    <w:rsid w:val="001F33E0"/>
    <w:rsid w:val="001F3513"/>
    <w:rsid w:val="001F465F"/>
    <w:rsid w:val="001F4B43"/>
    <w:rsid w:val="001F4F7F"/>
    <w:rsid w:val="001F4FDA"/>
    <w:rsid w:val="001F5A99"/>
    <w:rsid w:val="001F6954"/>
    <w:rsid w:val="001F6A77"/>
    <w:rsid w:val="001F6BFD"/>
    <w:rsid w:val="001F75BA"/>
    <w:rsid w:val="001F76A8"/>
    <w:rsid w:val="001F7BD0"/>
    <w:rsid w:val="001F7D03"/>
    <w:rsid w:val="00200301"/>
    <w:rsid w:val="0020093D"/>
    <w:rsid w:val="00200A5B"/>
    <w:rsid w:val="00201632"/>
    <w:rsid w:val="0020194B"/>
    <w:rsid w:val="00201A2D"/>
    <w:rsid w:val="00201D94"/>
    <w:rsid w:val="0020268F"/>
    <w:rsid w:val="002027A3"/>
    <w:rsid w:val="00202B5B"/>
    <w:rsid w:val="00202CAD"/>
    <w:rsid w:val="00203018"/>
    <w:rsid w:val="0020433B"/>
    <w:rsid w:val="00204354"/>
    <w:rsid w:val="00204690"/>
    <w:rsid w:val="00204A78"/>
    <w:rsid w:val="00204C34"/>
    <w:rsid w:val="0020511E"/>
    <w:rsid w:val="00205190"/>
    <w:rsid w:val="002056CB"/>
    <w:rsid w:val="00205C56"/>
    <w:rsid w:val="00206105"/>
    <w:rsid w:val="00206146"/>
    <w:rsid w:val="00206344"/>
    <w:rsid w:val="002066B5"/>
    <w:rsid w:val="002069C7"/>
    <w:rsid w:val="00206F95"/>
    <w:rsid w:val="0020718F"/>
    <w:rsid w:val="002075F5"/>
    <w:rsid w:val="002077FA"/>
    <w:rsid w:val="002103F9"/>
    <w:rsid w:val="00210683"/>
    <w:rsid w:val="002107D5"/>
    <w:rsid w:val="00210A8E"/>
    <w:rsid w:val="00210C49"/>
    <w:rsid w:val="00212BDE"/>
    <w:rsid w:val="00212F91"/>
    <w:rsid w:val="0021346F"/>
    <w:rsid w:val="00213504"/>
    <w:rsid w:val="002140D5"/>
    <w:rsid w:val="0021412A"/>
    <w:rsid w:val="0021424F"/>
    <w:rsid w:val="0021455B"/>
    <w:rsid w:val="002145AC"/>
    <w:rsid w:val="00214BF5"/>
    <w:rsid w:val="00215644"/>
    <w:rsid w:val="0021591C"/>
    <w:rsid w:val="00215C6C"/>
    <w:rsid w:val="0021628F"/>
    <w:rsid w:val="002166CC"/>
    <w:rsid w:val="00216758"/>
    <w:rsid w:val="00217015"/>
    <w:rsid w:val="002176EA"/>
    <w:rsid w:val="002177B5"/>
    <w:rsid w:val="00217B50"/>
    <w:rsid w:val="00220057"/>
    <w:rsid w:val="00220059"/>
    <w:rsid w:val="00220487"/>
    <w:rsid w:val="00220992"/>
    <w:rsid w:val="0022099F"/>
    <w:rsid w:val="00221211"/>
    <w:rsid w:val="00221432"/>
    <w:rsid w:val="00221D17"/>
    <w:rsid w:val="00222274"/>
    <w:rsid w:val="00222C18"/>
    <w:rsid w:val="00222E46"/>
    <w:rsid w:val="00222EE5"/>
    <w:rsid w:val="0022327F"/>
    <w:rsid w:val="002233ED"/>
    <w:rsid w:val="00223F45"/>
    <w:rsid w:val="00224A96"/>
    <w:rsid w:val="002257FC"/>
    <w:rsid w:val="00225B5B"/>
    <w:rsid w:val="00226473"/>
    <w:rsid w:val="002271B7"/>
    <w:rsid w:val="002275CF"/>
    <w:rsid w:val="0022788E"/>
    <w:rsid w:val="00230520"/>
    <w:rsid w:val="00230BB3"/>
    <w:rsid w:val="00230CFB"/>
    <w:rsid w:val="00230E4F"/>
    <w:rsid w:val="002312BB"/>
    <w:rsid w:val="002315C1"/>
    <w:rsid w:val="002315FE"/>
    <w:rsid w:val="0023165E"/>
    <w:rsid w:val="00231709"/>
    <w:rsid w:val="00231C09"/>
    <w:rsid w:val="002321BE"/>
    <w:rsid w:val="00232389"/>
    <w:rsid w:val="002325FE"/>
    <w:rsid w:val="002327C0"/>
    <w:rsid w:val="00232B9B"/>
    <w:rsid w:val="00232BB0"/>
    <w:rsid w:val="00232E32"/>
    <w:rsid w:val="00232EE3"/>
    <w:rsid w:val="00232F4B"/>
    <w:rsid w:val="00233338"/>
    <w:rsid w:val="002333C6"/>
    <w:rsid w:val="002333C9"/>
    <w:rsid w:val="0023352F"/>
    <w:rsid w:val="00233806"/>
    <w:rsid w:val="00233A0F"/>
    <w:rsid w:val="00233F51"/>
    <w:rsid w:val="00234067"/>
    <w:rsid w:val="00234603"/>
    <w:rsid w:val="002347E7"/>
    <w:rsid w:val="00234C24"/>
    <w:rsid w:val="00234D4E"/>
    <w:rsid w:val="00234D6E"/>
    <w:rsid w:val="0023542A"/>
    <w:rsid w:val="00235757"/>
    <w:rsid w:val="00235AA1"/>
    <w:rsid w:val="00235FF2"/>
    <w:rsid w:val="00236538"/>
    <w:rsid w:val="00236CE8"/>
    <w:rsid w:val="0023715B"/>
    <w:rsid w:val="00237207"/>
    <w:rsid w:val="0023743E"/>
    <w:rsid w:val="00237BE7"/>
    <w:rsid w:val="00237F26"/>
    <w:rsid w:val="00237FD1"/>
    <w:rsid w:val="00240650"/>
    <w:rsid w:val="00240706"/>
    <w:rsid w:val="002407FD"/>
    <w:rsid w:val="0024134F"/>
    <w:rsid w:val="00241ACE"/>
    <w:rsid w:val="002420E0"/>
    <w:rsid w:val="002425EF"/>
    <w:rsid w:val="0024373C"/>
    <w:rsid w:val="00243763"/>
    <w:rsid w:val="002438B8"/>
    <w:rsid w:val="0024425A"/>
    <w:rsid w:val="002443C3"/>
    <w:rsid w:val="00244E47"/>
    <w:rsid w:val="0024544B"/>
    <w:rsid w:val="00246432"/>
    <w:rsid w:val="0024758C"/>
    <w:rsid w:val="00247879"/>
    <w:rsid w:val="00247AD2"/>
    <w:rsid w:val="002503F0"/>
    <w:rsid w:val="00250912"/>
    <w:rsid w:val="00250DE7"/>
    <w:rsid w:val="0025161F"/>
    <w:rsid w:val="00251AA7"/>
    <w:rsid w:val="00251B9B"/>
    <w:rsid w:val="00252095"/>
    <w:rsid w:val="00252357"/>
    <w:rsid w:val="0025246E"/>
    <w:rsid w:val="00252AD5"/>
    <w:rsid w:val="00252CE5"/>
    <w:rsid w:val="00253340"/>
    <w:rsid w:val="002535C7"/>
    <w:rsid w:val="002535F8"/>
    <w:rsid w:val="002536B2"/>
    <w:rsid w:val="00253A14"/>
    <w:rsid w:val="00253F96"/>
    <w:rsid w:val="002546B4"/>
    <w:rsid w:val="00254957"/>
    <w:rsid w:val="00254BAD"/>
    <w:rsid w:val="00255C09"/>
    <w:rsid w:val="0025636D"/>
    <w:rsid w:val="002564F3"/>
    <w:rsid w:val="002568AE"/>
    <w:rsid w:val="00256D9E"/>
    <w:rsid w:val="00256F64"/>
    <w:rsid w:val="00257096"/>
    <w:rsid w:val="0025723D"/>
    <w:rsid w:val="00257CAD"/>
    <w:rsid w:val="00260126"/>
    <w:rsid w:val="0026075B"/>
    <w:rsid w:val="002614E5"/>
    <w:rsid w:val="00261836"/>
    <w:rsid w:val="00261A4B"/>
    <w:rsid w:val="00261DF9"/>
    <w:rsid w:val="00261FB8"/>
    <w:rsid w:val="00262388"/>
    <w:rsid w:val="002624E3"/>
    <w:rsid w:val="00262C14"/>
    <w:rsid w:val="00262F39"/>
    <w:rsid w:val="00263084"/>
    <w:rsid w:val="00263A2A"/>
    <w:rsid w:val="00263B5F"/>
    <w:rsid w:val="0026446E"/>
    <w:rsid w:val="00264583"/>
    <w:rsid w:val="002645EE"/>
    <w:rsid w:val="002646DA"/>
    <w:rsid w:val="0026488B"/>
    <w:rsid w:val="002649D4"/>
    <w:rsid w:val="00264ED8"/>
    <w:rsid w:val="00265681"/>
    <w:rsid w:val="00265A1A"/>
    <w:rsid w:val="00265A6B"/>
    <w:rsid w:val="002660D7"/>
    <w:rsid w:val="002669DF"/>
    <w:rsid w:val="002669F5"/>
    <w:rsid w:val="00266D67"/>
    <w:rsid w:val="00266DB9"/>
    <w:rsid w:val="00266DD9"/>
    <w:rsid w:val="0026740B"/>
    <w:rsid w:val="0026797D"/>
    <w:rsid w:val="0027042A"/>
    <w:rsid w:val="00270558"/>
    <w:rsid w:val="002706BD"/>
    <w:rsid w:val="00270C7E"/>
    <w:rsid w:val="00270FFE"/>
    <w:rsid w:val="00271474"/>
    <w:rsid w:val="0027164E"/>
    <w:rsid w:val="0027191C"/>
    <w:rsid w:val="00271E56"/>
    <w:rsid w:val="002720DA"/>
    <w:rsid w:val="00272230"/>
    <w:rsid w:val="00272B50"/>
    <w:rsid w:val="00272CE6"/>
    <w:rsid w:val="00272F21"/>
    <w:rsid w:val="00273437"/>
    <w:rsid w:val="002739F9"/>
    <w:rsid w:val="00273F7D"/>
    <w:rsid w:val="0027406B"/>
    <w:rsid w:val="00274312"/>
    <w:rsid w:val="0027546E"/>
    <w:rsid w:val="002754A9"/>
    <w:rsid w:val="00275B2E"/>
    <w:rsid w:val="00275D48"/>
    <w:rsid w:val="002760AE"/>
    <w:rsid w:val="00276DEF"/>
    <w:rsid w:val="00276F9B"/>
    <w:rsid w:val="00277080"/>
    <w:rsid w:val="00277279"/>
    <w:rsid w:val="0027739E"/>
    <w:rsid w:val="00277A27"/>
    <w:rsid w:val="00277E68"/>
    <w:rsid w:val="00277ECB"/>
    <w:rsid w:val="002800BD"/>
    <w:rsid w:val="002807A7"/>
    <w:rsid w:val="00280DE6"/>
    <w:rsid w:val="00280E45"/>
    <w:rsid w:val="00280FE5"/>
    <w:rsid w:val="002812BC"/>
    <w:rsid w:val="002818EA"/>
    <w:rsid w:val="002822C3"/>
    <w:rsid w:val="002825B4"/>
    <w:rsid w:val="00282679"/>
    <w:rsid w:val="002830A2"/>
    <w:rsid w:val="0028313B"/>
    <w:rsid w:val="00283507"/>
    <w:rsid w:val="00283538"/>
    <w:rsid w:val="00284359"/>
    <w:rsid w:val="002848CE"/>
    <w:rsid w:val="00284B8A"/>
    <w:rsid w:val="00285049"/>
    <w:rsid w:val="00285302"/>
    <w:rsid w:val="0028609D"/>
    <w:rsid w:val="002862FA"/>
    <w:rsid w:val="002869A3"/>
    <w:rsid w:val="002871C8"/>
    <w:rsid w:val="002875DC"/>
    <w:rsid w:val="002879AE"/>
    <w:rsid w:val="00287CFB"/>
    <w:rsid w:val="00287EF9"/>
    <w:rsid w:val="00291967"/>
    <w:rsid w:val="00291C06"/>
    <w:rsid w:val="00291EF2"/>
    <w:rsid w:val="00292029"/>
    <w:rsid w:val="00292BED"/>
    <w:rsid w:val="00292E8B"/>
    <w:rsid w:val="002930ED"/>
    <w:rsid w:val="002933ED"/>
    <w:rsid w:val="00293413"/>
    <w:rsid w:val="00293D7D"/>
    <w:rsid w:val="00293FFD"/>
    <w:rsid w:val="0029414C"/>
    <w:rsid w:val="002943CC"/>
    <w:rsid w:val="00294A5C"/>
    <w:rsid w:val="002954B5"/>
    <w:rsid w:val="002956E0"/>
    <w:rsid w:val="00295FEF"/>
    <w:rsid w:val="002965AB"/>
    <w:rsid w:val="0029665F"/>
    <w:rsid w:val="00296707"/>
    <w:rsid w:val="00296838"/>
    <w:rsid w:val="00296BF8"/>
    <w:rsid w:val="00296EEA"/>
    <w:rsid w:val="0029782E"/>
    <w:rsid w:val="002979FD"/>
    <w:rsid w:val="00297F6F"/>
    <w:rsid w:val="002A03E4"/>
    <w:rsid w:val="002A04F3"/>
    <w:rsid w:val="002A05A2"/>
    <w:rsid w:val="002A0ED2"/>
    <w:rsid w:val="002A14A2"/>
    <w:rsid w:val="002A1D9A"/>
    <w:rsid w:val="002A28E2"/>
    <w:rsid w:val="002A2993"/>
    <w:rsid w:val="002A2A34"/>
    <w:rsid w:val="002A3472"/>
    <w:rsid w:val="002A35E8"/>
    <w:rsid w:val="002A3FA8"/>
    <w:rsid w:val="002A4060"/>
    <w:rsid w:val="002A4782"/>
    <w:rsid w:val="002A4A7B"/>
    <w:rsid w:val="002A4B09"/>
    <w:rsid w:val="002A4C28"/>
    <w:rsid w:val="002A51D3"/>
    <w:rsid w:val="002A5284"/>
    <w:rsid w:val="002A52BD"/>
    <w:rsid w:val="002A5929"/>
    <w:rsid w:val="002A6307"/>
    <w:rsid w:val="002A6821"/>
    <w:rsid w:val="002A6A2A"/>
    <w:rsid w:val="002A727C"/>
    <w:rsid w:val="002A751C"/>
    <w:rsid w:val="002A779B"/>
    <w:rsid w:val="002A77B2"/>
    <w:rsid w:val="002A7C20"/>
    <w:rsid w:val="002A7CFA"/>
    <w:rsid w:val="002B0216"/>
    <w:rsid w:val="002B0C34"/>
    <w:rsid w:val="002B115E"/>
    <w:rsid w:val="002B140D"/>
    <w:rsid w:val="002B17F3"/>
    <w:rsid w:val="002B1979"/>
    <w:rsid w:val="002B2291"/>
    <w:rsid w:val="002B23B8"/>
    <w:rsid w:val="002B247F"/>
    <w:rsid w:val="002B3268"/>
    <w:rsid w:val="002B35BD"/>
    <w:rsid w:val="002B3609"/>
    <w:rsid w:val="002B38E8"/>
    <w:rsid w:val="002B3A02"/>
    <w:rsid w:val="002B3A2E"/>
    <w:rsid w:val="002B3BBF"/>
    <w:rsid w:val="002B40A6"/>
    <w:rsid w:val="002B425C"/>
    <w:rsid w:val="002B4A53"/>
    <w:rsid w:val="002B4A64"/>
    <w:rsid w:val="002B4B35"/>
    <w:rsid w:val="002B5547"/>
    <w:rsid w:val="002B6208"/>
    <w:rsid w:val="002B652B"/>
    <w:rsid w:val="002B6B78"/>
    <w:rsid w:val="002B6D6F"/>
    <w:rsid w:val="002B6F10"/>
    <w:rsid w:val="002B7431"/>
    <w:rsid w:val="002B7530"/>
    <w:rsid w:val="002C01EB"/>
    <w:rsid w:val="002C07D5"/>
    <w:rsid w:val="002C0C01"/>
    <w:rsid w:val="002C1558"/>
    <w:rsid w:val="002C15DD"/>
    <w:rsid w:val="002C17D0"/>
    <w:rsid w:val="002C189A"/>
    <w:rsid w:val="002C1BA1"/>
    <w:rsid w:val="002C2847"/>
    <w:rsid w:val="002C29D7"/>
    <w:rsid w:val="002C2CB8"/>
    <w:rsid w:val="002C3125"/>
    <w:rsid w:val="002C3150"/>
    <w:rsid w:val="002C3174"/>
    <w:rsid w:val="002C31DB"/>
    <w:rsid w:val="002C371C"/>
    <w:rsid w:val="002C3ADB"/>
    <w:rsid w:val="002C3B5B"/>
    <w:rsid w:val="002C3E1C"/>
    <w:rsid w:val="002C44CE"/>
    <w:rsid w:val="002C4573"/>
    <w:rsid w:val="002C49F0"/>
    <w:rsid w:val="002C4D2C"/>
    <w:rsid w:val="002C50E4"/>
    <w:rsid w:val="002C5512"/>
    <w:rsid w:val="002C5553"/>
    <w:rsid w:val="002C5733"/>
    <w:rsid w:val="002C57E3"/>
    <w:rsid w:val="002C5F96"/>
    <w:rsid w:val="002C6311"/>
    <w:rsid w:val="002C6316"/>
    <w:rsid w:val="002C65C3"/>
    <w:rsid w:val="002C6785"/>
    <w:rsid w:val="002C6FC8"/>
    <w:rsid w:val="002C73E4"/>
    <w:rsid w:val="002C7839"/>
    <w:rsid w:val="002C786E"/>
    <w:rsid w:val="002C78BE"/>
    <w:rsid w:val="002D02CE"/>
    <w:rsid w:val="002D03DB"/>
    <w:rsid w:val="002D04E9"/>
    <w:rsid w:val="002D0CE3"/>
    <w:rsid w:val="002D2226"/>
    <w:rsid w:val="002D22D9"/>
    <w:rsid w:val="002D26EF"/>
    <w:rsid w:val="002D28CB"/>
    <w:rsid w:val="002D310F"/>
    <w:rsid w:val="002D31DD"/>
    <w:rsid w:val="002D407C"/>
    <w:rsid w:val="002D421F"/>
    <w:rsid w:val="002D43C5"/>
    <w:rsid w:val="002D4DD5"/>
    <w:rsid w:val="002D4F10"/>
    <w:rsid w:val="002D502B"/>
    <w:rsid w:val="002D507E"/>
    <w:rsid w:val="002D5A53"/>
    <w:rsid w:val="002D5BAD"/>
    <w:rsid w:val="002D6531"/>
    <w:rsid w:val="002D6869"/>
    <w:rsid w:val="002D686F"/>
    <w:rsid w:val="002D68DE"/>
    <w:rsid w:val="002D6C15"/>
    <w:rsid w:val="002D7648"/>
    <w:rsid w:val="002D7662"/>
    <w:rsid w:val="002E0272"/>
    <w:rsid w:val="002E0E87"/>
    <w:rsid w:val="002E10B4"/>
    <w:rsid w:val="002E23EC"/>
    <w:rsid w:val="002E2594"/>
    <w:rsid w:val="002E2BD9"/>
    <w:rsid w:val="002E321A"/>
    <w:rsid w:val="002E44CE"/>
    <w:rsid w:val="002E4BE6"/>
    <w:rsid w:val="002E541D"/>
    <w:rsid w:val="002E55E2"/>
    <w:rsid w:val="002E5711"/>
    <w:rsid w:val="002E5C93"/>
    <w:rsid w:val="002E5F70"/>
    <w:rsid w:val="002E62BA"/>
    <w:rsid w:val="002E6370"/>
    <w:rsid w:val="002E63E3"/>
    <w:rsid w:val="002E657F"/>
    <w:rsid w:val="002E682A"/>
    <w:rsid w:val="002E6867"/>
    <w:rsid w:val="002E753D"/>
    <w:rsid w:val="002E7B88"/>
    <w:rsid w:val="002E7C77"/>
    <w:rsid w:val="002E7D34"/>
    <w:rsid w:val="002F001C"/>
    <w:rsid w:val="002F00C3"/>
    <w:rsid w:val="002F02C8"/>
    <w:rsid w:val="002F0998"/>
    <w:rsid w:val="002F0E1B"/>
    <w:rsid w:val="002F116A"/>
    <w:rsid w:val="002F122E"/>
    <w:rsid w:val="002F144D"/>
    <w:rsid w:val="002F1BA4"/>
    <w:rsid w:val="002F1C81"/>
    <w:rsid w:val="002F2A8A"/>
    <w:rsid w:val="002F2B19"/>
    <w:rsid w:val="002F3D26"/>
    <w:rsid w:val="002F468C"/>
    <w:rsid w:val="002F472E"/>
    <w:rsid w:val="002F4798"/>
    <w:rsid w:val="002F4B24"/>
    <w:rsid w:val="002F4FE2"/>
    <w:rsid w:val="002F4FF7"/>
    <w:rsid w:val="002F54A7"/>
    <w:rsid w:val="002F5C7F"/>
    <w:rsid w:val="002F5FE5"/>
    <w:rsid w:val="002F619D"/>
    <w:rsid w:val="002F6633"/>
    <w:rsid w:val="002F6D8C"/>
    <w:rsid w:val="002F6E5C"/>
    <w:rsid w:val="002F72C3"/>
    <w:rsid w:val="002F775A"/>
    <w:rsid w:val="002F7827"/>
    <w:rsid w:val="003000E0"/>
    <w:rsid w:val="003002B3"/>
    <w:rsid w:val="0030036C"/>
    <w:rsid w:val="003003DA"/>
    <w:rsid w:val="00300590"/>
    <w:rsid w:val="00300BA2"/>
    <w:rsid w:val="00301AC5"/>
    <w:rsid w:val="00301F05"/>
    <w:rsid w:val="0030301E"/>
    <w:rsid w:val="00303166"/>
    <w:rsid w:val="003039C4"/>
    <w:rsid w:val="00303CC3"/>
    <w:rsid w:val="00303F76"/>
    <w:rsid w:val="0030427E"/>
    <w:rsid w:val="00304600"/>
    <w:rsid w:val="00304F2C"/>
    <w:rsid w:val="00304FA8"/>
    <w:rsid w:val="0030547E"/>
    <w:rsid w:val="0030550B"/>
    <w:rsid w:val="00305891"/>
    <w:rsid w:val="00305CEF"/>
    <w:rsid w:val="0030621D"/>
    <w:rsid w:val="00306C2A"/>
    <w:rsid w:val="003074B6"/>
    <w:rsid w:val="00307780"/>
    <w:rsid w:val="003078E2"/>
    <w:rsid w:val="00307DA0"/>
    <w:rsid w:val="003103EC"/>
    <w:rsid w:val="00310864"/>
    <w:rsid w:val="00310FA6"/>
    <w:rsid w:val="003117AA"/>
    <w:rsid w:val="00311F14"/>
    <w:rsid w:val="00312EF9"/>
    <w:rsid w:val="003134E4"/>
    <w:rsid w:val="003136C0"/>
    <w:rsid w:val="0031388E"/>
    <w:rsid w:val="00313FDA"/>
    <w:rsid w:val="00314118"/>
    <w:rsid w:val="003143A7"/>
    <w:rsid w:val="003143A9"/>
    <w:rsid w:val="00314508"/>
    <w:rsid w:val="0031477F"/>
    <w:rsid w:val="00314D9F"/>
    <w:rsid w:val="00315453"/>
    <w:rsid w:val="0031557E"/>
    <w:rsid w:val="0031585C"/>
    <w:rsid w:val="003158D2"/>
    <w:rsid w:val="00315B3D"/>
    <w:rsid w:val="00315B47"/>
    <w:rsid w:val="00315E1A"/>
    <w:rsid w:val="00315F49"/>
    <w:rsid w:val="003162B9"/>
    <w:rsid w:val="00316D2E"/>
    <w:rsid w:val="00316DEC"/>
    <w:rsid w:val="00317997"/>
    <w:rsid w:val="00317B85"/>
    <w:rsid w:val="00317DF6"/>
    <w:rsid w:val="00320252"/>
    <w:rsid w:val="003204FA"/>
    <w:rsid w:val="00320FD5"/>
    <w:rsid w:val="003213B1"/>
    <w:rsid w:val="0032245C"/>
    <w:rsid w:val="0032256A"/>
    <w:rsid w:val="003225C8"/>
    <w:rsid w:val="003226E1"/>
    <w:rsid w:val="00322797"/>
    <w:rsid w:val="00322935"/>
    <w:rsid w:val="00322ACD"/>
    <w:rsid w:val="003233F0"/>
    <w:rsid w:val="0032352B"/>
    <w:rsid w:val="00323605"/>
    <w:rsid w:val="0032361B"/>
    <w:rsid w:val="003239CB"/>
    <w:rsid w:val="00323AE3"/>
    <w:rsid w:val="00323CFD"/>
    <w:rsid w:val="00324D59"/>
    <w:rsid w:val="00324E32"/>
    <w:rsid w:val="00324F22"/>
    <w:rsid w:val="00325052"/>
    <w:rsid w:val="00325B36"/>
    <w:rsid w:val="00325C91"/>
    <w:rsid w:val="00325EAA"/>
    <w:rsid w:val="0032620F"/>
    <w:rsid w:val="0032671D"/>
    <w:rsid w:val="00326812"/>
    <w:rsid w:val="003269C8"/>
    <w:rsid w:val="00326B25"/>
    <w:rsid w:val="00327230"/>
    <w:rsid w:val="003273A2"/>
    <w:rsid w:val="00327578"/>
    <w:rsid w:val="00327762"/>
    <w:rsid w:val="00327A5D"/>
    <w:rsid w:val="00327B32"/>
    <w:rsid w:val="00330680"/>
    <w:rsid w:val="0033080C"/>
    <w:rsid w:val="00330E7D"/>
    <w:rsid w:val="00331361"/>
    <w:rsid w:val="003313AE"/>
    <w:rsid w:val="003314E0"/>
    <w:rsid w:val="00331A81"/>
    <w:rsid w:val="00331ABD"/>
    <w:rsid w:val="00331BF0"/>
    <w:rsid w:val="00331F4A"/>
    <w:rsid w:val="0033230C"/>
    <w:rsid w:val="00332AF7"/>
    <w:rsid w:val="00333526"/>
    <w:rsid w:val="003336D6"/>
    <w:rsid w:val="00333A69"/>
    <w:rsid w:val="00333BE2"/>
    <w:rsid w:val="00334103"/>
    <w:rsid w:val="00334499"/>
    <w:rsid w:val="00334676"/>
    <w:rsid w:val="00334794"/>
    <w:rsid w:val="00334E47"/>
    <w:rsid w:val="00335021"/>
    <w:rsid w:val="00335130"/>
    <w:rsid w:val="003360CE"/>
    <w:rsid w:val="00336209"/>
    <w:rsid w:val="00336390"/>
    <w:rsid w:val="00336FCA"/>
    <w:rsid w:val="00337265"/>
    <w:rsid w:val="00337CA2"/>
    <w:rsid w:val="003403D7"/>
    <w:rsid w:val="0034078D"/>
    <w:rsid w:val="00340B83"/>
    <w:rsid w:val="00341430"/>
    <w:rsid w:val="00341B16"/>
    <w:rsid w:val="00341E91"/>
    <w:rsid w:val="003424B0"/>
    <w:rsid w:val="003424B3"/>
    <w:rsid w:val="003426AF"/>
    <w:rsid w:val="003426FE"/>
    <w:rsid w:val="003428F1"/>
    <w:rsid w:val="003434C6"/>
    <w:rsid w:val="0034369E"/>
    <w:rsid w:val="00343A0A"/>
    <w:rsid w:val="003441E0"/>
    <w:rsid w:val="003442D2"/>
    <w:rsid w:val="00344611"/>
    <w:rsid w:val="0034464E"/>
    <w:rsid w:val="00344AA1"/>
    <w:rsid w:val="00345383"/>
    <w:rsid w:val="00345452"/>
    <w:rsid w:val="00345816"/>
    <w:rsid w:val="00345A7C"/>
    <w:rsid w:val="003468B1"/>
    <w:rsid w:val="00347548"/>
    <w:rsid w:val="00347554"/>
    <w:rsid w:val="00347C71"/>
    <w:rsid w:val="00347CC4"/>
    <w:rsid w:val="00347E1C"/>
    <w:rsid w:val="00347E50"/>
    <w:rsid w:val="00347E89"/>
    <w:rsid w:val="0035025F"/>
    <w:rsid w:val="003502D3"/>
    <w:rsid w:val="003508EE"/>
    <w:rsid w:val="00350A1D"/>
    <w:rsid w:val="00350A49"/>
    <w:rsid w:val="00351522"/>
    <w:rsid w:val="00351E54"/>
    <w:rsid w:val="00352030"/>
    <w:rsid w:val="00352927"/>
    <w:rsid w:val="00352A59"/>
    <w:rsid w:val="00352E30"/>
    <w:rsid w:val="003530B1"/>
    <w:rsid w:val="003531B2"/>
    <w:rsid w:val="00353397"/>
    <w:rsid w:val="003535DF"/>
    <w:rsid w:val="00353694"/>
    <w:rsid w:val="00353B06"/>
    <w:rsid w:val="00353E13"/>
    <w:rsid w:val="0035406C"/>
    <w:rsid w:val="003540C1"/>
    <w:rsid w:val="00354277"/>
    <w:rsid w:val="00354691"/>
    <w:rsid w:val="003550A5"/>
    <w:rsid w:val="00355E33"/>
    <w:rsid w:val="00355EED"/>
    <w:rsid w:val="0035629F"/>
    <w:rsid w:val="00356502"/>
    <w:rsid w:val="00356651"/>
    <w:rsid w:val="0035668C"/>
    <w:rsid w:val="00356A35"/>
    <w:rsid w:val="00356C6C"/>
    <w:rsid w:val="00356D69"/>
    <w:rsid w:val="00356EF6"/>
    <w:rsid w:val="0035707E"/>
    <w:rsid w:val="003573E2"/>
    <w:rsid w:val="00357D98"/>
    <w:rsid w:val="00357E15"/>
    <w:rsid w:val="003604E2"/>
    <w:rsid w:val="00360BDC"/>
    <w:rsid w:val="003611FF"/>
    <w:rsid w:val="0036124C"/>
    <w:rsid w:val="0036157F"/>
    <w:rsid w:val="0036205F"/>
    <w:rsid w:val="003627F8"/>
    <w:rsid w:val="00362913"/>
    <w:rsid w:val="003629F3"/>
    <w:rsid w:val="00362E15"/>
    <w:rsid w:val="00362E7D"/>
    <w:rsid w:val="003630C3"/>
    <w:rsid w:val="0036323E"/>
    <w:rsid w:val="00363D33"/>
    <w:rsid w:val="003645BF"/>
    <w:rsid w:val="00364844"/>
    <w:rsid w:val="00364A23"/>
    <w:rsid w:val="00364ACE"/>
    <w:rsid w:val="00364BF8"/>
    <w:rsid w:val="00365478"/>
    <w:rsid w:val="00365667"/>
    <w:rsid w:val="00365727"/>
    <w:rsid w:val="003657E0"/>
    <w:rsid w:val="00365C7A"/>
    <w:rsid w:val="00366034"/>
    <w:rsid w:val="00366397"/>
    <w:rsid w:val="0036654F"/>
    <w:rsid w:val="003667EE"/>
    <w:rsid w:val="00366842"/>
    <w:rsid w:val="00366848"/>
    <w:rsid w:val="00366C2B"/>
    <w:rsid w:val="003675F5"/>
    <w:rsid w:val="00370006"/>
    <w:rsid w:val="00371617"/>
    <w:rsid w:val="00371D82"/>
    <w:rsid w:val="003726BC"/>
    <w:rsid w:val="00372B5E"/>
    <w:rsid w:val="00373182"/>
    <w:rsid w:val="0037340B"/>
    <w:rsid w:val="0037397F"/>
    <w:rsid w:val="00373A10"/>
    <w:rsid w:val="00373A31"/>
    <w:rsid w:val="00373B09"/>
    <w:rsid w:val="00374074"/>
    <w:rsid w:val="00374591"/>
    <w:rsid w:val="0037476B"/>
    <w:rsid w:val="00374A61"/>
    <w:rsid w:val="00374AD4"/>
    <w:rsid w:val="00375258"/>
    <w:rsid w:val="00375DFC"/>
    <w:rsid w:val="0037635D"/>
    <w:rsid w:val="0037651C"/>
    <w:rsid w:val="00376C1D"/>
    <w:rsid w:val="00376E62"/>
    <w:rsid w:val="0037700F"/>
    <w:rsid w:val="00377A8E"/>
    <w:rsid w:val="00380070"/>
    <w:rsid w:val="00380945"/>
    <w:rsid w:val="00380D2E"/>
    <w:rsid w:val="00381513"/>
    <w:rsid w:val="003815F5"/>
    <w:rsid w:val="00381F5B"/>
    <w:rsid w:val="00382371"/>
    <w:rsid w:val="00382685"/>
    <w:rsid w:val="00382E06"/>
    <w:rsid w:val="00383004"/>
    <w:rsid w:val="00383B10"/>
    <w:rsid w:val="00385321"/>
    <w:rsid w:val="00385450"/>
    <w:rsid w:val="0038573E"/>
    <w:rsid w:val="00385853"/>
    <w:rsid w:val="00385B6C"/>
    <w:rsid w:val="00386285"/>
    <w:rsid w:val="00386577"/>
    <w:rsid w:val="003867BC"/>
    <w:rsid w:val="003878D9"/>
    <w:rsid w:val="00387EE3"/>
    <w:rsid w:val="003902F6"/>
    <w:rsid w:val="0039075B"/>
    <w:rsid w:val="0039079A"/>
    <w:rsid w:val="003910A7"/>
    <w:rsid w:val="003916D5"/>
    <w:rsid w:val="0039173F"/>
    <w:rsid w:val="00392208"/>
    <w:rsid w:val="00392959"/>
    <w:rsid w:val="0039326C"/>
    <w:rsid w:val="0039424F"/>
    <w:rsid w:val="0039443A"/>
    <w:rsid w:val="00394AF3"/>
    <w:rsid w:val="00394D6F"/>
    <w:rsid w:val="00394EE8"/>
    <w:rsid w:val="00395233"/>
    <w:rsid w:val="00395585"/>
    <w:rsid w:val="00395A0A"/>
    <w:rsid w:val="00395A48"/>
    <w:rsid w:val="00395D41"/>
    <w:rsid w:val="00395F0B"/>
    <w:rsid w:val="00395F60"/>
    <w:rsid w:val="00396F5A"/>
    <w:rsid w:val="003977ED"/>
    <w:rsid w:val="003A007C"/>
    <w:rsid w:val="003A0373"/>
    <w:rsid w:val="003A05D1"/>
    <w:rsid w:val="003A06C7"/>
    <w:rsid w:val="003A0839"/>
    <w:rsid w:val="003A0CCE"/>
    <w:rsid w:val="003A10BA"/>
    <w:rsid w:val="003A1A29"/>
    <w:rsid w:val="003A1ED8"/>
    <w:rsid w:val="003A226D"/>
    <w:rsid w:val="003A2422"/>
    <w:rsid w:val="003A27CC"/>
    <w:rsid w:val="003A2D5F"/>
    <w:rsid w:val="003A3056"/>
    <w:rsid w:val="003A39FA"/>
    <w:rsid w:val="003A3A5A"/>
    <w:rsid w:val="003A3A67"/>
    <w:rsid w:val="003A3B00"/>
    <w:rsid w:val="003A3EE6"/>
    <w:rsid w:val="003A3F40"/>
    <w:rsid w:val="003A43BC"/>
    <w:rsid w:val="003A5066"/>
    <w:rsid w:val="003A507C"/>
    <w:rsid w:val="003A51A9"/>
    <w:rsid w:val="003A56FD"/>
    <w:rsid w:val="003A6301"/>
    <w:rsid w:val="003A668A"/>
    <w:rsid w:val="003A6CA9"/>
    <w:rsid w:val="003A7277"/>
    <w:rsid w:val="003A75AA"/>
    <w:rsid w:val="003A7D75"/>
    <w:rsid w:val="003B039C"/>
    <w:rsid w:val="003B06D4"/>
    <w:rsid w:val="003B0DEF"/>
    <w:rsid w:val="003B1260"/>
    <w:rsid w:val="003B13B7"/>
    <w:rsid w:val="003B1647"/>
    <w:rsid w:val="003B1974"/>
    <w:rsid w:val="003B21AF"/>
    <w:rsid w:val="003B21D8"/>
    <w:rsid w:val="003B2FE7"/>
    <w:rsid w:val="003B337B"/>
    <w:rsid w:val="003B33C2"/>
    <w:rsid w:val="003B37DF"/>
    <w:rsid w:val="003B44D8"/>
    <w:rsid w:val="003B4863"/>
    <w:rsid w:val="003B4EB2"/>
    <w:rsid w:val="003B5136"/>
    <w:rsid w:val="003B5388"/>
    <w:rsid w:val="003B57E8"/>
    <w:rsid w:val="003B5BD2"/>
    <w:rsid w:val="003B5F0D"/>
    <w:rsid w:val="003B614A"/>
    <w:rsid w:val="003B654E"/>
    <w:rsid w:val="003B68B3"/>
    <w:rsid w:val="003B69A3"/>
    <w:rsid w:val="003B6A1F"/>
    <w:rsid w:val="003B7329"/>
    <w:rsid w:val="003B76BF"/>
    <w:rsid w:val="003B7838"/>
    <w:rsid w:val="003B7CFD"/>
    <w:rsid w:val="003C0071"/>
    <w:rsid w:val="003C0677"/>
    <w:rsid w:val="003C0826"/>
    <w:rsid w:val="003C0C05"/>
    <w:rsid w:val="003C1EE2"/>
    <w:rsid w:val="003C2144"/>
    <w:rsid w:val="003C22C4"/>
    <w:rsid w:val="003C3002"/>
    <w:rsid w:val="003C361D"/>
    <w:rsid w:val="003C4869"/>
    <w:rsid w:val="003C4DE0"/>
    <w:rsid w:val="003C4F1E"/>
    <w:rsid w:val="003C5D71"/>
    <w:rsid w:val="003C5E71"/>
    <w:rsid w:val="003C603A"/>
    <w:rsid w:val="003C63E2"/>
    <w:rsid w:val="003C66E2"/>
    <w:rsid w:val="003C6769"/>
    <w:rsid w:val="003C6818"/>
    <w:rsid w:val="003C7369"/>
    <w:rsid w:val="003C73C9"/>
    <w:rsid w:val="003C7BC3"/>
    <w:rsid w:val="003C7CD2"/>
    <w:rsid w:val="003C7D73"/>
    <w:rsid w:val="003D02E1"/>
    <w:rsid w:val="003D09E9"/>
    <w:rsid w:val="003D1014"/>
    <w:rsid w:val="003D1AAC"/>
    <w:rsid w:val="003D1C4B"/>
    <w:rsid w:val="003D1E9D"/>
    <w:rsid w:val="003D2191"/>
    <w:rsid w:val="003D2601"/>
    <w:rsid w:val="003D2901"/>
    <w:rsid w:val="003D3207"/>
    <w:rsid w:val="003D35C3"/>
    <w:rsid w:val="003D38B7"/>
    <w:rsid w:val="003D3DC9"/>
    <w:rsid w:val="003D40F9"/>
    <w:rsid w:val="003D4240"/>
    <w:rsid w:val="003D439C"/>
    <w:rsid w:val="003D5673"/>
    <w:rsid w:val="003D57D1"/>
    <w:rsid w:val="003D6ED8"/>
    <w:rsid w:val="003D70D2"/>
    <w:rsid w:val="003D742F"/>
    <w:rsid w:val="003D773B"/>
    <w:rsid w:val="003D7BA5"/>
    <w:rsid w:val="003E015B"/>
    <w:rsid w:val="003E097D"/>
    <w:rsid w:val="003E0CBA"/>
    <w:rsid w:val="003E0D87"/>
    <w:rsid w:val="003E0DE1"/>
    <w:rsid w:val="003E1042"/>
    <w:rsid w:val="003E148B"/>
    <w:rsid w:val="003E1528"/>
    <w:rsid w:val="003E16A0"/>
    <w:rsid w:val="003E17E5"/>
    <w:rsid w:val="003E181C"/>
    <w:rsid w:val="003E1E85"/>
    <w:rsid w:val="003E27BB"/>
    <w:rsid w:val="003E2B13"/>
    <w:rsid w:val="003E2C52"/>
    <w:rsid w:val="003E2C8B"/>
    <w:rsid w:val="003E2D71"/>
    <w:rsid w:val="003E2EAD"/>
    <w:rsid w:val="003E315C"/>
    <w:rsid w:val="003E37A1"/>
    <w:rsid w:val="003E3B08"/>
    <w:rsid w:val="003E3EB4"/>
    <w:rsid w:val="003E49F3"/>
    <w:rsid w:val="003E4D67"/>
    <w:rsid w:val="003E5015"/>
    <w:rsid w:val="003E5874"/>
    <w:rsid w:val="003E59FA"/>
    <w:rsid w:val="003E5C50"/>
    <w:rsid w:val="003E616E"/>
    <w:rsid w:val="003E6510"/>
    <w:rsid w:val="003E6684"/>
    <w:rsid w:val="003E691B"/>
    <w:rsid w:val="003E7465"/>
    <w:rsid w:val="003E7656"/>
    <w:rsid w:val="003E7765"/>
    <w:rsid w:val="003F05A5"/>
    <w:rsid w:val="003F072A"/>
    <w:rsid w:val="003F0BA7"/>
    <w:rsid w:val="003F0EA0"/>
    <w:rsid w:val="003F0F40"/>
    <w:rsid w:val="003F1364"/>
    <w:rsid w:val="003F23EF"/>
    <w:rsid w:val="003F2E85"/>
    <w:rsid w:val="003F2EB5"/>
    <w:rsid w:val="003F3677"/>
    <w:rsid w:val="003F370D"/>
    <w:rsid w:val="003F513C"/>
    <w:rsid w:val="003F51A4"/>
    <w:rsid w:val="003F5276"/>
    <w:rsid w:val="003F55E1"/>
    <w:rsid w:val="003F5612"/>
    <w:rsid w:val="003F5D5C"/>
    <w:rsid w:val="003F5F62"/>
    <w:rsid w:val="003F5FCA"/>
    <w:rsid w:val="003F62DD"/>
    <w:rsid w:val="003F640C"/>
    <w:rsid w:val="003F69B2"/>
    <w:rsid w:val="003F6D53"/>
    <w:rsid w:val="003F6DCD"/>
    <w:rsid w:val="003F7017"/>
    <w:rsid w:val="003F7242"/>
    <w:rsid w:val="003F72FA"/>
    <w:rsid w:val="003F7466"/>
    <w:rsid w:val="003F74D9"/>
    <w:rsid w:val="003F7EA9"/>
    <w:rsid w:val="003F7F6C"/>
    <w:rsid w:val="004003AE"/>
    <w:rsid w:val="00400944"/>
    <w:rsid w:val="00400CC9"/>
    <w:rsid w:val="00400FA5"/>
    <w:rsid w:val="004010DB"/>
    <w:rsid w:val="00401605"/>
    <w:rsid w:val="004019EA"/>
    <w:rsid w:val="00401B51"/>
    <w:rsid w:val="00401B8D"/>
    <w:rsid w:val="00401FDB"/>
    <w:rsid w:val="00402476"/>
    <w:rsid w:val="00402D62"/>
    <w:rsid w:val="00402FEC"/>
    <w:rsid w:val="004035F3"/>
    <w:rsid w:val="0040362B"/>
    <w:rsid w:val="0040368A"/>
    <w:rsid w:val="00403776"/>
    <w:rsid w:val="00403BE3"/>
    <w:rsid w:val="00403D5D"/>
    <w:rsid w:val="004040E9"/>
    <w:rsid w:val="00404947"/>
    <w:rsid w:val="00404E8E"/>
    <w:rsid w:val="00404EF1"/>
    <w:rsid w:val="00404EF4"/>
    <w:rsid w:val="00405D21"/>
    <w:rsid w:val="00405E54"/>
    <w:rsid w:val="00405FAE"/>
    <w:rsid w:val="004063D5"/>
    <w:rsid w:val="00407321"/>
    <w:rsid w:val="00407CEC"/>
    <w:rsid w:val="00410CF6"/>
    <w:rsid w:val="00411125"/>
    <w:rsid w:val="00411CC6"/>
    <w:rsid w:val="004122AE"/>
    <w:rsid w:val="0041248C"/>
    <w:rsid w:val="004124F1"/>
    <w:rsid w:val="0041334C"/>
    <w:rsid w:val="004142A8"/>
    <w:rsid w:val="00414591"/>
    <w:rsid w:val="00414807"/>
    <w:rsid w:val="00414B1A"/>
    <w:rsid w:val="00415B07"/>
    <w:rsid w:val="00415B5F"/>
    <w:rsid w:val="00415D61"/>
    <w:rsid w:val="00416846"/>
    <w:rsid w:val="00416B1E"/>
    <w:rsid w:val="00416DAC"/>
    <w:rsid w:val="00416E6F"/>
    <w:rsid w:val="0041707B"/>
    <w:rsid w:val="004172F2"/>
    <w:rsid w:val="00417582"/>
    <w:rsid w:val="00417960"/>
    <w:rsid w:val="004201BA"/>
    <w:rsid w:val="0042021D"/>
    <w:rsid w:val="00420A2F"/>
    <w:rsid w:val="00420E61"/>
    <w:rsid w:val="0042159A"/>
    <w:rsid w:val="00421F09"/>
    <w:rsid w:val="004221DF"/>
    <w:rsid w:val="004222BF"/>
    <w:rsid w:val="0042238B"/>
    <w:rsid w:val="004223E1"/>
    <w:rsid w:val="004226A7"/>
    <w:rsid w:val="004226C1"/>
    <w:rsid w:val="00422AAA"/>
    <w:rsid w:val="00422B1D"/>
    <w:rsid w:val="00422BAD"/>
    <w:rsid w:val="0042339A"/>
    <w:rsid w:val="00423721"/>
    <w:rsid w:val="00423794"/>
    <w:rsid w:val="00423C2D"/>
    <w:rsid w:val="00423E53"/>
    <w:rsid w:val="00423FF5"/>
    <w:rsid w:val="0042417E"/>
    <w:rsid w:val="004243F8"/>
    <w:rsid w:val="004245E0"/>
    <w:rsid w:val="00424FB4"/>
    <w:rsid w:val="0042519E"/>
    <w:rsid w:val="004257D2"/>
    <w:rsid w:val="00425861"/>
    <w:rsid w:val="00425911"/>
    <w:rsid w:val="00425A31"/>
    <w:rsid w:val="00425B63"/>
    <w:rsid w:val="00425FAC"/>
    <w:rsid w:val="004266A3"/>
    <w:rsid w:val="004275BC"/>
    <w:rsid w:val="0042770F"/>
    <w:rsid w:val="004277D1"/>
    <w:rsid w:val="00427846"/>
    <w:rsid w:val="004302DC"/>
    <w:rsid w:val="004304E0"/>
    <w:rsid w:val="004308F9"/>
    <w:rsid w:val="00430ABE"/>
    <w:rsid w:val="00430C37"/>
    <w:rsid w:val="00430E17"/>
    <w:rsid w:val="00431037"/>
    <w:rsid w:val="004313AA"/>
    <w:rsid w:val="0043179C"/>
    <w:rsid w:val="004317B6"/>
    <w:rsid w:val="00431A3F"/>
    <w:rsid w:val="00431EBE"/>
    <w:rsid w:val="004320E8"/>
    <w:rsid w:val="0043227B"/>
    <w:rsid w:val="00433739"/>
    <w:rsid w:val="004339A2"/>
    <w:rsid w:val="00433DFD"/>
    <w:rsid w:val="00433F58"/>
    <w:rsid w:val="004340AB"/>
    <w:rsid w:val="00434124"/>
    <w:rsid w:val="00434410"/>
    <w:rsid w:val="00434471"/>
    <w:rsid w:val="00434581"/>
    <w:rsid w:val="004346CD"/>
    <w:rsid w:val="004349C3"/>
    <w:rsid w:val="004349E1"/>
    <w:rsid w:val="00434D17"/>
    <w:rsid w:val="00434DDA"/>
    <w:rsid w:val="00435111"/>
    <w:rsid w:val="004353B5"/>
    <w:rsid w:val="0043561E"/>
    <w:rsid w:val="0043567E"/>
    <w:rsid w:val="004358AA"/>
    <w:rsid w:val="004358F6"/>
    <w:rsid w:val="00435A2E"/>
    <w:rsid w:val="00436406"/>
    <w:rsid w:val="00436716"/>
    <w:rsid w:val="00436FFE"/>
    <w:rsid w:val="004371B7"/>
    <w:rsid w:val="004371CC"/>
    <w:rsid w:val="004376A6"/>
    <w:rsid w:val="00437A0F"/>
    <w:rsid w:val="00437C31"/>
    <w:rsid w:val="00437C77"/>
    <w:rsid w:val="00440263"/>
    <w:rsid w:val="00440332"/>
    <w:rsid w:val="004409D5"/>
    <w:rsid w:val="00440B6A"/>
    <w:rsid w:val="00440F96"/>
    <w:rsid w:val="0044125A"/>
    <w:rsid w:val="004416EB"/>
    <w:rsid w:val="004417BA"/>
    <w:rsid w:val="00441D62"/>
    <w:rsid w:val="00441D9F"/>
    <w:rsid w:val="004420DD"/>
    <w:rsid w:val="00442717"/>
    <w:rsid w:val="00442AEB"/>
    <w:rsid w:val="00442E00"/>
    <w:rsid w:val="00442F62"/>
    <w:rsid w:val="004433A9"/>
    <w:rsid w:val="00444050"/>
    <w:rsid w:val="004441A1"/>
    <w:rsid w:val="00444485"/>
    <w:rsid w:val="00444DF8"/>
    <w:rsid w:val="00444F23"/>
    <w:rsid w:val="00444F52"/>
    <w:rsid w:val="004450AA"/>
    <w:rsid w:val="00445A40"/>
    <w:rsid w:val="004469A4"/>
    <w:rsid w:val="00446F50"/>
    <w:rsid w:val="004473E5"/>
    <w:rsid w:val="00447527"/>
    <w:rsid w:val="004476AE"/>
    <w:rsid w:val="0044797F"/>
    <w:rsid w:val="00447AD9"/>
    <w:rsid w:val="0045008A"/>
    <w:rsid w:val="00450294"/>
    <w:rsid w:val="0045043B"/>
    <w:rsid w:val="0045139D"/>
    <w:rsid w:val="004516CA"/>
    <w:rsid w:val="00452974"/>
    <w:rsid w:val="00452D23"/>
    <w:rsid w:val="0045313A"/>
    <w:rsid w:val="00453811"/>
    <w:rsid w:val="00453F7B"/>
    <w:rsid w:val="0045421D"/>
    <w:rsid w:val="00454568"/>
    <w:rsid w:val="004546DE"/>
    <w:rsid w:val="00454E23"/>
    <w:rsid w:val="00454E2D"/>
    <w:rsid w:val="00454EC4"/>
    <w:rsid w:val="00454EC6"/>
    <w:rsid w:val="00454EE3"/>
    <w:rsid w:val="00454FAA"/>
    <w:rsid w:val="00455124"/>
    <w:rsid w:val="00455A09"/>
    <w:rsid w:val="004561C2"/>
    <w:rsid w:val="00456225"/>
    <w:rsid w:val="00456816"/>
    <w:rsid w:val="00456913"/>
    <w:rsid w:val="00456A73"/>
    <w:rsid w:val="00456D87"/>
    <w:rsid w:val="0045785F"/>
    <w:rsid w:val="00457974"/>
    <w:rsid w:val="00457F52"/>
    <w:rsid w:val="00457F8C"/>
    <w:rsid w:val="004602C4"/>
    <w:rsid w:val="004603A2"/>
    <w:rsid w:val="00460616"/>
    <w:rsid w:val="00460E94"/>
    <w:rsid w:val="00461590"/>
    <w:rsid w:val="0046186F"/>
    <w:rsid w:val="00461F92"/>
    <w:rsid w:val="00462277"/>
    <w:rsid w:val="004624F2"/>
    <w:rsid w:val="0046291E"/>
    <w:rsid w:val="0046299F"/>
    <w:rsid w:val="0046320A"/>
    <w:rsid w:val="004632DE"/>
    <w:rsid w:val="00463B58"/>
    <w:rsid w:val="004645B6"/>
    <w:rsid w:val="00465574"/>
    <w:rsid w:val="00465595"/>
    <w:rsid w:val="0046599C"/>
    <w:rsid w:val="004659E1"/>
    <w:rsid w:val="004662AA"/>
    <w:rsid w:val="00466465"/>
    <w:rsid w:val="00466C6D"/>
    <w:rsid w:val="0046713A"/>
    <w:rsid w:val="00467402"/>
    <w:rsid w:val="00467AD6"/>
    <w:rsid w:val="00467DE2"/>
    <w:rsid w:val="00470384"/>
    <w:rsid w:val="004704A3"/>
    <w:rsid w:val="004711E1"/>
    <w:rsid w:val="004719F7"/>
    <w:rsid w:val="00471C9F"/>
    <w:rsid w:val="00471FAA"/>
    <w:rsid w:val="004722A0"/>
    <w:rsid w:val="004722F4"/>
    <w:rsid w:val="00472C5F"/>
    <w:rsid w:val="00472F68"/>
    <w:rsid w:val="0047329F"/>
    <w:rsid w:val="004735D5"/>
    <w:rsid w:val="00473684"/>
    <w:rsid w:val="004737DA"/>
    <w:rsid w:val="00473963"/>
    <w:rsid w:val="00473A14"/>
    <w:rsid w:val="00473D4F"/>
    <w:rsid w:val="004741F5"/>
    <w:rsid w:val="00475CB2"/>
    <w:rsid w:val="004760F0"/>
    <w:rsid w:val="004767A7"/>
    <w:rsid w:val="004769DE"/>
    <w:rsid w:val="00476BDD"/>
    <w:rsid w:val="00476FE0"/>
    <w:rsid w:val="00477020"/>
    <w:rsid w:val="004778BF"/>
    <w:rsid w:val="00477A67"/>
    <w:rsid w:val="00477F01"/>
    <w:rsid w:val="004801F7"/>
    <w:rsid w:val="00480261"/>
    <w:rsid w:val="0048085F"/>
    <w:rsid w:val="00480956"/>
    <w:rsid w:val="00480D45"/>
    <w:rsid w:val="00480F1F"/>
    <w:rsid w:val="00480FCB"/>
    <w:rsid w:val="00481B2C"/>
    <w:rsid w:val="00482112"/>
    <w:rsid w:val="0048287A"/>
    <w:rsid w:val="00482968"/>
    <w:rsid w:val="00482D11"/>
    <w:rsid w:val="0048317F"/>
    <w:rsid w:val="004832DC"/>
    <w:rsid w:val="00483314"/>
    <w:rsid w:val="00483380"/>
    <w:rsid w:val="0048377F"/>
    <w:rsid w:val="00483914"/>
    <w:rsid w:val="0048391D"/>
    <w:rsid w:val="00483E13"/>
    <w:rsid w:val="00484925"/>
    <w:rsid w:val="00484D7D"/>
    <w:rsid w:val="00484DDC"/>
    <w:rsid w:val="00484EFB"/>
    <w:rsid w:val="00485032"/>
    <w:rsid w:val="004852B0"/>
    <w:rsid w:val="00485926"/>
    <w:rsid w:val="00485AC9"/>
    <w:rsid w:val="00485ED6"/>
    <w:rsid w:val="00485FFA"/>
    <w:rsid w:val="00486132"/>
    <w:rsid w:val="00486211"/>
    <w:rsid w:val="004862BF"/>
    <w:rsid w:val="004865AD"/>
    <w:rsid w:val="0048677F"/>
    <w:rsid w:val="00486A1E"/>
    <w:rsid w:val="00486C96"/>
    <w:rsid w:val="00486E0F"/>
    <w:rsid w:val="0048774D"/>
    <w:rsid w:val="00487770"/>
    <w:rsid w:val="00487973"/>
    <w:rsid w:val="00487A21"/>
    <w:rsid w:val="0049026B"/>
    <w:rsid w:val="00490412"/>
    <w:rsid w:val="0049083A"/>
    <w:rsid w:val="004908AE"/>
    <w:rsid w:val="00490A17"/>
    <w:rsid w:val="00490C27"/>
    <w:rsid w:val="00490D05"/>
    <w:rsid w:val="00490E62"/>
    <w:rsid w:val="00491049"/>
    <w:rsid w:val="004910B5"/>
    <w:rsid w:val="004912D0"/>
    <w:rsid w:val="0049172C"/>
    <w:rsid w:val="00491AF4"/>
    <w:rsid w:val="00491E72"/>
    <w:rsid w:val="00492062"/>
    <w:rsid w:val="004921A8"/>
    <w:rsid w:val="004923CF"/>
    <w:rsid w:val="00492448"/>
    <w:rsid w:val="00492474"/>
    <w:rsid w:val="00493289"/>
    <w:rsid w:val="004932D5"/>
    <w:rsid w:val="004935E9"/>
    <w:rsid w:val="00493AFA"/>
    <w:rsid w:val="004941C4"/>
    <w:rsid w:val="004947E7"/>
    <w:rsid w:val="004949C6"/>
    <w:rsid w:val="00494FFB"/>
    <w:rsid w:val="00495005"/>
    <w:rsid w:val="004956B9"/>
    <w:rsid w:val="00495CC8"/>
    <w:rsid w:val="0049629F"/>
    <w:rsid w:val="0049658A"/>
    <w:rsid w:val="004965A3"/>
    <w:rsid w:val="0049665E"/>
    <w:rsid w:val="004969D3"/>
    <w:rsid w:val="00496A53"/>
    <w:rsid w:val="00496E9D"/>
    <w:rsid w:val="00497F85"/>
    <w:rsid w:val="004A02D0"/>
    <w:rsid w:val="004A0301"/>
    <w:rsid w:val="004A0359"/>
    <w:rsid w:val="004A0548"/>
    <w:rsid w:val="004A09B2"/>
    <w:rsid w:val="004A0D16"/>
    <w:rsid w:val="004A0F1E"/>
    <w:rsid w:val="004A1152"/>
    <w:rsid w:val="004A145F"/>
    <w:rsid w:val="004A1B39"/>
    <w:rsid w:val="004A1B9E"/>
    <w:rsid w:val="004A224F"/>
    <w:rsid w:val="004A2FBC"/>
    <w:rsid w:val="004A3315"/>
    <w:rsid w:val="004A3738"/>
    <w:rsid w:val="004A3D33"/>
    <w:rsid w:val="004A3E65"/>
    <w:rsid w:val="004A3E8F"/>
    <w:rsid w:val="004A4339"/>
    <w:rsid w:val="004A49A2"/>
    <w:rsid w:val="004A4DBB"/>
    <w:rsid w:val="004A4DE3"/>
    <w:rsid w:val="004A55C3"/>
    <w:rsid w:val="004A59E2"/>
    <w:rsid w:val="004A5AEC"/>
    <w:rsid w:val="004A5E7F"/>
    <w:rsid w:val="004A67A0"/>
    <w:rsid w:val="004A6972"/>
    <w:rsid w:val="004A7026"/>
    <w:rsid w:val="004A78EB"/>
    <w:rsid w:val="004A7D6A"/>
    <w:rsid w:val="004A7EC8"/>
    <w:rsid w:val="004B00D2"/>
    <w:rsid w:val="004B03ED"/>
    <w:rsid w:val="004B0D88"/>
    <w:rsid w:val="004B0F6A"/>
    <w:rsid w:val="004B15BA"/>
    <w:rsid w:val="004B1C4A"/>
    <w:rsid w:val="004B1E45"/>
    <w:rsid w:val="004B1F54"/>
    <w:rsid w:val="004B2406"/>
    <w:rsid w:val="004B2EAB"/>
    <w:rsid w:val="004B3A90"/>
    <w:rsid w:val="004B3E27"/>
    <w:rsid w:val="004B3F08"/>
    <w:rsid w:val="004B400F"/>
    <w:rsid w:val="004B43E4"/>
    <w:rsid w:val="004B448A"/>
    <w:rsid w:val="004B4609"/>
    <w:rsid w:val="004B4DDE"/>
    <w:rsid w:val="004B57C9"/>
    <w:rsid w:val="004B597A"/>
    <w:rsid w:val="004B59AC"/>
    <w:rsid w:val="004B5C02"/>
    <w:rsid w:val="004B5EC8"/>
    <w:rsid w:val="004B64F9"/>
    <w:rsid w:val="004B69B8"/>
    <w:rsid w:val="004B6EAF"/>
    <w:rsid w:val="004B728C"/>
    <w:rsid w:val="004B7B81"/>
    <w:rsid w:val="004B7D77"/>
    <w:rsid w:val="004C0EF3"/>
    <w:rsid w:val="004C110C"/>
    <w:rsid w:val="004C1160"/>
    <w:rsid w:val="004C16CD"/>
    <w:rsid w:val="004C1F1C"/>
    <w:rsid w:val="004C2498"/>
    <w:rsid w:val="004C283E"/>
    <w:rsid w:val="004C2F56"/>
    <w:rsid w:val="004C385E"/>
    <w:rsid w:val="004C3A59"/>
    <w:rsid w:val="004C3DD9"/>
    <w:rsid w:val="004C462A"/>
    <w:rsid w:val="004C4691"/>
    <w:rsid w:val="004C476D"/>
    <w:rsid w:val="004C47BA"/>
    <w:rsid w:val="004C4867"/>
    <w:rsid w:val="004C4EF2"/>
    <w:rsid w:val="004C5335"/>
    <w:rsid w:val="004C556B"/>
    <w:rsid w:val="004C59CA"/>
    <w:rsid w:val="004C64C9"/>
    <w:rsid w:val="004C660B"/>
    <w:rsid w:val="004C6775"/>
    <w:rsid w:val="004C6D63"/>
    <w:rsid w:val="004C6DD7"/>
    <w:rsid w:val="004C6E6D"/>
    <w:rsid w:val="004C76D5"/>
    <w:rsid w:val="004C79AE"/>
    <w:rsid w:val="004C79FB"/>
    <w:rsid w:val="004C7AB9"/>
    <w:rsid w:val="004C7BEE"/>
    <w:rsid w:val="004D0038"/>
    <w:rsid w:val="004D04D7"/>
    <w:rsid w:val="004D085F"/>
    <w:rsid w:val="004D0F25"/>
    <w:rsid w:val="004D1591"/>
    <w:rsid w:val="004D1B52"/>
    <w:rsid w:val="004D248C"/>
    <w:rsid w:val="004D2DC7"/>
    <w:rsid w:val="004D3FD5"/>
    <w:rsid w:val="004D401A"/>
    <w:rsid w:val="004D4328"/>
    <w:rsid w:val="004D488B"/>
    <w:rsid w:val="004D529F"/>
    <w:rsid w:val="004D53B7"/>
    <w:rsid w:val="004D546C"/>
    <w:rsid w:val="004D5D04"/>
    <w:rsid w:val="004D5F27"/>
    <w:rsid w:val="004D6244"/>
    <w:rsid w:val="004D63C5"/>
    <w:rsid w:val="004D63E7"/>
    <w:rsid w:val="004D66BC"/>
    <w:rsid w:val="004D6D37"/>
    <w:rsid w:val="004D6F83"/>
    <w:rsid w:val="004D7644"/>
    <w:rsid w:val="004D7AD8"/>
    <w:rsid w:val="004D7BFE"/>
    <w:rsid w:val="004D7EF6"/>
    <w:rsid w:val="004E0026"/>
    <w:rsid w:val="004E016E"/>
    <w:rsid w:val="004E03AE"/>
    <w:rsid w:val="004E0491"/>
    <w:rsid w:val="004E05BC"/>
    <w:rsid w:val="004E0892"/>
    <w:rsid w:val="004E0BF6"/>
    <w:rsid w:val="004E0FA1"/>
    <w:rsid w:val="004E2124"/>
    <w:rsid w:val="004E2357"/>
    <w:rsid w:val="004E2CA2"/>
    <w:rsid w:val="004E3674"/>
    <w:rsid w:val="004E3ADE"/>
    <w:rsid w:val="004E3F9D"/>
    <w:rsid w:val="004E4500"/>
    <w:rsid w:val="004E450F"/>
    <w:rsid w:val="004E479F"/>
    <w:rsid w:val="004E4BC3"/>
    <w:rsid w:val="004E4F66"/>
    <w:rsid w:val="004E545B"/>
    <w:rsid w:val="004E57BE"/>
    <w:rsid w:val="004E5AFA"/>
    <w:rsid w:val="004E5DB3"/>
    <w:rsid w:val="004E5DFC"/>
    <w:rsid w:val="004E5FAE"/>
    <w:rsid w:val="004E6299"/>
    <w:rsid w:val="004E62CA"/>
    <w:rsid w:val="004E6949"/>
    <w:rsid w:val="004E6C44"/>
    <w:rsid w:val="004E6D03"/>
    <w:rsid w:val="004E6D14"/>
    <w:rsid w:val="004E6EDB"/>
    <w:rsid w:val="004E6EEB"/>
    <w:rsid w:val="004E77A8"/>
    <w:rsid w:val="004E7935"/>
    <w:rsid w:val="004E7B8B"/>
    <w:rsid w:val="004F0723"/>
    <w:rsid w:val="004F12E3"/>
    <w:rsid w:val="004F15B9"/>
    <w:rsid w:val="004F17E7"/>
    <w:rsid w:val="004F1B92"/>
    <w:rsid w:val="004F204D"/>
    <w:rsid w:val="004F2304"/>
    <w:rsid w:val="004F269B"/>
    <w:rsid w:val="004F2862"/>
    <w:rsid w:val="004F2FF9"/>
    <w:rsid w:val="004F30E6"/>
    <w:rsid w:val="004F3891"/>
    <w:rsid w:val="004F39ED"/>
    <w:rsid w:val="004F3BFA"/>
    <w:rsid w:val="004F4164"/>
    <w:rsid w:val="004F4E5B"/>
    <w:rsid w:val="004F4EA9"/>
    <w:rsid w:val="004F5751"/>
    <w:rsid w:val="004F5B5C"/>
    <w:rsid w:val="004F5FF6"/>
    <w:rsid w:val="004F605E"/>
    <w:rsid w:val="004F613D"/>
    <w:rsid w:val="004F643B"/>
    <w:rsid w:val="004F64A1"/>
    <w:rsid w:val="004F6523"/>
    <w:rsid w:val="004F652B"/>
    <w:rsid w:val="004F6951"/>
    <w:rsid w:val="004F69BA"/>
    <w:rsid w:val="004F6E71"/>
    <w:rsid w:val="004F709A"/>
    <w:rsid w:val="004F7734"/>
    <w:rsid w:val="004F7B19"/>
    <w:rsid w:val="004F7D9A"/>
    <w:rsid w:val="0050087A"/>
    <w:rsid w:val="00500A53"/>
    <w:rsid w:val="00500DBB"/>
    <w:rsid w:val="005013FD"/>
    <w:rsid w:val="00501C27"/>
    <w:rsid w:val="00501E37"/>
    <w:rsid w:val="005020AB"/>
    <w:rsid w:val="005020DD"/>
    <w:rsid w:val="0050225D"/>
    <w:rsid w:val="005024DA"/>
    <w:rsid w:val="00502B00"/>
    <w:rsid w:val="00502F18"/>
    <w:rsid w:val="005034C1"/>
    <w:rsid w:val="005036FB"/>
    <w:rsid w:val="0050375D"/>
    <w:rsid w:val="00503966"/>
    <w:rsid w:val="00503B1B"/>
    <w:rsid w:val="00504C9D"/>
    <w:rsid w:val="00504CE0"/>
    <w:rsid w:val="00505861"/>
    <w:rsid w:val="00505906"/>
    <w:rsid w:val="00505A12"/>
    <w:rsid w:val="00505F2C"/>
    <w:rsid w:val="00505FE9"/>
    <w:rsid w:val="00506282"/>
    <w:rsid w:val="00506425"/>
    <w:rsid w:val="00506650"/>
    <w:rsid w:val="0050724C"/>
    <w:rsid w:val="00507583"/>
    <w:rsid w:val="00507F16"/>
    <w:rsid w:val="00507F42"/>
    <w:rsid w:val="005102EC"/>
    <w:rsid w:val="00510CF1"/>
    <w:rsid w:val="00510DB9"/>
    <w:rsid w:val="00511593"/>
    <w:rsid w:val="00511EC0"/>
    <w:rsid w:val="00511FBD"/>
    <w:rsid w:val="00512B10"/>
    <w:rsid w:val="00512CA3"/>
    <w:rsid w:val="00512E55"/>
    <w:rsid w:val="00512E74"/>
    <w:rsid w:val="005130A4"/>
    <w:rsid w:val="00513AC0"/>
    <w:rsid w:val="00513D04"/>
    <w:rsid w:val="005145BD"/>
    <w:rsid w:val="00514883"/>
    <w:rsid w:val="00514A88"/>
    <w:rsid w:val="00514A90"/>
    <w:rsid w:val="00514B66"/>
    <w:rsid w:val="00514CAA"/>
    <w:rsid w:val="00514DF9"/>
    <w:rsid w:val="00515008"/>
    <w:rsid w:val="00515177"/>
    <w:rsid w:val="00516148"/>
    <w:rsid w:val="005163B4"/>
    <w:rsid w:val="0051663D"/>
    <w:rsid w:val="00516B9F"/>
    <w:rsid w:val="00517FAD"/>
    <w:rsid w:val="005216C7"/>
    <w:rsid w:val="00521F54"/>
    <w:rsid w:val="0052244D"/>
    <w:rsid w:val="00522537"/>
    <w:rsid w:val="00522648"/>
    <w:rsid w:val="00522941"/>
    <w:rsid w:val="005229E7"/>
    <w:rsid w:val="00522A54"/>
    <w:rsid w:val="00522F5D"/>
    <w:rsid w:val="0052309A"/>
    <w:rsid w:val="00523EE9"/>
    <w:rsid w:val="005249FC"/>
    <w:rsid w:val="00524E93"/>
    <w:rsid w:val="00525201"/>
    <w:rsid w:val="00525378"/>
    <w:rsid w:val="005259FC"/>
    <w:rsid w:val="00525E67"/>
    <w:rsid w:val="00526160"/>
    <w:rsid w:val="005268C7"/>
    <w:rsid w:val="00526AAE"/>
    <w:rsid w:val="005270E8"/>
    <w:rsid w:val="00527486"/>
    <w:rsid w:val="005275C4"/>
    <w:rsid w:val="00527BF8"/>
    <w:rsid w:val="00527E0C"/>
    <w:rsid w:val="005306CC"/>
    <w:rsid w:val="00530C4D"/>
    <w:rsid w:val="005316D1"/>
    <w:rsid w:val="00531A2B"/>
    <w:rsid w:val="00531D10"/>
    <w:rsid w:val="00531EC2"/>
    <w:rsid w:val="00532158"/>
    <w:rsid w:val="0053228E"/>
    <w:rsid w:val="005328A5"/>
    <w:rsid w:val="00532B4C"/>
    <w:rsid w:val="005334B3"/>
    <w:rsid w:val="005335E2"/>
    <w:rsid w:val="00533DAC"/>
    <w:rsid w:val="005344EB"/>
    <w:rsid w:val="00534528"/>
    <w:rsid w:val="005349FA"/>
    <w:rsid w:val="00534AB2"/>
    <w:rsid w:val="00534EC5"/>
    <w:rsid w:val="00535AE7"/>
    <w:rsid w:val="00535E7F"/>
    <w:rsid w:val="00536105"/>
    <w:rsid w:val="00536700"/>
    <w:rsid w:val="00536786"/>
    <w:rsid w:val="00536959"/>
    <w:rsid w:val="00536B45"/>
    <w:rsid w:val="00536DA9"/>
    <w:rsid w:val="0053706F"/>
    <w:rsid w:val="005371B1"/>
    <w:rsid w:val="0053753B"/>
    <w:rsid w:val="00540B59"/>
    <w:rsid w:val="005413D2"/>
    <w:rsid w:val="005416C4"/>
    <w:rsid w:val="0054174F"/>
    <w:rsid w:val="00541875"/>
    <w:rsid w:val="00542120"/>
    <w:rsid w:val="0054214C"/>
    <w:rsid w:val="00543447"/>
    <w:rsid w:val="00543485"/>
    <w:rsid w:val="0054376B"/>
    <w:rsid w:val="0054383D"/>
    <w:rsid w:val="00543AC0"/>
    <w:rsid w:val="00543F0E"/>
    <w:rsid w:val="00544188"/>
    <w:rsid w:val="00544B02"/>
    <w:rsid w:val="00544F32"/>
    <w:rsid w:val="00544FA1"/>
    <w:rsid w:val="005451BA"/>
    <w:rsid w:val="00545249"/>
    <w:rsid w:val="005452FA"/>
    <w:rsid w:val="005453A7"/>
    <w:rsid w:val="0054644F"/>
    <w:rsid w:val="0054651C"/>
    <w:rsid w:val="00546816"/>
    <w:rsid w:val="00546F11"/>
    <w:rsid w:val="00547203"/>
    <w:rsid w:val="00547269"/>
    <w:rsid w:val="005477C7"/>
    <w:rsid w:val="005477E3"/>
    <w:rsid w:val="0054790F"/>
    <w:rsid w:val="005504C8"/>
    <w:rsid w:val="00550741"/>
    <w:rsid w:val="00551951"/>
    <w:rsid w:val="00551AB6"/>
    <w:rsid w:val="00552A29"/>
    <w:rsid w:val="005537A0"/>
    <w:rsid w:val="00553BB7"/>
    <w:rsid w:val="00553D4F"/>
    <w:rsid w:val="00553E02"/>
    <w:rsid w:val="00553F94"/>
    <w:rsid w:val="00554819"/>
    <w:rsid w:val="0055514C"/>
    <w:rsid w:val="005552D5"/>
    <w:rsid w:val="00555346"/>
    <w:rsid w:val="005558FA"/>
    <w:rsid w:val="00555F55"/>
    <w:rsid w:val="00557200"/>
    <w:rsid w:val="00557B64"/>
    <w:rsid w:val="005604AC"/>
    <w:rsid w:val="00560A4A"/>
    <w:rsid w:val="00560D92"/>
    <w:rsid w:val="005612EF"/>
    <w:rsid w:val="005626D6"/>
    <w:rsid w:val="00562B85"/>
    <w:rsid w:val="005636ED"/>
    <w:rsid w:val="00563873"/>
    <w:rsid w:val="005649B7"/>
    <w:rsid w:val="00565460"/>
    <w:rsid w:val="005654DD"/>
    <w:rsid w:val="00565DFB"/>
    <w:rsid w:val="00565E67"/>
    <w:rsid w:val="00565E95"/>
    <w:rsid w:val="00566131"/>
    <w:rsid w:val="0056678A"/>
    <w:rsid w:val="00566821"/>
    <w:rsid w:val="00566D66"/>
    <w:rsid w:val="00566E12"/>
    <w:rsid w:val="0056706B"/>
    <w:rsid w:val="005671C2"/>
    <w:rsid w:val="005676E0"/>
    <w:rsid w:val="00567DE6"/>
    <w:rsid w:val="00567F47"/>
    <w:rsid w:val="005702F4"/>
    <w:rsid w:val="00570598"/>
    <w:rsid w:val="00570D3E"/>
    <w:rsid w:val="00571121"/>
    <w:rsid w:val="005713A6"/>
    <w:rsid w:val="00571C49"/>
    <w:rsid w:val="0057273A"/>
    <w:rsid w:val="00572D85"/>
    <w:rsid w:val="00573424"/>
    <w:rsid w:val="00573558"/>
    <w:rsid w:val="00573B03"/>
    <w:rsid w:val="00573E4D"/>
    <w:rsid w:val="0057408D"/>
    <w:rsid w:val="005740AF"/>
    <w:rsid w:val="0057548B"/>
    <w:rsid w:val="0057556F"/>
    <w:rsid w:val="0057563E"/>
    <w:rsid w:val="00576562"/>
    <w:rsid w:val="00576D37"/>
    <w:rsid w:val="0057709C"/>
    <w:rsid w:val="00577146"/>
    <w:rsid w:val="0057796D"/>
    <w:rsid w:val="00580942"/>
    <w:rsid w:val="0058097F"/>
    <w:rsid w:val="005810FD"/>
    <w:rsid w:val="005811DD"/>
    <w:rsid w:val="005812E9"/>
    <w:rsid w:val="00581DC9"/>
    <w:rsid w:val="0058204C"/>
    <w:rsid w:val="0058258E"/>
    <w:rsid w:val="00582BC6"/>
    <w:rsid w:val="00582CD1"/>
    <w:rsid w:val="00583698"/>
    <w:rsid w:val="00583776"/>
    <w:rsid w:val="00583C16"/>
    <w:rsid w:val="00583D1D"/>
    <w:rsid w:val="00584B2B"/>
    <w:rsid w:val="00584E40"/>
    <w:rsid w:val="0058515F"/>
    <w:rsid w:val="005852C2"/>
    <w:rsid w:val="005852C5"/>
    <w:rsid w:val="005853E1"/>
    <w:rsid w:val="00585829"/>
    <w:rsid w:val="0058584F"/>
    <w:rsid w:val="005858F7"/>
    <w:rsid w:val="00585E64"/>
    <w:rsid w:val="00585F13"/>
    <w:rsid w:val="00585F5E"/>
    <w:rsid w:val="0058638A"/>
    <w:rsid w:val="00586653"/>
    <w:rsid w:val="005869BF"/>
    <w:rsid w:val="00586AB0"/>
    <w:rsid w:val="00586F6A"/>
    <w:rsid w:val="00587C6E"/>
    <w:rsid w:val="005907A1"/>
    <w:rsid w:val="00590F39"/>
    <w:rsid w:val="005915E1"/>
    <w:rsid w:val="00591ABF"/>
    <w:rsid w:val="00591FBC"/>
    <w:rsid w:val="0059273E"/>
    <w:rsid w:val="00592CD3"/>
    <w:rsid w:val="00592FE9"/>
    <w:rsid w:val="0059408A"/>
    <w:rsid w:val="005940B3"/>
    <w:rsid w:val="005942BF"/>
    <w:rsid w:val="005942CF"/>
    <w:rsid w:val="00594ADC"/>
    <w:rsid w:val="0059559B"/>
    <w:rsid w:val="00595687"/>
    <w:rsid w:val="005956AA"/>
    <w:rsid w:val="00595BA0"/>
    <w:rsid w:val="00595D7F"/>
    <w:rsid w:val="0059714D"/>
    <w:rsid w:val="005972D5"/>
    <w:rsid w:val="005974C8"/>
    <w:rsid w:val="00597C44"/>
    <w:rsid w:val="00597D54"/>
    <w:rsid w:val="00597E79"/>
    <w:rsid w:val="005A0193"/>
    <w:rsid w:val="005A0483"/>
    <w:rsid w:val="005A0C09"/>
    <w:rsid w:val="005A0C70"/>
    <w:rsid w:val="005A0CA3"/>
    <w:rsid w:val="005A0F90"/>
    <w:rsid w:val="005A1790"/>
    <w:rsid w:val="005A1ADE"/>
    <w:rsid w:val="005A1C60"/>
    <w:rsid w:val="005A1D8B"/>
    <w:rsid w:val="005A1FE9"/>
    <w:rsid w:val="005A264A"/>
    <w:rsid w:val="005A27AD"/>
    <w:rsid w:val="005A2BCE"/>
    <w:rsid w:val="005A2DEE"/>
    <w:rsid w:val="005A332B"/>
    <w:rsid w:val="005A3622"/>
    <w:rsid w:val="005A3683"/>
    <w:rsid w:val="005A36A4"/>
    <w:rsid w:val="005A3AE7"/>
    <w:rsid w:val="005A3CED"/>
    <w:rsid w:val="005A3EEE"/>
    <w:rsid w:val="005A43CC"/>
    <w:rsid w:val="005A4DA2"/>
    <w:rsid w:val="005A4FAA"/>
    <w:rsid w:val="005A50D6"/>
    <w:rsid w:val="005A57A4"/>
    <w:rsid w:val="005A6645"/>
    <w:rsid w:val="005A6957"/>
    <w:rsid w:val="005A72E6"/>
    <w:rsid w:val="005A74B0"/>
    <w:rsid w:val="005A77CB"/>
    <w:rsid w:val="005B035D"/>
    <w:rsid w:val="005B090D"/>
    <w:rsid w:val="005B0DF4"/>
    <w:rsid w:val="005B10C9"/>
    <w:rsid w:val="005B11C8"/>
    <w:rsid w:val="005B131F"/>
    <w:rsid w:val="005B1555"/>
    <w:rsid w:val="005B1591"/>
    <w:rsid w:val="005B17AD"/>
    <w:rsid w:val="005B1A9D"/>
    <w:rsid w:val="005B1ECE"/>
    <w:rsid w:val="005B23D5"/>
    <w:rsid w:val="005B25F4"/>
    <w:rsid w:val="005B2CE0"/>
    <w:rsid w:val="005B3323"/>
    <w:rsid w:val="005B360C"/>
    <w:rsid w:val="005B4847"/>
    <w:rsid w:val="005B4C00"/>
    <w:rsid w:val="005B54B8"/>
    <w:rsid w:val="005B5992"/>
    <w:rsid w:val="005B5B35"/>
    <w:rsid w:val="005B611A"/>
    <w:rsid w:val="005B624E"/>
    <w:rsid w:val="005B66BD"/>
    <w:rsid w:val="005B66D4"/>
    <w:rsid w:val="005B6DD8"/>
    <w:rsid w:val="005B7017"/>
    <w:rsid w:val="005B77D6"/>
    <w:rsid w:val="005C0590"/>
    <w:rsid w:val="005C12BB"/>
    <w:rsid w:val="005C19B7"/>
    <w:rsid w:val="005C1EC8"/>
    <w:rsid w:val="005C21FA"/>
    <w:rsid w:val="005C3527"/>
    <w:rsid w:val="005C3BA0"/>
    <w:rsid w:val="005C3C01"/>
    <w:rsid w:val="005C3CC5"/>
    <w:rsid w:val="005C3E1C"/>
    <w:rsid w:val="005C423B"/>
    <w:rsid w:val="005C4493"/>
    <w:rsid w:val="005C456A"/>
    <w:rsid w:val="005C474F"/>
    <w:rsid w:val="005C47F2"/>
    <w:rsid w:val="005C4EE9"/>
    <w:rsid w:val="005C5682"/>
    <w:rsid w:val="005C5685"/>
    <w:rsid w:val="005C5CF1"/>
    <w:rsid w:val="005C6104"/>
    <w:rsid w:val="005C62C5"/>
    <w:rsid w:val="005C6339"/>
    <w:rsid w:val="005C6AE9"/>
    <w:rsid w:val="005C6B2B"/>
    <w:rsid w:val="005C6E18"/>
    <w:rsid w:val="005C6EB2"/>
    <w:rsid w:val="005C7118"/>
    <w:rsid w:val="005C782E"/>
    <w:rsid w:val="005C7853"/>
    <w:rsid w:val="005D0338"/>
    <w:rsid w:val="005D0818"/>
    <w:rsid w:val="005D0BE5"/>
    <w:rsid w:val="005D1871"/>
    <w:rsid w:val="005D1F87"/>
    <w:rsid w:val="005D23E4"/>
    <w:rsid w:val="005D27D2"/>
    <w:rsid w:val="005D27EF"/>
    <w:rsid w:val="005D280F"/>
    <w:rsid w:val="005D29DD"/>
    <w:rsid w:val="005D2B8C"/>
    <w:rsid w:val="005D2F10"/>
    <w:rsid w:val="005D3B71"/>
    <w:rsid w:val="005D42D4"/>
    <w:rsid w:val="005D443D"/>
    <w:rsid w:val="005D45AC"/>
    <w:rsid w:val="005D47D0"/>
    <w:rsid w:val="005D48AD"/>
    <w:rsid w:val="005D4B29"/>
    <w:rsid w:val="005D4E50"/>
    <w:rsid w:val="005D50C0"/>
    <w:rsid w:val="005D5A15"/>
    <w:rsid w:val="005D6074"/>
    <w:rsid w:val="005D753B"/>
    <w:rsid w:val="005D7582"/>
    <w:rsid w:val="005D7C4B"/>
    <w:rsid w:val="005D7E35"/>
    <w:rsid w:val="005E01D1"/>
    <w:rsid w:val="005E063D"/>
    <w:rsid w:val="005E0CAC"/>
    <w:rsid w:val="005E137D"/>
    <w:rsid w:val="005E1A86"/>
    <w:rsid w:val="005E1E1E"/>
    <w:rsid w:val="005E1F76"/>
    <w:rsid w:val="005E27A9"/>
    <w:rsid w:val="005E2814"/>
    <w:rsid w:val="005E28BE"/>
    <w:rsid w:val="005E2F7D"/>
    <w:rsid w:val="005E30F0"/>
    <w:rsid w:val="005E3695"/>
    <w:rsid w:val="005E4008"/>
    <w:rsid w:val="005E4C92"/>
    <w:rsid w:val="005E51AC"/>
    <w:rsid w:val="005E5B1E"/>
    <w:rsid w:val="005E5D78"/>
    <w:rsid w:val="005E6941"/>
    <w:rsid w:val="005E70D9"/>
    <w:rsid w:val="005E7189"/>
    <w:rsid w:val="005E74C7"/>
    <w:rsid w:val="005E775F"/>
    <w:rsid w:val="005E7CC7"/>
    <w:rsid w:val="005F049B"/>
    <w:rsid w:val="005F1224"/>
    <w:rsid w:val="005F1329"/>
    <w:rsid w:val="005F1CE0"/>
    <w:rsid w:val="005F1D7D"/>
    <w:rsid w:val="005F1F1A"/>
    <w:rsid w:val="005F1F62"/>
    <w:rsid w:val="005F2C52"/>
    <w:rsid w:val="005F2D62"/>
    <w:rsid w:val="005F3624"/>
    <w:rsid w:val="005F37FF"/>
    <w:rsid w:val="005F3CB8"/>
    <w:rsid w:val="005F3EEE"/>
    <w:rsid w:val="005F3FB0"/>
    <w:rsid w:val="005F468E"/>
    <w:rsid w:val="005F469A"/>
    <w:rsid w:val="005F4C1D"/>
    <w:rsid w:val="005F4C9A"/>
    <w:rsid w:val="005F4EA4"/>
    <w:rsid w:val="005F5094"/>
    <w:rsid w:val="005F5217"/>
    <w:rsid w:val="005F521F"/>
    <w:rsid w:val="005F59BB"/>
    <w:rsid w:val="005F5C3A"/>
    <w:rsid w:val="005F6239"/>
    <w:rsid w:val="005F668A"/>
    <w:rsid w:val="005F69E9"/>
    <w:rsid w:val="005F6A7C"/>
    <w:rsid w:val="005F6D6A"/>
    <w:rsid w:val="005F6DC6"/>
    <w:rsid w:val="005F6F5A"/>
    <w:rsid w:val="005F764C"/>
    <w:rsid w:val="005F788F"/>
    <w:rsid w:val="005F7F33"/>
    <w:rsid w:val="006007FF"/>
    <w:rsid w:val="00600CA3"/>
    <w:rsid w:val="00601177"/>
    <w:rsid w:val="006018F9"/>
    <w:rsid w:val="00601921"/>
    <w:rsid w:val="00601A60"/>
    <w:rsid w:val="00601DFA"/>
    <w:rsid w:val="00601F12"/>
    <w:rsid w:val="00602419"/>
    <w:rsid w:val="00602A86"/>
    <w:rsid w:val="00602F06"/>
    <w:rsid w:val="006030E3"/>
    <w:rsid w:val="006034FE"/>
    <w:rsid w:val="00604193"/>
    <w:rsid w:val="006045C1"/>
    <w:rsid w:val="0060461E"/>
    <w:rsid w:val="0060502C"/>
    <w:rsid w:val="0060525D"/>
    <w:rsid w:val="00605C5F"/>
    <w:rsid w:val="00606084"/>
    <w:rsid w:val="006060A7"/>
    <w:rsid w:val="00606117"/>
    <w:rsid w:val="00606630"/>
    <w:rsid w:val="006066CE"/>
    <w:rsid w:val="006074BA"/>
    <w:rsid w:val="00607832"/>
    <w:rsid w:val="0060784D"/>
    <w:rsid w:val="006079B6"/>
    <w:rsid w:val="00607A8F"/>
    <w:rsid w:val="00610295"/>
    <w:rsid w:val="0061078A"/>
    <w:rsid w:val="00610BC3"/>
    <w:rsid w:val="0061132F"/>
    <w:rsid w:val="006113A8"/>
    <w:rsid w:val="006118FB"/>
    <w:rsid w:val="00611B6B"/>
    <w:rsid w:val="00612179"/>
    <w:rsid w:val="006122E2"/>
    <w:rsid w:val="006125E4"/>
    <w:rsid w:val="00612C6B"/>
    <w:rsid w:val="006133E3"/>
    <w:rsid w:val="0061374C"/>
    <w:rsid w:val="00613876"/>
    <w:rsid w:val="00613AAA"/>
    <w:rsid w:val="00613CE9"/>
    <w:rsid w:val="006154EA"/>
    <w:rsid w:val="00615D91"/>
    <w:rsid w:val="00615E3F"/>
    <w:rsid w:val="00616A5C"/>
    <w:rsid w:val="00616C4B"/>
    <w:rsid w:val="00616D25"/>
    <w:rsid w:val="0061717D"/>
    <w:rsid w:val="00617361"/>
    <w:rsid w:val="00617A68"/>
    <w:rsid w:val="00617E34"/>
    <w:rsid w:val="00620164"/>
    <w:rsid w:val="006203A8"/>
    <w:rsid w:val="006207D4"/>
    <w:rsid w:val="00621AC1"/>
    <w:rsid w:val="00621D73"/>
    <w:rsid w:val="00621F65"/>
    <w:rsid w:val="00622AE6"/>
    <w:rsid w:val="00622D96"/>
    <w:rsid w:val="00622DD0"/>
    <w:rsid w:val="00622FE9"/>
    <w:rsid w:val="00623B06"/>
    <w:rsid w:val="006242E0"/>
    <w:rsid w:val="00624EDE"/>
    <w:rsid w:val="00625334"/>
    <w:rsid w:val="00625403"/>
    <w:rsid w:val="00625579"/>
    <w:rsid w:val="00625789"/>
    <w:rsid w:val="00625A5D"/>
    <w:rsid w:val="00625F12"/>
    <w:rsid w:val="00625F5D"/>
    <w:rsid w:val="00626E9E"/>
    <w:rsid w:val="00626EA3"/>
    <w:rsid w:val="00626FEC"/>
    <w:rsid w:val="006274E3"/>
    <w:rsid w:val="0062764B"/>
    <w:rsid w:val="00627D5B"/>
    <w:rsid w:val="00627FF5"/>
    <w:rsid w:val="00630BBE"/>
    <w:rsid w:val="006311E2"/>
    <w:rsid w:val="00631692"/>
    <w:rsid w:val="006319A9"/>
    <w:rsid w:val="00631AD8"/>
    <w:rsid w:val="00631B2E"/>
    <w:rsid w:val="00631B9D"/>
    <w:rsid w:val="0063237F"/>
    <w:rsid w:val="006323B0"/>
    <w:rsid w:val="00632DFA"/>
    <w:rsid w:val="00632FDE"/>
    <w:rsid w:val="006336F4"/>
    <w:rsid w:val="00633CB0"/>
    <w:rsid w:val="00634E92"/>
    <w:rsid w:val="006352C4"/>
    <w:rsid w:val="00635C1F"/>
    <w:rsid w:val="00635DAF"/>
    <w:rsid w:val="006363E7"/>
    <w:rsid w:val="00636CCF"/>
    <w:rsid w:val="00636D0F"/>
    <w:rsid w:val="0063718C"/>
    <w:rsid w:val="006377E4"/>
    <w:rsid w:val="00637E42"/>
    <w:rsid w:val="00637FAC"/>
    <w:rsid w:val="0064009F"/>
    <w:rsid w:val="00640C15"/>
    <w:rsid w:val="006412DC"/>
    <w:rsid w:val="00641390"/>
    <w:rsid w:val="0064153A"/>
    <w:rsid w:val="00641CEC"/>
    <w:rsid w:val="00642290"/>
    <w:rsid w:val="00642378"/>
    <w:rsid w:val="00642639"/>
    <w:rsid w:val="00642C2E"/>
    <w:rsid w:val="00642DF2"/>
    <w:rsid w:val="0064329F"/>
    <w:rsid w:val="0064365C"/>
    <w:rsid w:val="00643763"/>
    <w:rsid w:val="00643A1A"/>
    <w:rsid w:val="00643C36"/>
    <w:rsid w:val="006440D1"/>
    <w:rsid w:val="0064421D"/>
    <w:rsid w:val="00644483"/>
    <w:rsid w:val="006447B1"/>
    <w:rsid w:val="00645412"/>
    <w:rsid w:val="006454D0"/>
    <w:rsid w:val="00645821"/>
    <w:rsid w:val="00645AF3"/>
    <w:rsid w:val="00645F2E"/>
    <w:rsid w:val="00646BBC"/>
    <w:rsid w:val="00647093"/>
    <w:rsid w:val="00647306"/>
    <w:rsid w:val="006476BA"/>
    <w:rsid w:val="00650078"/>
    <w:rsid w:val="00650149"/>
    <w:rsid w:val="00650B3E"/>
    <w:rsid w:val="00650B56"/>
    <w:rsid w:val="00650B93"/>
    <w:rsid w:val="00650FCF"/>
    <w:rsid w:val="006518FA"/>
    <w:rsid w:val="006521D4"/>
    <w:rsid w:val="00652278"/>
    <w:rsid w:val="0065229D"/>
    <w:rsid w:val="006522E3"/>
    <w:rsid w:val="00652328"/>
    <w:rsid w:val="006523B7"/>
    <w:rsid w:val="0065277A"/>
    <w:rsid w:val="00652B02"/>
    <w:rsid w:val="00652D46"/>
    <w:rsid w:val="0065357F"/>
    <w:rsid w:val="006536DD"/>
    <w:rsid w:val="0065393C"/>
    <w:rsid w:val="00653C3A"/>
    <w:rsid w:val="00653D19"/>
    <w:rsid w:val="00653DA7"/>
    <w:rsid w:val="00653F9B"/>
    <w:rsid w:val="00654135"/>
    <w:rsid w:val="0065431A"/>
    <w:rsid w:val="00654CFE"/>
    <w:rsid w:val="00654D99"/>
    <w:rsid w:val="0065526C"/>
    <w:rsid w:val="00655564"/>
    <w:rsid w:val="00656903"/>
    <w:rsid w:val="00657A45"/>
    <w:rsid w:val="00657DBC"/>
    <w:rsid w:val="00657F66"/>
    <w:rsid w:val="0066055E"/>
    <w:rsid w:val="006605E1"/>
    <w:rsid w:val="00660A46"/>
    <w:rsid w:val="00660B83"/>
    <w:rsid w:val="00660C8D"/>
    <w:rsid w:val="006612CE"/>
    <w:rsid w:val="00661436"/>
    <w:rsid w:val="00661437"/>
    <w:rsid w:val="0066147A"/>
    <w:rsid w:val="006614A1"/>
    <w:rsid w:val="006617C2"/>
    <w:rsid w:val="00661EE4"/>
    <w:rsid w:val="0066222F"/>
    <w:rsid w:val="0066263E"/>
    <w:rsid w:val="0066274F"/>
    <w:rsid w:val="006629B5"/>
    <w:rsid w:val="00663684"/>
    <w:rsid w:val="006648AF"/>
    <w:rsid w:val="00664BCE"/>
    <w:rsid w:val="00665635"/>
    <w:rsid w:val="0066578E"/>
    <w:rsid w:val="006658C5"/>
    <w:rsid w:val="00665B4B"/>
    <w:rsid w:val="00665B85"/>
    <w:rsid w:val="00666531"/>
    <w:rsid w:val="006665E6"/>
    <w:rsid w:val="00666777"/>
    <w:rsid w:val="00666AC6"/>
    <w:rsid w:val="00666C03"/>
    <w:rsid w:val="00666DBE"/>
    <w:rsid w:val="00666E7F"/>
    <w:rsid w:val="00666F65"/>
    <w:rsid w:val="00666F6F"/>
    <w:rsid w:val="00667018"/>
    <w:rsid w:val="006674A9"/>
    <w:rsid w:val="00667721"/>
    <w:rsid w:val="00667E7C"/>
    <w:rsid w:val="00667F16"/>
    <w:rsid w:val="00667F6B"/>
    <w:rsid w:val="00667F81"/>
    <w:rsid w:val="00670210"/>
    <w:rsid w:val="0067070D"/>
    <w:rsid w:val="00670A3F"/>
    <w:rsid w:val="00670A4B"/>
    <w:rsid w:val="00670ADD"/>
    <w:rsid w:val="00670C5A"/>
    <w:rsid w:val="0067119C"/>
    <w:rsid w:val="0067125A"/>
    <w:rsid w:val="0067138F"/>
    <w:rsid w:val="0067149D"/>
    <w:rsid w:val="00671723"/>
    <w:rsid w:val="0067185A"/>
    <w:rsid w:val="00671CE8"/>
    <w:rsid w:val="00671DC6"/>
    <w:rsid w:val="006722AB"/>
    <w:rsid w:val="0067231A"/>
    <w:rsid w:val="00672618"/>
    <w:rsid w:val="0067274F"/>
    <w:rsid w:val="00672A4F"/>
    <w:rsid w:val="00672ED3"/>
    <w:rsid w:val="006737B0"/>
    <w:rsid w:val="00674597"/>
    <w:rsid w:val="00674818"/>
    <w:rsid w:val="00674C86"/>
    <w:rsid w:val="0067517E"/>
    <w:rsid w:val="00675DEF"/>
    <w:rsid w:val="00676929"/>
    <w:rsid w:val="00676B46"/>
    <w:rsid w:val="00676E78"/>
    <w:rsid w:val="0067751B"/>
    <w:rsid w:val="00677EF1"/>
    <w:rsid w:val="00677FF0"/>
    <w:rsid w:val="00680197"/>
    <w:rsid w:val="00680360"/>
    <w:rsid w:val="00680848"/>
    <w:rsid w:val="00680A72"/>
    <w:rsid w:val="006812E2"/>
    <w:rsid w:val="00681997"/>
    <w:rsid w:val="00681C38"/>
    <w:rsid w:val="00681D87"/>
    <w:rsid w:val="006823F4"/>
    <w:rsid w:val="00682649"/>
    <w:rsid w:val="00682D55"/>
    <w:rsid w:val="00682D91"/>
    <w:rsid w:val="0068372A"/>
    <w:rsid w:val="00684102"/>
    <w:rsid w:val="006842D0"/>
    <w:rsid w:val="006844B3"/>
    <w:rsid w:val="006846A3"/>
    <w:rsid w:val="006847CD"/>
    <w:rsid w:val="00684D74"/>
    <w:rsid w:val="006858B7"/>
    <w:rsid w:val="00685A18"/>
    <w:rsid w:val="00685E03"/>
    <w:rsid w:val="00685F7E"/>
    <w:rsid w:val="00686077"/>
    <w:rsid w:val="00686786"/>
    <w:rsid w:val="00686DDF"/>
    <w:rsid w:val="00687516"/>
    <w:rsid w:val="0068792A"/>
    <w:rsid w:val="00687FB5"/>
    <w:rsid w:val="00690902"/>
    <w:rsid w:val="0069090B"/>
    <w:rsid w:val="00690963"/>
    <w:rsid w:val="006915D7"/>
    <w:rsid w:val="00691C71"/>
    <w:rsid w:val="00691EE7"/>
    <w:rsid w:val="006920B8"/>
    <w:rsid w:val="00692909"/>
    <w:rsid w:val="00692A99"/>
    <w:rsid w:val="00692DE2"/>
    <w:rsid w:val="00693207"/>
    <w:rsid w:val="00693791"/>
    <w:rsid w:val="00693851"/>
    <w:rsid w:val="0069389F"/>
    <w:rsid w:val="00693C3A"/>
    <w:rsid w:val="00693D26"/>
    <w:rsid w:val="00693E83"/>
    <w:rsid w:val="0069418D"/>
    <w:rsid w:val="0069479F"/>
    <w:rsid w:val="006950E7"/>
    <w:rsid w:val="006950F7"/>
    <w:rsid w:val="006953E6"/>
    <w:rsid w:val="006954E3"/>
    <w:rsid w:val="00695B3E"/>
    <w:rsid w:val="00695DE2"/>
    <w:rsid w:val="006962A9"/>
    <w:rsid w:val="00696321"/>
    <w:rsid w:val="006963FB"/>
    <w:rsid w:val="0069656D"/>
    <w:rsid w:val="006967EE"/>
    <w:rsid w:val="006970D2"/>
    <w:rsid w:val="0069744C"/>
    <w:rsid w:val="0069791F"/>
    <w:rsid w:val="00697BF0"/>
    <w:rsid w:val="006A059E"/>
    <w:rsid w:val="006A152F"/>
    <w:rsid w:val="006A18FD"/>
    <w:rsid w:val="006A1A02"/>
    <w:rsid w:val="006A1AD7"/>
    <w:rsid w:val="006A2199"/>
    <w:rsid w:val="006A2751"/>
    <w:rsid w:val="006A2770"/>
    <w:rsid w:val="006A315B"/>
    <w:rsid w:val="006A320F"/>
    <w:rsid w:val="006A34EB"/>
    <w:rsid w:val="006A3D51"/>
    <w:rsid w:val="006A4094"/>
    <w:rsid w:val="006A42B3"/>
    <w:rsid w:val="006A465D"/>
    <w:rsid w:val="006A5287"/>
    <w:rsid w:val="006A5398"/>
    <w:rsid w:val="006A5C6B"/>
    <w:rsid w:val="006A6405"/>
    <w:rsid w:val="006A6897"/>
    <w:rsid w:val="006A696B"/>
    <w:rsid w:val="006A6AB1"/>
    <w:rsid w:val="006A7387"/>
    <w:rsid w:val="006A74AA"/>
    <w:rsid w:val="006A772B"/>
    <w:rsid w:val="006A7C56"/>
    <w:rsid w:val="006B036C"/>
    <w:rsid w:val="006B067B"/>
    <w:rsid w:val="006B08BE"/>
    <w:rsid w:val="006B093E"/>
    <w:rsid w:val="006B1212"/>
    <w:rsid w:val="006B139C"/>
    <w:rsid w:val="006B140D"/>
    <w:rsid w:val="006B158B"/>
    <w:rsid w:val="006B15CC"/>
    <w:rsid w:val="006B1C82"/>
    <w:rsid w:val="006B1E86"/>
    <w:rsid w:val="006B216C"/>
    <w:rsid w:val="006B2267"/>
    <w:rsid w:val="006B22A9"/>
    <w:rsid w:val="006B2441"/>
    <w:rsid w:val="006B260A"/>
    <w:rsid w:val="006B2804"/>
    <w:rsid w:val="006B2A95"/>
    <w:rsid w:val="006B2DBC"/>
    <w:rsid w:val="006B2EA0"/>
    <w:rsid w:val="006B31FD"/>
    <w:rsid w:val="006B32F3"/>
    <w:rsid w:val="006B34B2"/>
    <w:rsid w:val="006B3D38"/>
    <w:rsid w:val="006B3EB8"/>
    <w:rsid w:val="006B46AE"/>
    <w:rsid w:val="006B4814"/>
    <w:rsid w:val="006B4A22"/>
    <w:rsid w:val="006B4B71"/>
    <w:rsid w:val="006B4D2E"/>
    <w:rsid w:val="006B50B5"/>
    <w:rsid w:val="006B5F51"/>
    <w:rsid w:val="006B6835"/>
    <w:rsid w:val="006B6C60"/>
    <w:rsid w:val="006B7BD5"/>
    <w:rsid w:val="006B7FEB"/>
    <w:rsid w:val="006C05F7"/>
    <w:rsid w:val="006C07A1"/>
    <w:rsid w:val="006C0942"/>
    <w:rsid w:val="006C0A1F"/>
    <w:rsid w:val="006C0E3C"/>
    <w:rsid w:val="006C101B"/>
    <w:rsid w:val="006C14E0"/>
    <w:rsid w:val="006C16D9"/>
    <w:rsid w:val="006C1900"/>
    <w:rsid w:val="006C1C0C"/>
    <w:rsid w:val="006C1C3E"/>
    <w:rsid w:val="006C1E51"/>
    <w:rsid w:val="006C2323"/>
    <w:rsid w:val="006C271F"/>
    <w:rsid w:val="006C3F76"/>
    <w:rsid w:val="006C46A0"/>
    <w:rsid w:val="006C4A8F"/>
    <w:rsid w:val="006C4D7C"/>
    <w:rsid w:val="006C4EB3"/>
    <w:rsid w:val="006C5088"/>
    <w:rsid w:val="006C50C3"/>
    <w:rsid w:val="006C51C9"/>
    <w:rsid w:val="006C5347"/>
    <w:rsid w:val="006C58CE"/>
    <w:rsid w:val="006C6077"/>
    <w:rsid w:val="006C63A2"/>
    <w:rsid w:val="006C6B24"/>
    <w:rsid w:val="006C6B67"/>
    <w:rsid w:val="006C6D74"/>
    <w:rsid w:val="006C6EA3"/>
    <w:rsid w:val="006C6F4A"/>
    <w:rsid w:val="006C70EA"/>
    <w:rsid w:val="006C76B4"/>
    <w:rsid w:val="006C7867"/>
    <w:rsid w:val="006C7E97"/>
    <w:rsid w:val="006D06F3"/>
    <w:rsid w:val="006D1907"/>
    <w:rsid w:val="006D1FE5"/>
    <w:rsid w:val="006D28B2"/>
    <w:rsid w:val="006D35C8"/>
    <w:rsid w:val="006D3860"/>
    <w:rsid w:val="006D3E1E"/>
    <w:rsid w:val="006D3FD1"/>
    <w:rsid w:val="006D42EF"/>
    <w:rsid w:val="006D4C34"/>
    <w:rsid w:val="006D4EFD"/>
    <w:rsid w:val="006D50AD"/>
    <w:rsid w:val="006D573F"/>
    <w:rsid w:val="006D5F77"/>
    <w:rsid w:val="006D5F7F"/>
    <w:rsid w:val="006D61DA"/>
    <w:rsid w:val="006D633B"/>
    <w:rsid w:val="006D6465"/>
    <w:rsid w:val="006D6751"/>
    <w:rsid w:val="006D6753"/>
    <w:rsid w:val="006D7112"/>
    <w:rsid w:val="006D7419"/>
    <w:rsid w:val="006D79DE"/>
    <w:rsid w:val="006D7ABC"/>
    <w:rsid w:val="006D7B33"/>
    <w:rsid w:val="006D7B36"/>
    <w:rsid w:val="006D7C92"/>
    <w:rsid w:val="006D7D95"/>
    <w:rsid w:val="006E00B7"/>
    <w:rsid w:val="006E0160"/>
    <w:rsid w:val="006E05C9"/>
    <w:rsid w:val="006E06B1"/>
    <w:rsid w:val="006E08C8"/>
    <w:rsid w:val="006E0957"/>
    <w:rsid w:val="006E10D9"/>
    <w:rsid w:val="006E1605"/>
    <w:rsid w:val="006E18CF"/>
    <w:rsid w:val="006E1FF6"/>
    <w:rsid w:val="006E20CA"/>
    <w:rsid w:val="006E229B"/>
    <w:rsid w:val="006E2B1E"/>
    <w:rsid w:val="006E2F30"/>
    <w:rsid w:val="006E32B1"/>
    <w:rsid w:val="006E3738"/>
    <w:rsid w:val="006E3F8C"/>
    <w:rsid w:val="006E4368"/>
    <w:rsid w:val="006E4815"/>
    <w:rsid w:val="006E4ADB"/>
    <w:rsid w:val="006E5680"/>
    <w:rsid w:val="006E5A19"/>
    <w:rsid w:val="006E5F1E"/>
    <w:rsid w:val="006E6532"/>
    <w:rsid w:val="006E725E"/>
    <w:rsid w:val="006E7547"/>
    <w:rsid w:val="006E7C6F"/>
    <w:rsid w:val="006E7E11"/>
    <w:rsid w:val="006E7F42"/>
    <w:rsid w:val="006F056D"/>
    <w:rsid w:val="006F11AF"/>
    <w:rsid w:val="006F1F0B"/>
    <w:rsid w:val="006F205D"/>
    <w:rsid w:val="006F252B"/>
    <w:rsid w:val="006F293C"/>
    <w:rsid w:val="006F2D8D"/>
    <w:rsid w:val="006F3A7B"/>
    <w:rsid w:val="006F4625"/>
    <w:rsid w:val="006F4656"/>
    <w:rsid w:val="006F4882"/>
    <w:rsid w:val="006F5190"/>
    <w:rsid w:val="006F51A2"/>
    <w:rsid w:val="006F56EE"/>
    <w:rsid w:val="006F56F0"/>
    <w:rsid w:val="006F62A8"/>
    <w:rsid w:val="006F648B"/>
    <w:rsid w:val="006F684B"/>
    <w:rsid w:val="006F6F83"/>
    <w:rsid w:val="006F6FB3"/>
    <w:rsid w:val="006F7112"/>
    <w:rsid w:val="00700538"/>
    <w:rsid w:val="00700D64"/>
    <w:rsid w:val="00700D85"/>
    <w:rsid w:val="00700F90"/>
    <w:rsid w:val="0070100D"/>
    <w:rsid w:val="00701E40"/>
    <w:rsid w:val="0070210E"/>
    <w:rsid w:val="00702868"/>
    <w:rsid w:val="00702888"/>
    <w:rsid w:val="00702CB5"/>
    <w:rsid w:val="00702D2F"/>
    <w:rsid w:val="00703383"/>
    <w:rsid w:val="007033C8"/>
    <w:rsid w:val="00703D12"/>
    <w:rsid w:val="007041E7"/>
    <w:rsid w:val="0070469F"/>
    <w:rsid w:val="00704E03"/>
    <w:rsid w:val="007051BE"/>
    <w:rsid w:val="0070567C"/>
    <w:rsid w:val="00706653"/>
    <w:rsid w:val="00706774"/>
    <w:rsid w:val="007068D9"/>
    <w:rsid w:val="007069DA"/>
    <w:rsid w:val="00706B03"/>
    <w:rsid w:val="00706F15"/>
    <w:rsid w:val="00706F4F"/>
    <w:rsid w:val="00707DED"/>
    <w:rsid w:val="0071059F"/>
    <w:rsid w:val="0071129D"/>
    <w:rsid w:val="007116EA"/>
    <w:rsid w:val="0071187A"/>
    <w:rsid w:val="00711B13"/>
    <w:rsid w:val="00712183"/>
    <w:rsid w:val="00712651"/>
    <w:rsid w:val="00712B26"/>
    <w:rsid w:val="00712CC0"/>
    <w:rsid w:val="00713CB4"/>
    <w:rsid w:val="00713DB4"/>
    <w:rsid w:val="007140CA"/>
    <w:rsid w:val="0071439C"/>
    <w:rsid w:val="0071454C"/>
    <w:rsid w:val="0071455A"/>
    <w:rsid w:val="007146A4"/>
    <w:rsid w:val="00714AF8"/>
    <w:rsid w:val="00715223"/>
    <w:rsid w:val="00715B5B"/>
    <w:rsid w:val="00715BF2"/>
    <w:rsid w:val="00716331"/>
    <w:rsid w:val="0071649C"/>
    <w:rsid w:val="007164F7"/>
    <w:rsid w:val="007166A2"/>
    <w:rsid w:val="007166D0"/>
    <w:rsid w:val="007166E1"/>
    <w:rsid w:val="0071697E"/>
    <w:rsid w:val="00716C53"/>
    <w:rsid w:val="00716FD1"/>
    <w:rsid w:val="00717B62"/>
    <w:rsid w:val="00717EA8"/>
    <w:rsid w:val="00717F5F"/>
    <w:rsid w:val="0072016C"/>
    <w:rsid w:val="007201AD"/>
    <w:rsid w:val="0072077D"/>
    <w:rsid w:val="007207BB"/>
    <w:rsid w:val="0072147F"/>
    <w:rsid w:val="0072165A"/>
    <w:rsid w:val="00721F15"/>
    <w:rsid w:val="0072235A"/>
    <w:rsid w:val="00722B28"/>
    <w:rsid w:val="00722C62"/>
    <w:rsid w:val="00723A27"/>
    <w:rsid w:val="00723A48"/>
    <w:rsid w:val="00723E38"/>
    <w:rsid w:val="0072406D"/>
    <w:rsid w:val="007240D2"/>
    <w:rsid w:val="00724DD1"/>
    <w:rsid w:val="00724F9B"/>
    <w:rsid w:val="00725501"/>
    <w:rsid w:val="007255F1"/>
    <w:rsid w:val="00725E44"/>
    <w:rsid w:val="00726019"/>
    <w:rsid w:val="0072607A"/>
    <w:rsid w:val="0072622E"/>
    <w:rsid w:val="007269F9"/>
    <w:rsid w:val="0072749C"/>
    <w:rsid w:val="007279E3"/>
    <w:rsid w:val="007279FC"/>
    <w:rsid w:val="00727EA1"/>
    <w:rsid w:val="00730058"/>
    <w:rsid w:val="00730385"/>
    <w:rsid w:val="00730CAF"/>
    <w:rsid w:val="00731050"/>
    <w:rsid w:val="00731231"/>
    <w:rsid w:val="00731604"/>
    <w:rsid w:val="007318B3"/>
    <w:rsid w:val="00731A40"/>
    <w:rsid w:val="00731ABF"/>
    <w:rsid w:val="00731DA5"/>
    <w:rsid w:val="00731EFC"/>
    <w:rsid w:val="007320A4"/>
    <w:rsid w:val="00732200"/>
    <w:rsid w:val="00732794"/>
    <w:rsid w:val="007328A7"/>
    <w:rsid w:val="007328AE"/>
    <w:rsid w:val="00733214"/>
    <w:rsid w:val="007334F7"/>
    <w:rsid w:val="00733B2E"/>
    <w:rsid w:val="007344FE"/>
    <w:rsid w:val="00734A9D"/>
    <w:rsid w:val="00734CD6"/>
    <w:rsid w:val="00734D1E"/>
    <w:rsid w:val="00735BB9"/>
    <w:rsid w:val="00735C8F"/>
    <w:rsid w:val="0073606B"/>
    <w:rsid w:val="007361A7"/>
    <w:rsid w:val="007365AB"/>
    <w:rsid w:val="007368C0"/>
    <w:rsid w:val="00736D93"/>
    <w:rsid w:val="0073711D"/>
    <w:rsid w:val="00737454"/>
    <w:rsid w:val="0073766C"/>
    <w:rsid w:val="0073785C"/>
    <w:rsid w:val="00737AAE"/>
    <w:rsid w:val="00737B4B"/>
    <w:rsid w:val="00737CC5"/>
    <w:rsid w:val="00737E2C"/>
    <w:rsid w:val="007401D1"/>
    <w:rsid w:val="007407AF"/>
    <w:rsid w:val="007407FA"/>
    <w:rsid w:val="00740998"/>
    <w:rsid w:val="00740BD7"/>
    <w:rsid w:val="00740CA4"/>
    <w:rsid w:val="00741AA7"/>
    <w:rsid w:val="00742141"/>
    <w:rsid w:val="00742259"/>
    <w:rsid w:val="00742C0B"/>
    <w:rsid w:val="00742D37"/>
    <w:rsid w:val="00742F7D"/>
    <w:rsid w:val="0074352D"/>
    <w:rsid w:val="007435DC"/>
    <w:rsid w:val="0074392C"/>
    <w:rsid w:val="00743CAA"/>
    <w:rsid w:val="00743E19"/>
    <w:rsid w:val="00744007"/>
    <w:rsid w:val="007446CB"/>
    <w:rsid w:val="00744FF2"/>
    <w:rsid w:val="00745D4F"/>
    <w:rsid w:val="0074637F"/>
    <w:rsid w:val="00746D5B"/>
    <w:rsid w:val="0074742A"/>
    <w:rsid w:val="00747BCA"/>
    <w:rsid w:val="00747CE2"/>
    <w:rsid w:val="00747FD2"/>
    <w:rsid w:val="00750069"/>
    <w:rsid w:val="0075009C"/>
    <w:rsid w:val="007504CF"/>
    <w:rsid w:val="007505A8"/>
    <w:rsid w:val="00750664"/>
    <w:rsid w:val="00750907"/>
    <w:rsid w:val="00750947"/>
    <w:rsid w:val="00750A5B"/>
    <w:rsid w:val="00750C9D"/>
    <w:rsid w:val="00750E21"/>
    <w:rsid w:val="00751055"/>
    <w:rsid w:val="00751166"/>
    <w:rsid w:val="00751A78"/>
    <w:rsid w:val="00751AE1"/>
    <w:rsid w:val="007520DE"/>
    <w:rsid w:val="0075230F"/>
    <w:rsid w:val="0075242E"/>
    <w:rsid w:val="007525D0"/>
    <w:rsid w:val="007526A6"/>
    <w:rsid w:val="00752752"/>
    <w:rsid w:val="00753816"/>
    <w:rsid w:val="00753DE7"/>
    <w:rsid w:val="0075414E"/>
    <w:rsid w:val="00754165"/>
    <w:rsid w:val="007542E6"/>
    <w:rsid w:val="007544D4"/>
    <w:rsid w:val="00754A09"/>
    <w:rsid w:val="00754A82"/>
    <w:rsid w:val="00754C21"/>
    <w:rsid w:val="00754CA2"/>
    <w:rsid w:val="0075501D"/>
    <w:rsid w:val="0075520F"/>
    <w:rsid w:val="0075573E"/>
    <w:rsid w:val="00755DCB"/>
    <w:rsid w:val="00755F05"/>
    <w:rsid w:val="00756412"/>
    <w:rsid w:val="00756419"/>
    <w:rsid w:val="007568E8"/>
    <w:rsid w:val="00756975"/>
    <w:rsid w:val="00756B6D"/>
    <w:rsid w:val="00756BF8"/>
    <w:rsid w:val="00756C31"/>
    <w:rsid w:val="00756F9F"/>
    <w:rsid w:val="00757198"/>
    <w:rsid w:val="00757289"/>
    <w:rsid w:val="007572F6"/>
    <w:rsid w:val="00757608"/>
    <w:rsid w:val="007576B6"/>
    <w:rsid w:val="00757715"/>
    <w:rsid w:val="0076099F"/>
    <w:rsid w:val="00760A1D"/>
    <w:rsid w:val="00760A43"/>
    <w:rsid w:val="00761321"/>
    <w:rsid w:val="0076142A"/>
    <w:rsid w:val="007616B8"/>
    <w:rsid w:val="007616C5"/>
    <w:rsid w:val="00761E03"/>
    <w:rsid w:val="00761F5E"/>
    <w:rsid w:val="007621D8"/>
    <w:rsid w:val="007622BF"/>
    <w:rsid w:val="00762611"/>
    <w:rsid w:val="00762727"/>
    <w:rsid w:val="007628B1"/>
    <w:rsid w:val="00762972"/>
    <w:rsid w:val="00762FCA"/>
    <w:rsid w:val="00763497"/>
    <w:rsid w:val="0076368C"/>
    <w:rsid w:val="0076376A"/>
    <w:rsid w:val="00763B00"/>
    <w:rsid w:val="007642B9"/>
    <w:rsid w:val="00764674"/>
    <w:rsid w:val="00764D21"/>
    <w:rsid w:val="00764EB1"/>
    <w:rsid w:val="0076523E"/>
    <w:rsid w:val="007656D3"/>
    <w:rsid w:val="00766744"/>
    <w:rsid w:val="00766AC7"/>
    <w:rsid w:val="00766C1E"/>
    <w:rsid w:val="00766D32"/>
    <w:rsid w:val="00766E11"/>
    <w:rsid w:val="00771078"/>
    <w:rsid w:val="00771289"/>
    <w:rsid w:val="00771607"/>
    <w:rsid w:val="00771933"/>
    <w:rsid w:val="00771C0F"/>
    <w:rsid w:val="007728E2"/>
    <w:rsid w:val="0077310E"/>
    <w:rsid w:val="007734B3"/>
    <w:rsid w:val="00773724"/>
    <w:rsid w:val="00773D8D"/>
    <w:rsid w:val="00774521"/>
    <w:rsid w:val="007745D1"/>
    <w:rsid w:val="00774FEC"/>
    <w:rsid w:val="00775318"/>
    <w:rsid w:val="0077547A"/>
    <w:rsid w:val="00775532"/>
    <w:rsid w:val="00775846"/>
    <w:rsid w:val="00775B26"/>
    <w:rsid w:val="00775B8A"/>
    <w:rsid w:val="00775C14"/>
    <w:rsid w:val="0077616A"/>
    <w:rsid w:val="007768E9"/>
    <w:rsid w:val="00776B87"/>
    <w:rsid w:val="007771E0"/>
    <w:rsid w:val="00777925"/>
    <w:rsid w:val="007779F8"/>
    <w:rsid w:val="00777A20"/>
    <w:rsid w:val="00777B52"/>
    <w:rsid w:val="00777D9C"/>
    <w:rsid w:val="00777EA4"/>
    <w:rsid w:val="00780AB0"/>
    <w:rsid w:val="00780DC3"/>
    <w:rsid w:val="00781414"/>
    <w:rsid w:val="007815B0"/>
    <w:rsid w:val="00781CE7"/>
    <w:rsid w:val="0078228E"/>
    <w:rsid w:val="00782B8C"/>
    <w:rsid w:val="00782BA3"/>
    <w:rsid w:val="00782DFC"/>
    <w:rsid w:val="0078375F"/>
    <w:rsid w:val="00783B7E"/>
    <w:rsid w:val="00783ECC"/>
    <w:rsid w:val="00784740"/>
    <w:rsid w:val="00784F79"/>
    <w:rsid w:val="0078554E"/>
    <w:rsid w:val="00785CE9"/>
    <w:rsid w:val="00785F6D"/>
    <w:rsid w:val="00786460"/>
    <w:rsid w:val="00786713"/>
    <w:rsid w:val="007869F4"/>
    <w:rsid w:val="00786A25"/>
    <w:rsid w:val="00787289"/>
    <w:rsid w:val="00787582"/>
    <w:rsid w:val="00787F1B"/>
    <w:rsid w:val="00790B20"/>
    <w:rsid w:val="00790EAB"/>
    <w:rsid w:val="007910AF"/>
    <w:rsid w:val="0079125A"/>
    <w:rsid w:val="00791551"/>
    <w:rsid w:val="0079158F"/>
    <w:rsid w:val="00791ABB"/>
    <w:rsid w:val="00791B90"/>
    <w:rsid w:val="0079200B"/>
    <w:rsid w:val="007925DE"/>
    <w:rsid w:val="00792ACA"/>
    <w:rsid w:val="00792C00"/>
    <w:rsid w:val="0079315A"/>
    <w:rsid w:val="00793231"/>
    <w:rsid w:val="0079385B"/>
    <w:rsid w:val="00793ECD"/>
    <w:rsid w:val="00793F0B"/>
    <w:rsid w:val="00793FC0"/>
    <w:rsid w:val="007948FB"/>
    <w:rsid w:val="00794904"/>
    <w:rsid w:val="00794BA8"/>
    <w:rsid w:val="00794C60"/>
    <w:rsid w:val="00794E4E"/>
    <w:rsid w:val="00794FBE"/>
    <w:rsid w:val="0079540E"/>
    <w:rsid w:val="0079553A"/>
    <w:rsid w:val="00795557"/>
    <w:rsid w:val="007958EC"/>
    <w:rsid w:val="007959C0"/>
    <w:rsid w:val="007967AC"/>
    <w:rsid w:val="00796C5C"/>
    <w:rsid w:val="00796D55"/>
    <w:rsid w:val="0079783D"/>
    <w:rsid w:val="007978A6"/>
    <w:rsid w:val="00797A24"/>
    <w:rsid w:val="00797DE4"/>
    <w:rsid w:val="00797DEA"/>
    <w:rsid w:val="007A02C0"/>
    <w:rsid w:val="007A0629"/>
    <w:rsid w:val="007A0F45"/>
    <w:rsid w:val="007A154A"/>
    <w:rsid w:val="007A1812"/>
    <w:rsid w:val="007A189B"/>
    <w:rsid w:val="007A1A90"/>
    <w:rsid w:val="007A20BB"/>
    <w:rsid w:val="007A20D4"/>
    <w:rsid w:val="007A2184"/>
    <w:rsid w:val="007A2275"/>
    <w:rsid w:val="007A2648"/>
    <w:rsid w:val="007A288D"/>
    <w:rsid w:val="007A2A1D"/>
    <w:rsid w:val="007A2B2B"/>
    <w:rsid w:val="007A3118"/>
    <w:rsid w:val="007A334C"/>
    <w:rsid w:val="007A33BC"/>
    <w:rsid w:val="007A3D26"/>
    <w:rsid w:val="007A48EC"/>
    <w:rsid w:val="007A4A11"/>
    <w:rsid w:val="007A4A8F"/>
    <w:rsid w:val="007A4E24"/>
    <w:rsid w:val="007A50EA"/>
    <w:rsid w:val="007A521E"/>
    <w:rsid w:val="007A544E"/>
    <w:rsid w:val="007A554D"/>
    <w:rsid w:val="007A558B"/>
    <w:rsid w:val="007A579D"/>
    <w:rsid w:val="007A5823"/>
    <w:rsid w:val="007A5832"/>
    <w:rsid w:val="007A5D05"/>
    <w:rsid w:val="007A5DFB"/>
    <w:rsid w:val="007A5EF5"/>
    <w:rsid w:val="007A698D"/>
    <w:rsid w:val="007A6D69"/>
    <w:rsid w:val="007A72BE"/>
    <w:rsid w:val="007A73B7"/>
    <w:rsid w:val="007A7B2D"/>
    <w:rsid w:val="007A7B2F"/>
    <w:rsid w:val="007A7B5F"/>
    <w:rsid w:val="007B0001"/>
    <w:rsid w:val="007B00C4"/>
    <w:rsid w:val="007B01AA"/>
    <w:rsid w:val="007B03B2"/>
    <w:rsid w:val="007B0492"/>
    <w:rsid w:val="007B065A"/>
    <w:rsid w:val="007B06A2"/>
    <w:rsid w:val="007B0ADB"/>
    <w:rsid w:val="007B0AFE"/>
    <w:rsid w:val="007B0CA4"/>
    <w:rsid w:val="007B0E41"/>
    <w:rsid w:val="007B12EA"/>
    <w:rsid w:val="007B13F2"/>
    <w:rsid w:val="007B1F11"/>
    <w:rsid w:val="007B25AB"/>
    <w:rsid w:val="007B2AA4"/>
    <w:rsid w:val="007B2B60"/>
    <w:rsid w:val="007B2E51"/>
    <w:rsid w:val="007B33B1"/>
    <w:rsid w:val="007B33ED"/>
    <w:rsid w:val="007B357D"/>
    <w:rsid w:val="007B3930"/>
    <w:rsid w:val="007B3B3A"/>
    <w:rsid w:val="007B3C3E"/>
    <w:rsid w:val="007B3C46"/>
    <w:rsid w:val="007B4C9C"/>
    <w:rsid w:val="007B5343"/>
    <w:rsid w:val="007B5458"/>
    <w:rsid w:val="007B6091"/>
    <w:rsid w:val="007B63F7"/>
    <w:rsid w:val="007B704C"/>
    <w:rsid w:val="007B7555"/>
    <w:rsid w:val="007B75AF"/>
    <w:rsid w:val="007B7790"/>
    <w:rsid w:val="007B782B"/>
    <w:rsid w:val="007B7884"/>
    <w:rsid w:val="007B7A39"/>
    <w:rsid w:val="007C0139"/>
    <w:rsid w:val="007C0154"/>
    <w:rsid w:val="007C0A9B"/>
    <w:rsid w:val="007C0E13"/>
    <w:rsid w:val="007C181E"/>
    <w:rsid w:val="007C1880"/>
    <w:rsid w:val="007C1BA1"/>
    <w:rsid w:val="007C25D2"/>
    <w:rsid w:val="007C2B9E"/>
    <w:rsid w:val="007C2C10"/>
    <w:rsid w:val="007C30CC"/>
    <w:rsid w:val="007C3A83"/>
    <w:rsid w:val="007C42B5"/>
    <w:rsid w:val="007C43C6"/>
    <w:rsid w:val="007C52B6"/>
    <w:rsid w:val="007C5B35"/>
    <w:rsid w:val="007C5B46"/>
    <w:rsid w:val="007C63F2"/>
    <w:rsid w:val="007C63FA"/>
    <w:rsid w:val="007C66E5"/>
    <w:rsid w:val="007C6741"/>
    <w:rsid w:val="007C69CA"/>
    <w:rsid w:val="007C6AF6"/>
    <w:rsid w:val="007C6F9B"/>
    <w:rsid w:val="007C7216"/>
    <w:rsid w:val="007C749C"/>
    <w:rsid w:val="007D008E"/>
    <w:rsid w:val="007D0585"/>
    <w:rsid w:val="007D0BA3"/>
    <w:rsid w:val="007D0DA3"/>
    <w:rsid w:val="007D2251"/>
    <w:rsid w:val="007D2440"/>
    <w:rsid w:val="007D2474"/>
    <w:rsid w:val="007D26A2"/>
    <w:rsid w:val="007D29F8"/>
    <w:rsid w:val="007D2E6F"/>
    <w:rsid w:val="007D314F"/>
    <w:rsid w:val="007D3B39"/>
    <w:rsid w:val="007D3FDB"/>
    <w:rsid w:val="007D469A"/>
    <w:rsid w:val="007D4EDA"/>
    <w:rsid w:val="007D5042"/>
    <w:rsid w:val="007D611F"/>
    <w:rsid w:val="007D70BA"/>
    <w:rsid w:val="007D73DA"/>
    <w:rsid w:val="007D7775"/>
    <w:rsid w:val="007D7852"/>
    <w:rsid w:val="007D7C2E"/>
    <w:rsid w:val="007E006B"/>
    <w:rsid w:val="007E0735"/>
    <w:rsid w:val="007E0920"/>
    <w:rsid w:val="007E0AFB"/>
    <w:rsid w:val="007E1060"/>
    <w:rsid w:val="007E1070"/>
    <w:rsid w:val="007E10EC"/>
    <w:rsid w:val="007E13A1"/>
    <w:rsid w:val="007E170D"/>
    <w:rsid w:val="007E2178"/>
    <w:rsid w:val="007E2243"/>
    <w:rsid w:val="007E253C"/>
    <w:rsid w:val="007E27E0"/>
    <w:rsid w:val="007E2C00"/>
    <w:rsid w:val="007E2C8D"/>
    <w:rsid w:val="007E36CF"/>
    <w:rsid w:val="007E3B9F"/>
    <w:rsid w:val="007E3DF4"/>
    <w:rsid w:val="007E3E4D"/>
    <w:rsid w:val="007E3F55"/>
    <w:rsid w:val="007E3FF0"/>
    <w:rsid w:val="007E4519"/>
    <w:rsid w:val="007E49AF"/>
    <w:rsid w:val="007E4B39"/>
    <w:rsid w:val="007E52EA"/>
    <w:rsid w:val="007E55A0"/>
    <w:rsid w:val="007E57BF"/>
    <w:rsid w:val="007E5C64"/>
    <w:rsid w:val="007E5FFA"/>
    <w:rsid w:val="007E66C9"/>
    <w:rsid w:val="007E6F53"/>
    <w:rsid w:val="007E6FC8"/>
    <w:rsid w:val="007E72E1"/>
    <w:rsid w:val="007E732E"/>
    <w:rsid w:val="007E74C1"/>
    <w:rsid w:val="007E75C7"/>
    <w:rsid w:val="007F0013"/>
    <w:rsid w:val="007F0172"/>
    <w:rsid w:val="007F0377"/>
    <w:rsid w:val="007F0489"/>
    <w:rsid w:val="007F0639"/>
    <w:rsid w:val="007F07D5"/>
    <w:rsid w:val="007F0BC0"/>
    <w:rsid w:val="007F0C82"/>
    <w:rsid w:val="007F0F22"/>
    <w:rsid w:val="007F0FBA"/>
    <w:rsid w:val="007F158D"/>
    <w:rsid w:val="007F1D17"/>
    <w:rsid w:val="007F25EC"/>
    <w:rsid w:val="007F2C2C"/>
    <w:rsid w:val="007F30E1"/>
    <w:rsid w:val="007F3176"/>
    <w:rsid w:val="007F32EE"/>
    <w:rsid w:val="007F3819"/>
    <w:rsid w:val="007F3DA8"/>
    <w:rsid w:val="007F40D8"/>
    <w:rsid w:val="007F444D"/>
    <w:rsid w:val="007F4660"/>
    <w:rsid w:val="007F47D9"/>
    <w:rsid w:val="007F4F87"/>
    <w:rsid w:val="007F5078"/>
    <w:rsid w:val="007F5719"/>
    <w:rsid w:val="007F58F5"/>
    <w:rsid w:val="007F5C32"/>
    <w:rsid w:val="007F6031"/>
    <w:rsid w:val="007F616D"/>
    <w:rsid w:val="007F6423"/>
    <w:rsid w:val="007F744A"/>
    <w:rsid w:val="007F79EF"/>
    <w:rsid w:val="007F7DEF"/>
    <w:rsid w:val="00800115"/>
    <w:rsid w:val="00800A1B"/>
    <w:rsid w:val="00800DD2"/>
    <w:rsid w:val="00800F46"/>
    <w:rsid w:val="00801033"/>
    <w:rsid w:val="00801570"/>
    <w:rsid w:val="00801B86"/>
    <w:rsid w:val="00801BEF"/>
    <w:rsid w:val="00801C0B"/>
    <w:rsid w:val="008020FC"/>
    <w:rsid w:val="00802662"/>
    <w:rsid w:val="0080287A"/>
    <w:rsid w:val="00802FD2"/>
    <w:rsid w:val="00803562"/>
    <w:rsid w:val="00803B21"/>
    <w:rsid w:val="00803CA0"/>
    <w:rsid w:val="00803DA2"/>
    <w:rsid w:val="00804048"/>
    <w:rsid w:val="00804917"/>
    <w:rsid w:val="00804B36"/>
    <w:rsid w:val="00804B55"/>
    <w:rsid w:val="00804CE4"/>
    <w:rsid w:val="008051E9"/>
    <w:rsid w:val="008052A1"/>
    <w:rsid w:val="00805395"/>
    <w:rsid w:val="0080588B"/>
    <w:rsid w:val="00805B70"/>
    <w:rsid w:val="00806119"/>
    <w:rsid w:val="0080693A"/>
    <w:rsid w:val="00807085"/>
    <w:rsid w:val="00807132"/>
    <w:rsid w:val="0081021F"/>
    <w:rsid w:val="00810559"/>
    <w:rsid w:val="008105AD"/>
    <w:rsid w:val="008105B4"/>
    <w:rsid w:val="00810854"/>
    <w:rsid w:val="00810A97"/>
    <w:rsid w:val="00810CB4"/>
    <w:rsid w:val="0081121C"/>
    <w:rsid w:val="008115AA"/>
    <w:rsid w:val="00811684"/>
    <w:rsid w:val="00811DE9"/>
    <w:rsid w:val="00811ED6"/>
    <w:rsid w:val="00811FA5"/>
    <w:rsid w:val="00812225"/>
    <w:rsid w:val="008125F9"/>
    <w:rsid w:val="0081312F"/>
    <w:rsid w:val="0081329E"/>
    <w:rsid w:val="0081358E"/>
    <w:rsid w:val="0081379C"/>
    <w:rsid w:val="008138EC"/>
    <w:rsid w:val="00813EC4"/>
    <w:rsid w:val="00814211"/>
    <w:rsid w:val="00814362"/>
    <w:rsid w:val="00814ABE"/>
    <w:rsid w:val="00815286"/>
    <w:rsid w:val="0081552E"/>
    <w:rsid w:val="00815874"/>
    <w:rsid w:val="00816399"/>
    <w:rsid w:val="00817350"/>
    <w:rsid w:val="008174C8"/>
    <w:rsid w:val="008178C6"/>
    <w:rsid w:val="00817E07"/>
    <w:rsid w:val="00817F82"/>
    <w:rsid w:val="00820AA3"/>
    <w:rsid w:val="00820F53"/>
    <w:rsid w:val="008216FD"/>
    <w:rsid w:val="00821BC9"/>
    <w:rsid w:val="00821FFA"/>
    <w:rsid w:val="00822639"/>
    <w:rsid w:val="00822B08"/>
    <w:rsid w:val="00822D2B"/>
    <w:rsid w:val="00822DF4"/>
    <w:rsid w:val="008235DF"/>
    <w:rsid w:val="00823B99"/>
    <w:rsid w:val="008240E6"/>
    <w:rsid w:val="00824252"/>
    <w:rsid w:val="008245AA"/>
    <w:rsid w:val="008248F1"/>
    <w:rsid w:val="00824ABA"/>
    <w:rsid w:val="00824B1F"/>
    <w:rsid w:val="00824FEB"/>
    <w:rsid w:val="008251EE"/>
    <w:rsid w:val="0082588B"/>
    <w:rsid w:val="00825DAD"/>
    <w:rsid w:val="00826202"/>
    <w:rsid w:val="0082625A"/>
    <w:rsid w:val="00826A95"/>
    <w:rsid w:val="00826A9E"/>
    <w:rsid w:val="00826E45"/>
    <w:rsid w:val="00827B18"/>
    <w:rsid w:val="0083050D"/>
    <w:rsid w:val="00830656"/>
    <w:rsid w:val="008306E8"/>
    <w:rsid w:val="00830C10"/>
    <w:rsid w:val="00831279"/>
    <w:rsid w:val="00831296"/>
    <w:rsid w:val="0083144D"/>
    <w:rsid w:val="00831B8A"/>
    <w:rsid w:val="00831E45"/>
    <w:rsid w:val="00831F4A"/>
    <w:rsid w:val="008320D7"/>
    <w:rsid w:val="00832227"/>
    <w:rsid w:val="00832229"/>
    <w:rsid w:val="008322EF"/>
    <w:rsid w:val="00832535"/>
    <w:rsid w:val="0083281A"/>
    <w:rsid w:val="00832DD7"/>
    <w:rsid w:val="00833408"/>
    <w:rsid w:val="00833A6F"/>
    <w:rsid w:val="0083465F"/>
    <w:rsid w:val="00834697"/>
    <w:rsid w:val="008349CE"/>
    <w:rsid w:val="00834FC5"/>
    <w:rsid w:val="0083542A"/>
    <w:rsid w:val="008355CE"/>
    <w:rsid w:val="00835635"/>
    <w:rsid w:val="008358A4"/>
    <w:rsid w:val="00835BBF"/>
    <w:rsid w:val="00835F5C"/>
    <w:rsid w:val="00836557"/>
    <w:rsid w:val="00836768"/>
    <w:rsid w:val="00836E2D"/>
    <w:rsid w:val="0083700D"/>
    <w:rsid w:val="008370AF"/>
    <w:rsid w:val="0083734F"/>
    <w:rsid w:val="008377EA"/>
    <w:rsid w:val="00840009"/>
    <w:rsid w:val="0084031C"/>
    <w:rsid w:val="00840F5E"/>
    <w:rsid w:val="008416C3"/>
    <w:rsid w:val="008418EC"/>
    <w:rsid w:val="00842E68"/>
    <w:rsid w:val="00842EDA"/>
    <w:rsid w:val="00843725"/>
    <w:rsid w:val="00843B05"/>
    <w:rsid w:val="00844277"/>
    <w:rsid w:val="00844AF7"/>
    <w:rsid w:val="00844ED2"/>
    <w:rsid w:val="008453C5"/>
    <w:rsid w:val="008453D0"/>
    <w:rsid w:val="00845E9D"/>
    <w:rsid w:val="00846576"/>
    <w:rsid w:val="00846618"/>
    <w:rsid w:val="00846787"/>
    <w:rsid w:val="00846B49"/>
    <w:rsid w:val="00846F62"/>
    <w:rsid w:val="008474E2"/>
    <w:rsid w:val="008504E9"/>
    <w:rsid w:val="00850F6B"/>
    <w:rsid w:val="008512B5"/>
    <w:rsid w:val="00851BAC"/>
    <w:rsid w:val="00851D24"/>
    <w:rsid w:val="00852043"/>
    <w:rsid w:val="00852638"/>
    <w:rsid w:val="00852F5A"/>
    <w:rsid w:val="00853815"/>
    <w:rsid w:val="008538BE"/>
    <w:rsid w:val="00854EA6"/>
    <w:rsid w:val="00854EB2"/>
    <w:rsid w:val="00854F41"/>
    <w:rsid w:val="00855C1B"/>
    <w:rsid w:val="00855CDD"/>
    <w:rsid w:val="00856C78"/>
    <w:rsid w:val="00856E1F"/>
    <w:rsid w:val="00857012"/>
    <w:rsid w:val="008570A1"/>
    <w:rsid w:val="00857467"/>
    <w:rsid w:val="00857AEB"/>
    <w:rsid w:val="00857BFF"/>
    <w:rsid w:val="0086014C"/>
    <w:rsid w:val="00860284"/>
    <w:rsid w:val="008604F8"/>
    <w:rsid w:val="00860704"/>
    <w:rsid w:val="0086078C"/>
    <w:rsid w:val="00861363"/>
    <w:rsid w:val="008619BF"/>
    <w:rsid w:val="00861C16"/>
    <w:rsid w:val="00861D52"/>
    <w:rsid w:val="00861FD6"/>
    <w:rsid w:val="00862519"/>
    <w:rsid w:val="00863150"/>
    <w:rsid w:val="0086368A"/>
    <w:rsid w:val="00863E06"/>
    <w:rsid w:val="00864092"/>
    <w:rsid w:val="00865852"/>
    <w:rsid w:val="00866075"/>
    <w:rsid w:val="008660DC"/>
    <w:rsid w:val="008662F5"/>
    <w:rsid w:val="00866369"/>
    <w:rsid w:val="00866B9E"/>
    <w:rsid w:val="008671C1"/>
    <w:rsid w:val="008673D3"/>
    <w:rsid w:val="008679BC"/>
    <w:rsid w:val="00867A73"/>
    <w:rsid w:val="00867B95"/>
    <w:rsid w:val="00867C15"/>
    <w:rsid w:val="00867E03"/>
    <w:rsid w:val="00867FD2"/>
    <w:rsid w:val="008700E8"/>
    <w:rsid w:val="0087033C"/>
    <w:rsid w:val="00870684"/>
    <w:rsid w:val="00870728"/>
    <w:rsid w:val="00870D5E"/>
    <w:rsid w:val="00871505"/>
    <w:rsid w:val="00871C4E"/>
    <w:rsid w:val="00872787"/>
    <w:rsid w:val="00872CF5"/>
    <w:rsid w:val="00872D76"/>
    <w:rsid w:val="00872E22"/>
    <w:rsid w:val="008730C3"/>
    <w:rsid w:val="0087330B"/>
    <w:rsid w:val="00873475"/>
    <w:rsid w:val="0087368E"/>
    <w:rsid w:val="008744C3"/>
    <w:rsid w:val="00874630"/>
    <w:rsid w:val="008747D1"/>
    <w:rsid w:val="008750C2"/>
    <w:rsid w:val="0087560D"/>
    <w:rsid w:val="008761D8"/>
    <w:rsid w:val="00876656"/>
    <w:rsid w:val="00876A67"/>
    <w:rsid w:val="008776CE"/>
    <w:rsid w:val="00877869"/>
    <w:rsid w:val="00877ABC"/>
    <w:rsid w:val="00877CFD"/>
    <w:rsid w:val="008809EA"/>
    <w:rsid w:val="00880A33"/>
    <w:rsid w:val="008816E2"/>
    <w:rsid w:val="008818DF"/>
    <w:rsid w:val="00881914"/>
    <w:rsid w:val="00881942"/>
    <w:rsid w:val="0088201B"/>
    <w:rsid w:val="0088242E"/>
    <w:rsid w:val="008824F0"/>
    <w:rsid w:val="0088257F"/>
    <w:rsid w:val="008825E6"/>
    <w:rsid w:val="008828AC"/>
    <w:rsid w:val="00882AA8"/>
    <w:rsid w:val="00882CE4"/>
    <w:rsid w:val="00883724"/>
    <w:rsid w:val="00883889"/>
    <w:rsid w:val="00883A80"/>
    <w:rsid w:val="00883AE4"/>
    <w:rsid w:val="00883CFA"/>
    <w:rsid w:val="00883E8F"/>
    <w:rsid w:val="00883F7C"/>
    <w:rsid w:val="0088460A"/>
    <w:rsid w:val="008846F5"/>
    <w:rsid w:val="008849B4"/>
    <w:rsid w:val="00884A89"/>
    <w:rsid w:val="00884BC4"/>
    <w:rsid w:val="00884BCE"/>
    <w:rsid w:val="00884E0B"/>
    <w:rsid w:val="00885B73"/>
    <w:rsid w:val="00885D03"/>
    <w:rsid w:val="00885EFE"/>
    <w:rsid w:val="008860E3"/>
    <w:rsid w:val="00886336"/>
    <w:rsid w:val="00886AD3"/>
    <w:rsid w:val="00886F32"/>
    <w:rsid w:val="0088731E"/>
    <w:rsid w:val="008873CE"/>
    <w:rsid w:val="00890305"/>
    <w:rsid w:val="00890644"/>
    <w:rsid w:val="00890809"/>
    <w:rsid w:val="0089085F"/>
    <w:rsid w:val="00890AE2"/>
    <w:rsid w:val="00891059"/>
    <w:rsid w:val="008910CA"/>
    <w:rsid w:val="0089114E"/>
    <w:rsid w:val="0089116B"/>
    <w:rsid w:val="008916E7"/>
    <w:rsid w:val="00891F6D"/>
    <w:rsid w:val="00891F72"/>
    <w:rsid w:val="00892DEA"/>
    <w:rsid w:val="0089318E"/>
    <w:rsid w:val="00893477"/>
    <w:rsid w:val="00893CAA"/>
    <w:rsid w:val="00894077"/>
    <w:rsid w:val="00894184"/>
    <w:rsid w:val="00894B08"/>
    <w:rsid w:val="0089542F"/>
    <w:rsid w:val="00895C07"/>
    <w:rsid w:val="00896028"/>
    <w:rsid w:val="008963F9"/>
    <w:rsid w:val="00896840"/>
    <w:rsid w:val="00897735"/>
    <w:rsid w:val="00897B59"/>
    <w:rsid w:val="00897F90"/>
    <w:rsid w:val="008A00C3"/>
    <w:rsid w:val="008A0511"/>
    <w:rsid w:val="008A1062"/>
    <w:rsid w:val="008A1728"/>
    <w:rsid w:val="008A186D"/>
    <w:rsid w:val="008A197D"/>
    <w:rsid w:val="008A1A6E"/>
    <w:rsid w:val="008A1AB2"/>
    <w:rsid w:val="008A245C"/>
    <w:rsid w:val="008A26FB"/>
    <w:rsid w:val="008A2902"/>
    <w:rsid w:val="008A2AFB"/>
    <w:rsid w:val="008A344D"/>
    <w:rsid w:val="008A4111"/>
    <w:rsid w:val="008A490D"/>
    <w:rsid w:val="008A49DD"/>
    <w:rsid w:val="008A4B08"/>
    <w:rsid w:val="008A4B71"/>
    <w:rsid w:val="008A4DCC"/>
    <w:rsid w:val="008A4E84"/>
    <w:rsid w:val="008A539A"/>
    <w:rsid w:val="008A59AF"/>
    <w:rsid w:val="008A5B50"/>
    <w:rsid w:val="008A5BF5"/>
    <w:rsid w:val="008A666C"/>
    <w:rsid w:val="008A7337"/>
    <w:rsid w:val="008A7FAE"/>
    <w:rsid w:val="008B06D4"/>
    <w:rsid w:val="008B1410"/>
    <w:rsid w:val="008B1F31"/>
    <w:rsid w:val="008B1F3B"/>
    <w:rsid w:val="008B26D4"/>
    <w:rsid w:val="008B2F18"/>
    <w:rsid w:val="008B318D"/>
    <w:rsid w:val="008B35E2"/>
    <w:rsid w:val="008B370D"/>
    <w:rsid w:val="008B3B54"/>
    <w:rsid w:val="008B3EA8"/>
    <w:rsid w:val="008B3F47"/>
    <w:rsid w:val="008B4276"/>
    <w:rsid w:val="008B43C5"/>
    <w:rsid w:val="008B44A8"/>
    <w:rsid w:val="008B50EA"/>
    <w:rsid w:val="008B6037"/>
    <w:rsid w:val="008B60D0"/>
    <w:rsid w:val="008B66FD"/>
    <w:rsid w:val="008B6BB9"/>
    <w:rsid w:val="008B6D9E"/>
    <w:rsid w:val="008B723D"/>
    <w:rsid w:val="008B738C"/>
    <w:rsid w:val="008B76F8"/>
    <w:rsid w:val="008B7AF6"/>
    <w:rsid w:val="008B7E5A"/>
    <w:rsid w:val="008C003A"/>
    <w:rsid w:val="008C0041"/>
    <w:rsid w:val="008C02E7"/>
    <w:rsid w:val="008C03F0"/>
    <w:rsid w:val="008C096C"/>
    <w:rsid w:val="008C0C71"/>
    <w:rsid w:val="008C1515"/>
    <w:rsid w:val="008C162C"/>
    <w:rsid w:val="008C2B84"/>
    <w:rsid w:val="008C2FB6"/>
    <w:rsid w:val="008C32F6"/>
    <w:rsid w:val="008C33FD"/>
    <w:rsid w:val="008C4031"/>
    <w:rsid w:val="008C408C"/>
    <w:rsid w:val="008C42BB"/>
    <w:rsid w:val="008C53B1"/>
    <w:rsid w:val="008C556F"/>
    <w:rsid w:val="008C57C1"/>
    <w:rsid w:val="008C59F2"/>
    <w:rsid w:val="008C5BE9"/>
    <w:rsid w:val="008C5CC3"/>
    <w:rsid w:val="008C5DB4"/>
    <w:rsid w:val="008C5F9A"/>
    <w:rsid w:val="008C689E"/>
    <w:rsid w:val="008C6961"/>
    <w:rsid w:val="008C69F4"/>
    <w:rsid w:val="008C6BF7"/>
    <w:rsid w:val="008C6DE3"/>
    <w:rsid w:val="008C6F1B"/>
    <w:rsid w:val="008C6F26"/>
    <w:rsid w:val="008C723A"/>
    <w:rsid w:val="008C7624"/>
    <w:rsid w:val="008C76FE"/>
    <w:rsid w:val="008C7FF6"/>
    <w:rsid w:val="008D01D7"/>
    <w:rsid w:val="008D02FC"/>
    <w:rsid w:val="008D0396"/>
    <w:rsid w:val="008D058B"/>
    <w:rsid w:val="008D0C31"/>
    <w:rsid w:val="008D0CF2"/>
    <w:rsid w:val="008D0D01"/>
    <w:rsid w:val="008D0FA5"/>
    <w:rsid w:val="008D10D1"/>
    <w:rsid w:val="008D1152"/>
    <w:rsid w:val="008D1453"/>
    <w:rsid w:val="008D16C8"/>
    <w:rsid w:val="008D1C46"/>
    <w:rsid w:val="008D1E33"/>
    <w:rsid w:val="008D2523"/>
    <w:rsid w:val="008D263A"/>
    <w:rsid w:val="008D288A"/>
    <w:rsid w:val="008D2BEF"/>
    <w:rsid w:val="008D2FDF"/>
    <w:rsid w:val="008D3155"/>
    <w:rsid w:val="008D317D"/>
    <w:rsid w:val="008D4116"/>
    <w:rsid w:val="008D4233"/>
    <w:rsid w:val="008D431F"/>
    <w:rsid w:val="008D48D1"/>
    <w:rsid w:val="008D490C"/>
    <w:rsid w:val="008D5457"/>
    <w:rsid w:val="008D5857"/>
    <w:rsid w:val="008D5A85"/>
    <w:rsid w:val="008D5BAD"/>
    <w:rsid w:val="008D5C05"/>
    <w:rsid w:val="008D5E4A"/>
    <w:rsid w:val="008D5FEE"/>
    <w:rsid w:val="008D6E62"/>
    <w:rsid w:val="008D72CE"/>
    <w:rsid w:val="008D7381"/>
    <w:rsid w:val="008D795C"/>
    <w:rsid w:val="008D7BAC"/>
    <w:rsid w:val="008D7D8E"/>
    <w:rsid w:val="008D7ED9"/>
    <w:rsid w:val="008D7EEB"/>
    <w:rsid w:val="008D7FAA"/>
    <w:rsid w:val="008E065D"/>
    <w:rsid w:val="008E0816"/>
    <w:rsid w:val="008E0D4E"/>
    <w:rsid w:val="008E0EE9"/>
    <w:rsid w:val="008E0FCE"/>
    <w:rsid w:val="008E1313"/>
    <w:rsid w:val="008E1706"/>
    <w:rsid w:val="008E20A7"/>
    <w:rsid w:val="008E21D3"/>
    <w:rsid w:val="008E2B02"/>
    <w:rsid w:val="008E2B8B"/>
    <w:rsid w:val="008E2F19"/>
    <w:rsid w:val="008E2F82"/>
    <w:rsid w:val="008E3040"/>
    <w:rsid w:val="008E3111"/>
    <w:rsid w:val="008E311F"/>
    <w:rsid w:val="008E3168"/>
    <w:rsid w:val="008E3794"/>
    <w:rsid w:val="008E3AEF"/>
    <w:rsid w:val="008E4565"/>
    <w:rsid w:val="008E46FC"/>
    <w:rsid w:val="008E48CC"/>
    <w:rsid w:val="008E4BB5"/>
    <w:rsid w:val="008E4C9B"/>
    <w:rsid w:val="008E4E30"/>
    <w:rsid w:val="008E515C"/>
    <w:rsid w:val="008E559B"/>
    <w:rsid w:val="008E6033"/>
    <w:rsid w:val="008E6D81"/>
    <w:rsid w:val="008E71CD"/>
    <w:rsid w:val="008E7587"/>
    <w:rsid w:val="008E7606"/>
    <w:rsid w:val="008E7C43"/>
    <w:rsid w:val="008F0033"/>
    <w:rsid w:val="008F0501"/>
    <w:rsid w:val="008F0AAE"/>
    <w:rsid w:val="008F0C08"/>
    <w:rsid w:val="008F2429"/>
    <w:rsid w:val="008F267B"/>
    <w:rsid w:val="008F2900"/>
    <w:rsid w:val="008F2DDF"/>
    <w:rsid w:val="008F2F43"/>
    <w:rsid w:val="008F3637"/>
    <w:rsid w:val="008F37F4"/>
    <w:rsid w:val="008F39F1"/>
    <w:rsid w:val="008F3BB2"/>
    <w:rsid w:val="008F3E33"/>
    <w:rsid w:val="008F41E1"/>
    <w:rsid w:val="008F4F75"/>
    <w:rsid w:val="008F51EB"/>
    <w:rsid w:val="008F534E"/>
    <w:rsid w:val="008F5C9E"/>
    <w:rsid w:val="008F5ED2"/>
    <w:rsid w:val="008F6718"/>
    <w:rsid w:val="008F70EA"/>
    <w:rsid w:val="008F7229"/>
    <w:rsid w:val="008F7591"/>
    <w:rsid w:val="008F7868"/>
    <w:rsid w:val="008F7869"/>
    <w:rsid w:val="00900763"/>
    <w:rsid w:val="009009C4"/>
    <w:rsid w:val="00900B02"/>
    <w:rsid w:val="00900F49"/>
    <w:rsid w:val="00901297"/>
    <w:rsid w:val="009013CE"/>
    <w:rsid w:val="00901EED"/>
    <w:rsid w:val="00902063"/>
    <w:rsid w:val="0090210A"/>
    <w:rsid w:val="00902611"/>
    <w:rsid w:val="009026C2"/>
    <w:rsid w:val="00902956"/>
    <w:rsid w:val="00902DA3"/>
    <w:rsid w:val="0090300B"/>
    <w:rsid w:val="009031B8"/>
    <w:rsid w:val="009032CB"/>
    <w:rsid w:val="0090353B"/>
    <w:rsid w:val="00903E94"/>
    <w:rsid w:val="0090458E"/>
    <w:rsid w:val="00906174"/>
    <w:rsid w:val="00906540"/>
    <w:rsid w:val="00906B63"/>
    <w:rsid w:val="009073A9"/>
    <w:rsid w:val="009075A8"/>
    <w:rsid w:val="009078AB"/>
    <w:rsid w:val="00907944"/>
    <w:rsid w:val="00907DC7"/>
    <w:rsid w:val="00910117"/>
    <w:rsid w:val="0091022F"/>
    <w:rsid w:val="00910B16"/>
    <w:rsid w:val="009113A6"/>
    <w:rsid w:val="0091141F"/>
    <w:rsid w:val="009118AD"/>
    <w:rsid w:val="00911C29"/>
    <w:rsid w:val="00912072"/>
    <w:rsid w:val="00912415"/>
    <w:rsid w:val="009124BD"/>
    <w:rsid w:val="009124E2"/>
    <w:rsid w:val="0091259B"/>
    <w:rsid w:val="009135D0"/>
    <w:rsid w:val="009135F1"/>
    <w:rsid w:val="0091369F"/>
    <w:rsid w:val="0091412F"/>
    <w:rsid w:val="00914224"/>
    <w:rsid w:val="00914280"/>
    <w:rsid w:val="009145C9"/>
    <w:rsid w:val="009147C7"/>
    <w:rsid w:val="00914878"/>
    <w:rsid w:val="00914BB0"/>
    <w:rsid w:val="009152E4"/>
    <w:rsid w:val="0091556A"/>
    <w:rsid w:val="00915689"/>
    <w:rsid w:val="0091568A"/>
    <w:rsid w:val="00915803"/>
    <w:rsid w:val="00915ADD"/>
    <w:rsid w:val="00915BD5"/>
    <w:rsid w:val="00915C31"/>
    <w:rsid w:val="009160E5"/>
    <w:rsid w:val="0091640B"/>
    <w:rsid w:val="009164B3"/>
    <w:rsid w:val="009166AA"/>
    <w:rsid w:val="009168A0"/>
    <w:rsid w:val="00916E54"/>
    <w:rsid w:val="0091729B"/>
    <w:rsid w:val="009175B9"/>
    <w:rsid w:val="0091766F"/>
    <w:rsid w:val="00917BE8"/>
    <w:rsid w:val="0092057F"/>
    <w:rsid w:val="009209F7"/>
    <w:rsid w:val="00920B6B"/>
    <w:rsid w:val="00920C10"/>
    <w:rsid w:val="00921169"/>
    <w:rsid w:val="00921847"/>
    <w:rsid w:val="0092192C"/>
    <w:rsid w:val="00921AF7"/>
    <w:rsid w:val="00921CF5"/>
    <w:rsid w:val="009226F9"/>
    <w:rsid w:val="00923219"/>
    <w:rsid w:val="00923562"/>
    <w:rsid w:val="00923951"/>
    <w:rsid w:val="00923D8D"/>
    <w:rsid w:val="0092438C"/>
    <w:rsid w:val="009243BB"/>
    <w:rsid w:val="009245A4"/>
    <w:rsid w:val="009246DA"/>
    <w:rsid w:val="00924A86"/>
    <w:rsid w:val="00924DFF"/>
    <w:rsid w:val="00924ED7"/>
    <w:rsid w:val="00925167"/>
    <w:rsid w:val="00925168"/>
    <w:rsid w:val="00925314"/>
    <w:rsid w:val="00925362"/>
    <w:rsid w:val="009257EE"/>
    <w:rsid w:val="0092609A"/>
    <w:rsid w:val="0092619F"/>
    <w:rsid w:val="00926F93"/>
    <w:rsid w:val="00927286"/>
    <w:rsid w:val="009273E1"/>
    <w:rsid w:val="0092740E"/>
    <w:rsid w:val="0092746A"/>
    <w:rsid w:val="009274BC"/>
    <w:rsid w:val="009278D4"/>
    <w:rsid w:val="009279E6"/>
    <w:rsid w:val="00927C51"/>
    <w:rsid w:val="00927E8D"/>
    <w:rsid w:val="00927F31"/>
    <w:rsid w:val="009304FC"/>
    <w:rsid w:val="0093063C"/>
    <w:rsid w:val="00930771"/>
    <w:rsid w:val="00931567"/>
    <w:rsid w:val="00931FD7"/>
    <w:rsid w:val="00932676"/>
    <w:rsid w:val="009328C5"/>
    <w:rsid w:val="00933728"/>
    <w:rsid w:val="0093437E"/>
    <w:rsid w:val="009343A4"/>
    <w:rsid w:val="0093467D"/>
    <w:rsid w:val="00934C09"/>
    <w:rsid w:val="00934D97"/>
    <w:rsid w:val="009351BB"/>
    <w:rsid w:val="00935209"/>
    <w:rsid w:val="0093559E"/>
    <w:rsid w:val="009357CD"/>
    <w:rsid w:val="00935AF8"/>
    <w:rsid w:val="00935CDF"/>
    <w:rsid w:val="00936413"/>
    <w:rsid w:val="00936466"/>
    <w:rsid w:val="00936FB0"/>
    <w:rsid w:val="00936FB1"/>
    <w:rsid w:val="00937005"/>
    <w:rsid w:val="00937190"/>
    <w:rsid w:val="00937844"/>
    <w:rsid w:val="009378B6"/>
    <w:rsid w:val="00937AE1"/>
    <w:rsid w:val="00940326"/>
    <w:rsid w:val="009407BB"/>
    <w:rsid w:val="00940A34"/>
    <w:rsid w:val="009412F0"/>
    <w:rsid w:val="009412FD"/>
    <w:rsid w:val="00941405"/>
    <w:rsid w:val="009415B1"/>
    <w:rsid w:val="00941822"/>
    <w:rsid w:val="009418FD"/>
    <w:rsid w:val="00941A8F"/>
    <w:rsid w:val="00942AC8"/>
    <w:rsid w:val="00942BED"/>
    <w:rsid w:val="00942C9F"/>
    <w:rsid w:val="0094326A"/>
    <w:rsid w:val="00943609"/>
    <w:rsid w:val="00943978"/>
    <w:rsid w:val="0094419C"/>
    <w:rsid w:val="0094428C"/>
    <w:rsid w:val="00944CF7"/>
    <w:rsid w:val="009454B4"/>
    <w:rsid w:val="009454C0"/>
    <w:rsid w:val="0094564F"/>
    <w:rsid w:val="0094638C"/>
    <w:rsid w:val="00947112"/>
    <w:rsid w:val="009475A5"/>
    <w:rsid w:val="009478CE"/>
    <w:rsid w:val="009479AC"/>
    <w:rsid w:val="00947B85"/>
    <w:rsid w:val="00950270"/>
    <w:rsid w:val="009505D7"/>
    <w:rsid w:val="0095073F"/>
    <w:rsid w:val="009509C2"/>
    <w:rsid w:val="00950B2F"/>
    <w:rsid w:val="00951262"/>
    <w:rsid w:val="00951EB2"/>
    <w:rsid w:val="00951FA6"/>
    <w:rsid w:val="00952AD4"/>
    <w:rsid w:val="00952DF6"/>
    <w:rsid w:val="00953861"/>
    <w:rsid w:val="00953C60"/>
    <w:rsid w:val="00953C95"/>
    <w:rsid w:val="00953D6D"/>
    <w:rsid w:val="0095455C"/>
    <w:rsid w:val="00954B6F"/>
    <w:rsid w:val="00955743"/>
    <w:rsid w:val="0095597A"/>
    <w:rsid w:val="00955BA2"/>
    <w:rsid w:val="00955FF1"/>
    <w:rsid w:val="0095639B"/>
    <w:rsid w:val="0095644E"/>
    <w:rsid w:val="009565DA"/>
    <w:rsid w:val="00956B3A"/>
    <w:rsid w:val="009577F8"/>
    <w:rsid w:val="009606DD"/>
    <w:rsid w:val="009607F2"/>
    <w:rsid w:val="00960948"/>
    <w:rsid w:val="00960BB6"/>
    <w:rsid w:val="00960C21"/>
    <w:rsid w:val="009612EC"/>
    <w:rsid w:val="00961C52"/>
    <w:rsid w:val="0096219A"/>
    <w:rsid w:val="009622E6"/>
    <w:rsid w:val="00962EC1"/>
    <w:rsid w:val="009635C9"/>
    <w:rsid w:val="00963CB4"/>
    <w:rsid w:val="00963D47"/>
    <w:rsid w:val="00965470"/>
    <w:rsid w:val="00965B5C"/>
    <w:rsid w:val="00966262"/>
    <w:rsid w:val="0096634A"/>
    <w:rsid w:val="00966F41"/>
    <w:rsid w:val="00967825"/>
    <w:rsid w:val="00970821"/>
    <w:rsid w:val="00970CD9"/>
    <w:rsid w:val="00971EF7"/>
    <w:rsid w:val="00971F20"/>
    <w:rsid w:val="009720D8"/>
    <w:rsid w:val="00972331"/>
    <w:rsid w:val="009725C3"/>
    <w:rsid w:val="009728AC"/>
    <w:rsid w:val="00972EF9"/>
    <w:rsid w:val="00973D01"/>
    <w:rsid w:val="00973D76"/>
    <w:rsid w:val="009741EF"/>
    <w:rsid w:val="00974721"/>
    <w:rsid w:val="00974897"/>
    <w:rsid w:val="00974B75"/>
    <w:rsid w:val="00974D64"/>
    <w:rsid w:val="009755B0"/>
    <w:rsid w:val="0097724F"/>
    <w:rsid w:val="009774DB"/>
    <w:rsid w:val="0098026B"/>
    <w:rsid w:val="00980373"/>
    <w:rsid w:val="0098061D"/>
    <w:rsid w:val="00980B96"/>
    <w:rsid w:val="009811DF"/>
    <w:rsid w:val="009815D4"/>
    <w:rsid w:val="00982023"/>
    <w:rsid w:val="00982ECA"/>
    <w:rsid w:val="009831A7"/>
    <w:rsid w:val="009834D3"/>
    <w:rsid w:val="0098366E"/>
    <w:rsid w:val="0098368A"/>
    <w:rsid w:val="00983A56"/>
    <w:rsid w:val="00983BCD"/>
    <w:rsid w:val="009840CD"/>
    <w:rsid w:val="009840F3"/>
    <w:rsid w:val="0098432B"/>
    <w:rsid w:val="00984940"/>
    <w:rsid w:val="0098495C"/>
    <w:rsid w:val="0098542C"/>
    <w:rsid w:val="009857A5"/>
    <w:rsid w:val="00985B6A"/>
    <w:rsid w:val="00985C80"/>
    <w:rsid w:val="009862D1"/>
    <w:rsid w:val="009867F7"/>
    <w:rsid w:val="009869A6"/>
    <w:rsid w:val="00986AD8"/>
    <w:rsid w:val="00986CAA"/>
    <w:rsid w:val="0098790E"/>
    <w:rsid w:val="00990791"/>
    <w:rsid w:val="009910EC"/>
    <w:rsid w:val="00991B84"/>
    <w:rsid w:val="0099207D"/>
    <w:rsid w:val="0099225F"/>
    <w:rsid w:val="00992579"/>
    <w:rsid w:val="009926E1"/>
    <w:rsid w:val="0099290D"/>
    <w:rsid w:val="00992A7F"/>
    <w:rsid w:val="00992B7E"/>
    <w:rsid w:val="009932C9"/>
    <w:rsid w:val="0099338E"/>
    <w:rsid w:val="009935AD"/>
    <w:rsid w:val="009935DF"/>
    <w:rsid w:val="009942CF"/>
    <w:rsid w:val="00994E8A"/>
    <w:rsid w:val="00995328"/>
    <w:rsid w:val="009955ED"/>
    <w:rsid w:val="00995619"/>
    <w:rsid w:val="00995A96"/>
    <w:rsid w:val="00995D3E"/>
    <w:rsid w:val="00995D6E"/>
    <w:rsid w:val="009969AE"/>
    <w:rsid w:val="00996C39"/>
    <w:rsid w:val="00996DC2"/>
    <w:rsid w:val="009975EF"/>
    <w:rsid w:val="009A00FB"/>
    <w:rsid w:val="009A04E9"/>
    <w:rsid w:val="009A05EB"/>
    <w:rsid w:val="009A0AB2"/>
    <w:rsid w:val="009A2357"/>
    <w:rsid w:val="009A28A5"/>
    <w:rsid w:val="009A2A80"/>
    <w:rsid w:val="009A2E09"/>
    <w:rsid w:val="009A3785"/>
    <w:rsid w:val="009A37A3"/>
    <w:rsid w:val="009A39AB"/>
    <w:rsid w:val="009A3E5C"/>
    <w:rsid w:val="009A4524"/>
    <w:rsid w:val="009A469C"/>
    <w:rsid w:val="009A4890"/>
    <w:rsid w:val="009A5C6D"/>
    <w:rsid w:val="009A5CAC"/>
    <w:rsid w:val="009A5CF7"/>
    <w:rsid w:val="009A5D90"/>
    <w:rsid w:val="009A6941"/>
    <w:rsid w:val="009A7827"/>
    <w:rsid w:val="009A7B02"/>
    <w:rsid w:val="009B0AB3"/>
    <w:rsid w:val="009B10A7"/>
    <w:rsid w:val="009B10DA"/>
    <w:rsid w:val="009B12A3"/>
    <w:rsid w:val="009B1BD2"/>
    <w:rsid w:val="009B1D4F"/>
    <w:rsid w:val="009B1E61"/>
    <w:rsid w:val="009B21DA"/>
    <w:rsid w:val="009B2299"/>
    <w:rsid w:val="009B2ACE"/>
    <w:rsid w:val="009B2B6B"/>
    <w:rsid w:val="009B2BD5"/>
    <w:rsid w:val="009B30CB"/>
    <w:rsid w:val="009B37C1"/>
    <w:rsid w:val="009B3F07"/>
    <w:rsid w:val="009B4247"/>
    <w:rsid w:val="009B42C9"/>
    <w:rsid w:val="009B4740"/>
    <w:rsid w:val="009B4918"/>
    <w:rsid w:val="009B4A39"/>
    <w:rsid w:val="009B4AE8"/>
    <w:rsid w:val="009B4F95"/>
    <w:rsid w:val="009B4FFB"/>
    <w:rsid w:val="009B54F8"/>
    <w:rsid w:val="009B5613"/>
    <w:rsid w:val="009B58AF"/>
    <w:rsid w:val="009B5B17"/>
    <w:rsid w:val="009B5BB2"/>
    <w:rsid w:val="009B6583"/>
    <w:rsid w:val="009B6E4B"/>
    <w:rsid w:val="009B7257"/>
    <w:rsid w:val="009B790B"/>
    <w:rsid w:val="009B7933"/>
    <w:rsid w:val="009B7BD7"/>
    <w:rsid w:val="009C0332"/>
    <w:rsid w:val="009C10C7"/>
    <w:rsid w:val="009C1C09"/>
    <w:rsid w:val="009C2474"/>
    <w:rsid w:val="009C260E"/>
    <w:rsid w:val="009C28B0"/>
    <w:rsid w:val="009C29FE"/>
    <w:rsid w:val="009C3075"/>
    <w:rsid w:val="009C35EC"/>
    <w:rsid w:val="009C38F1"/>
    <w:rsid w:val="009C3EA1"/>
    <w:rsid w:val="009C40C3"/>
    <w:rsid w:val="009C4136"/>
    <w:rsid w:val="009C4206"/>
    <w:rsid w:val="009C457C"/>
    <w:rsid w:val="009C46F2"/>
    <w:rsid w:val="009C4756"/>
    <w:rsid w:val="009C47D2"/>
    <w:rsid w:val="009C4BA0"/>
    <w:rsid w:val="009C57C3"/>
    <w:rsid w:val="009C638A"/>
    <w:rsid w:val="009C72DE"/>
    <w:rsid w:val="009C75BD"/>
    <w:rsid w:val="009C79BD"/>
    <w:rsid w:val="009D00FC"/>
    <w:rsid w:val="009D03CD"/>
    <w:rsid w:val="009D0DAA"/>
    <w:rsid w:val="009D1985"/>
    <w:rsid w:val="009D19D4"/>
    <w:rsid w:val="009D228C"/>
    <w:rsid w:val="009D2772"/>
    <w:rsid w:val="009D2810"/>
    <w:rsid w:val="009D28D4"/>
    <w:rsid w:val="009D2F17"/>
    <w:rsid w:val="009D2F36"/>
    <w:rsid w:val="009D32F3"/>
    <w:rsid w:val="009D32FA"/>
    <w:rsid w:val="009D36EE"/>
    <w:rsid w:val="009D3754"/>
    <w:rsid w:val="009D3FFD"/>
    <w:rsid w:val="009D403C"/>
    <w:rsid w:val="009D4D1F"/>
    <w:rsid w:val="009D55AD"/>
    <w:rsid w:val="009D58E1"/>
    <w:rsid w:val="009D5CDD"/>
    <w:rsid w:val="009D5FC4"/>
    <w:rsid w:val="009D6064"/>
    <w:rsid w:val="009D6E11"/>
    <w:rsid w:val="009D7231"/>
    <w:rsid w:val="009D7387"/>
    <w:rsid w:val="009D7539"/>
    <w:rsid w:val="009D7646"/>
    <w:rsid w:val="009D7A66"/>
    <w:rsid w:val="009E08E2"/>
    <w:rsid w:val="009E1AC6"/>
    <w:rsid w:val="009E239B"/>
    <w:rsid w:val="009E24E8"/>
    <w:rsid w:val="009E260E"/>
    <w:rsid w:val="009E35DD"/>
    <w:rsid w:val="009E3ACA"/>
    <w:rsid w:val="009E3B10"/>
    <w:rsid w:val="009E3CC8"/>
    <w:rsid w:val="009E461D"/>
    <w:rsid w:val="009E4C04"/>
    <w:rsid w:val="009E4EC2"/>
    <w:rsid w:val="009E5605"/>
    <w:rsid w:val="009E5916"/>
    <w:rsid w:val="009E6715"/>
    <w:rsid w:val="009E6E06"/>
    <w:rsid w:val="009E76D8"/>
    <w:rsid w:val="009E7C60"/>
    <w:rsid w:val="009F0480"/>
    <w:rsid w:val="009F0E79"/>
    <w:rsid w:val="009F13E4"/>
    <w:rsid w:val="009F1425"/>
    <w:rsid w:val="009F1476"/>
    <w:rsid w:val="009F1B0D"/>
    <w:rsid w:val="009F2503"/>
    <w:rsid w:val="009F28F3"/>
    <w:rsid w:val="009F2A8F"/>
    <w:rsid w:val="009F2BD4"/>
    <w:rsid w:val="009F3748"/>
    <w:rsid w:val="009F387C"/>
    <w:rsid w:val="009F3A78"/>
    <w:rsid w:val="009F3B3E"/>
    <w:rsid w:val="009F3BC2"/>
    <w:rsid w:val="009F3C17"/>
    <w:rsid w:val="009F422E"/>
    <w:rsid w:val="009F454E"/>
    <w:rsid w:val="009F4870"/>
    <w:rsid w:val="009F495C"/>
    <w:rsid w:val="009F4AD9"/>
    <w:rsid w:val="009F4CDF"/>
    <w:rsid w:val="009F4F2C"/>
    <w:rsid w:val="009F5027"/>
    <w:rsid w:val="009F561A"/>
    <w:rsid w:val="009F57FC"/>
    <w:rsid w:val="009F59EC"/>
    <w:rsid w:val="009F6C95"/>
    <w:rsid w:val="009F723F"/>
    <w:rsid w:val="009F72DB"/>
    <w:rsid w:val="009F79DC"/>
    <w:rsid w:val="009F7B0D"/>
    <w:rsid w:val="00A00764"/>
    <w:rsid w:val="00A0082E"/>
    <w:rsid w:val="00A00E90"/>
    <w:rsid w:val="00A01850"/>
    <w:rsid w:val="00A01AE3"/>
    <w:rsid w:val="00A01DA9"/>
    <w:rsid w:val="00A024EF"/>
    <w:rsid w:val="00A02D19"/>
    <w:rsid w:val="00A03107"/>
    <w:rsid w:val="00A03A76"/>
    <w:rsid w:val="00A047DD"/>
    <w:rsid w:val="00A05441"/>
    <w:rsid w:val="00A0560D"/>
    <w:rsid w:val="00A0571F"/>
    <w:rsid w:val="00A057B9"/>
    <w:rsid w:val="00A05942"/>
    <w:rsid w:val="00A05A1C"/>
    <w:rsid w:val="00A05C20"/>
    <w:rsid w:val="00A05FFD"/>
    <w:rsid w:val="00A0614B"/>
    <w:rsid w:val="00A064AB"/>
    <w:rsid w:val="00A06F47"/>
    <w:rsid w:val="00A1019B"/>
    <w:rsid w:val="00A103BC"/>
    <w:rsid w:val="00A10573"/>
    <w:rsid w:val="00A105B1"/>
    <w:rsid w:val="00A10619"/>
    <w:rsid w:val="00A10CE2"/>
    <w:rsid w:val="00A10CEB"/>
    <w:rsid w:val="00A10CF0"/>
    <w:rsid w:val="00A11A4D"/>
    <w:rsid w:val="00A11EED"/>
    <w:rsid w:val="00A12470"/>
    <w:rsid w:val="00A126D4"/>
    <w:rsid w:val="00A12C4E"/>
    <w:rsid w:val="00A12F46"/>
    <w:rsid w:val="00A130F4"/>
    <w:rsid w:val="00A13235"/>
    <w:rsid w:val="00A13582"/>
    <w:rsid w:val="00A1428A"/>
    <w:rsid w:val="00A1456F"/>
    <w:rsid w:val="00A148F1"/>
    <w:rsid w:val="00A14D2E"/>
    <w:rsid w:val="00A152B7"/>
    <w:rsid w:val="00A15391"/>
    <w:rsid w:val="00A158B7"/>
    <w:rsid w:val="00A15C7E"/>
    <w:rsid w:val="00A1629F"/>
    <w:rsid w:val="00A162A8"/>
    <w:rsid w:val="00A164A0"/>
    <w:rsid w:val="00A164C2"/>
    <w:rsid w:val="00A165D5"/>
    <w:rsid w:val="00A17330"/>
    <w:rsid w:val="00A1770C"/>
    <w:rsid w:val="00A20317"/>
    <w:rsid w:val="00A2046D"/>
    <w:rsid w:val="00A20DB8"/>
    <w:rsid w:val="00A21078"/>
    <w:rsid w:val="00A214B7"/>
    <w:rsid w:val="00A21719"/>
    <w:rsid w:val="00A2193B"/>
    <w:rsid w:val="00A21ABA"/>
    <w:rsid w:val="00A21E47"/>
    <w:rsid w:val="00A21E78"/>
    <w:rsid w:val="00A2268F"/>
    <w:rsid w:val="00A22801"/>
    <w:rsid w:val="00A22A6C"/>
    <w:rsid w:val="00A22DA8"/>
    <w:rsid w:val="00A22FBF"/>
    <w:rsid w:val="00A23D26"/>
    <w:rsid w:val="00A23FCC"/>
    <w:rsid w:val="00A241EC"/>
    <w:rsid w:val="00A246B4"/>
    <w:rsid w:val="00A25DEC"/>
    <w:rsid w:val="00A26396"/>
    <w:rsid w:val="00A263AE"/>
    <w:rsid w:val="00A26571"/>
    <w:rsid w:val="00A26C15"/>
    <w:rsid w:val="00A27C19"/>
    <w:rsid w:val="00A3023A"/>
    <w:rsid w:val="00A304D5"/>
    <w:rsid w:val="00A30641"/>
    <w:rsid w:val="00A30689"/>
    <w:rsid w:val="00A30720"/>
    <w:rsid w:val="00A309FC"/>
    <w:rsid w:val="00A30D9A"/>
    <w:rsid w:val="00A31006"/>
    <w:rsid w:val="00A31086"/>
    <w:rsid w:val="00A31424"/>
    <w:rsid w:val="00A3147D"/>
    <w:rsid w:val="00A315D1"/>
    <w:rsid w:val="00A317A3"/>
    <w:rsid w:val="00A319A0"/>
    <w:rsid w:val="00A31F29"/>
    <w:rsid w:val="00A32284"/>
    <w:rsid w:val="00A32FD7"/>
    <w:rsid w:val="00A334DB"/>
    <w:rsid w:val="00A335FC"/>
    <w:rsid w:val="00A3360B"/>
    <w:rsid w:val="00A33727"/>
    <w:rsid w:val="00A33BC5"/>
    <w:rsid w:val="00A3414C"/>
    <w:rsid w:val="00A347CF"/>
    <w:rsid w:val="00A34AF8"/>
    <w:rsid w:val="00A359FC"/>
    <w:rsid w:val="00A35DDB"/>
    <w:rsid w:val="00A36213"/>
    <w:rsid w:val="00A3632C"/>
    <w:rsid w:val="00A36852"/>
    <w:rsid w:val="00A36B09"/>
    <w:rsid w:val="00A378F7"/>
    <w:rsid w:val="00A40683"/>
    <w:rsid w:val="00A408E9"/>
    <w:rsid w:val="00A40DB8"/>
    <w:rsid w:val="00A40F71"/>
    <w:rsid w:val="00A41178"/>
    <w:rsid w:val="00A41331"/>
    <w:rsid w:val="00A41752"/>
    <w:rsid w:val="00A41A05"/>
    <w:rsid w:val="00A41BCE"/>
    <w:rsid w:val="00A41D3B"/>
    <w:rsid w:val="00A41EB6"/>
    <w:rsid w:val="00A42461"/>
    <w:rsid w:val="00A426AA"/>
    <w:rsid w:val="00A42F9E"/>
    <w:rsid w:val="00A42FCD"/>
    <w:rsid w:val="00A4321F"/>
    <w:rsid w:val="00A43A53"/>
    <w:rsid w:val="00A43B01"/>
    <w:rsid w:val="00A43BAF"/>
    <w:rsid w:val="00A43F01"/>
    <w:rsid w:val="00A43F9D"/>
    <w:rsid w:val="00A43F9F"/>
    <w:rsid w:val="00A44001"/>
    <w:rsid w:val="00A44F19"/>
    <w:rsid w:val="00A45A43"/>
    <w:rsid w:val="00A45A6B"/>
    <w:rsid w:val="00A45F5C"/>
    <w:rsid w:val="00A46295"/>
    <w:rsid w:val="00A4641B"/>
    <w:rsid w:val="00A46AB6"/>
    <w:rsid w:val="00A46C65"/>
    <w:rsid w:val="00A46FBD"/>
    <w:rsid w:val="00A4707A"/>
    <w:rsid w:val="00A47ABC"/>
    <w:rsid w:val="00A47ED0"/>
    <w:rsid w:val="00A50136"/>
    <w:rsid w:val="00A504B1"/>
    <w:rsid w:val="00A50520"/>
    <w:rsid w:val="00A50D70"/>
    <w:rsid w:val="00A5131C"/>
    <w:rsid w:val="00A51507"/>
    <w:rsid w:val="00A51596"/>
    <w:rsid w:val="00A5167E"/>
    <w:rsid w:val="00A51965"/>
    <w:rsid w:val="00A51DBC"/>
    <w:rsid w:val="00A528E1"/>
    <w:rsid w:val="00A53497"/>
    <w:rsid w:val="00A53AB8"/>
    <w:rsid w:val="00A53D20"/>
    <w:rsid w:val="00A540DD"/>
    <w:rsid w:val="00A548A8"/>
    <w:rsid w:val="00A54944"/>
    <w:rsid w:val="00A54C62"/>
    <w:rsid w:val="00A54FD8"/>
    <w:rsid w:val="00A5556C"/>
    <w:rsid w:val="00A56196"/>
    <w:rsid w:val="00A56355"/>
    <w:rsid w:val="00A56461"/>
    <w:rsid w:val="00A5647E"/>
    <w:rsid w:val="00A56706"/>
    <w:rsid w:val="00A568E9"/>
    <w:rsid w:val="00A56907"/>
    <w:rsid w:val="00A5693F"/>
    <w:rsid w:val="00A56C50"/>
    <w:rsid w:val="00A56D07"/>
    <w:rsid w:val="00A56E7C"/>
    <w:rsid w:val="00A5728A"/>
    <w:rsid w:val="00A573BA"/>
    <w:rsid w:val="00A5770A"/>
    <w:rsid w:val="00A5792B"/>
    <w:rsid w:val="00A57CAD"/>
    <w:rsid w:val="00A57FFA"/>
    <w:rsid w:val="00A60249"/>
    <w:rsid w:val="00A6094A"/>
    <w:rsid w:val="00A609E7"/>
    <w:rsid w:val="00A61F23"/>
    <w:rsid w:val="00A6215C"/>
    <w:rsid w:val="00A622FC"/>
    <w:rsid w:val="00A62782"/>
    <w:rsid w:val="00A630C2"/>
    <w:rsid w:val="00A6391A"/>
    <w:rsid w:val="00A63CA4"/>
    <w:rsid w:val="00A64755"/>
    <w:rsid w:val="00A6491D"/>
    <w:rsid w:val="00A64AF4"/>
    <w:rsid w:val="00A64D6A"/>
    <w:rsid w:val="00A64F8F"/>
    <w:rsid w:val="00A65205"/>
    <w:rsid w:val="00A657DA"/>
    <w:rsid w:val="00A667EA"/>
    <w:rsid w:val="00A66D3B"/>
    <w:rsid w:val="00A67314"/>
    <w:rsid w:val="00A675A6"/>
    <w:rsid w:val="00A67BDB"/>
    <w:rsid w:val="00A67EB2"/>
    <w:rsid w:val="00A7027B"/>
    <w:rsid w:val="00A702A2"/>
    <w:rsid w:val="00A70433"/>
    <w:rsid w:val="00A709A2"/>
    <w:rsid w:val="00A7114F"/>
    <w:rsid w:val="00A72169"/>
    <w:rsid w:val="00A72461"/>
    <w:rsid w:val="00A726A0"/>
    <w:rsid w:val="00A72CCC"/>
    <w:rsid w:val="00A73086"/>
    <w:rsid w:val="00A73494"/>
    <w:rsid w:val="00A7366F"/>
    <w:rsid w:val="00A737E4"/>
    <w:rsid w:val="00A7382A"/>
    <w:rsid w:val="00A73FB3"/>
    <w:rsid w:val="00A741C5"/>
    <w:rsid w:val="00A74337"/>
    <w:rsid w:val="00A7458A"/>
    <w:rsid w:val="00A749AD"/>
    <w:rsid w:val="00A7557A"/>
    <w:rsid w:val="00A755D3"/>
    <w:rsid w:val="00A7565B"/>
    <w:rsid w:val="00A75719"/>
    <w:rsid w:val="00A76F1B"/>
    <w:rsid w:val="00A773A7"/>
    <w:rsid w:val="00A773FE"/>
    <w:rsid w:val="00A800BF"/>
    <w:rsid w:val="00A801D8"/>
    <w:rsid w:val="00A80234"/>
    <w:rsid w:val="00A8023B"/>
    <w:rsid w:val="00A802EE"/>
    <w:rsid w:val="00A806ED"/>
    <w:rsid w:val="00A80D21"/>
    <w:rsid w:val="00A80E33"/>
    <w:rsid w:val="00A80FEA"/>
    <w:rsid w:val="00A810D1"/>
    <w:rsid w:val="00A81B4B"/>
    <w:rsid w:val="00A81D7C"/>
    <w:rsid w:val="00A81E67"/>
    <w:rsid w:val="00A81F54"/>
    <w:rsid w:val="00A81FC0"/>
    <w:rsid w:val="00A82064"/>
    <w:rsid w:val="00A82525"/>
    <w:rsid w:val="00A83830"/>
    <w:rsid w:val="00A83B10"/>
    <w:rsid w:val="00A83CA2"/>
    <w:rsid w:val="00A83F90"/>
    <w:rsid w:val="00A8432D"/>
    <w:rsid w:val="00A8499D"/>
    <w:rsid w:val="00A852AC"/>
    <w:rsid w:val="00A85733"/>
    <w:rsid w:val="00A85846"/>
    <w:rsid w:val="00A86B6E"/>
    <w:rsid w:val="00A86E95"/>
    <w:rsid w:val="00A87D58"/>
    <w:rsid w:val="00A87FB9"/>
    <w:rsid w:val="00A90947"/>
    <w:rsid w:val="00A90A7E"/>
    <w:rsid w:val="00A9105F"/>
    <w:rsid w:val="00A91490"/>
    <w:rsid w:val="00A91A0E"/>
    <w:rsid w:val="00A91AC6"/>
    <w:rsid w:val="00A92137"/>
    <w:rsid w:val="00A92154"/>
    <w:rsid w:val="00A9225F"/>
    <w:rsid w:val="00A9238F"/>
    <w:rsid w:val="00A92A33"/>
    <w:rsid w:val="00A9341E"/>
    <w:rsid w:val="00A93F23"/>
    <w:rsid w:val="00A94A55"/>
    <w:rsid w:val="00A94D27"/>
    <w:rsid w:val="00A95502"/>
    <w:rsid w:val="00A959E2"/>
    <w:rsid w:val="00A95B30"/>
    <w:rsid w:val="00A95CB3"/>
    <w:rsid w:val="00A9604D"/>
    <w:rsid w:val="00A96701"/>
    <w:rsid w:val="00A96ABC"/>
    <w:rsid w:val="00A96CE5"/>
    <w:rsid w:val="00A96DDE"/>
    <w:rsid w:val="00A97216"/>
    <w:rsid w:val="00A9725A"/>
    <w:rsid w:val="00A97675"/>
    <w:rsid w:val="00A978A8"/>
    <w:rsid w:val="00A97D10"/>
    <w:rsid w:val="00A97D54"/>
    <w:rsid w:val="00AA009F"/>
    <w:rsid w:val="00AA05FA"/>
    <w:rsid w:val="00AA065A"/>
    <w:rsid w:val="00AA08FF"/>
    <w:rsid w:val="00AA0BDD"/>
    <w:rsid w:val="00AA1645"/>
    <w:rsid w:val="00AA1C03"/>
    <w:rsid w:val="00AA2C98"/>
    <w:rsid w:val="00AA2D13"/>
    <w:rsid w:val="00AA2E8D"/>
    <w:rsid w:val="00AA31BA"/>
    <w:rsid w:val="00AA34AD"/>
    <w:rsid w:val="00AA3B3E"/>
    <w:rsid w:val="00AA3CD5"/>
    <w:rsid w:val="00AA40E1"/>
    <w:rsid w:val="00AA4125"/>
    <w:rsid w:val="00AA4224"/>
    <w:rsid w:val="00AA4507"/>
    <w:rsid w:val="00AA4703"/>
    <w:rsid w:val="00AA5D60"/>
    <w:rsid w:val="00AA6231"/>
    <w:rsid w:val="00AA6B90"/>
    <w:rsid w:val="00AA6C7A"/>
    <w:rsid w:val="00AA6E9C"/>
    <w:rsid w:val="00AA6F85"/>
    <w:rsid w:val="00AA75DC"/>
    <w:rsid w:val="00AA76B6"/>
    <w:rsid w:val="00AA7EFF"/>
    <w:rsid w:val="00AA7F0B"/>
    <w:rsid w:val="00AB012D"/>
    <w:rsid w:val="00AB04BE"/>
    <w:rsid w:val="00AB0CF5"/>
    <w:rsid w:val="00AB10EB"/>
    <w:rsid w:val="00AB13A8"/>
    <w:rsid w:val="00AB13FA"/>
    <w:rsid w:val="00AB17DB"/>
    <w:rsid w:val="00AB1936"/>
    <w:rsid w:val="00AB1A41"/>
    <w:rsid w:val="00AB1B2B"/>
    <w:rsid w:val="00AB1EDA"/>
    <w:rsid w:val="00AB2685"/>
    <w:rsid w:val="00AB2CFF"/>
    <w:rsid w:val="00AB2D4D"/>
    <w:rsid w:val="00AB3D25"/>
    <w:rsid w:val="00AB41DF"/>
    <w:rsid w:val="00AB465F"/>
    <w:rsid w:val="00AB4A25"/>
    <w:rsid w:val="00AB5664"/>
    <w:rsid w:val="00AB5E5E"/>
    <w:rsid w:val="00AB662C"/>
    <w:rsid w:val="00AB66BB"/>
    <w:rsid w:val="00AB6F32"/>
    <w:rsid w:val="00AB70C8"/>
    <w:rsid w:val="00AB7E16"/>
    <w:rsid w:val="00AC04A6"/>
    <w:rsid w:val="00AC06C1"/>
    <w:rsid w:val="00AC091F"/>
    <w:rsid w:val="00AC105E"/>
    <w:rsid w:val="00AC11CC"/>
    <w:rsid w:val="00AC1707"/>
    <w:rsid w:val="00AC17B3"/>
    <w:rsid w:val="00AC199D"/>
    <w:rsid w:val="00AC210E"/>
    <w:rsid w:val="00AC21B6"/>
    <w:rsid w:val="00AC318B"/>
    <w:rsid w:val="00AC3384"/>
    <w:rsid w:val="00AC3415"/>
    <w:rsid w:val="00AC3ADB"/>
    <w:rsid w:val="00AC40F6"/>
    <w:rsid w:val="00AC42F3"/>
    <w:rsid w:val="00AC4563"/>
    <w:rsid w:val="00AC45ED"/>
    <w:rsid w:val="00AC4942"/>
    <w:rsid w:val="00AC54D3"/>
    <w:rsid w:val="00AC573C"/>
    <w:rsid w:val="00AC5C5A"/>
    <w:rsid w:val="00AC614B"/>
    <w:rsid w:val="00AC6536"/>
    <w:rsid w:val="00AC71AA"/>
    <w:rsid w:val="00AC76AA"/>
    <w:rsid w:val="00AC78BB"/>
    <w:rsid w:val="00AD01DC"/>
    <w:rsid w:val="00AD0214"/>
    <w:rsid w:val="00AD0749"/>
    <w:rsid w:val="00AD0996"/>
    <w:rsid w:val="00AD0DBF"/>
    <w:rsid w:val="00AD0DE9"/>
    <w:rsid w:val="00AD0E5D"/>
    <w:rsid w:val="00AD0EC3"/>
    <w:rsid w:val="00AD1020"/>
    <w:rsid w:val="00AD149A"/>
    <w:rsid w:val="00AD1585"/>
    <w:rsid w:val="00AD1A95"/>
    <w:rsid w:val="00AD1B73"/>
    <w:rsid w:val="00AD2221"/>
    <w:rsid w:val="00AD270B"/>
    <w:rsid w:val="00AD3388"/>
    <w:rsid w:val="00AD3BE6"/>
    <w:rsid w:val="00AD3C6A"/>
    <w:rsid w:val="00AD3DE5"/>
    <w:rsid w:val="00AD3E91"/>
    <w:rsid w:val="00AD42CC"/>
    <w:rsid w:val="00AD43E8"/>
    <w:rsid w:val="00AD48AB"/>
    <w:rsid w:val="00AD4BE6"/>
    <w:rsid w:val="00AD4CA7"/>
    <w:rsid w:val="00AD5B55"/>
    <w:rsid w:val="00AD603F"/>
    <w:rsid w:val="00AD607E"/>
    <w:rsid w:val="00AD6592"/>
    <w:rsid w:val="00AD6A2A"/>
    <w:rsid w:val="00AD6F93"/>
    <w:rsid w:val="00AD7484"/>
    <w:rsid w:val="00AD7689"/>
    <w:rsid w:val="00AE03B6"/>
    <w:rsid w:val="00AE069B"/>
    <w:rsid w:val="00AE0C0E"/>
    <w:rsid w:val="00AE106F"/>
    <w:rsid w:val="00AE1159"/>
    <w:rsid w:val="00AE1349"/>
    <w:rsid w:val="00AE151B"/>
    <w:rsid w:val="00AE1B54"/>
    <w:rsid w:val="00AE1E49"/>
    <w:rsid w:val="00AE1F28"/>
    <w:rsid w:val="00AE208E"/>
    <w:rsid w:val="00AE20AF"/>
    <w:rsid w:val="00AE29DC"/>
    <w:rsid w:val="00AE2A9A"/>
    <w:rsid w:val="00AE2C1A"/>
    <w:rsid w:val="00AE2EC9"/>
    <w:rsid w:val="00AE3A0C"/>
    <w:rsid w:val="00AE3F1F"/>
    <w:rsid w:val="00AE400A"/>
    <w:rsid w:val="00AE449B"/>
    <w:rsid w:val="00AE46DA"/>
    <w:rsid w:val="00AE4865"/>
    <w:rsid w:val="00AE501D"/>
    <w:rsid w:val="00AE5295"/>
    <w:rsid w:val="00AE5DFF"/>
    <w:rsid w:val="00AF061C"/>
    <w:rsid w:val="00AF0F46"/>
    <w:rsid w:val="00AF0F6B"/>
    <w:rsid w:val="00AF11B6"/>
    <w:rsid w:val="00AF11CD"/>
    <w:rsid w:val="00AF162D"/>
    <w:rsid w:val="00AF1648"/>
    <w:rsid w:val="00AF16CF"/>
    <w:rsid w:val="00AF184F"/>
    <w:rsid w:val="00AF19E5"/>
    <w:rsid w:val="00AF1F69"/>
    <w:rsid w:val="00AF2947"/>
    <w:rsid w:val="00AF2B3D"/>
    <w:rsid w:val="00AF2B73"/>
    <w:rsid w:val="00AF2C48"/>
    <w:rsid w:val="00AF333B"/>
    <w:rsid w:val="00AF34F0"/>
    <w:rsid w:val="00AF3D35"/>
    <w:rsid w:val="00AF3F4C"/>
    <w:rsid w:val="00AF482C"/>
    <w:rsid w:val="00AF4D9D"/>
    <w:rsid w:val="00AF4DFF"/>
    <w:rsid w:val="00AF50EE"/>
    <w:rsid w:val="00AF5281"/>
    <w:rsid w:val="00AF52B1"/>
    <w:rsid w:val="00AF5540"/>
    <w:rsid w:val="00AF5A89"/>
    <w:rsid w:val="00AF5C1B"/>
    <w:rsid w:val="00AF5DFE"/>
    <w:rsid w:val="00AF64D4"/>
    <w:rsid w:val="00AF678B"/>
    <w:rsid w:val="00AF690F"/>
    <w:rsid w:val="00AF6A61"/>
    <w:rsid w:val="00AF7BF9"/>
    <w:rsid w:val="00AF7EF8"/>
    <w:rsid w:val="00AF7FD5"/>
    <w:rsid w:val="00B001A6"/>
    <w:rsid w:val="00B00AD0"/>
    <w:rsid w:val="00B00BF1"/>
    <w:rsid w:val="00B00E07"/>
    <w:rsid w:val="00B00F12"/>
    <w:rsid w:val="00B01582"/>
    <w:rsid w:val="00B018DB"/>
    <w:rsid w:val="00B01C41"/>
    <w:rsid w:val="00B01EF8"/>
    <w:rsid w:val="00B02372"/>
    <w:rsid w:val="00B031D8"/>
    <w:rsid w:val="00B031E4"/>
    <w:rsid w:val="00B034E7"/>
    <w:rsid w:val="00B03814"/>
    <w:rsid w:val="00B03877"/>
    <w:rsid w:val="00B03C88"/>
    <w:rsid w:val="00B03CCA"/>
    <w:rsid w:val="00B03D51"/>
    <w:rsid w:val="00B046A2"/>
    <w:rsid w:val="00B04753"/>
    <w:rsid w:val="00B04940"/>
    <w:rsid w:val="00B04CF7"/>
    <w:rsid w:val="00B053B0"/>
    <w:rsid w:val="00B057CE"/>
    <w:rsid w:val="00B07E09"/>
    <w:rsid w:val="00B07FB5"/>
    <w:rsid w:val="00B10B23"/>
    <w:rsid w:val="00B10C09"/>
    <w:rsid w:val="00B1136C"/>
    <w:rsid w:val="00B11406"/>
    <w:rsid w:val="00B1177A"/>
    <w:rsid w:val="00B11908"/>
    <w:rsid w:val="00B11A2C"/>
    <w:rsid w:val="00B11F0B"/>
    <w:rsid w:val="00B12B3E"/>
    <w:rsid w:val="00B131C1"/>
    <w:rsid w:val="00B1325D"/>
    <w:rsid w:val="00B13303"/>
    <w:rsid w:val="00B134E6"/>
    <w:rsid w:val="00B13670"/>
    <w:rsid w:val="00B13E93"/>
    <w:rsid w:val="00B13F6F"/>
    <w:rsid w:val="00B14552"/>
    <w:rsid w:val="00B14654"/>
    <w:rsid w:val="00B14E5D"/>
    <w:rsid w:val="00B152CB"/>
    <w:rsid w:val="00B15343"/>
    <w:rsid w:val="00B1582C"/>
    <w:rsid w:val="00B15A97"/>
    <w:rsid w:val="00B15D98"/>
    <w:rsid w:val="00B16270"/>
    <w:rsid w:val="00B162A5"/>
    <w:rsid w:val="00B162B2"/>
    <w:rsid w:val="00B164CF"/>
    <w:rsid w:val="00B16A41"/>
    <w:rsid w:val="00B16C4D"/>
    <w:rsid w:val="00B16E43"/>
    <w:rsid w:val="00B1715E"/>
    <w:rsid w:val="00B17236"/>
    <w:rsid w:val="00B17644"/>
    <w:rsid w:val="00B17E68"/>
    <w:rsid w:val="00B17F82"/>
    <w:rsid w:val="00B2071E"/>
    <w:rsid w:val="00B2109E"/>
    <w:rsid w:val="00B2154A"/>
    <w:rsid w:val="00B21F80"/>
    <w:rsid w:val="00B22048"/>
    <w:rsid w:val="00B225C0"/>
    <w:rsid w:val="00B226E4"/>
    <w:rsid w:val="00B22908"/>
    <w:rsid w:val="00B22AA1"/>
    <w:rsid w:val="00B22C35"/>
    <w:rsid w:val="00B22FCB"/>
    <w:rsid w:val="00B23032"/>
    <w:rsid w:val="00B2373A"/>
    <w:rsid w:val="00B23754"/>
    <w:rsid w:val="00B241DA"/>
    <w:rsid w:val="00B2429F"/>
    <w:rsid w:val="00B244E5"/>
    <w:rsid w:val="00B25078"/>
    <w:rsid w:val="00B2539F"/>
    <w:rsid w:val="00B2577D"/>
    <w:rsid w:val="00B26411"/>
    <w:rsid w:val="00B26911"/>
    <w:rsid w:val="00B26C27"/>
    <w:rsid w:val="00B26DAE"/>
    <w:rsid w:val="00B26DDE"/>
    <w:rsid w:val="00B26E5B"/>
    <w:rsid w:val="00B272E0"/>
    <w:rsid w:val="00B276F1"/>
    <w:rsid w:val="00B277E0"/>
    <w:rsid w:val="00B27869"/>
    <w:rsid w:val="00B27A6A"/>
    <w:rsid w:val="00B27F30"/>
    <w:rsid w:val="00B3026D"/>
    <w:rsid w:val="00B302F2"/>
    <w:rsid w:val="00B3039E"/>
    <w:rsid w:val="00B307CC"/>
    <w:rsid w:val="00B31131"/>
    <w:rsid w:val="00B31713"/>
    <w:rsid w:val="00B319B3"/>
    <w:rsid w:val="00B31A74"/>
    <w:rsid w:val="00B31B48"/>
    <w:rsid w:val="00B31CD7"/>
    <w:rsid w:val="00B31CE3"/>
    <w:rsid w:val="00B324FF"/>
    <w:rsid w:val="00B32C24"/>
    <w:rsid w:val="00B32CAC"/>
    <w:rsid w:val="00B32E81"/>
    <w:rsid w:val="00B3315D"/>
    <w:rsid w:val="00B337B9"/>
    <w:rsid w:val="00B33E9E"/>
    <w:rsid w:val="00B3414E"/>
    <w:rsid w:val="00B346BF"/>
    <w:rsid w:val="00B3487A"/>
    <w:rsid w:val="00B34A7D"/>
    <w:rsid w:val="00B34B0B"/>
    <w:rsid w:val="00B34C90"/>
    <w:rsid w:val="00B34FFF"/>
    <w:rsid w:val="00B35156"/>
    <w:rsid w:val="00B35207"/>
    <w:rsid w:val="00B3532D"/>
    <w:rsid w:val="00B3533C"/>
    <w:rsid w:val="00B356FC"/>
    <w:rsid w:val="00B3599E"/>
    <w:rsid w:val="00B35A88"/>
    <w:rsid w:val="00B35C55"/>
    <w:rsid w:val="00B36682"/>
    <w:rsid w:val="00B36752"/>
    <w:rsid w:val="00B36C39"/>
    <w:rsid w:val="00B371D2"/>
    <w:rsid w:val="00B37579"/>
    <w:rsid w:val="00B37602"/>
    <w:rsid w:val="00B37895"/>
    <w:rsid w:val="00B37EF0"/>
    <w:rsid w:val="00B4061B"/>
    <w:rsid w:val="00B40A2F"/>
    <w:rsid w:val="00B41A26"/>
    <w:rsid w:val="00B41C1E"/>
    <w:rsid w:val="00B41C77"/>
    <w:rsid w:val="00B41FC1"/>
    <w:rsid w:val="00B421D1"/>
    <w:rsid w:val="00B4220D"/>
    <w:rsid w:val="00B427F6"/>
    <w:rsid w:val="00B42C4C"/>
    <w:rsid w:val="00B42DFF"/>
    <w:rsid w:val="00B43823"/>
    <w:rsid w:val="00B43D10"/>
    <w:rsid w:val="00B43FFE"/>
    <w:rsid w:val="00B44666"/>
    <w:rsid w:val="00B4468A"/>
    <w:rsid w:val="00B44EF7"/>
    <w:rsid w:val="00B454EF"/>
    <w:rsid w:val="00B455CB"/>
    <w:rsid w:val="00B456E4"/>
    <w:rsid w:val="00B4578B"/>
    <w:rsid w:val="00B45916"/>
    <w:rsid w:val="00B45DCD"/>
    <w:rsid w:val="00B462A8"/>
    <w:rsid w:val="00B463CC"/>
    <w:rsid w:val="00B46938"/>
    <w:rsid w:val="00B47734"/>
    <w:rsid w:val="00B477C1"/>
    <w:rsid w:val="00B4791F"/>
    <w:rsid w:val="00B5008B"/>
    <w:rsid w:val="00B500FB"/>
    <w:rsid w:val="00B504F2"/>
    <w:rsid w:val="00B50852"/>
    <w:rsid w:val="00B5091E"/>
    <w:rsid w:val="00B50939"/>
    <w:rsid w:val="00B50B2C"/>
    <w:rsid w:val="00B515F3"/>
    <w:rsid w:val="00B51CAE"/>
    <w:rsid w:val="00B51E9D"/>
    <w:rsid w:val="00B521B7"/>
    <w:rsid w:val="00B521D9"/>
    <w:rsid w:val="00B529DA"/>
    <w:rsid w:val="00B52A7E"/>
    <w:rsid w:val="00B530FF"/>
    <w:rsid w:val="00B531D7"/>
    <w:rsid w:val="00B53889"/>
    <w:rsid w:val="00B538F7"/>
    <w:rsid w:val="00B53E64"/>
    <w:rsid w:val="00B5443F"/>
    <w:rsid w:val="00B54A64"/>
    <w:rsid w:val="00B54E37"/>
    <w:rsid w:val="00B551B8"/>
    <w:rsid w:val="00B55763"/>
    <w:rsid w:val="00B55FE6"/>
    <w:rsid w:val="00B5646D"/>
    <w:rsid w:val="00B56528"/>
    <w:rsid w:val="00B56FB7"/>
    <w:rsid w:val="00B57390"/>
    <w:rsid w:val="00B57A28"/>
    <w:rsid w:val="00B57CBC"/>
    <w:rsid w:val="00B57FF9"/>
    <w:rsid w:val="00B6014C"/>
    <w:rsid w:val="00B60812"/>
    <w:rsid w:val="00B608EE"/>
    <w:rsid w:val="00B6091E"/>
    <w:rsid w:val="00B61454"/>
    <w:rsid w:val="00B617BA"/>
    <w:rsid w:val="00B618AF"/>
    <w:rsid w:val="00B61AE6"/>
    <w:rsid w:val="00B61C75"/>
    <w:rsid w:val="00B62111"/>
    <w:rsid w:val="00B621A0"/>
    <w:rsid w:val="00B623AE"/>
    <w:rsid w:val="00B62523"/>
    <w:rsid w:val="00B62529"/>
    <w:rsid w:val="00B6305D"/>
    <w:rsid w:val="00B6311D"/>
    <w:rsid w:val="00B6313B"/>
    <w:rsid w:val="00B63242"/>
    <w:rsid w:val="00B634AF"/>
    <w:rsid w:val="00B639D8"/>
    <w:rsid w:val="00B641D5"/>
    <w:rsid w:val="00B642BC"/>
    <w:rsid w:val="00B64D91"/>
    <w:rsid w:val="00B64FC0"/>
    <w:rsid w:val="00B65698"/>
    <w:rsid w:val="00B66427"/>
    <w:rsid w:val="00B6685D"/>
    <w:rsid w:val="00B669C7"/>
    <w:rsid w:val="00B66F82"/>
    <w:rsid w:val="00B67391"/>
    <w:rsid w:val="00B67653"/>
    <w:rsid w:val="00B67BD0"/>
    <w:rsid w:val="00B70153"/>
    <w:rsid w:val="00B701A2"/>
    <w:rsid w:val="00B7054F"/>
    <w:rsid w:val="00B70565"/>
    <w:rsid w:val="00B70820"/>
    <w:rsid w:val="00B712D6"/>
    <w:rsid w:val="00B7146F"/>
    <w:rsid w:val="00B7184E"/>
    <w:rsid w:val="00B71E58"/>
    <w:rsid w:val="00B72474"/>
    <w:rsid w:val="00B72728"/>
    <w:rsid w:val="00B72962"/>
    <w:rsid w:val="00B72D51"/>
    <w:rsid w:val="00B72D7A"/>
    <w:rsid w:val="00B73014"/>
    <w:rsid w:val="00B739A9"/>
    <w:rsid w:val="00B73B12"/>
    <w:rsid w:val="00B74394"/>
    <w:rsid w:val="00B7488E"/>
    <w:rsid w:val="00B74C42"/>
    <w:rsid w:val="00B757C4"/>
    <w:rsid w:val="00B766F9"/>
    <w:rsid w:val="00B76B2B"/>
    <w:rsid w:val="00B76E6F"/>
    <w:rsid w:val="00B76FA0"/>
    <w:rsid w:val="00B77065"/>
    <w:rsid w:val="00B7720C"/>
    <w:rsid w:val="00B773FB"/>
    <w:rsid w:val="00B7775C"/>
    <w:rsid w:val="00B777CB"/>
    <w:rsid w:val="00B77902"/>
    <w:rsid w:val="00B77992"/>
    <w:rsid w:val="00B8021D"/>
    <w:rsid w:val="00B807D4"/>
    <w:rsid w:val="00B80802"/>
    <w:rsid w:val="00B80A9A"/>
    <w:rsid w:val="00B814AD"/>
    <w:rsid w:val="00B81548"/>
    <w:rsid w:val="00B81BC9"/>
    <w:rsid w:val="00B81C9C"/>
    <w:rsid w:val="00B81DA0"/>
    <w:rsid w:val="00B81FD3"/>
    <w:rsid w:val="00B82CD4"/>
    <w:rsid w:val="00B837D4"/>
    <w:rsid w:val="00B83DAE"/>
    <w:rsid w:val="00B83E78"/>
    <w:rsid w:val="00B844F9"/>
    <w:rsid w:val="00B8454A"/>
    <w:rsid w:val="00B84971"/>
    <w:rsid w:val="00B84C06"/>
    <w:rsid w:val="00B84D39"/>
    <w:rsid w:val="00B8565F"/>
    <w:rsid w:val="00B85740"/>
    <w:rsid w:val="00B8585C"/>
    <w:rsid w:val="00B85B86"/>
    <w:rsid w:val="00B85C8C"/>
    <w:rsid w:val="00B864BB"/>
    <w:rsid w:val="00B865D3"/>
    <w:rsid w:val="00B86927"/>
    <w:rsid w:val="00B86D70"/>
    <w:rsid w:val="00B87522"/>
    <w:rsid w:val="00B87EEA"/>
    <w:rsid w:val="00B90276"/>
    <w:rsid w:val="00B9029F"/>
    <w:rsid w:val="00B905E8"/>
    <w:rsid w:val="00B916F3"/>
    <w:rsid w:val="00B91A0B"/>
    <w:rsid w:val="00B9264D"/>
    <w:rsid w:val="00B927F8"/>
    <w:rsid w:val="00B929BB"/>
    <w:rsid w:val="00B92CBE"/>
    <w:rsid w:val="00B93014"/>
    <w:rsid w:val="00B932AC"/>
    <w:rsid w:val="00B933E6"/>
    <w:rsid w:val="00B93557"/>
    <w:rsid w:val="00B938C4"/>
    <w:rsid w:val="00B958C2"/>
    <w:rsid w:val="00B95ABB"/>
    <w:rsid w:val="00B95B7D"/>
    <w:rsid w:val="00B96FC5"/>
    <w:rsid w:val="00B978F2"/>
    <w:rsid w:val="00B9794C"/>
    <w:rsid w:val="00B979BD"/>
    <w:rsid w:val="00B97D00"/>
    <w:rsid w:val="00B97E1D"/>
    <w:rsid w:val="00BA04CC"/>
    <w:rsid w:val="00BA04DA"/>
    <w:rsid w:val="00BA058F"/>
    <w:rsid w:val="00BA0723"/>
    <w:rsid w:val="00BA0ACB"/>
    <w:rsid w:val="00BA0D70"/>
    <w:rsid w:val="00BA0FA5"/>
    <w:rsid w:val="00BA1455"/>
    <w:rsid w:val="00BA1614"/>
    <w:rsid w:val="00BA188E"/>
    <w:rsid w:val="00BA1D31"/>
    <w:rsid w:val="00BA20DC"/>
    <w:rsid w:val="00BA20DE"/>
    <w:rsid w:val="00BA227D"/>
    <w:rsid w:val="00BA2D46"/>
    <w:rsid w:val="00BA3310"/>
    <w:rsid w:val="00BA343E"/>
    <w:rsid w:val="00BA3CE8"/>
    <w:rsid w:val="00BA42BC"/>
    <w:rsid w:val="00BA4368"/>
    <w:rsid w:val="00BA436D"/>
    <w:rsid w:val="00BA5BBF"/>
    <w:rsid w:val="00BA5D53"/>
    <w:rsid w:val="00BA63A6"/>
    <w:rsid w:val="00BA7232"/>
    <w:rsid w:val="00BA7885"/>
    <w:rsid w:val="00BA7CBD"/>
    <w:rsid w:val="00BA7EB0"/>
    <w:rsid w:val="00BA7ED0"/>
    <w:rsid w:val="00BA7F11"/>
    <w:rsid w:val="00BB0B55"/>
    <w:rsid w:val="00BB0E2F"/>
    <w:rsid w:val="00BB0EB7"/>
    <w:rsid w:val="00BB0F04"/>
    <w:rsid w:val="00BB10E0"/>
    <w:rsid w:val="00BB1A8A"/>
    <w:rsid w:val="00BB2049"/>
    <w:rsid w:val="00BB21E8"/>
    <w:rsid w:val="00BB22CE"/>
    <w:rsid w:val="00BB268D"/>
    <w:rsid w:val="00BB2A55"/>
    <w:rsid w:val="00BB2C2E"/>
    <w:rsid w:val="00BB3200"/>
    <w:rsid w:val="00BB3E43"/>
    <w:rsid w:val="00BB47E0"/>
    <w:rsid w:val="00BB521E"/>
    <w:rsid w:val="00BB524F"/>
    <w:rsid w:val="00BB5450"/>
    <w:rsid w:val="00BB69D3"/>
    <w:rsid w:val="00BB6C8C"/>
    <w:rsid w:val="00BB6E01"/>
    <w:rsid w:val="00BB7118"/>
    <w:rsid w:val="00BB7D88"/>
    <w:rsid w:val="00BB7EAA"/>
    <w:rsid w:val="00BC0155"/>
    <w:rsid w:val="00BC0204"/>
    <w:rsid w:val="00BC083E"/>
    <w:rsid w:val="00BC0986"/>
    <w:rsid w:val="00BC0AC7"/>
    <w:rsid w:val="00BC0E87"/>
    <w:rsid w:val="00BC10DD"/>
    <w:rsid w:val="00BC1110"/>
    <w:rsid w:val="00BC1210"/>
    <w:rsid w:val="00BC1684"/>
    <w:rsid w:val="00BC1958"/>
    <w:rsid w:val="00BC1D93"/>
    <w:rsid w:val="00BC205B"/>
    <w:rsid w:val="00BC20FA"/>
    <w:rsid w:val="00BC25B4"/>
    <w:rsid w:val="00BC26D3"/>
    <w:rsid w:val="00BC27E2"/>
    <w:rsid w:val="00BC2960"/>
    <w:rsid w:val="00BC296D"/>
    <w:rsid w:val="00BC2F77"/>
    <w:rsid w:val="00BC44FE"/>
    <w:rsid w:val="00BC479D"/>
    <w:rsid w:val="00BC4C4B"/>
    <w:rsid w:val="00BC5566"/>
    <w:rsid w:val="00BC55E0"/>
    <w:rsid w:val="00BC579D"/>
    <w:rsid w:val="00BC58D0"/>
    <w:rsid w:val="00BC596F"/>
    <w:rsid w:val="00BC5F54"/>
    <w:rsid w:val="00BC6213"/>
    <w:rsid w:val="00BC6983"/>
    <w:rsid w:val="00BC6A68"/>
    <w:rsid w:val="00BC6EF7"/>
    <w:rsid w:val="00BC6FC2"/>
    <w:rsid w:val="00BC703D"/>
    <w:rsid w:val="00BC7127"/>
    <w:rsid w:val="00BC7A15"/>
    <w:rsid w:val="00BC7AB1"/>
    <w:rsid w:val="00BD00A3"/>
    <w:rsid w:val="00BD064A"/>
    <w:rsid w:val="00BD099B"/>
    <w:rsid w:val="00BD10DB"/>
    <w:rsid w:val="00BD143D"/>
    <w:rsid w:val="00BD153E"/>
    <w:rsid w:val="00BD16E5"/>
    <w:rsid w:val="00BD1DEB"/>
    <w:rsid w:val="00BD297F"/>
    <w:rsid w:val="00BD2D0A"/>
    <w:rsid w:val="00BD3180"/>
    <w:rsid w:val="00BD342D"/>
    <w:rsid w:val="00BD425D"/>
    <w:rsid w:val="00BD4C01"/>
    <w:rsid w:val="00BD4CA6"/>
    <w:rsid w:val="00BD4EE1"/>
    <w:rsid w:val="00BD5BAB"/>
    <w:rsid w:val="00BD5C78"/>
    <w:rsid w:val="00BD6972"/>
    <w:rsid w:val="00BD6E22"/>
    <w:rsid w:val="00BD7357"/>
    <w:rsid w:val="00BD739C"/>
    <w:rsid w:val="00BD7DE0"/>
    <w:rsid w:val="00BE05D1"/>
    <w:rsid w:val="00BE0ED2"/>
    <w:rsid w:val="00BE104D"/>
    <w:rsid w:val="00BE16F8"/>
    <w:rsid w:val="00BE1966"/>
    <w:rsid w:val="00BE276C"/>
    <w:rsid w:val="00BE3561"/>
    <w:rsid w:val="00BE37D9"/>
    <w:rsid w:val="00BE3DCF"/>
    <w:rsid w:val="00BE406B"/>
    <w:rsid w:val="00BE43F9"/>
    <w:rsid w:val="00BE49A8"/>
    <w:rsid w:val="00BE50BC"/>
    <w:rsid w:val="00BE5542"/>
    <w:rsid w:val="00BE5D68"/>
    <w:rsid w:val="00BE5DA2"/>
    <w:rsid w:val="00BE5E6C"/>
    <w:rsid w:val="00BE5FA6"/>
    <w:rsid w:val="00BE62BF"/>
    <w:rsid w:val="00BE6C1E"/>
    <w:rsid w:val="00BE7447"/>
    <w:rsid w:val="00BE795D"/>
    <w:rsid w:val="00BE7991"/>
    <w:rsid w:val="00BF0226"/>
    <w:rsid w:val="00BF0239"/>
    <w:rsid w:val="00BF12A5"/>
    <w:rsid w:val="00BF262A"/>
    <w:rsid w:val="00BF2C33"/>
    <w:rsid w:val="00BF2E23"/>
    <w:rsid w:val="00BF33B9"/>
    <w:rsid w:val="00BF362A"/>
    <w:rsid w:val="00BF366D"/>
    <w:rsid w:val="00BF37AC"/>
    <w:rsid w:val="00BF44F1"/>
    <w:rsid w:val="00BF4BEF"/>
    <w:rsid w:val="00BF4CC9"/>
    <w:rsid w:val="00BF5EB2"/>
    <w:rsid w:val="00BF5F43"/>
    <w:rsid w:val="00BF62C3"/>
    <w:rsid w:val="00BF64E4"/>
    <w:rsid w:val="00BF6B45"/>
    <w:rsid w:val="00BF6CAA"/>
    <w:rsid w:val="00BF6DE3"/>
    <w:rsid w:val="00BF6F95"/>
    <w:rsid w:val="00BF774D"/>
    <w:rsid w:val="00BF7854"/>
    <w:rsid w:val="00C00901"/>
    <w:rsid w:val="00C00B30"/>
    <w:rsid w:val="00C01209"/>
    <w:rsid w:val="00C01CBE"/>
    <w:rsid w:val="00C01EE5"/>
    <w:rsid w:val="00C01F17"/>
    <w:rsid w:val="00C01F4D"/>
    <w:rsid w:val="00C02001"/>
    <w:rsid w:val="00C0316B"/>
    <w:rsid w:val="00C03206"/>
    <w:rsid w:val="00C03644"/>
    <w:rsid w:val="00C03681"/>
    <w:rsid w:val="00C03BC3"/>
    <w:rsid w:val="00C045C1"/>
    <w:rsid w:val="00C05267"/>
    <w:rsid w:val="00C0581A"/>
    <w:rsid w:val="00C05ABC"/>
    <w:rsid w:val="00C06567"/>
    <w:rsid w:val="00C0659E"/>
    <w:rsid w:val="00C06663"/>
    <w:rsid w:val="00C06F94"/>
    <w:rsid w:val="00C06FA1"/>
    <w:rsid w:val="00C072DA"/>
    <w:rsid w:val="00C076F4"/>
    <w:rsid w:val="00C07A60"/>
    <w:rsid w:val="00C07DBF"/>
    <w:rsid w:val="00C07F9B"/>
    <w:rsid w:val="00C107DF"/>
    <w:rsid w:val="00C1096E"/>
    <w:rsid w:val="00C109A7"/>
    <w:rsid w:val="00C110F2"/>
    <w:rsid w:val="00C111CA"/>
    <w:rsid w:val="00C11A33"/>
    <w:rsid w:val="00C11B92"/>
    <w:rsid w:val="00C11DC7"/>
    <w:rsid w:val="00C124B8"/>
    <w:rsid w:val="00C12B07"/>
    <w:rsid w:val="00C13B7E"/>
    <w:rsid w:val="00C13F6B"/>
    <w:rsid w:val="00C14603"/>
    <w:rsid w:val="00C1499B"/>
    <w:rsid w:val="00C14FBA"/>
    <w:rsid w:val="00C1536B"/>
    <w:rsid w:val="00C15519"/>
    <w:rsid w:val="00C15555"/>
    <w:rsid w:val="00C15954"/>
    <w:rsid w:val="00C15CE2"/>
    <w:rsid w:val="00C1617B"/>
    <w:rsid w:val="00C1620E"/>
    <w:rsid w:val="00C166AB"/>
    <w:rsid w:val="00C1670D"/>
    <w:rsid w:val="00C1682B"/>
    <w:rsid w:val="00C2058C"/>
    <w:rsid w:val="00C20DA1"/>
    <w:rsid w:val="00C20E3D"/>
    <w:rsid w:val="00C21590"/>
    <w:rsid w:val="00C21853"/>
    <w:rsid w:val="00C219A0"/>
    <w:rsid w:val="00C21AD4"/>
    <w:rsid w:val="00C21C7C"/>
    <w:rsid w:val="00C21E2A"/>
    <w:rsid w:val="00C22404"/>
    <w:rsid w:val="00C2272A"/>
    <w:rsid w:val="00C22C89"/>
    <w:rsid w:val="00C22EF0"/>
    <w:rsid w:val="00C22FBE"/>
    <w:rsid w:val="00C2316E"/>
    <w:rsid w:val="00C23E73"/>
    <w:rsid w:val="00C23F44"/>
    <w:rsid w:val="00C24539"/>
    <w:rsid w:val="00C24639"/>
    <w:rsid w:val="00C24B1B"/>
    <w:rsid w:val="00C24B8D"/>
    <w:rsid w:val="00C2508F"/>
    <w:rsid w:val="00C255C2"/>
    <w:rsid w:val="00C25A61"/>
    <w:rsid w:val="00C25F48"/>
    <w:rsid w:val="00C26AFD"/>
    <w:rsid w:val="00C26E1E"/>
    <w:rsid w:val="00C27F1A"/>
    <w:rsid w:val="00C301B0"/>
    <w:rsid w:val="00C319E5"/>
    <w:rsid w:val="00C31A51"/>
    <w:rsid w:val="00C320CC"/>
    <w:rsid w:val="00C322C4"/>
    <w:rsid w:val="00C323A8"/>
    <w:rsid w:val="00C3244F"/>
    <w:rsid w:val="00C32550"/>
    <w:rsid w:val="00C32822"/>
    <w:rsid w:val="00C3285D"/>
    <w:rsid w:val="00C3311C"/>
    <w:rsid w:val="00C3340A"/>
    <w:rsid w:val="00C33A23"/>
    <w:rsid w:val="00C33AF7"/>
    <w:rsid w:val="00C344FF"/>
    <w:rsid w:val="00C34625"/>
    <w:rsid w:val="00C348EC"/>
    <w:rsid w:val="00C34EAE"/>
    <w:rsid w:val="00C356C5"/>
    <w:rsid w:val="00C35E4B"/>
    <w:rsid w:val="00C361E7"/>
    <w:rsid w:val="00C3693E"/>
    <w:rsid w:val="00C36F37"/>
    <w:rsid w:val="00C36FAE"/>
    <w:rsid w:val="00C371F8"/>
    <w:rsid w:val="00C37216"/>
    <w:rsid w:val="00C37B2A"/>
    <w:rsid w:val="00C40524"/>
    <w:rsid w:val="00C41060"/>
    <w:rsid w:val="00C41165"/>
    <w:rsid w:val="00C412F3"/>
    <w:rsid w:val="00C41A7C"/>
    <w:rsid w:val="00C42063"/>
    <w:rsid w:val="00C42622"/>
    <w:rsid w:val="00C42E8A"/>
    <w:rsid w:val="00C4306A"/>
    <w:rsid w:val="00C44359"/>
    <w:rsid w:val="00C446A4"/>
    <w:rsid w:val="00C4540E"/>
    <w:rsid w:val="00C4576F"/>
    <w:rsid w:val="00C457CA"/>
    <w:rsid w:val="00C45C2D"/>
    <w:rsid w:val="00C45D4E"/>
    <w:rsid w:val="00C464C6"/>
    <w:rsid w:val="00C46693"/>
    <w:rsid w:val="00C46B68"/>
    <w:rsid w:val="00C46C63"/>
    <w:rsid w:val="00C47516"/>
    <w:rsid w:val="00C4791F"/>
    <w:rsid w:val="00C47CBF"/>
    <w:rsid w:val="00C47D8A"/>
    <w:rsid w:val="00C47E77"/>
    <w:rsid w:val="00C47F3A"/>
    <w:rsid w:val="00C50038"/>
    <w:rsid w:val="00C5034D"/>
    <w:rsid w:val="00C5058F"/>
    <w:rsid w:val="00C505EA"/>
    <w:rsid w:val="00C50C17"/>
    <w:rsid w:val="00C50CFD"/>
    <w:rsid w:val="00C51A13"/>
    <w:rsid w:val="00C5232C"/>
    <w:rsid w:val="00C52952"/>
    <w:rsid w:val="00C52A60"/>
    <w:rsid w:val="00C5300A"/>
    <w:rsid w:val="00C53189"/>
    <w:rsid w:val="00C54367"/>
    <w:rsid w:val="00C54848"/>
    <w:rsid w:val="00C54A1D"/>
    <w:rsid w:val="00C54B8A"/>
    <w:rsid w:val="00C54E09"/>
    <w:rsid w:val="00C5513F"/>
    <w:rsid w:val="00C55388"/>
    <w:rsid w:val="00C558F5"/>
    <w:rsid w:val="00C5592B"/>
    <w:rsid w:val="00C55CAE"/>
    <w:rsid w:val="00C55F0E"/>
    <w:rsid w:val="00C5651E"/>
    <w:rsid w:val="00C566E8"/>
    <w:rsid w:val="00C56A56"/>
    <w:rsid w:val="00C56A8A"/>
    <w:rsid w:val="00C56FCA"/>
    <w:rsid w:val="00C56FE4"/>
    <w:rsid w:val="00C57013"/>
    <w:rsid w:val="00C57123"/>
    <w:rsid w:val="00C57CE8"/>
    <w:rsid w:val="00C60458"/>
    <w:rsid w:val="00C6046B"/>
    <w:rsid w:val="00C60828"/>
    <w:rsid w:val="00C60CC2"/>
    <w:rsid w:val="00C60FC8"/>
    <w:rsid w:val="00C611F2"/>
    <w:rsid w:val="00C6121B"/>
    <w:rsid w:val="00C61698"/>
    <w:rsid w:val="00C61C34"/>
    <w:rsid w:val="00C61C5E"/>
    <w:rsid w:val="00C623A7"/>
    <w:rsid w:val="00C62843"/>
    <w:rsid w:val="00C62BD4"/>
    <w:rsid w:val="00C62D68"/>
    <w:rsid w:val="00C62F36"/>
    <w:rsid w:val="00C62FE7"/>
    <w:rsid w:val="00C63515"/>
    <w:rsid w:val="00C636D8"/>
    <w:rsid w:val="00C637CE"/>
    <w:rsid w:val="00C639AF"/>
    <w:rsid w:val="00C63A93"/>
    <w:rsid w:val="00C642B8"/>
    <w:rsid w:val="00C64748"/>
    <w:rsid w:val="00C64E40"/>
    <w:rsid w:val="00C650E1"/>
    <w:rsid w:val="00C65514"/>
    <w:rsid w:val="00C655B0"/>
    <w:rsid w:val="00C65635"/>
    <w:rsid w:val="00C65A10"/>
    <w:rsid w:val="00C6656E"/>
    <w:rsid w:val="00C6694F"/>
    <w:rsid w:val="00C670DB"/>
    <w:rsid w:val="00C701AC"/>
    <w:rsid w:val="00C70204"/>
    <w:rsid w:val="00C7043A"/>
    <w:rsid w:val="00C70502"/>
    <w:rsid w:val="00C7054C"/>
    <w:rsid w:val="00C70CA3"/>
    <w:rsid w:val="00C70E6F"/>
    <w:rsid w:val="00C7177F"/>
    <w:rsid w:val="00C717F0"/>
    <w:rsid w:val="00C71821"/>
    <w:rsid w:val="00C72A04"/>
    <w:rsid w:val="00C72B10"/>
    <w:rsid w:val="00C72D41"/>
    <w:rsid w:val="00C72ECF"/>
    <w:rsid w:val="00C73CBC"/>
    <w:rsid w:val="00C74380"/>
    <w:rsid w:val="00C744E3"/>
    <w:rsid w:val="00C744ED"/>
    <w:rsid w:val="00C74D15"/>
    <w:rsid w:val="00C75DAA"/>
    <w:rsid w:val="00C75DFC"/>
    <w:rsid w:val="00C76150"/>
    <w:rsid w:val="00C76512"/>
    <w:rsid w:val="00C7676F"/>
    <w:rsid w:val="00C76EFE"/>
    <w:rsid w:val="00C76F1B"/>
    <w:rsid w:val="00C7753C"/>
    <w:rsid w:val="00C77BD1"/>
    <w:rsid w:val="00C77F1A"/>
    <w:rsid w:val="00C80434"/>
    <w:rsid w:val="00C807FE"/>
    <w:rsid w:val="00C80D0B"/>
    <w:rsid w:val="00C815B0"/>
    <w:rsid w:val="00C81C66"/>
    <w:rsid w:val="00C81E78"/>
    <w:rsid w:val="00C82B16"/>
    <w:rsid w:val="00C8302F"/>
    <w:rsid w:val="00C8304F"/>
    <w:rsid w:val="00C83053"/>
    <w:rsid w:val="00C8305E"/>
    <w:rsid w:val="00C83170"/>
    <w:rsid w:val="00C8335E"/>
    <w:rsid w:val="00C8348E"/>
    <w:rsid w:val="00C83687"/>
    <w:rsid w:val="00C836C8"/>
    <w:rsid w:val="00C838CE"/>
    <w:rsid w:val="00C84051"/>
    <w:rsid w:val="00C8432C"/>
    <w:rsid w:val="00C84BA1"/>
    <w:rsid w:val="00C856C1"/>
    <w:rsid w:val="00C857E4"/>
    <w:rsid w:val="00C858C5"/>
    <w:rsid w:val="00C85ACE"/>
    <w:rsid w:val="00C85C98"/>
    <w:rsid w:val="00C85CEB"/>
    <w:rsid w:val="00C864B0"/>
    <w:rsid w:val="00C86537"/>
    <w:rsid w:val="00C86736"/>
    <w:rsid w:val="00C86A7C"/>
    <w:rsid w:val="00C86A8D"/>
    <w:rsid w:val="00C87940"/>
    <w:rsid w:val="00C87B7C"/>
    <w:rsid w:val="00C90944"/>
    <w:rsid w:val="00C909D7"/>
    <w:rsid w:val="00C9221B"/>
    <w:rsid w:val="00C922AF"/>
    <w:rsid w:val="00C9232A"/>
    <w:rsid w:val="00C924A7"/>
    <w:rsid w:val="00C92974"/>
    <w:rsid w:val="00C9358B"/>
    <w:rsid w:val="00C93DEE"/>
    <w:rsid w:val="00C94CF1"/>
    <w:rsid w:val="00C9540C"/>
    <w:rsid w:val="00C95529"/>
    <w:rsid w:val="00C9568F"/>
    <w:rsid w:val="00C95985"/>
    <w:rsid w:val="00C9626E"/>
    <w:rsid w:val="00C9672C"/>
    <w:rsid w:val="00C96840"/>
    <w:rsid w:val="00C968FB"/>
    <w:rsid w:val="00C96DCC"/>
    <w:rsid w:val="00C971E7"/>
    <w:rsid w:val="00C97228"/>
    <w:rsid w:val="00C97829"/>
    <w:rsid w:val="00C97ABA"/>
    <w:rsid w:val="00C97B95"/>
    <w:rsid w:val="00CA0225"/>
    <w:rsid w:val="00CA053C"/>
    <w:rsid w:val="00CA0DBE"/>
    <w:rsid w:val="00CA0F42"/>
    <w:rsid w:val="00CA146A"/>
    <w:rsid w:val="00CA1EB9"/>
    <w:rsid w:val="00CA1F12"/>
    <w:rsid w:val="00CA21F9"/>
    <w:rsid w:val="00CA269D"/>
    <w:rsid w:val="00CA292B"/>
    <w:rsid w:val="00CA2A3F"/>
    <w:rsid w:val="00CA2F95"/>
    <w:rsid w:val="00CA3058"/>
    <w:rsid w:val="00CA3388"/>
    <w:rsid w:val="00CA3AA6"/>
    <w:rsid w:val="00CA4217"/>
    <w:rsid w:val="00CA424B"/>
    <w:rsid w:val="00CA4814"/>
    <w:rsid w:val="00CA4909"/>
    <w:rsid w:val="00CA4925"/>
    <w:rsid w:val="00CA5214"/>
    <w:rsid w:val="00CA52A0"/>
    <w:rsid w:val="00CA5302"/>
    <w:rsid w:val="00CA635F"/>
    <w:rsid w:val="00CA6598"/>
    <w:rsid w:val="00CA6D1A"/>
    <w:rsid w:val="00CA6E50"/>
    <w:rsid w:val="00CA6E96"/>
    <w:rsid w:val="00CA76C8"/>
    <w:rsid w:val="00CA7C19"/>
    <w:rsid w:val="00CA7DD5"/>
    <w:rsid w:val="00CA7F62"/>
    <w:rsid w:val="00CB0E8E"/>
    <w:rsid w:val="00CB1470"/>
    <w:rsid w:val="00CB1DA4"/>
    <w:rsid w:val="00CB1E94"/>
    <w:rsid w:val="00CB2305"/>
    <w:rsid w:val="00CB2382"/>
    <w:rsid w:val="00CB29B6"/>
    <w:rsid w:val="00CB2AD7"/>
    <w:rsid w:val="00CB2DC4"/>
    <w:rsid w:val="00CB2F5A"/>
    <w:rsid w:val="00CB3030"/>
    <w:rsid w:val="00CB4018"/>
    <w:rsid w:val="00CB43CD"/>
    <w:rsid w:val="00CB47E9"/>
    <w:rsid w:val="00CB53C4"/>
    <w:rsid w:val="00CB5441"/>
    <w:rsid w:val="00CB5585"/>
    <w:rsid w:val="00CB599F"/>
    <w:rsid w:val="00CB5AA6"/>
    <w:rsid w:val="00CB5E84"/>
    <w:rsid w:val="00CB5EA0"/>
    <w:rsid w:val="00CB5EAE"/>
    <w:rsid w:val="00CB63BD"/>
    <w:rsid w:val="00CB6480"/>
    <w:rsid w:val="00CB70CF"/>
    <w:rsid w:val="00CB7680"/>
    <w:rsid w:val="00CB78C0"/>
    <w:rsid w:val="00CB7AA8"/>
    <w:rsid w:val="00CB7D7D"/>
    <w:rsid w:val="00CC0B70"/>
    <w:rsid w:val="00CC1198"/>
    <w:rsid w:val="00CC136B"/>
    <w:rsid w:val="00CC142F"/>
    <w:rsid w:val="00CC1CBA"/>
    <w:rsid w:val="00CC20DE"/>
    <w:rsid w:val="00CC23CE"/>
    <w:rsid w:val="00CC23E0"/>
    <w:rsid w:val="00CC297F"/>
    <w:rsid w:val="00CC29F6"/>
    <w:rsid w:val="00CC2B96"/>
    <w:rsid w:val="00CC2BDC"/>
    <w:rsid w:val="00CC2C10"/>
    <w:rsid w:val="00CC2DB9"/>
    <w:rsid w:val="00CC33F8"/>
    <w:rsid w:val="00CC3714"/>
    <w:rsid w:val="00CC45FD"/>
    <w:rsid w:val="00CC46E8"/>
    <w:rsid w:val="00CC4A35"/>
    <w:rsid w:val="00CC4B49"/>
    <w:rsid w:val="00CC5E5A"/>
    <w:rsid w:val="00CC64D5"/>
    <w:rsid w:val="00CC64E4"/>
    <w:rsid w:val="00CC68D5"/>
    <w:rsid w:val="00CC6BBD"/>
    <w:rsid w:val="00CC6BEA"/>
    <w:rsid w:val="00CC7235"/>
    <w:rsid w:val="00CC72D9"/>
    <w:rsid w:val="00CC72E1"/>
    <w:rsid w:val="00CC757B"/>
    <w:rsid w:val="00CC7F02"/>
    <w:rsid w:val="00CD0062"/>
    <w:rsid w:val="00CD042D"/>
    <w:rsid w:val="00CD0545"/>
    <w:rsid w:val="00CD0583"/>
    <w:rsid w:val="00CD059B"/>
    <w:rsid w:val="00CD0F77"/>
    <w:rsid w:val="00CD131B"/>
    <w:rsid w:val="00CD1758"/>
    <w:rsid w:val="00CD1788"/>
    <w:rsid w:val="00CD25B1"/>
    <w:rsid w:val="00CD2C1A"/>
    <w:rsid w:val="00CD2C2F"/>
    <w:rsid w:val="00CD2D3D"/>
    <w:rsid w:val="00CD2D9F"/>
    <w:rsid w:val="00CD3475"/>
    <w:rsid w:val="00CD365D"/>
    <w:rsid w:val="00CD3B57"/>
    <w:rsid w:val="00CD407F"/>
    <w:rsid w:val="00CD43E9"/>
    <w:rsid w:val="00CD45EC"/>
    <w:rsid w:val="00CD4BA9"/>
    <w:rsid w:val="00CD4BD5"/>
    <w:rsid w:val="00CD5101"/>
    <w:rsid w:val="00CD52EB"/>
    <w:rsid w:val="00CD56CC"/>
    <w:rsid w:val="00CD5F3E"/>
    <w:rsid w:val="00CD66B3"/>
    <w:rsid w:val="00CD6895"/>
    <w:rsid w:val="00CD71CB"/>
    <w:rsid w:val="00CD79E3"/>
    <w:rsid w:val="00CD7B17"/>
    <w:rsid w:val="00CD7C46"/>
    <w:rsid w:val="00CD7F74"/>
    <w:rsid w:val="00CE00B5"/>
    <w:rsid w:val="00CE01A1"/>
    <w:rsid w:val="00CE03E8"/>
    <w:rsid w:val="00CE05B9"/>
    <w:rsid w:val="00CE05F1"/>
    <w:rsid w:val="00CE09AA"/>
    <w:rsid w:val="00CE0B90"/>
    <w:rsid w:val="00CE0BCF"/>
    <w:rsid w:val="00CE14CD"/>
    <w:rsid w:val="00CE17F1"/>
    <w:rsid w:val="00CE1C51"/>
    <w:rsid w:val="00CE235B"/>
    <w:rsid w:val="00CE269C"/>
    <w:rsid w:val="00CE314B"/>
    <w:rsid w:val="00CE314F"/>
    <w:rsid w:val="00CE36E0"/>
    <w:rsid w:val="00CE3712"/>
    <w:rsid w:val="00CE397F"/>
    <w:rsid w:val="00CE3FE8"/>
    <w:rsid w:val="00CE4485"/>
    <w:rsid w:val="00CE473E"/>
    <w:rsid w:val="00CE474A"/>
    <w:rsid w:val="00CE4C26"/>
    <w:rsid w:val="00CE4C8E"/>
    <w:rsid w:val="00CE504D"/>
    <w:rsid w:val="00CE5551"/>
    <w:rsid w:val="00CE5930"/>
    <w:rsid w:val="00CE5979"/>
    <w:rsid w:val="00CE5E00"/>
    <w:rsid w:val="00CE5E6C"/>
    <w:rsid w:val="00CE60C9"/>
    <w:rsid w:val="00CE628C"/>
    <w:rsid w:val="00CE6569"/>
    <w:rsid w:val="00CE6712"/>
    <w:rsid w:val="00CE717A"/>
    <w:rsid w:val="00CE7665"/>
    <w:rsid w:val="00CE77CF"/>
    <w:rsid w:val="00CF0415"/>
    <w:rsid w:val="00CF099B"/>
    <w:rsid w:val="00CF0D5D"/>
    <w:rsid w:val="00CF1672"/>
    <w:rsid w:val="00CF1B3D"/>
    <w:rsid w:val="00CF237D"/>
    <w:rsid w:val="00CF31B5"/>
    <w:rsid w:val="00CF364F"/>
    <w:rsid w:val="00CF3E89"/>
    <w:rsid w:val="00CF3F36"/>
    <w:rsid w:val="00CF4083"/>
    <w:rsid w:val="00CF4510"/>
    <w:rsid w:val="00CF49F9"/>
    <w:rsid w:val="00CF53DC"/>
    <w:rsid w:val="00CF59BE"/>
    <w:rsid w:val="00CF5A1F"/>
    <w:rsid w:val="00CF619A"/>
    <w:rsid w:val="00CF6939"/>
    <w:rsid w:val="00CF69A5"/>
    <w:rsid w:val="00CF69CB"/>
    <w:rsid w:val="00CF6A15"/>
    <w:rsid w:val="00CF6E16"/>
    <w:rsid w:val="00CF73C8"/>
    <w:rsid w:val="00CF752E"/>
    <w:rsid w:val="00CF7A8B"/>
    <w:rsid w:val="00CF7BAE"/>
    <w:rsid w:val="00D0101E"/>
    <w:rsid w:val="00D019AE"/>
    <w:rsid w:val="00D01BC6"/>
    <w:rsid w:val="00D01E21"/>
    <w:rsid w:val="00D02748"/>
    <w:rsid w:val="00D02898"/>
    <w:rsid w:val="00D02B53"/>
    <w:rsid w:val="00D02B7E"/>
    <w:rsid w:val="00D02D56"/>
    <w:rsid w:val="00D03104"/>
    <w:rsid w:val="00D03354"/>
    <w:rsid w:val="00D0383A"/>
    <w:rsid w:val="00D03929"/>
    <w:rsid w:val="00D03A3B"/>
    <w:rsid w:val="00D03C02"/>
    <w:rsid w:val="00D0477E"/>
    <w:rsid w:val="00D04AEF"/>
    <w:rsid w:val="00D04D7B"/>
    <w:rsid w:val="00D04F2D"/>
    <w:rsid w:val="00D05353"/>
    <w:rsid w:val="00D05418"/>
    <w:rsid w:val="00D056AD"/>
    <w:rsid w:val="00D0577A"/>
    <w:rsid w:val="00D05BD3"/>
    <w:rsid w:val="00D05C8D"/>
    <w:rsid w:val="00D06001"/>
    <w:rsid w:val="00D066CB"/>
    <w:rsid w:val="00D06747"/>
    <w:rsid w:val="00D075E9"/>
    <w:rsid w:val="00D078BA"/>
    <w:rsid w:val="00D07DE8"/>
    <w:rsid w:val="00D101EE"/>
    <w:rsid w:val="00D106DA"/>
    <w:rsid w:val="00D10EC5"/>
    <w:rsid w:val="00D10ED5"/>
    <w:rsid w:val="00D110A9"/>
    <w:rsid w:val="00D11525"/>
    <w:rsid w:val="00D118F4"/>
    <w:rsid w:val="00D1195F"/>
    <w:rsid w:val="00D121EE"/>
    <w:rsid w:val="00D12B02"/>
    <w:rsid w:val="00D12CAB"/>
    <w:rsid w:val="00D12CBB"/>
    <w:rsid w:val="00D135F7"/>
    <w:rsid w:val="00D13684"/>
    <w:rsid w:val="00D13905"/>
    <w:rsid w:val="00D13ACE"/>
    <w:rsid w:val="00D14174"/>
    <w:rsid w:val="00D141EE"/>
    <w:rsid w:val="00D14499"/>
    <w:rsid w:val="00D148FB"/>
    <w:rsid w:val="00D1524D"/>
    <w:rsid w:val="00D1539F"/>
    <w:rsid w:val="00D15946"/>
    <w:rsid w:val="00D15D33"/>
    <w:rsid w:val="00D15E21"/>
    <w:rsid w:val="00D1645A"/>
    <w:rsid w:val="00D1645D"/>
    <w:rsid w:val="00D165EE"/>
    <w:rsid w:val="00D16732"/>
    <w:rsid w:val="00D16AD0"/>
    <w:rsid w:val="00D17491"/>
    <w:rsid w:val="00D20541"/>
    <w:rsid w:val="00D206EF"/>
    <w:rsid w:val="00D20720"/>
    <w:rsid w:val="00D20771"/>
    <w:rsid w:val="00D2080A"/>
    <w:rsid w:val="00D20A58"/>
    <w:rsid w:val="00D21201"/>
    <w:rsid w:val="00D21217"/>
    <w:rsid w:val="00D21330"/>
    <w:rsid w:val="00D214C7"/>
    <w:rsid w:val="00D21513"/>
    <w:rsid w:val="00D21712"/>
    <w:rsid w:val="00D21C9B"/>
    <w:rsid w:val="00D2225B"/>
    <w:rsid w:val="00D228B1"/>
    <w:rsid w:val="00D22948"/>
    <w:rsid w:val="00D22EFC"/>
    <w:rsid w:val="00D23013"/>
    <w:rsid w:val="00D235B4"/>
    <w:rsid w:val="00D23D62"/>
    <w:rsid w:val="00D23F82"/>
    <w:rsid w:val="00D2430C"/>
    <w:rsid w:val="00D25131"/>
    <w:rsid w:val="00D251AC"/>
    <w:rsid w:val="00D25775"/>
    <w:rsid w:val="00D26785"/>
    <w:rsid w:val="00D26D47"/>
    <w:rsid w:val="00D26F64"/>
    <w:rsid w:val="00D27409"/>
    <w:rsid w:val="00D276E8"/>
    <w:rsid w:val="00D27761"/>
    <w:rsid w:val="00D27A72"/>
    <w:rsid w:val="00D27D61"/>
    <w:rsid w:val="00D27E12"/>
    <w:rsid w:val="00D27E1E"/>
    <w:rsid w:val="00D27E77"/>
    <w:rsid w:val="00D30463"/>
    <w:rsid w:val="00D30F5C"/>
    <w:rsid w:val="00D31BA0"/>
    <w:rsid w:val="00D328DE"/>
    <w:rsid w:val="00D329B1"/>
    <w:rsid w:val="00D32B5B"/>
    <w:rsid w:val="00D32D3E"/>
    <w:rsid w:val="00D32FAF"/>
    <w:rsid w:val="00D330B4"/>
    <w:rsid w:val="00D3318B"/>
    <w:rsid w:val="00D33497"/>
    <w:rsid w:val="00D3366F"/>
    <w:rsid w:val="00D344C6"/>
    <w:rsid w:val="00D348E0"/>
    <w:rsid w:val="00D34A62"/>
    <w:rsid w:val="00D34B4A"/>
    <w:rsid w:val="00D35213"/>
    <w:rsid w:val="00D3557E"/>
    <w:rsid w:val="00D3558A"/>
    <w:rsid w:val="00D356D1"/>
    <w:rsid w:val="00D359A9"/>
    <w:rsid w:val="00D35A41"/>
    <w:rsid w:val="00D35CDC"/>
    <w:rsid w:val="00D36372"/>
    <w:rsid w:val="00D37057"/>
    <w:rsid w:val="00D37352"/>
    <w:rsid w:val="00D3735F"/>
    <w:rsid w:val="00D37955"/>
    <w:rsid w:val="00D40079"/>
    <w:rsid w:val="00D40485"/>
    <w:rsid w:val="00D408E8"/>
    <w:rsid w:val="00D411A5"/>
    <w:rsid w:val="00D41323"/>
    <w:rsid w:val="00D415D9"/>
    <w:rsid w:val="00D41F5C"/>
    <w:rsid w:val="00D4206B"/>
    <w:rsid w:val="00D421F1"/>
    <w:rsid w:val="00D42C7F"/>
    <w:rsid w:val="00D43347"/>
    <w:rsid w:val="00D433C1"/>
    <w:rsid w:val="00D43754"/>
    <w:rsid w:val="00D437A5"/>
    <w:rsid w:val="00D43B8C"/>
    <w:rsid w:val="00D43D8C"/>
    <w:rsid w:val="00D43FC3"/>
    <w:rsid w:val="00D44A64"/>
    <w:rsid w:val="00D44CFA"/>
    <w:rsid w:val="00D45C57"/>
    <w:rsid w:val="00D45D4C"/>
    <w:rsid w:val="00D45F61"/>
    <w:rsid w:val="00D461FE"/>
    <w:rsid w:val="00D462CC"/>
    <w:rsid w:val="00D46C0B"/>
    <w:rsid w:val="00D46FCE"/>
    <w:rsid w:val="00D47681"/>
    <w:rsid w:val="00D4788B"/>
    <w:rsid w:val="00D47E12"/>
    <w:rsid w:val="00D50347"/>
    <w:rsid w:val="00D50551"/>
    <w:rsid w:val="00D50645"/>
    <w:rsid w:val="00D50F5D"/>
    <w:rsid w:val="00D51263"/>
    <w:rsid w:val="00D51D57"/>
    <w:rsid w:val="00D522E6"/>
    <w:rsid w:val="00D52442"/>
    <w:rsid w:val="00D526A7"/>
    <w:rsid w:val="00D531D6"/>
    <w:rsid w:val="00D53413"/>
    <w:rsid w:val="00D53EC9"/>
    <w:rsid w:val="00D5403D"/>
    <w:rsid w:val="00D544D7"/>
    <w:rsid w:val="00D54776"/>
    <w:rsid w:val="00D54E53"/>
    <w:rsid w:val="00D559A8"/>
    <w:rsid w:val="00D559BC"/>
    <w:rsid w:val="00D56703"/>
    <w:rsid w:val="00D570ED"/>
    <w:rsid w:val="00D574CC"/>
    <w:rsid w:val="00D5764A"/>
    <w:rsid w:val="00D608DB"/>
    <w:rsid w:val="00D60E01"/>
    <w:rsid w:val="00D6145E"/>
    <w:rsid w:val="00D619CD"/>
    <w:rsid w:val="00D6256C"/>
    <w:rsid w:val="00D62638"/>
    <w:rsid w:val="00D6271B"/>
    <w:rsid w:val="00D627E9"/>
    <w:rsid w:val="00D628C8"/>
    <w:rsid w:val="00D62D29"/>
    <w:rsid w:val="00D6350C"/>
    <w:rsid w:val="00D63D84"/>
    <w:rsid w:val="00D6491E"/>
    <w:rsid w:val="00D649DB"/>
    <w:rsid w:val="00D64DF9"/>
    <w:rsid w:val="00D64E46"/>
    <w:rsid w:val="00D65498"/>
    <w:rsid w:val="00D65733"/>
    <w:rsid w:val="00D65896"/>
    <w:rsid w:val="00D65F2C"/>
    <w:rsid w:val="00D65FBF"/>
    <w:rsid w:val="00D664FD"/>
    <w:rsid w:val="00D6658F"/>
    <w:rsid w:val="00D6694F"/>
    <w:rsid w:val="00D66DD4"/>
    <w:rsid w:val="00D6791A"/>
    <w:rsid w:val="00D67FFA"/>
    <w:rsid w:val="00D705FE"/>
    <w:rsid w:val="00D7170E"/>
    <w:rsid w:val="00D71A24"/>
    <w:rsid w:val="00D71A92"/>
    <w:rsid w:val="00D71E99"/>
    <w:rsid w:val="00D720EF"/>
    <w:rsid w:val="00D7280C"/>
    <w:rsid w:val="00D72CB0"/>
    <w:rsid w:val="00D735CD"/>
    <w:rsid w:val="00D7379D"/>
    <w:rsid w:val="00D73A26"/>
    <w:rsid w:val="00D73BDA"/>
    <w:rsid w:val="00D73D31"/>
    <w:rsid w:val="00D7415F"/>
    <w:rsid w:val="00D744A5"/>
    <w:rsid w:val="00D744AB"/>
    <w:rsid w:val="00D74B80"/>
    <w:rsid w:val="00D74CE8"/>
    <w:rsid w:val="00D7516B"/>
    <w:rsid w:val="00D753BE"/>
    <w:rsid w:val="00D75422"/>
    <w:rsid w:val="00D7545B"/>
    <w:rsid w:val="00D7642A"/>
    <w:rsid w:val="00D76452"/>
    <w:rsid w:val="00D76657"/>
    <w:rsid w:val="00D7683E"/>
    <w:rsid w:val="00D77584"/>
    <w:rsid w:val="00D77AD5"/>
    <w:rsid w:val="00D77DA8"/>
    <w:rsid w:val="00D80013"/>
    <w:rsid w:val="00D801C8"/>
    <w:rsid w:val="00D814D3"/>
    <w:rsid w:val="00D81A85"/>
    <w:rsid w:val="00D81BF9"/>
    <w:rsid w:val="00D81F3F"/>
    <w:rsid w:val="00D82460"/>
    <w:rsid w:val="00D82631"/>
    <w:rsid w:val="00D828D7"/>
    <w:rsid w:val="00D82B6A"/>
    <w:rsid w:val="00D82CE5"/>
    <w:rsid w:val="00D83014"/>
    <w:rsid w:val="00D83159"/>
    <w:rsid w:val="00D831C1"/>
    <w:rsid w:val="00D835D0"/>
    <w:rsid w:val="00D83980"/>
    <w:rsid w:val="00D83A36"/>
    <w:rsid w:val="00D84353"/>
    <w:rsid w:val="00D843BF"/>
    <w:rsid w:val="00D84488"/>
    <w:rsid w:val="00D84A32"/>
    <w:rsid w:val="00D84B85"/>
    <w:rsid w:val="00D84C9A"/>
    <w:rsid w:val="00D8528E"/>
    <w:rsid w:val="00D85698"/>
    <w:rsid w:val="00D857E4"/>
    <w:rsid w:val="00D85BD1"/>
    <w:rsid w:val="00D85BD6"/>
    <w:rsid w:val="00D85E87"/>
    <w:rsid w:val="00D85E9E"/>
    <w:rsid w:val="00D860C9"/>
    <w:rsid w:val="00D8650B"/>
    <w:rsid w:val="00D86C30"/>
    <w:rsid w:val="00D86C67"/>
    <w:rsid w:val="00D87034"/>
    <w:rsid w:val="00D877D5"/>
    <w:rsid w:val="00D87AC3"/>
    <w:rsid w:val="00D904FC"/>
    <w:rsid w:val="00D90B53"/>
    <w:rsid w:val="00D90B68"/>
    <w:rsid w:val="00D90CAD"/>
    <w:rsid w:val="00D90DAF"/>
    <w:rsid w:val="00D91422"/>
    <w:rsid w:val="00D91734"/>
    <w:rsid w:val="00D91CFA"/>
    <w:rsid w:val="00D91FAA"/>
    <w:rsid w:val="00D924B1"/>
    <w:rsid w:val="00D92A2B"/>
    <w:rsid w:val="00D92ADE"/>
    <w:rsid w:val="00D933BB"/>
    <w:rsid w:val="00D933F9"/>
    <w:rsid w:val="00D93806"/>
    <w:rsid w:val="00D93875"/>
    <w:rsid w:val="00D938AE"/>
    <w:rsid w:val="00D93DD0"/>
    <w:rsid w:val="00D94142"/>
    <w:rsid w:val="00D9418C"/>
    <w:rsid w:val="00D948F8"/>
    <w:rsid w:val="00D949FE"/>
    <w:rsid w:val="00D94D67"/>
    <w:rsid w:val="00D95BD7"/>
    <w:rsid w:val="00D95CCA"/>
    <w:rsid w:val="00D95E69"/>
    <w:rsid w:val="00D96251"/>
    <w:rsid w:val="00D96995"/>
    <w:rsid w:val="00D96C53"/>
    <w:rsid w:val="00D96C9B"/>
    <w:rsid w:val="00D96D31"/>
    <w:rsid w:val="00D970B5"/>
    <w:rsid w:val="00D9793A"/>
    <w:rsid w:val="00D979D9"/>
    <w:rsid w:val="00DA035A"/>
    <w:rsid w:val="00DA035C"/>
    <w:rsid w:val="00DA0670"/>
    <w:rsid w:val="00DA0961"/>
    <w:rsid w:val="00DA0F31"/>
    <w:rsid w:val="00DA11DC"/>
    <w:rsid w:val="00DA147A"/>
    <w:rsid w:val="00DA166F"/>
    <w:rsid w:val="00DA1750"/>
    <w:rsid w:val="00DA185D"/>
    <w:rsid w:val="00DA187E"/>
    <w:rsid w:val="00DA2897"/>
    <w:rsid w:val="00DA3235"/>
    <w:rsid w:val="00DA37DA"/>
    <w:rsid w:val="00DA3D4D"/>
    <w:rsid w:val="00DA4759"/>
    <w:rsid w:val="00DA53EA"/>
    <w:rsid w:val="00DA563F"/>
    <w:rsid w:val="00DA59DD"/>
    <w:rsid w:val="00DA6A3C"/>
    <w:rsid w:val="00DA6FAC"/>
    <w:rsid w:val="00DA72CA"/>
    <w:rsid w:val="00DA7319"/>
    <w:rsid w:val="00DA7CED"/>
    <w:rsid w:val="00DA7E8F"/>
    <w:rsid w:val="00DA7F3C"/>
    <w:rsid w:val="00DB16DA"/>
    <w:rsid w:val="00DB1C2F"/>
    <w:rsid w:val="00DB2A65"/>
    <w:rsid w:val="00DB2A82"/>
    <w:rsid w:val="00DB3B82"/>
    <w:rsid w:val="00DB4142"/>
    <w:rsid w:val="00DB41CC"/>
    <w:rsid w:val="00DB45A7"/>
    <w:rsid w:val="00DB4F7D"/>
    <w:rsid w:val="00DB52AB"/>
    <w:rsid w:val="00DB5B2F"/>
    <w:rsid w:val="00DB5CE5"/>
    <w:rsid w:val="00DB60DC"/>
    <w:rsid w:val="00DB624E"/>
    <w:rsid w:val="00DB6505"/>
    <w:rsid w:val="00DB6666"/>
    <w:rsid w:val="00DB6CC2"/>
    <w:rsid w:val="00DB7B8B"/>
    <w:rsid w:val="00DB7C0D"/>
    <w:rsid w:val="00DC016F"/>
    <w:rsid w:val="00DC03E6"/>
    <w:rsid w:val="00DC06FC"/>
    <w:rsid w:val="00DC1165"/>
    <w:rsid w:val="00DC119A"/>
    <w:rsid w:val="00DC1640"/>
    <w:rsid w:val="00DC175E"/>
    <w:rsid w:val="00DC1AC9"/>
    <w:rsid w:val="00DC22D2"/>
    <w:rsid w:val="00DC25BC"/>
    <w:rsid w:val="00DC2BC7"/>
    <w:rsid w:val="00DC2C16"/>
    <w:rsid w:val="00DC2D2E"/>
    <w:rsid w:val="00DC40DA"/>
    <w:rsid w:val="00DC4215"/>
    <w:rsid w:val="00DC47FE"/>
    <w:rsid w:val="00DC492C"/>
    <w:rsid w:val="00DC4B41"/>
    <w:rsid w:val="00DC4CAD"/>
    <w:rsid w:val="00DC534E"/>
    <w:rsid w:val="00DC5A65"/>
    <w:rsid w:val="00DC5E1C"/>
    <w:rsid w:val="00DC5F94"/>
    <w:rsid w:val="00DC6547"/>
    <w:rsid w:val="00DC67F8"/>
    <w:rsid w:val="00DC753B"/>
    <w:rsid w:val="00DC756F"/>
    <w:rsid w:val="00DC76AC"/>
    <w:rsid w:val="00DC781C"/>
    <w:rsid w:val="00DD02BA"/>
    <w:rsid w:val="00DD0513"/>
    <w:rsid w:val="00DD0A39"/>
    <w:rsid w:val="00DD0AA5"/>
    <w:rsid w:val="00DD0B5D"/>
    <w:rsid w:val="00DD0E97"/>
    <w:rsid w:val="00DD1571"/>
    <w:rsid w:val="00DD15FA"/>
    <w:rsid w:val="00DD1BB0"/>
    <w:rsid w:val="00DD1D5D"/>
    <w:rsid w:val="00DD22E4"/>
    <w:rsid w:val="00DD24AA"/>
    <w:rsid w:val="00DD3196"/>
    <w:rsid w:val="00DD3216"/>
    <w:rsid w:val="00DD3221"/>
    <w:rsid w:val="00DD330A"/>
    <w:rsid w:val="00DD37F1"/>
    <w:rsid w:val="00DD38C0"/>
    <w:rsid w:val="00DD419F"/>
    <w:rsid w:val="00DD421E"/>
    <w:rsid w:val="00DD488D"/>
    <w:rsid w:val="00DD4DCB"/>
    <w:rsid w:val="00DD4E51"/>
    <w:rsid w:val="00DD55F2"/>
    <w:rsid w:val="00DD5C2B"/>
    <w:rsid w:val="00DD6119"/>
    <w:rsid w:val="00DD64FF"/>
    <w:rsid w:val="00DD6727"/>
    <w:rsid w:val="00DD68D6"/>
    <w:rsid w:val="00DD694A"/>
    <w:rsid w:val="00DD71EF"/>
    <w:rsid w:val="00DD7356"/>
    <w:rsid w:val="00DE019B"/>
    <w:rsid w:val="00DE0919"/>
    <w:rsid w:val="00DE1515"/>
    <w:rsid w:val="00DE1DF3"/>
    <w:rsid w:val="00DE2425"/>
    <w:rsid w:val="00DE2EB8"/>
    <w:rsid w:val="00DE2F22"/>
    <w:rsid w:val="00DE3057"/>
    <w:rsid w:val="00DE3488"/>
    <w:rsid w:val="00DE3770"/>
    <w:rsid w:val="00DE391A"/>
    <w:rsid w:val="00DE3FCE"/>
    <w:rsid w:val="00DE416E"/>
    <w:rsid w:val="00DE4278"/>
    <w:rsid w:val="00DE4343"/>
    <w:rsid w:val="00DE483D"/>
    <w:rsid w:val="00DE4956"/>
    <w:rsid w:val="00DE4DF2"/>
    <w:rsid w:val="00DE56E7"/>
    <w:rsid w:val="00DE58EB"/>
    <w:rsid w:val="00DE5A67"/>
    <w:rsid w:val="00DE5E5A"/>
    <w:rsid w:val="00DE648D"/>
    <w:rsid w:val="00DE671F"/>
    <w:rsid w:val="00DE683C"/>
    <w:rsid w:val="00DE6BB2"/>
    <w:rsid w:val="00DE6DDF"/>
    <w:rsid w:val="00DE6F2B"/>
    <w:rsid w:val="00DE7A4E"/>
    <w:rsid w:val="00DF089A"/>
    <w:rsid w:val="00DF092A"/>
    <w:rsid w:val="00DF102B"/>
    <w:rsid w:val="00DF1089"/>
    <w:rsid w:val="00DF119C"/>
    <w:rsid w:val="00DF1570"/>
    <w:rsid w:val="00DF1CF1"/>
    <w:rsid w:val="00DF1D19"/>
    <w:rsid w:val="00DF230B"/>
    <w:rsid w:val="00DF28C6"/>
    <w:rsid w:val="00DF2941"/>
    <w:rsid w:val="00DF2EB3"/>
    <w:rsid w:val="00DF2FD7"/>
    <w:rsid w:val="00DF312A"/>
    <w:rsid w:val="00DF3227"/>
    <w:rsid w:val="00DF32A5"/>
    <w:rsid w:val="00DF3ABD"/>
    <w:rsid w:val="00DF3B49"/>
    <w:rsid w:val="00DF3C70"/>
    <w:rsid w:val="00DF447B"/>
    <w:rsid w:val="00DF456F"/>
    <w:rsid w:val="00DF47DE"/>
    <w:rsid w:val="00DF4839"/>
    <w:rsid w:val="00DF4BEB"/>
    <w:rsid w:val="00DF4CE9"/>
    <w:rsid w:val="00DF4D96"/>
    <w:rsid w:val="00DF50A9"/>
    <w:rsid w:val="00DF57C9"/>
    <w:rsid w:val="00DF5A78"/>
    <w:rsid w:val="00DF5EBC"/>
    <w:rsid w:val="00DF621A"/>
    <w:rsid w:val="00DF6291"/>
    <w:rsid w:val="00DF708E"/>
    <w:rsid w:val="00DF71FF"/>
    <w:rsid w:val="00DF735D"/>
    <w:rsid w:val="00DF7B3F"/>
    <w:rsid w:val="00DF7BDD"/>
    <w:rsid w:val="00DF7DB2"/>
    <w:rsid w:val="00DF7F57"/>
    <w:rsid w:val="00E0025C"/>
    <w:rsid w:val="00E003F4"/>
    <w:rsid w:val="00E00C0E"/>
    <w:rsid w:val="00E00D8D"/>
    <w:rsid w:val="00E0104E"/>
    <w:rsid w:val="00E01351"/>
    <w:rsid w:val="00E02098"/>
    <w:rsid w:val="00E02343"/>
    <w:rsid w:val="00E023FC"/>
    <w:rsid w:val="00E025F5"/>
    <w:rsid w:val="00E027A5"/>
    <w:rsid w:val="00E030FB"/>
    <w:rsid w:val="00E031F5"/>
    <w:rsid w:val="00E0321B"/>
    <w:rsid w:val="00E03472"/>
    <w:rsid w:val="00E03C3E"/>
    <w:rsid w:val="00E03E3F"/>
    <w:rsid w:val="00E04AA0"/>
    <w:rsid w:val="00E051B7"/>
    <w:rsid w:val="00E052F6"/>
    <w:rsid w:val="00E0535B"/>
    <w:rsid w:val="00E05657"/>
    <w:rsid w:val="00E057AB"/>
    <w:rsid w:val="00E05867"/>
    <w:rsid w:val="00E05A2B"/>
    <w:rsid w:val="00E0641A"/>
    <w:rsid w:val="00E07174"/>
    <w:rsid w:val="00E07721"/>
    <w:rsid w:val="00E07E4F"/>
    <w:rsid w:val="00E07FFE"/>
    <w:rsid w:val="00E1046A"/>
    <w:rsid w:val="00E10E56"/>
    <w:rsid w:val="00E10FF0"/>
    <w:rsid w:val="00E110FC"/>
    <w:rsid w:val="00E11211"/>
    <w:rsid w:val="00E11268"/>
    <w:rsid w:val="00E114A9"/>
    <w:rsid w:val="00E1159D"/>
    <w:rsid w:val="00E116CE"/>
    <w:rsid w:val="00E119D4"/>
    <w:rsid w:val="00E11C8D"/>
    <w:rsid w:val="00E11CCC"/>
    <w:rsid w:val="00E120C6"/>
    <w:rsid w:val="00E1211B"/>
    <w:rsid w:val="00E12164"/>
    <w:rsid w:val="00E12420"/>
    <w:rsid w:val="00E1276B"/>
    <w:rsid w:val="00E129CA"/>
    <w:rsid w:val="00E12A4C"/>
    <w:rsid w:val="00E12A95"/>
    <w:rsid w:val="00E12DC1"/>
    <w:rsid w:val="00E12E40"/>
    <w:rsid w:val="00E130CE"/>
    <w:rsid w:val="00E131BD"/>
    <w:rsid w:val="00E138D1"/>
    <w:rsid w:val="00E13982"/>
    <w:rsid w:val="00E13B33"/>
    <w:rsid w:val="00E13B73"/>
    <w:rsid w:val="00E13C76"/>
    <w:rsid w:val="00E14037"/>
    <w:rsid w:val="00E149B7"/>
    <w:rsid w:val="00E14C37"/>
    <w:rsid w:val="00E14DD6"/>
    <w:rsid w:val="00E14E59"/>
    <w:rsid w:val="00E14F64"/>
    <w:rsid w:val="00E1526E"/>
    <w:rsid w:val="00E1584A"/>
    <w:rsid w:val="00E15BF2"/>
    <w:rsid w:val="00E15DA4"/>
    <w:rsid w:val="00E16568"/>
    <w:rsid w:val="00E16623"/>
    <w:rsid w:val="00E16F05"/>
    <w:rsid w:val="00E171DA"/>
    <w:rsid w:val="00E172E4"/>
    <w:rsid w:val="00E17875"/>
    <w:rsid w:val="00E178E5"/>
    <w:rsid w:val="00E1795A"/>
    <w:rsid w:val="00E17E20"/>
    <w:rsid w:val="00E205E5"/>
    <w:rsid w:val="00E20C5F"/>
    <w:rsid w:val="00E20D84"/>
    <w:rsid w:val="00E20F46"/>
    <w:rsid w:val="00E212F5"/>
    <w:rsid w:val="00E21309"/>
    <w:rsid w:val="00E213B0"/>
    <w:rsid w:val="00E2194D"/>
    <w:rsid w:val="00E21FB1"/>
    <w:rsid w:val="00E2222A"/>
    <w:rsid w:val="00E22332"/>
    <w:rsid w:val="00E2244C"/>
    <w:rsid w:val="00E2254F"/>
    <w:rsid w:val="00E22846"/>
    <w:rsid w:val="00E234DF"/>
    <w:rsid w:val="00E23E5A"/>
    <w:rsid w:val="00E24311"/>
    <w:rsid w:val="00E24589"/>
    <w:rsid w:val="00E24C39"/>
    <w:rsid w:val="00E24C62"/>
    <w:rsid w:val="00E2541B"/>
    <w:rsid w:val="00E259B7"/>
    <w:rsid w:val="00E263DF"/>
    <w:rsid w:val="00E264C7"/>
    <w:rsid w:val="00E26848"/>
    <w:rsid w:val="00E2719C"/>
    <w:rsid w:val="00E271AC"/>
    <w:rsid w:val="00E27396"/>
    <w:rsid w:val="00E27495"/>
    <w:rsid w:val="00E27C90"/>
    <w:rsid w:val="00E27CC2"/>
    <w:rsid w:val="00E305BF"/>
    <w:rsid w:val="00E30A60"/>
    <w:rsid w:val="00E30EEF"/>
    <w:rsid w:val="00E311E1"/>
    <w:rsid w:val="00E32532"/>
    <w:rsid w:val="00E32CB7"/>
    <w:rsid w:val="00E32F53"/>
    <w:rsid w:val="00E33311"/>
    <w:rsid w:val="00E335AB"/>
    <w:rsid w:val="00E33B2D"/>
    <w:rsid w:val="00E33BA2"/>
    <w:rsid w:val="00E34630"/>
    <w:rsid w:val="00E355E7"/>
    <w:rsid w:val="00E35970"/>
    <w:rsid w:val="00E35DB5"/>
    <w:rsid w:val="00E365C8"/>
    <w:rsid w:val="00E36875"/>
    <w:rsid w:val="00E36EEE"/>
    <w:rsid w:val="00E3710F"/>
    <w:rsid w:val="00E373EF"/>
    <w:rsid w:val="00E374A6"/>
    <w:rsid w:val="00E376DB"/>
    <w:rsid w:val="00E37A87"/>
    <w:rsid w:val="00E4023E"/>
    <w:rsid w:val="00E403C0"/>
    <w:rsid w:val="00E40611"/>
    <w:rsid w:val="00E40F8A"/>
    <w:rsid w:val="00E40FB4"/>
    <w:rsid w:val="00E41454"/>
    <w:rsid w:val="00E415E2"/>
    <w:rsid w:val="00E41C07"/>
    <w:rsid w:val="00E41FB0"/>
    <w:rsid w:val="00E42153"/>
    <w:rsid w:val="00E424C6"/>
    <w:rsid w:val="00E42E0D"/>
    <w:rsid w:val="00E432E9"/>
    <w:rsid w:val="00E43835"/>
    <w:rsid w:val="00E441D1"/>
    <w:rsid w:val="00E447F9"/>
    <w:rsid w:val="00E44FB1"/>
    <w:rsid w:val="00E454E5"/>
    <w:rsid w:val="00E46542"/>
    <w:rsid w:val="00E465EA"/>
    <w:rsid w:val="00E46631"/>
    <w:rsid w:val="00E46C0D"/>
    <w:rsid w:val="00E46F55"/>
    <w:rsid w:val="00E47542"/>
    <w:rsid w:val="00E47934"/>
    <w:rsid w:val="00E47BEC"/>
    <w:rsid w:val="00E50114"/>
    <w:rsid w:val="00E5016E"/>
    <w:rsid w:val="00E504CD"/>
    <w:rsid w:val="00E50652"/>
    <w:rsid w:val="00E509F5"/>
    <w:rsid w:val="00E50DE8"/>
    <w:rsid w:val="00E51622"/>
    <w:rsid w:val="00E51890"/>
    <w:rsid w:val="00E519AD"/>
    <w:rsid w:val="00E51B28"/>
    <w:rsid w:val="00E52024"/>
    <w:rsid w:val="00E527A5"/>
    <w:rsid w:val="00E5281C"/>
    <w:rsid w:val="00E52A15"/>
    <w:rsid w:val="00E52BAA"/>
    <w:rsid w:val="00E52E59"/>
    <w:rsid w:val="00E52F1A"/>
    <w:rsid w:val="00E52F86"/>
    <w:rsid w:val="00E5306B"/>
    <w:rsid w:val="00E530DF"/>
    <w:rsid w:val="00E531A5"/>
    <w:rsid w:val="00E53597"/>
    <w:rsid w:val="00E535F9"/>
    <w:rsid w:val="00E53658"/>
    <w:rsid w:val="00E546FA"/>
    <w:rsid w:val="00E54B02"/>
    <w:rsid w:val="00E54C35"/>
    <w:rsid w:val="00E54C89"/>
    <w:rsid w:val="00E55316"/>
    <w:rsid w:val="00E5583A"/>
    <w:rsid w:val="00E55AA4"/>
    <w:rsid w:val="00E55B17"/>
    <w:rsid w:val="00E55BB0"/>
    <w:rsid w:val="00E56859"/>
    <w:rsid w:val="00E57227"/>
    <w:rsid w:val="00E572DF"/>
    <w:rsid w:val="00E60081"/>
    <w:rsid w:val="00E603BC"/>
    <w:rsid w:val="00E603E0"/>
    <w:rsid w:val="00E60408"/>
    <w:rsid w:val="00E609B6"/>
    <w:rsid w:val="00E61059"/>
    <w:rsid w:val="00E613B6"/>
    <w:rsid w:val="00E616A7"/>
    <w:rsid w:val="00E617DD"/>
    <w:rsid w:val="00E61C4F"/>
    <w:rsid w:val="00E61D43"/>
    <w:rsid w:val="00E624A6"/>
    <w:rsid w:val="00E626AD"/>
    <w:rsid w:val="00E62ED7"/>
    <w:rsid w:val="00E62FE8"/>
    <w:rsid w:val="00E63292"/>
    <w:rsid w:val="00E634ED"/>
    <w:rsid w:val="00E63739"/>
    <w:rsid w:val="00E63C1A"/>
    <w:rsid w:val="00E64151"/>
    <w:rsid w:val="00E645EE"/>
    <w:rsid w:val="00E64A6F"/>
    <w:rsid w:val="00E652A3"/>
    <w:rsid w:val="00E65539"/>
    <w:rsid w:val="00E65F50"/>
    <w:rsid w:val="00E65FF4"/>
    <w:rsid w:val="00E66818"/>
    <w:rsid w:val="00E66C3A"/>
    <w:rsid w:val="00E6746A"/>
    <w:rsid w:val="00E67C81"/>
    <w:rsid w:val="00E67D12"/>
    <w:rsid w:val="00E67E2C"/>
    <w:rsid w:val="00E700BA"/>
    <w:rsid w:val="00E70473"/>
    <w:rsid w:val="00E7087E"/>
    <w:rsid w:val="00E70FBD"/>
    <w:rsid w:val="00E71DA9"/>
    <w:rsid w:val="00E72644"/>
    <w:rsid w:val="00E728EF"/>
    <w:rsid w:val="00E72E95"/>
    <w:rsid w:val="00E73122"/>
    <w:rsid w:val="00E73232"/>
    <w:rsid w:val="00E7342C"/>
    <w:rsid w:val="00E73823"/>
    <w:rsid w:val="00E7389B"/>
    <w:rsid w:val="00E7397B"/>
    <w:rsid w:val="00E73C19"/>
    <w:rsid w:val="00E73D22"/>
    <w:rsid w:val="00E73F66"/>
    <w:rsid w:val="00E74398"/>
    <w:rsid w:val="00E746A8"/>
    <w:rsid w:val="00E7553C"/>
    <w:rsid w:val="00E757F3"/>
    <w:rsid w:val="00E768BF"/>
    <w:rsid w:val="00E76A61"/>
    <w:rsid w:val="00E775F7"/>
    <w:rsid w:val="00E7784E"/>
    <w:rsid w:val="00E77BA5"/>
    <w:rsid w:val="00E77DB9"/>
    <w:rsid w:val="00E80307"/>
    <w:rsid w:val="00E80313"/>
    <w:rsid w:val="00E804A0"/>
    <w:rsid w:val="00E8074E"/>
    <w:rsid w:val="00E811E7"/>
    <w:rsid w:val="00E811FB"/>
    <w:rsid w:val="00E81B62"/>
    <w:rsid w:val="00E81CFE"/>
    <w:rsid w:val="00E82904"/>
    <w:rsid w:val="00E82A7B"/>
    <w:rsid w:val="00E82C77"/>
    <w:rsid w:val="00E82CAB"/>
    <w:rsid w:val="00E83068"/>
    <w:rsid w:val="00E8346D"/>
    <w:rsid w:val="00E83D2A"/>
    <w:rsid w:val="00E83EE5"/>
    <w:rsid w:val="00E84882"/>
    <w:rsid w:val="00E84CCC"/>
    <w:rsid w:val="00E850BC"/>
    <w:rsid w:val="00E850D2"/>
    <w:rsid w:val="00E8547E"/>
    <w:rsid w:val="00E85CE6"/>
    <w:rsid w:val="00E85D73"/>
    <w:rsid w:val="00E8681A"/>
    <w:rsid w:val="00E8688E"/>
    <w:rsid w:val="00E86D50"/>
    <w:rsid w:val="00E8700E"/>
    <w:rsid w:val="00E87772"/>
    <w:rsid w:val="00E87955"/>
    <w:rsid w:val="00E87A39"/>
    <w:rsid w:val="00E87CB7"/>
    <w:rsid w:val="00E90010"/>
    <w:rsid w:val="00E9027D"/>
    <w:rsid w:val="00E9069D"/>
    <w:rsid w:val="00E90A6B"/>
    <w:rsid w:val="00E90A75"/>
    <w:rsid w:val="00E90F82"/>
    <w:rsid w:val="00E914A7"/>
    <w:rsid w:val="00E915DF"/>
    <w:rsid w:val="00E9169F"/>
    <w:rsid w:val="00E91BE9"/>
    <w:rsid w:val="00E920DE"/>
    <w:rsid w:val="00E9230E"/>
    <w:rsid w:val="00E92CED"/>
    <w:rsid w:val="00E92F19"/>
    <w:rsid w:val="00E93132"/>
    <w:rsid w:val="00E931A5"/>
    <w:rsid w:val="00E93577"/>
    <w:rsid w:val="00E93C1E"/>
    <w:rsid w:val="00E94070"/>
    <w:rsid w:val="00E9439A"/>
    <w:rsid w:val="00E94431"/>
    <w:rsid w:val="00E94512"/>
    <w:rsid w:val="00E94B32"/>
    <w:rsid w:val="00E9581A"/>
    <w:rsid w:val="00E95889"/>
    <w:rsid w:val="00E9592A"/>
    <w:rsid w:val="00E96430"/>
    <w:rsid w:val="00E967CA"/>
    <w:rsid w:val="00E968AE"/>
    <w:rsid w:val="00E96BAD"/>
    <w:rsid w:val="00E96DEE"/>
    <w:rsid w:val="00E96FA5"/>
    <w:rsid w:val="00E96FB3"/>
    <w:rsid w:val="00E9700E"/>
    <w:rsid w:val="00E97084"/>
    <w:rsid w:val="00E971C4"/>
    <w:rsid w:val="00E977DA"/>
    <w:rsid w:val="00E977E5"/>
    <w:rsid w:val="00E97EE3"/>
    <w:rsid w:val="00EA0D5B"/>
    <w:rsid w:val="00EA0DAC"/>
    <w:rsid w:val="00EA0EF3"/>
    <w:rsid w:val="00EA1165"/>
    <w:rsid w:val="00EA117B"/>
    <w:rsid w:val="00EA15F8"/>
    <w:rsid w:val="00EA1B7D"/>
    <w:rsid w:val="00EA1C91"/>
    <w:rsid w:val="00EA1E53"/>
    <w:rsid w:val="00EA1FF8"/>
    <w:rsid w:val="00EA2217"/>
    <w:rsid w:val="00EA2301"/>
    <w:rsid w:val="00EA2454"/>
    <w:rsid w:val="00EA2664"/>
    <w:rsid w:val="00EA27CC"/>
    <w:rsid w:val="00EA2814"/>
    <w:rsid w:val="00EA28F1"/>
    <w:rsid w:val="00EA2949"/>
    <w:rsid w:val="00EA2AAC"/>
    <w:rsid w:val="00EA2DFC"/>
    <w:rsid w:val="00EA302B"/>
    <w:rsid w:val="00EA30C7"/>
    <w:rsid w:val="00EA32C6"/>
    <w:rsid w:val="00EA32F6"/>
    <w:rsid w:val="00EA3340"/>
    <w:rsid w:val="00EA41E8"/>
    <w:rsid w:val="00EA4321"/>
    <w:rsid w:val="00EA55AE"/>
    <w:rsid w:val="00EA56F1"/>
    <w:rsid w:val="00EA58DF"/>
    <w:rsid w:val="00EA5B30"/>
    <w:rsid w:val="00EA624A"/>
    <w:rsid w:val="00EA62BC"/>
    <w:rsid w:val="00EA64E5"/>
    <w:rsid w:val="00EA6610"/>
    <w:rsid w:val="00EA6643"/>
    <w:rsid w:val="00EA6F9F"/>
    <w:rsid w:val="00EA7028"/>
    <w:rsid w:val="00EA71CE"/>
    <w:rsid w:val="00EA730D"/>
    <w:rsid w:val="00EA7AC3"/>
    <w:rsid w:val="00EA7DE0"/>
    <w:rsid w:val="00EB03A7"/>
    <w:rsid w:val="00EB04DD"/>
    <w:rsid w:val="00EB06F2"/>
    <w:rsid w:val="00EB1206"/>
    <w:rsid w:val="00EB159A"/>
    <w:rsid w:val="00EB15C1"/>
    <w:rsid w:val="00EB15ED"/>
    <w:rsid w:val="00EB1938"/>
    <w:rsid w:val="00EB1C40"/>
    <w:rsid w:val="00EB1CC3"/>
    <w:rsid w:val="00EB1F27"/>
    <w:rsid w:val="00EB22BB"/>
    <w:rsid w:val="00EB22E4"/>
    <w:rsid w:val="00EB2A5B"/>
    <w:rsid w:val="00EB2BCD"/>
    <w:rsid w:val="00EB32BC"/>
    <w:rsid w:val="00EB36F4"/>
    <w:rsid w:val="00EB3BEE"/>
    <w:rsid w:val="00EB3C1A"/>
    <w:rsid w:val="00EB3E7A"/>
    <w:rsid w:val="00EB4CF2"/>
    <w:rsid w:val="00EB51E5"/>
    <w:rsid w:val="00EB51FF"/>
    <w:rsid w:val="00EB539F"/>
    <w:rsid w:val="00EB6298"/>
    <w:rsid w:val="00EB6440"/>
    <w:rsid w:val="00EB66FF"/>
    <w:rsid w:val="00EB6765"/>
    <w:rsid w:val="00EB6953"/>
    <w:rsid w:val="00EB6A04"/>
    <w:rsid w:val="00EB6DCF"/>
    <w:rsid w:val="00EB7244"/>
    <w:rsid w:val="00EB7465"/>
    <w:rsid w:val="00EB748E"/>
    <w:rsid w:val="00EB767E"/>
    <w:rsid w:val="00EB7C0B"/>
    <w:rsid w:val="00EC01DE"/>
    <w:rsid w:val="00EC02AA"/>
    <w:rsid w:val="00EC0776"/>
    <w:rsid w:val="00EC079A"/>
    <w:rsid w:val="00EC0954"/>
    <w:rsid w:val="00EC0D04"/>
    <w:rsid w:val="00EC1393"/>
    <w:rsid w:val="00EC1F97"/>
    <w:rsid w:val="00EC27AC"/>
    <w:rsid w:val="00EC28E2"/>
    <w:rsid w:val="00EC293D"/>
    <w:rsid w:val="00EC2B9E"/>
    <w:rsid w:val="00EC44BA"/>
    <w:rsid w:val="00EC45F8"/>
    <w:rsid w:val="00EC481C"/>
    <w:rsid w:val="00EC5748"/>
    <w:rsid w:val="00EC6266"/>
    <w:rsid w:val="00EC67C1"/>
    <w:rsid w:val="00EC6EC7"/>
    <w:rsid w:val="00EC736A"/>
    <w:rsid w:val="00EC77F0"/>
    <w:rsid w:val="00EC7B1F"/>
    <w:rsid w:val="00ED01BE"/>
    <w:rsid w:val="00ED0C73"/>
    <w:rsid w:val="00ED1050"/>
    <w:rsid w:val="00ED1C45"/>
    <w:rsid w:val="00ED1FA2"/>
    <w:rsid w:val="00ED208E"/>
    <w:rsid w:val="00ED25F1"/>
    <w:rsid w:val="00ED2776"/>
    <w:rsid w:val="00ED3528"/>
    <w:rsid w:val="00ED37EF"/>
    <w:rsid w:val="00ED3995"/>
    <w:rsid w:val="00ED3B49"/>
    <w:rsid w:val="00ED3BEE"/>
    <w:rsid w:val="00ED3F2D"/>
    <w:rsid w:val="00ED48B4"/>
    <w:rsid w:val="00ED5386"/>
    <w:rsid w:val="00ED573F"/>
    <w:rsid w:val="00ED5851"/>
    <w:rsid w:val="00ED5B73"/>
    <w:rsid w:val="00ED677B"/>
    <w:rsid w:val="00ED6788"/>
    <w:rsid w:val="00ED6857"/>
    <w:rsid w:val="00ED6970"/>
    <w:rsid w:val="00ED6C28"/>
    <w:rsid w:val="00ED6C48"/>
    <w:rsid w:val="00ED770F"/>
    <w:rsid w:val="00EE00BA"/>
    <w:rsid w:val="00EE0138"/>
    <w:rsid w:val="00EE0278"/>
    <w:rsid w:val="00EE0545"/>
    <w:rsid w:val="00EE079A"/>
    <w:rsid w:val="00EE0C3A"/>
    <w:rsid w:val="00EE0E0C"/>
    <w:rsid w:val="00EE0F3C"/>
    <w:rsid w:val="00EE1228"/>
    <w:rsid w:val="00EE12E1"/>
    <w:rsid w:val="00EE13F5"/>
    <w:rsid w:val="00EE1F6D"/>
    <w:rsid w:val="00EE2476"/>
    <w:rsid w:val="00EE24BD"/>
    <w:rsid w:val="00EE2BC5"/>
    <w:rsid w:val="00EE2C81"/>
    <w:rsid w:val="00EE2FBB"/>
    <w:rsid w:val="00EE2FCB"/>
    <w:rsid w:val="00EE2FEC"/>
    <w:rsid w:val="00EE3506"/>
    <w:rsid w:val="00EE3871"/>
    <w:rsid w:val="00EE3C4E"/>
    <w:rsid w:val="00EE46E7"/>
    <w:rsid w:val="00EE48DA"/>
    <w:rsid w:val="00EE49AE"/>
    <w:rsid w:val="00EE49CB"/>
    <w:rsid w:val="00EE4BDF"/>
    <w:rsid w:val="00EE4C2D"/>
    <w:rsid w:val="00EE4F86"/>
    <w:rsid w:val="00EE515E"/>
    <w:rsid w:val="00EE6037"/>
    <w:rsid w:val="00EE610C"/>
    <w:rsid w:val="00EE61D4"/>
    <w:rsid w:val="00EE6351"/>
    <w:rsid w:val="00EE6F6A"/>
    <w:rsid w:val="00EF060E"/>
    <w:rsid w:val="00EF06C7"/>
    <w:rsid w:val="00EF1AAF"/>
    <w:rsid w:val="00EF1D7D"/>
    <w:rsid w:val="00EF226C"/>
    <w:rsid w:val="00EF233F"/>
    <w:rsid w:val="00EF29D0"/>
    <w:rsid w:val="00EF29F2"/>
    <w:rsid w:val="00EF2C2F"/>
    <w:rsid w:val="00EF3545"/>
    <w:rsid w:val="00EF39C9"/>
    <w:rsid w:val="00EF3B82"/>
    <w:rsid w:val="00EF3C3B"/>
    <w:rsid w:val="00EF3D85"/>
    <w:rsid w:val="00EF42B6"/>
    <w:rsid w:val="00EF446B"/>
    <w:rsid w:val="00EF4E3F"/>
    <w:rsid w:val="00EF4E5B"/>
    <w:rsid w:val="00EF4F93"/>
    <w:rsid w:val="00EF545C"/>
    <w:rsid w:val="00EF55C9"/>
    <w:rsid w:val="00EF5A56"/>
    <w:rsid w:val="00EF5BC1"/>
    <w:rsid w:val="00EF6407"/>
    <w:rsid w:val="00EF671B"/>
    <w:rsid w:val="00EF6720"/>
    <w:rsid w:val="00EF6770"/>
    <w:rsid w:val="00EF68FD"/>
    <w:rsid w:val="00EF6B78"/>
    <w:rsid w:val="00EF6C3A"/>
    <w:rsid w:val="00EF7925"/>
    <w:rsid w:val="00EF7CF5"/>
    <w:rsid w:val="00EF7DA2"/>
    <w:rsid w:val="00EF7FBF"/>
    <w:rsid w:val="00F0017B"/>
    <w:rsid w:val="00F00732"/>
    <w:rsid w:val="00F015E5"/>
    <w:rsid w:val="00F01DD0"/>
    <w:rsid w:val="00F0215E"/>
    <w:rsid w:val="00F021A9"/>
    <w:rsid w:val="00F02820"/>
    <w:rsid w:val="00F02E06"/>
    <w:rsid w:val="00F032EB"/>
    <w:rsid w:val="00F0355E"/>
    <w:rsid w:val="00F03C94"/>
    <w:rsid w:val="00F03D2D"/>
    <w:rsid w:val="00F04068"/>
    <w:rsid w:val="00F041A0"/>
    <w:rsid w:val="00F04AC2"/>
    <w:rsid w:val="00F0557A"/>
    <w:rsid w:val="00F05BE8"/>
    <w:rsid w:val="00F06320"/>
    <w:rsid w:val="00F06D2B"/>
    <w:rsid w:val="00F0707F"/>
    <w:rsid w:val="00F07521"/>
    <w:rsid w:val="00F07A05"/>
    <w:rsid w:val="00F1020C"/>
    <w:rsid w:val="00F10263"/>
    <w:rsid w:val="00F10302"/>
    <w:rsid w:val="00F10359"/>
    <w:rsid w:val="00F109E4"/>
    <w:rsid w:val="00F10C76"/>
    <w:rsid w:val="00F10E50"/>
    <w:rsid w:val="00F111F0"/>
    <w:rsid w:val="00F11350"/>
    <w:rsid w:val="00F1135D"/>
    <w:rsid w:val="00F11665"/>
    <w:rsid w:val="00F11D07"/>
    <w:rsid w:val="00F12256"/>
    <w:rsid w:val="00F1227F"/>
    <w:rsid w:val="00F12513"/>
    <w:rsid w:val="00F1255C"/>
    <w:rsid w:val="00F1274E"/>
    <w:rsid w:val="00F12884"/>
    <w:rsid w:val="00F12E0F"/>
    <w:rsid w:val="00F130F5"/>
    <w:rsid w:val="00F13475"/>
    <w:rsid w:val="00F13E55"/>
    <w:rsid w:val="00F157DE"/>
    <w:rsid w:val="00F1586F"/>
    <w:rsid w:val="00F158DB"/>
    <w:rsid w:val="00F15D50"/>
    <w:rsid w:val="00F160D8"/>
    <w:rsid w:val="00F1638F"/>
    <w:rsid w:val="00F16587"/>
    <w:rsid w:val="00F16E06"/>
    <w:rsid w:val="00F17450"/>
    <w:rsid w:val="00F17D2B"/>
    <w:rsid w:val="00F20F35"/>
    <w:rsid w:val="00F21160"/>
    <w:rsid w:val="00F21223"/>
    <w:rsid w:val="00F21302"/>
    <w:rsid w:val="00F2158E"/>
    <w:rsid w:val="00F21B94"/>
    <w:rsid w:val="00F21DEB"/>
    <w:rsid w:val="00F2244E"/>
    <w:rsid w:val="00F2301F"/>
    <w:rsid w:val="00F233C4"/>
    <w:rsid w:val="00F234BD"/>
    <w:rsid w:val="00F246CD"/>
    <w:rsid w:val="00F2484B"/>
    <w:rsid w:val="00F249B7"/>
    <w:rsid w:val="00F24C35"/>
    <w:rsid w:val="00F24DCE"/>
    <w:rsid w:val="00F24FA2"/>
    <w:rsid w:val="00F254AB"/>
    <w:rsid w:val="00F258E9"/>
    <w:rsid w:val="00F25A10"/>
    <w:rsid w:val="00F25B42"/>
    <w:rsid w:val="00F25B86"/>
    <w:rsid w:val="00F25B88"/>
    <w:rsid w:val="00F25BDF"/>
    <w:rsid w:val="00F25C7D"/>
    <w:rsid w:val="00F26133"/>
    <w:rsid w:val="00F26369"/>
    <w:rsid w:val="00F264C3"/>
    <w:rsid w:val="00F270D3"/>
    <w:rsid w:val="00F278F0"/>
    <w:rsid w:val="00F279C3"/>
    <w:rsid w:val="00F300DF"/>
    <w:rsid w:val="00F30492"/>
    <w:rsid w:val="00F306FE"/>
    <w:rsid w:val="00F3098A"/>
    <w:rsid w:val="00F30CEF"/>
    <w:rsid w:val="00F30E40"/>
    <w:rsid w:val="00F31032"/>
    <w:rsid w:val="00F31102"/>
    <w:rsid w:val="00F318EC"/>
    <w:rsid w:val="00F318FC"/>
    <w:rsid w:val="00F32734"/>
    <w:rsid w:val="00F32B52"/>
    <w:rsid w:val="00F33778"/>
    <w:rsid w:val="00F3392F"/>
    <w:rsid w:val="00F339B9"/>
    <w:rsid w:val="00F33C9C"/>
    <w:rsid w:val="00F33CF6"/>
    <w:rsid w:val="00F34A01"/>
    <w:rsid w:val="00F3515D"/>
    <w:rsid w:val="00F35325"/>
    <w:rsid w:val="00F35535"/>
    <w:rsid w:val="00F35A4F"/>
    <w:rsid w:val="00F35ACB"/>
    <w:rsid w:val="00F35BEF"/>
    <w:rsid w:val="00F35C39"/>
    <w:rsid w:val="00F3602E"/>
    <w:rsid w:val="00F365C6"/>
    <w:rsid w:val="00F37109"/>
    <w:rsid w:val="00F372D1"/>
    <w:rsid w:val="00F37B0A"/>
    <w:rsid w:val="00F400B0"/>
    <w:rsid w:val="00F402F8"/>
    <w:rsid w:val="00F404BB"/>
    <w:rsid w:val="00F40579"/>
    <w:rsid w:val="00F4062A"/>
    <w:rsid w:val="00F40647"/>
    <w:rsid w:val="00F40967"/>
    <w:rsid w:val="00F4099E"/>
    <w:rsid w:val="00F40CA5"/>
    <w:rsid w:val="00F40D47"/>
    <w:rsid w:val="00F41084"/>
    <w:rsid w:val="00F41C8F"/>
    <w:rsid w:val="00F42467"/>
    <w:rsid w:val="00F425E8"/>
    <w:rsid w:val="00F426FD"/>
    <w:rsid w:val="00F42938"/>
    <w:rsid w:val="00F4315C"/>
    <w:rsid w:val="00F437AD"/>
    <w:rsid w:val="00F43A9D"/>
    <w:rsid w:val="00F43B62"/>
    <w:rsid w:val="00F43E20"/>
    <w:rsid w:val="00F4438D"/>
    <w:rsid w:val="00F4441D"/>
    <w:rsid w:val="00F44B8C"/>
    <w:rsid w:val="00F4528F"/>
    <w:rsid w:val="00F456A1"/>
    <w:rsid w:val="00F45BB9"/>
    <w:rsid w:val="00F460A1"/>
    <w:rsid w:val="00F46412"/>
    <w:rsid w:val="00F4670B"/>
    <w:rsid w:val="00F4675A"/>
    <w:rsid w:val="00F4684A"/>
    <w:rsid w:val="00F46BB3"/>
    <w:rsid w:val="00F46D82"/>
    <w:rsid w:val="00F4712B"/>
    <w:rsid w:val="00F478F1"/>
    <w:rsid w:val="00F5042F"/>
    <w:rsid w:val="00F50521"/>
    <w:rsid w:val="00F50B13"/>
    <w:rsid w:val="00F50BC5"/>
    <w:rsid w:val="00F50DD5"/>
    <w:rsid w:val="00F5195F"/>
    <w:rsid w:val="00F51E51"/>
    <w:rsid w:val="00F52368"/>
    <w:rsid w:val="00F52657"/>
    <w:rsid w:val="00F527D8"/>
    <w:rsid w:val="00F52D8E"/>
    <w:rsid w:val="00F53706"/>
    <w:rsid w:val="00F53732"/>
    <w:rsid w:val="00F53769"/>
    <w:rsid w:val="00F53E74"/>
    <w:rsid w:val="00F54348"/>
    <w:rsid w:val="00F54BA1"/>
    <w:rsid w:val="00F54CA4"/>
    <w:rsid w:val="00F5559B"/>
    <w:rsid w:val="00F5587C"/>
    <w:rsid w:val="00F55977"/>
    <w:rsid w:val="00F55D57"/>
    <w:rsid w:val="00F56017"/>
    <w:rsid w:val="00F561DA"/>
    <w:rsid w:val="00F565E6"/>
    <w:rsid w:val="00F566D3"/>
    <w:rsid w:val="00F56AAF"/>
    <w:rsid w:val="00F56C56"/>
    <w:rsid w:val="00F56D9B"/>
    <w:rsid w:val="00F57535"/>
    <w:rsid w:val="00F575EE"/>
    <w:rsid w:val="00F5772A"/>
    <w:rsid w:val="00F57DF4"/>
    <w:rsid w:val="00F57E76"/>
    <w:rsid w:val="00F60041"/>
    <w:rsid w:val="00F603E4"/>
    <w:rsid w:val="00F60B9C"/>
    <w:rsid w:val="00F61BB8"/>
    <w:rsid w:val="00F61C69"/>
    <w:rsid w:val="00F61CF4"/>
    <w:rsid w:val="00F62064"/>
    <w:rsid w:val="00F620C2"/>
    <w:rsid w:val="00F62BFF"/>
    <w:rsid w:val="00F632E7"/>
    <w:rsid w:val="00F6334A"/>
    <w:rsid w:val="00F63783"/>
    <w:rsid w:val="00F63E37"/>
    <w:rsid w:val="00F643B6"/>
    <w:rsid w:val="00F64591"/>
    <w:rsid w:val="00F64701"/>
    <w:rsid w:val="00F65F2F"/>
    <w:rsid w:val="00F65F53"/>
    <w:rsid w:val="00F6610A"/>
    <w:rsid w:val="00F662EB"/>
    <w:rsid w:val="00F66F58"/>
    <w:rsid w:val="00F67452"/>
    <w:rsid w:val="00F67BF3"/>
    <w:rsid w:val="00F67C2B"/>
    <w:rsid w:val="00F705B3"/>
    <w:rsid w:val="00F70680"/>
    <w:rsid w:val="00F7079B"/>
    <w:rsid w:val="00F70998"/>
    <w:rsid w:val="00F70A9F"/>
    <w:rsid w:val="00F70DC5"/>
    <w:rsid w:val="00F71622"/>
    <w:rsid w:val="00F71777"/>
    <w:rsid w:val="00F71858"/>
    <w:rsid w:val="00F71963"/>
    <w:rsid w:val="00F71C9B"/>
    <w:rsid w:val="00F725B4"/>
    <w:rsid w:val="00F72B7C"/>
    <w:rsid w:val="00F72DF3"/>
    <w:rsid w:val="00F73068"/>
    <w:rsid w:val="00F7323A"/>
    <w:rsid w:val="00F73335"/>
    <w:rsid w:val="00F7358E"/>
    <w:rsid w:val="00F7368F"/>
    <w:rsid w:val="00F736F6"/>
    <w:rsid w:val="00F73DA8"/>
    <w:rsid w:val="00F73EA6"/>
    <w:rsid w:val="00F7449A"/>
    <w:rsid w:val="00F7454B"/>
    <w:rsid w:val="00F74783"/>
    <w:rsid w:val="00F748BB"/>
    <w:rsid w:val="00F7546D"/>
    <w:rsid w:val="00F754D8"/>
    <w:rsid w:val="00F7594D"/>
    <w:rsid w:val="00F76DAF"/>
    <w:rsid w:val="00F76F7F"/>
    <w:rsid w:val="00F77AB6"/>
    <w:rsid w:val="00F77E98"/>
    <w:rsid w:val="00F801A9"/>
    <w:rsid w:val="00F801E2"/>
    <w:rsid w:val="00F80E2E"/>
    <w:rsid w:val="00F80E5C"/>
    <w:rsid w:val="00F8115F"/>
    <w:rsid w:val="00F81242"/>
    <w:rsid w:val="00F814FD"/>
    <w:rsid w:val="00F8178A"/>
    <w:rsid w:val="00F81BFA"/>
    <w:rsid w:val="00F83375"/>
    <w:rsid w:val="00F833B0"/>
    <w:rsid w:val="00F83928"/>
    <w:rsid w:val="00F83C64"/>
    <w:rsid w:val="00F841AF"/>
    <w:rsid w:val="00F8425A"/>
    <w:rsid w:val="00F845AB"/>
    <w:rsid w:val="00F8473D"/>
    <w:rsid w:val="00F84A06"/>
    <w:rsid w:val="00F84AC6"/>
    <w:rsid w:val="00F84B5D"/>
    <w:rsid w:val="00F84EEA"/>
    <w:rsid w:val="00F8582D"/>
    <w:rsid w:val="00F85856"/>
    <w:rsid w:val="00F8594F"/>
    <w:rsid w:val="00F85ABC"/>
    <w:rsid w:val="00F85E2A"/>
    <w:rsid w:val="00F86066"/>
    <w:rsid w:val="00F86366"/>
    <w:rsid w:val="00F86F7B"/>
    <w:rsid w:val="00F86FE5"/>
    <w:rsid w:val="00F87837"/>
    <w:rsid w:val="00F8797D"/>
    <w:rsid w:val="00F87E8C"/>
    <w:rsid w:val="00F90057"/>
    <w:rsid w:val="00F90A89"/>
    <w:rsid w:val="00F90F72"/>
    <w:rsid w:val="00F91072"/>
    <w:rsid w:val="00F915F2"/>
    <w:rsid w:val="00F916BA"/>
    <w:rsid w:val="00F91B62"/>
    <w:rsid w:val="00F91ED6"/>
    <w:rsid w:val="00F91FD6"/>
    <w:rsid w:val="00F934DF"/>
    <w:rsid w:val="00F93ACA"/>
    <w:rsid w:val="00F94182"/>
    <w:rsid w:val="00F94294"/>
    <w:rsid w:val="00F945C6"/>
    <w:rsid w:val="00F950F2"/>
    <w:rsid w:val="00F9535E"/>
    <w:rsid w:val="00F95484"/>
    <w:rsid w:val="00F9588A"/>
    <w:rsid w:val="00F95988"/>
    <w:rsid w:val="00F9601B"/>
    <w:rsid w:val="00F964EB"/>
    <w:rsid w:val="00F965CA"/>
    <w:rsid w:val="00F97037"/>
    <w:rsid w:val="00F97B5D"/>
    <w:rsid w:val="00F97E10"/>
    <w:rsid w:val="00FA03FD"/>
    <w:rsid w:val="00FA0B85"/>
    <w:rsid w:val="00FA0E8C"/>
    <w:rsid w:val="00FA0F0E"/>
    <w:rsid w:val="00FA12E5"/>
    <w:rsid w:val="00FA16E9"/>
    <w:rsid w:val="00FA1908"/>
    <w:rsid w:val="00FA1E82"/>
    <w:rsid w:val="00FA1EB3"/>
    <w:rsid w:val="00FA20B7"/>
    <w:rsid w:val="00FA2C5D"/>
    <w:rsid w:val="00FA328B"/>
    <w:rsid w:val="00FA346C"/>
    <w:rsid w:val="00FA3538"/>
    <w:rsid w:val="00FA3564"/>
    <w:rsid w:val="00FA374A"/>
    <w:rsid w:val="00FA3E17"/>
    <w:rsid w:val="00FA5A12"/>
    <w:rsid w:val="00FA5BCC"/>
    <w:rsid w:val="00FA5F78"/>
    <w:rsid w:val="00FA6D9F"/>
    <w:rsid w:val="00FA6DBA"/>
    <w:rsid w:val="00FA6FBF"/>
    <w:rsid w:val="00FA7610"/>
    <w:rsid w:val="00FA78B6"/>
    <w:rsid w:val="00FA7C83"/>
    <w:rsid w:val="00FA7F70"/>
    <w:rsid w:val="00FA7FF6"/>
    <w:rsid w:val="00FB09D4"/>
    <w:rsid w:val="00FB0BA1"/>
    <w:rsid w:val="00FB0BB8"/>
    <w:rsid w:val="00FB1378"/>
    <w:rsid w:val="00FB180B"/>
    <w:rsid w:val="00FB20AB"/>
    <w:rsid w:val="00FB2296"/>
    <w:rsid w:val="00FB2547"/>
    <w:rsid w:val="00FB30B9"/>
    <w:rsid w:val="00FB3115"/>
    <w:rsid w:val="00FB36AD"/>
    <w:rsid w:val="00FB3F9F"/>
    <w:rsid w:val="00FB4D13"/>
    <w:rsid w:val="00FB4D31"/>
    <w:rsid w:val="00FB5644"/>
    <w:rsid w:val="00FB58A2"/>
    <w:rsid w:val="00FB59F9"/>
    <w:rsid w:val="00FB5B5B"/>
    <w:rsid w:val="00FB5CC1"/>
    <w:rsid w:val="00FB621F"/>
    <w:rsid w:val="00FB6267"/>
    <w:rsid w:val="00FB6329"/>
    <w:rsid w:val="00FB6A70"/>
    <w:rsid w:val="00FB6D17"/>
    <w:rsid w:val="00FB703A"/>
    <w:rsid w:val="00FB737C"/>
    <w:rsid w:val="00FB7ABC"/>
    <w:rsid w:val="00FB7CA4"/>
    <w:rsid w:val="00FC022C"/>
    <w:rsid w:val="00FC06FC"/>
    <w:rsid w:val="00FC119B"/>
    <w:rsid w:val="00FC15F4"/>
    <w:rsid w:val="00FC2406"/>
    <w:rsid w:val="00FC2753"/>
    <w:rsid w:val="00FC3433"/>
    <w:rsid w:val="00FC355E"/>
    <w:rsid w:val="00FC35D4"/>
    <w:rsid w:val="00FC38C2"/>
    <w:rsid w:val="00FC3BF4"/>
    <w:rsid w:val="00FC3C2B"/>
    <w:rsid w:val="00FC456F"/>
    <w:rsid w:val="00FC4D7C"/>
    <w:rsid w:val="00FC4FC3"/>
    <w:rsid w:val="00FC5333"/>
    <w:rsid w:val="00FC53D1"/>
    <w:rsid w:val="00FC5C96"/>
    <w:rsid w:val="00FC5D55"/>
    <w:rsid w:val="00FC5FBA"/>
    <w:rsid w:val="00FC664E"/>
    <w:rsid w:val="00FC6E5B"/>
    <w:rsid w:val="00FC7044"/>
    <w:rsid w:val="00FD09D3"/>
    <w:rsid w:val="00FD0BDB"/>
    <w:rsid w:val="00FD0F2C"/>
    <w:rsid w:val="00FD100B"/>
    <w:rsid w:val="00FD1518"/>
    <w:rsid w:val="00FD15B7"/>
    <w:rsid w:val="00FD16A6"/>
    <w:rsid w:val="00FD183D"/>
    <w:rsid w:val="00FD1CE8"/>
    <w:rsid w:val="00FD2088"/>
    <w:rsid w:val="00FD2437"/>
    <w:rsid w:val="00FD2E13"/>
    <w:rsid w:val="00FD31E5"/>
    <w:rsid w:val="00FD3F49"/>
    <w:rsid w:val="00FD422E"/>
    <w:rsid w:val="00FD43EA"/>
    <w:rsid w:val="00FD4671"/>
    <w:rsid w:val="00FD4DF7"/>
    <w:rsid w:val="00FD51B5"/>
    <w:rsid w:val="00FD5294"/>
    <w:rsid w:val="00FD5505"/>
    <w:rsid w:val="00FD5D15"/>
    <w:rsid w:val="00FD5F7E"/>
    <w:rsid w:val="00FD65CC"/>
    <w:rsid w:val="00FD6694"/>
    <w:rsid w:val="00FD6FEB"/>
    <w:rsid w:val="00FD71C4"/>
    <w:rsid w:val="00FD723B"/>
    <w:rsid w:val="00FD7308"/>
    <w:rsid w:val="00FE0AAF"/>
    <w:rsid w:val="00FE0C4F"/>
    <w:rsid w:val="00FE0D2A"/>
    <w:rsid w:val="00FE0F96"/>
    <w:rsid w:val="00FE15E5"/>
    <w:rsid w:val="00FE1C2D"/>
    <w:rsid w:val="00FE28F5"/>
    <w:rsid w:val="00FE2A43"/>
    <w:rsid w:val="00FE2A4A"/>
    <w:rsid w:val="00FE2F7F"/>
    <w:rsid w:val="00FE30AD"/>
    <w:rsid w:val="00FE36EC"/>
    <w:rsid w:val="00FE399C"/>
    <w:rsid w:val="00FE3BC6"/>
    <w:rsid w:val="00FE3EB5"/>
    <w:rsid w:val="00FE4441"/>
    <w:rsid w:val="00FE49AD"/>
    <w:rsid w:val="00FE4B4F"/>
    <w:rsid w:val="00FE528E"/>
    <w:rsid w:val="00FE587D"/>
    <w:rsid w:val="00FE5955"/>
    <w:rsid w:val="00FE6060"/>
    <w:rsid w:val="00FE670E"/>
    <w:rsid w:val="00FE6749"/>
    <w:rsid w:val="00FE6E5F"/>
    <w:rsid w:val="00FE6ED9"/>
    <w:rsid w:val="00FE6F1A"/>
    <w:rsid w:val="00FE745A"/>
    <w:rsid w:val="00FE7E9F"/>
    <w:rsid w:val="00FF02FE"/>
    <w:rsid w:val="00FF03CF"/>
    <w:rsid w:val="00FF0464"/>
    <w:rsid w:val="00FF15EB"/>
    <w:rsid w:val="00FF1D2D"/>
    <w:rsid w:val="00FF1E3F"/>
    <w:rsid w:val="00FF2B27"/>
    <w:rsid w:val="00FF2DD9"/>
    <w:rsid w:val="00FF37E2"/>
    <w:rsid w:val="00FF38E1"/>
    <w:rsid w:val="00FF461C"/>
    <w:rsid w:val="00FF4D54"/>
    <w:rsid w:val="00FF52AD"/>
    <w:rsid w:val="00FF5CAF"/>
    <w:rsid w:val="00FF61E3"/>
    <w:rsid w:val="00FF6205"/>
    <w:rsid w:val="00FF6499"/>
    <w:rsid w:val="00FF6616"/>
    <w:rsid w:val="00FF68BA"/>
    <w:rsid w:val="00FF68E8"/>
    <w:rsid w:val="00FF6A60"/>
    <w:rsid w:val="00FF706B"/>
    <w:rsid w:val="011100EF"/>
    <w:rsid w:val="012061DB"/>
    <w:rsid w:val="01222C98"/>
    <w:rsid w:val="012B6D6F"/>
    <w:rsid w:val="012D5BAE"/>
    <w:rsid w:val="012E1C50"/>
    <w:rsid w:val="014063FE"/>
    <w:rsid w:val="014F03EF"/>
    <w:rsid w:val="015231FB"/>
    <w:rsid w:val="016025FC"/>
    <w:rsid w:val="016D79FC"/>
    <w:rsid w:val="01B26760"/>
    <w:rsid w:val="01B6221C"/>
    <w:rsid w:val="01BB6235"/>
    <w:rsid w:val="01BD729C"/>
    <w:rsid w:val="01BF694A"/>
    <w:rsid w:val="01DD021B"/>
    <w:rsid w:val="01E449C7"/>
    <w:rsid w:val="01E52B01"/>
    <w:rsid w:val="01FF1E15"/>
    <w:rsid w:val="02076F1C"/>
    <w:rsid w:val="020F7B7E"/>
    <w:rsid w:val="02200630"/>
    <w:rsid w:val="022628B3"/>
    <w:rsid w:val="025E540E"/>
    <w:rsid w:val="02672EE9"/>
    <w:rsid w:val="02781BC8"/>
    <w:rsid w:val="028B36A9"/>
    <w:rsid w:val="029C7340"/>
    <w:rsid w:val="02AB3D4B"/>
    <w:rsid w:val="02AD1831"/>
    <w:rsid w:val="02B344BE"/>
    <w:rsid w:val="02B7624C"/>
    <w:rsid w:val="02BC028B"/>
    <w:rsid w:val="02BC2C0B"/>
    <w:rsid w:val="03265180"/>
    <w:rsid w:val="032A4C62"/>
    <w:rsid w:val="032E0023"/>
    <w:rsid w:val="03380365"/>
    <w:rsid w:val="03456EEA"/>
    <w:rsid w:val="034D4E02"/>
    <w:rsid w:val="036D7252"/>
    <w:rsid w:val="0388408C"/>
    <w:rsid w:val="038A570F"/>
    <w:rsid w:val="038D2A89"/>
    <w:rsid w:val="0398212A"/>
    <w:rsid w:val="039E090F"/>
    <w:rsid w:val="03A10CAA"/>
    <w:rsid w:val="03BB7FBE"/>
    <w:rsid w:val="03CC4F0C"/>
    <w:rsid w:val="03D2523E"/>
    <w:rsid w:val="03E77005"/>
    <w:rsid w:val="03EB288A"/>
    <w:rsid w:val="03F86763"/>
    <w:rsid w:val="040C0819"/>
    <w:rsid w:val="043F0BEF"/>
    <w:rsid w:val="047C599F"/>
    <w:rsid w:val="048A42E4"/>
    <w:rsid w:val="04B35139"/>
    <w:rsid w:val="04B81E75"/>
    <w:rsid w:val="04C609C8"/>
    <w:rsid w:val="04E43544"/>
    <w:rsid w:val="04E56428"/>
    <w:rsid w:val="04F80D9E"/>
    <w:rsid w:val="05153EF3"/>
    <w:rsid w:val="051E6A56"/>
    <w:rsid w:val="052B2F21"/>
    <w:rsid w:val="052F7495"/>
    <w:rsid w:val="0539563E"/>
    <w:rsid w:val="0546521D"/>
    <w:rsid w:val="05495104"/>
    <w:rsid w:val="056349E0"/>
    <w:rsid w:val="0575419C"/>
    <w:rsid w:val="057D4AD5"/>
    <w:rsid w:val="058A3473"/>
    <w:rsid w:val="05BF617B"/>
    <w:rsid w:val="05C72369"/>
    <w:rsid w:val="05C84C14"/>
    <w:rsid w:val="05D2339D"/>
    <w:rsid w:val="05DE4A52"/>
    <w:rsid w:val="05F61781"/>
    <w:rsid w:val="060E0BC0"/>
    <w:rsid w:val="065C1CBD"/>
    <w:rsid w:val="0664493D"/>
    <w:rsid w:val="06712BB6"/>
    <w:rsid w:val="067B1F30"/>
    <w:rsid w:val="068A68A9"/>
    <w:rsid w:val="06976AC0"/>
    <w:rsid w:val="06A45B35"/>
    <w:rsid w:val="06A501CA"/>
    <w:rsid w:val="06A938AC"/>
    <w:rsid w:val="06A96408"/>
    <w:rsid w:val="06AD62E4"/>
    <w:rsid w:val="06B31329"/>
    <w:rsid w:val="06B604E5"/>
    <w:rsid w:val="06DD0485"/>
    <w:rsid w:val="06E4288E"/>
    <w:rsid w:val="06E56437"/>
    <w:rsid w:val="06ED4932"/>
    <w:rsid w:val="070B6B66"/>
    <w:rsid w:val="071A149F"/>
    <w:rsid w:val="071E0E7E"/>
    <w:rsid w:val="071E1F77"/>
    <w:rsid w:val="0722476B"/>
    <w:rsid w:val="07414C7E"/>
    <w:rsid w:val="0744651C"/>
    <w:rsid w:val="07487DBA"/>
    <w:rsid w:val="074D4ED6"/>
    <w:rsid w:val="07520C39"/>
    <w:rsid w:val="07783624"/>
    <w:rsid w:val="078C659B"/>
    <w:rsid w:val="07B94E5F"/>
    <w:rsid w:val="07BF3587"/>
    <w:rsid w:val="07CD02C0"/>
    <w:rsid w:val="07F13FAE"/>
    <w:rsid w:val="080D6E43"/>
    <w:rsid w:val="081049F0"/>
    <w:rsid w:val="08253C58"/>
    <w:rsid w:val="085B58CB"/>
    <w:rsid w:val="08647D8D"/>
    <w:rsid w:val="08752E31"/>
    <w:rsid w:val="0876560C"/>
    <w:rsid w:val="0889035D"/>
    <w:rsid w:val="08980DBE"/>
    <w:rsid w:val="089D4136"/>
    <w:rsid w:val="08AB142C"/>
    <w:rsid w:val="08B364F9"/>
    <w:rsid w:val="08B61348"/>
    <w:rsid w:val="08BB734B"/>
    <w:rsid w:val="08C2594B"/>
    <w:rsid w:val="08E33080"/>
    <w:rsid w:val="08F17FDE"/>
    <w:rsid w:val="0916311C"/>
    <w:rsid w:val="091D25E2"/>
    <w:rsid w:val="091E2504"/>
    <w:rsid w:val="092959CA"/>
    <w:rsid w:val="09524F20"/>
    <w:rsid w:val="095A7890"/>
    <w:rsid w:val="0963712E"/>
    <w:rsid w:val="097A6FD0"/>
    <w:rsid w:val="098350DA"/>
    <w:rsid w:val="098B0432"/>
    <w:rsid w:val="099C58C8"/>
    <w:rsid w:val="09A03EDE"/>
    <w:rsid w:val="09A43154"/>
    <w:rsid w:val="09D41DD9"/>
    <w:rsid w:val="09D92F4C"/>
    <w:rsid w:val="09D94D21"/>
    <w:rsid w:val="09F35CD1"/>
    <w:rsid w:val="09F93145"/>
    <w:rsid w:val="0A037FC9"/>
    <w:rsid w:val="0A057038"/>
    <w:rsid w:val="0A075C11"/>
    <w:rsid w:val="0A086203"/>
    <w:rsid w:val="0A2166A1"/>
    <w:rsid w:val="0A222B45"/>
    <w:rsid w:val="0A2F0DBE"/>
    <w:rsid w:val="0A326B00"/>
    <w:rsid w:val="0A335653"/>
    <w:rsid w:val="0A552666"/>
    <w:rsid w:val="0A6E4E12"/>
    <w:rsid w:val="0A740701"/>
    <w:rsid w:val="0A982839"/>
    <w:rsid w:val="0AA56340"/>
    <w:rsid w:val="0ABB4D47"/>
    <w:rsid w:val="0AC0190F"/>
    <w:rsid w:val="0AC260D6"/>
    <w:rsid w:val="0AC704D6"/>
    <w:rsid w:val="0AF3628F"/>
    <w:rsid w:val="0AF815E8"/>
    <w:rsid w:val="0B0C10FF"/>
    <w:rsid w:val="0B7774DD"/>
    <w:rsid w:val="0B800620"/>
    <w:rsid w:val="0B8909A2"/>
    <w:rsid w:val="0B921E56"/>
    <w:rsid w:val="0B965A11"/>
    <w:rsid w:val="0BAF665A"/>
    <w:rsid w:val="0BC02AD7"/>
    <w:rsid w:val="0BC32E3C"/>
    <w:rsid w:val="0BD9183C"/>
    <w:rsid w:val="0BDD1444"/>
    <w:rsid w:val="0BE000D8"/>
    <w:rsid w:val="0BE856C8"/>
    <w:rsid w:val="0C030754"/>
    <w:rsid w:val="0C05627A"/>
    <w:rsid w:val="0C0C0F48"/>
    <w:rsid w:val="0C22507E"/>
    <w:rsid w:val="0C254537"/>
    <w:rsid w:val="0C256591"/>
    <w:rsid w:val="0C451294"/>
    <w:rsid w:val="0C4D5E73"/>
    <w:rsid w:val="0C6C454B"/>
    <w:rsid w:val="0C727688"/>
    <w:rsid w:val="0C7D071A"/>
    <w:rsid w:val="0C8E44C1"/>
    <w:rsid w:val="0CAD08D1"/>
    <w:rsid w:val="0CB013D2"/>
    <w:rsid w:val="0CB35CD6"/>
    <w:rsid w:val="0CBE7410"/>
    <w:rsid w:val="0CC07CDE"/>
    <w:rsid w:val="0CCE0D62"/>
    <w:rsid w:val="0CF47BD5"/>
    <w:rsid w:val="0CF85DDF"/>
    <w:rsid w:val="0CF87B8D"/>
    <w:rsid w:val="0CFC4A7D"/>
    <w:rsid w:val="0CFF2990"/>
    <w:rsid w:val="0D117DE9"/>
    <w:rsid w:val="0D1E1590"/>
    <w:rsid w:val="0D234914"/>
    <w:rsid w:val="0D584ACF"/>
    <w:rsid w:val="0D8633EB"/>
    <w:rsid w:val="0D8B6C53"/>
    <w:rsid w:val="0D981926"/>
    <w:rsid w:val="0DAD3139"/>
    <w:rsid w:val="0DB717F6"/>
    <w:rsid w:val="0DBF39C3"/>
    <w:rsid w:val="0DC04476"/>
    <w:rsid w:val="0DED4D94"/>
    <w:rsid w:val="0E124CC9"/>
    <w:rsid w:val="0E2472B1"/>
    <w:rsid w:val="0E35096D"/>
    <w:rsid w:val="0E372937"/>
    <w:rsid w:val="0E46294A"/>
    <w:rsid w:val="0E500796"/>
    <w:rsid w:val="0E572C71"/>
    <w:rsid w:val="0E600F27"/>
    <w:rsid w:val="0E7C492E"/>
    <w:rsid w:val="0E7E7EA4"/>
    <w:rsid w:val="0E8502EA"/>
    <w:rsid w:val="0E8E22BC"/>
    <w:rsid w:val="0E9C4E0F"/>
    <w:rsid w:val="0EA3269E"/>
    <w:rsid w:val="0EAB5D97"/>
    <w:rsid w:val="0EC248F6"/>
    <w:rsid w:val="0ED558F6"/>
    <w:rsid w:val="0EE40ABE"/>
    <w:rsid w:val="0EEC3721"/>
    <w:rsid w:val="0EF10CF0"/>
    <w:rsid w:val="0F1862C4"/>
    <w:rsid w:val="0F305E8E"/>
    <w:rsid w:val="0F333E6F"/>
    <w:rsid w:val="0F362BEE"/>
    <w:rsid w:val="0F7300A2"/>
    <w:rsid w:val="0F9A62B1"/>
    <w:rsid w:val="0F9F69E6"/>
    <w:rsid w:val="0FAE09D7"/>
    <w:rsid w:val="0FDD2DA3"/>
    <w:rsid w:val="0FE12B5A"/>
    <w:rsid w:val="10036F74"/>
    <w:rsid w:val="100F37D9"/>
    <w:rsid w:val="10376421"/>
    <w:rsid w:val="10394744"/>
    <w:rsid w:val="10520BE4"/>
    <w:rsid w:val="105312C0"/>
    <w:rsid w:val="10667485"/>
    <w:rsid w:val="106D3739"/>
    <w:rsid w:val="106F0DDE"/>
    <w:rsid w:val="108300B5"/>
    <w:rsid w:val="10947BCD"/>
    <w:rsid w:val="10AA5642"/>
    <w:rsid w:val="10B534BE"/>
    <w:rsid w:val="10BD1037"/>
    <w:rsid w:val="10CF0134"/>
    <w:rsid w:val="10CF6E57"/>
    <w:rsid w:val="10D73F5D"/>
    <w:rsid w:val="10EC5C5A"/>
    <w:rsid w:val="10F175EF"/>
    <w:rsid w:val="10FC2D59"/>
    <w:rsid w:val="11010B90"/>
    <w:rsid w:val="11333889"/>
    <w:rsid w:val="116003F7"/>
    <w:rsid w:val="118C2F9A"/>
    <w:rsid w:val="1191585C"/>
    <w:rsid w:val="11993255"/>
    <w:rsid w:val="11996413"/>
    <w:rsid w:val="119F0F1F"/>
    <w:rsid w:val="11B15797"/>
    <w:rsid w:val="11BC3071"/>
    <w:rsid w:val="11D20C42"/>
    <w:rsid w:val="11DE429A"/>
    <w:rsid w:val="11E65C31"/>
    <w:rsid w:val="11EB17AE"/>
    <w:rsid w:val="11EB5F12"/>
    <w:rsid w:val="11F25B0B"/>
    <w:rsid w:val="120A2F33"/>
    <w:rsid w:val="12180B4A"/>
    <w:rsid w:val="122919D7"/>
    <w:rsid w:val="122F2EB4"/>
    <w:rsid w:val="12315F25"/>
    <w:rsid w:val="1249138C"/>
    <w:rsid w:val="1257214A"/>
    <w:rsid w:val="125B66BA"/>
    <w:rsid w:val="126B7053"/>
    <w:rsid w:val="1283439D"/>
    <w:rsid w:val="12991838"/>
    <w:rsid w:val="12A50971"/>
    <w:rsid w:val="12AA7B7B"/>
    <w:rsid w:val="12AC787C"/>
    <w:rsid w:val="12B35956"/>
    <w:rsid w:val="12B66520"/>
    <w:rsid w:val="12D06EB6"/>
    <w:rsid w:val="12E26812"/>
    <w:rsid w:val="12EF1A32"/>
    <w:rsid w:val="12FE6C66"/>
    <w:rsid w:val="13106CF4"/>
    <w:rsid w:val="131523FF"/>
    <w:rsid w:val="132711CC"/>
    <w:rsid w:val="1345619B"/>
    <w:rsid w:val="134E2172"/>
    <w:rsid w:val="13685340"/>
    <w:rsid w:val="137D5290"/>
    <w:rsid w:val="13806B2E"/>
    <w:rsid w:val="13853099"/>
    <w:rsid w:val="138E54CE"/>
    <w:rsid w:val="13A02D2C"/>
    <w:rsid w:val="13A740BB"/>
    <w:rsid w:val="13B16720"/>
    <w:rsid w:val="13B30CB1"/>
    <w:rsid w:val="13CE1647"/>
    <w:rsid w:val="13F866C4"/>
    <w:rsid w:val="140C784A"/>
    <w:rsid w:val="141F6347"/>
    <w:rsid w:val="1424570B"/>
    <w:rsid w:val="143D057B"/>
    <w:rsid w:val="144E4536"/>
    <w:rsid w:val="146F4EE8"/>
    <w:rsid w:val="147C5547"/>
    <w:rsid w:val="147D6BCA"/>
    <w:rsid w:val="148625CF"/>
    <w:rsid w:val="14967790"/>
    <w:rsid w:val="14AA3E63"/>
    <w:rsid w:val="14BE346A"/>
    <w:rsid w:val="14C03686"/>
    <w:rsid w:val="14C137FD"/>
    <w:rsid w:val="14C770F1"/>
    <w:rsid w:val="14D40EDF"/>
    <w:rsid w:val="150710FE"/>
    <w:rsid w:val="15171A24"/>
    <w:rsid w:val="152F6116"/>
    <w:rsid w:val="153B169B"/>
    <w:rsid w:val="154C4F1A"/>
    <w:rsid w:val="15632A9B"/>
    <w:rsid w:val="15772BD9"/>
    <w:rsid w:val="15A5287C"/>
    <w:rsid w:val="15A765F4"/>
    <w:rsid w:val="15AD0D52"/>
    <w:rsid w:val="15B70E0B"/>
    <w:rsid w:val="15BE749A"/>
    <w:rsid w:val="15D078F9"/>
    <w:rsid w:val="15DA30C4"/>
    <w:rsid w:val="15E1712D"/>
    <w:rsid w:val="15E72E94"/>
    <w:rsid w:val="15EE34F8"/>
    <w:rsid w:val="15FB06EE"/>
    <w:rsid w:val="161B2A19"/>
    <w:rsid w:val="161B4D57"/>
    <w:rsid w:val="1640175D"/>
    <w:rsid w:val="165A5414"/>
    <w:rsid w:val="166242C9"/>
    <w:rsid w:val="166A2F9B"/>
    <w:rsid w:val="1675197E"/>
    <w:rsid w:val="16775FC6"/>
    <w:rsid w:val="168850DA"/>
    <w:rsid w:val="16AD7C3A"/>
    <w:rsid w:val="16B9038D"/>
    <w:rsid w:val="16E12CF7"/>
    <w:rsid w:val="16E41CDD"/>
    <w:rsid w:val="16F37313"/>
    <w:rsid w:val="1700420E"/>
    <w:rsid w:val="170A0685"/>
    <w:rsid w:val="171C65D9"/>
    <w:rsid w:val="173E6AE4"/>
    <w:rsid w:val="1749390B"/>
    <w:rsid w:val="17514A69"/>
    <w:rsid w:val="175726A6"/>
    <w:rsid w:val="17580BC2"/>
    <w:rsid w:val="17651AB7"/>
    <w:rsid w:val="176F2460"/>
    <w:rsid w:val="178260B9"/>
    <w:rsid w:val="178D1819"/>
    <w:rsid w:val="17AC24F6"/>
    <w:rsid w:val="17B267DF"/>
    <w:rsid w:val="17C90F82"/>
    <w:rsid w:val="17CA65CA"/>
    <w:rsid w:val="17CF598E"/>
    <w:rsid w:val="17E2492F"/>
    <w:rsid w:val="17E86A50"/>
    <w:rsid w:val="17EE7F6C"/>
    <w:rsid w:val="17F13B56"/>
    <w:rsid w:val="17FA6EAF"/>
    <w:rsid w:val="185D743E"/>
    <w:rsid w:val="186D1161"/>
    <w:rsid w:val="186E164B"/>
    <w:rsid w:val="187121A7"/>
    <w:rsid w:val="187577DF"/>
    <w:rsid w:val="189562F3"/>
    <w:rsid w:val="189F35B2"/>
    <w:rsid w:val="18BA03EC"/>
    <w:rsid w:val="18C7014D"/>
    <w:rsid w:val="18CD45C3"/>
    <w:rsid w:val="18F002B2"/>
    <w:rsid w:val="19173A91"/>
    <w:rsid w:val="191D730F"/>
    <w:rsid w:val="1935423E"/>
    <w:rsid w:val="193D6992"/>
    <w:rsid w:val="194D0401"/>
    <w:rsid w:val="19706CFD"/>
    <w:rsid w:val="19983B78"/>
    <w:rsid w:val="19AA37E4"/>
    <w:rsid w:val="19B1359D"/>
    <w:rsid w:val="19BB441C"/>
    <w:rsid w:val="19CF1C75"/>
    <w:rsid w:val="19D53D6E"/>
    <w:rsid w:val="19D674A8"/>
    <w:rsid w:val="19DA6FC4"/>
    <w:rsid w:val="19E51F62"/>
    <w:rsid w:val="1A187AC0"/>
    <w:rsid w:val="1A1D0C33"/>
    <w:rsid w:val="1A277DAC"/>
    <w:rsid w:val="1A367F46"/>
    <w:rsid w:val="1A434E69"/>
    <w:rsid w:val="1A442663"/>
    <w:rsid w:val="1A516B2E"/>
    <w:rsid w:val="1A522E26"/>
    <w:rsid w:val="1A561E63"/>
    <w:rsid w:val="1A6D2559"/>
    <w:rsid w:val="1A803466"/>
    <w:rsid w:val="1A8312A4"/>
    <w:rsid w:val="1A884D6F"/>
    <w:rsid w:val="1A911621"/>
    <w:rsid w:val="1A971456"/>
    <w:rsid w:val="1A9938CF"/>
    <w:rsid w:val="1ABC044C"/>
    <w:rsid w:val="1AC731AE"/>
    <w:rsid w:val="1AE17EB2"/>
    <w:rsid w:val="1AE9320B"/>
    <w:rsid w:val="1AEE0821"/>
    <w:rsid w:val="1AF309F4"/>
    <w:rsid w:val="1AF35E37"/>
    <w:rsid w:val="1B153C25"/>
    <w:rsid w:val="1B1D75F9"/>
    <w:rsid w:val="1B2821E2"/>
    <w:rsid w:val="1B324BB2"/>
    <w:rsid w:val="1B416EAA"/>
    <w:rsid w:val="1B504A62"/>
    <w:rsid w:val="1B5F527B"/>
    <w:rsid w:val="1B723200"/>
    <w:rsid w:val="1B7F1479"/>
    <w:rsid w:val="1B840A40"/>
    <w:rsid w:val="1B860A5A"/>
    <w:rsid w:val="1B92247E"/>
    <w:rsid w:val="1B950C9D"/>
    <w:rsid w:val="1BBC0D95"/>
    <w:rsid w:val="1BBD091F"/>
    <w:rsid w:val="1BD822D7"/>
    <w:rsid w:val="1BE37C5A"/>
    <w:rsid w:val="1BEB5AC1"/>
    <w:rsid w:val="1C00080C"/>
    <w:rsid w:val="1C227C2A"/>
    <w:rsid w:val="1C2A3ADB"/>
    <w:rsid w:val="1C2A6A17"/>
    <w:rsid w:val="1C2E5379"/>
    <w:rsid w:val="1C3C76ED"/>
    <w:rsid w:val="1C3F500D"/>
    <w:rsid w:val="1C522951"/>
    <w:rsid w:val="1C6074FD"/>
    <w:rsid w:val="1C705992"/>
    <w:rsid w:val="1C746B04"/>
    <w:rsid w:val="1C845CEE"/>
    <w:rsid w:val="1C955EFE"/>
    <w:rsid w:val="1CA918FD"/>
    <w:rsid w:val="1CB47AB9"/>
    <w:rsid w:val="1CB6536F"/>
    <w:rsid w:val="1CC96E50"/>
    <w:rsid w:val="1CE17CA4"/>
    <w:rsid w:val="1CFD7D3F"/>
    <w:rsid w:val="1D0056FC"/>
    <w:rsid w:val="1D04432C"/>
    <w:rsid w:val="1D1D6A7F"/>
    <w:rsid w:val="1D1E3003"/>
    <w:rsid w:val="1D21088F"/>
    <w:rsid w:val="1D3976BF"/>
    <w:rsid w:val="1D412E8A"/>
    <w:rsid w:val="1D4769C0"/>
    <w:rsid w:val="1D6A476E"/>
    <w:rsid w:val="1D6C6395"/>
    <w:rsid w:val="1D7638FA"/>
    <w:rsid w:val="1D80677A"/>
    <w:rsid w:val="1DB06D6D"/>
    <w:rsid w:val="1DCF70F7"/>
    <w:rsid w:val="1DE55D42"/>
    <w:rsid w:val="1DF02E8F"/>
    <w:rsid w:val="1E08620F"/>
    <w:rsid w:val="1E0C16EA"/>
    <w:rsid w:val="1E1251AF"/>
    <w:rsid w:val="1E15776D"/>
    <w:rsid w:val="1E193955"/>
    <w:rsid w:val="1E260E02"/>
    <w:rsid w:val="1E59229C"/>
    <w:rsid w:val="1E875215"/>
    <w:rsid w:val="1EA336D1"/>
    <w:rsid w:val="1EC34D93"/>
    <w:rsid w:val="1F0108C6"/>
    <w:rsid w:val="1F176598"/>
    <w:rsid w:val="1F1E4556"/>
    <w:rsid w:val="1F205061"/>
    <w:rsid w:val="1F4903A8"/>
    <w:rsid w:val="1F4A4EB7"/>
    <w:rsid w:val="1F5A37FC"/>
    <w:rsid w:val="1F73459A"/>
    <w:rsid w:val="1F757C8F"/>
    <w:rsid w:val="1F7B1C98"/>
    <w:rsid w:val="1F844893"/>
    <w:rsid w:val="1F8E3FF9"/>
    <w:rsid w:val="1F8F201A"/>
    <w:rsid w:val="1FA6791C"/>
    <w:rsid w:val="1FAF4A23"/>
    <w:rsid w:val="1FC144EC"/>
    <w:rsid w:val="1FC14756"/>
    <w:rsid w:val="1FC61D6D"/>
    <w:rsid w:val="1FDD099E"/>
    <w:rsid w:val="1FE741BD"/>
    <w:rsid w:val="1FFD5749"/>
    <w:rsid w:val="1FFE68EE"/>
    <w:rsid w:val="200704EC"/>
    <w:rsid w:val="201E5705"/>
    <w:rsid w:val="20200378"/>
    <w:rsid w:val="20231F4B"/>
    <w:rsid w:val="20441A7E"/>
    <w:rsid w:val="204B08BC"/>
    <w:rsid w:val="20551BE1"/>
    <w:rsid w:val="205D10FC"/>
    <w:rsid w:val="20617958"/>
    <w:rsid w:val="20735A90"/>
    <w:rsid w:val="207E2611"/>
    <w:rsid w:val="20816A63"/>
    <w:rsid w:val="20893A7B"/>
    <w:rsid w:val="20914128"/>
    <w:rsid w:val="20923858"/>
    <w:rsid w:val="20AD490A"/>
    <w:rsid w:val="20C44750"/>
    <w:rsid w:val="20CC31C2"/>
    <w:rsid w:val="20F04C2B"/>
    <w:rsid w:val="211C7E96"/>
    <w:rsid w:val="2128655C"/>
    <w:rsid w:val="213276BA"/>
    <w:rsid w:val="21336F8E"/>
    <w:rsid w:val="213F3B84"/>
    <w:rsid w:val="21470C8B"/>
    <w:rsid w:val="21494A03"/>
    <w:rsid w:val="214C004F"/>
    <w:rsid w:val="215C64E4"/>
    <w:rsid w:val="216A490E"/>
    <w:rsid w:val="216D1A51"/>
    <w:rsid w:val="216E7EE7"/>
    <w:rsid w:val="218153F1"/>
    <w:rsid w:val="218344C1"/>
    <w:rsid w:val="21A9702A"/>
    <w:rsid w:val="21AE4866"/>
    <w:rsid w:val="21BE7FEE"/>
    <w:rsid w:val="21DA2741"/>
    <w:rsid w:val="21DE43DB"/>
    <w:rsid w:val="21EE1107"/>
    <w:rsid w:val="2208666C"/>
    <w:rsid w:val="22097CEF"/>
    <w:rsid w:val="220A23E4"/>
    <w:rsid w:val="2218027A"/>
    <w:rsid w:val="222039B6"/>
    <w:rsid w:val="22425E16"/>
    <w:rsid w:val="2245341D"/>
    <w:rsid w:val="22605768"/>
    <w:rsid w:val="22625F46"/>
    <w:rsid w:val="22643B2A"/>
    <w:rsid w:val="227066A0"/>
    <w:rsid w:val="227F4910"/>
    <w:rsid w:val="22806203"/>
    <w:rsid w:val="228201CD"/>
    <w:rsid w:val="2288192A"/>
    <w:rsid w:val="228D0920"/>
    <w:rsid w:val="22B934C3"/>
    <w:rsid w:val="22BD1205"/>
    <w:rsid w:val="22C75BE0"/>
    <w:rsid w:val="22C81958"/>
    <w:rsid w:val="22CF0CA2"/>
    <w:rsid w:val="23193B27"/>
    <w:rsid w:val="234047FB"/>
    <w:rsid w:val="234C4B09"/>
    <w:rsid w:val="234D7A8D"/>
    <w:rsid w:val="235A4CA6"/>
    <w:rsid w:val="236B4CFA"/>
    <w:rsid w:val="237815D0"/>
    <w:rsid w:val="23925234"/>
    <w:rsid w:val="23B13E78"/>
    <w:rsid w:val="23C44815"/>
    <w:rsid w:val="23D36806"/>
    <w:rsid w:val="23DB5B67"/>
    <w:rsid w:val="23EB70FD"/>
    <w:rsid w:val="23F72984"/>
    <w:rsid w:val="23FC5315"/>
    <w:rsid w:val="241B2B57"/>
    <w:rsid w:val="24282EAF"/>
    <w:rsid w:val="242D14B2"/>
    <w:rsid w:val="2435126F"/>
    <w:rsid w:val="2436430E"/>
    <w:rsid w:val="243A0784"/>
    <w:rsid w:val="243D7491"/>
    <w:rsid w:val="24540A05"/>
    <w:rsid w:val="24575689"/>
    <w:rsid w:val="246D0A09"/>
    <w:rsid w:val="247B1575"/>
    <w:rsid w:val="24816262"/>
    <w:rsid w:val="248A3369"/>
    <w:rsid w:val="24A02E76"/>
    <w:rsid w:val="24A25455"/>
    <w:rsid w:val="24A93D28"/>
    <w:rsid w:val="24B14D99"/>
    <w:rsid w:val="24B8719A"/>
    <w:rsid w:val="24C067DA"/>
    <w:rsid w:val="24CE594B"/>
    <w:rsid w:val="24D310D7"/>
    <w:rsid w:val="24D9609E"/>
    <w:rsid w:val="24E42A36"/>
    <w:rsid w:val="24E46F1D"/>
    <w:rsid w:val="25035EE8"/>
    <w:rsid w:val="2504136D"/>
    <w:rsid w:val="250D7AF6"/>
    <w:rsid w:val="251610A0"/>
    <w:rsid w:val="251947EC"/>
    <w:rsid w:val="251F2D2D"/>
    <w:rsid w:val="251F7F55"/>
    <w:rsid w:val="252400D7"/>
    <w:rsid w:val="25253091"/>
    <w:rsid w:val="252B4B4C"/>
    <w:rsid w:val="253A082D"/>
    <w:rsid w:val="253F5304"/>
    <w:rsid w:val="254C061E"/>
    <w:rsid w:val="2553347D"/>
    <w:rsid w:val="258124B0"/>
    <w:rsid w:val="259F4BF2"/>
    <w:rsid w:val="25A25540"/>
    <w:rsid w:val="25A7281A"/>
    <w:rsid w:val="25AF6CBE"/>
    <w:rsid w:val="25CB1E8B"/>
    <w:rsid w:val="25CF79A9"/>
    <w:rsid w:val="25E518C1"/>
    <w:rsid w:val="25E66CC5"/>
    <w:rsid w:val="25FD367F"/>
    <w:rsid w:val="26052BC0"/>
    <w:rsid w:val="261147D6"/>
    <w:rsid w:val="261A071C"/>
    <w:rsid w:val="2667528C"/>
    <w:rsid w:val="266A16A4"/>
    <w:rsid w:val="26775B6F"/>
    <w:rsid w:val="267C2231"/>
    <w:rsid w:val="26A52068"/>
    <w:rsid w:val="26BB3CAD"/>
    <w:rsid w:val="26D22DA5"/>
    <w:rsid w:val="26EB531C"/>
    <w:rsid w:val="270B5457"/>
    <w:rsid w:val="27127C4E"/>
    <w:rsid w:val="27335F39"/>
    <w:rsid w:val="273A72C8"/>
    <w:rsid w:val="273F5F9F"/>
    <w:rsid w:val="27473793"/>
    <w:rsid w:val="27480ED7"/>
    <w:rsid w:val="274A360B"/>
    <w:rsid w:val="275342F2"/>
    <w:rsid w:val="275F6D2E"/>
    <w:rsid w:val="27785720"/>
    <w:rsid w:val="27873B8F"/>
    <w:rsid w:val="27AA05EE"/>
    <w:rsid w:val="27AE3812"/>
    <w:rsid w:val="27BA7422"/>
    <w:rsid w:val="27BB7821"/>
    <w:rsid w:val="27CB4689"/>
    <w:rsid w:val="27D16310"/>
    <w:rsid w:val="27D33586"/>
    <w:rsid w:val="27F47C97"/>
    <w:rsid w:val="282547CF"/>
    <w:rsid w:val="283006CB"/>
    <w:rsid w:val="28681C13"/>
    <w:rsid w:val="28791E9B"/>
    <w:rsid w:val="287B1564"/>
    <w:rsid w:val="287C21CB"/>
    <w:rsid w:val="28924EE2"/>
    <w:rsid w:val="289522DC"/>
    <w:rsid w:val="28A434BB"/>
    <w:rsid w:val="28B210E0"/>
    <w:rsid w:val="28CD1A76"/>
    <w:rsid w:val="28D9041B"/>
    <w:rsid w:val="28DC7AC9"/>
    <w:rsid w:val="29112DAA"/>
    <w:rsid w:val="29152DF2"/>
    <w:rsid w:val="291F5BEE"/>
    <w:rsid w:val="292875F4"/>
    <w:rsid w:val="29300AF6"/>
    <w:rsid w:val="29543F45"/>
    <w:rsid w:val="29820AB2"/>
    <w:rsid w:val="29932CBF"/>
    <w:rsid w:val="29C70504"/>
    <w:rsid w:val="29C81536"/>
    <w:rsid w:val="29CE019B"/>
    <w:rsid w:val="29E63897"/>
    <w:rsid w:val="2A2B114A"/>
    <w:rsid w:val="2A3A313B"/>
    <w:rsid w:val="2A3C5105"/>
    <w:rsid w:val="2A443FBA"/>
    <w:rsid w:val="2A68414C"/>
    <w:rsid w:val="2A756869"/>
    <w:rsid w:val="2A7A03B2"/>
    <w:rsid w:val="2AA131BA"/>
    <w:rsid w:val="2AA607D0"/>
    <w:rsid w:val="2ABA3B39"/>
    <w:rsid w:val="2ABC34C5"/>
    <w:rsid w:val="2AE412F9"/>
    <w:rsid w:val="2AED1D1B"/>
    <w:rsid w:val="2AED4651"/>
    <w:rsid w:val="2B23372B"/>
    <w:rsid w:val="2B253B60"/>
    <w:rsid w:val="2B2F4C6A"/>
    <w:rsid w:val="2B3B2925"/>
    <w:rsid w:val="2B7F321F"/>
    <w:rsid w:val="2B8535C3"/>
    <w:rsid w:val="2B8F5708"/>
    <w:rsid w:val="2B9E7C40"/>
    <w:rsid w:val="2BAF5A0A"/>
    <w:rsid w:val="2BB93165"/>
    <w:rsid w:val="2BC00E3F"/>
    <w:rsid w:val="2BCA04EF"/>
    <w:rsid w:val="2BDF043E"/>
    <w:rsid w:val="2BE27F2E"/>
    <w:rsid w:val="2BE37B42"/>
    <w:rsid w:val="2C0C6D59"/>
    <w:rsid w:val="2C0F23A5"/>
    <w:rsid w:val="2C167BD8"/>
    <w:rsid w:val="2C320353"/>
    <w:rsid w:val="2C3C3385"/>
    <w:rsid w:val="2C3C763E"/>
    <w:rsid w:val="2C5C1A8E"/>
    <w:rsid w:val="2C69776A"/>
    <w:rsid w:val="2C7F3E5F"/>
    <w:rsid w:val="2C8E3C12"/>
    <w:rsid w:val="2CA6414A"/>
    <w:rsid w:val="2CAB100E"/>
    <w:rsid w:val="2CB01DDA"/>
    <w:rsid w:val="2CB5119F"/>
    <w:rsid w:val="2CBD1A36"/>
    <w:rsid w:val="2CC35C05"/>
    <w:rsid w:val="2CCE39C3"/>
    <w:rsid w:val="2CE455E0"/>
    <w:rsid w:val="2D067C4C"/>
    <w:rsid w:val="2D0E402F"/>
    <w:rsid w:val="2D2105E2"/>
    <w:rsid w:val="2D262B70"/>
    <w:rsid w:val="2D2A393B"/>
    <w:rsid w:val="2D46405C"/>
    <w:rsid w:val="2D4B38B1"/>
    <w:rsid w:val="2D597D7C"/>
    <w:rsid w:val="2D6E6C3A"/>
    <w:rsid w:val="2D6F5DB1"/>
    <w:rsid w:val="2DBB340D"/>
    <w:rsid w:val="2DD438A6"/>
    <w:rsid w:val="2DDC0067"/>
    <w:rsid w:val="2DDC71BD"/>
    <w:rsid w:val="2DE75388"/>
    <w:rsid w:val="2DE94467"/>
    <w:rsid w:val="2DF8529B"/>
    <w:rsid w:val="2E0D18A7"/>
    <w:rsid w:val="2E2D6E98"/>
    <w:rsid w:val="2E3B6964"/>
    <w:rsid w:val="2E5A68F3"/>
    <w:rsid w:val="2E5E2993"/>
    <w:rsid w:val="2E624156"/>
    <w:rsid w:val="2E644C2A"/>
    <w:rsid w:val="2E8C6DE5"/>
    <w:rsid w:val="2E9021DA"/>
    <w:rsid w:val="2EDA313F"/>
    <w:rsid w:val="2EE7436B"/>
    <w:rsid w:val="2EED5566"/>
    <w:rsid w:val="2EEF4086"/>
    <w:rsid w:val="2F02233A"/>
    <w:rsid w:val="2F0E55FD"/>
    <w:rsid w:val="2F144373"/>
    <w:rsid w:val="2F193C67"/>
    <w:rsid w:val="2F2919D0"/>
    <w:rsid w:val="2F3A4F18"/>
    <w:rsid w:val="2F3B4111"/>
    <w:rsid w:val="2F437F16"/>
    <w:rsid w:val="2F471E49"/>
    <w:rsid w:val="2F5800FF"/>
    <w:rsid w:val="2F5E5B1E"/>
    <w:rsid w:val="2F6745EE"/>
    <w:rsid w:val="2F71017C"/>
    <w:rsid w:val="2F940688"/>
    <w:rsid w:val="2FBE2849"/>
    <w:rsid w:val="2FCE65FE"/>
    <w:rsid w:val="2FD21AC7"/>
    <w:rsid w:val="2FD656B4"/>
    <w:rsid w:val="2FE511E5"/>
    <w:rsid w:val="2FF72603"/>
    <w:rsid w:val="2FFC1274"/>
    <w:rsid w:val="30085A89"/>
    <w:rsid w:val="301616C0"/>
    <w:rsid w:val="301C4EC1"/>
    <w:rsid w:val="301E705B"/>
    <w:rsid w:val="30324E05"/>
    <w:rsid w:val="303A55E3"/>
    <w:rsid w:val="303A69A3"/>
    <w:rsid w:val="307A6987"/>
    <w:rsid w:val="307F3FBF"/>
    <w:rsid w:val="30851CF4"/>
    <w:rsid w:val="30890978"/>
    <w:rsid w:val="30976EE9"/>
    <w:rsid w:val="309D6271"/>
    <w:rsid w:val="30CD2F5B"/>
    <w:rsid w:val="30F4643D"/>
    <w:rsid w:val="31124E12"/>
    <w:rsid w:val="31172428"/>
    <w:rsid w:val="311B7D98"/>
    <w:rsid w:val="314115B0"/>
    <w:rsid w:val="314E47F2"/>
    <w:rsid w:val="314E67CE"/>
    <w:rsid w:val="31523460"/>
    <w:rsid w:val="31772EC7"/>
    <w:rsid w:val="318C784B"/>
    <w:rsid w:val="319470CE"/>
    <w:rsid w:val="31A66DB7"/>
    <w:rsid w:val="31A812D2"/>
    <w:rsid w:val="31D42A70"/>
    <w:rsid w:val="31D9148B"/>
    <w:rsid w:val="31D9592F"/>
    <w:rsid w:val="320209E2"/>
    <w:rsid w:val="32175A53"/>
    <w:rsid w:val="32285192"/>
    <w:rsid w:val="322A5797"/>
    <w:rsid w:val="32305D43"/>
    <w:rsid w:val="32352E0B"/>
    <w:rsid w:val="323D1A1A"/>
    <w:rsid w:val="32427031"/>
    <w:rsid w:val="32483F8C"/>
    <w:rsid w:val="327E1E99"/>
    <w:rsid w:val="3283114D"/>
    <w:rsid w:val="329655CE"/>
    <w:rsid w:val="32990C1B"/>
    <w:rsid w:val="32A92521"/>
    <w:rsid w:val="32B141B6"/>
    <w:rsid w:val="32B910BD"/>
    <w:rsid w:val="32E7407C"/>
    <w:rsid w:val="32F720D2"/>
    <w:rsid w:val="33210306"/>
    <w:rsid w:val="33597F69"/>
    <w:rsid w:val="335F4901"/>
    <w:rsid w:val="33730CED"/>
    <w:rsid w:val="33790A87"/>
    <w:rsid w:val="337F6063"/>
    <w:rsid w:val="33A9221C"/>
    <w:rsid w:val="33B26438"/>
    <w:rsid w:val="33C67AF1"/>
    <w:rsid w:val="33D15DFC"/>
    <w:rsid w:val="33E74334"/>
    <w:rsid w:val="33F6401E"/>
    <w:rsid w:val="340C5B48"/>
    <w:rsid w:val="341B3976"/>
    <w:rsid w:val="34215894"/>
    <w:rsid w:val="342D5ABF"/>
    <w:rsid w:val="34390907"/>
    <w:rsid w:val="343917A7"/>
    <w:rsid w:val="343B642D"/>
    <w:rsid w:val="34401C96"/>
    <w:rsid w:val="344B3822"/>
    <w:rsid w:val="346A03D6"/>
    <w:rsid w:val="34733E19"/>
    <w:rsid w:val="348E47AF"/>
    <w:rsid w:val="348F6779"/>
    <w:rsid w:val="34A444F8"/>
    <w:rsid w:val="34BA37F6"/>
    <w:rsid w:val="34D0301A"/>
    <w:rsid w:val="34F657F1"/>
    <w:rsid w:val="35042CC3"/>
    <w:rsid w:val="35056FDB"/>
    <w:rsid w:val="352356B7"/>
    <w:rsid w:val="352430C5"/>
    <w:rsid w:val="352A1B87"/>
    <w:rsid w:val="354857DD"/>
    <w:rsid w:val="35491515"/>
    <w:rsid w:val="355002A9"/>
    <w:rsid w:val="35591191"/>
    <w:rsid w:val="355B630F"/>
    <w:rsid w:val="356C2617"/>
    <w:rsid w:val="3589141A"/>
    <w:rsid w:val="35907231"/>
    <w:rsid w:val="35957DBF"/>
    <w:rsid w:val="35A91A40"/>
    <w:rsid w:val="35C82DCB"/>
    <w:rsid w:val="35D94150"/>
    <w:rsid w:val="35E054DE"/>
    <w:rsid w:val="35E11C36"/>
    <w:rsid w:val="35E6061B"/>
    <w:rsid w:val="35E937D9"/>
    <w:rsid w:val="35EA1EB9"/>
    <w:rsid w:val="35EE5A12"/>
    <w:rsid w:val="35F42D38"/>
    <w:rsid w:val="35F9661F"/>
    <w:rsid w:val="36357970"/>
    <w:rsid w:val="36502880"/>
    <w:rsid w:val="36702397"/>
    <w:rsid w:val="36785717"/>
    <w:rsid w:val="36861E2A"/>
    <w:rsid w:val="368C2F70"/>
    <w:rsid w:val="36931675"/>
    <w:rsid w:val="369E4E88"/>
    <w:rsid w:val="36BA5D2F"/>
    <w:rsid w:val="36C3183B"/>
    <w:rsid w:val="36CA3FD5"/>
    <w:rsid w:val="36D32BC4"/>
    <w:rsid w:val="36D57645"/>
    <w:rsid w:val="36D84169"/>
    <w:rsid w:val="36E27034"/>
    <w:rsid w:val="36E357DD"/>
    <w:rsid w:val="36EC1C61"/>
    <w:rsid w:val="36FD3E6E"/>
    <w:rsid w:val="37061D90"/>
    <w:rsid w:val="3723041E"/>
    <w:rsid w:val="372C09BB"/>
    <w:rsid w:val="372E4027"/>
    <w:rsid w:val="373359BC"/>
    <w:rsid w:val="373F38EC"/>
    <w:rsid w:val="37435AD9"/>
    <w:rsid w:val="3772660A"/>
    <w:rsid w:val="378C0ACE"/>
    <w:rsid w:val="378E3483"/>
    <w:rsid w:val="37AE07C9"/>
    <w:rsid w:val="37B1030C"/>
    <w:rsid w:val="37C130EE"/>
    <w:rsid w:val="37D32856"/>
    <w:rsid w:val="37D56B99"/>
    <w:rsid w:val="37EA0E8A"/>
    <w:rsid w:val="37F044C4"/>
    <w:rsid w:val="37F76B0F"/>
    <w:rsid w:val="37FB65FF"/>
    <w:rsid w:val="380A4D6F"/>
    <w:rsid w:val="382756A7"/>
    <w:rsid w:val="382B0F89"/>
    <w:rsid w:val="38330ECB"/>
    <w:rsid w:val="384076A0"/>
    <w:rsid w:val="384D4981"/>
    <w:rsid w:val="38546EE5"/>
    <w:rsid w:val="38653A79"/>
    <w:rsid w:val="386E0B87"/>
    <w:rsid w:val="388C54AA"/>
    <w:rsid w:val="388D4D7E"/>
    <w:rsid w:val="38922057"/>
    <w:rsid w:val="38926838"/>
    <w:rsid w:val="389649D1"/>
    <w:rsid w:val="38A04AB1"/>
    <w:rsid w:val="38AF0094"/>
    <w:rsid w:val="38C06F01"/>
    <w:rsid w:val="38CD02C9"/>
    <w:rsid w:val="38D20AB2"/>
    <w:rsid w:val="38E62960"/>
    <w:rsid w:val="38F24410"/>
    <w:rsid w:val="38F878E3"/>
    <w:rsid w:val="39002C48"/>
    <w:rsid w:val="392A6571"/>
    <w:rsid w:val="392E7CBB"/>
    <w:rsid w:val="39491474"/>
    <w:rsid w:val="394F29FB"/>
    <w:rsid w:val="394F6EEF"/>
    <w:rsid w:val="395D2841"/>
    <w:rsid w:val="3962403C"/>
    <w:rsid w:val="39861EF9"/>
    <w:rsid w:val="39972389"/>
    <w:rsid w:val="39992370"/>
    <w:rsid w:val="39B623FC"/>
    <w:rsid w:val="39CE38A0"/>
    <w:rsid w:val="39E41962"/>
    <w:rsid w:val="39F41C17"/>
    <w:rsid w:val="39F82E28"/>
    <w:rsid w:val="3A06128C"/>
    <w:rsid w:val="3A0D1D6D"/>
    <w:rsid w:val="3A292D35"/>
    <w:rsid w:val="3A444DD8"/>
    <w:rsid w:val="3A483652"/>
    <w:rsid w:val="3A4B3142"/>
    <w:rsid w:val="3A4E344D"/>
    <w:rsid w:val="3A566C0D"/>
    <w:rsid w:val="3A5C3863"/>
    <w:rsid w:val="3A62086F"/>
    <w:rsid w:val="3A6855F4"/>
    <w:rsid w:val="3A6C2756"/>
    <w:rsid w:val="3A7C30C8"/>
    <w:rsid w:val="3A86417A"/>
    <w:rsid w:val="3A8831B3"/>
    <w:rsid w:val="3AA249DB"/>
    <w:rsid w:val="3AAB773B"/>
    <w:rsid w:val="3AAC1E33"/>
    <w:rsid w:val="3AAD1707"/>
    <w:rsid w:val="3ABC5444"/>
    <w:rsid w:val="3AC54CA3"/>
    <w:rsid w:val="3AD14283"/>
    <w:rsid w:val="3AD27464"/>
    <w:rsid w:val="3AE07523"/>
    <w:rsid w:val="3AEA6C56"/>
    <w:rsid w:val="3AEB02BA"/>
    <w:rsid w:val="3AFA733F"/>
    <w:rsid w:val="3AFD61EB"/>
    <w:rsid w:val="3B0A35A1"/>
    <w:rsid w:val="3B0B3DCA"/>
    <w:rsid w:val="3B0E664A"/>
    <w:rsid w:val="3B1376D3"/>
    <w:rsid w:val="3B423C35"/>
    <w:rsid w:val="3B64018B"/>
    <w:rsid w:val="3B6439C5"/>
    <w:rsid w:val="3B691AD2"/>
    <w:rsid w:val="3B7C13A7"/>
    <w:rsid w:val="3B7D557D"/>
    <w:rsid w:val="3BAC19BF"/>
    <w:rsid w:val="3BCB0097"/>
    <w:rsid w:val="3BD90747"/>
    <w:rsid w:val="3BF127CF"/>
    <w:rsid w:val="3BFF2436"/>
    <w:rsid w:val="3C1F4F04"/>
    <w:rsid w:val="3C2B3455"/>
    <w:rsid w:val="3C3245BA"/>
    <w:rsid w:val="3C4452EA"/>
    <w:rsid w:val="3C464141"/>
    <w:rsid w:val="3C612668"/>
    <w:rsid w:val="3C6715EB"/>
    <w:rsid w:val="3C6978B0"/>
    <w:rsid w:val="3C6F136A"/>
    <w:rsid w:val="3C7A4FBF"/>
    <w:rsid w:val="3C8A61A4"/>
    <w:rsid w:val="3C907C41"/>
    <w:rsid w:val="3C9708C1"/>
    <w:rsid w:val="3CBE7C2A"/>
    <w:rsid w:val="3CFA149C"/>
    <w:rsid w:val="3CFC24D2"/>
    <w:rsid w:val="3D112421"/>
    <w:rsid w:val="3D123350"/>
    <w:rsid w:val="3D21089D"/>
    <w:rsid w:val="3D522145"/>
    <w:rsid w:val="3D5C372C"/>
    <w:rsid w:val="3D7209B7"/>
    <w:rsid w:val="3DAE5EC2"/>
    <w:rsid w:val="3DCD3D2E"/>
    <w:rsid w:val="3DD54B04"/>
    <w:rsid w:val="3DF13356"/>
    <w:rsid w:val="3E157CEF"/>
    <w:rsid w:val="3E2666F0"/>
    <w:rsid w:val="3E2912D3"/>
    <w:rsid w:val="3E2E290C"/>
    <w:rsid w:val="3E375E63"/>
    <w:rsid w:val="3E424F3B"/>
    <w:rsid w:val="3E593570"/>
    <w:rsid w:val="3E695620"/>
    <w:rsid w:val="3E704F26"/>
    <w:rsid w:val="3E7129E2"/>
    <w:rsid w:val="3E9C1A5E"/>
    <w:rsid w:val="3E9E7939"/>
    <w:rsid w:val="3EB048E1"/>
    <w:rsid w:val="3EE31B9B"/>
    <w:rsid w:val="3EED2A1A"/>
    <w:rsid w:val="3EF73D4C"/>
    <w:rsid w:val="3F0D4E6A"/>
    <w:rsid w:val="3F0E6C52"/>
    <w:rsid w:val="3F395C5F"/>
    <w:rsid w:val="3F406FEE"/>
    <w:rsid w:val="3F473ED8"/>
    <w:rsid w:val="3F4A3BF3"/>
    <w:rsid w:val="3F984A9B"/>
    <w:rsid w:val="3F9A6A78"/>
    <w:rsid w:val="3F9C7353"/>
    <w:rsid w:val="3FBD6E1D"/>
    <w:rsid w:val="3FC079B0"/>
    <w:rsid w:val="3FD15600"/>
    <w:rsid w:val="3FD339BE"/>
    <w:rsid w:val="3FE42B8F"/>
    <w:rsid w:val="3FEC2C74"/>
    <w:rsid w:val="400C0C7E"/>
    <w:rsid w:val="40104060"/>
    <w:rsid w:val="403170D2"/>
    <w:rsid w:val="4057229B"/>
    <w:rsid w:val="40690EF3"/>
    <w:rsid w:val="40866647"/>
    <w:rsid w:val="408C2B44"/>
    <w:rsid w:val="40A11D0E"/>
    <w:rsid w:val="40D572C9"/>
    <w:rsid w:val="40D8488C"/>
    <w:rsid w:val="40EF6094"/>
    <w:rsid w:val="40FA4A80"/>
    <w:rsid w:val="41005AE4"/>
    <w:rsid w:val="41087276"/>
    <w:rsid w:val="41166258"/>
    <w:rsid w:val="411D7259"/>
    <w:rsid w:val="413761CE"/>
    <w:rsid w:val="41384420"/>
    <w:rsid w:val="41385DCA"/>
    <w:rsid w:val="413875BE"/>
    <w:rsid w:val="414546A9"/>
    <w:rsid w:val="415428DD"/>
    <w:rsid w:val="415579C8"/>
    <w:rsid w:val="41763DF0"/>
    <w:rsid w:val="4182744A"/>
    <w:rsid w:val="41833D2F"/>
    <w:rsid w:val="41867FAB"/>
    <w:rsid w:val="418D5088"/>
    <w:rsid w:val="41923405"/>
    <w:rsid w:val="41D42244"/>
    <w:rsid w:val="42104030"/>
    <w:rsid w:val="421A58D4"/>
    <w:rsid w:val="423C1CEE"/>
    <w:rsid w:val="423F2F75"/>
    <w:rsid w:val="424741EF"/>
    <w:rsid w:val="4269060A"/>
    <w:rsid w:val="428656E6"/>
    <w:rsid w:val="428B4BBB"/>
    <w:rsid w:val="429A4C67"/>
    <w:rsid w:val="429E1CC4"/>
    <w:rsid w:val="42A93E23"/>
    <w:rsid w:val="42B126F4"/>
    <w:rsid w:val="42C955C4"/>
    <w:rsid w:val="42DF6B1E"/>
    <w:rsid w:val="42E02E70"/>
    <w:rsid w:val="42F02A85"/>
    <w:rsid w:val="43010842"/>
    <w:rsid w:val="43030A5E"/>
    <w:rsid w:val="431F6B77"/>
    <w:rsid w:val="43254E0A"/>
    <w:rsid w:val="432F6182"/>
    <w:rsid w:val="433C5D1E"/>
    <w:rsid w:val="435117C9"/>
    <w:rsid w:val="43590F9F"/>
    <w:rsid w:val="43682374"/>
    <w:rsid w:val="43752C59"/>
    <w:rsid w:val="439711A6"/>
    <w:rsid w:val="439B47F0"/>
    <w:rsid w:val="439C4B3A"/>
    <w:rsid w:val="43AA2C88"/>
    <w:rsid w:val="43B7644D"/>
    <w:rsid w:val="43B9736F"/>
    <w:rsid w:val="43DA3242"/>
    <w:rsid w:val="43E3619A"/>
    <w:rsid w:val="43E4263E"/>
    <w:rsid w:val="43EC14F2"/>
    <w:rsid w:val="43F92974"/>
    <w:rsid w:val="440B20A3"/>
    <w:rsid w:val="440D50C0"/>
    <w:rsid w:val="442476DF"/>
    <w:rsid w:val="44354C47"/>
    <w:rsid w:val="447A6AFE"/>
    <w:rsid w:val="447C6FB3"/>
    <w:rsid w:val="44C549B1"/>
    <w:rsid w:val="44CB2135"/>
    <w:rsid w:val="44DA6522"/>
    <w:rsid w:val="44EB17AA"/>
    <w:rsid w:val="45140605"/>
    <w:rsid w:val="451423C8"/>
    <w:rsid w:val="45156827"/>
    <w:rsid w:val="45357EA7"/>
    <w:rsid w:val="45381F6A"/>
    <w:rsid w:val="453E579E"/>
    <w:rsid w:val="4554734F"/>
    <w:rsid w:val="455728E7"/>
    <w:rsid w:val="456450B8"/>
    <w:rsid w:val="45742F73"/>
    <w:rsid w:val="457C56D2"/>
    <w:rsid w:val="45863281"/>
    <w:rsid w:val="45930FD8"/>
    <w:rsid w:val="459C2AA4"/>
    <w:rsid w:val="459C4852"/>
    <w:rsid w:val="45C03175"/>
    <w:rsid w:val="45C33F05"/>
    <w:rsid w:val="45DF2E6F"/>
    <w:rsid w:val="460D6DBB"/>
    <w:rsid w:val="46210503"/>
    <w:rsid w:val="46233600"/>
    <w:rsid w:val="464718FA"/>
    <w:rsid w:val="464D7C37"/>
    <w:rsid w:val="465807D8"/>
    <w:rsid w:val="466054DD"/>
    <w:rsid w:val="46630BE5"/>
    <w:rsid w:val="466C2476"/>
    <w:rsid w:val="467F76B7"/>
    <w:rsid w:val="468D4D64"/>
    <w:rsid w:val="46B10A69"/>
    <w:rsid w:val="46B67B95"/>
    <w:rsid w:val="46BD0F24"/>
    <w:rsid w:val="46CC73B9"/>
    <w:rsid w:val="46CE00E2"/>
    <w:rsid w:val="46DF533E"/>
    <w:rsid w:val="46F72221"/>
    <w:rsid w:val="470D1EAB"/>
    <w:rsid w:val="4731733A"/>
    <w:rsid w:val="473531B0"/>
    <w:rsid w:val="474F4756"/>
    <w:rsid w:val="47525B10"/>
    <w:rsid w:val="47635AD3"/>
    <w:rsid w:val="47714285"/>
    <w:rsid w:val="477C493B"/>
    <w:rsid w:val="47817245"/>
    <w:rsid w:val="478A0387"/>
    <w:rsid w:val="4790481A"/>
    <w:rsid w:val="47B7562E"/>
    <w:rsid w:val="47D26C51"/>
    <w:rsid w:val="48074B4D"/>
    <w:rsid w:val="480F1EC9"/>
    <w:rsid w:val="48141018"/>
    <w:rsid w:val="481D7ECC"/>
    <w:rsid w:val="48496975"/>
    <w:rsid w:val="48544469"/>
    <w:rsid w:val="485F6737"/>
    <w:rsid w:val="4860600B"/>
    <w:rsid w:val="48A524D6"/>
    <w:rsid w:val="48B107FE"/>
    <w:rsid w:val="48B55B04"/>
    <w:rsid w:val="48BE3A78"/>
    <w:rsid w:val="48C5233D"/>
    <w:rsid w:val="48D31CFC"/>
    <w:rsid w:val="48E3079F"/>
    <w:rsid w:val="48E96000"/>
    <w:rsid w:val="48FA4DDF"/>
    <w:rsid w:val="490A3D86"/>
    <w:rsid w:val="490E1F0B"/>
    <w:rsid w:val="490E5212"/>
    <w:rsid w:val="4923197F"/>
    <w:rsid w:val="49253E0D"/>
    <w:rsid w:val="493E4DB3"/>
    <w:rsid w:val="49415E3C"/>
    <w:rsid w:val="495C67D2"/>
    <w:rsid w:val="497B21FD"/>
    <w:rsid w:val="498A5FA0"/>
    <w:rsid w:val="49900E4D"/>
    <w:rsid w:val="499235A7"/>
    <w:rsid w:val="49926698"/>
    <w:rsid w:val="4994287C"/>
    <w:rsid w:val="499A72FA"/>
    <w:rsid w:val="499D55DA"/>
    <w:rsid w:val="49BA63C5"/>
    <w:rsid w:val="49BF787B"/>
    <w:rsid w:val="49C16F7D"/>
    <w:rsid w:val="49C34AA3"/>
    <w:rsid w:val="49D722FD"/>
    <w:rsid w:val="49F106EA"/>
    <w:rsid w:val="4A1505F1"/>
    <w:rsid w:val="4A2512BA"/>
    <w:rsid w:val="4A2914F0"/>
    <w:rsid w:val="4A4A4E5B"/>
    <w:rsid w:val="4A51799A"/>
    <w:rsid w:val="4A534079"/>
    <w:rsid w:val="4A5D4EF8"/>
    <w:rsid w:val="4A6504DB"/>
    <w:rsid w:val="4A6F2535"/>
    <w:rsid w:val="4A7624AE"/>
    <w:rsid w:val="4A8F2B15"/>
    <w:rsid w:val="4A946D0B"/>
    <w:rsid w:val="4AD26874"/>
    <w:rsid w:val="4AD2726D"/>
    <w:rsid w:val="4AD37E33"/>
    <w:rsid w:val="4ADB406F"/>
    <w:rsid w:val="4AEE6C7F"/>
    <w:rsid w:val="4AF02A1A"/>
    <w:rsid w:val="4AFF3C9F"/>
    <w:rsid w:val="4B0E1D4E"/>
    <w:rsid w:val="4B1A277C"/>
    <w:rsid w:val="4B26353C"/>
    <w:rsid w:val="4B2C2005"/>
    <w:rsid w:val="4B3612A5"/>
    <w:rsid w:val="4B456126"/>
    <w:rsid w:val="4B486B70"/>
    <w:rsid w:val="4B590614"/>
    <w:rsid w:val="4B5E7FC8"/>
    <w:rsid w:val="4B7517C6"/>
    <w:rsid w:val="4B7E5126"/>
    <w:rsid w:val="4BD72A88"/>
    <w:rsid w:val="4BEB413A"/>
    <w:rsid w:val="4BED333F"/>
    <w:rsid w:val="4C1700EA"/>
    <w:rsid w:val="4C237A7B"/>
    <w:rsid w:val="4C243FFB"/>
    <w:rsid w:val="4C340840"/>
    <w:rsid w:val="4C60248D"/>
    <w:rsid w:val="4C681932"/>
    <w:rsid w:val="4C6D519A"/>
    <w:rsid w:val="4C757275"/>
    <w:rsid w:val="4C8B5A37"/>
    <w:rsid w:val="4C934C01"/>
    <w:rsid w:val="4CB3795B"/>
    <w:rsid w:val="4CB90A69"/>
    <w:rsid w:val="4CCE170B"/>
    <w:rsid w:val="4CCE651D"/>
    <w:rsid w:val="4CE74F4D"/>
    <w:rsid w:val="4CE77282"/>
    <w:rsid w:val="4CEF5BAF"/>
    <w:rsid w:val="4CF55DDD"/>
    <w:rsid w:val="4CF6653F"/>
    <w:rsid w:val="4D21197D"/>
    <w:rsid w:val="4D3A32CE"/>
    <w:rsid w:val="4D40640B"/>
    <w:rsid w:val="4D4C3002"/>
    <w:rsid w:val="4D4E28D6"/>
    <w:rsid w:val="4D520C70"/>
    <w:rsid w:val="4D530E6D"/>
    <w:rsid w:val="4D8E76F0"/>
    <w:rsid w:val="4D941AB6"/>
    <w:rsid w:val="4DDD4F39"/>
    <w:rsid w:val="4DF55447"/>
    <w:rsid w:val="4E0845BC"/>
    <w:rsid w:val="4E140649"/>
    <w:rsid w:val="4E1526DE"/>
    <w:rsid w:val="4E157897"/>
    <w:rsid w:val="4E1B3100"/>
    <w:rsid w:val="4E1D515C"/>
    <w:rsid w:val="4E1E674C"/>
    <w:rsid w:val="4E395334"/>
    <w:rsid w:val="4E677F11"/>
    <w:rsid w:val="4E6860D1"/>
    <w:rsid w:val="4E7B2218"/>
    <w:rsid w:val="4E7D7917"/>
    <w:rsid w:val="4E8A1358"/>
    <w:rsid w:val="4EAF1A9A"/>
    <w:rsid w:val="4EC15329"/>
    <w:rsid w:val="4ECC7F56"/>
    <w:rsid w:val="4EE05A78"/>
    <w:rsid w:val="4EE259CC"/>
    <w:rsid w:val="4EF922EB"/>
    <w:rsid w:val="4F0267AA"/>
    <w:rsid w:val="4F1E507C"/>
    <w:rsid w:val="4F5569E7"/>
    <w:rsid w:val="4F61663F"/>
    <w:rsid w:val="4F665BF0"/>
    <w:rsid w:val="4F7D74A2"/>
    <w:rsid w:val="4F7F4C1F"/>
    <w:rsid w:val="4F8B7E11"/>
    <w:rsid w:val="4F97191D"/>
    <w:rsid w:val="4F9B5916"/>
    <w:rsid w:val="4F9C19A5"/>
    <w:rsid w:val="4FAE5F38"/>
    <w:rsid w:val="4FBA6523"/>
    <w:rsid w:val="4FC85097"/>
    <w:rsid w:val="4FC91C15"/>
    <w:rsid w:val="4FE20C84"/>
    <w:rsid w:val="4FE453DF"/>
    <w:rsid w:val="4FF25D0D"/>
    <w:rsid w:val="50021977"/>
    <w:rsid w:val="50083210"/>
    <w:rsid w:val="50142147"/>
    <w:rsid w:val="50223F1C"/>
    <w:rsid w:val="50402C22"/>
    <w:rsid w:val="50615016"/>
    <w:rsid w:val="50AD7D73"/>
    <w:rsid w:val="50C35389"/>
    <w:rsid w:val="50D90C4E"/>
    <w:rsid w:val="51047380"/>
    <w:rsid w:val="51124B2F"/>
    <w:rsid w:val="5118337F"/>
    <w:rsid w:val="511A2CB0"/>
    <w:rsid w:val="511C3C88"/>
    <w:rsid w:val="51334A27"/>
    <w:rsid w:val="513C773E"/>
    <w:rsid w:val="51414079"/>
    <w:rsid w:val="51422751"/>
    <w:rsid w:val="515801C7"/>
    <w:rsid w:val="51613C29"/>
    <w:rsid w:val="518F3D75"/>
    <w:rsid w:val="51982002"/>
    <w:rsid w:val="519D0246"/>
    <w:rsid w:val="519F5DF6"/>
    <w:rsid w:val="51AF7918"/>
    <w:rsid w:val="51B1634B"/>
    <w:rsid w:val="51B955D7"/>
    <w:rsid w:val="51BE0B1B"/>
    <w:rsid w:val="51C615D4"/>
    <w:rsid w:val="51DE1E78"/>
    <w:rsid w:val="51F355B1"/>
    <w:rsid w:val="51F84318"/>
    <w:rsid w:val="520A0528"/>
    <w:rsid w:val="520C2D5F"/>
    <w:rsid w:val="52521CF7"/>
    <w:rsid w:val="52564BD9"/>
    <w:rsid w:val="525941F7"/>
    <w:rsid w:val="525E7A5F"/>
    <w:rsid w:val="526669A8"/>
    <w:rsid w:val="52675B8D"/>
    <w:rsid w:val="527241AD"/>
    <w:rsid w:val="527E0EE4"/>
    <w:rsid w:val="528B0206"/>
    <w:rsid w:val="52912185"/>
    <w:rsid w:val="529B6AB0"/>
    <w:rsid w:val="52B676BD"/>
    <w:rsid w:val="52B71E63"/>
    <w:rsid w:val="52C5188C"/>
    <w:rsid w:val="52D54110"/>
    <w:rsid w:val="52DD67AD"/>
    <w:rsid w:val="52EB3254"/>
    <w:rsid w:val="52EC6713"/>
    <w:rsid w:val="52F0216A"/>
    <w:rsid w:val="52F57B6D"/>
    <w:rsid w:val="534B4B65"/>
    <w:rsid w:val="536A7743"/>
    <w:rsid w:val="537E71F5"/>
    <w:rsid w:val="537F7C8D"/>
    <w:rsid w:val="53BA6F17"/>
    <w:rsid w:val="53CE4211"/>
    <w:rsid w:val="53D87852"/>
    <w:rsid w:val="53E9082C"/>
    <w:rsid w:val="53EC7FFD"/>
    <w:rsid w:val="53F141CB"/>
    <w:rsid w:val="53FE630D"/>
    <w:rsid w:val="53FF492A"/>
    <w:rsid w:val="54041F40"/>
    <w:rsid w:val="540D34EB"/>
    <w:rsid w:val="543842E0"/>
    <w:rsid w:val="544833A9"/>
    <w:rsid w:val="5478258E"/>
    <w:rsid w:val="547B1B12"/>
    <w:rsid w:val="54880235"/>
    <w:rsid w:val="54A0653C"/>
    <w:rsid w:val="54A974FB"/>
    <w:rsid w:val="54B25E40"/>
    <w:rsid w:val="54B351DD"/>
    <w:rsid w:val="54CD1A2D"/>
    <w:rsid w:val="54CE06DA"/>
    <w:rsid w:val="54CF69F2"/>
    <w:rsid w:val="54D6063B"/>
    <w:rsid w:val="54DD4F41"/>
    <w:rsid w:val="54E83610"/>
    <w:rsid w:val="54F46E96"/>
    <w:rsid w:val="55006861"/>
    <w:rsid w:val="55036ED6"/>
    <w:rsid w:val="55102B67"/>
    <w:rsid w:val="55560EC1"/>
    <w:rsid w:val="555D5DAC"/>
    <w:rsid w:val="55654C60"/>
    <w:rsid w:val="55701B80"/>
    <w:rsid w:val="557355CF"/>
    <w:rsid w:val="55741347"/>
    <w:rsid w:val="55774994"/>
    <w:rsid w:val="55AF5AA4"/>
    <w:rsid w:val="55B31E70"/>
    <w:rsid w:val="55BA0E76"/>
    <w:rsid w:val="55CE5FCB"/>
    <w:rsid w:val="55D83373"/>
    <w:rsid w:val="55DC74FE"/>
    <w:rsid w:val="55EC6DB5"/>
    <w:rsid w:val="55F1135D"/>
    <w:rsid w:val="55F313CB"/>
    <w:rsid w:val="55FF6024"/>
    <w:rsid w:val="56024666"/>
    <w:rsid w:val="560A6E01"/>
    <w:rsid w:val="56194AE8"/>
    <w:rsid w:val="56222B52"/>
    <w:rsid w:val="5630526E"/>
    <w:rsid w:val="5637484F"/>
    <w:rsid w:val="564D4072"/>
    <w:rsid w:val="56503B63"/>
    <w:rsid w:val="56585942"/>
    <w:rsid w:val="567905A3"/>
    <w:rsid w:val="567F4314"/>
    <w:rsid w:val="568E5C3E"/>
    <w:rsid w:val="569A4DDE"/>
    <w:rsid w:val="569C0B56"/>
    <w:rsid w:val="56A874FB"/>
    <w:rsid w:val="56AD2D63"/>
    <w:rsid w:val="56B93A91"/>
    <w:rsid w:val="56CF056A"/>
    <w:rsid w:val="56E86E32"/>
    <w:rsid w:val="56EB24D4"/>
    <w:rsid w:val="56F411F5"/>
    <w:rsid w:val="571C6418"/>
    <w:rsid w:val="575E4B73"/>
    <w:rsid w:val="57801E13"/>
    <w:rsid w:val="57825AE5"/>
    <w:rsid w:val="57895F76"/>
    <w:rsid w:val="579E547A"/>
    <w:rsid w:val="57C05BB6"/>
    <w:rsid w:val="57C40364"/>
    <w:rsid w:val="57E85E12"/>
    <w:rsid w:val="57F56770"/>
    <w:rsid w:val="57FD67FD"/>
    <w:rsid w:val="58107E5B"/>
    <w:rsid w:val="5818245E"/>
    <w:rsid w:val="582155A3"/>
    <w:rsid w:val="58366D88"/>
    <w:rsid w:val="584B64EC"/>
    <w:rsid w:val="58A65CBC"/>
    <w:rsid w:val="58A963E1"/>
    <w:rsid w:val="58B73A25"/>
    <w:rsid w:val="58E37F7D"/>
    <w:rsid w:val="58E95BA9"/>
    <w:rsid w:val="58ED5699"/>
    <w:rsid w:val="591E60D4"/>
    <w:rsid w:val="592941F7"/>
    <w:rsid w:val="593037D7"/>
    <w:rsid w:val="593911D9"/>
    <w:rsid w:val="59402DF8"/>
    <w:rsid w:val="59467416"/>
    <w:rsid w:val="5947124D"/>
    <w:rsid w:val="596671F9"/>
    <w:rsid w:val="59831B59"/>
    <w:rsid w:val="59A044B9"/>
    <w:rsid w:val="59BD150F"/>
    <w:rsid w:val="59C07DE9"/>
    <w:rsid w:val="59CF2FF0"/>
    <w:rsid w:val="5A0B102D"/>
    <w:rsid w:val="5A146C55"/>
    <w:rsid w:val="5A175045"/>
    <w:rsid w:val="5A19592A"/>
    <w:rsid w:val="5A1E4797"/>
    <w:rsid w:val="5A405C9C"/>
    <w:rsid w:val="5A511C57"/>
    <w:rsid w:val="5A5135DB"/>
    <w:rsid w:val="5A54256A"/>
    <w:rsid w:val="5A5534F6"/>
    <w:rsid w:val="5A81166F"/>
    <w:rsid w:val="5AE64834"/>
    <w:rsid w:val="5AF244C1"/>
    <w:rsid w:val="5AF72C04"/>
    <w:rsid w:val="5B060C94"/>
    <w:rsid w:val="5B0B6880"/>
    <w:rsid w:val="5B266C40"/>
    <w:rsid w:val="5B322018"/>
    <w:rsid w:val="5B3E3803"/>
    <w:rsid w:val="5B440066"/>
    <w:rsid w:val="5B465534"/>
    <w:rsid w:val="5B4672E2"/>
    <w:rsid w:val="5B842E95"/>
    <w:rsid w:val="5B916BCE"/>
    <w:rsid w:val="5B9938B6"/>
    <w:rsid w:val="5BE82147"/>
    <w:rsid w:val="5C0576C3"/>
    <w:rsid w:val="5C301505"/>
    <w:rsid w:val="5C451348"/>
    <w:rsid w:val="5C501215"/>
    <w:rsid w:val="5C684390"/>
    <w:rsid w:val="5C8C6F77"/>
    <w:rsid w:val="5C986AF8"/>
    <w:rsid w:val="5C9B5DFF"/>
    <w:rsid w:val="5CA91F7D"/>
    <w:rsid w:val="5CBA7F88"/>
    <w:rsid w:val="5CC26E3C"/>
    <w:rsid w:val="5CD01559"/>
    <w:rsid w:val="5CD66444"/>
    <w:rsid w:val="5CD66E65"/>
    <w:rsid w:val="5CDB3A5A"/>
    <w:rsid w:val="5CF214D0"/>
    <w:rsid w:val="5CF254AC"/>
    <w:rsid w:val="5CFC3B45"/>
    <w:rsid w:val="5D211DB5"/>
    <w:rsid w:val="5D326469"/>
    <w:rsid w:val="5D435D1D"/>
    <w:rsid w:val="5D526F36"/>
    <w:rsid w:val="5D587115"/>
    <w:rsid w:val="5D632EFA"/>
    <w:rsid w:val="5D6677C8"/>
    <w:rsid w:val="5D690E75"/>
    <w:rsid w:val="5D7063C4"/>
    <w:rsid w:val="5D9C0081"/>
    <w:rsid w:val="5D9E51B4"/>
    <w:rsid w:val="5DAB08CE"/>
    <w:rsid w:val="5DAF5613"/>
    <w:rsid w:val="5DBC388C"/>
    <w:rsid w:val="5DD75C21"/>
    <w:rsid w:val="5DE96273"/>
    <w:rsid w:val="5E115985"/>
    <w:rsid w:val="5E117EE7"/>
    <w:rsid w:val="5E1B0E78"/>
    <w:rsid w:val="5E1C53A1"/>
    <w:rsid w:val="5E2002BE"/>
    <w:rsid w:val="5E2762C8"/>
    <w:rsid w:val="5E302281"/>
    <w:rsid w:val="5E4C006B"/>
    <w:rsid w:val="5E523F32"/>
    <w:rsid w:val="5E547B8C"/>
    <w:rsid w:val="5E76340E"/>
    <w:rsid w:val="5E940988"/>
    <w:rsid w:val="5E960581"/>
    <w:rsid w:val="5E961EBA"/>
    <w:rsid w:val="5EA93E10"/>
    <w:rsid w:val="5ECB256E"/>
    <w:rsid w:val="5EF01A3F"/>
    <w:rsid w:val="5EFA2901"/>
    <w:rsid w:val="5F083D22"/>
    <w:rsid w:val="5F50013D"/>
    <w:rsid w:val="5F683CCB"/>
    <w:rsid w:val="5F812FDF"/>
    <w:rsid w:val="5F9C1BC7"/>
    <w:rsid w:val="5FB52C88"/>
    <w:rsid w:val="5FB962D5"/>
    <w:rsid w:val="5FFA4B83"/>
    <w:rsid w:val="60156D74"/>
    <w:rsid w:val="60182240"/>
    <w:rsid w:val="60232682"/>
    <w:rsid w:val="60245373"/>
    <w:rsid w:val="6028345A"/>
    <w:rsid w:val="604605B9"/>
    <w:rsid w:val="60466156"/>
    <w:rsid w:val="60663A3F"/>
    <w:rsid w:val="60677969"/>
    <w:rsid w:val="608646DB"/>
    <w:rsid w:val="608B572B"/>
    <w:rsid w:val="60912DAE"/>
    <w:rsid w:val="60A86FE7"/>
    <w:rsid w:val="60B116A2"/>
    <w:rsid w:val="60C96466"/>
    <w:rsid w:val="60CC7E86"/>
    <w:rsid w:val="6109328C"/>
    <w:rsid w:val="6118702B"/>
    <w:rsid w:val="611C2FBF"/>
    <w:rsid w:val="612A65A7"/>
    <w:rsid w:val="612B4FB0"/>
    <w:rsid w:val="61310D3F"/>
    <w:rsid w:val="615C7B9A"/>
    <w:rsid w:val="615E15D5"/>
    <w:rsid w:val="616D381B"/>
    <w:rsid w:val="61730705"/>
    <w:rsid w:val="6188055B"/>
    <w:rsid w:val="61930DA7"/>
    <w:rsid w:val="619A0388"/>
    <w:rsid w:val="619F14FA"/>
    <w:rsid w:val="61A66D2D"/>
    <w:rsid w:val="61AB4343"/>
    <w:rsid w:val="61C26A62"/>
    <w:rsid w:val="61C27CFA"/>
    <w:rsid w:val="61CA2A1B"/>
    <w:rsid w:val="61E6537B"/>
    <w:rsid w:val="61EF6237"/>
    <w:rsid w:val="61FC06FB"/>
    <w:rsid w:val="62105ED3"/>
    <w:rsid w:val="621A5025"/>
    <w:rsid w:val="6239194F"/>
    <w:rsid w:val="624125B1"/>
    <w:rsid w:val="624520A2"/>
    <w:rsid w:val="624D53FA"/>
    <w:rsid w:val="62635BBE"/>
    <w:rsid w:val="62786925"/>
    <w:rsid w:val="627C183B"/>
    <w:rsid w:val="62974837"/>
    <w:rsid w:val="629921A4"/>
    <w:rsid w:val="62A212A9"/>
    <w:rsid w:val="62A414BE"/>
    <w:rsid w:val="62B44E59"/>
    <w:rsid w:val="62BB2364"/>
    <w:rsid w:val="62BB6808"/>
    <w:rsid w:val="62DD64D1"/>
    <w:rsid w:val="62F84A04"/>
    <w:rsid w:val="62FA10DE"/>
    <w:rsid w:val="62FB2665"/>
    <w:rsid w:val="632E2B36"/>
    <w:rsid w:val="633A096E"/>
    <w:rsid w:val="633F7151"/>
    <w:rsid w:val="636C7E1E"/>
    <w:rsid w:val="637A7ABD"/>
    <w:rsid w:val="638D63D6"/>
    <w:rsid w:val="63936E3D"/>
    <w:rsid w:val="639E29BC"/>
    <w:rsid w:val="63A8198C"/>
    <w:rsid w:val="63AD43A2"/>
    <w:rsid w:val="63B36D13"/>
    <w:rsid w:val="63BF6D95"/>
    <w:rsid w:val="63C35974"/>
    <w:rsid w:val="63CE6491"/>
    <w:rsid w:val="63E7596B"/>
    <w:rsid w:val="640F6E0B"/>
    <w:rsid w:val="642312EE"/>
    <w:rsid w:val="642E7C43"/>
    <w:rsid w:val="64322AF9"/>
    <w:rsid w:val="64354398"/>
    <w:rsid w:val="645647B2"/>
    <w:rsid w:val="6463038A"/>
    <w:rsid w:val="647749B0"/>
    <w:rsid w:val="64805613"/>
    <w:rsid w:val="648F1CFA"/>
    <w:rsid w:val="64B55A0B"/>
    <w:rsid w:val="64D65CA7"/>
    <w:rsid w:val="64F953C5"/>
    <w:rsid w:val="65023F39"/>
    <w:rsid w:val="6509385A"/>
    <w:rsid w:val="65273CE0"/>
    <w:rsid w:val="653463FD"/>
    <w:rsid w:val="653F6E81"/>
    <w:rsid w:val="654E74BF"/>
    <w:rsid w:val="65B14310"/>
    <w:rsid w:val="65BB267B"/>
    <w:rsid w:val="65CF2D67"/>
    <w:rsid w:val="65DC6546"/>
    <w:rsid w:val="65EC0227"/>
    <w:rsid w:val="66232F4B"/>
    <w:rsid w:val="66442670"/>
    <w:rsid w:val="66480B51"/>
    <w:rsid w:val="6686712D"/>
    <w:rsid w:val="66996E60"/>
    <w:rsid w:val="669B6734"/>
    <w:rsid w:val="66B23A7E"/>
    <w:rsid w:val="66CA69AA"/>
    <w:rsid w:val="66E25E96"/>
    <w:rsid w:val="66EE638A"/>
    <w:rsid w:val="66F03D00"/>
    <w:rsid w:val="66F0420C"/>
    <w:rsid w:val="66F10E76"/>
    <w:rsid w:val="66F145A6"/>
    <w:rsid w:val="671320F4"/>
    <w:rsid w:val="672C1A82"/>
    <w:rsid w:val="6744015F"/>
    <w:rsid w:val="674D37A6"/>
    <w:rsid w:val="676549FF"/>
    <w:rsid w:val="676C6322"/>
    <w:rsid w:val="677802C7"/>
    <w:rsid w:val="678D4320"/>
    <w:rsid w:val="67A23AF2"/>
    <w:rsid w:val="67AB7F2B"/>
    <w:rsid w:val="67BF28F6"/>
    <w:rsid w:val="67C1041C"/>
    <w:rsid w:val="67D16185"/>
    <w:rsid w:val="67D37DB1"/>
    <w:rsid w:val="67E04216"/>
    <w:rsid w:val="67EB673F"/>
    <w:rsid w:val="680A6878"/>
    <w:rsid w:val="681B1547"/>
    <w:rsid w:val="68232E85"/>
    <w:rsid w:val="68376930"/>
    <w:rsid w:val="683D381B"/>
    <w:rsid w:val="684A6664"/>
    <w:rsid w:val="6850354E"/>
    <w:rsid w:val="68531D93"/>
    <w:rsid w:val="68703BF0"/>
    <w:rsid w:val="68712388"/>
    <w:rsid w:val="68881913"/>
    <w:rsid w:val="688D47A2"/>
    <w:rsid w:val="6894357A"/>
    <w:rsid w:val="68A005A3"/>
    <w:rsid w:val="68AC5DC4"/>
    <w:rsid w:val="68BE2566"/>
    <w:rsid w:val="68BF2DA5"/>
    <w:rsid w:val="68DE0B5A"/>
    <w:rsid w:val="68DE1FDB"/>
    <w:rsid w:val="68EF5F80"/>
    <w:rsid w:val="69004F74"/>
    <w:rsid w:val="69006D1A"/>
    <w:rsid w:val="69145F46"/>
    <w:rsid w:val="69256789"/>
    <w:rsid w:val="692E1A82"/>
    <w:rsid w:val="6938470E"/>
    <w:rsid w:val="693A2F24"/>
    <w:rsid w:val="694F3806"/>
    <w:rsid w:val="69567DE6"/>
    <w:rsid w:val="6959639C"/>
    <w:rsid w:val="69711DBA"/>
    <w:rsid w:val="699072CB"/>
    <w:rsid w:val="699F0F33"/>
    <w:rsid w:val="69C30066"/>
    <w:rsid w:val="69E403F2"/>
    <w:rsid w:val="69E95A08"/>
    <w:rsid w:val="69FA5E67"/>
    <w:rsid w:val="6A024730"/>
    <w:rsid w:val="6A05705B"/>
    <w:rsid w:val="6A06480C"/>
    <w:rsid w:val="6A274783"/>
    <w:rsid w:val="6A29714A"/>
    <w:rsid w:val="6A470981"/>
    <w:rsid w:val="6A4F3BAC"/>
    <w:rsid w:val="6A535578"/>
    <w:rsid w:val="6A5E2899"/>
    <w:rsid w:val="6A6131FB"/>
    <w:rsid w:val="6A6E23B2"/>
    <w:rsid w:val="6A99722F"/>
    <w:rsid w:val="6AA30BEA"/>
    <w:rsid w:val="6AB75A8A"/>
    <w:rsid w:val="6ABC4ECB"/>
    <w:rsid w:val="6ACB3360"/>
    <w:rsid w:val="6AD379C8"/>
    <w:rsid w:val="6AD77F57"/>
    <w:rsid w:val="6ADE0BE1"/>
    <w:rsid w:val="6AF1554A"/>
    <w:rsid w:val="6AF96151"/>
    <w:rsid w:val="6B0B0965"/>
    <w:rsid w:val="6B121D07"/>
    <w:rsid w:val="6B1E73CA"/>
    <w:rsid w:val="6B230FCF"/>
    <w:rsid w:val="6B420424"/>
    <w:rsid w:val="6B431CCB"/>
    <w:rsid w:val="6B514BE8"/>
    <w:rsid w:val="6B851F3D"/>
    <w:rsid w:val="6B8D3935"/>
    <w:rsid w:val="6B8E4AB3"/>
    <w:rsid w:val="6B8F56C6"/>
    <w:rsid w:val="6BC229B5"/>
    <w:rsid w:val="6BC4672D"/>
    <w:rsid w:val="6BD230C3"/>
    <w:rsid w:val="6BF323FE"/>
    <w:rsid w:val="6BFF7765"/>
    <w:rsid w:val="6C092392"/>
    <w:rsid w:val="6C0C59DE"/>
    <w:rsid w:val="6C1F082A"/>
    <w:rsid w:val="6C292A34"/>
    <w:rsid w:val="6C2B67AC"/>
    <w:rsid w:val="6C3500F4"/>
    <w:rsid w:val="6C3513D9"/>
    <w:rsid w:val="6C3F3EB3"/>
    <w:rsid w:val="6C4877A3"/>
    <w:rsid w:val="6C4A7498"/>
    <w:rsid w:val="6C607DC7"/>
    <w:rsid w:val="6C63355F"/>
    <w:rsid w:val="6C701880"/>
    <w:rsid w:val="6C7A12F1"/>
    <w:rsid w:val="6CB22A29"/>
    <w:rsid w:val="6CB467A2"/>
    <w:rsid w:val="6CF40EC1"/>
    <w:rsid w:val="6D093C1F"/>
    <w:rsid w:val="6D107750"/>
    <w:rsid w:val="6D371181"/>
    <w:rsid w:val="6D390081"/>
    <w:rsid w:val="6D3F3B91"/>
    <w:rsid w:val="6D4713C4"/>
    <w:rsid w:val="6D48507E"/>
    <w:rsid w:val="6D556BD6"/>
    <w:rsid w:val="6D6727DE"/>
    <w:rsid w:val="6D673814"/>
    <w:rsid w:val="6D8B60AB"/>
    <w:rsid w:val="6D9D3836"/>
    <w:rsid w:val="6DBC51E2"/>
    <w:rsid w:val="6DC24A00"/>
    <w:rsid w:val="6DDA2238"/>
    <w:rsid w:val="6DE8485D"/>
    <w:rsid w:val="6E2C56E3"/>
    <w:rsid w:val="6E3B7248"/>
    <w:rsid w:val="6E4753F3"/>
    <w:rsid w:val="6E576610"/>
    <w:rsid w:val="6E5B561D"/>
    <w:rsid w:val="6E610EC9"/>
    <w:rsid w:val="6E641B01"/>
    <w:rsid w:val="6E6935BC"/>
    <w:rsid w:val="6E6F10A8"/>
    <w:rsid w:val="6E7361E8"/>
    <w:rsid w:val="6E740CBB"/>
    <w:rsid w:val="6E7A1325"/>
    <w:rsid w:val="6E8418C2"/>
    <w:rsid w:val="6E967982"/>
    <w:rsid w:val="6EF2710D"/>
    <w:rsid w:val="6F321B40"/>
    <w:rsid w:val="6F4162E7"/>
    <w:rsid w:val="6F4C08A0"/>
    <w:rsid w:val="6F5C359D"/>
    <w:rsid w:val="6F5E17DF"/>
    <w:rsid w:val="6F871A46"/>
    <w:rsid w:val="6F8A080E"/>
    <w:rsid w:val="6F8C1C78"/>
    <w:rsid w:val="6F9667EC"/>
    <w:rsid w:val="6F9E1043"/>
    <w:rsid w:val="6FC751D3"/>
    <w:rsid w:val="6FD53116"/>
    <w:rsid w:val="6FDB4045"/>
    <w:rsid w:val="6FF42905"/>
    <w:rsid w:val="70074E3A"/>
    <w:rsid w:val="70222B06"/>
    <w:rsid w:val="70583B73"/>
    <w:rsid w:val="706A1E47"/>
    <w:rsid w:val="706A7D21"/>
    <w:rsid w:val="707438A2"/>
    <w:rsid w:val="70964B8A"/>
    <w:rsid w:val="70B12FF8"/>
    <w:rsid w:val="70D00087"/>
    <w:rsid w:val="70D4565A"/>
    <w:rsid w:val="70DE2800"/>
    <w:rsid w:val="70DF533C"/>
    <w:rsid w:val="70E31536"/>
    <w:rsid w:val="70EE7DA8"/>
    <w:rsid w:val="70F413AC"/>
    <w:rsid w:val="70F96E79"/>
    <w:rsid w:val="7104137A"/>
    <w:rsid w:val="710A7B35"/>
    <w:rsid w:val="712D6B22"/>
    <w:rsid w:val="712E63F7"/>
    <w:rsid w:val="71453E6C"/>
    <w:rsid w:val="716B6153"/>
    <w:rsid w:val="716F3D9D"/>
    <w:rsid w:val="718D136F"/>
    <w:rsid w:val="719025AC"/>
    <w:rsid w:val="71BD14D5"/>
    <w:rsid w:val="71BD64F8"/>
    <w:rsid w:val="71EA01B5"/>
    <w:rsid w:val="721455EC"/>
    <w:rsid w:val="72157483"/>
    <w:rsid w:val="721F2502"/>
    <w:rsid w:val="7221447B"/>
    <w:rsid w:val="72240A52"/>
    <w:rsid w:val="724F2AC9"/>
    <w:rsid w:val="72535CB3"/>
    <w:rsid w:val="726227FC"/>
    <w:rsid w:val="72643038"/>
    <w:rsid w:val="72693B8A"/>
    <w:rsid w:val="726A023C"/>
    <w:rsid w:val="72936E68"/>
    <w:rsid w:val="729B4E2C"/>
    <w:rsid w:val="729C7F7F"/>
    <w:rsid w:val="72A15258"/>
    <w:rsid w:val="72AA3EB9"/>
    <w:rsid w:val="72B017B9"/>
    <w:rsid w:val="72B33057"/>
    <w:rsid w:val="72B86275"/>
    <w:rsid w:val="72C963D7"/>
    <w:rsid w:val="72CF21F8"/>
    <w:rsid w:val="72F13826"/>
    <w:rsid w:val="730310CB"/>
    <w:rsid w:val="730438B3"/>
    <w:rsid w:val="7318735E"/>
    <w:rsid w:val="73203E18"/>
    <w:rsid w:val="732C3A42"/>
    <w:rsid w:val="735062C9"/>
    <w:rsid w:val="73535179"/>
    <w:rsid w:val="73780AB9"/>
    <w:rsid w:val="739D5C0B"/>
    <w:rsid w:val="73C117A4"/>
    <w:rsid w:val="73C1441C"/>
    <w:rsid w:val="73E36D47"/>
    <w:rsid w:val="73E536E4"/>
    <w:rsid w:val="73FB1E5F"/>
    <w:rsid w:val="73FC72A6"/>
    <w:rsid w:val="74054C49"/>
    <w:rsid w:val="740578E3"/>
    <w:rsid w:val="74153E19"/>
    <w:rsid w:val="74237D69"/>
    <w:rsid w:val="742A26DD"/>
    <w:rsid w:val="742D5398"/>
    <w:rsid w:val="744724CD"/>
    <w:rsid w:val="744A5760"/>
    <w:rsid w:val="7452064E"/>
    <w:rsid w:val="74680CE1"/>
    <w:rsid w:val="7494020B"/>
    <w:rsid w:val="74A4534E"/>
    <w:rsid w:val="74A836E3"/>
    <w:rsid w:val="74CA64F2"/>
    <w:rsid w:val="74E44BE7"/>
    <w:rsid w:val="74E76961"/>
    <w:rsid w:val="74EE23C0"/>
    <w:rsid w:val="74FF2584"/>
    <w:rsid w:val="75153B55"/>
    <w:rsid w:val="751C40DC"/>
    <w:rsid w:val="753A5D56"/>
    <w:rsid w:val="75595132"/>
    <w:rsid w:val="755C79D6"/>
    <w:rsid w:val="756B19C7"/>
    <w:rsid w:val="756E14B8"/>
    <w:rsid w:val="757C5983"/>
    <w:rsid w:val="758F17DD"/>
    <w:rsid w:val="75BC66C7"/>
    <w:rsid w:val="75DA2568"/>
    <w:rsid w:val="75EB0D5A"/>
    <w:rsid w:val="75EE302C"/>
    <w:rsid w:val="75FD7DFC"/>
    <w:rsid w:val="76017DE7"/>
    <w:rsid w:val="7603307C"/>
    <w:rsid w:val="760D6D52"/>
    <w:rsid w:val="76112F5D"/>
    <w:rsid w:val="761D3A6A"/>
    <w:rsid w:val="7634159E"/>
    <w:rsid w:val="76401F90"/>
    <w:rsid w:val="764961F8"/>
    <w:rsid w:val="766308F1"/>
    <w:rsid w:val="76792A3D"/>
    <w:rsid w:val="7681189A"/>
    <w:rsid w:val="76A35191"/>
    <w:rsid w:val="76B77F8B"/>
    <w:rsid w:val="77004391"/>
    <w:rsid w:val="7718792D"/>
    <w:rsid w:val="77200891"/>
    <w:rsid w:val="772A2D24"/>
    <w:rsid w:val="7754614B"/>
    <w:rsid w:val="775912C9"/>
    <w:rsid w:val="775D752A"/>
    <w:rsid w:val="777E6D8B"/>
    <w:rsid w:val="77BA09E4"/>
    <w:rsid w:val="77C13386"/>
    <w:rsid w:val="77C8728B"/>
    <w:rsid w:val="77CB2BF1"/>
    <w:rsid w:val="77D82736"/>
    <w:rsid w:val="77E41285"/>
    <w:rsid w:val="77E80343"/>
    <w:rsid w:val="77F61467"/>
    <w:rsid w:val="77FE2FC7"/>
    <w:rsid w:val="78014865"/>
    <w:rsid w:val="781C3E61"/>
    <w:rsid w:val="7820785D"/>
    <w:rsid w:val="78235C89"/>
    <w:rsid w:val="782642CC"/>
    <w:rsid w:val="786F3A93"/>
    <w:rsid w:val="788778CC"/>
    <w:rsid w:val="788C04C4"/>
    <w:rsid w:val="788D6005"/>
    <w:rsid w:val="789D748E"/>
    <w:rsid w:val="789F3998"/>
    <w:rsid w:val="78B2336B"/>
    <w:rsid w:val="78CA4C57"/>
    <w:rsid w:val="78CF3F6F"/>
    <w:rsid w:val="78D05E9D"/>
    <w:rsid w:val="78DE11E3"/>
    <w:rsid w:val="78F85C68"/>
    <w:rsid w:val="79057F72"/>
    <w:rsid w:val="79200D1B"/>
    <w:rsid w:val="79316AFC"/>
    <w:rsid w:val="793F5645"/>
    <w:rsid w:val="79490272"/>
    <w:rsid w:val="79586707"/>
    <w:rsid w:val="795A432C"/>
    <w:rsid w:val="796F1558"/>
    <w:rsid w:val="797F2719"/>
    <w:rsid w:val="79A25BD4"/>
    <w:rsid w:val="79B80649"/>
    <w:rsid w:val="79BE7CBF"/>
    <w:rsid w:val="79C8388C"/>
    <w:rsid w:val="79D77A8E"/>
    <w:rsid w:val="79E9739A"/>
    <w:rsid w:val="79F92D1C"/>
    <w:rsid w:val="7A1959A3"/>
    <w:rsid w:val="7A195E96"/>
    <w:rsid w:val="7A2B3E1B"/>
    <w:rsid w:val="7A371CF6"/>
    <w:rsid w:val="7A3F7733"/>
    <w:rsid w:val="7A534C58"/>
    <w:rsid w:val="7A546ECE"/>
    <w:rsid w:val="7A9B7BE3"/>
    <w:rsid w:val="7AB61088"/>
    <w:rsid w:val="7AC409DF"/>
    <w:rsid w:val="7AC455C0"/>
    <w:rsid w:val="7AD54EB9"/>
    <w:rsid w:val="7AD9148D"/>
    <w:rsid w:val="7AD9480A"/>
    <w:rsid w:val="7AF4245F"/>
    <w:rsid w:val="7B0E4B1D"/>
    <w:rsid w:val="7B185334"/>
    <w:rsid w:val="7B1C15C7"/>
    <w:rsid w:val="7B29035B"/>
    <w:rsid w:val="7B333DEB"/>
    <w:rsid w:val="7B3470AC"/>
    <w:rsid w:val="7B424AF3"/>
    <w:rsid w:val="7B474C85"/>
    <w:rsid w:val="7B4E698E"/>
    <w:rsid w:val="7B5E6BA8"/>
    <w:rsid w:val="7B812A4B"/>
    <w:rsid w:val="7B924FA9"/>
    <w:rsid w:val="7BBA1080"/>
    <w:rsid w:val="7BBD4E90"/>
    <w:rsid w:val="7BD55DED"/>
    <w:rsid w:val="7BD72DE9"/>
    <w:rsid w:val="7BED2B25"/>
    <w:rsid w:val="7BF5648F"/>
    <w:rsid w:val="7C0105B4"/>
    <w:rsid w:val="7C013085"/>
    <w:rsid w:val="7C192179"/>
    <w:rsid w:val="7C286864"/>
    <w:rsid w:val="7C2A6191"/>
    <w:rsid w:val="7C2F28B0"/>
    <w:rsid w:val="7C36649C"/>
    <w:rsid w:val="7C5F7DAC"/>
    <w:rsid w:val="7C7E3E3A"/>
    <w:rsid w:val="7C8152D7"/>
    <w:rsid w:val="7C961A20"/>
    <w:rsid w:val="7CAD6D69"/>
    <w:rsid w:val="7CB40E8D"/>
    <w:rsid w:val="7CB41EA6"/>
    <w:rsid w:val="7CB658B6"/>
    <w:rsid w:val="7CB974BC"/>
    <w:rsid w:val="7CC024DE"/>
    <w:rsid w:val="7CC06A9D"/>
    <w:rsid w:val="7CC145C3"/>
    <w:rsid w:val="7CC660BA"/>
    <w:rsid w:val="7CD50824"/>
    <w:rsid w:val="7D000C82"/>
    <w:rsid w:val="7D05273A"/>
    <w:rsid w:val="7D0746CC"/>
    <w:rsid w:val="7D0C6202"/>
    <w:rsid w:val="7D113C66"/>
    <w:rsid w:val="7D1608E0"/>
    <w:rsid w:val="7D1A7BF6"/>
    <w:rsid w:val="7D2770F1"/>
    <w:rsid w:val="7D2E7EAA"/>
    <w:rsid w:val="7D364FB1"/>
    <w:rsid w:val="7D3F20B7"/>
    <w:rsid w:val="7D542219"/>
    <w:rsid w:val="7D6531A0"/>
    <w:rsid w:val="7D6A5F20"/>
    <w:rsid w:val="7D6F463D"/>
    <w:rsid w:val="7D7A30EF"/>
    <w:rsid w:val="7DDC3527"/>
    <w:rsid w:val="7DEB7B49"/>
    <w:rsid w:val="7DF10ED8"/>
    <w:rsid w:val="7DF33F17"/>
    <w:rsid w:val="7E13277D"/>
    <w:rsid w:val="7E271A86"/>
    <w:rsid w:val="7E3A2B7C"/>
    <w:rsid w:val="7E413C0D"/>
    <w:rsid w:val="7E595A4C"/>
    <w:rsid w:val="7E5C6DED"/>
    <w:rsid w:val="7E6421C6"/>
    <w:rsid w:val="7E663674"/>
    <w:rsid w:val="7E6F0414"/>
    <w:rsid w:val="7E740EAF"/>
    <w:rsid w:val="7E823A55"/>
    <w:rsid w:val="7E9F4263"/>
    <w:rsid w:val="7EB4618D"/>
    <w:rsid w:val="7EB66102"/>
    <w:rsid w:val="7EB937A4"/>
    <w:rsid w:val="7ED947BF"/>
    <w:rsid w:val="7EE618CE"/>
    <w:rsid w:val="7EF56908"/>
    <w:rsid w:val="7F007624"/>
    <w:rsid w:val="7F241427"/>
    <w:rsid w:val="7F4058E8"/>
    <w:rsid w:val="7F531E4A"/>
    <w:rsid w:val="7F5434CC"/>
    <w:rsid w:val="7F547970"/>
    <w:rsid w:val="7F5A4E76"/>
    <w:rsid w:val="7F7973D7"/>
    <w:rsid w:val="7F7A10FC"/>
    <w:rsid w:val="7F8B3BC5"/>
    <w:rsid w:val="7FBF128D"/>
    <w:rsid w:val="7FD42946"/>
    <w:rsid w:val="7FF56A5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qFormat="1" w:uiPriority="0" w:name="index 2"/>
    <w:lsdException w:qFormat="1" w:uiPriority="0" w:name="index 3"/>
    <w:lsdException w:qFormat="1" w:uiPriority="0" w:semiHidden="0" w:name="index 4"/>
    <w:lsdException w:qFormat="1" w:uiPriority="0" w:name="index 5"/>
    <w:lsdException w:qFormat="1" w:uiPriority="0" w:name="index 6"/>
    <w:lsdException w:qFormat="1" w:uiPriority="0" w:name="index 7"/>
    <w:lsdException w:qFormat="1" w:uiPriority="0" w:name="index 8"/>
    <w:lsdException w:qFormat="1"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iPriority="0" w:name="index heading"/>
    <w:lsdException w:qFormat="1" w:uiPriority="0" w:name="caption"/>
    <w:lsdException w:qFormat="1" w:uiPriority="0" w:name="table of figures"/>
    <w:lsdException w:qFormat="1" w:uiPriority="0" w:name="envelope address"/>
    <w:lsdException w:qFormat="1"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qFormat="1" w:uiPriority="0" w:name="endnote text"/>
    <w:lsdException w:qFormat="1" w:uiPriority="0" w:name="table of authorities"/>
    <w:lsdException w:qFormat="1" w:uiPriority="0" w:name="macro"/>
    <w:lsdException w:qFormat="1" w:uiPriority="0" w:name="toa heading"/>
    <w:lsdException w:qFormat="1" w:uiPriority="0" w:name="List"/>
    <w:lsdException w:qFormat="1" w:uiPriority="0" w:name="List Bullet"/>
    <w:lsdException w:qFormat="1" w:uiPriority="0" w:name="List Number"/>
    <w:lsdException w:qFormat="1" w:uiPriority="0" w:name="List 2"/>
    <w:lsdException w:qFormat="1" w:uiPriority="0" w:name="List 3"/>
    <w:lsdException w:qFormat="1" w:uiPriority="0" w:name="List 4"/>
    <w:lsdException w:qFormat="1" w:uiPriority="0" w:name="List 5"/>
    <w:lsdException w:qFormat="1" w:uiPriority="0" w:name="List Bullet 2"/>
    <w:lsdException w:qFormat="1" w:uiPriority="0" w:name="List Bullet 3"/>
    <w:lsdException w:qFormat="1" w:uiPriority="0" w:name="List Bullet 4"/>
    <w:lsdException w:qFormat="1" w:uiPriority="0" w:name="List Bullet 5"/>
    <w:lsdException w:qFormat="1" w:unhideWhenUsed="0" w:uiPriority="0" w:semiHidden="0" w:name="List Number 2"/>
    <w:lsdException w:qFormat="1" w:uiPriority="0" w:name="List Number 3"/>
    <w:lsdException w:qFormat="1" w:uiPriority="0" w:name="List Number 4"/>
    <w:lsdException w:qFormat="1" w:uiPriority="0" w:name="List Number 5"/>
    <w:lsdException w:qFormat="1" w:unhideWhenUsed="0" w:uiPriority="0" w:semiHidden="0" w:name="Title"/>
    <w:lsdException w:qFormat="1" w:uiPriority="0" w:name="Closing"/>
    <w:lsdException w:qFormat="1"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qFormat="1" w:uiPriority="0" w:name="List Continue"/>
    <w:lsdException w:qFormat="1" w:uiPriority="0" w:name="List Continue 2"/>
    <w:lsdException w:qFormat="1" w:unhideWhenUsed="0" w:uiPriority="0" w:semiHidden="0" w:name="List Continue 3"/>
    <w:lsdException w:qFormat="1" w:unhideWhenUsed="0" w:uiPriority="0" w:semiHidden="0" w:name="List Continue 4"/>
    <w:lsdException w:qFormat="1" w:uiPriority="0" w:name="List Continue 5"/>
    <w:lsdException w:qFormat="1" w:uiPriority="0" w:name="Message Header"/>
    <w:lsdException w:qFormat="1" w:unhideWhenUsed="0" w:uiPriority="0" w:semiHidden="0" w:name="Subtitle"/>
    <w:lsdException w:qFormat="1"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iPriority="0" w:name="E-mail Signature"/>
    <w:lsdException w:qFormat="1" w:unhideWhenUsed="0" w:uiPriority="99" w:semiHidden="0" w:name="Normal (Web)"/>
    <w:lsdException w:uiPriority="0" w:name="HTML Acronym"/>
    <w:lsdException w:qFormat="1" w:uiPriority="0" w:name="HTML Address"/>
    <w:lsdException w:uiPriority="0" w:name="HTML Cite"/>
    <w:lsdException w:uiPriority="0" w:name="HTML Code"/>
    <w:lsdException w:uiPriority="0" w:name="HTML Definition"/>
    <w:lsdException w:uiPriority="0" w:name="HTML Keyboard"/>
    <w:lsdException w:qFormat="1" w:unhideWhenUsed="0"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iPriority="99" w:name="Quote"/>
    <w:lsdException w:qFormat="1" w:uiPriority="9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宋体" w:hAnsi="宋体" w:eastAsia="宋体" w:cs="Times New Roman"/>
      <w:kern w:val="2"/>
      <w:sz w:val="21"/>
      <w:szCs w:val="24"/>
      <w:lang w:val="en-US" w:eastAsia="zh-CN" w:bidi="ar-SA"/>
    </w:rPr>
  </w:style>
  <w:style w:type="paragraph" w:styleId="3">
    <w:name w:val="heading 1"/>
    <w:basedOn w:val="1"/>
    <w:next w:val="1"/>
    <w:link w:val="98"/>
    <w:qFormat/>
    <w:uiPriority w:val="9"/>
    <w:pPr>
      <w:keepNext/>
      <w:keepLines/>
      <w:numPr>
        <w:ilvl w:val="0"/>
        <w:numId w:val="1"/>
      </w:numPr>
      <w:adjustRightInd w:val="0"/>
      <w:spacing w:before="120"/>
      <w:textAlignment w:val="baseline"/>
      <w:outlineLvl w:val="0"/>
    </w:pPr>
    <w:rPr>
      <w:rFonts w:eastAsia="黑体"/>
      <w:b/>
      <w:kern w:val="44"/>
      <w:sz w:val="28"/>
      <w:szCs w:val="20"/>
    </w:rPr>
  </w:style>
  <w:style w:type="paragraph" w:styleId="4">
    <w:name w:val="heading 2"/>
    <w:basedOn w:val="1"/>
    <w:next w:val="1"/>
    <w:link w:val="99"/>
    <w:qFormat/>
    <w:uiPriority w:val="0"/>
    <w:pPr>
      <w:keepNext/>
      <w:numPr>
        <w:ilvl w:val="1"/>
        <w:numId w:val="1"/>
      </w:numPr>
      <w:tabs>
        <w:tab w:val="left" w:pos="360"/>
      </w:tabs>
      <w:adjustRightInd w:val="0"/>
      <w:spacing w:before="120"/>
      <w:textAlignment w:val="baseline"/>
      <w:outlineLvl w:val="1"/>
    </w:pPr>
    <w:rPr>
      <w:rFonts w:eastAsia="黑体"/>
      <w:b/>
      <w:kern w:val="0"/>
      <w:sz w:val="28"/>
      <w:szCs w:val="20"/>
    </w:rPr>
  </w:style>
  <w:style w:type="paragraph" w:styleId="5">
    <w:name w:val="heading 3"/>
    <w:basedOn w:val="1"/>
    <w:next w:val="1"/>
    <w:link w:val="100"/>
    <w:qFormat/>
    <w:uiPriority w:val="9"/>
    <w:pPr>
      <w:numPr>
        <w:ilvl w:val="2"/>
        <w:numId w:val="1"/>
      </w:numPr>
      <w:tabs>
        <w:tab w:val="left" w:pos="360"/>
        <w:tab w:val="left" w:pos="900"/>
      </w:tabs>
      <w:adjustRightInd w:val="0"/>
      <w:spacing w:before="120"/>
      <w:textAlignment w:val="baseline"/>
      <w:outlineLvl w:val="2"/>
    </w:pPr>
    <w:rPr>
      <w:rFonts w:eastAsia="黑体"/>
      <w:b/>
      <w:kern w:val="0"/>
      <w:sz w:val="28"/>
      <w:szCs w:val="20"/>
    </w:rPr>
  </w:style>
  <w:style w:type="paragraph" w:styleId="6">
    <w:name w:val="heading 4"/>
    <w:basedOn w:val="1"/>
    <w:next w:val="1"/>
    <w:link w:val="314"/>
    <w:qFormat/>
    <w:uiPriority w:val="0"/>
    <w:pPr>
      <w:numPr>
        <w:ilvl w:val="3"/>
        <w:numId w:val="1"/>
      </w:numPr>
      <w:adjustRightInd w:val="0"/>
      <w:spacing w:before="120"/>
      <w:textAlignment w:val="baseline"/>
      <w:outlineLvl w:val="3"/>
    </w:pPr>
    <w:rPr>
      <w:rFonts w:ascii="Arial" w:hAnsi="Arial" w:eastAsia="黑体"/>
      <w:kern w:val="0"/>
      <w:sz w:val="28"/>
      <w:szCs w:val="20"/>
    </w:rPr>
  </w:style>
  <w:style w:type="paragraph" w:styleId="7">
    <w:name w:val="heading 5"/>
    <w:basedOn w:val="1"/>
    <w:next w:val="1"/>
    <w:link w:val="336"/>
    <w:qFormat/>
    <w:uiPriority w:val="9"/>
    <w:pPr>
      <w:keepNext/>
      <w:keepLines/>
      <w:numPr>
        <w:ilvl w:val="4"/>
        <w:numId w:val="2"/>
      </w:numPr>
      <w:adjustRightInd w:val="0"/>
      <w:spacing w:before="280" w:after="290" w:line="376" w:lineRule="atLeast"/>
      <w:textAlignment w:val="baseline"/>
      <w:outlineLvl w:val="4"/>
    </w:pPr>
    <w:rPr>
      <w:b/>
      <w:kern w:val="0"/>
      <w:sz w:val="28"/>
    </w:rPr>
  </w:style>
  <w:style w:type="paragraph" w:styleId="8">
    <w:name w:val="heading 6"/>
    <w:basedOn w:val="1"/>
    <w:next w:val="1"/>
    <w:link w:val="368"/>
    <w:qFormat/>
    <w:uiPriority w:val="9"/>
    <w:pPr>
      <w:keepNext/>
      <w:keepLines/>
      <w:tabs>
        <w:tab w:val="left" w:pos="1152"/>
      </w:tabs>
      <w:spacing w:before="240" w:after="64" w:line="320" w:lineRule="auto"/>
      <w:ind w:left="1152" w:hanging="1152"/>
      <w:outlineLvl w:val="5"/>
    </w:pPr>
    <w:rPr>
      <w:rFonts w:ascii="Cambria" w:hAnsi="Cambria" w:cs="Cambria"/>
      <w:b/>
      <w:bCs/>
      <w:sz w:val="24"/>
    </w:rPr>
  </w:style>
  <w:style w:type="paragraph" w:styleId="9">
    <w:name w:val="heading 7"/>
    <w:basedOn w:val="1"/>
    <w:next w:val="1"/>
    <w:link w:val="369"/>
    <w:qFormat/>
    <w:uiPriority w:val="9"/>
    <w:pPr>
      <w:keepNext/>
      <w:keepLines/>
      <w:tabs>
        <w:tab w:val="left" w:pos="1296"/>
      </w:tabs>
      <w:spacing w:before="240" w:after="64" w:line="320" w:lineRule="auto"/>
      <w:ind w:left="1296" w:hanging="1296"/>
      <w:outlineLvl w:val="6"/>
    </w:pPr>
    <w:rPr>
      <w:rFonts w:ascii="Calibri" w:hAnsi="Calibri" w:cs="Calibri"/>
      <w:b/>
      <w:bCs/>
      <w:sz w:val="24"/>
    </w:rPr>
  </w:style>
  <w:style w:type="paragraph" w:styleId="10">
    <w:name w:val="heading 8"/>
    <w:basedOn w:val="1"/>
    <w:next w:val="1"/>
    <w:link w:val="370"/>
    <w:qFormat/>
    <w:uiPriority w:val="9"/>
    <w:pPr>
      <w:keepNext/>
      <w:keepLines/>
      <w:tabs>
        <w:tab w:val="left" w:pos="1440"/>
      </w:tabs>
      <w:spacing w:before="240" w:after="64" w:line="320" w:lineRule="auto"/>
      <w:ind w:left="1440" w:hanging="1440"/>
      <w:outlineLvl w:val="7"/>
    </w:pPr>
    <w:rPr>
      <w:rFonts w:ascii="Cambria" w:hAnsi="Cambria" w:cs="Cambria"/>
      <w:sz w:val="24"/>
    </w:rPr>
  </w:style>
  <w:style w:type="paragraph" w:styleId="11">
    <w:name w:val="heading 9"/>
    <w:basedOn w:val="1"/>
    <w:next w:val="1"/>
    <w:link w:val="371"/>
    <w:qFormat/>
    <w:uiPriority w:val="9"/>
    <w:pPr>
      <w:keepNext/>
      <w:keepLines/>
      <w:tabs>
        <w:tab w:val="left" w:pos="1584"/>
      </w:tabs>
      <w:spacing w:before="240" w:after="64" w:line="320" w:lineRule="auto"/>
      <w:ind w:left="1584" w:hanging="1584"/>
      <w:outlineLvl w:val="8"/>
    </w:pPr>
    <w:rPr>
      <w:rFonts w:ascii="Cambria" w:hAnsi="Cambria" w:cs="Cambria"/>
      <w:szCs w:val="21"/>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420"/>
    <w:semiHidden/>
    <w:unhideWhenUsed/>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2">
    <w:name w:val="List 3"/>
    <w:basedOn w:val="1"/>
    <w:semiHidden/>
    <w:unhideWhenUsed/>
    <w:qFormat/>
    <w:uiPriority w:val="0"/>
    <w:pPr>
      <w:ind w:left="100" w:leftChars="400" w:hanging="200" w:hangingChars="200"/>
      <w:contextualSpacing/>
    </w:pPr>
  </w:style>
  <w:style w:type="paragraph" w:styleId="13">
    <w:name w:val="toc 7"/>
    <w:basedOn w:val="1"/>
    <w:next w:val="1"/>
    <w:qFormat/>
    <w:uiPriority w:val="39"/>
    <w:pPr>
      <w:ind w:left="1260"/>
      <w:jc w:val="left"/>
    </w:pPr>
    <w:rPr>
      <w:sz w:val="18"/>
      <w:szCs w:val="18"/>
    </w:rPr>
  </w:style>
  <w:style w:type="paragraph" w:styleId="14">
    <w:name w:val="List Number 2"/>
    <w:basedOn w:val="1"/>
    <w:qFormat/>
    <w:uiPriority w:val="0"/>
    <w:pPr>
      <w:numPr>
        <w:ilvl w:val="0"/>
        <w:numId w:val="3"/>
      </w:numPr>
      <w:tabs>
        <w:tab w:val="left" w:pos="780"/>
      </w:tabs>
    </w:pPr>
    <w:rPr>
      <w:rFonts w:ascii="Times New Roman" w:hAnsi="Times New Roman"/>
      <w:szCs w:val="20"/>
    </w:rPr>
  </w:style>
  <w:style w:type="paragraph" w:styleId="15">
    <w:name w:val="table of authorities"/>
    <w:basedOn w:val="1"/>
    <w:next w:val="1"/>
    <w:semiHidden/>
    <w:unhideWhenUsed/>
    <w:qFormat/>
    <w:uiPriority w:val="0"/>
    <w:pPr>
      <w:ind w:left="420" w:leftChars="200"/>
    </w:pPr>
  </w:style>
  <w:style w:type="paragraph" w:styleId="16">
    <w:name w:val="Note Heading"/>
    <w:basedOn w:val="1"/>
    <w:next w:val="1"/>
    <w:link w:val="431"/>
    <w:semiHidden/>
    <w:unhideWhenUsed/>
    <w:qFormat/>
    <w:uiPriority w:val="0"/>
    <w:pPr>
      <w:jc w:val="center"/>
    </w:pPr>
  </w:style>
  <w:style w:type="paragraph" w:styleId="17">
    <w:name w:val="List Bullet 4"/>
    <w:basedOn w:val="1"/>
    <w:semiHidden/>
    <w:unhideWhenUsed/>
    <w:qFormat/>
    <w:uiPriority w:val="0"/>
    <w:pPr>
      <w:numPr>
        <w:ilvl w:val="0"/>
        <w:numId w:val="4"/>
      </w:numPr>
      <w:contextualSpacing/>
    </w:pPr>
  </w:style>
  <w:style w:type="paragraph" w:styleId="18">
    <w:name w:val="index 8"/>
    <w:basedOn w:val="1"/>
    <w:next w:val="1"/>
    <w:autoRedefine/>
    <w:semiHidden/>
    <w:unhideWhenUsed/>
    <w:qFormat/>
    <w:uiPriority w:val="0"/>
    <w:pPr>
      <w:ind w:left="1400" w:leftChars="1400"/>
    </w:pPr>
  </w:style>
  <w:style w:type="paragraph" w:styleId="19">
    <w:name w:val="E-mail Signature"/>
    <w:basedOn w:val="1"/>
    <w:link w:val="419"/>
    <w:semiHidden/>
    <w:unhideWhenUsed/>
    <w:qFormat/>
    <w:uiPriority w:val="0"/>
  </w:style>
  <w:style w:type="paragraph" w:styleId="20">
    <w:name w:val="List Number"/>
    <w:basedOn w:val="1"/>
    <w:semiHidden/>
    <w:unhideWhenUsed/>
    <w:qFormat/>
    <w:uiPriority w:val="0"/>
    <w:pPr>
      <w:numPr>
        <w:ilvl w:val="0"/>
        <w:numId w:val="5"/>
      </w:numPr>
      <w:contextualSpacing/>
    </w:pPr>
  </w:style>
  <w:style w:type="paragraph" w:styleId="21">
    <w:name w:val="Normal Indent"/>
    <w:basedOn w:val="1"/>
    <w:link w:val="340"/>
    <w:qFormat/>
    <w:uiPriority w:val="0"/>
    <w:pPr>
      <w:ind w:firstLine="420"/>
    </w:pPr>
    <w:rPr>
      <w:szCs w:val="21"/>
    </w:rPr>
  </w:style>
  <w:style w:type="paragraph" w:styleId="22">
    <w:name w:val="caption"/>
    <w:basedOn w:val="1"/>
    <w:next w:val="1"/>
    <w:semiHidden/>
    <w:unhideWhenUsed/>
    <w:qFormat/>
    <w:uiPriority w:val="0"/>
    <w:rPr>
      <w:rFonts w:eastAsia="黑体" w:asciiTheme="majorHAnsi" w:hAnsiTheme="majorHAnsi" w:cstheme="majorBidi"/>
      <w:sz w:val="20"/>
      <w:szCs w:val="20"/>
    </w:rPr>
  </w:style>
  <w:style w:type="paragraph" w:styleId="23">
    <w:name w:val="index 5"/>
    <w:basedOn w:val="1"/>
    <w:next w:val="1"/>
    <w:autoRedefine/>
    <w:semiHidden/>
    <w:unhideWhenUsed/>
    <w:qFormat/>
    <w:uiPriority w:val="0"/>
    <w:pPr>
      <w:ind w:left="800" w:leftChars="800"/>
    </w:pPr>
  </w:style>
  <w:style w:type="paragraph" w:styleId="24">
    <w:name w:val="List Bullet"/>
    <w:basedOn w:val="1"/>
    <w:semiHidden/>
    <w:unhideWhenUsed/>
    <w:qFormat/>
    <w:uiPriority w:val="0"/>
    <w:pPr>
      <w:numPr>
        <w:ilvl w:val="0"/>
        <w:numId w:val="6"/>
      </w:numPr>
      <w:contextualSpacing/>
    </w:pPr>
  </w:style>
  <w:style w:type="paragraph" w:styleId="25">
    <w:name w:val="envelope address"/>
    <w:basedOn w:val="1"/>
    <w:semiHidden/>
    <w:unhideWhenUsed/>
    <w:qFormat/>
    <w:uiPriority w:val="0"/>
    <w:pPr>
      <w:framePr w:w="7920" w:h="1980" w:hRule="exact" w:hSpace="180" w:wrap="auto" w:vAnchor="margin" w:hAnchor="page" w:xAlign="center" w:yAlign="bottom"/>
      <w:snapToGrid w:val="0"/>
      <w:ind w:left="100" w:leftChars="1400"/>
    </w:pPr>
    <w:rPr>
      <w:rFonts w:asciiTheme="majorHAnsi" w:hAnsiTheme="majorHAnsi" w:eastAsiaTheme="majorEastAsia" w:cstheme="majorBidi"/>
      <w:sz w:val="24"/>
    </w:rPr>
  </w:style>
  <w:style w:type="paragraph" w:styleId="26">
    <w:name w:val="Document Map"/>
    <w:basedOn w:val="1"/>
    <w:link w:val="325"/>
    <w:qFormat/>
    <w:uiPriority w:val="0"/>
    <w:pPr>
      <w:shd w:val="clear" w:color="auto" w:fill="FFFFFF" w:themeFill="background1"/>
    </w:pPr>
  </w:style>
  <w:style w:type="paragraph" w:styleId="27">
    <w:name w:val="toa heading"/>
    <w:basedOn w:val="1"/>
    <w:next w:val="1"/>
    <w:semiHidden/>
    <w:unhideWhenUsed/>
    <w:qFormat/>
    <w:uiPriority w:val="0"/>
    <w:pPr>
      <w:spacing w:before="120"/>
    </w:pPr>
    <w:rPr>
      <w:rFonts w:asciiTheme="majorHAnsi" w:hAnsiTheme="majorHAnsi" w:eastAsiaTheme="majorEastAsia" w:cstheme="majorBidi"/>
      <w:sz w:val="24"/>
    </w:rPr>
  </w:style>
  <w:style w:type="paragraph" w:styleId="28">
    <w:name w:val="annotation text"/>
    <w:basedOn w:val="1"/>
    <w:link w:val="311"/>
    <w:qFormat/>
    <w:uiPriority w:val="0"/>
    <w:pPr>
      <w:jc w:val="left"/>
    </w:pPr>
  </w:style>
  <w:style w:type="paragraph" w:styleId="29">
    <w:name w:val="index 6"/>
    <w:basedOn w:val="1"/>
    <w:next w:val="1"/>
    <w:autoRedefine/>
    <w:semiHidden/>
    <w:unhideWhenUsed/>
    <w:qFormat/>
    <w:uiPriority w:val="0"/>
    <w:pPr>
      <w:ind w:left="1000" w:leftChars="1000"/>
    </w:pPr>
  </w:style>
  <w:style w:type="paragraph" w:styleId="30">
    <w:name w:val="Salutation"/>
    <w:basedOn w:val="1"/>
    <w:next w:val="1"/>
    <w:link w:val="418"/>
    <w:semiHidden/>
    <w:unhideWhenUsed/>
    <w:qFormat/>
    <w:uiPriority w:val="0"/>
  </w:style>
  <w:style w:type="paragraph" w:styleId="31">
    <w:name w:val="Body Text 3"/>
    <w:basedOn w:val="1"/>
    <w:link w:val="344"/>
    <w:qFormat/>
    <w:uiPriority w:val="0"/>
    <w:rPr>
      <w:sz w:val="24"/>
    </w:rPr>
  </w:style>
  <w:style w:type="paragraph" w:styleId="32">
    <w:name w:val="Closing"/>
    <w:basedOn w:val="1"/>
    <w:link w:val="422"/>
    <w:semiHidden/>
    <w:unhideWhenUsed/>
    <w:qFormat/>
    <w:uiPriority w:val="0"/>
    <w:pPr>
      <w:ind w:left="100" w:leftChars="2100"/>
    </w:pPr>
  </w:style>
  <w:style w:type="paragraph" w:styleId="33">
    <w:name w:val="List Bullet 3"/>
    <w:basedOn w:val="1"/>
    <w:semiHidden/>
    <w:unhideWhenUsed/>
    <w:qFormat/>
    <w:uiPriority w:val="0"/>
    <w:pPr>
      <w:numPr>
        <w:ilvl w:val="0"/>
        <w:numId w:val="7"/>
      </w:numPr>
      <w:contextualSpacing/>
    </w:pPr>
  </w:style>
  <w:style w:type="paragraph" w:styleId="34">
    <w:name w:val="Body Text"/>
    <w:basedOn w:val="1"/>
    <w:link w:val="335"/>
    <w:qFormat/>
    <w:uiPriority w:val="0"/>
    <w:rPr>
      <w:rFonts w:ascii="金山简黑体" w:hAnsi="金山简黑体" w:eastAsia="金山简黑体"/>
      <w:b/>
      <w:spacing w:val="-8"/>
      <w:sz w:val="44"/>
      <w:szCs w:val="20"/>
    </w:rPr>
  </w:style>
  <w:style w:type="paragraph" w:styleId="35">
    <w:name w:val="Body Text Indent"/>
    <w:basedOn w:val="1"/>
    <w:link w:val="309"/>
    <w:qFormat/>
    <w:uiPriority w:val="0"/>
    <w:pPr>
      <w:spacing w:line="200" w:lineRule="exact"/>
      <w:ind w:firstLine="301"/>
    </w:pPr>
    <w:rPr>
      <w:spacing w:val="-4"/>
      <w:sz w:val="18"/>
      <w:szCs w:val="20"/>
    </w:rPr>
  </w:style>
  <w:style w:type="paragraph" w:styleId="36">
    <w:name w:val="List Number 3"/>
    <w:basedOn w:val="1"/>
    <w:semiHidden/>
    <w:unhideWhenUsed/>
    <w:qFormat/>
    <w:uiPriority w:val="0"/>
    <w:pPr>
      <w:numPr>
        <w:ilvl w:val="0"/>
        <w:numId w:val="8"/>
      </w:numPr>
      <w:contextualSpacing/>
    </w:pPr>
  </w:style>
  <w:style w:type="paragraph" w:styleId="37">
    <w:name w:val="List 2"/>
    <w:basedOn w:val="1"/>
    <w:semiHidden/>
    <w:unhideWhenUsed/>
    <w:qFormat/>
    <w:uiPriority w:val="0"/>
    <w:pPr>
      <w:ind w:left="100" w:leftChars="200" w:hanging="200" w:hangingChars="200"/>
      <w:contextualSpacing/>
    </w:pPr>
  </w:style>
  <w:style w:type="paragraph" w:styleId="38">
    <w:name w:val="List Continue"/>
    <w:basedOn w:val="1"/>
    <w:semiHidden/>
    <w:unhideWhenUsed/>
    <w:qFormat/>
    <w:uiPriority w:val="0"/>
    <w:pPr>
      <w:spacing w:after="120"/>
      <w:ind w:left="420" w:leftChars="200"/>
      <w:contextualSpacing/>
    </w:pPr>
  </w:style>
  <w:style w:type="paragraph" w:styleId="39">
    <w:name w:val="Block Text"/>
    <w:basedOn w:val="1"/>
    <w:semiHidden/>
    <w:unhideWhenUsed/>
    <w:qFormat/>
    <w:uiPriority w:val="0"/>
    <w:pPr>
      <w:spacing w:after="120"/>
      <w:ind w:left="1440" w:leftChars="700" w:right="1440" w:rightChars="700"/>
    </w:pPr>
  </w:style>
  <w:style w:type="paragraph" w:styleId="40">
    <w:name w:val="List Bullet 2"/>
    <w:basedOn w:val="1"/>
    <w:semiHidden/>
    <w:unhideWhenUsed/>
    <w:qFormat/>
    <w:uiPriority w:val="0"/>
    <w:pPr>
      <w:numPr>
        <w:ilvl w:val="0"/>
        <w:numId w:val="9"/>
      </w:numPr>
      <w:contextualSpacing/>
    </w:pPr>
  </w:style>
  <w:style w:type="paragraph" w:styleId="41">
    <w:name w:val="HTML Address"/>
    <w:basedOn w:val="1"/>
    <w:link w:val="416"/>
    <w:semiHidden/>
    <w:unhideWhenUsed/>
    <w:qFormat/>
    <w:uiPriority w:val="0"/>
    <w:rPr>
      <w:i/>
      <w:iCs/>
    </w:rPr>
  </w:style>
  <w:style w:type="paragraph" w:styleId="42">
    <w:name w:val="index 4"/>
    <w:basedOn w:val="1"/>
    <w:next w:val="1"/>
    <w:unhideWhenUsed/>
    <w:qFormat/>
    <w:uiPriority w:val="0"/>
    <w:pPr>
      <w:ind w:left="600" w:leftChars="600"/>
    </w:pPr>
    <w:rPr>
      <w:rFonts w:ascii="Times New Roman" w:hAnsi="Times New Roman" w:cs="Calibri"/>
    </w:rPr>
  </w:style>
  <w:style w:type="paragraph" w:styleId="43">
    <w:name w:val="toc 5"/>
    <w:basedOn w:val="1"/>
    <w:next w:val="1"/>
    <w:qFormat/>
    <w:uiPriority w:val="39"/>
    <w:pPr>
      <w:ind w:left="840"/>
      <w:jc w:val="left"/>
    </w:pPr>
    <w:rPr>
      <w:sz w:val="18"/>
      <w:szCs w:val="18"/>
    </w:rPr>
  </w:style>
  <w:style w:type="paragraph" w:styleId="44">
    <w:name w:val="toc 3"/>
    <w:basedOn w:val="1"/>
    <w:next w:val="1"/>
    <w:qFormat/>
    <w:uiPriority w:val="39"/>
    <w:pPr>
      <w:ind w:firstLine="400" w:firstLineChars="400"/>
      <w:jc w:val="left"/>
    </w:pPr>
    <w:rPr>
      <w:i/>
      <w:iCs/>
      <w:sz w:val="20"/>
      <w:szCs w:val="20"/>
    </w:rPr>
  </w:style>
  <w:style w:type="paragraph" w:styleId="45">
    <w:name w:val="Plain Text"/>
    <w:basedOn w:val="1"/>
    <w:next w:val="1"/>
    <w:link w:val="306"/>
    <w:qFormat/>
    <w:uiPriority w:val="0"/>
    <w:rPr>
      <w:szCs w:val="20"/>
    </w:rPr>
  </w:style>
  <w:style w:type="paragraph" w:styleId="46">
    <w:name w:val="List Bullet 5"/>
    <w:basedOn w:val="1"/>
    <w:semiHidden/>
    <w:unhideWhenUsed/>
    <w:qFormat/>
    <w:uiPriority w:val="0"/>
    <w:pPr>
      <w:numPr>
        <w:ilvl w:val="0"/>
        <w:numId w:val="10"/>
      </w:numPr>
      <w:contextualSpacing/>
    </w:pPr>
  </w:style>
  <w:style w:type="paragraph" w:styleId="47">
    <w:name w:val="List Number 4"/>
    <w:basedOn w:val="1"/>
    <w:semiHidden/>
    <w:unhideWhenUsed/>
    <w:qFormat/>
    <w:uiPriority w:val="0"/>
    <w:pPr>
      <w:numPr>
        <w:ilvl w:val="0"/>
        <w:numId w:val="11"/>
      </w:numPr>
      <w:contextualSpacing/>
    </w:pPr>
  </w:style>
  <w:style w:type="paragraph" w:styleId="48">
    <w:name w:val="toc 8"/>
    <w:basedOn w:val="1"/>
    <w:next w:val="1"/>
    <w:qFormat/>
    <w:uiPriority w:val="39"/>
    <w:pPr>
      <w:ind w:left="1470"/>
      <w:jc w:val="left"/>
    </w:pPr>
    <w:rPr>
      <w:sz w:val="18"/>
      <w:szCs w:val="18"/>
    </w:rPr>
  </w:style>
  <w:style w:type="paragraph" w:styleId="49">
    <w:name w:val="index 3"/>
    <w:basedOn w:val="1"/>
    <w:next w:val="1"/>
    <w:autoRedefine/>
    <w:semiHidden/>
    <w:unhideWhenUsed/>
    <w:qFormat/>
    <w:uiPriority w:val="0"/>
    <w:pPr>
      <w:ind w:left="400" w:leftChars="400"/>
    </w:pPr>
  </w:style>
  <w:style w:type="paragraph" w:styleId="50">
    <w:name w:val="Date"/>
    <w:basedOn w:val="1"/>
    <w:next w:val="1"/>
    <w:link w:val="323"/>
    <w:qFormat/>
    <w:uiPriority w:val="0"/>
    <w:pPr>
      <w:ind w:left="100" w:leftChars="2500"/>
    </w:pPr>
  </w:style>
  <w:style w:type="paragraph" w:styleId="51">
    <w:name w:val="Body Text Indent 2"/>
    <w:basedOn w:val="1"/>
    <w:link w:val="329"/>
    <w:qFormat/>
    <w:uiPriority w:val="0"/>
    <w:pPr>
      <w:spacing w:after="120" w:line="480" w:lineRule="auto"/>
      <w:ind w:left="200" w:leftChars="200"/>
    </w:pPr>
  </w:style>
  <w:style w:type="paragraph" w:styleId="52">
    <w:name w:val="endnote text"/>
    <w:basedOn w:val="1"/>
    <w:link w:val="427"/>
    <w:semiHidden/>
    <w:unhideWhenUsed/>
    <w:qFormat/>
    <w:uiPriority w:val="0"/>
    <w:pPr>
      <w:snapToGrid w:val="0"/>
      <w:jc w:val="left"/>
    </w:pPr>
  </w:style>
  <w:style w:type="paragraph" w:styleId="53">
    <w:name w:val="List Continue 5"/>
    <w:basedOn w:val="1"/>
    <w:semiHidden/>
    <w:unhideWhenUsed/>
    <w:qFormat/>
    <w:uiPriority w:val="0"/>
    <w:pPr>
      <w:spacing w:after="120"/>
      <w:ind w:left="2100" w:leftChars="1000"/>
      <w:contextualSpacing/>
    </w:pPr>
  </w:style>
  <w:style w:type="paragraph" w:styleId="54">
    <w:name w:val="Balloon Text"/>
    <w:basedOn w:val="1"/>
    <w:link w:val="297"/>
    <w:qFormat/>
    <w:uiPriority w:val="0"/>
    <w:rPr>
      <w:sz w:val="18"/>
      <w:szCs w:val="18"/>
    </w:rPr>
  </w:style>
  <w:style w:type="paragraph" w:styleId="55">
    <w:name w:val="footer"/>
    <w:basedOn w:val="1"/>
    <w:link w:val="327"/>
    <w:qFormat/>
    <w:uiPriority w:val="99"/>
    <w:pPr>
      <w:tabs>
        <w:tab w:val="center" w:pos="4153"/>
        <w:tab w:val="right" w:pos="8306"/>
      </w:tabs>
      <w:snapToGrid w:val="0"/>
      <w:jc w:val="left"/>
    </w:pPr>
    <w:rPr>
      <w:sz w:val="18"/>
      <w:szCs w:val="20"/>
    </w:rPr>
  </w:style>
  <w:style w:type="paragraph" w:styleId="56">
    <w:name w:val="envelope return"/>
    <w:basedOn w:val="1"/>
    <w:semiHidden/>
    <w:unhideWhenUsed/>
    <w:qFormat/>
    <w:uiPriority w:val="0"/>
    <w:pPr>
      <w:snapToGrid w:val="0"/>
    </w:pPr>
    <w:rPr>
      <w:rFonts w:asciiTheme="majorHAnsi" w:hAnsiTheme="majorHAnsi" w:eastAsiaTheme="majorEastAsia" w:cstheme="majorBidi"/>
    </w:rPr>
  </w:style>
  <w:style w:type="paragraph" w:styleId="57">
    <w:name w:val="header"/>
    <w:basedOn w:val="1"/>
    <w:link w:val="303"/>
    <w:qFormat/>
    <w:uiPriority w:val="0"/>
    <w:pPr>
      <w:pBdr>
        <w:bottom w:val="single" w:color="auto" w:sz="6" w:space="1"/>
      </w:pBdr>
      <w:tabs>
        <w:tab w:val="center" w:pos="4153"/>
        <w:tab w:val="right" w:pos="8306"/>
      </w:tabs>
      <w:snapToGrid w:val="0"/>
      <w:jc w:val="center"/>
    </w:pPr>
    <w:rPr>
      <w:sz w:val="18"/>
      <w:szCs w:val="18"/>
    </w:rPr>
  </w:style>
  <w:style w:type="paragraph" w:styleId="58">
    <w:name w:val="Signature"/>
    <w:basedOn w:val="1"/>
    <w:link w:val="425"/>
    <w:semiHidden/>
    <w:unhideWhenUsed/>
    <w:qFormat/>
    <w:uiPriority w:val="0"/>
    <w:pPr>
      <w:ind w:left="100" w:leftChars="2100"/>
    </w:pPr>
  </w:style>
  <w:style w:type="paragraph" w:styleId="59">
    <w:name w:val="toc 1"/>
    <w:basedOn w:val="1"/>
    <w:next w:val="1"/>
    <w:qFormat/>
    <w:uiPriority w:val="39"/>
    <w:pPr>
      <w:tabs>
        <w:tab w:val="right" w:leader="dot" w:pos="9072"/>
      </w:tabs>
      <w:ind w:firstLine="74" w:firstLineChars="74"/>
      <w:jc w:val="left"/>
    </w:pPr>
    <w:rPr>
      <w:b/>
      <w:bCs/>
      <w:caps/>
      <w:sz w:val="20"/>
      <w:szCs w:val="20"/>
    </w:rPr>
  </w:style>
  <w:style w:type="paragraph" w:styleId="60">
    <w:name w:val="List Continue 4"/>
    <w:basedOn w:val="1"/>
    <w:qFormat/>
    <w:uiPriority w:val="0"/>
    <w:pPr>
      <w:spacing w:after="120"/>
      <w:ind w:left="1680" w:leftChars="800"/>
      <w:contextualSpacing/>
    </w:pPr>
  </w:style>
  <w:style w:type="paragraph" w:styleId="61">
    <w:name w:val="toc 4"/>
    <w:basedOn w:val="1"/>
    <w:next w:val="1"/>
    <w:qFormat/>
    <w:uiPriority w:val="39"/>
    <w:pPr>
      <w:ind w:left="630"/>
      <w:jc w:val="left"/>
    </w:pPr>
    <w:rPr>
      <w:sz w:val="18"/>
      <w:szCs w:val="18"/>
    </w:rPr>
  </w:style>
  <w:style w:type="paragraph" w:styleId="62">
    <w:name w:val="index heading"/>
    <w:basedOn w:val="1"/>
    <w:next w:val="63"/>
    <w:semiHidden/>
    <w:unhideWhenUsed/>
    <w:qFormat/>
    <w:uiPriority w:val="0"/>
    <w:rPr>
      <w:rFonts w:asciiTheme="majorHAnsi" w:hAnsiTheme="majorHAnsi" w:eastAsiaTheme="majorEastAsia" w:cstheme="majorBidi"/>
      <w:b/>
      <w:bCs/>
    </w:rPr>
  </w:style>
  <w:style w:type="paragraph" w:styleId="63">
    <w:name w:val="index 1"/>
    <w:basedOn w:val="1"/>
    <w:next w:val="1"/>
    <w:qFormat/>
    <w:uiPriority w:val="0"/>
    <w:pPr>
      <w:tabs>
        <w:tab w:val="left" w:pos="780"/>
      </w:tabs>
      <w:ind w:left="780" w:hanging="360"/>
    </w:pPr>
    <w:rPr>
      <w:szCs w:val="20"/>
    </w:rPr>
  </w:style>
  <w:style w:type="paragraph" w:styleId="64">
    <w:name w:val="Subtitle"/>
    <w:basedOn w:val="1"/>
    <w:next w:val="1"/>
    <w:link w:val="324"/>
    <w:qFormat/>
    <w:uiPriority w:val="0"/>
    <w:pPr>
      <w:tabs>
        <w:tab w:val="left" w:pos="360"/>
      </w:tabs>
      <w:ind w:left="284" w:hanging="284"/>
      <w:jc w:val="left"/>
      <w:outlineLvl w:val="1"/>
    </w:pPr>
    <w:rPr>
      <w:rFonts w:ascii="Century Gothic" w:hAnsi="Century Gothic"/>
      <w:kern w:val="28"/>
      <w:szCs w:val="21"/>
    </w:rPr>
  </w:style>
  <w:style w:type="paragraph" w:styleId="65">
    <w:name w:val="List Number 5"/>
    <w:basedOn w:val="1"/>
    <w:semiHidden/>
    <w:unhideWhenUsed/>
    <w:qFormat/>
    <w:uiPriority w:val="0"/>
    <w:pPr>
      <w:numPr>
        <w:ilvl w:val="0"/>
        <w:numId w:val="12"/>
      </w:numPr>
      <w:contextualSpacing/>
    </w:pPr>
  </w:style>
  <w:style w:type="paragraph" w:styleId="66">
    <w:name w:val="List"/>
    <w:basedOn w:val="1"/>
    <w:semiHidden/>
    <w:unhideWhenUsed/>
    <w:qFormat/>
    <w:uiPriority w:val="0"/>
    <w:pPr>
      <w:ind w:left="200" w:hanging="200" w:hangingChars="200"/>
      <w:contextualSpacing/>
    </w:pPr>
  </w:style>
  <w:style w:type="paragraph" w:styleId="67">
    <w:name w:val="footnote text"/>
    <w:basedOn w:val="1"/>
    <w:link w:val="421"/>
    <w:semiHidden/>
    <w:unhideWhenUsed/>
    <w:qFormat/>
    <w:uiPriority w:val="0"/>
    <w:pPr>
      <w:snapToGrid w:val="0"/>
      <w:jc w:val="left"/>
    </w:pPr>
    <w:rPr>
      <w:sz w:val="18"/>
      <w:szCs w:val="18"/>
    </w:rPr>
  </w:style>
  <w:style w:type="paragraph" w:styleId="68">
    <w:name w:val="toc 6"/>
    <w:basedOn w:val="1"/>
    <w:next w:val="1"/>
    <w:qFormat/>
    <w:uiPriority w:val="39"/>
    <w:pPr>
      <w:ind w:left="1050"/>
      <w:jc w:val="left"/>
    </w:pPr>
    <w:rPr>
      <w:sz w:val="18"/>
      <w:szCs w:val="18"/>
    </w:rPr>
  </w:style>
  <w:style w:type="paragraph" w:styleId="69">
    <w:name w:val="List 5"/>
    <w:basedOn w:val="1"/>
    <w:semiHidden/>
    <w:unhideWhenUsed/>
    <w:qFormat/>
    <w:uiPriority w:val="0"/>
    <w:pPr>
      <w:ind w:left="100" w:leftChars="800" w:hanging="200" w:hangingChars="200"/>
      <w:contextualSpacing/>
    </w:pPr>
  </w:style>
  <w:style w:type="paragraph" w:styleId="70">
    <w:name w:val="Body Text Indent 3"/>
    <w:basedOn w:val="1"/>
    <w:link w:val="384"/>
    <w:qFormat/>
    <w:uiPriority w:val="0"/>
    <w:pPr>
      <w:spacing w:line="400" w:lineRule="exact"/>
      <w:ind w:left="360"/>
    </w:pPr>
    <w:rPr>
      <w:sz w:val="24"/>
    </w:rPr>
  </w:style>
  <w:style w:type="paragraph" w:styleId="71">
    <w:name w:val="index 7"/>
    <w:basedOn w:val="1"/>
    <w:next w:val="1"/>
    <w:autoRedefine/>
    <w:semiHidden/>
    <w:unhideWhenUsed/>
    <w:qFormat/>
    <w:uiPriority w:val="0"/>
    <w:pPr>
      <w:ind w:left="1200" w:leftChars="1200"/>
    </w:pPr>
  </w:style>
  <w:style w:type="paragraph" w:styleId="72">
    <w:name w:val="index 9"/>
    <w:basedOn w:val="1"/>
    <w:next w:val="1"/>
    <w:autoRedefine/>
    <w:semiHidden/>
    <w:unhideWhenUsed/>
    <w:qFormat/>
    <w:uiPriority w:val="0"/>
    <w:pPr>
      <w:ind w:left="1600" w:leftChars="1600"/>
    </w:pPr>
  </w:style>
  <w:style w:type="paragraph" w:styleId="73">
    <w:name w:val="table of figures"/>
    <w:basedOn w:val="1"/>
    <w:next w:val="1"/>
    <w:semiHidden/>
    <w:unhideWhenUsed/>
    <w:qFormat/>
    <w:uiPriority w:val="0"/>
    <w:pPr>
      <w:ind w:left="200" w:leftChars="200" w:hanging="200" w:hangingChars="200"/>
    </w:pPr>
  </w:style>
  <w:style w:type="paragraph" w:styleId="74">
    <w:name w:val="toc 2"/>
    <w:basedOn w:val="1"/>
    <w:next w:val="1"/>
    <w:qFormat/>
    <w:uiPriority w:val="39"/>
    <w:pPr>
      <w:tabs>
        <w:tab w:val="right" w:leader="dot" w:pos="9072"/>
      </w:tabs>
      <w:ind w:firstLine="200" w:firstLineChars="200"/>
      <w:jc w:val="left"/>
    </w:pPr>
    <w:rPr>
      <w:smallCaps/>
      <w:sz w:val="20"/>
      <w:szCs w:val="20"/>
    </w:rPr>
  </w:style>
  <w:style w:type="paragraph" w:styleId="75">
    <w:name w:val="toc 9"/>
    <w:basedOn w:val="1"/>
    <w:next w:val="1"/>
    <w:qFormat/>
    <w:uiPriority w:val="39"/>
    <w:pPr>
      <w:ind w:left="1680"/>
      <w:jc w:val="left"/>
    </w:pPr>
    <w:rPr>
      <w:sz w:val="18"/>
      <w:szCs w:val="18"/>
    </w:rPr>
  </w:style>
  <w:style w:type="paragraph" w:styleId="76">
    <w:name w:val="Body Text 2"/>
    <w:basedOn w:val="1"/>
    <w:next w:val="34"/>
    <w:link w:val="343"/>
    <w:qFormat/>
    <w:uiPriority w:val="0"/>
    <w:rPr>
      <w:sz w:val="13"/>
      <w:szCs w:val="20"/>
    </w:rPr>
  </w:style>
  <w:style w:type="paragraph" w:styleId="77">
    <w:name w:val="List 4"/>
    <w:basedOn w:val="1"/>
    <w:semiHidden/>
    <w:unhideWhenUsed/>
    <w:qFormat/>
    <w:uiPriority w:val="0"/>
    <w:pPr>
      <w:ind w:left="100" w:leftChars="600" w:hanging="200" w:hangingChars="200"/>
      <w:contextualSpacing/>
    </w:pPr>
  </w:style>
  <w:style w:type="paragraph" w:styleId="78">
    <w:name w:val="List Continue 2"/>
    <w:basedOn w:val="1"/>
    <w:semiHidden/>
    <w:unhideWhenUsed/>
    <w:qFormat/>
    <w:uiPriority w:val="0"/>
    <w:pPr>
      <w:spacing w:after="120"/>
      <w:ind w:left="840" w:leftChars="400"/>
      <w:contextualSpacing/>
    </w:pPr>
  </w:style>
  <w:style w:type="paragraph" w:styleId="79">
    <w:name w:val="Message Header"/>
    <w:basedOn w:val="1"/>
    <w:link w:val="428"/>
    <w:semiHidden/>
    <w:unhideWhenUsed/>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Theme="majorHAnsi" w:hAnsiTheme="majorHAnsi" w:eastAsiaTheme="majorEastAsia" w:cstheme="majorBidi"/>
      <w:sz w:val="24"/>
    </w:rPr>
  </w:style>
  <w:style w:type="paragraph" w:styleId="80">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cs="宋体"/>
      <w:kern w:val="0"/>
      <w:sz w:val="24"/>
    </w:rPr>
  </w:style>
  <w:style w:type="paragraph" w:styleId="81">
    <w:name w:val="Normal (Web)"/>
    <w:basedOn w:val="1"/>
    <w:qFormat/>
    <w:uiPriority w:val="99"/>
    <w:pPr>
      <w:widowControl/>
      <w:spacing w:before="100" w:beforeAutospacing="1" w:after="100" w:afterAutospacing="1"/>
      <w:jc w:val="left"/>
    </w:pPr>
    <w:rPr>
      <w:rFonts w:ascii="Arial Unicode MS" w:hAnsi="Arial Unicode MS" w:eastAsia="Arial Unicode MS" w:cs="华文仿宋"/>
      <w:kern w:val="0"/>
      <w:sz w:val="24"/>
    </w:rPr>
  </w:style>
  <w:style w:type="paragraph" w:styleId="82">
    <w:name w:val="List Continue 3"/>
    <w:basedOn w:val="1"/>
    <w:qFormat/>
    <w:uiPriority w:val="0"/>
    <w:pPr>
      <w:spacing w:after="120"/>
      <w:ind w:left="1260" w:leftChars="600"/>
      <w:contextualSpacing/>
    </w:pPr>
  </w:style>
  <w:style w:type="paragraph" w:styleId="83">
    <w:name w:val="index 2"/>
    <w:basedOn w:val="1"/>
    <w:next w:val="1"/>
    <w:autoRedefine/>
    <w:semiHidden/>
    <w:unhideWhenUsed/>
    <w:qFormat/>
    <w:uiPriority w:val="0"/>
    <w:pPr>
      <w:ind w:left="200" w:leftChars="200"/>
    </w:pPr>
  </w:style>
  <w:style w:type="paragraph" w:styleId="84">
    <w:name w:val="Title"/>
    <w:basedOn w:val="1"/>
    <w:next w:val="1"/>
    <w:link w:val="316"/>
    <w:qFormat/>
    <w:uiPriority w:val="0"/>
    <w:pPr>
      <w:spacing w:before="240" w:after="60"/>
      <w:jc w:val="center"/>
      <w:outlineLvl w:val="0"/>
    </w:pPr>
    <w:rPr>
      <w:rFonts w:ascii="Cambria" w:hAnsi="Cambria"/>
      <w:b/>
      <w:bCs/>
      <w:kern w:val="0"/>
      <w:sz w:val="32"/>
      <w:szCs w:val="32"/>
    </w:rPr>
  </w:style>
  <w:style w:type="paragraph" w:styleId="85">
    <w:name w:val="annotation subject"/>
    <w:basedOn w:val="28"/>
    <w:next w:val="28"/>
    <w:link w:val="302"/>
    <w:qFormat/>
    <w:uiPriority w:val="0"/>
    <w:rPr>
      <w:b/>
      <w:bCs/>
    </w:rPr>
  </w:style>
  <w:style w:type="paragraph" w:styleId="86">
    <w:name w:val="Body Text First Indent"/>
    <w:basedOn w:val="34"/>
    <w:next w:val="1"/>
    <w:qFormat/>
    <w:uiPriority w:val="0"/>
    <w:pPr>
      <w:ind w:firstLine="420" w:firstLineChars="100"/>
    </w:pPr>
  </w:style>
  <w:style w:type="paragraph" w:styleId="87">
    <w:name w:val="Body Text First Indent 2"/>
    <w:basedOn w:val="35"/>
    <w:link w:val="379"/>
    <w:qFormat/>
    <w:uiPriority w:val="0"/>
    <w:pPr>
      <w:ind w:firstLine="420"/>
    </w:pPr>
  </w:style>
  <w:style w:type="table" w:styleId="89">
    <w:name w:val="Table Grid"/>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1">
    <w:name w:val="Strong"/>
    <w:qFormat/>
    <w:uiPriority w:val="22"/>
    <w:rPr>
      <w:b/>
      <w:bCs/>
    </w:rPr>
  </w:style>
  <w:style w:type="character" w:styleId="92">
    <w:name w:val="page number"/>
    <w:qFormat/>
    <w:uiPriority w:val="0"/>
  </w:style>
  <w:style w:type="character" w:styleId="93">
    <w:name w:val="FollowedHyperlink"/>
    <w:qFormat/>
    <w:uiPriority w:val="99"/>
    <w:rPr>
      <w:color w:val="800080"/>
      <w:u w:val="single"/>
    </w:rPr>
  </w:style>
  <w:style w:type="character" w:styleId="94">
    <w:name w:val="Emphasis"/>
    <w:qFormat/>
    <w:uiPriority w:val="0"/>
    <w:rPr>
      <w:color w:val="CC0033"/>
    </w:rPr>
  </w:style>
  <w:style w:type="character" w:styleId="95">
    <w:name w:val="Hyperlink"/>
    <w:basedOn w:val="90"/>
    <w:qFormat/>
    <w:uiPriority w:val="99"/>
    <w:rPr>
      <w:color w:val="0000FF"/>
      <w:u w:val="single"/>
    </w:rPr>
  </w:style>
  <w:style w:type="character" w:styleId="96">
    <w:name w:val="annotation reference"/>
    <w:qFormat/>
    <w:uiPriority w:val="0"/>
    <w:rPr>
      <w:sz w:val="21"/>
      <w:szCs w:val="21"/>
    </w:rPr>
  </w:style>
  <w:style w:type="paragraph" w:customStyle="1" w:styleId="97">
    <w:name w:val="样式1"/>
    <w:basedOn w:val="4"/>
    <w:qFormat/>
    <w:uiPriority w:val="0"/>
  </w:style>
  <w:style w:type="character" w:customStyle="1" w:styleId="98">
    <w:name w:val="标题 1 字符"/>
    <w:link w:val="3"/>
    <w:qFormat/>
    <w:uiPriority w:val="9"/>
    <w:rPr>
      <w:rFonts w:ascii="宋体" w:hAnsi="宋体" w:eastAsia="黑体"/>
      <w:b/>
      <w:kern w:val="44"/>
      <w:sz w:val="28"/>
    </w:rPr>
  </w:style>
  <w:style w:type="character" w:customStyle="1" w:styleId="99">
    <w:name w:val="标题 2 字符"/>
    <w:link w:val="4"/>
    <w:qFormat/>
    <w:uiPriority w:val="0"/>
    <w:rPr>
      <w:rFonts w:ascii="宋体" w:hAnsi="宋体" w:eastAsia="黑体"/>
      <w:b/>
      <w:sz w:val="28"/>
    </w:rPr>
  </w:style>
  <w:style w:type="character" w:customStyle="1" w:styleId="100">
    <w:name w:val="标题 3 字符"/>
    <w:link w:val="5"/>
    <w:qFormat/>
    <w:uiPriority w:val="9"/>
    <w:rPr>
      <w:rFonts w:ascii="宋体" w:hAnsi="宋体" w:eastAsia="黑体"/>
      <w:b/>
      <w:sz w:val="28"/>
    </w:rPr>
  </w:style>
  <w:style w:type="paragraph" w:customStyle="1" w:styleId="101">
    <w:name w:val="style4"/>
    <w:basedOn w:val="102"/>
    <w:next w:val="103"/>
    <w:qFormat/>
    <w:uiPriority w:val="0"/>
    <w:pPr>
      <w:spacing w:before="100" w:beforeAutospacing="1" w:after="100" w:afterAutospacing="1"/>
      <w:jc w:val="left"/>
    </w:pPr>
    <w:rPr>
      <w:sz w:val="18"/>
      <w:szCs w:val="18"/>
    </w:rPr>
  </w:style>
  <w:style w:type="paragraph" w:customStyle="1" w:styleId="102">
    <w:name w:val="正文1"/>
    <w:basedOn w:val="1"/>
    <w:next w:val="86"/>
    <w:qFormat/>
    <w:uiPriority w:val="0"/>
    <w:pPr>
      <w:ind w:firstLine="200" w:firstLineChars="200"/>
    </w:pPr>
    <w:rPr>
      <w:rFonts w:cs="宋体"/>
      <w:kern w:val="0"/>
      <w:szCs w:val="20"/>
      <w:lang w:eastAsia="en-US"/>
    </w:rPr>
  </w:style>
  <w:style w:type="paragraph" w:customStyle="1" w:styleId="103">
    <w:name w:val="2"/>
    <w:basedOn w:val="1"/>
    <w:next w:val="1"/>
    <w:qFormat/>
    <w:uiPriority w:val="0"/>
    <w:rPr>
      <w:rFonts w:ascii="Times New Roman" w:hAnsi="Times New Roman" w:eastAsia="仿宋_GB2312"/>
      <w:sz w:val="28"/>
      <w:szCs w:val="28"/>
    </w:rPr>
  </w:style>
  <w:style w:type="paragraph" w:customStyle="1" w:styleId="104">
    <w:name w:val="无间隔1"/>
    <w:qFormat/>
    <w:uiPriority w:val="1"/>
    <w:pPr>
      <w:widowControl w:val="0"/>
      <w:jc w:val="both"/>
    </w:pPr>
    <w:rPr>
      <w:rFonts w:ascii="Calibri" w:hAnsi="Calibri" w:eastAsia="宋体" w:cs="黑体"/>
      <w:kern w:val="2"/>
      <w:sz w:val="21"/>
      <w:szCs w:val="22"/>
      <w:lang w:val="en-US" w:eastAsia="zh-CN" w:bidi="ar-SA"/>
    </w:rPr>
  </w:style>
  <w:style w:type="paragraph" w:customStyle="1" w:styleId="105">
    <w:name w:val="表格"/>
    <w:basedOn w:val="1"/>
    <w:qFormat/>
    <w:uiPriority w:val="0"/>
    <w:pPr>
      <w:tabs>
        <w:tab w:val="left" w:pos="1200"/>
      </w:tabs>
      <w:spacing w:line="500" w:lineRule="exact"/>
      <w:jc w:val="center"/>
    </w:pPr>
    <w:rPr>
      <w:sz w:val="24"/>
      <w:szCs w:val="18"/>
    </w:rPr>
  </w:style>
  <w:style w:type="paragraph" w:customStyle="1" w:styleId="106">
    <w:name w:val="正文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07">
    <w:name w:val="样式4"/>
    <w:basedOn w:val="57"/>
    <w:link w:val="318"/>
    <w:qFormat/>
    <w:uiPriority w:val="0"/>
    <w:pPr>
      <w:pBdr>
        <w:bottom w:val="thickThinSmallGap" w:color="auto" w:sz="12" w:space="1"/>
      </w:pBdr>
      <w:jc w:val="both"/>
    </w:pPr>
    <w:rPr>
      <w:bCs/>
    </w:rPr>
  </w:style>
  <w:style w:type="paragraph" w:customStyle="1" w:styleId="108">
    <w:name w:val="xl140"/>
    <w:basedOn w:val="1"/>
    <w:qFormat/>
    <w:uiPriority w:val="0"/>
    <w:pPr>
      <w:widowControl/>
      <w:spacing w:before="100" w:beforeAutospacing="1" w:after="100" w:afterAutospacing="1"/>
      <w:jc w:val="center"/>
    </w:pPr>
    <w:rPr>
      <w:rFonts w:cs="宋体"/>
      <w:kern w:val="0"/>
      <w:sz w:val="22"/>
      <w:szCs w:val="22"/>
    </w:rPr>
  </w:style>
  <w:style w:type="paragraph" w:customStyle="1" w:styleId="109">
    <w:name w:val="正文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10">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cs="宋体"/>
      <w:color w:val="000000"/>
      <w:kern w:val="0"/>
      <w:sz w:val="24"/>
    </w:rPr>
  </w:style>
  <w:style w:type="paragraph" w:customStyle="1" w:styleId="111">
    <w:name w:val="xl23"/>
    <w:next w:val="75"/>
    <w:qFormat/>
    <w:uiPriority w:val="0"/>
    <w:pPr>
      <w:spacing w:before="100" w:beforeAutospacing="1" w:after="100" w:afterAutospacing="1"/>
      <w:jc w:val="center"/>
    </w:pPr>
    <w:rPr>
      <w:rFonts w:ascii="Arial Unicode MS" w:hAnsi="Arial Unicode MS" w:eastAsia="Arial Unicode MS" w:cs="Times New Roman"/>
      <w:kern w:val="2"/>
      <w:sz w:val="24"/>
      <w:szCs w:val="21"/>
      <w:lang w:val="en-US" w:eastAsia="zh-CN" w:bidi="ar-SA"/>
    </w:rPr>
  </w:style>
  <w:style w:type="paragraph" w:customStyle="1" w:styleId="112">
    <w:name w:val="Char"/>
    <w:basedOn w:val="1"/>
    <w:qFormat/>
    <w:uiPriority w:val="0"/>
    <w:rPr>
      <w:rFonts w:ascii="Tahoma" w:hAnsi="Tahoma"/>
      <w:sz w:val="24"/>
      <w:szCs w:val="20"/>
    </w:rPr>
  </w:style>
  <w:style w:type="paragraph" w:customStyle="1" w:styleId="113">
    <w:name w:val="副标题 New"/>
    <w:basedOn w:val="1"/>
    <w:next w:val="1"/>
    <w:qFormat/>
    <w:uiPriority w:val="0"/>
    <w:pPr>
      <w:numPr>
        <w:ilvl w:val="0"/>
        <w:numId w:val="13"/>
      </w:numPr>
      <w:jc w:val="left"/>
      <w:outlineLvl w:val="1"/>
    </w:pPr>
    <w:rPr>
      <w:rFonts w:ascii="Century Gothic" w:hAnsi="Century Gothic" w:cs="Century Gothic"/>
      <w:kern w:val="28"/>
      <w:szCs w:val="21"/>
    </w:rPr>
  </w:style>
  <w:style w:type="paragraph" w:customStyle="1" w:styleId="114">
    <w:name w:val="纯文本 New"/>
    <w:basedOn w:val="115"/>
    <w:qFormat/>
    <w:uiPriority w:val="0"/>
    <w:pPr>
      <w:widowControl/>
      <w:spacing w:before="100" w:beforeAutospacing="1" w:after="100" w:afterAutospacing="1"/>
      <w:jc w:val="left"/>
    </w:pPr>
    <w:rPr>
      <w:rFonts w:cs="宋体"/>
      <w:sz w:val="24"/>
      <w:szCs w:val="24"/>
    </w:rPr>
  </w:style>
  <w:style w:type="paragraph" w:customStyle="1" w:styleId="115">
    <w:name w:val="正文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16">
    <w:name w:val="正文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17">
    <w:name w:val="普通(网站) New"/>
    <w:basedOn w:val="109"/>
    <w:qFormat/>
    <w:uiPriority w:val="0"/>
    <w:pPr>
      <w:widowControl/>
      <w:spacing w:before="100" w:beforeAutospacing="1" w:after="100" w:afterAutospacing="1"/>
      <w:jc w:val="left"/>
    </w:pPr>
    <w:rPr>
      <w:kern w:val="0"/>
      <w:sz w:val="24"/>
      <w:szCs w:val="24"/>
    </w:rPr>
  </w:style>
  <w:style w:type="paragraph" w:customStyle="1" w:styleId="118">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119">
    <w:name w:val="xl141"/>
    <w:basedOn w:val="1"/>
    <w:qFormat/>
    <w:uiPriority w:val="0"/>
    <w:pPr>
      <w:widowControl/>
      <w:shd w:val="clear" w:color="000000" w:fill="FFFFFF"/>
      <w:spacing w:before="100" w:beforeAutospacing="1" w:after="100" w:afterAutospacing="1"/>
      <w:jc w:val="center"/>
    </w:pPr>
    <w:rPr>
      <w:rFonts w:cs="宋体"/>
      <w:kern w:val="0"/>
      <w:sz w:val="22"/>
      <w:szCs w:val="22"/>
    </w:rPr>
  </w:style>
  <w:style w:type="paragraph" w:customStyle="1" w:styleId="120">
    <w:name w:val="正文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21">
    <w:name w:val="xl138"/>
    <w:basedOn w:val="1"/>
    <w:qFormat/>
    <w:uiPriority w:val="0"/>
    <w:pPr>
      <w:widowControl/>
      <w:spacing w:before="100" w:beforeAutospacing="1" w:after="100" w:afterAutospacing="1"/>
      <w:jc w:val="center"/>
    </w:pPr>
    <w:rPr>
      <w:rFonts w:cs="宋体"/>
      <w:b/>
      <w:bCs/>
      <w:kern w:val="0"/>
      <w:sz w:val="22"/>
      <w:szCs w:val="22"/>
    </w:rPr>
  </w:style>
  <w:style w:type="paragraph" w:customStyle="1" w:styleId="122">
    <w:name w:val="列出段落1"/>
    <w:basedOn w:val="1"/>
    <w:qFormat/>
    <w:uiPriority w:val="0"/>
    <w:pPr>
      <w:ind w:firstLine="420" w:firstLineChars="200"/>
    </w:pPr>
    <w:rPr>
      <w:szCs w:val="20"/>
    </w:rPr>
  </w:style>
  <w:style w:type="paragraph" w:customStyle="1" w:styleId="123">
    <w:name w:val="xl13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cs="宋体"/>
      <w:color w:val="000000"/>
      <w:kern w:val="0"/>
      <w:sz w:val="24"/>
    </w:rPr>
  </w:style>
  <w:style w:type="paragraph" w:customStyle="1" w:styleId="124">
    <w:name w:val="正文 New New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25">
    <w:name w:val="xl1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cs="宋体"/>
      <w:b/>
      <w:bCs/>
      <w:kern w:val="0"/>
      <w:sz w:val="24"/>
    </w:rPr>
  </w:style>
  <w:style w:type="paragraph" w:customStyle="1" w:styleId="126">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kern w:val="0"/>
      <w:sz w:val="20"/>
      <w:szCs w:val="20"/>
    </w:rPr>
  </w:style>
  <w:style w:type="paragraph" w:customStyle="1" w:styleId="127">
    <w:name w:val="正文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28">
    <w:name w:val="xl143"/>
    <w:basedOn w:val="1"/>
    <w:qFormat/>
    <w:uiPriority w:val="0"/>
    <w:pPr>
      <w:widowControl/>
      <w:spacing w:before="100" w:beforeAutospacing="1" w:after="100" w:afterAutospacing="1"/>
      <w:jc w:val="center"/>
    </w:pPr>
    <w:rPr>
      <w:rFonts w:cs="宋体"/>
      <w:color w:val="FF0000"/>
      <w:kern w:val="0"/>
      <w:sz w:val="22"/>
      <w:szCs w:val="22"/>
    </w:rPr>
  </w:style>
  <w:style w:type="paragraph" w:customStyle="1" w:styleId="129">
    <w:name w:val="正文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30">
    <w:name w:val="样式 黑体 居中 首行缩进:  0.35 厘米 行距: 1.5 倍行距"/>
    <w:basedOn w:val="1"/>
    <w:qFormat/>
    <w:uiPriority w:val="0"/>
    <w:pPr>
      <w:widowControl/>
      <w:jc w:val="center"/>
    </w:pPr>
    <w:rPr>
      <w:rFonts w:ascii="黑体" w:hAnsi="黑体" w:eastAsia="黑体"/>
      <w:kern w:val="0"/>
      <w:sz w:val="24"/>
      <w:szCs w:val="20"/>
    </w:rPr>
  </w:style>
  <w:style w:type="paragraph" w:customStyle="1" w:styleId="131">
    <w:name w:val="xl1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132">
    <w:name w:val="附件正文"/>
    <w:qFormat/>
    <w:uiPriority w:val="0"/>
    <w:pPr>
      <w:snapToGrid w:val="0"/>
      <w:spacing w:line="500" w:lineRule="exact"/>
      <w:ind w:firstLine="540" w:firstLineChars="225"/>
    </w:pPr>
    <w:rPr>
      <w:rFonts w:ascii="宋体" w:hAnsi="宋体" w:eastAsia="宋体" w:cs="Times New Roman"/>
      <w:kern w:val="2"/>
      <w:sz w:val="24"/>
      <w:szCs w:val="21"/>
      <w:lang w:val="en-US" w:eastAsia="zh-CN" w:bidi="ar-SA"/>
    </w:rPr>
  </w:style>
  <w:style w:type="paragraph" w:customStyle="1" w:styleId="133">
    <w:name w:val="xl1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134">
    <w:name w:val="g3"/>
    <w:basedOn w:val="1"/>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135">
    <w:name w:val="Absatz2AL"/>
    <w:basedOn w:val="34"/>
    <w:next w:val="1"/>
    <w:qFormat/>
    <w:uiPriority w:val="0"/>
    <w:pPr>
      <w:widowControl/>
      <w:overflowPunct w:val="0"/>
      <w:autoSpaceDE w:val="0"/>
      <w:autoSpaceDN w:val="0"/>
      <w:adjustRightInd w:val="0"/>
      <w:textAlignment w:val="baseline"/>
    </w:pPr>
    <w:rPr>
      <w:rFonts w:ascii="Times New Roman" w:hAnsi="Times New Roman" w:eastAsia="宋体"/>
      <w:b w:val="0"/>
      <w:spacing w:val="0"/>
      <w:kern w:val="0"/>
      <w:sz w:val="21"/>
      <w:lang w:val="de-DE" w:eastAsia="de-DE"/>
    </w:rPr>
  </w:style>
  <w:style w:type="paragraph" w:customStyle="1" w:styleId="136">
    <w:name w:val="正文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37">
    <w:name w:val="Char Char3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38">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b/>
      <w:bCs/>
      <w:kern w:val="0"/>
      <w:sz w:val="20"/>
      <w:szCs w:val="20"/>
    </w:rPr>
  </w:style>
  <w:style w:type="paragraph" w:customStyle="1" w:styleId="139">
    <w:name w:val="xl1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140">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color w:val="000000"/>
      <w:kern w:val="0"/>
      <w:sz w:val="24"/>
    </w:rPr>
  </w:style>
  <w:style w:type="paragraph" w:customStyle="1" w:styleId="141">
    <w:name w:val="xl1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宋体"/>
      <w:kern w:val="0"/>
      <w:sz w:val="22"/>
      <w:szCs w:val="22"/>
    </w:rPr>
  </w:style>
  <w:style w:type="paragraph" w:customStyle="1" w:styleId="142">
    <w:name w:val="正文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43">
    <w:name w:val="抬头"/>
    <w:basedOn w:val="1"/>
    <w:qFormat/>
    <w:uiPriority w:val="0"/>
    <w:pPr>
      <w:spacing w:beforeLines="50"/>
    </w:pPr>
    <w:rPr>
      <w:sz w:val="24"/>
    </w:rPr>
  </w:style>
  <w:style w:type="paragraph" w:customStyle="1" w:styleId="144">
    <w:name w:val="样式5"/>
    <w:basedOn w:val="45"/>
    <w:link w:val="293"/>
    <w:qFormat/>
    <w:uiPriority w:val="0"/>
    <w:pPr>
      <w:pBdr>
        <w:bottom w:val="thickThinSmallGap" w:color="auto" w:sz="12" w:space="1"/>
      </w:pBdr>
      <w:tabs>
        <w:tab w:val="center" w:pos="4535"/>
      </w:tabs>
      <w:jc w:val="center"/>
    </w:pPr>
    <w:rPr>
      <w:u w:val="single"/>
    </w:rPr>
  </w:style>
  <w:style w:type="paragraph" w:customStyle="1" w:styleId="145">
    <w:name w:val="正文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46">
    <w:name w:val="注"/>
    <w:basedOn w:val="1"/>
    <w:qFormat/>
    <w:uiPriority w:val="0"/>
    <w:pPr>
      <w:ind w:left="200" w:hanging="200" w:hangingChars="200"/>
    </w:pPr>
    <w:rPr>
      <w:b/>
    </w:rPr>
  </w:style>
  <w:style w:type="paragraph" w:customStyle="1" w:styleId="147">
    <w:name w:val="Default"/>
    <w:qFormat/>
    <w:uiPriority w:val="0"/>
    <w:pPr>
      <w:widowControl w:val="0"/>
      <w:autoSpaceDE w:val="0"/>
      <w:autoSpaceDN w:val="0"/>
      <w:adjustRightInd w:val="0"/>
    </w:pPr>
    <w:rPr>
      <w:rFonts w:ascii="宋体" w:hAnsi="宋体" w:eastAsia="宋体" w:cs="Times New Roman"/>
      <w:color w:val="000000"/>
      <w:kern w:val="2"/>
      <w:sz w:val="24"/>
      <w:szCs w:val="24"/>
      <w:lang w:val="en-US" w:eastAsia="zh-CN" w:bidi="ar-SA"/>
    </w:rPr>
  </w:style>
  <w:style w:type="paragraph" w:customStyle="1" w:styleId="148">
    <w:name w:val="正文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49">
    <w:name w:val="para"/>
    <w:basedOn w:val="1"/>
    <w:qFormat/>
    <w:uiPriority w:val="0"/>
    <w:pPr>
      <w:widowControl/>
      <w:adjustRightInd w:val="0"/>
      <w:spacing w:before="160"/>
      <w:ind w:firstLine="425"/>
      <w:textAlignment w:val="baseline"/>
    </w:pPr>
    <w:rPr>
      <w:kern w:val="0"/>
      <w:sz w:val="24"/>
      <w:szCs w:val="20"/>
      <w:lang w:eastAsia="en-US"/>
    </w:rPr>
  </w:style>
  <w:style w:type="paragraph" w:customStyle="1" w:styleId="150">
    <w:name w:val="Char Char Char Char Char Char Char Char Char Char"/>
    <w:basedOn w:val="1"/>
    <w:qFormat/>
    <w:uiPriority w:val="0"/>
    <w:pPr>
      <w:tabs>
        <w:tab w:val="left" w:pos="360"/>
      </w:tabs>
      <w:ind w:left="360" w:hanging="360" w:hangingChars="200"/>
    </w:pPr>
    <w:rPr>
      <w:szCs w:val="20"/>
    </w:rPr>
  </w:style>
  <w:style w:type="paragraph" w:customStyle="1" w:styleId="151">
    <w:name w:val="xl139"/>
    <w:basedOn w:val="1"/>
    <w:qFormat/>
    <w:uiPriority w:val="0"/>
    <w:pPr>
      <w:widowControl/>
      <w:shd w:val="clear" w:color="000000" w:fill="FFFFFF"/>
      <w:spacing w:before="100" w:beforeAutospacing="1" w:after="100" w:afterAutospacing="1"/>
      <w:jc w:val="center"/>
    </w:pPr>
    <w:rPr>
      <w:rFonts w:cs="宋体"/>
      <w:b/>
      <w:bCs/>
      <w:kern w:val="0"/>
      <w:sz w:val="22"/>
      <w:szCs w:val="22"/>
    </w:rPr>
  </w:style>
  <w:style w:type="paragraph" w:customStyle="1" w:styleId="152">
    <w:name w:val="xl145"/>
    <w:basedOn w:val="1"/>
    <w:qFormat/>
    <w:uiPriority w:val="0"/>
    <w:pPr>
      <w:widowControl/>
      <w:spacing w:before="100" w:beforeAutospacing="1" w:after="100" w:afterAutospacing="1"/>
      <w:jc w:val="left"/>
    </w:pPr>
    <w:rPr>
      <w:rFonts w:cs="宋体"/>
      <w:kern w:val="0"/>
      <w:sz w:val="24"/>
    </w:rPr>
  </w:style>
  <w:style w:type="paragraph" w:customStyle="1" w:styleId="153">
    <w:name w:val="Char Char Char"/>
    <w:basedOn w:val="1"/>
    <w:qFormat/>
    <w:uiPriority w:val="0"/>
    <w:pPr>
      <w:ind w:firstLine="200" w:firstLineChars="200"/>
    </w:pPr>
    <w:rPr>
      <w:sz w:val="24"/>
    </w:rPr>
  </w:style>
  <w:style w:type="paragraph" w:customStyle="1" w:styleId="154">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155">
    <w:name w:val="正文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56">
    <w:name w:val="题目"/>
    <w:basedOn w:val="1"/>
    <w:qFormat/>
    <w:uiPriority w:val="0"/>
    <w:pPr>
      <w:snapToGrid w:val="0"/>
      <w:spacing w:line="480" w:lineRule="auto"/>
      <w:jc w:val="center"/>
    </w:pPr>
    <w:rPr>
      <w:rFonts w:ascii="方正小标宋_GBK" w:eastAsia="方正小标宋_GBK"/>
      <w:sz w:val="44"/>
      <w:szCs w:val="44"/>
    </w:rPr>
  </w:style>
  <w:style w:type="paragraph" w:customStyle="1" w:styleId="157">
    <w:name w:val="正文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58">
    <w:name w:val="正文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59">
    <w:name w:val="Char1"/>
    <w:basedOn w:val="1"/>
    <w:qFormat/>
    <w:uiPriority w:val="0"/>
    <w:rPr>
      <w:szCs w:val="20"/>
    </w:rPr>
  </w:style>
  <w:style w:type="paragraph" w:customStyle="1" w:styleId="160">
    <w:name w:val="xl146"/>
    <w:basedOn w:val="1"/>
    <w:qFormat/>
    <w:uiPriority w:val="0"/>
    <w:pPr>
      <w:widowControl/>
      <w:spacing w:before="100" w:beforeAutospacing="1" w:after="100" w:afterAutospacing="1"/>
      <w:jc w:val="center"/>
    </w:pPr>
    <w:rPr>
      <w:rFonts w:cs="宋体"/>
      <w:kern w:val="0"/>
      <w:sz w:val="24"/>
    </w:rPr>
  </w:style>
  <w:style w:type="paragraph" w:customStyle="1" w:styleId="161">
    <w:name w:val="正文 New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62">
    <w:name w:val="xl15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cs="宋体"/>
      <w:kern w:val="0"/>
      <w:sz w:val="20"/>
      <w:szCs w:val="20"/>
    </w:rPr>
  </w:style>
  <w:style w:type="paragraph" w:customStyle="1" w:styleId="163">
    <w:name w:val="xl1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宋体"/>
      <w:kern w:val="0"/>
      <w:sz w:val="22"/>
      <w:szCs w:val="22"/>
    </w:rPr>
  </w:style>
  <w:style w:type="paragraph" w:customStyle="1" w:styleId="164">
    <w:name w:val="正文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65">
    <w:name w:val="正文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66">
    <w:name w:val="xl159"/>
    <w:basedOn w:val="1"/>
    <w:qFormat/>
    <w:uiPriority w:val="0"/>
    <w:pPr>
      <w:widowControl/>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jc w:val="left"/>
    </w:pPr>
    <w:rPr>
      <w:rFonts w:cs="宋体"/>
      <w:kern w:val="0"/>
      <w:sz w:val="20"/>
      <w:szCs w:val="20"/>
    </w:rPr>
  </w:style>
  <w:style w:type="paragraph" w:customStyle="1" w:styleId="167">
    <w:name w:val="正文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68">
    <w:name w:val="xl1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cs="宋体"/>
      <w:kern w:val="0"/>
      <w:sz w:val="24"/>
    </w:rPr>
  </w:style>
  <w:style w:type="paragraph" w:customStyle="1" w:styleId="169">
    <w:name w:val="正文 New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70">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kern w:val="0"/>
      <w:sz w:val="20"/>
      <w:szCs w:val="20"/>
    </w:rPr>
  </w:style>
  <w:style w:type="paragraph" w:customStyle="1" w:styleId="171">
    <w:name w:val="样式2"/>
    <w:basedOn w:val="4"/>
    <w:qFormat/>
    <w:uiPriority w:val="0"/>
    <w:pPr>
      <w:spacing w:line="440" w:lineRule="exact"/>
      <w:jc w:val="center"/>
    </w:pPr>
    <w:rPr>
      <w:b w:val="0"/>
      <w:sz w:val="32"/>
    </w:rPr>
  </w:style>
  <w:style w:type="paragraph" w:customStyle="1" w:styleId="172">
    <w:name w:val="样式7"/>
    <w:basedOn w:val="57"/>
    <w:link w:val="294"/>
    <w:qFormat/>
    <w:uiPriority w:val="0"/>
    <w:pPr>
      <w:pBdr>
        <w:top w:val="single" w:color="auto" w:sz="6" w:space="1"/>
        <w:left w:val="single" w:color="auto" w:sz="6" w:space="4"/>
        <w:bottom w:val="thickThinSmallGap" w:color="auto" w:sz="12" w:space="1"/>
        <w:right w:val="single" w:color="auto" w:sz="6" w:space="4"/>
      </w:pBdr>
    </w:pPr>
  </w:style>
  <w:style w:type="paragraph" w:customStyle="1" w:styleId="173">
    <w:name w:val="正文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74">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color w:val="000000"/>
      <w:kern w:val="0"/>
      <w:sz w:val="24"/>
    </w:rPr>
  </w:style>
  <w:style w:type="paragraph" w:customStyle="1" w:styleId="175">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b/>
      <w:bCs/>
      <w:color w:val="000000"/>
      <w:kern w:val="0"/>
      <w:sz w:val="32"/>
      <w:szCs w:val="32"/>
    </w:rPr>
  </w:style>
  <w:style w:type="paragraph" w:customStyle="1" w:styleId="176">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宋体"/>
      <w:b/>
      <w:bCs/>
      <w:kern w:val="0"/>
      <w:sz w:val="22"/>
      <w:szCs w:val="22"/>
    </w:rPr>
  </w:style>
  <w:style w:type="paragraph" w:customStyle="1" w:styleId="177">
    <w:name w:val="xl1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178">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4"/>
    </w:rPr>
  </w:style>
  <w:style w:type="paragraph" w:customStyle="1" w:styleId="179">
    <w:name w:val="font5"/>
    <w:basedOn w:val="1"/>
    <w:qFormat/>
    <w:uiPriority w:val="0"/>
    <w:pPr>
      <w:widowControl/>
      <w:spacing w:before="100" w:beforeAutospacing="1" w:after="100" w:afterAutospacing="1"/>
      <w:jc w:val="left"/>
    </w:pPr>
    <w:rPr>
      <w:rFonts w:cs="宋体"/>
      <w:color w:val="000000"/>
      <w:kern w:val="0"/>
      <w:sz w:val="24"/>
    </w:rPr>
  </w:style>
  <w:style w:type="paragraph" w:customStyle="1" w:styleId="180">
    <w:name w:val="xl16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cs="宋体"/>
      <w:b/>
      <w:bCs/>
      <w:color w:val="000000"/>
      <w:kern w:val="0"/>
      <w:sz w:val="24"/>
    </w:rPr>
  </w:style>
  <w:style w:type="paragraph" w:customStyle="1" w:styleId="181">
    <w:name w:val="Char2"/>
    <w:basedOn w:val="1"/>
    <w:qFormat/>
    <w:uiPriority w:val="0"/>
    <w:pPr>
      <w:widowControl/>
      <w:spacing w:after="160" w:line="240" w:lineRule="exact"/>
      <w:jc w:val="left"/>
    </w:pPr>
    <w:rPr>
      <w:szCs w:val="20"/>
    </w:rPr>
  </w:style>
  <w:style w:type="paragraph" w:customStyle="1" w:styleId="182">
    <w:name w:val="正文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83">
    <w:name w:val="正文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84">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b/>
      <w:bCs/>
      <w:color w:val="000000"/>
      <w:kern w:val="0"/>
      <w:sz w:val="24"/>
    </w:rPr>
  </w:style>
  <w:style w:type="paragraph" w:customStyle="1" w:styleId="185">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4"/>
    </w:rPr>
  </w:style>
  <w:style w:type="paragraph" w:customStyle="1" w:styleId="186">
    <w:name w:val="正文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87">
    <w:name w:val="正文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88">
    <w:name w:val="正文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89">
    <w:name w:val="xl142"/>
    <w:basedOn w:val="1"/>
    <w:qFormat/>
    <w:uiPriority w:val="0"/>
    <w:pPr>
      <w:widowControl/>
      <w:shd w:val="clear" w:color="000000" w:fill="FFFFFF"/>
      <w:spacing w:before="100" w:beforeAutospacing="1" w:after="100" w:afterAutospacing="1"/>
      <w:jc w:val="left"/>
    </w:pPr>
    <w:rPr>
      <w:rFonts w:cs="宋体"/>
      <w:kern w:val="0"/>
      <w:sz w:val="22"/>
      <w:szCs w:val="22"/>
    </w:rPr>
  </w:style>
  <w:style w:type="paragraph" w:customStyle="1" w:styleId="190">
    <w:name w:val="样式3"/>
    <w:basedOn w:val="57"/>
    <w:link w:val="301"/>
    <w:qFormat/>
    <w:uiPriority w:val="0"/>
    <w:pPr>
      <w:pBdr>
        <w:bottom w:val="thickThinSmallGap" w:color="auto" w:sz="12" w:space="1"/>
      </w:pBdr>
      <w:jc w:val="left"/>
    </w:pPr>
    <w:rPr>
      <w:rFonts w:ascii="黑体" w:hAnsi="黑体" w:eastAsia="黑体"/>
      <w:bCs/>
    </w:rPr>
  </w:style>
  <w:style w:type="paragraph" w:customStyle="1" w:styleId="191">
    <w:name w:val="正文五号"/>
    <w:basedOn w:val="1"/>
    <w:qFormat/>
    <w:uiPriority w:val="0"/>
    <w:rPr>
      <w:rFonts w:hint="eastAsia" w:eastAsia="仿宋_GB2312"/>
      <w:szCs w:val="20"/>
    </w:rPr>
  </w:style>
  <w:style w:type="paragraph" w:customStyle="1" w:styleId="192">
    <w:name w:val="xl144"/>
    <w:basedOn w:val="1"/>
    <w:qFormat/>
    <w:uiPriority w:val="0"/>
    <w:pPr>
      <w:widowControl/>
      <w:spacing w:before="100" w:beforeAutospacing="1" w:after="100" w:afterAutospacing="1"/>
      <w:jc w:val="left"/>
      <w:textAlignment w:val="top"/>
    </w:pPr>
    <w:rPr>
      <w:rFonts w:cs="宋体"/>
      <w:kern w:val="0"/>
      <w:sz w:val="24"/>
    </w:rPr>
  </w:style>
  <w:style w:type="paragraph" w:customStyle="1" w:styleId="193">
    <w:name w:val="正文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94">
    <w:name w:val="正文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95">
    <w:name w:val="说明"/>
    <w:basedOn w:val="1"/>
    <w:qFormat/>
    <w:uiPriority w:val="0"/>
    <w:pPr>
      <w:ind w:left="1" w:leftChars="-52" w:hanging="110" w:hangingChars="61"/>
      <w:jc w:val="center"/>
    </w:pPr>
    <w:rPr>
      <w:szCs w:val="20"/>
    </w:rPr>
  </w:style>
  <w:style w:type="paragraph" w:customStyle="1" w:styleId="196">
    <w:name w:val="副标题 New New"/>
    <w:basedOn w:val="1"/>
    <w:next w:val="1"/>
    <w:qFormat/>
    <w:uiPriority w:val="0"/>
    <w:pPr>
      <w:tabs>
        <w:tab w:val="left" w:pos="840"/>
      </w:tabs>
      <w:ind w:left="840" w:hanging="420"/>
      <w:jc w:val="left"/>
      <w:outlineLvl w:val="1"/>
    </w:pPr>
    <w:rPr>
      <w:rFonts w:ascii="Century Gothic" w:hAnsi="Century Gothic" w:cs="Century Gothic"/>
      <w:kern w:val="28"/>
      <w:szCs w:val="21"/>
    </w:rPr>
  </w:style>
  <w:style w:type="paragraph" w:customStyle="1" w:styleId="197">
    <w:name w:val="正文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98">
    <w:name w:val="副标题 New New New"/>
    <w:basedOn w:val="199"/>
    <w:next w:val="199"/>
    <w:qFormat/>
    <w:uiPriority w:val="0"/>
    <w:pPr>
      <w:numPr>
        <w:ilvl w:val="0"/>
        <w:numId w:val="14"/>
      </w:numPr>
      <w:jc w:val="left"/>
      <w:outlineLvl w:val="1"/>
    </w:pPr>
    <w:rPr>
      <w:rFonts w:ascii="Century Gothic" w:hAnsi="Century Gothic"/>
      <w:bCs/>
      <w:kern w:val="28"/>
      <w:szCs w:val="32"/>
    </w:rPr>
  </w:style>
  <w:style w:type="paragraph" w:customStyle="1" w:styleId="199">
    <w:name w:val="正文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00">
    <w:name w:val="xl147"/>
    <w:basedOn w:val="1"/>
    <w:qFormat/>
    <w:uiPriority w:val="0"/>
    <w:pPr>
      <w:widowControl/>
      <w:spacing w:before="100" w:beforeAutospacing="1" w:after="100" w:afterAutospacing="1"/>
      <w:jc w:val="left"/>
    </w:pPr>
    <w:rPr>
      <w:rFonts w:cs="宋体"/>
      <w:kern w:val="0"/>
      <w:sz w:val="20"/>
      <w:szCs w:val="20"/>
    </w:rPr>
  </w:style>
  <w:style w:type="paragraph" w:customStyle="1" w:styleId="201">
    <w:name w:val="正文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02">
    <w:name w:val="xl16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cs="宋体"/>
      <w:b/>
      <w:bCs/>
      <w:color w:val="000000"/>
      <w:kern w:val="0"/>
      <w:sz w:val="24"/>
    </w:rPr>
  </w:style>
  <w:style w:type="paragraph" w:customStyle="1" w:styleId="203">
    <w:name w:val="xl16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cs="宋体"/>
      <w:b/>
      <w:bCs/>
      <w:kern w:val="0"/>
      <w:sz w:val="24"/>
    </w:rPr>
  </w:style>
  <w:style w:type="paragraph" w:customStyle="1" w:styleId="204">
    <w:name w:val="font6"/>
    <w:basedOn w:val="1"/>
    <w:qFormat/>
    <w:uiPriority w:val="0"/>
    <w:pPr>
      <w:widowControl/>
      <w:spacing w:before="100" w:beforeAutospacing="1" w:after="100" w:afterAutospacing="1"/>
      <w:jc w:val="left"/>
    </w:pPr>
    <w:rPr>
      <w:rFonts w:cs="宋体"/>
      <w:kern w:val="0"/>
      <w:sz w:val="20"/>
      <w:szCs w:val="20"/>
    </w:rPr>
  </w:style>
  <w:style w:type="paragraph" w:customStyle="1" w:styleId="205">
    <w:name w:val="xl1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cs="宋体"/>
      <w:kern w:val="0"/>
      <w:sz w:val="24"/>
    </w:rPr>
  </w:style>
  <w:style w:type="paragraph" w:customStyle="1" w:styleId="206">
    <w:name w:val="正文 New New New New New New New New New New New New New New New New New New New New New New New New New New New New New New New New New New New New New New New New"/>
    <w:qFormat/>
    <w:uiPriority w:val="0"/>
    <w:pPr>
      <w:widowControl w:val="0"/>
      <w:spacing w:line="460" w:lineRule="exact"/>
      <w:jc w:val="both"/>
    </w:pPr>
    <w:rPr>
      <w:rFonts w:ascii="宋体" w:hAnsi="宋体" w:eastAsia="宋体" w:cs="Times New Roman"/>
      <w:spacing w:val="6"/>
      <w:kern w:val="2"/>
      <w:sz w:val="24"/>
      <w:szCs w:val="24"/>
      <w:lang w:val="en-US" w:eastAsia="zh-CN" w:bidi="ar-SA"/>
    </w:rPr>
  </w:style>
  <w:style w:type="paragraph" w:customStyle="1" w:styleId="207">
    <w:name w:val="样式6"/>
    <w:basedOn w:val="57"/>
    <w:link w:val="315"/>
    <w:qFormat/>
    <w:uiPriority w:val="0"/>
    <w:pPr>
      <w:pBdr>
        <w:bottom w:val="thickThinSmallGap" w:color="auto" w:sz="12" w:space="1"/>
      </w:pBdr>
      <w:jc w:val="both"/>
    </w:pPr>
  </w:style>
  <w:style w:type="paragraph" w:customStyle="1" w:styleId="208">
    <w:name w:val="xl15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cs="宋体"/>
      <w:kern w:val="0"/>
      <w:sz w:val="20"/>
      <w:szCs w:val="20"/>
    </w:rPr>
  </w:style>
  <w:style w:type="paragraph" w:customStyle="1" w:styleId="209">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kern w:val="0"/>
      <w:sz w:val="20"/>
      <w:szCs w:val="20"/>
    </w:rPr>
  </w:style>
  <w:style w:type="paragraph" w:customStyle="1" w:styleId="210">
    <w:name w:val="纯文本 New New New"/>
    <w:basedOn w:val="173"/>
    <w:qFormat/>
    <w:uiPriority w:val="0"/>
  </w:style>
  <w:style w:type="paragraph" w:customStyle="1" w:styleId="211">
    <w:name w:val="纯文本 New New"/>
    <w:basedOn w:val="212"/>
    <w:qFormat/>
    <w:uiPriority w:val="0"/>
    <w:pPr>
      <w:widowControl/>
      <w:spacing w:before="100" w:beforeAutospacing="1" w:after="100" w:afterAutospacing="1"/>
      <w:jc w:val="left"/>
    </w:pPr>
    <w:rPr>
      <w:rFonts w:cs="宋体"/>
      <w:sz w:val="24"/>
      <w:szCs w:val="24"/>
    </w:rPr>
  </w:style>
  <w:style w:type="paragraph" w:customStyle="1" w:styleId="212">
    <w:name w:val="正文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13">
    <w:name w:val="文档正文"/>
    <w:basedOn w:val="1"/>
    <w:qFormat/>
    <w:uiPriority w:val="0"/>
    <w:pPr>
      <w:adjustRightInd w:val="0"/>
      <w:snapToGrid w:val="0"/>
      <w:ind w:left="13" w:leftChars="-45" w:hanging="107" w:hangingChars="51"/>
    </w:pPr>
    <w:rPr>
      <w:color w:val="FF0000"/>
      <w:kern w:val="0"/>
      <w:szCs w:val="20"/>
    </w:rPr>
  </w:style>
  <w:style w:type="paragraph" w:customStyle="1" w:styleId="214">
    <w:name w:val="正文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styleId="215">
    <w:name w:val="List Paragraph"/>
    <w:basedOn w:val="1"/>
    <w:link w:val="338"/>
    <w:qFormat/>
    <w:uiPriority w:val="34"/>
    <w:pPr>
      <w:ind w:firstLine="420" w:firstLineChars="200"/>
    </w:pPr>
    <w:rPr>
      <w:szCs w:val="21"/>
    </w:rPr>
  </w:style>
  <w:style w:type="paragraph" w:customStyle="1" w:styleId="216">
    <w:name w:val="正文 New New New New New New New New New New New New New New New New New New New New New New New New New New New New New New New New New New New New New New New"/>
    <w:qFormat/>
    <w:uiPriority w:val="0"/>
    <w:pPr>
      <w:widowControl w:val="0"/>
      <w:spacing w:line="460" w:lineRule="exact"/>
      <w:jc w:val="both"/>
    </w:pPr>
    <w:rPr>
      <w:rFonts w:ascii="宋体" w:hAnsi="宋体" w:eastAsia="宋体" w:cs="Times New Roman"/>
      <w:spacing w:val="6"/>
      <w:kern w:val="2"/>
      <w:sz w:val="24"/>
      <w:szCs w:val="24"/>
      <w:lang w:val="en-US" w:eastAsia="zh-CN" w:bidi="ar-SA"/>
    </w:rPr>
  </w:style>
  <w:style w:type="paragraph" w:customStyle="1" w:styleId="217">
    <w:name w:val="xl1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b/>
      <w:bCs/>
      <w:kern w:val="0"/>
      <w:sz w:val="22"/>
      <w:szCs w:val="22"/>
    </w:rPr>
  </w:style>
  <w:style w:type="paragraph" w:customStyle="1" w:styleId="218">
    <w:name w:val="样式8"/>
    <w:basedOn w:val="172"/>
    <w:link w:val="298"/>
    <w:qFormat/>
    <w:uiPriority w:val="0"/>
    <w:pPr>
      <w:pBdr>
        <w:top w:val="none" w:color="auto" w:sz="0" w:space="0"/>
        <w:left w:val="none" w:color="auto" w:sz="0" w:space="0"/>
        <w:right w:val="none" w:color="auto" w:sz="0" w:space="0"/>
      </w:pBdr>
    </w:pPr>
  </w:style>
  <w:style w:type="paragraph" w:customStyle="1" w:styleId="219">
    <w:name w:val="正文 New New New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20">
    <w:name w:val="default"/>
    <w:basedOn w:val="1"/>
    <w:qFormat/>
    <w:uiPriority w:val="0"/>
    <w:pPr>
      <w:widowControl/>
      <w:spacing w:before="100" w:beforeAutospacing="1" w:after="100" w:afterAutospacing="1"/>
      <w:jc w:val="left"/>
    </w:pPr>
    <w:rPr>
      <w:rFonts w:cs="宋体"/>
      <w:kern w:val="0"/>
      <w:sz w:val="24"/>
    </w:rPr>
  </w:style>
  <w:style w:type="paragraph" w:customStyle="1" w:styleId="221">
    <w:name w:val="正文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22">
    <w:name w:val="正文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23">
    <w:name w:val="正文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24">
    <w:name w:val="xl12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cs="宋体"/>
      <w:kern w:val="0"/>
      <w:sz w:val="24"/>
    </w:rPr>
  </w:style>
  <w:style w:type="paragraph" w:customStyle="1" w:styleId="225">
    <w:name w:val="正文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26">
    <w:name w:val="font7"/>
    <w:basedOn w:val="1"/>
    <w:qFormat/>
    <w:uiPriority w:val="0"/>
    <w:pPr>
      <w:widowControl/>
      <w:spacing w:before="100" w:beforeAutospacing="1" w:after="100" w:afterAutospacing="1"/>
      <w:jc w:val="left"/>
    </w:pPr>
    <w:rPr>
      <w:rFonts w:cs="宋体"/>
      <w:kern w:val="0"/>
      <w:sz w:val="18"/>
      <w:szCs w:val="18"/>
    </w:rPr>
  </w:style>
  <w:style w:type="paragraph" w:customStyle="1" w:styleId="227">
    <w:name w:val="xl65"/>
    <w:basedOn w:val="1"/>
    <w:qFormat/>
    <w:uiPriority w:val="0"/>
    <w:pPr>
      <w:widowControl/>
      <w:spacing w:before="100" w:beforeAutospacing="1" w:after="100" w:afterAutospacing="1"/>
      <w:jc w:val="left"/>
      <w:textAlignment w:val="center"/>
    </w:pPr>
    <w:rPr>
      <w:rFonts w:cs="宋体"/>
      <w:kern w:val="0"/>
      <w:sz w:val="24"/>
    </w:rPr>
  </w:style>
  <w:style w:type="paragraph" w:customStyle="1" w:styleId="228">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b/>
      <w:bCs/>
      <w:kern w:val="0"/>
      <w:sz w:val="20"/>
      <w:szCs w:val="20"/>
    </w:rPr>
  </w:style>
  <w:style w:type="paragraph" w:customStyle="1" w:styleId="229">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b/>
      <w:bCs/>
      <w:kern w:val="0"/>
      <w:sz w:val="20"/>
      <w:szCs w:val="20"/>
    </w:rPr>
  </w:style>
  <w:style w:type="paragraph" w:customStyle="1" w:styleId="230">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231">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32">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233">
    <w:name w:val="xl71"/>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23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35">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236">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3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3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39">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40">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cs="宋体"/>
      <w:b/>
      <w:bCs/>
      <w:kern w:val="0"/>
      <w:sz w:val="20"/>
      <w:szCs w:val="20"/>
    </w:rPr>
  </w:style>
  <w:style w:type="paragraph" w:customStyle="1" w:styleId="24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42">
    <w:name w:val="xl80"/>
    <w:basedOn w:val="1"/>
    <w:qFormat/>
    <w:uiPriority w:val="0"/>
    <w:pPr>
      <w:widowControl/>
      <w:spacing w:before="100" w:beforeAutospacing="1" w:after="100" w:afterAutospacing="1"/>
      <w:jc w:val="center"/>
      <w:textAlignment w:val="center"/>
    </w:pPr>
    <w:rPr>
      <w:rFonts w:cs="宋体"/>
      <w:kern w:val="0"/>
      <w:sz w:val="20"/>
      <w:szCs w:val="20"/>
    </w:rPr>
  </w:style>
  <w:style w:type="paragraph" w:customStyle="1" w:styleId="243">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44">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45">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246">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47">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48">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49">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250">
    <w:name w:val="xl88"/>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251">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52">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253">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54">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55">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56">
    <w:name w:val="xl94"/>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257">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58">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259">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60">
    <w:name w:val="xl98"/>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261">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kern w:val="0"/>
      <w:sz w:val="24"/>
    </w:rPr>
  </w:style>
  <w:style w:type="paragraph" w:customStyle="1" w:styleId="262">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b/>
      <w:bCs/>
      <w:kern w:val="0"/>
      <w:sz w:val="20"/>
      <w:szCs w:val="20"/>
    </w:rPr>
  </w:style>
  <w:style w:type="paragraph" w:customStyle="1" w:styleId="263">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kern w:val="0"/>
      <w:sz w:val="24"/>
    </w:rPr>
  </w:style>
  <w:style w:type="paragraph" w:customStyle="1" w:styleId="26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kern w:val="0"/>
      <w:sz w:val="24"/>
    </w:rPr>
  </w:style>
  <w:style w:type="paragraph" w:customStyle="1" w:styleId="265">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66">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cs="宋体"/>
      <w:kern w:val="0"/>
      <w:sz w:val="20"/>
      <w:szCs w:val="20"/>
    </w:rPr>
  </w:style>
  <w:style w:type="paragraph" w:customStyle="1" w:styleId="26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kern w:val="0"/>
      <w:sz w:val="20"/>
      <w:szCs w:val="20"/>
    </w:rPr>
  </w:style>
  <w:style w:type="paragraph" w:customStyle="1" w:styleId="26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26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kern w:val="0"/>
      <w:sz w:val="20"/>
      <w:szCs w:val="20"/>
    </w:rPr>
  </w:style>
  <w:style w:type="paragraph" w:customStyle="1" w:styleId="270">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kern w:val="0"/>
      <w:sz w:val="20"/>
      <w:szCs w:val="20"/>
    </w:rPr>
  </w:style>
  <w:style w:type="paragraph" w:customStyle="1" w:styleId="271">
    <w:name w:val="xl109"/>
    <w:basedOn w:val="1"/>
    <w:qFormat/>
    <w:uiPriority w:val="0"/>
    <w:pPr>
      <w:widowControl/>
      <w:spacing w:before="100" w:beforeAutospacing="1" w:after="100" w:afterAutospacing="1"/>
      <w:jc w:val="left"/>
      <w:textAlignment w:val="center"/>
    </w:pPr>
    <w:rPr>
      <w:rFonts w:cs="宋体"/>
      <w:color w:val="FF0000"/>
      <w:kern w:val="0"/>
      <w:sz w:val="20"/>
      <w:szCs w:val="20"/>
    </w:rPr>
  </w:style>
  <w:style w:type="paragraph" w:customStyle="1" w:styleId="272">
    <w:name w:val="Char Char Char Char Char Char Char Char Char Char Char Char1"/>
    <w:basedOn w:val="1"/>
    <w:qFormat/>
    <w:uiPriority w:val="0"/>
    <w:pPr>
      <w:tabs>
        <w:tab w:val="right" w:pos="-2120"/>
      </w:tabs>
      <w:snapToGrid w:val="0"/>
    </w:pPr>
    <w:rPr>
      <w:rFonts w:ascii="Tahoma" w:hAnsi="Tahoma"/>
      <w:spacing w:val="6"/>
      <w:sz w:val="24"/>
      <w:szCs w:val="20"/>
    </w:rPr>
  </w:style>
  <w:style w:type="paragraph" w:customStyle="1" w:styleId="273">
    <w:name w:val="Char Char1 Char Char"/>
    <w:basedOn w:val="1"/>
    <w:qFormat/>
    <w:uiPriority w:val="0"/>
    <w:pPr>
      <w:tabs>
        <w:tab w:val="left" w:pos="360"/>
      </w:tabs>
    </w:pPr>
    <w:rPr>
      <w:szCs w:val="20"/>
    </w:rPr>
  </w:style>
  <w:style w:type="paragraph" w:customStyle="1" w:styleId="274">
    <w:name w:val="列出段落11"/>
    <w:basedOn w:val="1"/>
    <w:qFormat/>
    <w:uiPriority w:val="0"/>
    <w:pPr>
      <w:ind w:firstLine="420" w:firstLineChars="200"/>
    </w:pPr>
    <w:rPr>
      <w:szCs w:val="21"/>
    </w:rPr>
  </w:style>
  <w:style w:type="paragraph" w:customStyle="1" w:styleId="275">
    <w:name w:val="缺省文本"/>
    <w:basedOn w:val="1"/>
    <w:qFormat/>
    <w:uiPriority w:val="0"/>
    <w:pPr>
      <w:autoSpaceDE w:val="0"/>
      <w:autoSpaceDN w:val="0"/>
      <w:adjustRightInd w:val="0"/>
      <w:jc w:val="left"/>
    </w:pPr>
    <w:rPr>
      <w:kern w:val="0"/>
      <w:sz w:val="24"/>
      <w:szCs w:val="20"/>
    </w:rPr>
  </w:style>
  <w:style w:type="paragraph" w:customStyle="1" w:styleId="276">
    <w:name w:val="Char Char Char1"/>
    <w:basedOn w:val="1"/>
    <w:qFormat/>
    <w:uiPriority w:val="0"/>
    <w:pPr>
      <w:ind w:firstLine="200" w:firstLineChars="200"/>
    </w:pPr>
    <w:rPr>
      <w:sz w:val="24"/>
    </w:rPr>
  </w:style>
  <w:style w:type="paragraph" w:customStyle="1" w:styleId="277">
    <w:name w:val="Char13"/>
    <w:basedOn w:val="1"/>
    <w:qFormat/>
    <w:uiPriority w:val="0"/>
  </w:style>
  <w:style w:type="paragraph" w:customStyle="1" w:styleId="278">
    <w:name w:val="p0"/>
    <w:basedOn w:val="1"/>
    <w:qFormat/>
    <w:uiPriority w:val="0"/>
    <w:pPr>
      <w:widowControl/>
    </w:pPr>
    <w:rPr>
      <w:kern w:val="0"/>
      <w:szCs w:val="21"/>
    </w:rPr>
  </w:style>
  <w:style w:type="paragraph" w:customStyle="1" w:styleId="279">
    <w:name w:val="5"/>
    <w:basedOn w:val="1"/>
    <w:qFormat/>
    <w:uiPriority w:val="0"/>
    <w:pPr>
      <w:tabs>
        <w:tab w:val="right" w:pos="-2120"/>
      </w:tabs>
      <w:snapToGrid w:val="0"/>
    </w:pPr>
    <w:rPr>
      <w:rFonts w:ascii="Tahoma" w:hAnsi="Tahoma"/>
      <w:spacing w:val="6"/>
      <w:sz w:val="24"/>
      <w:szCs w:val="20"/>
    </w:rPr>
  </w:style>
  <w:style w:type="paragraph" w:customStyle="1" w:styleId="280">
    <w:name w:val="Char2 Char Char Char Char Char Char"/>
    <w:basedOn w:val="26"/>
    <w:qFormat/>
    <w:uiPriority w:val="0"/>
    <w:rPr>
      <w:rFonts w:ascii="Tahoma" w:hAnsi="Tahoma"/>
      <w:sz w:val="24"/>
    </w:rPr>
  </w:style>
  <w:style w:type="paragraph" w:customStyle="1" w:styleId="281">
    <w:name w:val="日期1"/>
    <w:basedOn w:val="1"/>
    <w:next w:val="1"/>
    <w:link w:val="341"/>
    <w:qFormat/>
    <w:uiPriority w:val="0"/>
    <w:rPr>
      <w:szCs w:val="20"/>
    </w:rPr>
  </w:style>
  <w:style w:type="paragraph" w:customStyle="1" w:styleId="282">
    <w:name w:val="Char Char Char Char Char Char"/>
    <w:basedOn w:val="1"/>
    <w:qFormat/>
    <w:uiPriority w:val="0"/>
    <w:rPr>
      <w:rFonts w:ascii="Tahoma" w:hAnsi="Tahoma"/>
      <w:sz w:val="24"/>
      <w:szCs w:val="20"/>
    </w:rPr>
  </w:style>
  <w:style w:type="paragraph" w:styleId="283">
    <w:name w:val="No Spacing"/>
    <w:qFormat/>
    <w:uiPriority w:val="1"/>
    <w:pPr>
      <w:widowControl w:val="0"/>
      <w:jc w:val="both"/>
    </w:pPr>
    <w:rPr>
      <w:rFonts w:ascii="宋体" w:hAnsi="宋体" w:eastAsia="宋体" w:cs="Times New Roman"/>
      <w:kern w:val="2"/>
      <w:sz w:val="21"/>
      <w:szCs w:val="24"/>
      <w:lang w:val="en-US" w:eastAsia="zh-CN" w:bidi="ar-SA"/>
    </w:rPr>
  </w:style>
  <w:style w:type="paragraph" w:customStyle="1" w:styleId="284">
    <w:name w:val="承康医疗"/>
    <w:basedOn w:val="1"/>
    <w:link w:val="345"/>
    <w:qFormat/>
    <w:uiPriority w:val="0"/>
    <w:pPr>
      <w:widowControl/>
      <w:jc w:val="left"/>
    </w:pPr>
    <w:rPr>
      <w:rFonts w:ascii="微软雅黑" w:hAnsi="微软雅黑" w:eastAsia="微软雅黑"/>
      <w:kern w:val="0"/>
      <w:szCs w:val="21"/>
    </w:rPr>
  </w:style>
  <w:style w:type="paragraph" w:customStyle="1" w:styleId="285">
    <w:name w:val="无间隔11"/>
    <w:basedOn w:val="1"/>
    <w:qFormat/>
    <w:uiPriority w:val="0"/>
    <w:pPr>
      <w:widowControl/>
      <w:jc w:val="left"/>
    </w:pPr>
    <w:rPr>
      <w:kern w:val="0"/>
      <w:sz w:val="22"/>
      <w:szCs w:val="20"/>
      <w:lang w:eastAsia="en-US" w:bidi="en-US"/>
    </w:rPr>
  </w:style>
  <w:style w:type="paragraph" w:customStyle="1" w:styleId="286">
    <w:name w:val="彩色列表 - 强调文字颜色 11"/>
    <w:basedOn w:val="1"/>
    <w:qFormat/>
    <w:uiPriority w:val="34"/>
    <w:pPr>
      <w:ind w:firstLine="420" w:firstLineChars="200"/>
    </w:pPr>
    <w:rPr>
      <w:rFonts w:ascii="Cambria" w:hAnsi="Cambria"/>
      <w:sz w:val="24"/>
    </w:rPr>
  </w:style>
  <w:style w:type="paragraph" w:customStyle="1" w:styleId="287">
    <w:name w:val="清單段落"/>
    <w:basedOn w:val="1"/>
    <w:qFormat/>
    <w:uiPriority w:val="99"/>
    <w:pPr>
      <w:ind w:left="480" w:leftChars="200"/>
    </w:pPr>
  </w:style>
  <w:style w:type="paragraph" w:customStyle="1" w:styleId="288">
    <w:name w:val="清單段落1"/>
    <w:basedOn w:val="1"/>
    <w:qFormat/>
    <w:uiPriority w:val="34"/>
    <w:pPr>
      <w:ind w:left="720"/>
      <w:contextualSpacing/>
    </w:pPr>
  </w:style>
  <w:style w:type="paragraph" w:customStyle="1" w:styleId="289">
    <w:name w:val="列出段落2"/>
    <w:basedOn w:val="1"/>
    <w:qFormat/>
    <w:uiPriority w:val="0"/>
    <w:pPr>
      <w:ind w:firstLine="420" w:firstLineChars="200"/>
    </w:pPr>
    <w:rPr>
      <w:rFonts w:ascii="Calibri" w:hAnsi="Calibri"/>
      <w:szCs w:val="22"/>
    </w:rPr>
  </w:style>
  <w:style w:type="paragraph" w:customStyle="1" w:styleId="290">
    <w:name w:val="列表段落1"/>
    <w:basedOn w:val="1"/>
    <w:link w:val="377"/>
    <w:qFormat/>
    <w:uiPriority w:val="34"/>
    <w:pPr>
      <w:ind w:firstLine="420" w:firstLineChars="200"/>
    </w:pPr>
  </w:style>
  <w:style w:type="paragraph" w:customStyle="1" w:styleId="291">
    <w:name w:val="列表段落2"/>
    <w:basedOn w:val="1"/>
    <w:qFormat/>
    <w:uiPriority w:val="0"/>
    <w:pPr>
      <w:ind w:firstLine="420" w:firstLineChars="200"/>
    </w:pPr>
    <w:rPr>
      <w:rFonts w:ascii="Calibri" w:hAnsi="Calibri"/>
      <w:szCs w:val="22"/>
    </w:rPr>
  </w:style>
  <w:style w:type="paragraph" w:customStyle="1" w:styleId="292">
    <w:name w:val="Table Paragraph"/>
    <w:basedOn w:val="1"/>
    <w:qFormat/>
    <w:uiPriority w:val="1"/>
    <w:pPr>
      <w:widowControl/>
      <w:spacing w:before="40"/>
      <w:ind w:left="327"/>
      <w:jc w:val="left"/>
    </w:pPr>
    <w:rPr>
      <w:rFonts w:cs="宋体"/>
      <w:kern w:val="0"/>
      <w:sz w:val="24"/>
      <w:szCs w:val="20"/>
      <w:lang w:val="zh-CN" w:bidi="zh-CN"/>
    </w:rPr>
  </w:style>
  <w:style w:type="character" w:customStyle="1" w:styleId="293">
    <w:name w:val="样式5 Char"/>
    <w:link w:val="144"/>
    <w:qFormat/>
    <w:uiPriority w:val="0"/>
    <w:rPr>
      <w:rFonts w:ascii="宋体"/>
      <w:kern w:val="2"/>
      <w:sz w:val="21"/>
      <w:u w:val="single"/>
    </w:rPr>
  </w:style>
  <w:style w:type="character" w:customStyle="1" w:styleId="294">
    <w:name w:val="样式7 Char"/>
    <w:link w:val="172"/>
    <w:qFormat/>
    <w:uiPriority w:val="0"/>
    <w:rPr>
      <w:kern w:val="2"/>
      <w:sz w:val="18"/>
      <w:szCs w:val="18"/>
    </w:rPr>
  </w:style>
  <w:style w:type="character" w:customStyle="1" w:styleId="295">
    <w:name w:val="Char Char2"/>
    <w:qFormat/>
    <w:uiPriority w:val="0"/>
    <w:rPr>
      <w:rFonts w:eastAsia="宋体"/>
      <w:kern w:val="2"/>
      <w:sz w:val="18"/>
      <w:szCs w:val="18"/>
      <w:lang w:val="en-US" w:eastAsia="zh-CN" w:bidi="ar-SA"/>
    </w:rPr>
  </w:style>
  <w:style w:type="character" w:customStyle="1" w:styleId="296">
    <w:name w:val="标题 Char1"/>
    <w:qFormat/>
    <w:uiPriority w:val="0"/>
    <w:rPr>
      <w:rFonts w:ascii="Calibri Light" w:hAnsi="Calibri Light" w:cs="Times New Roman"/>
      <w:b/>
      <w:bCs/>
      <w:kern w:val="2"/>
      <w:sz w:val="32"/>
      <w:szCs w:val="32"/>
    </w:rPr>
  </w:style>
  <w:style w:type="character" w:customStyle="1" w:styleId="297">
    <w:name w:val="批注框文本 字符"/>
    <w:link w:val="54"/>
    <w:qFormat/>
    <w:uiPriority w:val="99"/>
    <w:rPr>
      <w:kern w:val="2"/>
      <w:sz w:val="18"/>
      <w:szCs w:val="18"/>
    </w:rPr>
  </w:style>
  <w:style w:type="character" w:customStyle="1" w:styleId="298">
    <w:name w:val="样式8 Char"/>
    <w:link w:val="218"/>
    <w:qFormat/>
    <w:uiPriority w:val="0"/>
    <w:rPr>
      <w:kern w:val="2"/>
      <w:sz w:val="18"/>
      <w:szCs w:val="18"/>
    </w:rPr>
  </w:style>
  <w:style w:type="character" w:customStyle="1" w:styleId="299">
    <w:name w:val="grame"/>
    <w:qFormat/>
    <w:uiPriority w:val="0"/>
  </w:style>
  <w:style w:type="character" w:customStyle="1" w:styleId="300">
    <w:name w:val="Char Char"/>
    <w:qFormat/>
    <w:uiPriority w:val="0"/>
    <w:rPr>
      <w:rFonts w:ascii="Century Gothic" w:hAnsi="Century Gothic"/>
      <w:bCs/>
      <w:kern w:val="28"/>
      <w:sz w:val="21"/>
      <w:szCs w:val="32"/>
    </w:rPr>
  </w:style>
  <w:style w:type="character" w:customStyle="1" w:styleId="301">
    <w:name w:val="样式3 Char"/>
    <w:link w:val="190"/>
    <w:qFormat/>
    <w:uiPriority w:val="0"/>
    <w:rPr>
      <w:rFonts w:ascii="黑体" w:hAnsi="黑体" w:eastAsia="黑体"/>
      <w:bCs/>
      <w:kern w:val="2"/>
      <w:sz w:val="18"/>
      <w:szCs w:val="18"/>
    </w:rPr>
  </w:style>
  <w:style w:type="character" w:customStyle="1" w:styleId="302">
    <w:name w:val="批注主题 字符"/>
    <w:link w:val="85"/>
    <w:qFormat/>
    <w:uiPriority w:val="99"/>
    <w:rPr>
      <w:b/>
      <w:bCs/>
      <w:kern w:val="2"/>
      <w:sz w:val="21"/>
      <w:szCs w:val="24"/>
    </w:rPr>
  </w:style>
  <w:style w:type="character" w:customStyle="1" w:styleId="303">
    <w:name w:val="页眉 字符"/>
    <w:link w:val="57"/>
    <w:qFormat/>
    <w:uiPriority w:val="99"/>
    <w:rPr>
      <w:kern w:val="2"/>
      <w:sz w:val="18"/>
      <w:szCs w:val="18"/>
    </w:rPr>
  </w:style>
  <w:style w:type="character" w:customStyle="1" w:styleId="304">
    <w:name w:val="font51"/>
    <w:qFormat/>
    <w:uiPriority w:val="0"/>
    <w:rPr>
      <w:rFonts w:hint="eastAsia" w:ascii="宋体" w:hAnsi="宋体" w:eastAsia="宋体"/>
      <w:b/>
      <w:bCs/>
      <w:color w:val="000000"/>
      <w:sz w:val="20"/>
      <w:szCs w:val="20"/>
      <w:u w:val="none"/>
    </w:rPr>
  </w:style>
  <w:style w:type="character" w:customStyle="1" w:styleId="305">
    <w:name w:val="font21"/>
    <w:qFormat/>
    <w:uiPriority w:val="0"/>
    <w:rPr>
      <w:rFonts w:hint="default" w:ascii="Times New Roman" w:hAnsi="Times New Roman" w:cs="Times New Roman"/>
      <w:color w:val="000000"/>
      <w:sz w:val="20"/>
      <w:szCs w:val="20"/>
      <w:u w:val="none"/>
    </w:rPr>
  </w:style>
  <w:style w:type="character" w:customStyle="1" w:styleId="306">
    <w:name w:val="纯文本 字符2"/>
    <w:link w:val="45"/>
    <w:qFormat/>
    <w:uiPriority w:val="0"/>
    <w:rPr>
      <w:rFonts w:ascii="宋体"/>
      <w:kern w:val="2"/>
      <w:sz w:val="21"/>
    </w:rPr>
  </w:style>
  <w:style w:type="character" w:customStyle="1" w:styleId="307">
    <w:name w:val="样式3 Char Char"/>
    <w:qFormat/>
    <w:uiPriority w:val="0"/>
    <w:rPr>
      <w:rFonts w:ascii="Century Gothic" w:hAnsi="Century Gothic" w:eastAsia="宋体"/>
      <w:kern w:val="2"/>
      <w:sz w:val="21"/>
      <w:szCs w:val="21"/>
      <w:lang w:val="en-US" w:eastAsia="zh-CN" w:bidi="ar-SA"/>
    </w:rPr>
  </w:style>
  <w:style w:type="character" w:customStyle="1" w:styleId="308">
    <w:name w:val="font61"/>
    <w:qFormat/>
    <w:uiPriority w:val="0"/>
    <w:rPr>
      <w:rFonts w:hint="default" w:ascii="宋体" w:hAnsi="宋体"/>
      <w:color w:val="000000"/>
      <w:sz w:val="18"/>
      <w:szCs w:val="18"/>
      <w:u w:val="none"/>
    </w:rPr>
  </w:style>
  <w:style w:type="character" w:customStyle="1" w:styleId="309">
    <w:name w:val="正文文本缩进 字符"/>
    <w:link w:val="35"/>
    <w:qFormat/>
    <w:uiPriority w:val="99"/>
    <w:rPr>
      <w:rFonts w:ascii="宋体"/>
      <w:spacing w:val="-4"/>
      <w:kern w:val="2"/>
      <w:sz w:val="18"/>
    </w:rPr>
  </w:style>
  <w:style w:type="character" w:customStyle="1" w:styleId="310">
    <w:name w:val="font81"/>
    <w:basedOn w:val="90"/>
    <w:qFormat/>
    <w:uiPriority w:val="0"/>
    <w:rPr>
      <w:rFonts w:hint="default" w:ascii="宋体" w:hAnsi="宋体"/>
      <w:color w:val="000000"/>
      <w:sz w:val="24"/>
      <w:szCs w:val="24"/>
      <w:u w:val="none"/>
    </w:rPr>
  </w:style>
  <w:style w:type="character" w:customStyle="1" w:styleId="311">
    <w:name w:val="批注文字 字符"/>
    <w:link w:val="28"/>
    <w:qFormat/>
    <w:uiPriority w:val="0"/>
    <w:rPr>
      <w:kern w:val="2"/>
      <w:sz w:val="21"/>
      <w:szCs w:val="24"/>
    </w:rPr>
  </w:style>
  <w:style w:type="character" w:customStyle="1" w:styleId="312">
    <w:name w:val="font01"/>
    <w:qFormat/>
    <w:uiPriority w:val="0"/>
    <w:rPr>
      <w:rFonts w:hint="eastAsia" w:ascii="宋体" w:hAnsi="宋体" w:eastAsia="宋体"/>
      <w:color w:val="000000"/>
      <w:sz w:val="20"/>
      <w:szCs w:val="20"/>
      <w:u w:val="none"/>
    </w:rPr>
  </w:style>
  <w:style w:type="character" w:customStyle="1" w:styleId="313">
    <w:name w:val="font91"/>
    <w:qFormat/>
    <w:uiPriority w:val="0"/>
    <w:rPr>
      <w:rFonts w:hint="eastAsia" w:ascii="华文楷体" w:eastAsia="华文楷体"/>
      <w:color w:val="000000"/>
      <w:sz w:val="20"/>
      <w:szCs w:val="20"/>
      <w:u w:val="none"/>
    </w:rPr>
  </w:style>
  <w:style w:type="character" w:customStyle="1" w:styleId="314">
    <w:name w:val="标题 4 字符"/>
    <w:link w:val="6"/>
    <w:qFormat/>
    <w:uiPriority w:val="0"/>
    <w:rPr>
      <w:rFonts w:ascii="Arial" w:hAnsi="Arial" w:eastAsia="黑体"/>
      <w:sz w:val="28"/>
    </w:rPr>
  </w:style>
  <w:style w:type="character" w:customStyle="1" w:styleId="315">
    <w:name w:val="样式6 Char"/>
    <w:link w:val="207"/>
    <w:qFormat/>
    <w:uiPriority w:val="0"/>
    <w:rPr>
      <w:kern w:val="2"/>
      <w:sz w:val="18"/>
      <w:szCs w:val="18"/>
    </w:rPr>
  </w:style>
  <w:style w:type="character" w:customStyle="1" w:styleId="316">
    <w:name w:val="标题 字符"/>
    <w:link w:val="84"/>
    <w:qFormat/>
    <w:uiPriority w:val="0"/>
    <w:rPr>
      <w:rFonts w:ascii="Cambria" w:hAnsi="Cambria" w:cs="黑体"/>
      <w:b/>
      <w:bCs/>
      <w:sz w:val="32"/>
      <w:szCs w:val="32"/>
    </w:rPr>
  </w:style>
  <w:style w:type="character" w:customStyle="1" w:styleId="317">
    <w:name w:val="px12h161"/>
    <w:qFormat/>
    <w:uiPriority w:val="0"/>
    <w:rPr>
      <w:sz w:val="14"/>
      <w:szCs w:val="14"/>
    </w:rPr>
  </w:style>
  <w:style w:type="character" w:customStyle="1" w:styleId="318">
    <w:name w:val="样式4 Char"/>
    <w:link w:val="107"/>
    <w:qFormat/>
    <w:uiPriority w:val="0"/>
    <w:rPr>
      <w:bCs/>
      <w:kern w:val="2"/>
      <w:sz w:val="18"/>
      <w:szCs w:val="18"/>
    </w:rPr>
  </w:style>
  <w:style w:type="character" w:customStyle="1" w:styleId="319">
    <w:name w:val="font41"/>
    <w:basedOn w:val="90"/>
    <w:qFormat/>
    <w:uiPriority w:val="0"/>
    <w:rPr>
      <w:rFonts w:hint="default" w:ascii="Times New Roman" w:hAnsi="Times New Roman" w:cs="Times New Roman"/>
      <w:b/>
      <w:bCs/>
      <w:color w:val="000000"/>
      <w:sz w:val="20"/>
      <w:szCs w:val="20"/>
      <w:u w:val="none"/>
    </w:rPr>
  </w:style>
  <w:style w:type="character" w:customStyle="1" w:styleId="320">
    <w:name w:val="_Style 265"/>
    <w:qFormat/>
    <w:uiPriority w:val="0"/>
    <w:rPr>
      <w:rFonts w:eastAsia="仿宋_GB2312"/>
      <w:iCs/>
      <w:color w:val="auto"/>
      <w:sz w:val="24"/>
    </w:rPr>
  </w:style>
  <w:style w:type="character" w:customStyle="1" w:styleId="321">
    <w:name w:val="副标题 Char1"/>
    <w:qFormat/>
    <w:uiPriority w:val="0"/>
    <w:rPr>
      <w:rFonts w:ascii="Cambria" w:hAnsi="Cambria" w:cs="Times New Roman"/>
      <w:b/>
      <w:bCs/>
      <w:kern w:val="28"/>
      <w:sz w:val="32"/>
      <w:szCs w:val="32"/>
    </w:rPr>
  </w:style>
  <w:style w:type="character" w:customStyle="1" w:styleId="322">
    <w:name w:val="font71"/>
    <w:qFormat/>
    <w:uiPriority w:val="0"/>
    <w:rPr>
      <w:rFonts w:hint="eastAsia" w:ascii="宋体" w:hAnsi="宋体" w:eastAsia="宋体"/>
      <w:b/>
      <w:bCs/>
      <w:color w:val="000000"/>
      <w:sz w:val="24"/>
      <w:szCs w:val="24"/>
      <w:u w:val="none"/>
    </w:rPr>
  </w:style>
  <w:style w:type="character" w:customStyle="1" w:styleId="323">
    <w:name w:val="日期 字符"/>
    <w:link w:val="50"/>
    <w:qFormat/>
    <w:uiPriority w:val="0"/>
    <w:rPr>
      <w:kern w:val="2"/>
      <w:sz w:val="21"/>
      <w:szCs w:val="24"/>
    </w:rPr>
  </w:style>
  <w:style w:type="character" w:customStyle="1" w:styleId="324">
    <w:name w:val="副标题 字符"/>
    <w:link w:val="64"/>
    <w:qFormat/>
    <w:uiPriority w:val="0"/>
    <w:rPr>
      <w:rFonts w:ascii="Century Gothic" w:hAnsi="Century Gothic" w:cs="Century Gothic"/>
      <w:kern w:val="28"/>
      <w:sz w:val="21"/>
      <w:szCs w:val="21"/>
    </w:rPr>
  </w:style>
  <w:style w:type="character" w:customStyle="1" w:styleId="325">
    <w:name w:val="文档结构图 字符"/>
    <w:link w:val="26"/>
    <w:qFormat/>
    <w:uiPriority w:val="99"/>
    <w:rPr>
      <w:rFonts w:ascii="宋体" w:hAnsi="宋体" w:eastAsia="宋体"/>
      <w:kern w:val="2"/>
      <w:sz w:val="21"/>
      <w:szCs w:val="24"/>
      <w:shd w:val="clear" w:color="auto" w:fill="000080"/>
    </w:rPr>
  </w:style>
  <w:style w:type="character" w:customStyle="1" w:styleId="326">
    <w:name w:val="普通文字1 Char1"/>
    <w:qFormat/>
    <w:uiPriority w:val="0"/>
    <w:rPr>
      <w:rFonts w:ascii="宋体" w:eastAsia="宋体"/>
      <w:kern w:val="2"/>
      <w:sz w:val="21"/>
      <w:lang w:val="en-US" w:eastAsia="zh-CN" w:bidi="ar-SA"/>
    </w:rPr>
  </w:style>
  <w:style w:type="character" w:customStyle="1" w:styleId="327">
    <w:name w:val="页脚 字符1"/>
    <w:link w:val="55"/>
    <w:qFormat/>
    <w:uiPriority w:val="0"/>
    <w:rPr>
      <w:rFonts w:ascii="宋体"/>
      <w:kern w:val="2"/>
      <w:sz w:val="18"/>
    </w:rPr>
  </w:style>
  <w:style w:type="character" w:customStyle="1" w:styleId="328">
    <w:name w:val="_Style 273"/>
    <w:qFormat/>
    <w:uiPriority w:val="32"/>
    <w:rPr>
      <w:b/>
      <w:bCs/>
      <w:smallCaps/>
      <w:color w:val="C0504D"/>
      <w:spacing w:val="5"/>
      <w:u w:val="single"/>
    </w:rPr>
  </w:style>
  <w:style w:type="character" w:customStyle="1" w:styleId="329">
    <w:name w:val="正文文本缩进 2 字符"/>
    <w:link w:val="51"/>
    <w:qFormat/>
    <w:uiPriority w:val="99"/>
    <w:rPr>
      <w:kern w:val="2"/>
      <w:sz w:val="21"/>
      <w:szCs w:val="24"/>
    </w:rPr>
  </w:style>
  <w:style w:type="character" w:customStyle="1" w:styleId="330">
    <w:name w:val="纯文本 字符"/>
    <w:qFormat/>
    <w:uiPriority w:val="99"/>
    <w:rPr>
      <w:rFonts w:ascii="宋体"/>
      <w:kern w:val="2"/>
      <w:sz w:val="21"/>
    </w:rPr>
  </w:style>
  <w:style w:type="character" w:customStyle="1" w:styleId="331">
    <w:name w:val="纯文本 Char2"/>
    <w:qFormat/>
    <w:uiPriority w:val="0"/>
    <w:rPr>
      <w:rFonts w:ascii="宋体" w:hAnsi="Times New Roman" w:eastAsia="宋体" w:cs="Times New Roman"/>
      <w:kern w:val="2"/>
      <w:sz w:val="21"/>
      <w:lang w:val="en-US" w:eastAsia="zh-CN" w:bidi="ar-SA"/>
    </w:rPr>
  </w:style>
  <w:style w:type="character" w:customStyle="1" w:styleId="332">
    <w:name w:val="标题 5 字符"/>
    <w:qFormat/>
    <w:uiPriority w:val="9"/>
    <w:rPr>
      <w:b/>
      <w:bCs/>
      <w:kern w:val="2"/>
      <w:sz w:val="28"/>
      <w:szCs w:val="28"/>
    </w:rPr>
  </w:style>
  <w:style w:type="character" w:customStyle="1" w:styleId="333">
    <w:name w:val="标题 3 Char2"/>
    <w:qFormat/>
    <w:uiPriority w:val="0"/>
    <w:rPr>
      <w:rFonts w:eastAsia="黑体"/>
      <w:b/>
      <w:sz w:val="28"/>
    </w:rPr>
  </w:style>
  <w:style w:type="character" w:customStyle="1" w:styleId="334">
    <w:name w:val="纯文本 Char1"/>
    <w:qFormat/>
    <w:uiPriority w:val="0"/>
    <w:rPr>
      <w:rFonts w:ascii="宋体" w:eastAsia="宋体"/>
      <w:kern w:val="2"/>
      <w:sz w:val="21"/>
      <w:lang w:val="en-US" w:eastAsia="zh-CN" w:bidi="ar-SA"/>
    </w:rPr>
  </w:style>
  <w:style w:type="character" w:customStyle="1" w:styleId="335">
    <w:name w:val="正文文本 字符"/>
    <w:link w:val="34"/>
    <w:qFormat/>
    <w:uiPriority w:val="0"/>
    <w:rPr>
      <w:rFonts w:ascii="金山简黑体" w:hAnsi="金山简黑体" w:eastAsia="金山简黑体"/>
      <w:b/>
      <w:spacing w:val="-8"/>
      <w:kern w:val="2"/>
      <w:sz w:val="44"/>
    </w:rPr>
  </w:style>
  <w:style w:type="character" w:customStyle="1" w:styleId="336">
    <w:name w:val="标题 5 字符1"/>
    <w:link w:val="7"/>
    <w:qFormat/>
    <w:uiPriority w:val="9"/>
    <w:rPr>
      <w:rFonts w:ascii="宋体" w:hAnsi="宋体"/>
      <w:b/>
      <w:sz w:val="28"/>
      <w:szCs w:val="24"/>
    </w:rPr>
  </w:style>
  <w:style w:type="character" w:customStyle="1" w:styleId="337">
    <w:name w:val="标题 3 Char1"/>
    <w:qFormat/>
    <w:uiPriority w:val="0"/>
    <w:rPr>
      <w:rFonts w:eastAsia="宋体"/>
      <w:b/>
      <w:bCs/>
      <w:kern w:val="2"/>
      <w:sz w:val="32"/>
      <w:szCs w:val="32"/>
      <w:lang w:val="en-US" w:eastAsia="zh-CN" w:bidi="ar-SA"/>
    </w:rPr>
  </w:style>
  <w:style w:type="character" w:customStyle="1" w:styleId="338">
    <w:name w:val="列出段落 字符1"/>
    <w:link w:val="215"/>
    <w:qFormat/>
    <w:uiPriority w:val="34"/>
    <w:rPr>
      <w:kern w:val="2"/>
      <w:sz w:val="21"/>
      <w:szCs w:val="21"/>
    </w:rPr>
  </w:style>
  <w:style w:type="character" w:customStyle="1" w:styleId="339">
    <w:name w:val="dy_biao_content1"/>
    <w:qFormat/>
    <w:uiPriority w:val="0"/>
    <w:rPr>
      <w:rFonts w:hint="eastAsia" w:ascii="宋体" w:hAnsi="宋体" w:eastAsia="宋体"/>
      <w:sz w:val="24"/>
      <w:szCs w:val="24"/>
    </w:rPr>
  </w:style>
  <w:style w:type="character" w:customStyle="1" w:styleId="340">
    <w:name w:val="正文缩进 字符"/>
    <w:link w:val="21"/>
    <w:qFormat/>
    <w:uiPriority w:val="0"/>
    <w:rPr>
      <w:kern w:val="2"/>
      <w:sz w:val="21"/>
      <w:szCs w:val="21"/>
    </w:rPr>
  </w:style>
  <w:style w:type="character" w:customStyle="1" w:styleId="341">
    <w:name w:val="Date Char Char"/>
    <w:link w:val="281"/>
    <w:qFormat/>
    <w:uiPriority w:val="0"/>
    <w:rPr>
      <w:kern w:val="2"/>
      <w:sz w:val="21"/>
    </w:rPr>
  </w:style>
  <w:style w:type="character" w:customStyle="1" w:styleId="342">
    <w:name w:val="页脚 字符"/>
    <w:qFormat/>
    <w:uiPriority w:val="99"/>
    <w:rPr>
      <w:kern w:val="2"/>
      <w:sz w:val="18"/>
      <w:szCs w:val="18"/>
    </w:rPr>
  </w:style>
  <w:style w:type="character" w:customStyle="1" w:styleId="343">
    <w:name w:val="正文文本 2 字符1"/>
    <w:link w:val="76"/>
    <w:qFormat/>
    <w:uiPriority w:val="0"/>
    <w:rPr>
      <w:rFonts w:ascii="宋体"/>
      <w:kern w:val="2"/>
      <w:sz w:val="13"/>
    </w:rPr>
  </w:style>
  <w:style w:type="character" w:customStyle="1" w:styleId="344">
    <w:name w:val="正文文本 3 字符1"/>
    <w:link w:val="31"/>
    <w:qFormat/>
    <w:uiPriority w:val="0"/>
    <w:rPr>
      <w:kern w:val="2"/>
      <w:sz w:val="24"/>
      <w:szCs w:val="24"/>
    </w:rPr>
  </w:style>
  <w:style w:type="character" w:customStyle="1" w:styleId="345">
    <w:name w:val="承康医疗 Char"/>
    <w:link w:val="284"/>
    <w:qFormat/>
    <w:uiPriority w:val="0"/>
    <w:rPr>
      <w:rFonts w:ascii="微软雅黑" w:hAnsi="微软雅黑" w:eastAsia="微软雅黑"/>
      <w:sz w:val="21"/>
      <w:szCs w:val="21"/>
    </w:rPr>
  </w:style>
  <w:style w:type="character" w:customStyle="1" w:styleId="346">
    <w:name w:val="纯文本 字符1"/>
    <w:qFormat/>
    <w:uiPriority w:val="0"/>
    <w:rPr>
      <w:rFonts w:ascii="宋体" w:eastAsia="宋体"/>
      <w:kern w:val="2"/>
      <w:sz w:val="21"/>
      <w:lang w:val="en-US" w:eastAsia="zh-CN" w:bidi="ar-SA"/>
    </w:rPr>
  </w:style>
  <w:style w:type="character" w:customStyle="1" w:styleId="347">
    <w:name w:val="列出段落 字符"/>
    <w:qFormat/>
    <w:uiPriority w:val="0"/>
    <w:rPr>
      <w:rFonts w:ascii="Times New Roman" w:hAnsi="Times New Roman" w:eastAsia="宋体" w:cs="Times New Roman"/>
      <w:kern w:val="2"/>
      <w:sz w:val="21"/>
      <w:szCs w:val="24"/>
    </w:rPr>
  </w:style>
  <w:style w:type="character" w:customStyle="1" w:styleId="348">
    <w:name w:val="正文文本 2 字符"/>
    <w:qFormat/>
    <w:uiPriority w:val="0"/>
    <w:rPr>
      <w:kern w:val="2"/>
      <w:sz w:val="21"/>
      <w:szCs w:val="24"/>
    </w:rPr>
  </w:style>
  <w:style w:type="character" w:customStyle="1" w:styleId="349">
    <w:name w:val="正文文本 3 字符"/>
    <w:qFormat/>
    <w:uiPriority w:val="0"/>
    <w:rPr>
      <w:kern w:val="2"/>
      <w:sz w:val="16"/>
      <w:szCs w:val="16"/>
    </w:rPr>
  </w:style>
  <w:style w:type="character" w:customStyle="1" w:styleId="350">
    <w:name w:val="未处理的提及1"/>
    <w:basedOn w:val="90"/>
    <w:semiHidden/>
    <w:unhideWhenUsed/>
    <w:qFormat/>
    <w:uiPriority w:val="99"/>
    <w:rPr>
      <w:color w:val="605E5C"/>
      <w:shd w:val="clear" w:color="auto" w:fill="E1DFDD"/>
    </w:rPr>
  </w:style>
  <w:style w:type="paragraph" w:customStyle="1" w:styleId="351">
    <w:name w:val="修订1"/>
    <w:hidden/>
    <w:semiHidden/>
    <w:qFormat/>
    <w:uiPriority w:val="99"/>
    <w:rPr>
      <w:rFonts w:ascii="宋体" w:hAnsi="宋体" w:eastAsia="宋体" w:cs="Times New Roman"/>
      <w:kern w:val="2"/>
      <w:sz w:val="21"/>
      <w:szCs w:val="24"/>
      <w:lang w:val="en-US" w:eastAsia="zh-CN" w:bidi="ar-SA"/>
    </w:rPr>
  </w:style>
  <w:style w:type="character" w:customStyle="1" w:styleId="352">
    <w:name w:val="未处理的提及2"/>
    <w:basedOn w:val="90"/>
    <w:semiHidden/>
    <w:unhideWhenUsed/>
    <w:qFormat/>
    <w:uiPriority w:val="99"/>
    <w:rPr>
      <w:color w:val="605E5C"/>
      <w:shd w:val="clear" w:color="auto" w:fill="E1DFDD"/>
    </w:rPr>
  </w:style>
  <w:style w:type="character" w:customStyle="1" w:styleId="353">
    <w:name w:val="纯文本 字符4"/>
    <w:qFormat/>
    <w:uiPriority w:val="0"/>
    <w:rPr>
      <w:rFonts w:ascii="宋体"/>
      <w:kern w:val="2"/>
      <w:sz w:val="21"/>
    </w:rPr>
  </w:style>
  <w:style w:type="character" w:customStyle="1" w:styleId="354">
    <w:name w:val="font31"/>
    <w:basedOn w:val="90"/>
    <w:qFormat/>
    <w:uiPriority w:val="0"/>
    <w:rPr>
      <w:rFonts w:hint="eastAsia" w:ascii="宋体" w:hAnsi="宋体" w:eastAsia="宋体" w:cs="宋体"/>
      <w:color w:val="000000"/>
      <w:sz w:val="18"/>
      <w:szCs w:val="18"/>
      <w:u w:val="none"/>
    </w:rPr>
  </w:style>
  <w:style w:type="character" w:customStyle="1" w:styleId="355">
    <w:name w:val="font112"/>
    <w:basedOn w:val="90"/>
    <w:qFormat/>
    <w:uiPriority w:val="0"/>
    <w:rPr>
      <w:rFonts w:ascii="Wingdings" w:hAnsi="Wingdings" w:cs="Wingdings"/>
      <w:color w:val="000000"/>
      <w:sz w:val="18"/>
      <w:szCs w:val="18"/>
      <w:u w:val="none"/>
    </w:rPr>
  </w:style>
  <w:style w:type="character" w:customStyle="1" w:styleId="356">
    <w:name w:val="font121"/>
    <w:basedOn w:val="90"/>
    <w:qFormat/>
    <w:uiPriority w:val="0"/>
    <w:rPr>
      <w:rFonts w:hint="default" w:ascii="Arial" w:hAnsi="Arial" w:cs="Arial"/>
      <w:color w:val="000000"/>
      <w:sz w:val="18"/>
      <w:szCs w:val="18"/>
      <w:u w:val="none"/>
    </w:rPr>
  </w:style>
  <w:style w:type="character" w:customStyle="1" w:styleId="357">
    <w:name w:val="font151"/>
    <w:basedOn w:val="90"/>
    <w:qFormat/>
    <w:uiPriority w:val="0"/>
    <w:rPr>
      <w:rFonts w:ascii="Calibri" w:hAnsi="Calibri" w:cs="Calibri"/>
      <w:color w:val="000000"/>
      <w:sz w:val="18"/>
      <w:szCs w:val="18"/>
      <w:u w:val="none"/>
    </w:rPr>
  </w:style>
  <w:style w:type="character" w:customStyle="1" w:styleId="358">
    <w:name w:val="font141"/>
    <w:basedOn w:val="90"/>
    <w:qFormat/>
    <w:uiPriority w:val="0"/>
    <w:rPr>
      <w:rFonts w:ascii="Cambria Math" w:hAnsi="Cambria Math" w:eastAsia="Cambria Math" w:cs="Cambria Math"/>
      <w:color w:val="000000"/>
      <w:sz w:val="18"/>
      <w:szCs w:val="18"/>
      <w:u w:val="none"/>
    </w:rPr>
  </w:style>
  <w:style w:type="character" w:customStyle="1" w:styleId="359">
    <w:name w:val="font131"/>
    <w:basedOn w:val="90"/>
    <w:qFormat/>
    <w:uiPriority w:val="0"/>
    <w:rPr>
      <w:rFonts w:ascii="Tahoma" w:hAnsi="Tahoma" w:eastAsia="Tahoma" w:cs="Tahoma"/>
      <w:color w:val="000000"/>
      <w:sz w:val="18"/>
      <w:szCs w:val="18"/>
      <w:u w:val="none"/>
    </w:rPr>
  </w:style>
  <w:style w:type="paragraph" w:customStyle="1" w:styleId="360">
    <w:name w:val="列出段落3"/>
    <w:basedOn w:val="1"/>
    <w:qFormat/>
    <w:uiPriority w:val="34"/>
    <w:pPr>
      <w:ind w:firstLine="420" w:firstLineChars="200"/>
    </w:pPr>
    <w:rPr>
      <w:rFonts w:ascii="Calibri" w:hAnsi="Calibri"/>
      <w:szCs w:val="22"/>
    </w:rPr>
  </w:style>
  <w:style w:type="paragraph" w:customStyle="1" w:styleId="361">
    <w:name w:val="列表段落3"/>
    <w:basedOn w:val="1"/>
    <w:qFormat/>
    <w:uiPriority w:val="0"/>
    <w:pPr>
      <w:ind w:firstLine="420" w:firstLineChars="200"/>
    </w:pPr>
    <w:rPr>
      <w:rFonts w:ascii="Calibri" w:hAnsi="Calibri"/>
      <w:szCs w:val="22"/>
    </w:rPr>
  </w:style>
  <w:style w:type="character" w:customStyle="1" w:styleId="362">
    <w:name w:val="未处理的提及3"/>
    <w:basedOn w:val="90"/>
    <w:semiHidden/>
    <w:unhideWhenUsed/>
    <w:qFormat/>
    <w:uiPriority w:val="99"/>
    <w:rPr>
      <w:color w:val="605E5C"/>
      <w:shd w:val="clear" w:color="auto" w:fill="E1DFDD"/>
    </w:rPr>
  </w:style>
  <w:style w:type="paragraph" w:customStyle="1" w:styleId="363">
    <w:name w:val="彩色列表 - 强调文字颜色 12"/>
    <w:basedOn w:val="1"/>
    <w:qFormat/>
    <w:uiPriority w:val="34"/>
    <w:pPr>
      <w:ind w:firstLine="420" w:firstLineChars="200"/>
    </w:pPr>
    <w:rPr>
      <w:rFonts w:ascii="Calibri" w:hAnsi="Calibri"/>
      <w:szCs w:val="22"/>
    </w:rPr>
  </w:style>
  <w:style w:type="paragraph" w:customStyle="1" w:styleId="364">
    <w:name w:val="纯文本1"/>
    <w:basedOn w:val="1"/>
    <w:qFormat/>
    <w:uiPriority w:val="0"/>
    <w:rPr>
      <w:rFonts w:hAnsi="Courier New"/>
      <w:szCs w:val="22"/>
    </w:rPr>
  </w:style>
  <w:style w:type="paragraph" w:customStyle="1" w:styleId="365">
    <w:name w:val="正文缩进1"/>
    <w:basedOn w:val="1"/>
    <w:qFormat/>
    <w:uiPriority w:val="0"/>
    <w:pPr>
      <w:autoSpaceDE w:val="0"/>
      <w:autoSpaceDN w:val="0"/>
      <w:adjustRightInd w:val="0"/>
      <w:ind w:firstLine="420"/>
      <w:jc w:val="left"/>
    </w:pPr>
    <w:rPr>
      <w:rFonts w:hAnsi="Calibri"/>
      <w:sz w:val="24"/>
      <w:szCs w:val="22"/>
    </w:rPr>
  </w:style>
  <w:style w:type="paragraph" w:customStyle="1" w:styleId="366">
    <w:name w:val="TOC 标题1"/>
    <w:basedOn w:val="3"/>
    <w:next w:val="1"/>
    <w:unhideWhenUsed/>
    <w:qFormat/>
    <w:uiPriority w:val="39"/>
    <w:pPr>
      <w:widowControl/>
      <w:numPr>
        <w:numId w:val="0"/>
      </w:numPr>
      <w:adjustRightInd/>
      <w:spacing w:before="240" w:line="259" w:lineRule="auto"/>
      <w:jc w:val="left"/>
      <w:textAlignment w:val="auto"/>
      <w:outlineLvl w:val="9"/>
    </w:pPr>
    <w:rPr>
      <w:rFonts w:asciiTheme="majorHAnsi" w:hAnsiTheme="majorHAnsi" w:eastAsiaTheme="majorEastAsia" w:cstheme="majorBidi"/>
      <w:b w:val="0"/>
      <w:color w:val="376092" w:themeColor="accent1" w:themeShade="BF"/>
      <w:kern w:val="0"/>
      <w:sz w:val="32"/>
      <w:szCs w:val="32"/>
    </w:rPr>
  </w:style>
  <w:style w:type="character" w:customStyle="1" w:styleId="367">
    <w:name w:val="未处理的提及4"/>
    <w:basedOn w:val="90"/>
    <w:semiHidden/>
    <w:unhideWhenUsed/>
    <w:qFormat/>
    <w:uiPriority w:val="99"/>
    <w:rPr>
      <w:color w:val="605E5C"/>
      <w:shd w:val="clear" w:color="auto" w:fill="E1DFDD"/>
    </w:rPr>
  </w:style>
  <w:style w:type="character" w:customStyle="1" w:styleId="368">
    <w:name w:val="标题 6 字符"/>
    <w:basedOn w:val="90"/>
    <w:link w:val="8"/>
    <w:qFormat/>
    <w:uiPriority w:val="9"/>
    <w:rPr>
      <w:rFonts w:ascii="Cambria" w:hAnsi="Cambria" w:cs="Cambria"/>
      <w:b/>
      <w:bCs/>
      <w:kern w:val="2"/>
      <w:sz w:val="24"/>
      <w:szCs w:val="24"/>
    </w:rPr>
  </w:style>
  <w:style w:type="character" w:customStyle="1" w:styleId="369">
    <w:name w:val="标题 7 字符"/>
    <w:basedOn w:val="90"/>
    <w:link w:val="9"/>
    <w:qFormat/>
    <w:uiPriority w:val="9"/>
    <w:rPr>
      <w:rFonts w:ascii="Calibri" w:hAnsi="Calibri" w:cs="Calibri"/>
      <w:b/>
      <w:bCs/>
      <w:kern w:val="2"/>
      <w:sz w:val="24"/>
      <w:szCs w:val="24"/>
    </w:rPr>
  </w:style>
  <w:style w:type="character" w:customStyle="1" w:styleId="370">
    <w:name w:val="标题 8 字符"/>
    <w:basedOn w:val="90"/>
    <w:link w:val="10"/>
    <w:qFormat/>
    <w:uiPriority w:val="9"/>
    <w:rPr>
      <w:rFonts w:ascii="Cambria" w:hAnsi="Cambria" w:cs="Cambria"/>
      <w:kern w:val="2"/>
      <w:sz w:val="24"/>
      <w:szCs w:val="24"/>
    </w:rPr>
  </w:style>
  <w:style w:type="character" w:customStyle="1" w:styleId="371">
    <w:name w:val="标题 9 字符"/>
    <w:basedOn w:val="90"/>
    <w:link w:val="11"/>
    <w:qFormat/>
    <w:uiPriority w:val="9"/>
    <w:rPr>
      <w:rFonts w:ascii="Cambria" w:hAnsi="Cambria" w:cs="Cambria"/>
      <w:kern w:val="2"/>
      <w:sz w:val="21"/>
      <w:szCs w:val="21"/>
    </w:rPr>
  </w:style>
  <w:style w:type="character" w:customStyle="1" w:styleId="372">
    <w:name w:val="标题 1 字符1"/>
    <w:qFormat/>
    <w:locked/>
    <w:uiPriority w:val="9"/>
    <w:rPr>
      <w:rFonts w:ascii="Calibri" w:hAnsi="Calibri" w:cs="Calibri"/>
      <w:b/>
      <w:bCs/>
      <w:kern w:val="44"/>
      <w:sz w:val="44"/>
      <w:szCs w:val="44"/>
    </w:rPr>
  </w:style>
  <w:style w:type="character" w:customStyle="1" w:styleId="373">
    <w:name w:val="批注文字 字符1"/>
    <w:qFormat/>
    <w:uiPriority w:val="0"/>
    <w:rPr>
      <w:rFonts w:ascii="Calibri" w:hAnsi="Calibri" w:cs="Calibri"/>
      <w:kern w:val="2"/>
      <w:sz w:val="21"/>
      <w:szCs w:val="21"/>
    </w:rPr>
  </w:style>
  <w:style w:type="character" w:customStyle="1" w:styleId="374">
    <w:name w:val="正文首行缩进1(Crlf+Shift+M) Char"/>
    <w:link w:val="375"/>
    <w:qFormat/>
    <w:uiPriority w:val="0"/>
    <w:rPr>
      <w:rFonts w:ascii="Arial" w:hAnsi="Arial"/>
      <w:kern w:val="2"/>
      <w:sz w:val="21"/>
      <w:szCs w:val="24"/>
    </w:rPr>
  </w:style>
  <w:style w:type="paragraph" w:customStyle="1" w:styleId="375">
    <w:name w:val="正文首行缩进1(Crlf+Shift+M)"/>
    <w:link w:val="374"/>
    <w:qFormat/>
    <w:uiPriority w:val="0"/>
    <w:pPr>
      <w:spacing w:before="120" w:after="120" w:line="360" w:lineRule="auto"/>
      <w:ind w:firstLine="420" w:firstLineChars="200"/>
    </w:pPr>
    <w:rPr>
      <w:rFonts w:ascii="Arial" w:hAnsi="Arial" w:eastAsia="宋体" w:cs="Times New Roman"/>
      <w:kern w:val="2"/>
      <w:sz w:val="21"/>
      <w:szCs w:val="24"/>
      <w:lang w:val="en-US" w:eastAsia="zh-CN" w:bidi="ar-SA"/>
    </w:rPr>
  </w:style>
  <w:style w:type="character" w:customStyle="1" w:styleId="376">
    <w:name w:val="正文文本 字符1"/>
    <w:qFormat/>
    <w:uiPriority w:val="0"/>
    <w:rPr>
      <w:kern w:val="2"/>
      <w:sz w:val="21"/>
      <w:szCs w:val="24"/>
    </w:rPr>
  </w:style>
  <w:style w:type="character" w:customStyle="1" w:styleId="377">
    <w:name w:val="列表段落 字符1"/>
    <w:link w:val="290"/>
    <w:qFormat/>
    <w:locked/>
    <w:uiPriority w:val="34"/>
    <w:rPr>
      <w:rFonts w:ascii="宋体" w:hAnsi="宋体"/>
      <w:kern w:val="2"/>
      <w:sz w:val="21"/>
      <w:szCs w:val="24"/>
    </w:rPr>
  </w:style>
  <w:style w:type="character" w:customStyle="1" w:styleId="378">
    <w:name w:val="正文文本缩进 字符1"/>
    <w:qFormat/>
    <w:uiPriority w:val="0"/>
    <w:rPr>
      <w:rFonts w:ascii="Calibri" w:hAnsi="Calibri" w:cs="Calibri"/>
      <w:kern w:val="2"/>
      <w:sz w:val="21"/>
      <w:szCs w:val="21"/>
    </w:rPr>
  </w:style>
  <w:style w:type="character" w:customStyle="1" w:styleId="379">
    <w:name w:val="正文首行缩进 2 字符"/>
    <w:link w:val="87"/>
    <w:qFormat/>
    <w:uiPriority w:val="0"/>
    <w:rPr>
      <w:rFonts w:ascii="宋体" w:hAnsi="宋体"/>
      <w:spacing w:val="-4"/>
      <w:kern w:val="2"/>
      <w:sz w:val="18"/>
    </w:rPr>
  </w:style>
  <w:style w:type="character" w:customStyle="1" w:styleId="380">
    <w:name w:val="标题 3 字符2"/>
    <w:qFormat/>
    <w:locked/>
    <w:uiPriority w:val="9"/>
    <w:rPr>
      <w:rFonts w:ascii="Calibri" w:hAnsi="Calibri" w:cs="Calibri"/>
      <w:b/>
      <w:bCs/>
      <w:kern w:val="2"/>
      <w:sz w:val="32"/>
      <w:szCs w:val="32"/>
    </w:rPr>
  </w:style>
  <w:style w:type="character" w:customStyle="1" w:styleId="381">
    <w:name w:val="Bid_正文 Char"/>
    <w:link w:val="382"/>
    <w:qFormat/>
    <w:locked/>
    <w:uiPriority w:val="0"/>
    <w:rPr>
      <w:kern w:val="2"/>
      <w:sz w:val="24"/>
    </w:rPr>
  </w:style>
  <w:style w:type="paragraph" w:customStyle="1" w:styleId="382">
    <w:name w:val="Bid_正文"/>
    <w:basedOn w:val="21"/>
    <w:link w:val="381"/>
    <w:qFormat/>
    <w:uiPriority w:val="0"/>
    <w:pPr>
      <w:ind w:firstLine="480" w:firstLineChars="200"/>
    </w:pPr>
    <w:rPr>
      <w:rFonts w:ascii="Times New Roman" w:hAnsi="Times New Roman"/>
      <w:sz w:val="24"/>
      <w:szCs w:val="20"/>
    </w:rPr>
  </w:style>
  <w:style w:type="character" w:customStyle="1" w:styleId="383">
    <w:name w:val="文档结构图 字符1"/>
    <w:qFormat/>
    <w:uiPriority w:val="0"/>
    <w:rPr>
      <w:rFonts w:ascii="Heiti SC Light" w:hAnsi="Calibri" w:eastAsia="Heiti SC Light" w:cs="Calibri"/>
      <w:kern w:val="2"/>
      <w:sz w:val="24"/>
      <w:szCs w:val="24"/>
    </w:rPr>
  </w:style>
  <w:style w:type="character" w:customStyle="1" w:styleId="384">
    <w:name w:val="正文文本缩进 3 字符1"/>
    <w:link w:val="70"/>
    <w:qFormat/>
    <w:uiPriority w:val="0"/>
    <w:rPr>
      <w:rFonts w:ascii="宋体" w:hAnsi="宋体"/>
      <w:kern w:val="2"/>
      <w:sz w:val="24"/>
      <w:szCs w:val="24"/>
    </w:rPr>
  </w:style>
  <w:style w:type="character" w:customStyle="1" w:styleId="385">
    <w:name w:val="正文文本缩进 3 字符"/>
    <w:semiHidden/>
    <w:qFormat/>
    <w:uiPriority w:val="99"/>
    <w:rPr>
      <w:rFonts w:ascii="Calibri" w:hAnsi="Calibri" w:cs="Calibri"/>
      <w:kern w:val="2"/>
      <w:sz w:val="16"/>
      <w:szCs w:val="16"/>
    </w:rPr>
  </w:style>
  <w:style w:type="character" w:customStyle="1" w:styleId="386">
    <w:name w:val="批注框文本 字符1"/>
    <w:qFormat/>
    <w:uiPriority w:val="0"/>
    <w:rPr>
      <w:rFonts w:ascii="Calibri" w:hAnsi="Calibri" w:cs="Calibri"/>
      <w:kern w:val="2"/>
      <w:sz w:val="18"/>
      <w:szCs w:val="18"/>
    </w:rPr>
  </w:style>
  <w:style w:type="character" w:customStyle="1" w:styleId="387">
    <w:name w:val="正文文本缩进 2 字符1"/>
    <w:qFormat/>
    <w:uiPriority w:val="0"/>
    <w:rPr>
      <w:kern w:val="2"/>
      <w:sz w:val="21"/>
      <w:szCs w:val="24"/>
    </w:rPr>
  </w:style>
  <w:style w:type="character" w:customStyle="1" w:styleId="388">
    <w:name w:val="标题 2 字符1"/>
    <w:qFormat/>
    <w:locked/>
    <w:uiPriority w:val="0"/>
    <w:rPr>
      <w:rFonts w:ascii="Cambria" w:hAnsi="Cambria" w:cs="Cambria"/>
      <w:kern w:val="2"/>
      <w:sz w:val="32"/>
      <w:szCs w:val="32"/>
    </w:rPr>
  </w:style>
  <w:style w:type="character" w:customStyle="1" w:styleId="389">
    <w:name w:val="页眉 字符1"/>
    <w:qFormat/>
    <w:uiPriority w:val="0"/>
    <w:rPr>
      <w:rFonts w:ascii="Calibri" w:hAnsi="Calibri" w:cs="Calibri"/>
      <w:kern w:val="2"/>
      <w:sz w:val="18"/>
      <w:szCs w:val="18"/>
    </w:rPr>
  </w:style>
  <w:style w:type="character" w:customStyle="1" w:styleId="390">
    <w:name w:val="标题 3 字符1"/>
    <w:qFormat/>
    <w:locked/>
    <w:uiPriority w:val="9"/>
    <w:rPr>
      <w:rFonts w:ascii="Calibri" w:hAnsi="Calibri" w:cs="Calibri"/>
      <w:kern w:val="2"/>
      <w:sz w:val="32"/>
      <w:szCs w:val="32"/>
    </w:rPr>
  </w:style>
  <w:style w:type="character" w:customStyle="1" w:styleId="391">
    <w:name w:val="批注主题 字符1"/>
    <w:qFormat/>
    <w:uiPriority w:val="0"/>
    <w:rPr>
      <w:rFonts w:ascii="Calibri" w:hAnsi="Calibri" w:cs="Calibri"/>
      <w:kern w:val="2"/>
      <w:sz w:val="21"/>
      <w:szCs w:val="21"/>
    </w:rPr>
  </w:style>
  <w:style w:type="character" w:customStyle="1" w:styleId="392">
    <w:name w:val="副标题 字符1"/>
    <w:qFormat/>
    <w:uiPriority w:val="0"/>
    <w:rPr>
      <w:rFonts w:ascii="Calibri Light" w:hAnsi="Calibri Light"/>
      <w:kern w:val="28"/>
      <w:sz w:val="32"/>
      <w:szCs w:val="32"/>
    </w:rPr>
  </w:style>
  <w:style w:type="character" w:customStyle="1" w:styleId="393">
    <w:name w:val="正文文本首行缩进 2 字符"/>
    <w:semiHidden/>
    <w:qFormat/>
    <w:uiPriority w:val="99"/>
    <w:rPr>
      <w:rFonts w:ascii="Calibri" w:hAnsi="Calibri" w:cs="Calibri"/>
      <w:kern w:val="2"/>
      <w:sz w:val="21"/>
      <w:szCs w:val="21"/>
    </w:rPr>
  </w:style>
  <w:style w:type="character" w:customStyle="1" w:styleId="394">
    <w:name w:val="正文文本首行缩进 2 字符1"/>
    <w:semiHidden/>
    <w:qFormat/>
    <w:uiPriority w:val="99"/>
  </w:style>
  <w:style w:type="character" w:customStyle="1" w:styleId="395">
    <w:name w:val="批注文字 Char"/>
    <w:qFormat/>
    <w:uiPriority w:val="0"/>
    <w:rPr>
      <w:rFonts w:ascii="Calibri" w:hAnsi="Calibri" w:cs="Calibri"/>
      <w:kern w:val="2"/>
      <w:sz w:val="21"/>
      <w:szCs w:val="21"/>
    </w:rPr>
  </w:style>
  <w:style w:type="paragraph" w:customStyle="1" w:styleId="396">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97">
    <w:name w:val="自标02"/>
    <w:basedOn w:val="4"/>
    <w:next w:val="1"/>
    <w:qFormat/>
    <w:uiPriority w:val="0"/>
    <w:pPr>
      <w:keepLines/>
      <w:numPr>
        <w:numId w:val="15"/>
      </w:numPr>
      <w:tabs>
        <w:tab w:val="clear" w:pos="596"/>
      </w:tabs>
      <w:adjustRightInd/>
      <w:spacing w:before="50" w:beforeLines="50" w:after="50" w:afterLines="50"/>
      <w:textAlignment w:val="auto"/>
    </w:pPr>
    <w:rPr>
      <w:rFonts w:eastAsia="宋体" w:cs="Times New Roman (标题 CS)"/>
      <w:bCs/>
      <w:kern w:val="2"/>
      <w:sz w:val="30"/>
      <w:szCs w:val="32"/>
    </w:rPr>
  </w:style>
  <w:style w:type="paragraph" w:customStyle="1" w:styleId="398">
    <w:name w:val="彩色列表 - 着色 11"/>
    <w:basedOn w:val="1"/>
    <w:qFormat/>
    <w:uiPriority w:val="34"/>
    <w:pPr>
      <w:spacing w:line="240" w:lineRule="auto"/>
      <w:ind w:firstLine="420" w:firstLineChars="200"/>
    </w:pPr>
    <w:rPr>
      <w:rFonts w:ascii="Calibri" w:hAnsi="Calibri" w:cs="Calibri"/>
      <w:szCs w:val="21"/>
    </w:rPr>
  </w:style>
  <w:style w:type="paragraph" w:customStyle="1" w:styleId="399">
    <w:name w:val="中等深浅网格 1 - 着色 21"/>
    <w:basedOn w:val="1"/>
    <w:qFormat/>
    <w:uiPriority w:val="34"/>
    <w:pPr>
      <w:widowControl/>
      <w:spacing w:before="200" w:after="200" w:line="276" w:lineRule="auto"/>
      <w:ind w:left="720"/>
      <w:contextualSpacing/>
      <w:jc w:val="left"/>
    </w:pPr>
    <w:rPr>
      <w:rFonts w:ascii="Calibri" w:hAnsi="Calibri"/>
      <w:kern w:val="0"/>
      <w:sz w:val="20"/>
      <w:szCs w:val="20"/>
    </w:rPr>
  </w:style>
  <w:style w:type="paragraph" w:customStyle="1" w:styleId="400">
    <w:name w:val="列表段落11"/>
    <w:basedOn w:val="1"/>
    <w:qFormat/>
    <w:uiPriority w:val="0"/>
    <w:pPr>
      <w:spacing w:line="240" w:lineRule="auto"/>
      <w:ind w:firstLine="420" w:firstLineChars="200"/>
    </w:pPr>
    <w:rPr>
      <w:rFonts w:ascii="Calibri" w:hAnsi="Calibri" w:cs="Calibri"/>
      <w:szCs w:val="21"/>
    </w:rPr>
  </w:style>
  <w:style w:type="paragraph" w:customStyle="1" w:styleId="401">
    <w:name w:val="自标01"/>
    <w:basedOn w:val="3"/>
    <w:next w:val="1"/>
    <w:qFormat/>
    <w:uiPriority w:val="0"/>
    <w:pPr>
      <w:numPr>
        <w:ilvl w:val="0"/>
        <w:numId w:val="15"/>
      </w:numPr>
      <w:tabs>
        <w:tab w:val="left" w:pos="432"/>
      </w:tabs>
      <w:adjustRightInd/>
      <w:spacing w:before="211" w:beforeLines="50" w:after="211" w:afterLines="50"/>
      <w:ind w:left="0" w:firstLine="0"/>
      <w:textAlignment w:val="auto"/>
    </w:pPr>
    <w:rPr>
      <w:rFonts w:eastAsia="宋体" w:cs="Times New Roman (正文 CS 字体)"/>
      <w:bCs/>
      <w:sz w:val="32"/>
      <w:szCs w:val="44"/>
    </w:rPr>
  </w:style>
  <w:style w:type="paragraph" w:customStyle="1" w:styleId="402">
    <w:name w:val="正文首行缩进两字符"/>
    <w:basedOn w:val="1"/>
    <w:qFormat/>
    <w:uiPriority w:val="99"/>
    <w:pPr>
      <w:ind w:firstLine="200" w:firstLineChars="200"/>
    </w:pPr>
    <w:rPr>
      <w:rFonts w:ascii="Times New Roman" w:hAnsi="Times New Roman"/>
    </w:rPr>
  </w:style>
  <w:style w:type="paragraph" w:customStyle="1" w:styleId="403">
    <w:name w:val="自标03"/>
    <w:basedOn w:val="5"/>
    <w:next w:val="1"/>
    <w:qFormat/>
    <w:uiPriority w:val="0"/>
    <w:pPr>
      <w:keepNext/>
      <w:keepLines/>
      <w:numPr>
        <w:numId w:val="15"/>
      </w:numPr>
      <w:tabs>
        <w:tab w:val="clear" w:pos="900"/>
        <w:tab w:val="clear" w:pos="1588"/>
      </w:tabs>
      <w:adjustRightInd/>
      <w:spacing w:before="50" w:beforeLines="50" w:after="50" w:afterLines="50"/>
      <w:textAlignment w:val="auto"/>
    </w:pPr>
    <w:rPr>
      <w:rFonts w:eastAsia="宋体" w:cs="Times New Roman (正文 CS 字体)"/>
      <w:bCs/>
      <w:kern w:val="2"/>
      <w:szCs w:val="32"/>
    </w:rPr>
  </w:style>
  <w:style w:type="paragraph" w:customStyle="1" w:styleId="404">
    <w:name w:val="自标07"/>
    <w:basedOn w:val="405"/>
    <w:next w:val="1"/>
    <w:qFormat/>
    <w:uiPriority w:val="0"/>
    <w:pPr>
      <w:numPr>
        <w:ilvl w:val="6"/>
      </w:numPr>
      <w:tabs>
        <w:tab w:val="left" w:pos="360"/>
        <w:tab w:val="left" w:pos="1152"/>
      </w:tabs>
      <w:ind w:left="0" w:firstLine="0"/>
      <w:outlineLvl w:val="6"/>
    </w:pPr>
  </w:style>
  <w:style w:type="paragraph" w:customStyle="1" w:styleId="405">
    <w:name w:val="自标06"/>
    <w:basedOn w:val="8"/>
    <w:next w:val="1"/>
    <w:qFormat/>
    <w:uiPriority w:val="0"/>
    <w:pPr>
      <w:numPr>
        <w:ilvl w:val="5"/>
        <w:numId w:val="15"/>
      </w:numPr>
      <w:tabs>
        <w:tab w:val="left" w:pos="360"/>
      </w:tabs>
      <w:spacing w:before="50" w:beforeLines="50" w:after="50" w:afterLines="50" w:line="240" w:lineRule="auto"/>
    </w:pPr>
    <w:rPr>
      <w:rFonts w:ascii="宋体" w:hAnsi="等线 Light" w:cs="Times New Roman (标题 CS)"/>
    </w:rPr>
  </w:style>
  <w:style w:type="paragraph" w:customStyle="1" w:styleId="406">
    <w:name w:val="自标04"/>
    <w:basedOn w:val="6"/>
    <w:next w:val="1"/>
    <w:qFormat/>
    <w:uiPriority w:val="0"/>
    <w:pPr>
      <w:keepNext/>
      <w:keepLines/>
      <w:numPr>
        <w:numId w:val="15"/>
      </w:numPr>
      <w:tabs>
        <w:tab w:val="left" w:pos="360"/>
        <w:tab w:val="left" w:pos="432"/>
        <w:tab w:val="left" w:pos="864"/>
        <w:tab w:val="clear" w:pos="2155"/>
      </w:tabs>
      <w:adjustRightInd/>
      <w:spacing w:before="50" w:beforeLines="50" w:after="50" w:afterLines="50" w:line="240" w:lineRule="auto"/>
      <w:textAlignment w:val="auto"/>
    </w:pPr>
    <w:rPr>
      <w:rFonts w:ascii="宋体" w:hAnsi="等线 Light" w:eastAsia="宋体" w:cs="Times New Roman (标题 CS)"/>
      <w:b/>
      <w:bCs/>
      <w:kern w:val="2"/>
      <w:szCs w:val="28"/>
    </w:rPr>
  </w:style>
  <w:style w:type="paragraph" w:customStyle="1" w:styleId="407">
    <w:name w:val="自标05"/>
    <w:basedOn w:val="7"/>
    <w:next w:val="1"/>
    <w:qFormat/>
    <w:uiPriority w:val="0"/>
    <w:pPr>
      <w:numPr>
        <w:numId w:val="15"/>
      </w:numPr>
      <w:tabs>
        <w:tab w:val="left" w:pos="360"/>
        <w:tab w:val="left" w:pos="432"/>
        <w:tab w:val="left" w:pos="1008"/>
      </w:tabs>
      <w:adjustRightInd/>
      <w:spacing w:before="50" w:beforeLines="50" w:after="50" w:afterLines="50" w:line="240" w:lineRule="auto"/>
      <w:textAlignment w:val="auto"/>
    </w:pPr>
    <w:rPr>
      <w:rFonts w:hAnsi="等线" w:cs="Times New Roman (正文 CS 字体)"/>
      <w:bCs/>
      <w:kern w:val="2"/>
      <w:sz w:val="24"/>
      <w:szCs w:val="28"/>
    </w:rPr>
  </w:style>
  <w:style w:type="paragraph" w:customStyle="1" w:styleId="408">
    <w:name w:val="自正01"/>
    <w:basedOn w:val="1"/>
    <w:qFormat/>
    <w:uiPriority w:val="0"/>
    <w:pPr>
      <w:ind w:firstLine="200" w:firstLineChars="200"/>
    </w:pPr>
    <w:rPr>
      <w:rFonts w:cs="微软雅黑"/>
      <w:sz w:val="24"/>
    </w:rPr>
  </w:style>
  <w:style w:type="paragraph" w:customStyle="1" w:styleId="409">
    <w:name w:val="_正文"/>
    <w:qFormat/>
    <w:uiPriority w:val="0"/>
    <w:pPr>
      <w:widowControl w:val="0"/>
      <w:spacing w:line="360" w:lineRule="auto"/>
      <w:jc w:val="both"/>
    </w:pPr>
    <w:rPr>
      <w:rFonts w:ascii="宋体" w:hAnsi="宋体" w:eastAsia="宋体" w:cs="宋体"/>
      <w:bCs/>
      <w:kern w:val="2"/>
      <w:sz w:val="21"/>
      <w:szCs w:val="36"/>
      <w:lang w:val="en-US" w:eastAsia="zh-CN" w:bidi="ar-SA"/>
    </w:rPr>
  </w:style>
  <w:style w:type="paragraph" w:customStyle="1" w:styleId="410">
    <w:name w:val="WPSOffice手动目录 1"/>
    <w:qFormat/>
    <w:uiPriority w:val="0"/>
    <w:rPr>
      <w:rFonts w:ascii="Times New Roman" w:hAnsi="Times New Roman" w:eastAsia="宋体" w:cs="Times New Roman"/>
      <w:lang w:val="en-US" w:eastAsia="zh-CN" w:bidi="ar-SA"/>
    </w:rPr>
  </w:style>
  <w:style w:type="table" w:customStyle="1" w:styleId="411">
    <w:name w:val="Table Normal"/>
    <w:unhideWhenUsed/>
    <w:qFormat/>
    <w:uiPriority w:val="0"/>
    <w:tblPr>
      <w:tblCellMar>
        <w:top w:w="0" w:type="dxa"/>
        <w:left w:w="0" w:type="dxa"/>
        <w:bottom w:w="0" w:type="dxa"/>
        <w:right w:w="0" w:type="dxa"/>
      </w:tblCellMar>
    </w:tblPr>
  </w:style>
  <w:style w:type="table" w:customStyle="1" w:styleId="412">
    <w:name w:val="_Style 32"/>
    <w:basedOn w:val="88"/>
    <w:qFormat/>
    <w:uiPriority w:val="0"/>
    <w:rPr>
      <w:rFonts w:ascii="Calibri" w:hAnsi="Calibri" w:eastAsia="等线" w:cs="Calibri"/>
    </w:rPr>
    <w:tblPr>
      <w:tblCellMar>
        <w:left w:w="115" w:type="dxa"/>
        <w:right w:w="115" w:type="dxa"/>
      </w:tblCellMar>
    </w:tblPr>
  </w:style>
  <w:style w:type="table" w:customStyle="1" w:styleId="413">
    <w:name w:val="网格型1"/>
    <w:basedOn w:val="88"/>
    <w:qFormat/>
    <w:uiPriority w:val="0"/>
    <w:pPr>
      <w:widowControl w:val="0"/>
      <w:jc w:val="both"/>
    </w:pPr>
    <w:rPr>
      <w:rFonts w:ascii="Calibri" w:hAnsi="Calibri"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14">
    <w:name w:val="font11"/>
    <w:basedOn w:val="90"/>
    <w:qFormat/>
    <w:uiPriority w:val="0"/>
    <w:rPr>
      <w:rFonts w:hint="eastAsia" w:ascii="宋体" w:hAnsi="宋体" w:eastAsia="宋体" w:cs="宋体"/>
      <w:color w:val="000000"/>
      <w:sz w:val="22"/>
      <w:szCs w:val="22"/>
      <w:u w:val="none"/>
    </w:rPr>
  </w:style>
  <w:style w:type="character" w:customStyle="1" w:styleId="415">
    <w:name w:val="未处理的提及5"/>
    <w:basedOn w:val="90"/>
    <w:semiHidden/>
    <w:unhideWhenUsed/>
    <w:qFormat/>
    <w:uiPriority w:val="99"/>
    <w:rPr>
      <w:color w:val="605E5C"/>
      <w:shd w:val="clear" w:color="auto" w:fill="E1DFDD"/>
    </w:rPr>
  </w:style>
  <w:style w:type="character" w:customStyle="1" w:styleId="416">
    <w:name w:val="HTML 地址 字符"/>
    <w:basedOn w:val="90"/>
    <w:link w:val="41"/>
    <w:semiHidden/>
    <w:qFormat/>
    <w:uiPriority w:val="0"/>
    <w:rPr>
      <w:rFonts w:ascii="宋体" w:hAnsi="宋体"/>
      <w:i/>
      <w:iCs/>
      <w:kern w:val="2"/>
      <w:sz w:val="21"/>
      <w:szCs w:val="24"/>
    </w:rPr>
  </w:style>
  <w:style w:type="paragraph" w:customStyle="1" w:styleId="417">
    <w:name w:val="TOC 标题2"/>
    <w:basedOn w:val="3"/>
    <w:next w:val="1"/>
    <w:semiHidden/>
    <w:unhideWhenUsed/>
    <w:qFormat/>
    <w:uiPriority w:val="39"/>
    <w:pPr>
      <w:numPr>
        <w:numId w:val="0"/>
      </w:numPr>
      <w:tabs>
        <w:tab w:val="clear" w:pos="360"/>
      </w:tabs>
      <w:adjustRightInd/>
      <w:spacing w:before="340" w:after="330" w:line="578" w:lineRule="auto"/>
      <w:textAlignment w:val="auto"/>
      <w:outlineLvl w:val="9"/>
    </w:pPr>
    <w:rPr>
      <w:rFonts w:eastAsia="宋体"/>
      <w:bCs/>
      <w:sz w:val="44"/>
      <w:szCs w:val="44"/>
    </w:rPr>
  </w:style>
  <w:style w:type="character" w:customStyle="1" w:styleId="418">
    <w:name w:val="称呼 字符"/>
    <w:basedOn w:val="90"/>
    <w:link w:val="30"/>
    <w:semiHidden/>
    <w:qFormat/>
    <w:uiPriority w:val="0"/>
    <w:rPr>
      <w:rFonts w:ascii="宋体" w:hAnsi="宋体"/>
      <w:kern w:val="2"/>
      <w:sz w:val="21"/>
      <w:szCs w:val="24"/>
    </w:rPr>
  </w:style>
  <w:style w:type="character" w:customStyle="1" w:styleId="419">
    <w:name w:val="电子邮件签名 字符"/>
    <w:basedOn w:val="90"/>
    <w:link w:val="19"/>
    <w:semiHidden/>
    <w:qFormat/>
    <w:uiPriority w:val="0"/>
    <w:rPr>
      <w:rFonts w:ascii="宋体" w:hAnsi="宋体"/>
      <w:kern w:val="2"/>
      <w:sz w:val="21"/>
      <w:szCs w:val="24"/>
    </w:rPr>
  </w:style>
  <w:style w:type="character" w:customStyle="1" w:styleId="420">
    <w:name w:val="宏文本 字符"/>
    <w:basedOn w:val="90"/>
    <w:link w:val="2"/>
    <w:semiHidden/>
    <w:qFormat/>
    <w:uiPriority w:val="0"/>
    <w:rPr>
      <w:rFonts w:ascii="Courier New" w:hAnsi="Courier New" w:cs="Courier New"/>
      <w:kern w:val="2"/>
      <w:sz w:val="24"/>
      <w:szCs w:val="24"/>
    </w:rPr>
  </w:style>
  <w:style w:type="character" w:customStyle="1" w:styleId="421">
    <w:name w:val="脚注文本 字符"/>
    <w:basedOn w:val="90"/>
    <w:link w:val="67"/>
    <w:semiHidden/>
    <w:qFormat/>
    <w:uiPriority w:val="0"/>
    <w:rPr>
      <w:rFonts w:ascii="宋体" w:hAnsi="宋体"/>
      <w:kern w:val="2"/>
      <w:sz w:val="18"/>
      <w:szCs w:val="18"/>
    </w:rPr>
  </w:style>
  <w:style w:type="character" w:customStyle="1" w:styleId="422">
    <w:name w:val="结束语 字符"/>
    <w:basedOn w:val="90"/>
    <w:link w:val="32"/>
    <w:semiHidden/>
    <w:qFormat/>
    <w:uiPriority w:val="0"/>
    <w:rPr>
      <w:rFonts w:ascii="宋体" w:hAnsi="宋体"/>
      <w:kern w:val="2"/>
      <w:sz w:val="21"/>
      <w:szCs w:val="24"/>
    </w:rPr>
  </w:style>
  <w:style w:type="paragraph" w:styleId="423">
    <w:name w:val="Intense Quote"/>
    <w:basedOn w:val="1"/>
    <w:next w:val="1"/>
    <w:link w:val="424"/>
    <w:semiHidden/>
    <w:unhideWhenUsed/>
    <w:qFormat/>
    <w:uiPriority w:val="99"/>
    <w:pPr>
      <w:pBdr>
        <w:top w:val="single" w:color="4F81BD" w:themeColor="accent1" w:sz="4" w:space="10"/>
        <w:bottom w:val="single" w:color="4F81BD" w:themeColor="accent1" w:sz="4" w:space="10"/>
      </w:pBdr>
      <w:spacing w:before="360" w:after="360"/>
      <w:ind w:left="864" w:right="864"/>
      <w:jc w:val="center"/>
    </w:pPr>
    <w:rPr>
      <w:i/>
      <w:iCs/>
      <w:color w:val="4F81BD" w:themeColor="accent1"/>
      <w14:textFill>
        <w14:solidFill>
          <w14:schemeClr w14:val="accent1"/>
        </w14:solidFill>
      </w14:textFill>
    </w:rPr>
  </w:style>
  <w:style w:type="character" w:customStyle="1" w:styleId="424">
    <w:name w:val="明显引用 字符"/>
    <w:basedOn w:val="90"/>
    <w:link w:val="423"/>
    <w:semiHidden/>
    <w:qFormat/>
    <w:uiPriority w:val="99"/>
    <w:rPr>
      <w:rFonts w:ascii="宋体" w:hAnsi="宋体"/>
      <w:i/>
      <w:iCs/>
      <w:color w:val="4F81BD" w:themeColor="accent1"/>
      <w:kern w:val="2"/>
      <w:sz w:val="21"/>
      <w:szCs w:val="24"/>
      <w14:textFill>
        <w14:solidFill>
          <w14:schemeClr w14:val="accent1"/>
        </w14:solidFill>
      </w14:textFill>
    </w:rPr>
  </w:style>
  <w:style w:type="character" w:customStyle="1" w:styleId="425">
    <w:name w:val="签名 字符"/>
    <w:basedOn w:val="90"/>
    <w:link w:val="58"/>
    <w:semiHidden/>
    <w:qFormat/>
    <w:uiPriority w:val="0"/>
    <w:rPr>
      <w:rFonts w:ascii="宋体" w:hAnsi="宋体"/>
      <w:kern w:val="2"/>
      <w:sz w:val="21"/>
      <w:szCs w:val="24"/>
    </w:rPr>
  </w:style>
  <w:style w:type="paragraph" w:customStyle="1" w:styleId="426">
    <w:name w:val="书目1"/>
    <w:basedOn w:val="1"/>
    <w:next w:val="1"/>
    <w:semiHidden/>
    <w:unhideWhenUsed/>
    <w:qFormat/>
    <w:uiPriority w:val="37"/>
  </w:style>
  <w:style w:type="character" w:customStyle="1" w:styleId="427">
    <w:name w:val="尾注文本 字符"/>
    <w:basedOn w:val="90"/>
    <w:link w:val="52"/>
    <w:semiHidden/>
    <w:qFormat/>
    <w:uiPriority w:val="0"/>
    <w:rPr>
      <w:rFonts w:ascii="宋体" w:hAnsi="宋体"/>
      <w:kern w:val="2"/>
      <w:sz w:val="21"/>
      <w:szCs w:val="24"/>
    </w:rPr>
  </w:style>
  <w:style w:type="character" w:customStyle="1" w:styleId="428">
    <w:name w:val="信息标题 字符"/>
    <w:basedOn w:val="90"/>
    <w:link w:val="79"/>
    <w:semiHidden/>
    <w:qFormat/>
    <w:uiPriority w:val="0"/>
    <w:rPr>
      <w:rFonts w:asciiTheme="majorHAnsi" w:hAnsiTheme="majorHAnsi" w:eastAsiaTheme="majorEastAsia" w:cstheme="majorBidi"/>
      <w:kern w:val="2"/>
      <w:sz w:val="24"/>
      <w:szCs w:val="24"/>
      <w:shd w:val="pct20" w:color="auto" w:fill="auto"/>
    </w:rPr>
  </w:style>
  <w:style w:type="paragraph" w:styleId="429">
    <w:name w:val="Quote"/>
    <w:basedOn w:val="1"/>
    <w:next w:val="1"/>
    <w:link w:val="430"/>
    <w:semiHidden/>
    <w:unhideWhenUsed/>
    <w:qFormat/>
    <w:uiPriority w:val="99"/>
    <w:pPr>
      <w:spacing w:before="200" w:after="160"/>
      <w:ind w:left="864" w:right="864"/>
      <w:jc w:val="center"/>
    </w:pPr>
    <w:rPr>
      <w:i/>
      <w:iCs/>
      <w:color w:val="404040" w:themeColor="text1" w:themeTint="BF"/>
      <w14:textFill>
        <w14:solidFill>
          <w14:schemeClr w14:val="tx1">
            <w14:lumMod w14:val="75000"/>
            <w14:lumOff w14:val="25000"/>
          </w14:schemeClr>
        </w14:solidFill>
      </w14:textFill>
    </w:rPr>
  </w:style>
  <w:style w:type="character" w:customStyle="1" w:styleId="430">
    <w:name w:val="引用 字符"/>
    <w:basedOn w:val="90"/>
    <w:link w:val="429"/>
    <w:semiHidden/>
    <w:qFormat/>
    <w:uiPriority w:val="99"/>
    <w:rPr>
      <w:rFonts w:ascii="宋体" w:hAnsi="宋体"/>
      <w:i/>
      <w:iCs/>
      <w:color w:val="404040" w:themeColor="text1" w:themeTint="BF"/>
      <w:kern w:val="2"/>
      <w:sz w:val="21"/>
      <w:szCs w:val="24"/>
      <w14:textFill>
        <w14:solidFill>
          <w14:schemeClr w14:val="tx1">
            <w14:lumMod w14:val="75000"/>
            <w14:lumOff w14:val="25000"/>
          </w14:schemeClr>
        </w14:solidFill>
      </w14:textFill>
    </w:rPr>
  </w:style>
  <w:style w:type="character" w:customStyle="1" w:styleId="431">
    <w:name w:val="注释标题 字符"/>
    <w:basedOn w:val="90"/>
    <w:link w:val="16"/>
    <w:semiHidden/>
    <w:qFormat/>
    <w:uiPriority w:val="0"/>
    <w:rPr>
      <w:rFonts w:ascii="宋体" w:hAnsi="宋体"/>
      <w:kern w:val="2"/>
      <w:sz w:val="21"/>
      <w:szCs w:val="24"/>
    </w:rPr>
  </w:style>
  <w:style w:type="character" w:customStyle="1" w:styleId="432">
    <w:name w:val="font101"/>
    <w:qFormat/>
    <w:uiPriority w:val="0"/>
    <w:rPr>
      <w:rFonts w:hint="eastAsia" w:ascii="宋体" w:hAnsi="宋体" w:eastAsia="宋体" w:cs="宋体"/>
      <w:color w:val="000000"/>
      <w:sz w:val="21"/>
      <w:szCs w:val="21"/>
      <w:u w:val="none"/>
    </w:rPr>
  </w:style>
  <w:style w:type="character" w:customStyle="1" w:styleId="433">
    <w:name w:val="font111"/>
    <w:qFormat/>
    <w:uiPriority w:val="0"/>
    <w:rPr>
      <w:rFonts w:hint="default" w:ascii="Calibri" w:hAnsi="Calibri" w:cs="Calibri"/>
      <w:color w:val="000000"/>
      <w:sz w:val="21"/>
      <w:szCs w:val="21"/>
      <w:u w:val="none"/>
    </w:rPr>
  </w:style>
  <w:style w:type="paragraph" w:customStyle="1" w:styleId="434">
    <w:name w:val="Normal no space after"/>
    <w:basedOn w:val="1"/>
    <w:qFormat/>
    <w:uiPriority w:val="0"/>
    <w:pPr>
      <w:widowControl/>
      <w:tabs>
        <w:tab w:val="left" w:pos="284"/>
        <w:tab w:val="left" w:pos="567"/>
      </w:tabs>
      <w:spacing w:line="280" w:lineRule="atLeast"/>
      <w:jc w:val="left"/>
    </w:pPr>
    <w:rPr>
      <w:rFonts w:ascii="Frutiger Roman" w:hAnsi="Frutiger Roman"/>
      <w:kern w:val="0"/>
      <w:sz w:val="20"/>
      <w:szCs w:val="20"/>
      <w:lang w:eastAsia="en-US"/>
    </w:rPr>
  </w:style>
  <w:style w:type="character" w:customStyle="1" w:styleId="435">
    <w:name w:val="NormalCharacter"/>
    <w:qFormat/>
    <w:uiPriority w:val="0"/>
    <w:rPr>
      <w:rFonts w:ascii="Calibri" w:hAnsi="Calibri" w:eastAsia="宋体" w:cs="Times New Roman"/>
    </w:rPr>
  </w:style>
  <w:style w:type="paragraph" w:customStyle="1" w:styleId="436">
    <w:name w:val="正文正文"/>
    <w:basedOn w:val="1"/>
    <w:qFormat/>
    <w:uiPriority w:val="0"/>
    <w:pPr>
      <w:snapToGrid w:val="0"/>
      <w:spacing w:line="600" w:lineRule="exact"/>
      <w:ind w:firstLine="640" w:firstLineChars="200"/>
    </w:pPr>
    <w:rPr>
      <w:rFonts w:eastAsia="方正仿宋_GBK"/>
      <w:sz w:val="32"/>
      <w:szCs w:val="32"/>
    </w:rPr>
  </w:style>
  <w:style w:type="character" w:customStyle="1" w:styleId="437">
    <w:name w:val="cfdate"/>
    <w:basedOn w:val="90"/>
    <w:qFormat/>
    <w:uiPriority w:val="0"/>
    <w:rPr>
      <w:color w:val="333333"/>
      <w:sz w:val="18"/>
      <w:szCs w:val="18"/>
    </w:rPr>
  </w:style>
  <w:style w:type="character" w:customStyle="1" w:styleId="438">
    <w:name w:val="redfilefwwh"/>
    <w:basedOn w:val="90"/>
    <w:qFormat/>
    <w:uiPriority w:val="0"/>
    <w:rPr>
      <w:color w:val="BA2636"/>
      <w:sz w:val="18"/>
      <w:szCs w:val="18"/>
    </w:rPr>
  </w:style>
  <w:style w:type="character" w:customStyle="1" w:styleId="439">
    <w:name w:val="redfilenumber"/>
    <w:basedOn w:val="90"/>
    <w:qFormat/>
    <w:uiPriority w:val="0"/>
    <w:rPr>
      <w:color w:val="BA2636"/>
      <w:sz w:val="18"/>
      <w:szCs w:val="18"/>
    </w:rPr>
  </w:style>
  <w:style w:type="character" w:customStyle="1" w:styleId="440">
    <w:name w:val="gjfg"/>
    <w:basedOn w:val="90"/>
    <w:qFormat/>
    <w:uiPriority w:val="0"/>
  </w:style>
  <w:style w:type="character" w:customStyle="1" w:styleId="441">
    <w:name w:val="displayarti"/>
    <w:basedOn w:val="90"/>
    <w:qFormat/>
    <w:uiPriority w:val="0"/>
    <w:rPr>
      <w:color w:val="FFFFFF"/>
      <w:shd w:val="clear" w:color="auto" w:fill="A00000"/>
    </w:rPr>
  </w:style>
  <w:style w:type="character" w:customStyle="1" w:styleId="442">
    <w:name w:val="next"/>
    <w:basedOn w:val="90"/>
    <w:qFormat/>
    <w:uiPriority w:val="0"/>
    <w:rPr>
      <w:rFonts w:ascii="微软雅黑" w:hAnsi="微软雅黑" w:eastAsia="微软雅黑" w:cs="微软雅黑"/>
      <w:sz w:val="21"/>
      <w:szCs w:val="21"/>
    </w:rPr>
  </w:style>
  <w:style w:type="character" w:customStyle="1" w:styleId="443">
    <w:name w:val="next1"/>
    <w:basedOn w:val="90"/>
    <w:qFormat/>
    <w:uiPriority w:val="0"/>
    <w:rPr>
      <w:color w:val="888888"/>
    </w:rPr>
  </w:style>
  <w:style w:type="character" w:customStyle="1" w:styleId="444">
    <w:name w:val="prev"/>
    <w:basedOn w:val="90"/>
    <w:qFormat/>
    <w:uiPriority w:val="0"/>
    <w:rPr>
      <w:rFonts w:hint="eastAsia" w:ascii="微软雅黑" w:hAnsi="微软雅黑" w:eastAsia="微软雅黑" w:cs="微软雅黑"/>
      <w:sz w:val="21"/>
      <w:szCs w:val="21"/>
    </w:rPr>
  </w:style>
  <w:style w:type="character" w:customStyle="1" w:styleId="445">
    <w:name w:val="prev1"/>
    <w:basedOn w:val="90"/>
    <w:qFormat/>
    <w:uiPriority w:val="0"/>
    <w:rPr>
      <w:color w:val="888888"/>
    </w:rPr>
  </w:style>
  <w:style w:type="character" w:customStyle="1" w:styleId="446">
    <w:name w:val="qxdate"/>
    <w:basedOn w:val="90"/>
    <w:qFormat/>
    <w:uiPriority w:val="0"/>
    <w:rPr>
      <w:color w:val="333333"/>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云南招标股份有限公司</Company>
  <Pages>82</Pages>
  <Words>10422</Words>
  <Characters>11497</Characters>
  <Lines>73</Lines>
  <Paragraphs>93</Paragraphs>
  <TotalTime>46</TotalTime>
  <ScaleCrop>false</ScaleCrop>
  <LinksUpToDate>false</LinksUpToDate>
  <CharactersWithSpaces>11643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2024-10-09T00:38:00Z</dcterms:created>
  <dc:creator>云南招标股份有限公司</dc:creator>
  <cp:lastModifiedBy>Administrator</cp:lastModifiedBy>
  <cp:lastPrinted>2024-07-04T07:03:00Z</cp:lastPrinted>
  <dcterms:modified xsi:type="dcterms:W3CDTF">2026-09-11T06:11:41Z</dcterms:modified>
  <dc:title>政府采购招标文件</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9D03F5F934BB464ABD8F2EB36363D543_13</vt:lpwstr>
  </property>
  <property fmtid="{D5CDD505-2E9C-101B-9397-08002B2CF9AE}" pid="3" name="KSOProductBuildVer">
    <vt:lpwstr>2052-12.1.0.28505</vt:lpwstr>
  </property>
  <property fmtid="{D5CDD505-2E9C-101B-9397-08002B2CF9AE}" pid="4" name="commondata">
    <vt:lpwstr>eyJoZGlkIjoiOTRlZDU2NDdjZWE2ZTM4NmE3NjY0YWUzM2NhMzVhOGMifQ==</vt:lpwstr>
  </property>
  <property fmtid="{D5CDD505-2E9C-101B-9397-08002B2CF9AE}" pid="5" name="KSOTemplateDocerSaveRecord">
    <vt:lpwstr>eyJoZGlkIjoiOGZjMWM3NDlhMWI2YmZhNGZhMGVmYWE0MGVkMzI5OTQiLCJ1c2VySWQiOiIxMjgyMjA1OTExIn0=</vt:lpwstr>
  </property>
</Properties>
</file>