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版本号：N510524202600018220260828001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叙永县“川筑劳务”蓝鹰工程就业服务驿站项目采购(四次)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N5105242026000182</w:t>
      </w:r>
    </w:p>
    <w:p>
      <w:pPr>
        <w:pStyle w:val="null3"/>
        <w:jc w:val="left"/>
        <w:outlineLvl w:val="2"/>
      </w:pPr>
      <w:r>
        <w:rPr>
          <w:rFonts w:ascii="仿宋_GB2312" w:hAnsi="仿宋_GB2312" w:cs="仿宋_GB2312" w:eastAsia="仿宋_GB2312"/>
          <w:sz w:val="28"/>
          <w:b/>
        </w:rPr>
        <w:t>叙永县住房和城乡建设局</w:t>
      </w:r>
    </w:p>
    <w:p>
      <w:pPr>
        <w:pStyle w:val="null3"/>
        <w:jc w:val="center"/>
        <w:outlineLvl w:val="2"/>
      </w:pPr>
      <w:r>
        <w:rPr>
          <w:rFonts w:ascii="仿宋_GB2312" w:hAnsi="仿宋_GB2312" w:cs="仿宋_GB2312" w:eastAsia="仿宋_GB2312"/>
          <w:sz w:val="28"/>
          <w:b/>
        </w:rPr>
        <w:t>中锦军贤工程咨询集团有限公司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中锦军贤工程咨询集团有限公司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叙永县住房和城乡建设局</w:t>
      </w:r>
      <w:r>
        <w:rPr>
          <w:rFonts w:ascii="仿宋_GB2312" w:hAnsi="仿宋_GB2312" w:cs="仿宋_GB2312" w:eastAsia="仿宋_GB2312"/>
        </w:rPr>
        <w:t xml:space="preserve"> 委托，拟对 </w:t>
      </w:r>
      <w:r>
        <w:rPr>
          <w:rFonts w:ascii="仿宋_GB2312" w:hAnsi="仿宋_GB2312" w:cs="仿宋_GB2312" w:eastAsia="仿宋_GB2312"/>
        </w:rPr>
        <w:t>叙永县“川筑劳务”蓝鹰工程就业服务驿站项目采购(四次)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泸州市叙永县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N5105242026000182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叙永县“川筑劳务”蓝鹰工程就业服务驿站项目采购(四次)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深入贯彻落实国家关于稳就业、保民生的工作部署，全面推进乡村振兴战略，并紧密对接《协作帮扶促就业专项工作实施方案》关于“加力推进浙川‘蓝鹰工程’”、“培育市级或省级劳务品牌”以及“搭建线上线下人岗供需对接平台”的核心任务要求，精准破解我县建筑劳务产业发展中存在的“管理分散、匹配低效、品牌价值转化不足”等深层次问题，推动“川筑劳务”品牌实现从“有”到“优”、从“优”到“强”的战略性升级，拟组织实施“叙永县‘蓝鹰就业服务驿站’”项目。本项目旨在打造一个集“培训、认证、就业、服务”于一体的线下实体基地，是落实省级“蓝鹰工程”扩面、构建政府引导、市场运作、数字赋能、可持续化的新型就业服务平台</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人社部门颁发的《人力资源服务许可证》（描述：供应商须具有人社部门颁发的《人力资源服务许可证》（提供证书复印件并加盖公章）供应商需在使用投标(响应)客户端编制响应文件时，按要求上传相应证明材料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叙永县住房和城乡建设局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叙永县陶环路建设大厦</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646499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0830-6220707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中锦军贤工程咨询集团有限公司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成都市双流区东升街道龙桥路6号132栋7楼701号、702号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028-83119888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w:t>
            </w:r>
            <w:r>
              <w:rPr>
                <w:rFonts w:ascii="仿宋_GB2312" w:hAnsi="仿宋_GB2312" w:cs="仿宋_GB2312" w:eastAsia="仿宋_GB2312"/>
              </w:rPr>
              <w:t>否</w:t>
            </w:r>
          </w:p>
          <w:p>
            <w:pPr>
              <w:pStyle w:val="null3"/>
              <w:jc w:val="left"/>
            </w:pPr>
            <w:r>
              <w:rPr>
                <w:rFonts w:ascii="仿宋_GB2312" w:hAnsi="仿宋_GB2312" w:cs="仿宋_GB2312" w:eastAsia="仿宋_GB2312"/>
              </w:rPr>
              <w:t>采购包1：</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原国家计委《招标代理服务收费管理暂⾏办法》（国家计委计价[2002]1980号）规定和《国家发展改⾰委办公厅关于招标代理服务收费有关问题的通知》（发改办价格[2003]857号的收费标准下浮30 %收取。 代理费收款账⼾：开⼾⾏：中国建设银⾏股份有限公司双流分⾏；账号：51050152790800000313。</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叙永县住房和城乡建设局</w:t>
      </w:r>
      <w:r>
        <w:rPr>
          <w:rFonts w:ascii="仿宋_GB2312" w:hAnsi="仿宋_GB2312" w:cs="仿宋_GB2312" w:eastAsia="仿宋_GB2312"/>
        </w:rPr>
        <w:t xml:space="preserve"> 和 </w:t>
      </w:r>
      <w:r>
        <w:rPr>
          <w:rFonts w:ascii="仿宋_GB2312" w:hAnsi="仿宋_GB2312" w:cs="仿宋_GB2312" w:eastAsia="仿宋_GB2312"/>
        </w:rPr>
        <w:t>中锦军贤工程咨询集团有限公司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叙永县住房和城乡建设局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中锦军贤工程咨询集团有限公司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服务内容要求的所有工作内容完成后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采购人按照《财政部关于进一步加强政府采购需求和履约验收管理的指导意见》（财库〔2016〕205号）等相关法律法规的要求及采购文件的要求、成交人的响应文件及服务承诺与合同约定标准进行验收。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按文件技术要求验收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按文件商务要求验收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采购人按照《财政部关于进一步加强政府采购需求和履约验收管理的指导意见》（财库〔2016〕205号）等相关法律法规的要求及采购文件的要求、成交人的响应文件及服务承诺与合同约定标准进行验收。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叙永县住房和城乡建设局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中锦军贤工程咨询集团有限公司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中锦军贤工程咨询集团有限公司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联系电话：0830-6220707</w:t>
      </w:r>
    </w:p>
    <w:p>
      <w:pPr>
        <w:pStyle w:val="null3"/>
        <w:jc w:val="left"/>
      </w:pPr>
      <w:r>
        <w:rPr>
          <w:rFonts w:ascii="仿宋_GB2312" w:hAnsi="仿宋_GB2312" w:cs="仿宋_GB2312" w:eastAsia="仿宋_GB2312"/>
        </w:rPr>
        <w:t>地址：叙永县陶环路建设大厦</w:t>
      </w:r>
    </w:p>
    <w:p>
      <w:pPr>
        <w:pStyle w:val="null3"/>
        <w:jc w:val="left"/>
      </w:pPr>
      <w:r>
        <w:rPr>
          <w:rFonts w:ascii="仿宋_GB2312" w:hAnsi="仿宋_GB2312" w:cs="仿宋_GB2312" w:eastAsia="仿宋_GB2312"/>
        </w:rPr>
        <w:t>邮编：646499</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联系人：宋老师</w:t>
      </w:r>
    </w:p>
    <w:p>
      <w:pPr>
        <w:pStyle w:val="null3"/>
        <w:jc w:val="left"/>
      </w:pPr>
      <w:r>
        <w:rPr>
          <w:rFonts w:ascii="仿宋_GB2312" w:hAnsi="仿宋_GB2312" w:cs="仿宋_GB2312" w:eastAsia="仿宋_GB2312"/>
        </w:rPr>
        <w:t>联系电话：028-83119888</w:t>
      </w:r>
    </w:p>
    <w:p>
      <w:pPr>
        <w:pStyle w:val="null3"/>
        <w:jc w:val="left"/>
      </w:pPr>
      <w:r>
        <w:rPr>
          <w:rFonts w:ascii="仿宋_GB2312" w:hAnsi="仿宋_GB2312" w:cs="仿宋_GB2312" w:eastAsia="仿宋_GB2312"/>
        </w:rPr>
        <w:t>地址：成都市双流区东升街道龙桥路6号132栋7楼</w:t>
      </w:r>
    </w:p>
    <w:p>
      <w:pPr>
        <w:pStyle w:val="null3"/>
        <w:jc w:val="left"/>
      </w:pPr>
      <w:r>
        <w:rPr>
          <w:rFonts w:ascii="仿宋_GB2312" w:hAnsi="仿宋_GB2312" w:cs="仿宋_GB2312" w:eastAsia="仿宋_GB2312"/>
        </w:rPr>
        <w:t>邮编：610200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C03990000 其他就业服务</w:t>
            </w:r>
          </w:p>
        </w:tc>
        <w:tc>
          <w:tcPr>
            <w:tcW w:type="dxa" w:w="821"/>
          </w:tcPr>
          <w:p>
            <w:pPr>
              <w:pStyle w:val="null3"/>
              <w:jc w:val="left"/>
            </w:pPr>
            <w:r>
              <w:rPr>
                <w:rFonts w:ascii="仿宋_GB2312" w:hAnsi="仿宋_GB2312" w:cs="仿宋_GB2312" w:eastAsia="仿宋_GB2312"/>
              </w:rPr>
              <w:t>叙永县“川筑劳务”蓝鹰工程就业服务驿站项目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叙永县“川筑劳务”蓝鹰工程就业服务驿站项目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包括所有因项目实施可能产生的服务人员工资、福利、保险、装备费、交通费、餐饮费、住宿费、服务费、知识产权费、税费及完成本项目所需的所有费用。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标的名称：叙永县“川筑劳务”蓝鹰工程就业服务驿站项目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保密要求</w:t>
            </w:r>
          </w:p>
        </w:tc>
        <w:tc>
          <w:tcPr>
            <w:tcW w:type="dxa" w:w="5814"/>
          </w:tcPr>
          <w:p>
            <w:pPr>
              <w:pStyle w:val="null3"/>
              <w:jc w:val="left"/>
            </w:pPr>
            <w:r>
              <w:rPr>
                <w:rFonts w:ascii="仿宋_GB2312" w:hAnsi="仿宋_GB2312" w:cs="仿宋_GB2312" w:eastAsia="仿宋_GB2312"/>
                <w:sz w:val="24"/>
                <w:color w:val="000000"/>
              </w:rPr>
              <w:t xml:space="preserve">    供应商负有保密义务，在任何情况下，不得向第三方披露有关采购人的数据资料与内容，以及任何与本项目有关的信息</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服务期满后供应商</w:t>
            </w:r>
            <w:r>
              <w:rPr>
                <w:rFonts w:ascii="仿宋_GB2312" w:hAnsi="仿宋_GB2312" w:cs="仿宋_GB2312" w:eastAsia="仿宋_GB2312"/>
                <w:sz w:val="24"/>
                <w:color w:val="000000"/>
              </w:rPr>
              <w:t>仍需永久保密，不得</w:t>
            </w:r>
            <w:r>
              <w:rPr>
                <w:rFonts w:ascii="仿宋_GB2312" w:hAnsi="仿宋_GB2312" w:cs="仿宋_GB2312" w:eastAsia="仿宋_GB2312"/>
                <w:sz w:val="24"/>
                <w:color w:val="000000"/>
              </w:rPr>
              <w:t>留存采购人及求职者、企业信息</w:t>
            </w:r>
            <w:r>
              <w:rPr>
                <w:rFonts w:ascii="仿宋_GB2312" w:hAnsi="仿宋_GB2312" w:cs="仿宋_GB2312" w:eastAsia="仿宋_GB2312"/>
                <w:sz w:val="24"/>
                <w:color w:val="000000"/>
              </w:rPr>
              <w:t>，违反要求的由供应商</w:t>
            </w:r>
            <w:r>
              <w:rPr>
                <w:rFonts w:ascii="仿宋_GB2312" w:hAnsi="仿宋_GB2312" w:cs="仿宋_GB2312" w:eastAsia="仿宋_GB2312"/>
                <w:sz w:val="24"/>
                <w:color w:val="000000"/>
              </w:rPr>
              <w:t>赔偿损失。</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供应商</w:t>
            </w:r>
            <w:r>
              <w:rPr>
                <w:rFonts w:ascii="仿宋_GB2312" w:hAnsi="仿宋_GB2312" w:cs="仿宋_GB2312" w:eastAsia="仿宋_GB2312"/>
                <w:sz w:val="24"/>
                <w:b/>
                <w:color w:val="000000"/>
              </w:rPr>
              <w:t>在响应文件中须针对此项提供承诺函，并进行电子签章，否则响应文件作无效处理）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知识产权</w:t>
            </w:r>
          </w:p>
        </w:tc>
        <w:tc>
          <w:tcPr>
            <w:tcW w:type="dxa" w:w="5814"/>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在本项目使用的任何产品和服务（包括部分使用）时，不会产生因第三方提出侵犯其专利权、商标权或</w:t>
            </w:r>
            <w:r>
              <w:rPr>
                <w:rFonts w:ascii="仿宋_GB2312" w:hAnsi="仿宋_GB2312" w:cs="仿宋_GB2312" w:eastAsia="仿宋_GB2312"/>
                <w:sz w:val="24"/>
                <w:color w:val="000000"/>
              </w:rPr>
              <w:t>其他</w:t>
            </w:r>
            <w:r>
              <w:rPr>
                <w:rFonts w:ascii="仿宋_GB2312" w:hAnsi="仿宋_GB2312" w:cs="仿宋_GB2312" w:eastAsia="仿宋_GB2312"/>
                <w:sz w:val="24"/>
                <w:color w:val="000000"/>
              </w:rPr>
              <w:t>知识产权而引起的法律和经济纠纷，如因专利权、商标权或</w:t>
            </w:r>
            <w:r>
              <w:rPr>
                <w:rFonts w:ascii="仿宋_GB2312" w:hAnsi="仿宋_GB2312" w:cs="仿宋_GB2312" w:eastAsia="仿宋_GB2312"/>
                <w:sz w:val="24"/>
                <w:color w:val="000000"/>
              </w:rPr>
              <w:t>其他</w:t>
            </w:r>
            <w:r>
              <w:rPr>
                <w:rFonts w:ascii="仿宋_GB2312" w:hAnsi="仿宋_GB2312" w:cs="仿宋_GB2312" w:eastAsia="仿宋_GB2312"/>
                <w:sz w:val="24"/>
                <w:color w:val="000000"/>
              </w:rPr>
              <w:t>知识产权而引起法律和经济纠纷，由</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承担所有相关责任。除非</w:t>
            </w:r>
            <w:r>
              <w:rPr>
                <w:rFonts w:ascii="仿宋_GB2312" w:hAnsi="仿宋_GB2312" w:cs="仿宋_GB2312" w:eastAsia="仿宋_GB2312"/>
                <w:sz w:val="24"/>
                <w:color w:val="000000"/>
              </w:rPr>
              <w:t>磋商</w:t>
            </w:r>
            <w:r>
              <w:rPr>
                <w:rFonts w:ascii="仿宋_GB2312" w:hAnsi="仿宋_GB2312" w:cs="仿宋_GB2312" w:eastAsia="仿宋_GB2312"/>
                <w:sz w:val="24"/>
                <w:color w:val="000000"/>
              </w:rPr>
              <w:t>文件特别规定，采购人享有本项目实施过程中产生的知识成果及知识产权</w:t>
            </w:r>
            <w:r>
              <w:rPr>
                <w:rFonts w:ascii="仿宋_GB2312" w:hAnsi="仿宋_GB2312" w:cs="仿宋_GB2312" w:eastAsia="仿宋_GB2312"/>
                <w:sz w:val="24"/>
                <w:color w:val="000000"/>
              </w:rPr>
              <w:t>（</w:t>
            </w:r>
            <w:r>
              <w:rPr>
                <w:rFonts w:ascii="仿宋_GB2312" w:hAnsi="仿宋_GB2312" w:cs="仿宋_GB2312" w:eastAsia="仿宋_GB2312"/>
                <w:sz w:val="24"/>
                <w:color w:val="000000"/>
              </w:rPr>
              <w:t>包括项目产出的短视频、宣传素材、视频账号、文案、台账等全部</w:t>
            </w:r>
            <w:r>
              <w:rPr>
                <w:rFonts w:ascii="仿宋_GB2312" w:hAnsi="仿宋_GB2312" w:cs="仿宋_GB2312" w:eastAsia="仿宋_GB2312"/>
                <w:sz w:val="24"/>
                <w:color w:val="000000"/>
              </w:rPr>
              <w:t>知识产权都归采购人所有，供应商不得私自使用转载</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供应商</w:t>
            </w:r>
            <w:r>
              <w:rPr>
                <w:rFonts w:ascii="仿宋_GB2312" w:hAnsi="仿宋_GB2312" w:cs="仿宋_GB2312" w:eastAsia="仿宋_GB2312"/>
                <w:sz w:val="24"/>
                <w:b/>
                <w:color w:val="000000"/>
              </w:rPr>
              <w:t>在响应文件中须针对此项提供承诺函，并进行电子签章，否则响应文件作无效处理）</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履约能力</w:t>
            </w:r>
          </w:p>
        </w:tc>
        <w:tc>
          <w:tcPr>
            <w:tcW w:type="dxa" w:w="5814"/>
          </w:tcPr>
          <w:p>
            <w:pPr>
              <w:pStyle w:val="null3"/>
              <w:ind w:firstLine="511"/>
              <w:jc w:val="left"/>
            </w:pPr>
            <w:r>
              <w:rPr>
                <w:rFonts w:ascii="仿宋_GB2312" w:hAnsi="仿宋_GB2312" w:cs="仿宋_GB2312" w:eastAsia="仿宋_GB2312"/>
                <w:sz w:val="24"/>
                <w:b/>
                <w:color w:val="000000"/>
              </w:rPr>
              <w:t>1、供应商应结合工作内容及要求，提供并完善项目</w:t>
            </w:r>
            <w:r>
              <w:rPr>
                <w:rFonts w:ascii="仿宋_GB2312" w:hAnsi="仿宋_GB2312" w:cs="仿宋_GB2312" w:eastAsia="仿宋_GB2312"/>
                <w:sz w:val="24"/>
                <w:b/>
                <w:color w:val="000000"/>
              </w:rPr>
              <w:t>服务方案</w:t>
            </w:r>
            <w:r>
              <w:rPr>
                <w:rFonts w:ascii="仿宋_GB2312" w:hAnsi="仿宋_GB2312" w:cs="仿宋_GB2312" w:eastAsia="仿宋_GB2312"/>
                <w:sz w:val="24"/>
                <w:b/>
                <w:color w:val="000000"/>
              </w:rPr>
              <w:t>，内容包括：</w:t>
            </w:r>
            <w:r>
              <w:rPr>
                <w:rFonts w:ascii="仿宋_GB2312" w:hAnsi="仿宋_GB2312" w:cs="仿宋_GB2312" w:eastAsia="仿宋_GB2312"/>
                <w:sz w:val="24"/>
                <w:b/>
                <w:color w:val="000000"/>
              </w:rPr>
              <w:t>人员管理方案</w:t>
            </w:r>
            <w:r>
              <w:rPr>
                <w:rFonts w:ascii="仿宋_GB2312" w:hAnsi="仿宋_GB2312" w:cs="仿宋_GB2312" w:eastAsia="仿宋_GB2312"/>
                <w:sz w:val="24"/>
                <w:b/>
                <w:color w:val="000000"/>
              </w:rPr>
              <w:t>包括：</w:t>
            </w:r>
            <w:r>
              <w:rPr>
                <w:rFonts w:ascii="仿宋_GB2312" w:hAnsi="仿宋_GB2312" w:cs="仿宋_GB2312" w:eastAsia="仿宋_GB2312"/>
                <w:sz w:val="24"/>
                <w:color w:val="000000"/>
              </w:rPr>
              <w:t>①人员配置方案；②人员培训方案</w:t>
            </w:r>
            <w:r>
              <w:rPr>
                <w:rFonts w:ascii="仿宋_GB2312" w:hAnsi="仿宋_GB2312" w:cs="仿宋_GB2312" w:eastAsia="仿宋_GB2312"/>
                <w:sz w:val="24"/>
                <w:color w:val="000000"/>
              </w:rPr>
              <w:t>；</w:t>
            </w:r>
            <w:r>
              <w:rPr>
                <w:rFonts w:ascii="仿宋_GB2312" w:hAnsi="仿宋_GB2312" w:cs="仿宋_GB2312" w:eastAsia="仿宋_GB2312"/>
                <w:sz w:val="24"/>
                <w:color w:val="000000"/>
              </w:rPr>
              <w:t>③人员工作规范；④人员监督管理措施；</w:t>
            </w:r>
            <w:r>
              <w:rPr>
                <w:rFonts w:ascii="仿宋_GB2312" w:hAnsi="仿宋_GB2312" w:cs="仿宋_GB2312" w:eastAsia="仿宋_GB2312"/>
                <w:sz w:val="24"/>
                <w:b/>
                <w:color w:val="000000"/>
              </w:rPr>
              <w:t>总体</w:t>
            </w:r>
            <w:r>
              <w:rPr>
                <w:rFonts w:ascii="仿宋_GB2312" w:hAnsi="仿宋_GB2312" w:cs="仿宋_GB2312" w:eastAsia="仿宋_GB2312"/>
                <w:sz w:val="24"/>
                <w:b/>
                <w:color w:val="000000"/>
              </w:rPr>
              <w:t>方案内容包括：</w:t>
            </w:r>
            <w:r>
              <w:rPr>
                <w:rFonts w:ascii="仿宋_GB2312" w:hAnsi="仿宋_GB2312" w:cs="仿宋_GB2312" w:eastAsia="仿宋_GB2312"/>
                <w:sz w:val="24"/>
                <w:color w:val="000000"/>
              </w:rPr>
              <w:t>①对本项目服务内容的理解；②本项目实施中的重点难点分析；③企业内部管理制度和流程；④实施计划和步骤；⑤信息采集方案；</w:t>
            </w:r>
            <w:r>
              <w:rPr>
                <w:rFonts w:ascii="仿宋_GB2312" w:hAnsi="仿宋_GB2312" w:cs="仿宋_GB2312" w:eastAsia="仿宋_GB2312"/>
                <w:sz w:val="24"/>
                <w:b/>
                <w:color w:val="000000"/>
              </w:rPr>
              <w:t>应急保障措施</w:t>
            </w:r>
            <w:r>
              <w:rPr>
                <w:rFonts w:ascii="仿宋_GB2312" w:hAnsi="仿宋_GB2312" w:cs="仿宋_GB2312" w:eastAsia="仿宋_GB2312"/>
                <w:sz w:val="24"/>
                <w:b/>
                <w:color w:val="000000"/>
              </w:rPr>
              <w:t>方案内容包括：</w:t>
            </w:r>
            <w:r>
              <w:rPr>
                <w:rFonts w:ascii="仿宋_GB2312" w:hAnsi="仿宋_GB2312" w:cs="仿宋_GB2312" w:eastAsia="仿宋_GB2312"/>
                <w:sz w:val="24"/>
                <w:color w:val="000000"/>
              </w:rPr>
              <w:t>①突发事件及特殊情况的应急预案；②应急处理措施及流程；③针对紧急突发状况应急响应时间（需明确写出时间节点）；④突发事件人员安排方案；</w:t>
            </w:r>
          </w:p>
          <w:p>
            <w:pPr>
              <w:pStyle w:val="null3"/>
              <w:ind w:firstLine="420"/>
              <w:jc w:val="left"/>
            </w:pPr>
            <w:r>
              <w:rPr>
                <w:rFonts w:ascii="仿宋_GB2312" w:hAnsi="仿宋_GB2312" w:cs="仿宋_GB2312" w:eastAsia="仿宋_GB2312"/>
                <w:sz w:val="24"/>
                <w:b/>
                <w:color w:val="000000"/>
              </w:rPr>
              <w:t>2、类似业绩：</w:t>
            </w:r>
            <w:r>
              <w:rPr>
                <w:rFonts w:ascii="仿宋_GB2312" w:hAnsi="仿宋_GB2312" w:cs="仿宋_GB2312" w:eastAsia="仿宋_GB2312"/>
                <w:sz w:val="24"/>
                <w:color w:val="000000"/>
              </w:rPr>
              <w:t>供应商有类似相关业绩作为经验。</w:t>
            </w:r>
          </w:p>
          <w:p>
            <w:pPr>
              <w:pStyle w:val="null3"/>
              <w:ind w:firstLine="420"/>
              <w:jc w:val="left"/>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人员配置：</w:t>
            </w:r>
            <w:r>
              <w:rPr>
                <w:rFonts w:ascii="仿宋_GB2312" w:hAnsi="仿宋_GB2312" w:cs="仿宋_GB2312" w:eastAsia="仿宋_GB2312"/>
                <w:sz w:val="24"/>
                <w:color w:val="000000"/>
              </w:rPr>
              <w:t>供应商有完成本项目的专业技术团队。</w:t>
            </w:r>
          </w:p>
          <w:p>
            <w:pPr>
              <w:pStyle w:val="null3"/>
              <w:ind w:firstLine="420"/>
              <w:jc w:val="left"/>
            </w:pPr>
            <w:r>
              <w:rPr>
                <w:rFonts w:ascii="仿宋_GB2312" w:hAnsi="仿宋_GB2312" w:cs="仿宋_GB2312" w:eastAsia="仿宋_GB2312"/>
                <w:sz w:val="24"/>
                <w:b/>
                <w:color w:val="000000"/>
              </w:rPr>
              <w:t>注：本项内容不作实质性要求，仅作为评审因素，供应商根据评审标准提供相关证明材料，具体评审标准详见</w:t>
            </w:r>
            <w:r>
              <w:rPr>
                <w:rFonts w:ascii="仿宋_GB2312" w:hAnsi="仿宋_GB2312" w:cs="仿宋_GB2312" w:eastAsia="仿宋_GB2312"/>
                <w:sz w:val="24"/>
                <w:b/>
                <w:color w:val="000000"/>
              </w:rPr>
              <w:t>“评审细则及标准”表。</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sz w:val="24"/>
                <w:color w:val="000000"/>
              </w:rPr>
              <w:t xml:space="preserve">    采购人按照《财政部关于进一步加强政府采购需求和履约验收管理的指导意见》（财库〔</w:t>
            </w:r>
            <w:r>
              <w:rPr>
                <w:rFonts w:ascii="仿宋_GB2312" w:hAnsi="仿宋_GB2312" w:cs="仿宋_GB2312" w:eastAsia="仿宋_GB2312"/>
                <w:sz w:val="24"/>
                <w:color w:val="000000"/>
              </w:rPr>
              <w:t>2016〕205号）等相关法律法规的要求及采购文件的要求、成交人的响应文件及服务承诺与合同约定标准进行验收。</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项目服务要求</w:t>
            </w:r>
          </w:p>
        </w:tc>
        <w:tc>
          <w:tcPr>
            <w:tcW w:type="dxa" w:w="5814"/>
          </w:tcPr>
          <w:p>
            <w:pPr>
              <w:pStyle w:val="null3"/>
              <w:ind w:firstLine="480"/>
              <w:jc w:val="left"/>
            </w:pPr>
            <w:r>
              <w:rPr>
                <w:rFonts w:ascii="仿宋_GB2312" w:hAnsi="仿宋_GB2312" w:cs="仿宋_GB2312" w:eastAsia="仿宋_GB2312"/>
                <w:sz w:val="21"/>
                <w:color w:val="000000"/>
              </w:rPr>
              <w:t>1.岗位供需对接服务。需留存人员信息台账、联系方式、求职登记表，作为验收依据，岗位信息真实有效，杜绝虚假岗位。</w:t>
            </w:r>
          </w:p>
          <w:p>
            <w:pPr>
              <w:pStyle w:val="null3"/>
              <w:ind w:firstLine="480"/>
              <w:jc w:val="both"/>
            </w:pPr>
            <w:r>
              <w:rPr>
                <w:rFonts w:ascii="仿宋_GB2312" w:hAnsi="仿宋_GB2312" w:cs="仿宋_GB2312" w:eastAsia="仿宋_GB2312"/>
                <w:sz w:val="21"/>
                <w:color w:val="000000"/>
              </w:rPr>
              <w:t>2.极速面试与就业帮扶。“8 小时极速面试”留存面试签到或现场影像资料，“微订单”培训需有方案、签到、课件、现场资料，就业稳定性=在岗满3个月人数÷总就业人数。</w:t>
            </w:r>
          </w:p>
          <w:p>
            <w:pPr>
              <w:pStyle w:val="null3"/>
              <w:ind w:firstLine="480"/>
              <w:jc w:val="both"/>
            </w:pPr>
            <w:r>
              <w:rPr>
                <w:rFonts w:ascii="仿宋_GB2312" w:hAnsi="仿宋_GB2312" w:cs="仿宋_GB2312" w:eastAsia="仿宋_GB2312"/>
                <w:sz w:val="21"/>
                <w:color w:val="000000"/>
              </w:rPr>
              <w:t>3.培育劳务核心合伙人。要求合伙人信息、培训签到、培训照片或视频成品全部归档。</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项目服务内容</w:t>
            </w:r>
          </w:p>
        </w:tc>
        <w:tc>
          <w:tcPr>
            <w:tcW w:type="dxa" w:w="5814"/>
          </w:tcPr>
          <w:p>
            <w:pPr>
              <w:pStyle w:val="null3"/>
              <w:ind w:firstLine="480"/>
              <w:jc w:val="both"/>
            </w:pPr>
            <w:r>
              <w:rPr>
                <w:rFonts w:ascii="仿宋_GB2312" w:hAnsi="仿宋_GB2312" w:cs="仿宋_GB2312" w:eastAsia="仿宋_GB2312"/>
                <w:sz w:val="21"/>
                <w:color w:val="000000"/>
              </w:rPr>
              <w:t>1、开展岗位供需对接服务。常态化收集劳动者岗位求职需求，年度收集需求不少于1000 人；整合优质企业用工资源，通过蓝鹰就业驿站发布岗位信息不少于 2000 个，打通求职用工双向对接渠道。</w:t>
            </w:r>
          </w:p>
          <w:p>
            <w:pPr>
              <w:pStyle w:val="null3"/>
              <w:ind w:firstLine="480"/>
              <w:jc w:val="both"/>
            </w:pPr>
            <w:r>
              <w:rPr>
                <w:rFonts w:ascii="仿宋_GB2312" w:hAnsi="仿宋_GB2312" w:cs="仿宋_GB2312" w:eastAsia="仿宋_GB2312"/>
                <w:sz w:val="21"/>
                <w:color w:val="000000"/>
              </w:rPr>
              <w:t>2、落地极速面试与就业帮扶。提供“8 小时极速面试” 服务 400 人次，对接优质企业，精准匹配岗位资源，根据企业需求开展“微订单”培训不少于20人次，全年推动200 人实现稳定就业（在岗 3 个月及以上），其中浙江地区就业 50 人、其他地区就业 150 人提升劳动者就业适配能力。</w:t>
            </w:r>
          </w:p>
          <w:p>
            <w:pPr>
              <w:pStyle w:val="null3"/>
              <w:ind w:firstLine="480"/>
              <w:jc w:val="both"/>
            </w:pPr>
            <w:r>
              <w:rPr>
                <w:rFonts w:ascii="仿宋_GB2312" w:hAnsi="仿宋_GB2312" w:cs="仿宋_GB2312" w:eastAsia="仿宋_GB2312"/>
                <w:sz w:val="21"/>
                <w:color w:val="000000"/>
              </w:rPr>
              <w:t>3、孵化培育劳务核心合伙人。推进“川筑工匠” 劳务合作人孵化工作，筛选培育 5 名核心合伙人，配套开展 2 场专项培训，打造专业化劳务服务骨干队伍。</w:t>
            </w:r>
          </w:p>
          <w:p>
            <w:pPr>
              <w:pStyle w:val="null3"/>
              <w:ind w:firstLine="480"/>
              <w:jc w:val="both"/>
            </w:pPr>
            <w:r>
              <w:rPr>
                <w:rFonts w:ascii="仿宋_GB2312" w:hAnsi="仿宋_GB2312" w:cs="仿宋_GB2312" w:eastAsia="仿宋_GB2312"/>
                <w:sz w:val="21"/>
                <w:color w:val="000000"/>
              </w:rPr>
              <w:t>4、打造劳务品牌线上运营矩阵。完成“川筑工匠” 官方视频号授权交接、内容规划，组建运营团队并开展岗前培训；全年制作发布 48 条劳务品牌短视频，开展 24 场直播带岗活动，发挥品牌示范效应，对接多方用工资源，提升 “川筑劳务” 品牌影响力。</w:t>
            </w:r>
          </w:p>
          <w:p>
            <w:pPr>
              <w:pStyle w:val="null3"/>
              <w:jc w:val="left"/>
            </w:pPr>
            <w:r>
              <w:rPr>
                <w:rFonts w:ascii="仿宋_GB2312" w:hAnsi="仿宋_GB2312" w:cs="仿宋_GB2312" w:eastAsia="仿宋_GB2312"/>
                <w:sz w:val="21"/>
                <w:color w:val="000000"/>
              </w:rPr>
              <w:t>注：视频号的账号名称视实际情况确定，不必须为“川筑工匠”。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365天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采购人指定的地点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采购人按照《财政部关于进一步加强政府采购需求和履约验收管理的指导意见》（财库〔2016〕205号）等相关法律法规的要求及采购文件的要求、成交人的响应文件及服务承诺与合同约定标准进行验收。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培育3名核心合伙人，开展1期核心合伙人培训。打造“川筑工匠”IP，制作发布24条宣传短视频、开展12场直播待岗活动，收集发布岗位信息1000个，推动100人就业，对接优质企业，根据企业需求开展“微订单”培训10人次，达到该付款条件起22个工作日内，据实情况说明为完成以上工作内容支付40%</w:t>
            </w:r>
          </w:p>
          <w:p>
            <w:pPr>
              <w:pStyle w:val="null3"/>
              <w:jc w:val="left"/>
            </w:pPr>
            <w:r>
              <w:rPr>
                <w:rFonts w:ascii="仿宋_GB2312" w:hAnsi="仿宋_GB2312" w:cs="仿宋_GB2312" w:eastAsia="仿宋_GB2312"/>
              </w:rPr>
              <w:t>2付款条件：完成剩余成果要求，达到该付款条件起22个工作日内，据实情况说明为完成以上工作内容支付50%</w:t>
            </w:r>
          </w:p>
          <w:p>
            <w:pPr>
              <w:pStyle w:val="null3"/>
              <w:jc w:val="left"/>
            </w:pPr>
            <w:r>
              <w:rPr>
                <w:rFonts w:ascii="仿宋_GB2312" w:hAnsi="仿宋_GB2312" w:cs="仿宋_GB2312" w:eastAsia="仿宋_GB2312"/>
              </w:rPr>
              <w:t>3付款条件：年服务期满且通过采购人验收合格后，达到该付款条件起22个工作日内，据实情况说明为完成以上工作内容支付合同总金额的10.00%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①违约责任：1.成交人必须遵守采购合同并执行合同中的各项规定，保证采购合同的正常履行；2.如因成交人工作人员在履行职务过程中的疏忽、失职、过错等故意或者过失原因给采购人造成损失或侵害，包括但不限于采购人本身的财产损失、由此而导致的采购人对任何第三方的法律责任等，成交人对此均应承担全部的赔偿责任；3.成交人必须遵守采购合同按时完成合同相关工作，若由于成交人原因导致合同迟延履行，成交人每迟延一天扣除0.05%的应付款项。4.成交人应当遵守采购人的相关项目需求及相关技术要求及实质性条款，实施完成采购合同应当完全满足相关项目需求及相关技术要求及实质性条款，若成交人瑕疵履行采购合同，采购人有权向成交人要求赔偿合同总价款 5% 的违约金，若造成相关损失的，采购人有权要求成交人承担所有赔偿责任5.有下列情形之一的，当事人可以解除合同： 5.1因不可抗力致使不能实现合同目的(由于非成交人或采购人原因，致使合同实质性条款无法实现的)。 5.2当事人一方迟延履行主要债务，经催告后在合理期限内仍未履行。5.3当事人一方迟延履行债务或者有其他违约行为致使不能实现合同目的。 5.4法律规 定的其他情形。 ②解决争议的方法：1.因服务的质量问题发生争议，由采购或其指定的第三方机构进行质量鉴定，服务质量符合标准的，鉴定费由采购人承担，服务质量不符合标准的，鉴定费由成交人承担；2.合同履行期间，若双方发生争议，可协商或由有关部门调解解决，协商或调解不成的，向项目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安全责任：本项目自签订合同之日起至服务结束之日止，供应商将负责该项目实施过程中非采购人原因出现的人身安全、企业人员现场安全、网络信息安全、财产安全等一切安全责任，在项目实施过程中造成的直接或间接损失，均由供应商自行承担（供应商在响应文件中须针对此项提供承诺函，并进行电子签章，否则响应文件作无效处理） 2.接受项目行业管理部门及政府有关部门的指导，接受采购人的监督。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供应商须具有人社部门颁发的《人力资源服务许可证》</w:t>
            </w:r>
          </w:p>
        </w:tc>
        <w:tc>
          <w:tcPr>
            <w:tcW w:type="dxa" w:w="3322"/>
          </w:tcPr>
          <w:p>
            <w:pPr>
              <w:pStyle w:val="null3"/>
              <w:jc w:val="left"/>
            </w:pPr>
            <w:r>
              <w:rPr>
                <w:rFonts w:ascii="仿宋_GB2312" w:hAnsi="仿宋_GB2312" w:cs="仿宋_GB2312" w:eastAsia="仿宋_GB2312"/>
              </w:rPr>
              <w:t>供应商须具有人社部门颁发的《人力资源服务许可证》（提供证书复印件并加盖公章）供应商需在使用投标(响应)客户端编制响应文件时，按要求上传相应证明材料并进行电子签章。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符合采购文件规定的实质性要求</w:t>
            </w:r>
          </w:p>
        </w:tc>
        <w:tc>
          <w:tcPr>
            <w:tcW w:type="dxa" w:w="3322"/>
          </w:tcPr>
          <w:p>
            <w:pPr>
              <w:pStyle w:val="null3"/>
              <w:jc w:val="left"/>
            </w:pPr>
            <w:r>
              <w:rPr>
                <w:rFonts w:ascii="仿宋_GB2312" w:hAnsi="仿宋_GB2312" w:cs="仿宋_GB2312" w:eastAsia="仿宋_GB2312"/>
              </w:rPr>
              <w:t>凡涉及要求供应商提供相关承诺函或证明材料的实质性要求内容，供应商均需按采购文件的相关实质性要求提供相关承诺函或证明材料</w:t>
            </w:r>
          </w:p>
        </w:tc>
        <w:tc>
          <w:tcPr>
            <w:tcW w:type="dxa" w:w="1661"/>
          </w:tcPr>
          <w:p>
            <w:pPr>
              <w:pStyle w:val="null3"/>
              <w:jc w:val="left"/>
            </w:pPr>
            <w:r>
              <w:rPr>
                <w:rFonts w:ascii="仿宋_GB2312" w:hAnsi="仿宋_GB2312" w:cs="仿宋_GB2312" w:eastAsia="仿宋_GB2312"/>
              </w:rPr>
              <w:t>商务要求应答表.docx,供应商应提交的相关证明材料,服务应答表,投标（响应）函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不属于采购文件规定的无效投标情形</w:t>
            </w:r>
          </w:p>
        </w:tc>
        <w:tc>
          <w:tcPr>
            <w:tcW w:type="dxa" w:w="3322"/>
          </w:tcPr>
          <w:p>
            <w:pPr>
              <w:pStyle w:val="null3"/>
              <w:jc w:val="left"/>
            </w:pPr>
            <w:r>
              <w:rPr>
                <w:rFonts w:ascii="仿宋_GB2312" w:hAnsi="仿宋_GB2312" w:cs="仿宋_GB2312" w:eastAsia="仿宋_GB2312"/>
              </w:rPr>
              <w:t>符合采购文件要求</w:t>
            </w:r>
          </w:p>
        </w:tc>
        <w:tc>
          <w:tcPr>
            <w:tcW w:type="dxa" w:w="1661"/>
          </w:tcPr>
          <w:p>
            <w:pPr>
              <w:pStyle w:val="null3"/>
              <w:jc w:val="left"/>
            </w:pPr>
            <w:r>
              <w:rPr>
                <w:rFonts w:ascii="仿宋_GB2312" w:hAnsi="仿宋_GB2312" w:cs="仿宋_GB2312" w:eastAsia="仿宋_GB2312"/>
              </w:rPr>
              <w:t>商务要求应答表.docx,服务应答表,投标（响应）函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1.供应商针对本项目人员管理 方案包括： ①人员配置方案；②人员培训方案；③人员工作规范；④人员监督管理措施； 供应商根据本项目具体实际情况进行分析及制作方案，评审专家根据以上内容进行独立评审，以上4个方案齐全无缺陷得24分，每缺一项扣6分，每项内容每有一处缺陷扣3分，扣完为止。 2.供应商针对本项目总体方案内容包括： ①对本项目服务内容的理解；②本项目实施中的重点难点分析；③企业内部管理制度和流程；④实施计划和步骤；⑤信息采集方案； 供应商根据本项目具体实际情况进行分析及制作方案，评审专家根据以上内容进行独立评审，以上5个方案齐全得30分，每缺一项扣6分，每项内容每有一处缺陷扣3分，扣完为止。 3.供应商针对本项目应急保障措施方案内容包括： ①突发事件及特殊情况的应急预案；②应急处理措施及流程；③针对紧急突发状况应急响应时间（需明确写出时间节点）；④突发事件人员安排方案； 供应商根据本项目具体实际情况进行分析及制作方案，评审专家根据以上内容进行独立评审，以上4个方案齐全得12分，每缺一项扣3分，每项内容每有一处缺陷扣1.5分，扣完为止。 注： 1.内容缺陷是指：内容与实际需求不匹配、不符合项目特点；不满足本项目业务板块的功能需求；不符合技术规范及政策要求；涉及的法律法规规范标准错误或失效；套用其他项目的数据、名称；专业术语表述错误；服务内容及要求、实施地点与本项目要求不一致；方案内容交叉混乱、不可能实现等情形；自身提供的方案在工序或工艺或设备配置或人员配置(含薪酬）或实施及售后服务安排方面前后出现逻辑矛盾”，方案内容与项目不匹配或与本项目需求无关、描述简单（如仅有框架或标题或一两句话概括）等（“等”字仅限上述描述内容，不做扩大化解释）。 2.方案评审仅与采购需求进行对比评审，不做供应商之间横向比较。</w:t>
            </w:r>
          </w:p>
        </w:tc>
        <w:tc>
          <w:tcPr>
            <w:tcW w:type="dxa" w:w="831"/>
          </w:tcPr>
          <w:p>
            <w:pPr>
              <w:pStyle w:val="null3"/>
              <w:jc w:val="center"/>
            </w:pPr>
            <w:r>
              <w:rPr>
                <w:rFonts w:ascii="仿宋_GB2312" w:hAnsi="仿宋_GB2312" w:cs="仿宋_GB2312" w:eastAsia="仿宋_GB2312"/>
              </w:rPr>
              <w:t>66.0000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团队人员配置</w:t>
            </w:r>
          </w:p>
        </w:tc>
        <w:tc>
          <w:tcPr>
            <w:tcW w:type="dxa" w:w="2575"/>
          </w:tcPr>
          <w:p>
            <w:pPr>
              <w:pStyle w:val="null3"/>
              <w:jc w:val="left"/>
            </w:pPr>
            <w:r>
              <w:rPr>
                <w:rFonts w:ascii="仿宋_GB2312" w:hAnsi="仿宋_GB2312" w:cs="仿宋_GB2312" w:eastAsia="仿宋_GB2312"/>
              </w:rPr>
              <w:t>拟任人员：每有1名人员具有人力资源服务从业人员上岗培训证书得4分，（本项最高得分12分） 注：1.人员证书提供相关证书复印件加盖公章；2.以上人员不能重复，3.提供人员在本公司的在职证明。</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供应商自2023年1月1日（含1日）起至递交响应文件截止，每具有一个与本项目类似（就业服务类）的履约经验得4分，最多得12分。 注：提供合同扫描件或中标（成交）通知书扫描件，时间以合同签订时间或中标（成交）通知书下达时间为准。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详见附件：人员配置.docx</w:t>
      </w:r>
    </w:p>
    <w:p>
      <w:pPr>
        <w:pStyle w:val="null3"/>
        <w:ind w:firstLine="960"/>
        <w:jc w:val="left"/>
      </w:pPr>
      <w:r>
        <w:rPr>
          <w:rFonts w:ascii="仿宋_GB2312" w:hAnsi="仿宋_GB2312" w:cs="仿宋_GB2312" w:eastAsia="仿宋_GB2312"/>
        </w:rPr>
        <w:t>详见附件：类似业绩.docx</w:t>
      </w:r>
    </w:p>
    <w:p>
      <w:pPr>
        <w:pStyle w:val="null3"/>
        <w:ind w:firstLine="960"/>
        <w:jc w:val="left"/>
      </w:pPr>
      <w:r>
        <w:rPr>
          <w:rFonts w:ascii="仿宋_GB2312" w:hAnsi="仿宋_GB2312" w:cs="仿宋_GB2312" w:eastAsia="仿宋_GB2312"/>
        </w:rPr>
        <w:t>详见附件：商务要求应答表.docx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