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EB9B2D8">
      <w:pPr>
        <w:pStyle w:val="4"/>
        <w:ind w:firstLine="480"/>
        <w:jc w:val="left"/>
      </w:pPr>
      <w:r>
        <w:t>（注：本章的技术、服务及其他要求中，带“★”的要求为实质性要求。采购人、代理机构应当根据项目实际要求合理设定，并在第五章符合性审查中明确响应要求。）</w:t>
      </w:r>
    </w:p>
    <w:p w14:paraId="2BCD19C3">
      <w:pPr>
        <w:pStyle w:val="4"/>
        <w:jc w:val="left"/>
        <w:outlineLvl w:val="2"/>
      </w:pPr>
      <w:r>
        <w:rPr>
          <w:b/>
          <w:sz w:val="28"/>
        </w:rPr>
        <w:t>3.1.采购项目概况</w:t>
      </w:r>
    </w:p>
    <w:p w14:paraId="0B99AFD5">
      <w:pPr>
        <w:pStyle w:val="4"/>
        <w:ind w:firstLine="480"/>
        <w:jc w:val="left"/>
      </w:pPr>
      <w:r>
        <w:t>提供成都市双流区公兴（中电子）再生水厂除氟站项目（位于双流区剑南大道南段兰家沟3组188号，设计日处理能力40000m³/d，主体采用除氟一体机+树脂工艺）的运维服务，确保项目出水氟化物≤1.5mg/L排放。</w:t>
      </w:r>
    </w:p>
    <w:p w14:paraId="614801F4">
      <w:pPr>
        <w:pStyle w:val="4"/>
        <w:jc w:val="left"/>
        <w:outlineLvl w:val="2"/>
      </w:pPr>
      <w:r>
        <w:rPr>
          <w:b/>
          <w:sz w:val="28"/>
        </w:rPr>
        <w:t>3.2.采购内容</w:t>
      </w:r>
    </w:p>
    <w:p w14:paraId="6F059FC0">
      <w:pPr>
        <w:pStyle w:val="4"/>
        <w:jc w:val="left"/>
      </w:pPr>
      <w:r>
        <w:t>采购包1：</w:t>
      </w:r>
    </w:p>
    <w:p w14:paraId="6B448A7A">
      <w:pPr>
        <w:pStyle w:val="4"/>
        <w:jc w:val="left"/>
      </w:pPr>
      <w:bookmarkStart w:id="0" w:name="_GoBack"/>
      <w:r>
        <w:t>采购包预算金额（元）: 9,928,000.00</w:t>
      </w:r>
    </w:p>
    <w:p w14:paraId="61D557D4">
      <w:pPr>
        <w:pStyle w:val="4"/>
        <w:jc w:val="left"/>
      </w:pPr>
      <w:r>
        <w:t>采购包最高限价（元）: 9,738,200.00</w:t>
      </w:r>
    </w:p>
    <w:bookmarkEnd w:id="0"/>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52"/>
        <w:gridCol w:w="785"/>
        <w:gridCol w:w="803"/>
        <w:gridCol w:w="821"/>
        <w:gridCol w:w="1279"/>
        <w:gridCol w:w="786"/>
        <w:gridCol w:w="786"/>
        <w:gridCol w:w="786"/>
        <w:gridCol w:w="786"/>
        <w:gridCol w:w="619"/>
        <w:gridCol w:w="619"/>
      </w:tblGrid>
      <w:tr w14:paraId="4FF954A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54803220">
            <w:pPr>
              <w:pStyle w:val="4"/>
              <w:jc w:val="center"/>
            </w:pPr>
            <w:r>
              <w:t>序号</w:t>
            </w:r>
          </w:p>
        </w:tc>
        <w:tc>
          <w:tcPr>
            <w:tcW w:w="821" w:type="dxa"/>
          </w:tcPr>
          <w:p w14:paraId="769BA1E1">
            <w:pPr>
              <w:pStyle w:val="4"/>
              <w:jc w:val="center"/>
            </w:pPr>
            <w:r>
              <w:t>采购品目名称</w:t>
            </w:r>
          </w:p>
        </w:tc>
        <w:tc>
          <w:tcPr>
            <w:tcW w:w="821" w:type="dxa"/>
          </w:tcPr>
          <w:p w14:paraId="48DAA280">
            <w:pPr>
              <w:pStyle w:val="4"/>
              <w:jc w:val="center"/>
            </w:pPr>
            <w:r>
              <w:t>标的名称</w:t>
            </w:r>
          </w:p>
        </w:tc>
        <w:tc>
          <w:tcPr>
            <w:tcW w:w="821" w:type="dxa"/>
          </w:tcPr>
          <w:p w14:paraId="0C6B0215">
            <w:pPr>
              <w:pStyle w:val="4"/>
              <w:jc w:val="center"/>
            </w:pPr>
            <w:r>
              <w:t>数量</w:t>
            </w:r>
            <w:r>
              <w:br w:type="textWrapping"/>
            </w:r>
            <w:r>
              <w:t>(计量单位)</w:t>
            </w:r>
          </w:p>
        </w:tc>
        <w:tc>
          <w:tcPr>
            <w:tcW w:w="821" w:type="dxa"/>
          </w:tcPr>
          <w:p w14:paraId="04EBBE8F">
            <w:pPr>
              <w:pStyle w:val="4"/>
              <w:jc w:val="center"/>
            </w:pPr>
            <w:r>
              <w:t>标的金额 （元）</w:t>
            </w:r>
          </w:p>
        </w:tc>
        <w:tc>
          <w:tcPr>
            <w:tcW w:w="821" w:type="dxa"/>
          </w:tcPr>
          <w:p w14:paraId="297CD278">
            <w:pPr>
              <w:pStyle w:val="4"/>
              <w:jc w:val="center"/>
            </w:pPr>
            <w:r>
              <w:t>所属行业</w:t>
            </w:r>
          </w:p>
        </w:tc>
        <w:tc>
          <w:tcPr>
            <w:tcW w:w="821" w:type="dxa"/>
          </w:tcPr>
          <w:p w14:paraId="5530D8DB">
            <w:pPr>
              <w:pStyle w:val="4"/>
              <w:jc w:val="center"/>
            </w:pPr>
            <w:r>
              <w:t>是否涉及核心产品</w:t>
            </w:r>
          </w:p>
        </w:tc>
        <w:tc>
          <w:tcPr>
            <w:tcW w:w="821" w:type="dxa"/>
          </w:tcPr>
          <w:p w14:paraId="65A8F7D8">
            <w:pPr>
              <w:pStyle w:val="4"/>
              <w:jc w:val="center"/>
            </w:pPr>
            <w:r>
              <w:t>是否涉及采购进口产品</w:t>
            </w:r>
          </w:p>
        </w:tc>
        <w:tc>
          <w:tcPr>
            <w:tcW w:w="821" w:type="dxa"/>
          </w:tcPr>
          <w:p w14:paraId="4D00858E">
            <w:pPr>
              <w:pStyle w:val="4"/>
              <w:jc w:val="center"/>
            </w:pPr>
            <w:r>
              <w:t>是否涉及强制采购节能产品</w:t>
            </w:r>
          </w:p>
        </w:tc>
        <w:tc>
          <w:tcPr>
            <w:tcW w:w="639" w:type="dxa"/>
          </w:tcPr>
          <w:p w14:paraId="01952E4C">
            <w:pPr>
              <w:pStyle w:val="4"/>
              <w:jc w:val="center"/>
            </w:pPr>
            <w:r>
              <w:t>是否涉及优先采购节能产品</w:t>
            </w:r>
          </w:p>
        </w:tc>
        <w:tc>
          <w:tcPr>
            <w:tcW w:w="639" w:type="dxa"/>
          </w:tcPr>
          <w:p w14:paraId="56A2C169">
            <w:pPr>
              <w:pStyle w:val="4"/>
              <w:jc w:val="center"/>
            </w:pPr>
            <w:r>
              <w:t>是否涉及优先采购环境标志产品</w:t>
            </w:r>
          </w:p>
        </w:tc>
      </w:tr>
      <w:tr w14:paraId="499D03B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634AE626">
            <w:pPr>
              <w:pStyle w:val="4"/>
              <w:jc w:val="left"/>
            </w:pPr>
            <w:r>
              <w:t>1</w:t>
            </w:r>
          </w:p>
        </w:tc>
        <w:tc>
          <w:tcPr>
            <w:tcW w:w="821" w:type="dxa"/>
          </w:tcPr>
          <w:p w14:paraId="10B8E2A1">
            <w:pPr>
              <w:pStyle w:val="4"/>
              <w:jc w:val="left"/>
            </w:pPr>
            <w:r>
              <w:t>其他生态环境治理服务</w:t>
            </w:r>
          </w:p>
        </w:tc>
        <w:tc>
          <w:tcPr>
            <w:tcW w:w="821" w:type="dxa"/>
          </w:tcPr>
          <w:p w14:paraId="3CB073DF">
            <w:pPr>
              <w:pStyle w:val="4"/>
              <w:jc w:val="left"/>
            </w:pPr>
            <w:r>
              <w:t>成都市双流区水务局公兴（中电子）再生水厂除氟站运维服务项目</w:t>
            </w:r>
          </w:p>
        </w:tc>
        <w:tc>
          <w:tcPr>
            <w:tcW w:w="821" w:type="dxa"/>
          </w:tcPr>
          <w:p w14:paraId="5CB0BD0E">
            <w:pPr>
              <w:pStyle w:val="4"/>
              <w:jc w:val="right"/>
            </w:pPr>
            <w:r>
              <w:t>1.00（项）</w:t>
            </w:r>
          </w:p>
        </w:tc>
        <w:tc>
          <w:tcPr>
            <w:tcW w:w="821" w:type="dxa"/>
          </w:tcPr>
          <w:p w14:paraId="79562E01">
            <w:pPr>
              <w:pStyle w:val="4"/>
              <w:jc w:val="right"/>
            </w:pPr>
            <w:r>
              <w:t>9,738,200.00</w:t>
            </w:r>
          </w:p>
        </w:tc>
        <w:tc>
          <w:tcPr>
            <w:tcW w:w="821" w:type="dxa"/>
          </w:tcPr>
          <w:p w14:paraId="6D2230B0">
            <w:pPr>
              <w:pStyle w:val="4"/>
              <w:jc w:val="left"/>
            </w:pPr>
            <w:r>
              <w:t>其他未列明行业</w:t>
            </w:r>
          </w:p>
        </w:tc>
        <w:tc>
          <w:tcPr>
            <w:tcW w:w="821" w:type="dxa"/>
          </w:tcPr>
          <w:p w14:paraId="6CE3E9F0">
            <w:pPr>
              <w:pStyle w:val="4"/>
              <w:jc w:val="left"/>
            </w:pPr>
            <w:r>
              <w:t>否</w:t>
            </w:r>
          </w:p>
        </w:tc>
        <w:tc>
          <w:tcPr>
            <w:tcW w:w="821" w:type="dxa"/>
          </w:tcPr>
          <w:p w14:paraId="1223C429">
            <w:pPr>
              <w:pStyle w:val="4"/>
              <w:jc w:val="left"/>
            </w:pPr>
            <w:r>
              <w:t>否</w:t>
            </w:r>
          </w:p>
        </w:tc>
        <w:tc>
          <w:tcPr>
            <w:tcW w:w="821" w:type="dxa"/>
          </w:tcPr>
          <w:p w14:paraId="37BD8E0E">
            <w:pPr>
              <w:pStyle w:val="4"/>
              <w:jc w:val="left"/>
            </w:pPr>
            <w:r>
              <w:t>否</w:t>
            </w:r>
          </w:p>
        </w:tc>
        <w:tc>
          <w:tcPr>
            <w:tcW w:w="639" w:type="dxa"/>
          </w:tcPr>
          <w:p w14:paraId="6370E9EC">
            <w:pPr>
              <w:pStyle w:val="4"/>
              <w:jc w:val="left"/>
            </w:pPr>
            <w:r>
              <w:t>否</w:t>
            </w:r>
          </w:p>
        </w:tc>
        <w:tc>
          <w:tcPr>
            <w:tcW w:w="639" w:type="dxa"/>
          </w:tcPr>
          <w:p w14:paraId="0A6D0BF4">
            <w:pPr>
              <w:pStyle w:val="4"/>
              <w:jc w:val="left"/>
            </w:pPr>
            <w:r>
              <w:t>否</w:t>
            </w:r>
          </w:p>
        </w:tc>
      </w:tr>
    </w:tbl>
    <w:p w14:paraId="2AAF90BB">
      <w:pPr>
        <w:pStyle w:val="4"/>
        <w:jc w:val="left"/>
        <w:outlineLvl w:val="3"/>
      </w:pPr>
      <w:r>
        <w:rPr>
          <w:b/>
          <w:sz w:val="24"/>
        </w:rPr>
        <w:t>报价要求</w:t>
      </w:r>
    </w:p>
    <w:p w14:paraId="47FE913A">
      <w:pPr>
        <w:pStyle w:val="4"/>
        <w:ind w:firstLine="480"/>
        <w:jc w:val="left"/>
      </w:pPr>
      <w: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79"/>
        <w:gridCol w:w="1466"/>
        <w:gridCol w:w="977"/>
        <w:gridCol w:w="1279"/>
        <w:gridCol w:w="1279"/>
        <w:gridCol w:w="977"/>
        <w:gridCol w:w="1661"/>
      </w:tblGrid>
      <w:tr w14:paraId="3BAEE33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79" w:type="dxa"/>
          </w:tcPr>
          <w:p w14:paraId="239D0A4B">
            <w:pPr>
              <w:pStyle w:val="4"/>
              <w:jc w:val="center"/>
            </w:pPr>
            <w:r>
              <w:t>序号</w:t>
            </w:r>
          </w:p>
        </w:tc>
        <w:tc>
          <w:tcPr>
            <w:tcW w:w="1466" w:type="dxa"/>
          </w:tcPr>
          <w:p w14:paraId="62251392">
            <w:pPr>
              <w:pStyle w:val="4"/>
              <w:jc w:val="center"/>
            </w:pPr>
            <w:r>
              <w:t>报价内容</w:t>
            </w:r>
          </w:p>
        </w:tc>
        <w:tc>
          <w:tcPr>
            <w:tcW w:w="977" w:type="dxa"/>
          </w:tcPr>
          <w:p w14:paraId="4311FC4D">
            <w:pPr>
              <w:pStyle w:val="4"/>
              <w:jc w:val="center"/>
            </w:pPr>
            <w:r>
              <w:t>数量</w:t>
            </w:r>
          </w:p>
        </w:tc>
        <w:tc>
          <w:tcPr>
            <w:tcW w:w="1173" w:type="dxa"/>
          </w:tcPr>
          <w:p w14:paraId="1453E24F">
            <w:pPr>
              <w:pStyle w:val="4"/>
              <w:jc w:val="center"/>
            </w:pPr>
            <w:r>
              <w:t>单价</w:t>
            </w:r>
          </w:p>
        </w:tc>
        <w:tc>
          <w:tcPr>
            <w:tcW w:w="1173" w:type="dxa"/>
          </w:tcPr>
          <w:p w14:paraId="54BB268B">
            <w:pPr>
              <w:pStyle w:val="4"/>
              <w:jc w:val="center"/>
            </w:pPr>
            <w:r>
              <w:t>最高限价</w:t>
            </w:r>
          </w:p>
        </w:tc>
        <w:tc>
          <w:tcPr>
            <w:tcW w:w="977" w:type="dxa"/>
          </w:tcPr>
          <w:p w14:paraId="11D90530">
            <w:pPr>
              <w:pStyle w:val="4"/>
              <w:jc w:val="center"/>
            </w:pPr>
            <w:r>
              <w:t>价款形式</w:t>
            </w:r>
          </w:p>
        </w:tc>
        <w:tc>
          <w:tcPr>
            <w:tcW w:w="1661" w:type="dxa"/>
          </w:tcPr>
          <w:p w14:paraId="3FA85F7C">
            <w:pPr>
              <w:pStyle w:val="4"/>
              <w:jc w:val="center"/>
            </w:pPr>
            <w:r>
              <w:t>报价说明</w:t>
            </w:r>
          </w:p>
        </w:tc>
      </w:tr>
      <w:tr w14:paraId="3E193A6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79" w:type="dxa"/>
          </w:tcPr>
          <w:p w14:paraId="3598A7BD">
            <w:pPr>
              <w:pStyle w:val="4"/>
              <w:jc w:val="left"/>
            </w:pPr>
            <w:r>
              <w:t>1</w:t>
            </w:r>
          </w:p>
        </w:tc>
        <w:tc>
          <w:tcPr>
            <w:tcW w:w="1466" w:type="dxa"/>
          </w:tcPr>
          <w:p w14:paraId="31EA16D6">
            <w:pPr>
              <w:pStyle w:val="4"/>
              <w:jc w:val="left"/>
            </w:pPr>
            <w:r>
              <w:t>成都市双流区水务局公兴（中电子）再生水厂除氟站运维服务采购项目</w:t>
            </w:r>
          </w:p>
        </w:tc>
        <w:tc>
          <w:tcPr>
            <w:tcW w:w="977" w:type="dxa"/>
          </w:tcPr>
          <w:p w14:paraId="2EF91DE9">
            <w:pPr>
              <w:pStyle w:val="4"/>
              <w:jc w:val="right"/>
            </w:pPr>
            <w:r>
              <w:t>1.00（项）</w:t>
            </w:r>
          </w:p>
        </w:tc>
        <w:tc>
          <w:tcPr>
            <w:tcW w:w="1173" w:type="dxa"/>
          </w:tcPr>
          <w:p w14:paraId="72CDAB63">
            <w:pPr>
              <w:pStyle w:val="4"/>
              <w:jc w:val="right"/>
            </w:pPr>
            <w:r>
              <w:t>9,738,200.00（元）</w:t>
            </w:r>
          </w:p>
        </w:tc>
        <w:tc>
          <w:tcPr>
            <w:tcW w:w="1173" w:type="dxa"/>
          </w:tcPr>
          <w:p w14:paraId="255608FA">
            <w:pPr>
              <w:pStyle w:val="4"/>
              <w:jc w:val="right"/>
            </w:pPr>
            <w:r>
              <w:t>9,738,200.00</w:t>
            </w:r>
          </w:p>
        </w:tc>
        <w:tc>
          <w:tcPr>
            <w:tcW w:w="977" w:type="dxa"/>
          </w:tcPr>
          <w:p w14:paraId="547CA34B">
            <w:pPr>
              <w:pStyle w:val="4"/>
              <w:jc w:val="left"/>
            </w:pPr>
            <w:r>
              <w:t>总价</w:t>
            </w:r>
          </w:p>
        </w:tc>
        <w:tc>
          <w:tcPr>
            <w:tcW w:w="1661" w:type="dxa"/>
          </w:tcPr>
          <w:p w14:paraId="60444B03">
            <w:pPr>
              <w:pStyle w:val="4"/>
              <w:jc w:val="left"/>
            </w:pPr>
            <w:r>
              <w:t>1、请按报价明细表进行填写上传；2、报价表中“服务期限”和“服务范围”可用"/"代替。3、最高限价单位为“元”。</w:t>
            </w:r>
          </w:p>
        </w:tc>
      </w:tr>
    </w:tbl>
    <w:p w14:paraId="09503808">
      <w:pPr>
        <w:pStyle w:val="4"/>
        <w:ind w:firstLine="480"/>
        <w:jc w:val="left"/>
      </w:pPr>
      <w:r>
        <w:t>★注：供应商响应产品应当明确品牌和规格型号并指向唯一产品，不能指向唯一产品的，应通过报价表备注栏补充说明。</w:t>
      </w:r>
    </w:p>
    <w:p w14:paraId="3D48A0DF">
      <w:pPr>
        <w:pStyle w:val="4"/>
        <w:jc w:val="left"/>
        <w:outlineLvl w:val="3"/>
      </w:pPr>
      <w:r>
        <w:rPr>
          <w:b/>
          <w:sz w:val="24"/>
        </w:rPr>
        <w:t>本项目涉及采购进口产品：</w:t>
      </w:r>
    </w:p>
    <w:p w14:paraId="73AF1668">
      <w:pPr>
        <w:pStyle w:val="4"/>
        <w:ind w:firstLine="480"/>
        <w:jc w:val="left"/>
      </w:pPr>
      <w: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1628096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831" w:type="dxa"/>
          </w:tcPr>
          <w:p w14:paraId="195A5F9D">
            <w:pPr>
              <w:pStyle w:val="4"/>
              <w:jc w:val="center"/>
            </w:pPr>
            <w:r>
              <w:t>序号</w:t>
            </w:r>
          </w:p>
        </w:tc>
        <w:tc>
          <w:tcPr>
            <w:tcW w:w="2492" w:type="dxa"/>
          </w:tcPr>
          <w:p w14:paraId="1C1D413F">
            <w:pPr>
              <w:pStyle w:val="4"/>
              <w:jc w:val="center"/>
            </w:pPr>
            <w:r>
              <w:t>采购品目名称</w:t>
            </w:r>
          </w:p>
        </w:tc>
        <w:tc>
          <w:tcPr>
            <w:tcW w:w="2492" w:type="dxa"/>
          </w:tcPr>
          <w:p w14:paraId="55CF1A28">
            <w:pPr>
              <w:pStyle w:val="4"/>
              <w:jc w:val="center"/>
            </w:pPr>
            <w:r>
              <w:t>标的名称</w:t>
            </w:r>
          </w:p>
        </w:tc>
        <w:tc>
          <w:tcPr>
            <w:tcW w:w="2492" w:type="dxa"/>
          </w:tcPr>
          <w:p w14:paraId="02E9C6A9">
            <w:pPr>
              <w:pStyle w:val="4"/>
              <w:jc w:val="center"/>
            </w:pPr>
            <w:r>
              <w:t>产品名称</w:t>
            </w:r>
          </w:p>
        </w:tc>
      </w:tr>
      <w:tr w14:paraId="744E073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6DA46966">
            <w:pPr>
              <w:pStyle w:val="4"/>
              <w:jc w:val="center"/>
            </w:pPr>
            <w:r>
              <w:t>不涉及</w:t>
            </w:r>
          </w:p>
        </w:tc>
      </w:tr>
    </w:tbl>
    <w:p w14:paraId="6C486714">
      <w:pPr>
        <w:pStyle w:val="4"/>
        <w:ind w:firstLine="480"/>
        <w:jc w:val="left"/>
      </w:pPr>
      <w:r>
        <w:t>★注：不涉及采购进口产品时，供应商不得提供进口产品进行响应；涉及采购进口产品时，如国产产品满足采购需求，也可提供国产产品进行响应。</w:t>
      </w:r>
    </w:p>
    <w:p w14:paraId="5650A158">
      <w:pPr>
        <w:pStyle w:val="4"/>
        <w:jc w:val="left"/>
        <w:outlineLvl w:val="3"/>
      </w:pPr>
      <w:r>
        <w:rPr>
          <w:b/>
          <w:sz w:val="24"/>
        </w:rPr>
        <w:t>本项目涉及强制采购节能产品：</w:t>
      </w:r>
    </w:p>
    <w:p w14:paraId="2AC93E34">
      <w:pPr>
        <w:pStyle w:val="4"/>
        <w:ind w:firstLine="480"/>
        <w:jc w:val="left"/>
      </w:pPr>
      <w: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3DC073D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9BE3708">
            <w:pPr>
              <w:pStyle w:val="4"/>
              <w:jc w:val="center"/>
            </w:pPr>
            <w:r>
              <w:t>序号</w:t>
            </w:r>
          </w:p>
        </w:tc>
        <w:tc>
          <w:tcPr>
            <w:tcW w:w="2492" w:type="dxa"/>
          </w:tcPr>
          <w:p w14:paraId="0CF7D8AB">
            <w:pPr>
              <w:pStyle w:val="4"/>
              <w:jc w:val="center"/>
            </w:pPr>
            <w:r>
              <w:t>采购品目名称</w:t>
            </w:r>
          </w:p>
        </w:tc>
        <w:tc>
          <w:tcPr>
            <w:tcW w:w="2492" w:type="dxa"/>
          </w:tcPr>
          <w:p w14:paraId="2BD3701B">
            <w:pPr>
              <w:pStyle w:val="4"/>
              <w:jc w:val="center"/>
            </w:pPr>
            <w:r>
              <w:t>标的名称</w:t>
            </w:r>
          </w:p>
        </w:tc>
        <w:tc>
          <w:tcPr>
            <w:tcW w:w="2492" w:type="dxa"/>
          </w:tcPr>
          <w:p w14:paraId="65AF197B">
            <w:pPr>
              <w:pStyle w:val="4"/>
              <w:jc w:val="center"/>
            </w:pPr>
            <w:r>
              <w:t>产品名称</w:t>
            </w:r>
          </w:p>
        </w:tc>
      </w:tr>
      <w:tr w14:paraId="02F2263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63DF28DB">
            <w:pPr>
              <w:pStyle w:val="4"/>
              <w:jc w:val="center"/>
            </w:pPr>
            <w:r>
              <w:t>不涉及</w:t>
            </w:r>
          </w:p>
        </w:tc>
      </w:tr>
    </w:tbl>
    <w:p w14:paraId="3DE29DF7">
      <w:pPr>
        <w:pStyle w:val="4"/>
        <w:ind w:firstLine="480"/>
        <w:jc w:val="left"/>
      </w:pPr>
      <w:r>
        <w:t>注：响应产品属于《节能产品政府采购品目清单》中政府强制采购的产品，投标人应当提供由国家确定的认证机构出具的、处于有效期之内的节能产品认证证书的原件扫描件，或“全国认证认可信息公共服务平台”（http://cx.cnca.cn）的认证信息截图，否则作无效投标处理。具体要求详见第五章符合性审查表。</w:t>
      </w:r>
    </w:p>
    <w:p w14:paraId="3A093D55">
      <w:pPr>
        <w:pStyle w:val="4"/>
        <w:jc w:val="left"/>
      </w:pPr>
      <w:r>
        <w:rPr>
          <w:b/>
        </w:rPr>
        <w:t>本项目涉及优先采购节能产品：</w:t>
      </w:r>
    </w:p>
    <w:p w14:paraId="066D426A">
      <w:pPr>
        <w:pStyle w:val="4"/>
        <w:ind w:firstLine="480"/>
        <w:jc w:val="left"/>
      </w:pPr>
      <w: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1E133AF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CA01540">
            <w:pPr>
              <w:pStyle w:val="4"/>
              <w:jc w:val="center"/>
            </w:pPr>
            <w:r>
              <w:t>序号</w:t>
            </w:r>
          </w:p>
        </w:tc>
        <w:tc>
          <w:tcPr>
            <w:tcW w:w="2492" w:type="dxa"/>
          </w:tcPr>
          <w:p w14:paraId="52E11144">
            <w:pPr>
              <w:pStyle w:val="4"/>
              <w:jc w:val="center"/>
            </w:pPr>
            <w:r>
              <w:t>采购品目名称</w:t>
            </w:r>
          </w:p>
        </w:tc>
        <w:tc>
          <w:tcPr>
            <w:tcW w:w="2492" w:type="dxa"/>
          </w:tcPr>
          <w:p w14:paraId="7F432ADE">
            <w:pPr>
              <w:pStyle w:val="4"/>
              <w:jc w:val="center"/>
            </w:pPr>
            <w:r>
              <w:t>标的名称</w:t>
            </w:r>
          </w:p>
        </w:tc>
        <w:tc>
          <w:tcPr>
            <w:tcW w:w="2492" w:type="dxa"/>
          </w:tcPr>
          <w:p w14:paraId="3CFB4092">
            <w:pPr>
              <w:pStyle w:val="4"/>
              <w:jc w:val="center"/>
            </w:pPr>
            <w:r>
              <w:t>产品名称</w:t>
            </w:r>
          </w:p>
        </w:tc>
      </w:tr>
      <w:tr w14:paraId="500A50E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022953C7">
            <w:pPr>
              <w:pStyle w:val="4"/>
              <w:jc w:val="center"/>
            </w:pPr>
            <w:r>
              <w:t>不涉及</w:t>
            </w:r>
          </w:p>
        </w:tc>
      </w:tr>
    </w:tbl>
    <w:p w14:paraId="72641F21">
      <w:pPr>
        <w:pStyle w:val="4"/>
        <w:ind w:firstLine="480"/>
        <w:jc w:val="left"/>
      </w:pPr>
      <w:r>
        <w:t>注：响应产品属于《节能产品政府采购品目清单》中优先采购的产品，投标人提供由国家确定的认证机构出具的、处于有效期之内的节能产品认证证书的原件扫描件，或“全国认证认可信息公共服务平台”（http://cx.cnca.cn）的认证信息截图，可以享受优先采购政策。具体要求详见第五章规定。</w:t>
      </w:r>
    </w:p>
    <w:p w14:paraId="432B2D6B">
      <w:pPr>
        <w:pStyle w:val="4"/>
        <w:jc w:val="left"/>
        <w:outlineLvl w:val="3"/>
      </w:pPr>
      <w:r>
        <w:rPr>
          <w:b/>
          <w:sz w:val="24"/>
        </w:rPr>
        <w:t>本项目涉及优先采购环境标志产品：</w:t>
      </w:r>
    </w:p>
    <w:p w14:paraId="4523FEBE">
      <w:pPr>
        <w:pStyle w:val="4"/>
        <w:ind w:firstLine="480"/>
        <w:jc w:val="left"/>
      </w:pPr>
      <w: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06BD157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FE0A073">
            <w:pPr>
              <w:pStyle w:val="4"/>
              <w:jc w:val="center"/>
            </w:pPr>
            <w:r>
              <w:t>序号</w:t>
            </w:r>
          </w:p>
        </w:tc>
        <w:tc>
          <w:tcPr>
            <w:tcW w:w="2492" w:type="dxa"/>
          </w:tcPr>
          <w:p w14:paraId="4784A718">
            <w:pPr>
              <w:pStyle w:val="4"/>
              <w:jc w:val="center"/>
            </w:pPr>
            <w:r>
              <w:t>采购品目名称</w:t>
            </w:r>
          </w:p>
        </w:tc>
        <w:tc>
          <w:tcPr>
            <w:tcW w:w="2492" w:type="dxa"/>
          </w:tcPr>
          <w:p w14:paraId="5D7F881C">
            <w:pPr>
              <w:pStyle w:val="4"/>
              <w:jc w:val="center"/>
            </w:pPr>
            <w:r>
              <w:t>标的名称</w:t>
            </w:r>
          </w:p>
        </w:tc>
        <w:tc>
          <w:tcPr>
            <w:tcW w:w="2492" w:type="dxa"/>
          </w:tcPr>
          <w:p w14:paraId="158C23E2">
            <w:pPr>
              <w:pStyle w:val="4"/>
              <w:jc w:val="center"/>
            </w:pPr>
            <w:r>
              <w:t>产品名称</w:t>
            </w:r>
          </w:p>
        </w:tc>
      </w:tr>
      <w:tr w14:paraId="50D2BDA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6A677078">
            <w:pPr>
              <w:pStyle w:val="4"/>
              <w:jc w:val="center"/>
            </w:pPr>
            <w:r>
              <w:t>不涉及</w:t>
            </w:r>
          </w:p>
        </w:tc>
      </w:tr>
    </w:tbl>
    <w:p w14:paraId="2F48D7FC">
      <w:pPr>
        <w:pStyle w:val="4"/>
        <w:ind w:firstLine="480"/>
        <w:jc w:val="left"/>
      </w:pPr>
      <w:r>
        <w:t>注：响应产品属于《环境标志产品政府采购品目清单》中的产品，投标人提供由国家确定的认证机构出具的、处于有效期之内的环境标志产品认证证书的原件扫描件，或“全国认证认可信息公共服务平台”（http://cx.cnca.cn）的认证信息截图，可以享受优先采购政策。具体要求详见第五章规定。</w:t>
      </w:r>
    </w:p>
    <w:p w14:paraId="1E0F5517">
      <w:pPr>
        <w:pStyle w:val="4"/>
        <w:jc w:val="left"/>
        <w:outlineLvl w:val="2"/>
      </w:pPr>
      <w:r>
        <w:rPr>
          <w:b/>
          <w:sz w:val="28"/>
        </w:rPr>
        <w:t>3.3.技术要求</w:t>
      </w:r>
    </w:p>
    <w:p w14:paraId="6D0D4FBA">
      <w:pPr>
        <w:pStyle w:val="4"/>
        <w:jc w:val="left"/>
      </w:pPr>
      <w:r>
        <w:t>采购包1：</w:t>
      </w:r>
    </w:p>
    <w:p w14:paraId="6EC71F9B">
      <w:pPr>
        <w:pStyle w:val="4"/>
        <w:jc w:val="left"/>
      </w:pPr>
      <w:r>
        <w:t>标的名称：成都市双流区水务局公兴（中电子）再生水厂除氟站运维服务项目</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626"/>
        <w:gridCol w:w="1627"/>
        <w:gridCol w:w="5269"/>
      </w:tblGrid>
      <w:tr w14:paraId="5BAE904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7ECCF599">
            <w:pPr>
              <w:pStyle w:val="4"/>
              <w:jc w:val="left"/>
            </w:pPr>
            <w:r>
              <w:t>序号</w:t>
            </w:r>
          </w:p>
        </w:tc>
        <w:tc>
          <w:tcPr>
            <w:tcW w:w="2769" w:type="dxa"/>
          </w:tcPr>
          <w:p w14:paraId="1C868F6A">
            <w:pPr>
              <w:pStyle w:val="4"/>
              <w:jc w:val="left"/>
            </w:pPr>
            <w:r>
              <w:t>符号标识</w:t>
            </w:r>
          </w:p>
        </w:tc>
        <w:tc>
          <w:tcPr>
            <w:tcW w:w="2769" w:type="dxa"/>
          </w:tcPr>
          <w:p w14:paraId="090A40D1">
            <w:pPr>
              <w:pStyle w:val="4"/>
              <w:jc w:val="left"/>
            </w:pPr>
            <w:r>
              <w:t>技术参数与性能指标</w:t>
            </w:r>
          </w:p>
        </w:tc>
      </w:tr>
      <w:tr w14:paraId="26FE303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769" w:type="dxa"/>
          </w:tcPr>
          <w:p w14:paraId="06EB38E7">
            <w:pPr>
              <w:pStyle w:val="4"/>
              <w:jc w:val="left"/>
            </w:pPr>
            <w:r>
              <w:t>1</w:t>
            </w:r>
          </w:p>
        </w:tc>
        <w:tc>
          <w:tcPr>
            <w:tcW w:w="2769" w:type="dxa"/>
          </w:tcPr>
          <w:p w14:paraId="03903FC2"/>
        </w:tc>
        <w:tc>
          <w:tcPr>
            <w:tcW w:w="2769" w:type="dxa"/>
          </w:tcPr>
          <w:p w14:paraId="29BD4E00">
            <w:pPr>
              <w:pStyle w:val="4"/>
              <w:jc w:val="left"/>
            </w:pPr>
            <w:r>
              <w:rPr>
                <w:rFonts w:ascii="仿宋" w:hAnsi="仿宋" w:eastAsia="仿宋" w:cs="仿宋"/>
                <w:b/>
                <w:sz w:val="24"/>
              </w:rPr>
              <w:t>★1、最高单价限价</w:t>
            </w:r>
          </w:p>
          <w:p w14:paraId="169A8E9D">
            <w:pPr>
              <w:pStyle w:val="4"/>
              <w:jc w:val="both"/>
            </w:pPr>
            <w:r>
              <w:rPr>
                <w:rFonts w:ascii="Calibri" w:hAnsi="Calibri" w:eastAsia="Calibri" w:cs="Calibri"/>
                <w:sz w:val="21"/>
              </w:rPr>
              <w:t>吨水运维服务成本单价限价：运维服务费综合单价限价0.667元/m³（其中固定成本单价限价0.17元/m³、可变成本单价限价0.497元/m³）。</w:t>
            </w:r>
          </w:p>
          <w:p w14:paraId="1EBBB7F7">
            <w:pPr>
              <w:pStyle w:val="4"/>
              <w:jc w:val="both"/>
            </w:pPr>
            <w:r>
              <w:rPr>
                <w:rFonts w:ascii="仿宋" w:hAnsi="仿宋" w:eastAsia="仿宋" w:cs="仿宋"/>
                <w:b/>
                <w:sz w:val="24"/>
              </w:rPr>
              <w:t>★2、服务内容</w:t>
            </w:r>
          </w:p>
          <w:p w14:paraId="67BC18FA">
            <w:pPr>
              <w:pStyle w:val="4"/>
              <w:ind w:firstLine="480"/>
              <w:jc w:val="both"/>
            </w:pPr>
            <w:r>
              <w:rPr>
                <w:rFonts w:ascii="仿宋" w:hAnsi="仿宋" w:eastAsia="仿宋" w:cs="仿宋"/>
                <w:sz w:val="24"/>
              </w:rPr>
              <w:t>提供成都市双流区公兴（中电子）再生水厂除氟站项目（位于双流区剑南大道南段兰家沟3组188号，设计日处理能力40000m³/d，主体采用除氟一体机+树脂工艺）的运维服务，确保项目出水氟化物≤1.5mg/L排放。</w:t>
            </w:r>
          </w:p>
          <w:p w14:paraId="3B8F3289">
            <w:pPr>
              <w:pStyle w:val="4"/>
              <w:jc w:val="both"/>
            </w:pPr>
            <w:r>
              <w:rPr>
                <w:rFonts w:ascii="仿宋" w:hAnsi="仿宋" w:eastAsia="仿宋" w:cs="仿宋"/>
                <w:b/>
                <w:sz w:val="24"/>
              </w:rPr>
              <w:t>★3、服务要求</w:t>
            </w:r>
          </w:p>
          <w:p w14:paraId="00F86E82">
            <w:pPr>
              <w:pStyle w:val="4"/>
              <w:ind w:firstLine="480"/>
              <w:jc w:val="both"/>
            </w:pPr>
            <w:r>
              <w:rPr>
                <w:rFonts w:ascii="仿宋" w:hAnsi="仿宋" w:eastAsia="仿宋" w:cs="仿宋"/>
                <w:sz w:val="24"/>
              </w:rPr>
              <w:t>（1）运维服务期内，供应商应做好除氟站项目系统运行、设备维修维护、安全及应急管理、水质检测等相关工作，必要时，供应商可对现有工艺进行优化调整，确保项目安全稳定运行，出水水质稳定达标排放。</w:t>
            </w:r>
          </w:p>
          <w:p w14:paraId="6A4864B3">
            <w:pPr>
              <w:pStyle w:val="4"/>
              <w:ind w:firstLine="480"/>
              <w:jc w:val="both"/>
            </w:pPr>
            <w:r>
              <w:rPr>
                <w:rFonts w:ascii="仿宋" w:hAnsi="仿宋" w:eastAsia="仿宋" w:cs="仿宋"/>
                <w:sz w:val="24"/>
              </w:rPr>
              <w:t>（2）本项目进水水质：氟化物≤5mg/L；要求出水水质：氟化物≤1.5mg/L。</w:t>
            </w:r>
          </w:p>
          <w:p w14:paraId="0E7637AB">
            <w:pPr>
              <w:pStyle w:val="4"/>
              <w:ind w:firstLine="480"/>
              <w:jc w:val="both"/>
            </w:pPr>
            <w:r>
              <w:rPr>
                <w:rFonts w:ascii="仿宋" w:hAnsi="仿宋" w:eastAsia="仿宋" w:cs="仿宋"/>
                <w:sz w:val="24"/>
              </w:rPr>
              <w:t>（3）运维服务期内，供应商应对设备设施出现的故障问题及时修复（设备设施详见成都市双流区公兴（中电子）再生水厂除氟站运维服务项目主要设备情况表），同时做好设备非正常运行记录，包括设备异常、故障、停电等，并保留相关材料佐证。服务期内涉及设备维护维修费用由供应商承担；若涉及整体设备更换（重置），则由采购人负责采购并承担更换（重置）费用。</w:t>
            </w:r>
          </w:p>
          <w:p w14:paraId="0AAFAE3A">
            <w:pPr>
              <w:pStyle w:val="4"/>
              <w:jc w:val="center"/>
            </w:pPr>
            <w:r>
              <w:rPr>
                <w:rFonts w:ascii="宋体" w:hAnsi="宋体" w:eastAsia="宋体" w:cs="宋体"/>
                <w:sz w:val="28"/>
              </w:rPr>
              <w:t>成都市双流区公兴（中电子）再生水厂除氟站运维服务项目主要设备情况表</w:t>
            </w:r>
          </w:p>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451"/>
              <w:gridCol w:w="690"/>
              <w:gridCol w:w="930"/>
              <w:gridCol w:w="934"/>
              <w:gridCol w:w="451"/>
              <w:gridCol w:w="451"/>
              <w:gridCol w:w="690"/>
              <w:gridCol w:w="451"/>
            </w:tblGrid>
            <w:tr w14:paraId="4E94CDF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75"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067F402A">
                  <w:pPr>
                    <w:pStyle w:val="4"/>
                    <w:jc w:val="center"/>
                  </w:pPr>
                  <w:r>
                    <w:rPr>
                      <w:rFonts w:ascii="宋体" w:hAnsi="宋体" w:eastAsia="宋体" w:cs="宋体"/>
                      <w:b/>
                      <w:sz w:val="24"/>
                    </w:rPr>
                    <w:t>序号</w:t>
                  </w:r>
                </w:p>
              </w:tc>
              <w:tc>
                <w:tcPr>
                  <w:tcW w:w="355"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4FA6F029">
                  <w:pPr>
                    <w:pStyle w:val="4"/>
                    <w:jc w:val="center"/>
                  </w:pPr>
                  <w:r>
                    <w:rPr>
                      <w:rFonts w:ascii="宋体" w:hAnsi="宋体" w:eastAsia="宋体" w:cs="宋体"/>
                      <w:b/>
                      <w:sz w:val="24"/>
                    </w:rPr>
                    <w:t>工艺段</w:t>
                  </w:r>
                </w:p>
                <w:p w14:paraId="1103B9C5">
                  <w:pPr>
                    <w:pStyle w:val="4"/>
                    <w:jc w:val="center"/>
                  </w:pPr>
                  <w:r>
                    <w:rPr>
                      <w:rFonts w:ascii="宋体" w:hAnsi="宋体" w:eastAsia="宋体" w:cs="宋体"/>
                      <w:b/>
                      <w:sz w:val="24"/>
                    </w:rPr>
                    <w:t>名称</w:t>
                  </w:r>
                </w:p>
              </w:tc>
              <w:tc>
                <w:tcPr>
                  <w:tcW w:w="500"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35682EB9">
                  <w:pPr>
                    <w:pStyle w:val="4"/>
                    <w:jc w:val="center"/>
                  </w:pPr>
                  <w:r>
                    <w:rPr>
                      <w:rFonts w:ascii="宋体" w:hAnsi="宋体" w:eastAsia="宋体" w:cs="宋体"/>
                      <w:b/>
                      <w:sz w:val="24"/>
                    </w:rPr>
                    <w:t>设备名称</w:t>
                  </w:r>
                </w:p>
              </w:tc>
              <w:tc>
                <w:tcPr>
                  <w:tcW w:w="385"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2FE8556D">
                  <w:pPr>
                    <w:pStyle w:val="4"/>
                    <w:jc w:val="center"/>
                  </w:pPr>
                  <w:r>
                    <w:rPr>
                      <w:rFonts w:ascii="宋体" w:hAnsi="宋体" w:eastAsia="宋体" w:cs="宋体"/>
                      <w:b/>
                      <w:sz w:val="24"/>
                    </w:rPr>
                    <w:t>功率（KW）</w:t>
                  </w:r>
                </w:p>
              </w:tc>
              <w:tc>
                <w:tcPr>
                  <w:tcW w:w="175"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41FDB54C">
                  <w:pPr>
                    <w:pStyle w:val="4"/>
                    <w:jc w:val="center"/>
                  </w:pPr>
                  <w:r>
                    <w:rPr>
                      <w:rFonts w:ascii="宋体" w:hAnsi="宋体" w:eastAsia="宋体" w:cs="宋体"/>
                      <w:b/>
                      <w:sz w:val="24"/>
                    </w:rPr>
                    <w:t>数量</w:t>
                  </w:r>
                </w:p>
              </w:tc>
              <w:tc>
                <w:tcPr>
                  <w:tcW w:w="247"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356F4299">
                  <w:pPr>
                    <w:pStyle w:val="4"/>
                    <w:jc w:val="center"/>
                  </w:pPr>
                  <w:r>
                    <w:rPr>
                      <w:rFonts w:ascii="宋体" w:hAnsi="宋体" w:eastAsia="宋体" w:cs="宋体"/>
                      <w:b/>
                      <w:sz w:val="24"/>
                    </w:rPr>
                    <w:t>维护保养频次</w:t>
                  </w:r>
                </w:p>
              </w:tc>
              <w:tc>
                <w:tcPr>
                  <w:tcW w:w="367"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4B6B0D07">
                  <w:pPr>
                    <w:pStyle w:val="4"/>
                    <w:jc w:val="center"/>
                  </w:pPr>
                  <w:r>
                    <w:rPr>
                      <w:rFonts w:ascii="宋体" w:hAnsi="宋体" w:eastAsia="宋体" w:cs="宋体"/>
                      <w:b/>
                      <w:sz w:val="24"/>
                    </w:rPr>
                    <w:t>投运时间</w:t>
                  </w:r>
                </w:p>
              </w:tc>
              <w:tc>
                <w:tcPr>
                  <w:tcW w:w="349"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46575683">
                  <w:pPr>
                    <w:pStyle w:val="4"/>
                    <w:jc w:val="center"/>
                  </w:pPr>
                  <w:r>
                    <w:rPr>
                      <w:rFonts w:ascii="宋体" w:hAnsi="宋体" w:eastAsia="宋体" w:cs="宋体"/>
                      <w:b/>
                      <w:sz w:val="24"/>
                    </w:rPr>
                    <w:t>备注</w:t>
                  </w:r>
                </w:p>
              </w:tc>
            </w:tr>
            <w:tr w14:paraId="180880C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75"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BB24A37">
                  <w:pPr>
                    <w:pStyle w:val="4"/>
                    <w:jc w:val="center"/>
                  </w:pPr>
                  <w:r>
                    <w:rPr>
                      <w:rFonts w:ascii="宋体" w:hAnsi="宋体" w:eastAsia="宋体" w:cs="宋体"/>
                      <w:sz w:val="24"/>
                    </w:rPr>
                    <w:t>1</w:t>
                  </w:r>
                </w:p>
                <w:p w14:paraId="68DEC557">
                  <w:pPr>
                    <w:pStyle w:val="4"/>
                    <w:jc w:val="left"/>
                  </w:pPr>
                </w:p>
              </w:tc>
              <w:tc>
                <w:tcPr>
                  <w:tcW w:w="355"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8CF0D80">
                  <w:pPr>
                    <w:pStyle w:val="4"/>
                    <w:jc w:val="center"/>
                  </w:pPr>
                  <w:r>
                    <w:rPr>
                      <w:rFonts w:ascii="宋体" w:hAnsi="宋体" w:eastAsia="宋体" w:cs="宋体"/>
                      <w:sz w:val="24"/>
                    </w:rPr>
                    <w:t>气浮除磷/氟一体机</w:t>
                  </w:r>
                </w:p>
                <w:p w14:paraId="5BA8DD3F">
                  <w:pPr>
                    <w:pStyle w:val="4"/>
                    <w:jc w:val="left"/>
                  </w:pPr>
                </w:p>
              </w:tc>
              <w:tc>
                <w:tcPr>
                  <w:tcW w:w="5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E713935">
                  <w:pPr>
                    <w:pStyle w:val="4"/>
                    <w:jc w:val="center"/>
                  </w:pPr>
                  <w:r>
                    <w:rPr>
                      <w:rFonts w:ascii="宋体" w:hAnsi="宋体" w:eastAsia="宋体" w:cs="宋体"/>
                      <w:sz w:val="24"/>
                    </w:rPr>
                    <w:t>一#仓搅拌机</w:t>
                  </w:r>
                </w:p>
              </w:tc>
              <w:tc>
                <w:tcPr>
                  <w:tcW w:w="38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2B129B8">
                  <w:pPr>
                    <w:pStyle w:val="4"/>
                    <w:jc w:val="center"/>
                  </w:pPr>
                  <w:r>
                    <w:rPr>
                      <w:rFonts w:ascii="宋体" w:hAnsi="宋体" w:eastAsia="宋体" w:cs="宋体"/>
                      <w:sz w:val="24"/>
                    </w:rPr>
                    <w:t>5.5</w:t>
                  </w:r>
                </w:p>
              </w:tc>
              <w:tc>
                <w:tcPr>
                  <w:tcW w:w="17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1190604">
                  <w:pPr>
                    <w:pStyle w:val="4"/>
                    <w:jc w:val="center"/>
                  </w:pPr>
                  <w:r>
                    <w:rPr>
                      <w:rFonts w:ascii="宋体" w:hAnsi="宋体" w:eastAsia="宋体" w:cs="宋体"/>
                      <w:sz w:val="24"/>
                    </w:rPr>
                    <w:t>1</w:t>
                  </w:r>
                </w:p>
              </w:tc>
              <w:tc>
                <w:tcPr>
                  <w:tcW w:w="247"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F2C30CB">
                  <w:pPr>
                    <w:pStyle w:val="4"/>
                    <w:jc w:val="center"/>
                  </w:pPr>
                  <w:r>
                    <w:rPr>
                      <w:rFonts w:ascii="宋体" w:hAnsi="宋体" w:eastAsia="宋体" w:cs="宋体"/>
                      <w:sz w:val="24"/>
                    </w:rPr>
                    <w:t>1次/月</w:t>
                  </w:r>
                </w:p>
                <w:p w14:paraId="2D0A892C">
                  <w:pPr>
                    <w:pStyle w:val="4"/>
                    <w:jc w:val="left"/>
                  </w:pPr>
                </w:p>
              </w:tc>
              <w:tc>
                <w:tcPr>
                  <w:tcW w:w="367"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2AA3FF2">
                  <w:pPr>
                    <w:pStyle w:val="4"/>
                    <w:jc w:val="center"/>
                  </w:pPr>
                  <w:r>
                    <w:rPr>
                      <w:rFonts w:ascii="宋体" w:hAnsi="宋体" w:eastAsia="宋体" w:cs="宋体"/>
                      <w:sz w:val="24"/>
                    </w:rPr>
                    <w:t>2021年8月</w:t>
                  </w:r>
                </w:p>
                <w:p w14:paraId="31ED29E5">
                  <w:pPr>
                    <w:pStyle w:val="4"/>
                    <w:jc w:val="left"/>
                  </w:pPr>
                </w:p>
              </w:tc>
              <w:tc>
                <w:tcPr>
                  <w:tcW w:w="349"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FFDD40D"/>
              </w:tc>
            </w:tr>
            <w:tr w14:paraId="58B2E53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75" w:type="dxa"/>
                  <w:vMerge w:val="continue"/>
                  <w:tcBorders>
                    <w:top w:val="nil"/>
                    <w:left w:val="single" w:color="000000" w:sz="4" w:space="0"/>
                    <w:bottom w:val="single" w:color="000000" w:sz="4" w:space="0"/>
                    <w:right w:val="single" w:color="000000" w:sz="4" w:space="0"/>
                  </w:tcBorders>
                </w:tcPr>
                <w:p w14:paraId="4ACBE039"/>
              </w:tc>
              <w:tc>
                <w:tcPr>
                  <w:tcW w:w="355" w:type="dxa"/>
                  <w:vMerge w:val="continue"/>
                  <w:tcBorders>
                    <w:top w:val="nil"/>
                    <w:left w:val="single" w:color="000000" w:sz="4" w:space="0"/>
                    <w:bottom w:val="single" w:color="000000" w:sz="4" w:space="0"/>
                    <w:right w:val="single" w:color="000000" w:sz="4" w:space="0"/>
                  </w:tcBorders>
                </w:tcPr>
                <w:p w14:paraId="77C5E836"/>
              </w:tc>
              <w:tc>
                <w:tcPr>
                  <w:tcW w:w="5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A8E4C84">
                  <w:pPr>
                    <w:pStyle w:val="4"/>
                    <w:jc w:val="center"/>
                  </w:pPr>
                  <w:r>
                    <w:rPr>
                      <w:rFonts w:ascii="宋体" w:hAnsi="宋体" w:eastAsia="宋体" w:cs="宋体"/>
                      <w:sz w:val="24"/>
                    </w:rPr>
                    <w:t>2-4#仓搅拌机</w:t>
                  </w:r>
                </w:p>
              </w:tc>
              <w:tc>
                <w:tcPr>
                  <w:tcW w:w="38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2313C2C">
                  <w:pPr>
                    <w:pStyle w:val="4"/>
                    <w:jc w:val="center"/>
                  </w:pPr>
                  <w:r>
                    <w:rPr>
                      <w:rFonts w:ascii="宋体" w:hAnsi="宋体" w:eastAsia="宋体" w:cs="宋体"/>
                      <w:sz w:val="24"/>
                    </w:rPr>
                    <w:t>1.5</w:t>
                  </w:r>
                </w:p>
              </w:tc>
              <w:tc>
                <w:tcPr>
                  <w:tcW w:w="17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BB6DBEB">
                  <w:pPr>
                    <w:pStyle w:val="4"/>
                    <w:jc w:val="center"/>
                  </w:pPr>
                  <w:r>
                    <w:rPr>
                      <w:rFonts w:ascii="宋体" w:hAnsi="宋体" w:eastAsia="宋体" w:cs="宋体"/>
                      <w:sz w:val="24"/>
                    </w:rPr>
                    <w:t>3</w:t>
                  </w:r>
                </w:p>
              </w:tc>
              <w:tc>
                <w:tcPr>
                  <w:tcW w:w="247" w:type="dxa"/>
                  <w:vMerge w:val="continue"/>
                  <w:tcBorders>
                    <w:top w:val="nil"/>
                    <w:left w:val="single" w:color="000000" w:sz="4" w:space="0"/>
                    <w:bottom w:val="single" w:color="000000" w:sz="4" w:space="0"/>
                    <w:right w:val="single" w:color="000000" w:sz="4" w:space="0"/>
                  </w:tcBorders>
                </w:tcPr>
                <w:p w14:paraId="03CC20AC"/>
              </w:tc>
              <w:tc>
                <w:tcPr>
                  <w:tcW w:w="367" w:type="dxa"/>
                  <w:vMerge w:val="continue"/>
                  <w:tcBorders>
                    <w:top w:val="nil"/>
                    <w:left w:val="single" w:color="000000" w:sz="4" w:space="0"/>
                    <w:bottom w:val="single" w:color="000000" w:sz="4" w:space="0"/>
                    <w:right w:val="single" w:color="000000" w:sz="4" w:space="0"/>
                  </w:tcBorders>
                </w:tcPr>
                <w:p w14:paraId="745A5BE7"/>
              </w:tc>
              <w:tc>
                <w:tcPr>
                  <w:tcW w:w="349" w:type="dxa"/>
                  <w:vMerge w:val="continue"/>
                  <w:tcBorders>
                    <w:top w:val="nil"/>
                    <w:left w:val="single" w:color="000000" w:sz="4" w:space="0"/>
                    <w:bottom w:val="single" w:color="000000" w:sz="4" w:space="0"/>
                    <w:right w:val="single" w:color="000000" w:sz="4" w:space="0"/>
                  </w:tcBorders>
                </w:tcPr>
                <w:p w14:paraId="7EA05712"/>
              </w:tc>
            </w:tr>
            <w:tr w14:paraId="339A2F8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75" w:type="dxa"/>
                  <w:vMerge w:val="continue"/>
                  <w:tcBorders>
                    <w:top w:val="nil"/>
                    <w:left w:val="single" w:color="000000" w:sz="4" w:space="0"/>
                    <w:bottom w:val="single" w:color="000000" w:sz="4" w:space="0"/>
                    <w:right w:val="single" w:color="000000" w:sz="4" w:space="0"/>
                  </w:tcBorders>
                </w:tcPr>
                <w:p w14:paraId="2C052EC4"/>
              </w:tc>
              <w:tc>
                <w:tcPr>
                  <w:tcW w:w="355" w:type="dxa"/>
                  <w:vMerge w:val="continue"/>
                  <w:tcBorders>
                    <w:top w:val="nil"/>
                    <w:left w:val="single" w:color="000000" w:sz="4" w:space="0"/>
                    <w:bottom w:val="single" w:color="000000" w:sz="4" w:space="0"/>
                    <w:right w:val="single" w:color="000000" w:sz="4" w:space="0"/>
                  </w:tcBorders>
                </w:tcPr>
                <w:p w14:paraId="33962250"/>
              </w:tc>
              <w:tc>
                <w:tcPr>
                  <w:tcW w:w="5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A23FFAA">
                  <w:pPr>
                    <w:pStyle w:val="4"/>
                    <w:jc w:val="center"/>
                  </w:pPr>
                  <w:r>
                    <w:rPr>
                      <w:rFonts w:ascii="宋体" w:hAnsi="宋体" w:eastAsia="宋体" w:cs="宋体"/>
                      <w:sz w:val="24"/>
                    </w:rPr>
                    <w:t>刮渣机</w:t>
                  </w:r>
                </w:p>
              </w:tc>
              <w:tc>
                <w:tcPr>
                  <w:tcW w:w="38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67A4F0F">
                  <w:pPr>
                    <w:pStyle w:val="4"/>
                    <w:jc w:val="center"/>
                  </w:pPr>
                  <w:r>
                    <w:rPr>
                      <w:rFonts w:ascii="宋体" w:hAnsi="宋体" w:eastAsia="宋体" w:cs="宋体"/>
                      <w:sz w:val="24"/>
                    </w:rPr>
                    <w:t>0.55</w:t>
                  </w:r>
                </w:p>
              </w:tc>
              <w:tc>
                <w:tcPr>
                  <w:tcW w:w="17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8BF6799">
                  <w:pPr>
                    <w:pStyle w:val="4"/>
                    <w:jc w:val="center"/>
                  </w:pPr>
                  <w:r>
                    <w:rPr>
                      <w:rFonts w:ascii="宋体" w:hAnsi="宋体" w:eastAsia="宋体" w:cs="宋体"/>
                      <w:sz w:val="24"/>
                    </w:rPr>
                    <w:t>4</w:t>
                  </w:r>
                </w:p>
              </w:tc>
              <w:tc>
                <w:tcPr>
                  <w:tcW w:w="247" w:type="dxa"/>
                  <w:vMerge w:val="continue"/>
                  <w:tcBorders>
                    <w:top w:val="nil"/>
                    <w:left w:val="single" w:color="000000" w:sz="4" w:space="0"/>
                    <w:bottom w:val="single" w:color="000000" w:sz="4" w:space="0"/>
                    <w:right w:val="single" w:color="000000" w:sz="4" w:space="0"/>
                  </w:tcBorders>
                </w:tcPr>
                <w:p w14:paraId="55307500"/>
              </w:tc>
              <w:tc>
                <w:tcPr>
                  <w:tcW w:w="367" w:type="dxa"/>
                  <w:vMerge w:val="continue"/>
                  <w:tcBorders>
                    <w:top w:val="nil"/>
                    <w:left w:val="single" w:color="000000" w:sz="4" w:space="0"/>
                    <w:bottom w:val="single" w:color="000000" w:sz="4" w:space="0"/>
                    <w:right w:val="single" w:color="000000" w:sz="4" w:space="0"/>
                  </w:tcBorders>
                </w:tcPr>
                <w:p w14:paraId="2C346EAC"/>
              </w:tc>
              <w:tc>
                <w:tcPr>
                  <w:tcW w:w="349" w:type="dxa"/>
                  <w:vMerge w:val="continue"/>
                  <w:tcBorders>
                    <w:top w:val="nil"/>
                    <w:left w:val="single" w:color="000000" w:sz="4" w:space="0"/>
                    <w:bottom w:val="single" w:color="000000" w:sz="4" w:space="0"/>
                    <w:right w:val="single" w:color="000000" w:sz="4" w:space="0"/>
                  </w:tcBorders>
                </w:tcPr>
                <w:p w14:paraId="7F10F280"/>
              </w:tc>
            </w:tr>
            <w:tr w14:paraId="758379F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75" w:type="dxa"/>
                  <w:vMerge w:val="continue"/>
                  <w:tcBorders>
                    <w:top w:val="nil"/>
                    <w:left w:val="single" w:color="000000" w:sz="4" w:space="0"/>
                    <w:bottom w:val="single" w:color="000000" w:sz="4" w:space="0"/>
                    <w:right w:val="single" w:color="000000" w:sz="4" w:space="0"/>
                  </w:tcBorders>
                </w:tcPr>
                <w:p w14:paraId="783545A5"/>
              </w:tc>
              <w:tc>
                <w:tcPr>
                  <w:tcW w:w="355" w:type="dxa"/>
                  <w:vMerge w:val="continue"/>
                  <w:tcBorders>
                    <w:top w:val="nil"/>
                    <w:left w:val="single" w:color="000000" w:sz="4" w:space="0"/>
                    <w:bottom w:val="single" w:color="000000" w:sz="4" w:space="0"/>
                    <w:right w:val="single" w:color="000000" w:sz="4" w:space="0"/>
                  </w:tcBorders>
                </w:tcPr>
                <w:p w14:paraId="2DC9D9B2"/>
              </w:tc>
              <w:tc>
                <w:tcPr>
                  <w:tcW w:w="5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8C57936">
                  <w:pPr>
                    <w:pStyle w:val="4"/>
                    <w:jc w:val="center"/>
                  </w:pPr>
                  <w:r>
                    <w:rPr>
                      <w:rFonts w:ascii="宋体" w:hAnsi="宋体" w:eastAsia="宋体" w:cs="宋体"/>
                      <w:sz w:val="24"/>
                    </w:rPr>
                    <w:t>回流泵</w:t>
                  </w:r>
                </w:p>
              </w:tc>
              <w:tc>
                <w:tcPr>
                  <w:tcW w:w="38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6AB8B0D">
                  <w:pPr>
                    <w:pStyle w:val="4"/>
                    <w:jc w:val="center"/>
                  </w:pPr>
                  <w:r>
                    <w:rPr>
                      <w:rFonts w:ascii="宋体" w:hAnsi="宋体" w:eastAsia="宋体" w:cs="宋体"/>
                      <w:sz w:val="24"/>
                    </w:rPr>
                    <w:t>15</w:t>
                  </w:r>
                </w:p>
              </w:tc>
              <w:tc>
                <w:tcPr>
                  <w:tcW w:w="17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4BC3C34">
                  <w:pPr>
                    <w:pStyle w:val="4"/>
                    <w:jc w:val="center"/>
                  </w:pPr>
                  <w:r>
                    <w:rPr>
                      <w:rFonts w:ascii="宋体" w:hAnsi="宋体" w:eastAsia="宋体" w:cs="宋体"/>
                      <w:sz w:val="24"/>
                    </w:rPr>
                    <w:t>2</w:t>
                  </w:r>
                </w:p>
              </w:tc>
              <w:tc>
                <w:tcPr>
                  <w:tcW w:w="247" w:type="dxa"/>
                  <w:vMerge w:val="continue"/>
                  <w:tcBorders>
                    <w:top w:val="nil"/>
                    <w:left w:val="single" w:color="000000" w:sz="4" w:space="0"/>
                    <w:bottom w:val="single" w:color="000000" w:sz="4" w:space="0"/>
                    <w:right w:val="single" w:color="000000" w:sz="4" w:space="0"/>
                  </w:tcBorders>
                </w:tcPr>
                <w:p w14:paraId="227161F5"/>
              </w:tc>
              <w:tc>
                <w:tcPr>
                  <w:tcW w:w="367" w:type="dxa"/>
                  <w:vMerge w:val="continue"/>
                  <w:tcBorders>
                    <w:top w:val="nil"/>
                    <w:left w:val="single" w:color="000000" w:sz="4" w:space="0"/>
                    <w:bottom w:val="single" w:color="000000" w:sz="4" w:space="0"/>
                    <w:right w:val="single" w:color="000000" w:sz="4" w:space="0"/>
                  </w:tcBorders>
                </w:tcPr>
                <w:p w14:paraId="6266757E"/>
              </w:tc>
              <w:tc>
                <w:tcPr>
                  <w:tcW w:w="349" w:type="dxa"/>
                  <w:vMerge w:val="continue"/>
                  <w:tcBorders>
                    <w:top w:val="nil"/>
                    <w:left w:val="single" w:color="000000" w:sz="4" w:space="0"/>
                    <w:bottom w:val="single" w:color="000000" w:sz="4" w:space="0"/>
                    <w:right w:val="single" w:color="000000" w:sz="4" w:space="0"/>
                  </w:tcBorders>
                </w:tcPr>
                <w:p w14:paraId="15382BC1"/>
              </w:tc>
            </w:tr>
            <w:tr w14:paraId="1212D79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175"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1A13906">
                  <w:pPr>
                    <w:pStyle w:val="4"/>
                    <w:jc w:val="center"/>
                  </w:pPr>
                  <w:r>
                    <w:rPr>
                      <w:rFonts w:ascii="宋体" w:hAnsi="宋体" w:eastAsia="宋体" w:cs="宋体"/>
                      <w:sz w:val="24"/>
                    </w:rPr>
                    <w:t>2</w:t>
                  </w:r>
                </w:p>
              </w:tc>
              <w:tc>
                <w:tcPr>
                  <w:tcW w:w="355"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BD988A6">
                  <w:pPr>
                    <w:pStyle w:val="4"/>
                    <w:jc w:val="center"/>
                  </w:pPr>
                  <w:r>
                    <w:rPr>
                      <w:rFonts w:ascii="宋体" w:hAnsi="宋体" w:eastAsia="宋体" w:cs="宋体"/>
                      <w:sz w:val="24"/>
                    </w:rPr>
                    <w:t>中间水池（含树脂部分）</w:t>
                  </w:r>
                </w:p>
              </w:tc>
              <w:tc>
                <w:tcPr>
                  <w:tcW w:w="5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DA42693">
                  <w:pPr>
                    <w:pStyle w:val="4"/>
                    <w:jc w:val="center"/>
                  </w:pPr>
                  <w:r>
                    <w:rPr>
                      <w:rFonts w:ascii="宋体" w:hAnsi="宋体" w:eastAsia="宋体" w:cs="宋体"/>
                      <w:sz w:val="24"/>
                    </w:rPr>
                    <w:t>提升泵（大）</w:t>
                  </w:r>
                </w:p>
              </w:tc>
              <w:tc>
                <w:tcPr>
                  <w:tcW w:w="38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BE185F7">
                  <w:pPr>
                    <w:pStyle w:val="4"/>
                    <w:jc w:val="center"/>
                  </w:pPr>
                  <w:r>
                    <w:rPr>
                      <w:rFonts w:ascii="宋体" w:hAnsi="宋体" w:eastAsia="宋体" w:cs="宋体"/>
                      <w:sz w:val="24"/>
                    </w:rPr>
                    <w:t>90</w:t>
                  </w:r>
                </w:p>
              </w:tc>
              <w:tc>
                <w:tcPr>
                  <w:tcW w:w="17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A9F720E">
                  <w:pPr>
                    <w:pStyle w:val="4"/>
                    <w:jc w:val="center"/>
                  </w:pPr>
                  <w:r>
                    <w:rPr>
                      <w:rFonts w:ascii="宋体" w:hAnsi="宋体" w:eastAsia="宋体" w:cs="宋体"/>
                      <w:sz w:val="24"/>
                    </w:rPr>
                    <w:t>3</w:t>
                  </w:r>
                </w:p>
              </w:tc>
              <w:tc>
                <w:tcPr>
                  <w:tcW w:w="247"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F26A663">
                  <w:pPr>
                    <w:pStyle w:val="4"/>
                    <w:jc w:val="center"/>
                  </w:pPr>
                  <w:r>
                    <w:rPr>
                      <w:rFonts w:ascii="宋体" w:hAnsi="宋体" w:eastAsia="宋体" w:cs="宋体"/>
                      <w:sz w:val="24"/>
                    </w:rPr>
                    <w:t>1次/月</w:t>
                  </w:r>
                </w:p>
              </w:tc>
              <w:tc>
                <w:tcPr>
                  <w:tcW w:w="367"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9129DE8">
                  <w:pPr>
                    <w:pStyle w:val="4"/>
                    <w:jc w:val="center"/>
                  </w:pPr>
                  <w:r>
                    <w:rPr>
                      <w:rFonts w:ascii="宋体" w:hAnsi="宋体" w:eastAsia="宋体" w:cs="宋体"/>
                      <w:sz w:val="24"/>
                    </w:rPr>
                    <w:t>2021年8月</w:t>
                  </w:r>
                </w:p>
              </w:tc>
              <w:tc>
                <w:tcPr>
                  <w:tcW w:w="349"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FD02E6B">
                  <w:pPr>
                    <w:pStyle w:val="4"/>
                    <w:jc w:val="left"/>
                  </w:pPr>
                </w:p>
              </w:tc>
            </w:tr>
            <w:tr w14:paraId="286BE33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75" w:type="dxa"/>
                  <w:vMerge w:val="continue"/>
                  <w:tcBorders>
                    <w:top w:val="nil"/>
                    <w:left w:val="single" w:color="000000" w:sz="4" w:space="0"/>
                    <w:bottom w:val="single" w:color="000000" w:sz="4" w:space="0"/>
                    <w:right w:val="single" w:color="000000" w:sz="4" w:space="0"/>
                  </w:tcBorders>
                </w:tcPr>
                <w:p w14:paraId="7BB2BBEE"/>
              </w:tc>
              <w:tc>
                <w:tcPr>
                  <w:tcW w:w="355" w:type="dxa"/>
                  <w:vMerge w:val="continue"/>
                  <w:tcBorders>
                    <w:top w:val="nil"/>
                    <w:left w:val="single" w:color="000000" w:sz="4" w:space="0"/>
                    <w:bottom w:val="single" w:color="000000" w:sz="4" w:space="0"/>
                    <w:right w:val="single" w:color="000000" w:sz="4" w:space="0"/>
                  </w:tcBorders>
                </w:tcPr>
                <w:p w14:paraId="5D312D6C"/>
              </w:tc>
              <w:tc>
                <w:tcPr>
                  <w:tcW w:w="5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55437D6">
                  <w:pPr>
                    <w:pStyle w:val="4"/>
                    <w:jc w:val="center"/>
                  </w:pPr>
                  <w:r>
                    <w:rPr>
                      <w:rFonts w:ascii="宋体" w:hAnsi="宋体" w:eastAsia="宋体" w:cs="宋体"/>
                      <w:sz w:val="24"/>
                    </w:rPr>
                    <w:t>提升泵（小）</w:t>
                  </w:r>
                </w:p>
              </w:tc>
              <w:tc>
                <w:tcPr>
                  <w:tcW w:w="38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B49B6A7">
                  <w:pPr>
                    <w:pStyle w:val="4"/>
                    <w:jc w:val="center"/>
                  </w:pPr>
                  <w:r>
                    <w:rPr>
                      <w:rFonts w:ascii="宋体" w:hAnsi="宋体" w:eastAsia="宋体" w:cs="宋体"/>
                      <w:sz w:val="24"/>
                    </w:rPr>
                    <w:t>55</w:t>
                  </w:r>
                </w:p>
              </w:tc>
              <w:tc>
                <w:tcPr>
                  <w:tcW w:w="17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D923165">
                  <w:pPr>
                    <w:pStyle w:val="4"/>
                    <w:jc w:val="center"/>
                  </w:pPr>
                  <w:r>
                    <w:rPr>
                      <w:rFonts w:ascii="宋体" w:hAnsi="宋体" w:eastAsia="宋体" w:cs="宋体"/>
                      <w:sz w:val="24"/>
                    </w:rPr>
                    <w:t>1</w:t>
                  </w:r>
                </w:p>
              </w:tc>
              <w:tc>
                <w:tcPr>
                  <w:tcW w:w="247" w:type="dxa"/>
                  <w:vMerge w:val="continue"/>
                  <w:tcBorders>
                    <w:top w:val="nil"/>
                    <w:left w:val="single" w:color="000000" w:sz="4" w:space="0"/>
                    <w:bottom w:val="single" w:color="000000" w:sz="4" w:space="0"/>
                    <w:right w:val="single" w:color="000000" w:sz="4" w:space="0"/>
                  </w:tcBorders>
                </w:tcPr>
                <w:p w14:paraId="71C270FB"/>
              </w:tc>
              <w:tc>
                <w:tcPr>
                  <w:tcW w:w="367" w:type="dxa"/>
                  <w:vMerge w:val="continue"/>
                  <w:tcBorders>
                    <w:top w:val="nil"/>
                    <w:left w:val="single" w:color="000000" w:sz="4" w:space="0"/>
                    <w:bottom w:val="single" w:color="000000" w:sz="4" w:space="0"/>
                    <w:right w:val="single" w:color="000000" w:sz="4" w:space="0"/>
                  </w:tcBorders>
                </w:tcPr>
                <w:p w14:paraId="0F30C382"/>
              </w:tc>
              <w:tc>
                <w:tcPr>
                  <w:tcW w:w="349" w:type="dxa"/>
                  <w:vMerge w:val="continue"/>
                  <w:tcBorders>
                    <w:top w:val="nil"/>
                    <w:left w:val="single" w:color="000000" w:sz="4" w:space="0"/>
                    <w:bottom w:val="single" w:color="000000" w:sz="4" w:space="0"/>
                    <w:right w:val="single" w:color="000000" w:sz="4" w:space="0"/>
                  </w:tcBorders>
                </w:tcPr>
                <w:p w14:paraId="3936345B"/>
              </w:tc>
            </w:tr>
            <w:tr w14:paraId="35D719E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75" w:type="dxa"/>
                  <w:vMerge w:val="continue"/>
                  <w:tcBorders>
                    <w:top w:val="nil"/>
                    <w:left w:val="single" w:color="000000" w:sz="4" w:space="0"/>
                    <w:bottom w:val="single" w:color="000000" w:sz="4" w:space="0"/>
                    <w:right w:val="single" w:color="000000" w:sz="4" w:space="0"/>
                  </w:tcBorders>
                </w:tcPr>
                <w:p w14:paraId="2CFCD724"/>
              </w:tc>
              <w:tc>
                <w:tcPr>
                  <w:tcW w:w="355" w:type="dxa"/>
                  <w:vMerge w:val="continue"/>
                  <w:tcBorders>
                    <w:top w:val="nil"/>
                    <w:left w:val="single" w:color="000000" w:sz="4" w:space="0"/>
                    <w:bottom w:val="single" w:color="000000" w:sz="4" w:space="0"/>
                    <w:right w:val="single" w:color="000000" w:sz="4" w:space="0"/>
                  </w:tcBorders>
                </w:tcPr>
                <w:p w14:paraId="50786508"/>
              </w:tc>
              <w:tc>
                <w:tcPr>
                  <w:tcW w:w="5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226601A">
                  <w:pPr>
                    <w:pStyle w:val="4"/>
                    <w:jc w:val="center"/>
                  </w:pPr>
                  <w:r>
                    <w:rPr>
                      <w:rFonts w:ascii="宋体" w:hAnsi="宋体" w:eastAsia="宋体" w:cs="宋体"/>
                      <w:sz w:val="24"/>
                    </w:rPr>
                    <w:t>树脂碱洗泵</w:t>
                  </w:r>
                </w:p>
              </w:tc>
              <w:tc>
                <w:tcPr>
                  <w:tcW w:w="38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7E5529B">
                  <w:pPr>
                    <w:pStyle w:val="4"/>
                    <w:jc w:val="center"/>
                  </w:pPr>
                  <w:r>
                    <w:rPr>
                      <w:rFonts w:ascii="宋体" w:hAnsi="宋体" w:eastAsia="宋体" w:cs="宋体"/>
                      <w:sz w:val="24"/>
                    </w:rPr>
                    <w:t>0.37</w:t>
                  </w:r>
                </w:p>
              </w:tc>
              <w:tc>
                <w:tcPr>
                  <w:tcW w:w="17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F72D1E2">
                  <w:pPr>
                    <w:pStyle w:val="4"/>
                    <w:jc w:val="center"/>
                  </w:pPr>
                  <w:r>
                    <w:rPr>
                      <w:rFonts w:ascii="宋体" w:hAnsi="宋体" w:eastAsia="宋体" w:cs="宋体"/>
                      <w:sz w:val="24"/>
                    </w:rPr>
                    <w:t>2</w:t>
                  </w:r>
                </w:p>
              </w:tc>
              <w:tc>
                <w:tcPr>
                  <w:tcW w:w="247" w:type="dxa"/>
                  <w:vMerge w:val="continue"/>
                  <w:tcBorders>
                    <w:top w:val="nil"/>
                    <w:left w:val="single" w:color="000000" w:sz="4" w:space="0"/>
                    <w:bottom w:val="single" w:color="000000" w:sz="4" w:space="0"/>
                    <w:right w:val="single" w:color="000000" w:sz="4" w:space="0"/>
                  </w:tcBorders>
                </w:tcPr>
                <w:p w14:paraId="5C08EE88"/>
              </w:tc>
              <w:tc>
                <w:tcPr>
                  <w:tcW w:w="367" w:type="dxa"/>
                  <w:vMerge w:val="continue"/>
                  <w:tcBorders>
                    <w:top w:val="nil"/>
                    <w:left w:val="single" w:color="000000" w:sz="4" w:space="0"/>
                    <w:bottom w:val="single" w:color="000000" w:sz="4" w:space="0"/>
                    <w:right w:val="single" w:color="000000" w:sz="4" w:space="0"/>
                  </w:tcBorders>
                </w:tcPr>
                <w:p w14:paraId="78F780FB"/>
              </w:tc>
              <w:tc>
                <w:tcPr>
                  <w:tcW w:w="349" w:type="dxa"/>
                  <w:vMerge w:val="continue"/>
                  <w:tcBorders>
                    <w:top w:val="nil"/>
                    <w:left w:val="single" w:color="000000" w:sz="4" w:space="0"/>
                    <w:bottom w:val="single" w:color="000000" w:sz="4" w:space="0"/>
                    <w:right w:val="single" w:color="000000" w:sz="4" w:space="0"/>
                  </w:tcBorders>
                </w:tcPr>
                <w:p w14:paraId="6237739B"/>
              </w:tc>
            </w:tr>
            <w:tr w14:paraId="27D5E07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75" w:type="dxa"/>
                  <w:vMerge w:val="continue"/>
                  <w:tcBorders>
                    <w:top w:val="nil"/>
                    <w:left w:val="single" w:color="000000" w:sz="4" w:space="0"/>
                    <w:bottom w:val="single" w:color="000000" w:sz="4" w:space="0"/>
                    <w:right w:val="single" w:color="000000" w:sz="4" w:space="0"/>
                  </w:tcBorders>
                </w:tcPr>
                <w:p w14:paraId="36451360"/>
              </w:tc>
              <w:tc>
                <w:tcPr>
                  <w:tcW w:w="355" w:type="dxa"/>
                  <w:vMerge w:val="continue"/>
                  <w:tcBorders>
                    <w:top w:val="nil"/>
                    <w:left w:val="single" w:color="000000" w:sz="4" w:space="0"/>
                    <w:bottom w:val="single" w:color="000000" w:sz="4" w:space="0"/>
                    <w:right w:val="single" w:color="000000" w:sz="4" w:space="0"/>
                  </w:tcBorders>
                </w:tcPr>
                <w:p w14:paraId="00355B8E"/>
              </w:tc>
              <w:tc>
                <w:tcPr>
                  <w:tcW w:w="5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3266686">
                  <w:pPr>
                    <w:pStyle w:val="4"/>
                    <w:jc w:val="center"/>
                  </w:pPr>
                  <w:r>
                    <w:rPr>
                      <w:rFonts w:ascii="宋体" w:hAnsi="宋体" w:eastAsia="宋体" w:cs="宋体"/>
                      <w:sz w:val="24"/>
                    </w:rPr>
                    <w:t>树脂水洗泵</w:t>
                  </w:r>
                </w:p>
              </w:tc>
              <w:tc>
                <w:tcPr>
                  <w:tcW w:w="38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3BF1340">
                  <w:pPr>
                    <w:pStyle w:val="4"/>
                    <w:jc w:val="center"/>
                  </w:pPr>
                  <w:r>
                    <w:rPr>
                      <w:rFonts w:ascii="宋体" w:hAnsi="宋体" w:eastAsia="宋体" w:cs="宋体"/>
                      <w:sz w:val="24"/>
                    </w:rPr>
                    <w:t>1.5</w:t>
                  </w:r>
                </w:p>
              </w:tc>
              <w:tc>
                <w:tcPr>
                  <w:tcW w:w="17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0EB9278">
                  <w:pPr>
                    <w:pStyle w:val="4"/>
                    <w:jc w:val="center"/>
                  </w:pPr>
                  <w:r>
                    <w:rPr>
                      <w:rFonts w:ascii="宋体" w:hAnsi="宋体" w:eastAsia="宋体" w:cs="宋体"/>
                      <w:sz w:val="24"/>
                    </w:rPr>
                    <w:t>2</w:t>
                  </w:r>
                </w:p>
              </w:tc>
              <w:tc>
                <w:tcPr>
                  <w:tcW w:w="247" w:type="dxa"/>
                  <w:vMerge w:val="continue"/>
                  <w:tcBorders>
                    <w:top w:val="nil"/>
                    <w:left w:val="single" w:color="000000" w:sz="4" w:space="0"/>
                    <w:bottom w:val="single" w:color="000000" w:sz="4" w:space="0"/>
                    <w:right w:val="single" w:color="000000" w:sz="4" w:space="0"/>
                  </w:tcBorders>
                </w:tcPr>
                <w:p w14:paraId="591C889A"/>
              </w:tc>
              <w:tc>
                <w:tcPr>
                  <w:tcW w:w="367" w:type="dxa"/>
                  <w:vMerge w:val="continue"/>
                  <w:tcBorders>
                    <w:top w:val="nil"/>
                    <w:left w:val="single" w:color="000000" w:sz="4" w:space="0"/>
                    <w:bottom w:val="single" w:color="000000" w:sz="4" w:space="0"/>
                    <w:right w:val="single" w:color="000000" w:sz="4" w:space="0"/>
                  </w:tcBorders>
                </w:tcPr>
                <w:p w14:paraId="31147340"/>
              </w:tc>
              <w:tc>
                <w:tcPr>
                  <w:tcW w:w="349" w:type="dxa"/>
                  <w:vMerge w:val="continue"/>
                  <w:tcBorders>
                    <w:top w:val="nil"/>
                    <w:left w:val="single" w:color="000000" w:sz="4" w:space="0"/>
                    <w:bottom w:val="single" w:color="000000" w:sz="4" w:space="0"/>
                    <w:right w:val="single" w:color="000000" w:sz="4" w:space="0"/>
                  </w:tcBorders>
                </w:tcPr>
                <w:p w14:paraId="1BFEE296"/>
              </w:tc>
            </w:tr>
            <w:tr w14:paraId="352051F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75" w:type="dxa"/>
                  <w:vMerge w:val="continue"/>
                  <w:tcBorders>
                    <w:top w:val="nil"/>
                    <w:left w:val="single" w:color="000000" w:sz="4" w:space="0"/>
                    <w:bottom w:val="single" w:color="000000" w:sz="4" w:space="0"/>
                    <w:right w:val="single" w:color="000000" w:sz="4" w:space="0"/>
                  </w:tcBorders>
                </w:tcPr>
                <w:p w14:paraId="35042E09"/>
              </w:tc>
              <w:tc>
                <w:tcPr>
                  <w:tcW w:w="355" w:type="dxa"/>
                  <w:vMerge w:val="continue"/>
                  <w:tcBorders>
                    <w:top w:val="nil"/>
                    <w:left w:val="single" w:color="000000" w:sz="4" w:space="0"/>
                    <w:bottom w:val="single" w:color="000000" w:sz="4" w:space="0"/>
                    <w:right w:val="single" w:color="000000" w:sz="4" w:space="0"/>
                  </w:tcBorders>
                </w:tcPr>
                <w:p w14:paraId="28006F31"/>
              </w:tc>
              <w:tc>
                <w:tcPr>
                  <w:tcW w:w="5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CAD6E8E">
                  <w:pPr>
                    <w:pStyle w:val="4"/>
                    <w:jc w:val="center"/>
                  </w:pPr>
                  <w:r>
                    <w:rPr>
                      <w:rFonts w:ascii="宋体" w:hAnsi="宋体" w:eastAsia="宋体" w:cs="宋体"/>
                      <w:sz w:val="24"/>
                    </w:rPr>
                    <w:t>硫酸铝卸药泵</w:t>
                  </w:r>
                </w:p>
              </w:tc>
              <w:tc>
                <w:tcPr>
                  <w:tcW w:w="38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E53C422">
                  <w:pPr>
                    <w:pStyle w:val="4"/>
                    <w:jc w:val="center"/>
                  </w:pPr>
                  <w:r>
                    <w:rPr>
                      <w:rFonts w:ascii="宋体" w:hAnsi="宋体" w:eastAsia="宋体" w:cs="宋体"/>
                      <w:sz w:val="24"/>
                    </w:rPr>
                    <w:t>3.7</w:t>
                  </w:r>
                </w:p>
              </w:tc>
              <w:tc>
                <w:tcPr>
                  <w:tcW w:w="17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00A5D3F">
                  <w:pPr>
                    <w:pStyle w:val="4"/>
                    <w:jc w:val="center"/>
                  </w:pPr>
                  <w:r>
                    <w:rPr>
                      <w:rFonts w:ascii="宋体" w:hAnsi="宋体" w:eastAsia="宋体" w:cs="宋体"/>
                      <w:sz w:val="24"/>
                    </w:rPr>
                    <w:t>1</w:t>
                  </w:r>
                </w:p>
              </w:tc>
              <w:tc>
                <w:tcPr>
                  <w:tcW w:w="247" w:type="dxa"/>
                  <w:vMerge w:val="continue"/>
                  <w:tcBorders>
                    <w:top w:val="nil"/>
                    <w:left w:val="single" w:color="000000" w:sz="4" w:space="0"/>
                    <w:bottom w:val="single" w:color="000000" w:sz="4" w:space="0"/>
                    <w:right w:val="single" w:color="000000" w:sz="4" w:space="0"/>
                  </w:tcBorders>
                </w:tcPr>
                <w:p w14:paraId="1E66AA91"/>
              </w:tc>
              <w:tc>
                <w:tcPr>
                  <w:tcW w:w="367" w:type="dxa"/>
                  <w:vMerge w:val="continue"/>
                  <w:tcBorders>
                    <w:top w:val="nil"/>
                    <w:left w:val="single" w:color="000000" w:sz="4" w:space="0"/>
                    <w:bottom w:val="single" w:color="000000" w:sz="4" w:space="0"/>
                    <w:right w:val="single" w:color="000000" w:sz="4" w:space="0"/>
                  </w:tcBorders>
                </w:tcPr>
                <w:p w14:paraId="299D08A2"/>
              </w:tc>
              <w:tc>
                <w:tcPr>
                  <w:tcW w:w="349" w:type="dxa"/>
                  <w:vMerge w:val="continue"/>
                  <w:tcBorders>
                    <w:top w:val="nil"/>
                    <w:left w:val="single" w:color="000000" w:sz="4" w:space="0"/>
                    <w:bottom w:val="single" w:color="000000" w:sz="4" w:space="0"/>
                    <w:right w:val="single" w:color="000000" w:sz="4" w:space="0"/>
                  </w:tcBorders>
                </w:tcPr>
                <w:p w14:paraId="70CD15A9"/>
              </w:tc>
            </w:tr>
            <w:tr w14:paraId="783AD53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75" w:type="dxa"/>
                  <w:vMerge w:val="continue"/>
                  <w:tcBorders>
                    <w:top w:val="nil"/>
                    <w:left w:val="single" w:color="000000" w:sz="4" w:space="0"/>
                    <w:bottom w:val="single" w:color="000000" w:sz="4" w:space="0"/>
                    <w:right w:val="single" w:color="000000" w:sz="4" w:space="0"/>
                  </w:tcBorders>
                </w:tcPr>
                <w:p w14:paraId="6DCF05EC"/>
              </w:tc>
              <w:tc>
                <w:tcPr>
                  <w:tcW w:w="355" w:type="dxa"/>
                  <w:vMerge w:val="continue"/>
                  <w:tcBorders>
                    <w:top w:val="nil"/>
                    <w:left w:val="single" w:color="000000" w:sz="4" w:space="0"/>
                    <w:bottom w:val="single" w:color="000000" w:sz="4" w:space="0"/>
                    <w:right w:val="single" w:color="000000" w:sz="4" w:space="0"/>
                  </w:tcBorders>
                </w:tcPr>
                <w:p w14:paraId="23E93A54"/>
              </w:tc>
              <w:tc>
                <w:tcPr>
                  <w:tcW w:w="5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223028C">
                  <w:pPr>
                    <w:pStyle w:val="4"/>
                    <w:jc w:val="center"/>
                  </w:pPr>
                  <w:r>
                    <w:rPr>
                      <w:rFonts w:ascii="宋体" w:hAnsi="宋体" w:eastAsia="宋体" w:cs="宋体"/>
                      <w:sz w:val="24"/>
                    </w:rPr>
                    <w:t>液碱卸药泵</w:t>
                  </w:r>
                </w:p>
              </w:tc>
              <w:tc>
                <w:tcPr>
                  <w:tcW w:w="38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25B8663">
                  <w:pPr>
                    <w:pStyle w:val="4"/>
                    <w:jc w:val="center"/>
                  </w:pPr>
                  <w:r>
                    <w:rPr>
                      <w:rFonts w:ascii="宋体" w:hAnsi="宋体" w:eastAsia="宋体" w:cs="宋体"/>
                      <w:sz w:val="24"/>
                    </w:rPr>
                    <w:t>3.7</w:t>
                  </w:r>
                </w:p>
              </w:tc>
              <w:tc>
                <w:tcPr>
                  <w:tcW w:w="17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D22AB80">
                  <w:pPr>
                    <w:pStyle w:val="4"/>
                    <w:jc w:val="center"/>
                  </w:pPr>
                  <w:r>
                    <w:rPr>
                      <w:rFonts w:ascii="宋体" w:hAnsi="宋体" w:eastAsia="宋体" w:cs="宋体"/>
                      <w:sz w:val="24"/>
                    </w:rPr>
                    <w:t>1</w:t>
                  </w:r>
                </w:p>
              </w:tc>
              <w:tc>
                <w:tcPr>
                  <w:tcW w:w="247" w:type="dxa"/>
                  <w:vMerge w:val="continue"/>
                  <w:tcBorders>
                    <w:top w:val="nil"/>
                    <w:left w:val="single" w:color="000000" w:sz="4" w:space="0"/>
                    <w:bottom w:val="single" w:color="000000" w:sz="4" w:space="0"/>
                    <w:right w:val="single" w:color="000000" w:sz="4" w:space="0"/>
                  </w:tcBorders>
                </w:tcPr>
                <w:p w14:paraId="097B1CFE"/>
              </w:tc>
              <w:tc>
                <w:tcPr>
                  <w:tcW w:w="367" w:type="dxa"/>
                  <w:vMerge w:val="continue"/>
                  <w:tcBorders>
                    <w:top w:val="nil"/>
                    <w:left w:val="single" w:color="000000" w:sz="4" w:space="0"/>
                    <w:bottom w:val="single" w:color="000000" w:sz="4" w:space="0"/>
                    <w:right w:val="single" w:color="000000" w:sz="4" w:space="0"/>
                  </w:tcBorders>
                </w:tcPr>
                <w:p w14:paraId="735FB1AC"/>
              </w:tc>
              <w:tc>
                <w:tcPr>
                  <w:tcW w:w="349" w:type="dxa"/>
                  <w:vMerge w:val="continue"/>
                  <w:tcBorders>
                    <w:top w:val="nil"/>
                    <w:left w:val="single" w:color="000000" w:sz="4" w:space="0"/>
                    <w:bottom w:val="single" w:color="000000" w:sz="4" w:space="0"/>
                    <w:right w:val="single" w:color="000000" w:sz="4" w:space="0"/>
                  </w:tcBorders>
                </w:tcPr>
                <w:p w14:paraId="1C67BAF7"/>
              </w:tc>
            </w:tr>
            <w:tr w14:paraId="5F22F11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75" w:type="dxa"/>
                  <w:vMerge w:val="continue"/>
                  <w:tcBorders>
                    <w:top w:val="nil"/>
                    <w:left w:val="single" w:color="000000" w:sz="4" w:space="0"/>
                    <w:bottom w:val="single" w:color="000000" w:sz="4" w:space="0"/>
                    <w:right w:val="single" w:color="000000" w:sz="4" w:space="0"/>
                  </w:tcBorders>
                </w:tcPr>
                <w:p w14:paraId="59BAEED4"/>
              </w:tc>
              <w:tc>
                <w:tcPr>
                  <w:tcW w:w="355" w:type="dxa"/>
                  <w:vMerge w:val="continue"/>
                  <w:tcBorders>
                    <w:top w:val="nil"/>
                    <w:left w:val="single" w:color="000000" w:sz="4" w:space="0"/>
                    <w:bottom w:val="single" w:color="000000" w:sz="4" w:space="0"/>
                    <w:right w:val="single" w:color="000000" w:sz="4" w:space="0"/>
                  </w:tcBorders>
                </w:tcPr>
                <w:p w14:paraId="5868E184"/>
              </w:tc>
              <w:tc>
                <w:tcPr>
                  <w:tcW w:w="5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BEB51F0">
                  <w:pPr>
                    <w:pStyle w:val="4"/>
                    <w:jc w:val="center"/>
                  </w:pPr>
                  <w:r>
                    <w:rPr>
                      <w:rFonts w:ascii="宋体" w:hAnsi="宋体" w:eastAsia="宋体" w:cs="宋体"/>
                      <w:sz w:val="24"/>
                    </w:rPr>
                    <w:t>硫酸铝加药泵</w:t>
                  </w:r>
                </w:p>
              </w:tc>
              <w:tc>
                <w:tcPr>
                  <w:tcW w:w="38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C69AA05">
                  <w:pPr>
                    <w:pStyle w:val="4"/>
                    <w:jc w:val="center"/>
                  </w:pPr>
                  <w:r>
                    <w:rPr>
                      <w:rFonts w:ascii="宋体" w:hAnsi="宋体" w:eastAsia="宋体" w:cs="宋体"/>
                      <w:sz w:val="24"/>
                    </w:rPr>
                    <w:t>1.5</w:t>
                  </w:r>
                </w:p>
              </w:tc>
              <w:tc>
                <w:tcPr>
                  <w:tcW w:w="17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414D72F">
                  <w:pPr>
                    <w:pStyle w:val="4"/>
                    <w:jc w:val="center"/>
                  </w:pPr>
                  <w:r>
                    <w:rPr>
                      <w:rFonts w:ascii="宋体" w:hAnsi="宋体" w:eastAsia="宋体" w:cs="宋体"/>
                      <w:sz w:val="24"/>
                    </w:rPr>
                    <w:t>2</w:t>
                  </w:r>
                </w:p>
              </w:tc>
              <w:tc>
                <w:tcPr>
                  <w:tcW w:w="247" w:type="dxa"/>
                  <w:vMerge w:val="continue"/>
                  <w:tcBorders>
                    <w:top w:val="nil"/>
                    <w:left w:val="single" w:color="000000" w:sz="4" w:space="0"/>
                    <w:bottom w:val="single" w:color="000000" w:sz="4" w:space="0"/>
                    <w:right w:val="single" w:color="000000" w:sz="4" w:space="0"/>
                  </w:tcBorders>
                </w:tcPr>
                <w:p w14:paraId="37D9BA4D"/>
              </w:tc>
              <w:tc>
                <w:tcPr>
                  <w:tcW w:w="367" w:type="dxa"/>
                  <w:vMerge w:val="continue"/>
                  <w:tcBorders>
                    <w:top w:val="nil"/>
                    <w:left w:val="single" w:color="000000" w:sz="4" w:space="0"/>
                    <w:bottom w:val="single" w:color="000000" w:sz="4" w:space="0"/>
                    <w:right w:val="single" w:color="000000" w:sz="4" w:space="0"/>
                  </w:tcBorders>
                </w:tcPr>
                <w:p w14:paraId="0F7A25FB"/>
              </w:tc>
              <w:tc>
                <w:tcPr>
                  <w:tcW w:w="349" w:type="dxa"/>
                  <w:vMerge w:val="continue"/>
                  <w:tcBorders>
                    <w:top w:val="nil"/>
                    <w:left w:val="single" w:color="000000" w:sz="4" w:space="0"/>
                    <w:bottom w:val="single" w:color="000000" w:sz="4" w:space="0"/>
                    <w:right w:val="single" w:color="000000" w:sz="4" w:space="0"/>
                  </w:tcBorders>
                </w:tcPr>
                <w:p w14:paraId="5FA4CB8A"/>
              </w:tc>
            </w:tr>
            <w:tr w14:paraId="2B8A409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75" w:type="dxa"/>
                  <w:vMerge w:val="continue"/>
                  <w:tcBorders>
                    <w:top w:val="nil"/>
                    <w:left w:val="single" w:color="000000" w:sz="4" w:space="0"/>
                    <w:bottom w:val="single" w:color="000000" w:sz="4" w:space="0"/>
                    <w:right w:val="single" w:color="000000" w:sz="4" w:space="0"/>
                  </w:tcBorders>
                </w:tcPr>
                <w:p w14:paraId="7EFAFA83"/>
              </w:tc>
              <w:tc>
                <w:tcPr>
                  <w:tcW w:w="355" w:type="dxa"/>
                  <w:vMerge w:val="continue"/>
                  <w:tcBorders>
                    <w:top w:val="nil"/>
                    <w:left w:val="single" w:color="000000" w:sz="4" w:space="0"/>
                    <w:bottom w:val="single" w:color="000000" w:sz="4" w:space="0"/>
                    <w:right w:val="single" w:color="000000" w:sz="4" w:space="0"/>
                  </w:tcBorders>
                </w:tcPr>
                <w:p w14:paraId="3634189C"/>
              </w:tc>
              <w:tc>
                <w:tcPr>
                  <w:tcW w:w="5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AE5BD22">
                  <w:pPr>
                    <w:pStyle w:val="4"/>
                    <w:jc w:val="center"/>
                  </w:pPr>
                  <w:r>
                    <w:rPr>
                      <w:rFonts w:ascii="宋体" w:hAnsi="宋体" w:eastAsia="宋体" w:cs="宋体"/>
                      <w:sz w:val="24"/>
                    </w:rPr>
                    <w:t>液碱泵</w:t>
                  </w:r>
                </w:p>
              </w:tc>
              <w:tc>
                <w:tcPr>
                  <w:tcW w:w="38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489DA41">
                  <w:pPr>
                    <w:pStyle w:val="4"/>
                    <w:jc w:val="center"/>
                  </w:pPr>
                  <w:r>
                    <w:rPr>
                      <w:rFonts w:ascii="宋体" w:hAnsi="宋体" w:eastAsia="宋体" w:cs="宋体"/>
                      <w:sz w:val="24"/>
                    </w:rPr>
                    <w:t>3</w:t>
                  </w:r>
                </w:p>
              </w:tc>
              <w:tc>
                <w:tcPr>
                  <w:tcW w:w="17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845BA04">
                  <w:pPr>
                    <w:pStyle w:val="4"/>
                    <w:jc w:val="center"/>
                  </w:pPr>
                  <w:r>
                    <w:rPr>
                      <w:rFonts w:ascii="宋体" w:hAnsi="宋体" w:eastAsia="宋体" w:cs="宋体"/>
                      <w:sz w:val="24"/>
                    </w:rPr>
                    <w:t>2</w:t>
                  </w:r>
                </w:p>
              </w:tc>
              <w:tc>
                <w:tcPr>
                  <w:tcW w:w="247" w:type="dxa"/>
                  <w:vMerge w:val="continue"/>
                  <w:tcBorders>
                    <w:top w:val="nil"/>
                    <w:left w:val="single" w:color="000000" w:sz="4" w:space="0"/>
                    <w:bottom w:val="single" w:color="000000" w:sz="4" w:space="0"/>
                    <w:right w:val="single" w:color="000000" w:sz="4" w:space="0"/>
                  </w:tcBorders>
                </w:tcPr>
                <w:p w14:paraId="2E1BAFD8"/>
              </w:tc>
              <w:tc>
                <w:tcPr>
                  <w:tcW w:w="367" w:type="dxa"/>
                  <w:vMerge w:val="continue"/>
                  <w:tcBorders>
                    <w:top w:val="nil"/>
                    <w:left w:val="single" w:color="000000" w:sz="4" w:space="0"/>
                    <w:bottom w:val="single" w:color="000000" w:sz="4" w:space="0"/>
                    <w:right w:val="single" w:color="000000" w:sz="4" w:space="0"/>
                  </w:tcBorders>
                </w:tcPr>
                <w:p w14:paraId="1DC9760E"/>
              </w:tc>
              <w:tc>
                <w:tcPr>
                  <w:tcW w:w="349" w:type="dxa"/>
                  <w:vMerge w:val="continue"/>
                  <w:tcBorders>
                    <w:top w:val="nil"/>
                    <w:left w:val="single" w:color="000000" w:sz="4" w:space="0"/>
                    <w:bottom w:val="single" w:color="000000" w:sz="4" w:space="0"/>
                    <w:right w:val="single" w:color="000000" w:sz="4" w:space="0"/>
                  </w:tcBorders>
                </w:tcPr>
                <w:p w14:paraId="04B37BC7"/>
              </w:tc>
            </w:tr>
            <w:tr w14:paraId="38F6E1A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75" w:type="dxa"/>
                  <w:vMerge w:val="continue"/>
                  <w:tcBorders>
                    <w:top w:val="nil"/>
                    <w:left w:val="single" w:color="000000" w:sz="4" w:space="0"/>
                    <w:bottom w:val="single" w:color="000000" w:sz="4" w:space="0"/>
                    <w:right w:val="single" w:color="000000" w:sz="4" w:space="0"/>
                  </w:tcBorders>
                </w:tcPr>
                <w:p w14:paraId="778D8D62"/>
              </w:tc>
              <w:tc>
                <w:tcPr>
                  <w:tcW w:w="355" w:type="dxa"/>
                  <w:vMerge w:val="continue"/>
                  <w:tcBorders>
                    <w:top w:val="nil"/>
                    <w:left w:val="single" w:color="000000" w:sz="4" w:space="0"/>
                    <w:bottom w:val="single" w:color="000000" w:sz="4" w:space="0"/>
                    <w:right w:val="single" w:color="000000" w:sz="4" w:space="0"/>
                  </w:tcBorders>
                </w:tcPr>
                <w:p w14:paraId="135C33D4"/>
              </w:tc>
              <w:tc>
                <w:tcPr>
                  <w:tcW w:w="5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9AA06D2">
                  <w:pPr>
                    <w:pStyle w:val="4"/>
                    <w:jc w:val="center"/>
                  </w:pPr>
                  <w:r>
                    <w:rPr>
                      <w:rFonts w:ascii="宋体" w:hAnsi="宋体" w:eastAsia="宋体" w:cs="宋体"/>
                      <w:sz w:val="24"/>
                    </w:rPr>
                    <w:t>树脂罐</w:t>
                  </w:r>
                </w:p>
              </w:tc>
              <w:tc>
                <w:tcPr>
                  <w:tcW w:w="38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10169C8">
                  <w:pPr>
                    <w:pStyle w:val="4"/>
                    <w:jc w:val="center"/>
                  </w:pPr>
                  <w:r>
                    <w:rPr>
                      <w:rFonts w:ascii="宋体" w:hAnsi="宋体" w:eastAsia="宋体" w:cs="宋体"/>
                      <w:sz w:val="24"/>
                    </w:rPr>
                    <w:t>\</w:t>
                  </w:r>
                </w:p>
              </w:tc>
              <w:tc>
                <w:tcPr>
                  <w:tcW w:w="17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2525158">
                  <w:pPr>
                    <w:pStyle w:val="4"/>
                    <w:jc w:val="center"/>
                  </w:pPr>
                  <w:r>
                    <w:rPr>
                      <w:rFonts w:ascii="宋体" w:hAnsi="宋体" w:eastAsia="宋体" w:cs="宋体"/>
                      <w:sz w:val="24"/>
                    </w:rPr>
                    <w:t>20</w:t>
                  </w:r>
                </w:p>
              </w:tc>
              <w:tc>
                <w:tcPr>
                  <w:tcW w:w="24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1405ABC">
                  <w:pPr>
                    <w:pStyle w:val="4"/>
                    <w:jc w:val="center"/>
                  </w:pPr>
                  <w:r>
                    <w:rPr>
                      <w:rFonts w:ascii="宋体" w:hAnsi="宋体" w:eastAsia="宋体" w:cs="宋体"/>
                      <w:sz w:val="24"/>
                    </w:rPr>
                    <w:t>按需维护</w:t>
                  </w:r>
                </w:p>
              </w:tc>
              <w:tc>
                <w:tcPr>
                  <w:tcW w:w="367" w:type="dxa"/>
                  <w:vMerge w:val="continue"/>
                  <w:tcBorders>
                    <w:top w:val="nil"/>
                    <w:left w:val="single" w:color="000000" w:sz="4" w:space="0"/>
                    <w:bottom w:val="single" w:color="000000" w:sz="4" w:space="0"/>
                    <w:right w:val="single" w:color="000000" w:sz="4" w:space="0"/>
                  </w:tcBorders>
                </w:tcPr>
                <w:p w14:paraId="6B060673"/>
              </w:tc>
              <w:tc>
                <w:tcPr>
                  <w:tcW w:w="349" w:type="dxa"/>
                  <w:vMerge w:val="continue"/>
                  <w:tcBorders>
                    <w:top w:val="nil"/>
                    <w:left w:val="single" w:color="000000" w:sz="4" w:space="0"/>
                    <w:bottom w:val="single" w:color="000000" w:sz="4" w:space="0"/>
                    <w:right w:val="single" w:color="000000" w:sz="4" w:space="0"/>
                  </w:tcBorders>
                </w:tcPr>
                <w:p w14:paraId="066F90EB"/>
              </w:tc>
            </w:tr>
            <w:tr w14:paraId="3A32D1A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75"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7360F59">
                  <w:pPr>
                    <w:pStyle w:val="4"/>
                    <w:jc w:val="center"/>
                  </w:pPr>
                  <w:r>
                    <w:rPr>
                      <w:rFonts w:ascii="宋体" w:hAnsi="宋体" w:eastAsia="宋体" w:cs="宋体"/>
                      <w:sz w:val="24"/>
                    </w:rPr>
                    <w:t>3</w:t>
                  </w:r>
                </w:p>
                <w:p w14:paraId="5E34C34E">
                  <w:pPr>
                    <w:pStyle w:val="4"/>
                    <w:jc w:val="left"/>
                  </w:pPr>
                </w:p>
              </w:tc>
              <w:tc>
                <w:tcPr>
                  <w:tcW w:w="355"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BE4BA79">
                  <w:pPr>
                    <w:pStyle w:val="4"/>
                    <w:jc w:val="center"/>
                  </w:pPr>
                  <w:r>
                    <w:rPr>
                      <w:rFonts w:ascii="宋体" w:hAnsi="宋体" w:eastAsia="宋体" w:cs="宋体"/>
                      <w:sz w:val="24"/>
                    </w:rPr>
                    <w:t>加药系统</w:t>
                  </w:r>
                </w:p>
                <w:p w14:paraId="67676597">
                  <w:pPr>
                    <w:pStyle w:val="4"/>
                    <w:jc w:val="left"/>
                  </w:pPr>
                </w:p>
              </w:tc>
              <w:tc>
                <w:tcPr>
                  <w:tcW w:w="5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CECE46D">
                  <w:pPr>
                    <w:pStyle w:val="4"/>
                    <w:jc w:val="center"/>
                  </w:pPr>
                  <w:r>
                    <w:rPr>
                      <w:rFonts w:ascii="宋体" w:hAnsi="宋体" w:eastAsia="宋体" w:cs="宋体"/>
                      <w:sz w:val="24"/>
                    </w:rPr>
                    <w:t>PAM加药泵</w:t>
                  </w:r>
                </w:p>
              </w:tc>
              <w:tc>
                <w:tcPr>
                  <w:tcW w:w="38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45109C8">
                  <w:pPr>
                    <w:pStyle w:val="4"/>
                    <w:jc w:val="center"/>
                  </w:pPr>
                  <w:r>
                    <w:rPr>
                      <w:rFonts w:ascii="宋体" w:hAnsi="宋体" w:eastAsia="宋体" w:cs="宋体"/>
                      <w:sz w:val="24"/>
                    </w:rPr>
                    <w:t>0.75</w:t>
                  </w:r>
                </w:p>
              </w:tc>
              <w:tc>
                <w:tcPr>
                  <w:tcW w:w="17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22D0A3D">
                  <w:pPr>
                    <w:pStyle w:val="4"/>
                    <w:jc w:val="center"/>
                  </w:pPr>
                  <w:r>
                    <w:rPr>
                      <w:rFonts w:ascii="宋体" w:hAnsi="宋体" w:eastAsia="宋体" w:cs="宋体"/>
                      <w:sz w:val="24"/>
                    </w:rPr>
                    <w:t>3</w:t>
                  </w:r>
                </w:p>
              </w:tc>
              <w:tc>
                <w:tcPr>
                  <w:tcW w:w="247"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648F02F">
                  <w:pPr>
                    <w:pStyle w:val="4"/>
                    <w:jc w:val="center"/>
                  </w:pPr>
                  <w:r>
                    <w:rPr>
                      <w:rFonts w:ascii="宋体" w:hAnsi="宋体" w:eastAsia="宋体" w:cs="宋体"/>
                      <w:sz w:val="24"/>
                    </w:rPr>
                    <w:t>1次/月</w:t>
                  </w:r>
                </w:p>
                <w:p w14:paraId="73B8BEC0">
                  <w:pPr>
                    <w:pStyle w:val="4"/>
                    <w:jc w:val="left"/>
                  </w:pPr>
                </w:p>
              </w:tc>
              <w:tc>
                <w:tcPr>
                  <w:tcW w:w="367"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2724DDF">
                  <w:pPr>
                    <w:pStyle w:val="4"/>
                    <w:jc w:val="center"/>
                  </w:pPr>
                  <w:r>
                    <w:rPr>
                      <w:rFonts w:ascii="宋体" w:hAnsi="宋体" w:eastAsia="宋体" w:cs="宋体"/>
                      <w:sz w:val="24"/>
                    </w:rPr>
                    <w:t>2021年8月</w:t>
                  </w:r>
                </w:p>
                <w:p w14:paraId="17DE1142">
                  <w:pPr>
                    <w:pStyle w:val="4"/>
                    <w:jc w:val="left"/>
                  </w:pPr>
                </w:p>
              </w:tc>
              <w:tc>
                <w:tcPr>
                  <w:tcW w:w="349"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881390A"/>
              </w:tc>
            </w:tr>
            <w:tr w14:paraId="7A56B13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75" w:type="dxa"/>
                  <w:vMerge w:val="continue"/>
                  <w:tcBorders>
                    <w:top w:val="nil"/>
                    <w:left w:val="single" w:color="000000" w:sz="4" w:space="0"/>
                    <w:bottom w:val="single" w:color="000000" w:sz="4" w:space="0"/>
                    <w:right w:val="single" w:color="000000" w:sz="4" w:space="0"/>
                  </w:tcBorders>
                </w:tcPr>
                <w:p w14:paraId="06574DB6"/>
              </w:tc>
              <w:tc>
                <w:tcPr>
                  <w:tcW w:w="355" w:type="dxa"/>
                  <w:vMerge w:val="continue"/>
                  <w:tcBorders>
                    <w:top w:val="nil"/>
                    <w:left w:val="single" w:color="000000" w:sz="4" w:space="0"/>
                    <w:bottom w:val="single" w:color="000000" w:sz="4" w:space="0"/>
                    <w:right w:val="single" w:color="000000" w:sz="4" w:space="0"/>
                  </w:tcBorders>
                </w:tcPr>
                <w:p w14:paraId="0B83C898"/>
              </w:tc>
              <w:tc>
                <w:tcPr>
                  <w:tcW w:w="5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89A7113">
                  <w:pPr>
                    <w:pStyle w:val="4"/>
                    <w:jc w:val="center"/>
                  </w:pPr>
                  <w:r>
                    <w:rPr>
                      <w:rFonts w:ascii="宋体" w:hAnsi="宋体" w:eastAsia="宋体" w:cs="宋体"/>
                      <w:sz w:val="24"/>
                    </w:rPr>
                    <w:t>PAM中转泵</w:t>
                  </w:r>
                </w:p>
              </w:tc>
              <w:tc>
                <w:tcPr>
                  <w:tcW w:w="38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A5BBFA4">
                  <w:pPr>
                    <w:pStyle w:val="4"/>
                    <w:jc w:val="center"/>
                  </w:pPr>
                  <w:r>
                    <w:rPr>
                      <w:rFonts w:ascii="宋体" w:hAnsi="宋体" w:eastAsia="宋体" w:cs="宋体"/>
                      <w:sz w:val="24"/>
                    </w:rPr>
                    <w:t>3.75</w:t>
                  </w:r>
                </w:p>
              </w:tc>
              <w:tc>
                <w:tcPr>
                  <w:tcW w:w="17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397A6B2">
                  <w:pPr>
                    <w:pStyle w:val="4"/>
                    <w:jc w:val="center"/>
                  </w:pPr>
                  <w:r>
                    <w:rPr>
                      <w:rFonts w:ascii="宋体" w:hAnsi="宋体" w:eastAsia="宋体" w:cs="宋体"/>
                      <w:sz w:val="24"/>
                    </w:rPr>
                    <w:t>1</w:t>
                  </w:r>
                </w:p>
              </w:tc>
              <w:tc>
                <w:tcPr>
                  <w:tcW w:w="247" w:type="dxa"/>
                  <w:vMerge w:val="continue"/>
                  <w:tcBorders>
                    <w:top w:val="nil"/>
                    <w:left w:val="single" w:color="000000" w:sz="4" w:space="0"/>
                    <w:bottom w:val="single" w:color="000000" w:sz="4" w:space="0"/>
                    <w:right w:val="single" w:color="000000" w:sz="4" w:space="0"/>
                  </w:tcBorders>
                </w:tcPr>
                <w:p w14:paraId="63D32BF6"/>
              </w:tc>
              <w:tc>
                <w:tcPr>
                  <w:tcW w:w="367" w:type="dxa"/>
                  <w:vMerge w:val="continue"/>
                  <w:tcBorders>
                    <w:top w:val="nil"/>
                    <w:left w:val="single" w:color="000000" w:sz="4" w:space="0"/>
                    <w:bottom w:val="single" w:color="000000" w:sz="4" w:space="0"/>
                    <w:right w:val="single" w:color="000000" w:sz="4" w:space="0"/>
                  </w:tcBorders>
                </w:tcPr>
                <w:p w14:paraId="37872C36"/>
              </w:tc>
              <w:tc>
                <w:tcPr>
                  <w:tcW w:w="349" w:type="dxa"/>
                  <w:vMerge w:val="continue"/>
                  <w:tcBorders>
                    <w:top w:val="nil"/>
                    <w:left w:val="single" w:color="000000" w:sz="4" w:space="0"/>
                    <w:bottom w:val="single" w:color="000000" w:sz="4" w:space="0"/>
                    <w:right w:val="single" w:color="000000" w:sz="4" w:space="0"/>
                  </w:tcBorders>
                </w:tcPr>
                <w:p w14:paraId="03D8B17B"/>
              </w:tc>
            </w:tr>
            <w:tr w14:paraId="1043F10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175" w:type="dxa"/>
                  <w:vMerge w:val="continue"/>
                  <w:tcBorders>
                    <w:top w:val="nil"/>
                    <w:left w:val="single" w:color="000000" w:sz="4" w:space="0"/>
                    <w:bottom w:val="single" w:color="000000" w:sz="4" w:space="0"/>
                    <w:right w:val="single" w:color="000000" w:sz="4" w:space="0"/>
                  </w:tcBorders>
                </w:tcPr>
                <w:p w14:paraId="4A14A743"/>
              </w:tc>
              <w:tc>
                <w:tcPr>
                  <w:tcW w:w="355" w:type="dxa"/>
                  <w:vMerge w:val="continue"/>
                  <w:tcBorders>
                    <w:top w:val="nil"/>
                    <w:left w:val="single" w:color="000000" w:sz="4" w:space="0"/>
                    <w:bottom w:val="single" w:color="000000" w:sz="4" w:space="0"/>
                    <w:right w:val="single" w:color="000000" w:sz="4" w:space="0"/>
                  </w:tcBorders>
                </w:tcPr>
                <w:p w14:paraId="3B212518"/>
              </w:tc>
              <w:tc>
                <w:tcPr>
                  <w:tcW w:w="5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75E86D7">
                  <w:pPr>
                    <w:pStyle w:val="4"/>
                    <w:jc w:val="center"/>
                  </w:pPr>
                  <w:r>
                    <w:rPr>
                      <w:rFonts w:ascii="宋体" w:hAnsi="宋体" w:eastAsia="宋体" w:cs="宋体"/>
                      <w:sz w:val="24"/>
                    </w:rPr>
                    <w:t>除氟剂加药泵</w:t>
                  </w:r>
                </w:p>
              </w:tc>
              <w:tc>
                <w:tcPr>
                  <w:tcW w:w="38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81C6D3F">
                  <w:pPr>
                    <w:pStyle w:val="4"/>
                    <w:jc w:val="center"/>
                  </w:pPr>
                  <w:r>
                    <w:rPr>
                      <w:rFonts w:ascii="宋体" w:hAnsi="宋体" w:eastAsia="宋体" w:cs="宋体"/>
                      <w:sz w:val="24"/>
                    </w:rPr>
                    <w:t>0.75</w:t>
                  </w:r>
                </w:p>
              </w:tc>
              <w:tc>
                <w:tcPr>
                  <w:tcW w:w="17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542CE0E">
                  <w:pPr>
                    <w:pStyle w:val="4"/>
                    <w:jc w:val="center"/>
                  </w:pPr>
                  <w:r>
                    <w:rPr>
                      <w:rFonts w:ascii="宋体" w:hAnsi="宋体" w:eastAsia="宋体" w:cs="宋体"/>
                      <w:sz w:val="24"/>
                    </w:rPr>
                    <w:t>3</w:t>
                  </w:r>
                </w:p>
              </w:tc>
              <w:tc>
                <w:tcPr>
                  <w:tcW w:w="247" w:type="dxa"/>
                  <w:vMerge w:val="continue"/>
                  <w:tcBorders>
                    <w:top w:val="nil"/>
                    <w:left w:val="single" w:color="000000" w:sz="4" w:space="0"/>
                    <w:bottom w:val="single" w:color="000000" w:sz="4" w:space="0"/>
                    <w:right w:val="single" w:color="000000" w:sz="4" w:space="0"/>
                  </w:tcBorders>
                </w:tcPr>
                <w:p w14:paraId="0C5C338C"/>
              </w:tc>
              <w:tc>
                <w:tcPr>
                  <w:tcW w:w="367" w:type="dxa"/>
                  <w:vMerge w:val="continue"/>
                  <w:tcBorders>
                    <w:top w:val="nil"/>
                    <w:left w:val="single" w:color="000000" w:sz="4" w:space="0"/>
                    <w:bottom w:val="single" w:color="000000" w:sz="4" w:space="0"/>
                    <w:right w:val="single" w:color="000000" w:sz="4" w:space="0"/>
                  </w:tcBorders>
                </w:tcPr>
                <w:p w14:paraId="495C0E76"/>
              </w:tc>
              <w:tc>
                <w:tcPr>
                  <w:tcW w:w="349" w:type="dxa"/>
                  <w:vMerge w:val="continue"/>
                  <w:tcBorders>
                    <w:top w:val="nil"/>
                    <w:left w:val="single" w:color="000000" w:sz="4" w:space="0"/>
                    <w:bottom w:val="single" w:color="000000" w:sz="4" w:space="0"/>
                    <w:right w:val="single" w:color="000000" w:sz="4" w:space="0"/>
                  </w:tcBorders>
                </w:tcPr>
                <w:p w14:paraId="7B5F4D93"/>
              </w:tc>
            </w:tr>
            <w:tr w14:paraId="1688FA7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75" w:type="dxa"/>
                  <w:vMerge w:val="continue"/>
                  <w:tcBorders>
                    <w:top w:val="nil"/>
                    <w:left w:val="single" w:color="000000" w:sz="4" w:space="0"/>
                    <w:bottom w:val="single" w:color="000000" w:sz="4" w:space="0"/>
                    <w:right w:val="single" w:color="000000" w:sz="4" w:space="0"/>
                  </w:tcBorders>
                </w:tcPr>
                <w:p w14:paraId="3A96803A"/>
              </w:tc>
              <w:tc>
                <w:tcPr>
                  <w:tcW w:w="355" w:type="dxa"/>
                  <w:vMerge w:val="continue"/>
                  <w:tcBorders>
                    <w:top w:val="nil"/>
                    <w:left w:val="single" w:color="000000" w:sz="4" w:space="0"/>
                    <w:bottom w:val="single" w:color="000000" w:sz="4" w:space="0"/>
                    <w:right w:val="single" w:color="000000" w:sz="4" w:space="0"/>
                  </w:tcBorders>
                </w:tcPr>
                <w:p w14:paraId="7DE3C8BF"/>
              </w:tc>
              <w:tc>
                <w:tcPr>
                  <w:tcW w:w="5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26274E1">
                  <w:pPr>
                    <w:pStyle w:val="4"/>
                    <w:jc w:val="center"/>
                  </w:pPr>
                  <w:r>
                    <w:rPr>
                      <w:rFonts w:ascii="宋体" w:hAnsi="宋体" w:eastAsia="宋体" w:cs="宋体"/>
                      <w:sz w:val="24"/>
                    </w:rPr>
                    <w:t>除氟剂桶搅拌机</w:t>
                  </w:r>
                </w:p>
              </w:tc>
              <w:tc>
                <w:tcPr>
                  <w:tcW w:w="38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AAED9E1">
                  <w:pPr>
                    <w:pStyle w:val="4"/>
                    <w:jc w:val="center"/>
                  </w:pPr>
                  <w:r>
                    <w:rPr>
                      <w:rFonts w:ascii="宋体" w:hAnsi="宋体" w:eastAsia="宋体" w:cs="宋体"/>
                      <w:sz w:val="24"/>
                    </w:rPr>
                    <w:t>2.2</w:t>
                  </w:r>
                </w:p>
              </w:tc>
              <w:tc>
                <w:tcPr>
                  <w:tcW w:w="17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7506F95">
                  <w:pPr>
                    <w:pStyle w:val="4"/>
                    <w:jc w:val="center"/>
                  </w:pPr>
                  <w:r>
                    <w:rPr>
                      <w:rFonts w:ascii="宋体" w:hAnsi="宋体" w:eastAsia="宋体" w:cs="宋体"/>
                      <w:sz w:val="24"/>
                    </w:rPr>
                    <w:t>2</w:t>
                  </w:r>
                </w:p>
              </w:tc>
              <w:tc>
                <w:tcPr>
                  <w:tcW w:w="247" w:type="dxa"/>
                  <w:vMerge w:val="continue"/>
                  <w:tcBorders>
                    <w:top w:val="nil"/>
                    <w:left w:val="single" w:color="000000" w:sz="4" w:space="0"/>
                    <w:bottom w:val="single" w:color="000000" w:sz="4" w:space="0"/>
                    <w:right w:val="single" w:color="000000" w:sz="4" w:space="0"/>
                  </w:tcBorders>
                </w:tcPr>
                <w:p w14:paraId="258CE42B"/>
              </w:tc>
              <w:tc>
                <w:tcPr>
                  <w:tcW w:w="367" w:type="dxa"/>
                  <w:vMerge w:val="continue"/>
                  <w:tcBorders>
                    <w:top w:val="nil"/>
                    <w:left w:val="single" w:color="000000" w:sz="4" w:space="0"/>
                    <w:bottom w:val="single" w:color="000000" w:sz="4" w:space="0"/>
                    <w:right w:val="single" w:color="000000" w:sz="4" w:space="0"/>
                  </w:tcBorders>
                </w:tcPr>
                <w:p w14:paraId="325EB582"/>
              </w:tc>
              <w:tc>
                <w:tcPr>
                  <w:tcW w:w="349" w:type="dxa"/>
                  <w:vMerge w:val="continue"/>
                  <w:tcBorders>
                    <w:top w:val="nil"/>
                    <w:left w:val="single" w:color="000000" w:sz="4" w:space="0"/>
                    <w:bottom w:val="single" w:color="000000" w:sz="4" w:space="0"/>
                    <w:right w:val="single" w:color="000000" w:sz="4" w:space="0"/>
                  </w:tcBorders>
                </w:tcPr>
                <w:p w14:paraId="342C2B3E"/>
              </w:tc>
            </w:tr>
            <w:tr w14:paraId="2608601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75" w:type="dxa"/>
                  <w:vMerge w:val="continue"/>
                  <w:tcBorders>
                    <w:top w:val="nil"/>
                    <w:left w:val="single" w:color="000000" w:sz="4" w:space="0"/>
                    <w:bottom w:val="single" w:color="000000" w:sz="4" w:space="0"/>
                    <w:right w:val="single" w:color="000000" w:sz="4" w:space="0"/>
                  </w:tcBorders>
                </w:tcPr>
                <w:p w14:paraId="3919A2C4"/>
              </w:tc>
              <w:tc>
                <w:tcPr>
                  <w:tcW w:w="355" w:type="dxa"/>
                  <w:vMerge w:val="continue"/>
                  <w:tcBorders>
                    <w:top w:val="nil"/>
                    <w:left w:val="single" w:color="000000" w:sz="4" w:space="0"/>
                    <w:bottom w:val="single" w:color="000000" w:sz="4" w:space="0"/>
                    <w:right w:val="single" w:color="000000" w:sz="4" w:space="0"/>
                  </w:tcBorders>
                </w:tcPr>
                <w:p w14:paraId="1823AC57"/>
              </w:tc>
              <w:tc>
                <w:tcPr>
                  <w:tcW w:w="5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B7B0A0F">
                  <w:pPr>
                    <w:pStyle w:val="4"/>
                    <w:jc w:val="center"/>
                  </w:pPr>
                  <w:r>
                    <w:rPr>
                      <w:rFonts w:ascii="宋体" w:hAnsi="宋体" w:eastAsia="宋体" w:cs="宋体"/>
                      <w:sz w:val="24"/>
                    </w:rPr>
                    <w:t>除氟剂溶药搅拌机</w:t>
                  </w:r>
                </w:p>
              </w:tc>
              <w:tc>
                <w:tcPr>
                  <w:tcW w:w="38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BC728A7">
                  <w:pPr>
                    <w:pStyle w:val="4"/>
                    <w:jc w:val="center"/>
                  </w:pPr>
                  <w:r>
                    <w:rPr>
                      <w:rFonts w:ascii="宋体" w:hAnsi="宋体" w:eastAsia="宋体" w:cs="宋体"/>
                      <w:sz w:val="24"/>
                    </w:rPr>
                    <w:t>2.2</w:t>
                  </w:r>
                </w:p>
              </w:tc>
              <w:tc>
                <w:tcPr>
                  <w:tcW w:w="17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A113A45">
                  <w:pPr>
                    <w:pStyle w:val="4"/>
                    <w:jc w:val="center"/>
                  </w:pPr>
                  <w:r>
                    <w:rPr>
                      <w:rFonts w:ascii="宋体" w:hAnsi="宋体" w:eastAsia="宋体" w:cs="宋体"/>
                      <w:sz w:val="24"/>
                    </w:rPr>
                    <w:t>1</w:t>
                  </w:r>
                </w:p>
              </w:tc>
              <w:tc>
                <w:tcPr>
                  <w:tcW w:w="247" w:type="dxa"/>
                  <w:vMerge w:val="continue"/>
                  <w:tcBorders>
                    <w:top w:val="nil"/>
                    <w:left w:val="single" w:color="000000" w:sz="4" w:space="0"/>
                    <w:bottom w:val="single" w:color="000000" w:sz="4" w:space="0"/>
                    <w:right w:val="single" w:color="000000" w:sz="4" w:space="0"/>
                  </w:tcBorders>
                </w:tcPr>
                <w:p w14:paraId="44187544"/>
              </w:tc>
              <w:tc>
                <w:tcPr>
                  <w:tcW w:w="367" w:type="dxa"/>
                  <w:vMerge w:val="continue"/>
                  <w:tcBorders>
                    <w:top w:val="nil"/>
                    <w:left w:val="single" w:color="000000" w:sz="4" w:space="0"/>
                    <w:bottom w:val="single" w:color="000000" w:sz="4" w:space="0"/>
                    <w:right w:val="single" w:color="000000" w:sz="4" w:space="0"/>
                  </w:tcBorders>
                </w:tcPr>
                <w:p w14:paraId="7F1245DF"/>
              </w:tc>
              <w:tc>
                <w:tcPr>
                  <w:tcW w:w="349" w:type="dxa"/>
                  <w:vMerge w:val="continue"/>
                  <w:tcBorders>
                    <w:top w:val="nil"/>
                    <w:left w:val="single" w:color="000000" w:sz="4" w:space="0"/>
                    <w:bottom w:val="single" w:color="000000" w:sz="4" w:space="0"/>
                    <w:right w:val="single" w:color="000000" w:sz="4" w:space="0"/>
                  </w:tcBorders>
                </w:tcPr>
                <w:p w14:paraId="4758F41B"/>
              </w:tc>
            </w:tr>
            <w:tr w14:paraId="1B28479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75" w:type="dxa"/>
                  <w:vMerge w:val="continue"/>
                  <w:tcBorders>
                    <w:top w:val="nil"/>
                    <w:left w:val="single" w:color="000000" w:sz="4" w:space="0"/>
                    <w:bottom w:val="single" w:color="000000" w:sz="4" w:space="0"/>
                    <w:right w:val="single" w:color="000000" w:sz="4" w:space="0"/>
                  </w:tcBorders>
                </w:tcPr>
                <w:p w14:paraId="10A80485"/>
              </w:tc>
              <w:tc>
                <w:tcPr>
                  <w:tcW w:w="355" w:type="dxa"/>
                  <w:vMerge w:val="continue"/>
                  <w:tcBorders>
                    <w:top w:val="nil"/>
                    <w:left w:val="single" w:color="000000" w:sz="4" w:space="0"/>
                    <w:bottom w:val="single" w:color="000000" w:sz="4" w:space="0"/>
                    <w:right w:val="single" w:color="000000" w:sz="4" w:space="0"/>
                  </w:tcBorders>
                </w:tcPr>
                <w:p w14:paraId="1624F939"/>
              </w:tc>
              <w:tc>
                <w:tcPr>
                  <w:tcW w:w="5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147A76B">
                  <w:pPr>
                    <w:pStyle w:val="4"/>
                    <w:jc w:val="center"/>
                  </w:pPr>
                  <w:r>
                    <w:rPr>
                      <w:rFonts w:ascii="宋体" w:hAnsi="宋体" w:eastAsia="宋体" w:cs="宋体"/>
                      <w:sz w:val="24"/>
                    </w:rPr>
                    <w:t>除氟剂中转泵</w:t>
                  </w:r>
                </w:p>
              </w:tc>
              <w:tc>
                <w:tcPr>
                  <w:tcW w:w="38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2E2C6C5">
                  <w:pPr>
                    <w:pStyle w:val="4"/>
                    <w:jc w:val="center"/>
                  </w:pPr>
                  <w:r>
                    <w:rPr>
                      <w:rFonts w:ascii="宋体" w:hAnsi="宋体" w:eastAsia="宋体" w:cs="宋体"/>
                      <w:sz w:val="24"/>
                    </w:rPr>
                    <w:t>3.75</w:t>
                  </w:r>
                </w:p>
              </w:tc>
              <w:tc>
                <w:tcPr>
                  <w:tcW w:w="17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49507BF">
                  <w:pPr>
                    <w:pStyle w:val="4"/>
                    <w:jc w:val="center"/>
                  </w:pPr>
                  <w:r>
                    <w:rPr>
                      <w:rFonts w:ascii="宋体" w:hAnsi="宋体" w:eastAsia="宋体" w:cs="宋体"/>
                      <w:sz w:val="24"/>
                    </w:rPr>
                    <w:t>1</w:t>
                  </w:r>
                </w:p>
              </w:tc>
              <w:tc>
                <w:tcPr>
                  <w:tcW w:w="247" w:type="dxa"/>
                  <w:vMerge w:val="continue"/>
                  <w:tcBorders>
                    <w:top w:val="nil"/>
                    <w:left w:val="single" w:color="000000" w:sz="4" w:space="0"/>
                    <w:bottom w:val="single" w:color="000000" w:sz="4" w:space="0"/>
                    <w:right w:val="single" w:color="000000" w:sz="4" w:space="0"/>
                  </w:tcBorders>
                </w:tcPr>
                <w:p w14:paraId="6CCF5BC2"/>
              </w:tc>
              <w:tc>
                <w:tcPr>
                  <w:tcW w:w="367" w:type="dxa"/>
                  <w:vMerge w:val="continue"/>
                  <w:tcBorders>
                    <w:top w:val="nil"/>
                    <w:left w:val="single" w:color="000000" w:sz="4" w:space="0"/>
                    <w:bottom w:val="single" w:color="000000" w:sz="4" w:space="0"/>
                    <w:right w:val="single" w:color="000000" w:sz="4" w:space="0"/>
                  </w:tcBorders>
                </w:tcPr>
                <w:p w14:paraId="1FD4CD5D"/>
              </w:tc>
              <w:tc>
                <w:tcPr>
                  <w:tcW w:w="349" w:type="dxa"/>
                  <w:vMerge w:val="continue"/>
                  <w:tcBorders>
                    <w:top w:val="nil"/>
                    <w:left w:val="single" w:color="000000" w:sz="4" w:space="0"/>
                    <w:bottom w:val="single" w:color="000000" w:sz="4" w:space="0"/>
                    <w:right w:val="single" w:color="000000" w:sz="4" w:space="0"/>
                  </w:tcBorders>
                </w:tcPr>
                <w:p w14:paraId="24622192"/>
              </w:tc>
            </w:tr>
            <w:tr w14:paraId="305D1F6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75" w:type="dxa"/>
                  <w:vMerge w:val="continue"/>
                  <w:tcBorders>
                    <w:top w:val="nil"/>
                    <w:left w:val="single" w:color="000000" w:sz="4" w:space="0"/>
                    <w:bottom w:val="single" w:color="000000" w:sz="4" w:space="0"/>
                    <w:right w:val="single" w:color="000000" w:sz="4" w:space="0"/>
                  </w:tcBorders>
                </w:tcPr>
                <w:p w14:paraId="3C30A398"/>
              </w:tc>
              <w:tc>
                <w:tcPr>
                  <w:tcW w:w="355" w:type="dxa"/>
                  <w:vMerge w:val="continue"/>
                  <w:tcBorders>
                    <w:top w:val="nil"/>
                    <w:left w:val="single" w:color="000000" w:sz="4" w:space="0"/>
                    <w:bottom w:val="single" w:color="000000" w:sz="4" w:space="0"/>
                    <w:right w:val="single" w:color="000000" w:sz="4" w:space="0"/>
                  </w:tcBorders>
                </w:tcPr>
                <w:p w14:paraId="508ED241"/>
              </w:tc>
              <w:tc>
                <w:tcPr>
                  <w:tcW w:w="5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AE4A488">
                  <w:pPr>
                    <w:pStyle w:val="4"/>
                    <w:jc w:val="center"/>
                  </w:pPr>
                  <w:r>
                    <w:rPr>
                      <w:rFonts w:ascii="宋体" w:hAnsi="宋体" w:eastAsia="宋体" w:cs="宋体"/>
                      <w:sz w:val="24"/>
                    </w:rPr>
                    <w:t>液碱加药泵</w:t>
                  </w:r>
                </w:p>
              </w:tc>
              <w:tc>
                <w:tcPr>
                  <w:tcW w:w="38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5B47B71">
                  <w:pPr>
                    <w:pStyle w:val="4"/>
                    <w:jc w:val="center"/>
                  </w:pPr>
                  <w:r>
                    <w:rPr>
                      <w:rFonts w:ascii="宋体" w:hAnsi="宋体" w:eastAsia="宋体" w:cs="宋体"/>
                      <w:sz w:val="24"/>
                    </w:rPr>
                    <w:t>0.37</w:t>
                  </w:r>
                </w:p>
              </w:tc>
              <w:tc>
                <w:tcPr>
                  <w:tcW w:w="17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E291B50">
                  <w:pPr>
                    <w:pStyle w:val="4"/>
                    <w:jc w:val="center"/>
                  </w:pPr>
                  <w:r>
                    <w:rPr>
                      <w:rFonts w:ascii="宋体" w:hAnsi="宋体" w:eastAsia="宋体" w:cs="宋体"/>
                      <w:sz w:val="24"/>
                    </w:rPr>
                    <w:t>3</w:t>
                  </w:r>
                </w:p>
              </w:tc>
              <w:tc>
                <w:tcPr>
                  <w:tcW w:w="247" w:type="dxa"/>
                  <w:vMerge w:val="continue"/>
                  <w:tcBorders>
                    <w:top w:val="nil"/>
                    <w:left w:val="single" w:color="000000" w:sz="4" w:space="0"/>
                    <w:bottom w:val="single" w:color="000000" w:sz="4" w:space="0"/>
                    <w:right w:val="single" w:color="000000" w:sz="4" w:space="0"/>
                  </w:tcBorders>
                </w:tcPr>
                <w:p w14:paraId="1B7F2C48"/>
              </w:tc>
              <w:tc>
                <w:tcPr>
                  <w:tcW w:w="367" w:type="dxa"/>
                  <w:vMerge w:val="continue"/>
                  <w:tcBorders>
                    <w:top w:val="nil"/>
                    <w:left w:val="single" w:color="000000" w:sz="4" w:space="0"/>
                    <w:bottom w:val="single" w:color="000000" w:sz="4" w:space="0"/>
                    <w:right w:val="single" w:color="000000" w:sz="4" w:space="0"/>
                  </w:tcBorders>
                </w:tcPr>
                <w:p w14:paraId="5643B66D"/>
              </w:tc>
              <w:tc>
                <w:tcPr>
                  <w:tcW w:w="349" w:type="dxa"/>
                  <w:vMerge w:val="continue"/>
                  <w:tcBorders>
                    <w:top w:val="nil"/>
                    <w:left w:val="single" w:color="000000" w:sz="4" w:space="0"/>
                    <w:bottom w:val="single" w:color="000000" w:sz="4" w:space="0"/>
                    <w:right w:val="single" w:color="000000" w:sz="4" w:space="0"/>
                  </w:tcBorders>
                </w:tcPr>
                <w:p w14:paraId="7286665C"/>
              </w:tc>
            </w:tr>
            <w:tr w14:paraId="4EC1CDE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75"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7D52E53">
                  <w:pPr>
                    <w:pStyle w:val="4"/>
                    <w:jc w:val="center"/>
                  </w:pPr>
                  <w:r>
                    <w:rPr>
                      <w:rFonts w:ascii="宋体" w:hAnsi="宋体" w:eastAsia="宋体" w:cs="宋体"/>
                      <w:sz w:val="24"/>
                    </w:rPr>
                    <w:t>4</w:t>
                  </w:r>
                </w:p>
              </w:tc>
              <w:tc>
                <w:tcPr>
                  <w:tcW w:w="355"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FF535B0">
                  <w:pPr>
                    <w:pStyle w:val="4"/>
                    <w:jc w:val="center"/>
                  </w:pPr>
                  <w:r>
                    <w:rPr>
                      <w:rFonts w:ascii="宋体" w:hAnsi="宋体" w:eastAsia="宋体" w:cs="宋体"/>
                      <w:sz w:val="24"/>
                    </w:rPr>
                    <w:t>滤液系统</w:t>
                  </w:r>
                </w:p>
              </w:tc>
              <w:tc>
                <w:tcPr>
                  <w:tcW w:w="5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4088233">
                  <w:pPr>
                    <w:pStyle w:val="4"/>
                    <w:jc w:val="center"/>
                  </w:pPr>
                  <w:r>
                    <w:rPr>
                      <w:rFonts w:ascii="宋体" w:hAnsi="宋体" w:eastAsia="宋体" w:cs="宋体"/>
                      <w:sz w:val="24"/>
                    </w:rPr>
                    <w:t>气浮回流泵</w:t>
                  </w:r>
                </w:p>
              </w:tc>
              <w:tc>
                <w:tcPr>
                  <w:tcW w:w="38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6EEDEC7">
                  <w:pPr>
                    <w:pStyle w:val="4"/>
                    <w:jc w:val="center"/>
                  </w:pPr>
                  <w:r>
                    <w:rPr>
                      <w:rFonts w:ascii="宋体" w:hAnsi="宋体" w:eastAsia="宋体" w:cs="宋体"/>
                      <w:sz w:val="24"/>
                    </w:rPr>
                    <w:t>11</w:t>
                  </w:r>
                </w:p>
              </w:tc>
              <w:tc>
                <w:tcPr>
                  <w:tcW w:w="17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4266E2A">
                  <w:pPr>
                    <w:pStyle w:val="4"/>
                    <w:jc w:val="center"/>
                  </w:pPr>
                  <w:r>
                    <w:rPr>
                      <w:rFonts w:ascii="宋体" w:hAnsi="宋体" w:eastAsia="宋体" w:cs="宋体"/>
                      <w:sz w:val="24"/>
                    </w:rPr>
                    <w:t>1</w:t>
                  </w:r>
                </w:p>
              </w:tc>
              <w:tc>
                <w:tcPr>
                  <w:tcW w:w="247"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A720962">
                  <w:pPr>
                    <w:pStyle w:val="4"/>
                    <w:jc w:val="center"/>
                  </w:pPr>
                  <w:r>
                    <w:rPr>
                      <w:rFonts w:ascii="宋体" w:hAnsi="宋体" w:eastAsia="宋体" w:cs="宋体"/>
                      <w:sz w:val="24"/>
                    </w:rPr>
                    <w:t>1次/月</w:t>
                  </w:r>
                </w:p>
              </w:tc>
              <w:tc>
                <w:tcPr>
                  <w:tcW w:w="367"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AA88800">
                  <w:pPr>
                    <w:pStyle w:val="4"/>
                    <w:jc w:val="center"/>
                  </w:pPr>
                  <w:r>
                    <w:rPr>
                      <w:rFonts w:ascii="宋体" w:hAnsi="宋体" w:eastAsia="宋体" w:cs="宋体"/>
                      <w:sz w:val="24"/>
                    </w:rPr>
                    <w:t>2021年8月</w:t>
                  </w:r>
                </w:p>
              </w:tc>
              <w:tc>
                <w:tcPr>
                  <w:tcW w:w="349"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3AA1B59">
                  <w:pPr>
                    <w:pStyle w:val="4"/>
                    <w:jc w:val="left"/>
                  </w:pPr>
                </w:p>
              </w:tc>
            </w:tr>
            <w:tr w14:paraId="48412DB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75" w:type="dxa"/>
                  <w:vMerge w:val="continue"/>
                  <w:tcBorders>
                    <w:top w:val="nil"/>
                    <w:left w:val="single" w:color="000000" w:sz="4" w:space="0"/>
                    <w:bottom w:val="single" w:color="000000" w:sz="4" w:space="0"/>
                    <w:right w:val="single" w:color="000000" w:sz="4" w:space="0"/>
                  </w:tcBorders>
                </w:tcPr>
                <w:p w14:paraId="35303B8E"/>
              </w:tc>
              <w:tc>
                <w:tcPr>
                  <w:tcW w:w="355" w:type="dxa"/>
                  <w:vMerge w:val="continue"/>
                  <w:tcBorders>
                    <w:top w:val="nil"/>
                    <w:left w:val="single" w:color="000000" w:sz="4" w:space="0"/>
                    <w:bottom w:val="single" w:color="000000" w:sz="4" w:space="0"/>
                    <w:right w:val="single" w:color="000000" w:sz="4" w:space="0"/>
                  </w:tcBorders>
                </w:tcPr>
                <w:p w14:paraId="36CD5174"/>
              </w:tc>
              <w:tc>
                <w:tcPr>
                  <w:tcW w:w="5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7A4FF12">
                  <w:pPr>
                    <w:pStyle w:val="4"/>
                    <w:jc w:val="center"/>
                  </w:pPr>
                  <w:r>
                    <w:rPr>
                      <w:rFonts w:ascii="宋体" w:hAnsi="宋体" w:eastAsia="宋体" w:cs="宋体"/>
                      <w:sz w:val="24"/>
                    </w:rPr>
                    <w:t>气浮仓搅拌机</w:t>
                  </w:r>
                </w:p>
              </w:tc>
              <w:tc>
                <w:tcPr>
                  <w:tcW w:w="38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98EE506">
                  <w:pPr>
                    <w:pStyle w:val="4"/>
                    <w:jc w:val="center"/>
                  </w:pPr>
                  <w:r>
                    <w:rPr>
                      <w:rFonts w:ascii="宋体" w:hAnsi="宋体" w:eastAsia="宋体" w:cs="宋体"/>
                      <w:sz w:val="24"/>
                    </w:rPr>
                    <w:t>1.5</w:t>
                  </w:r>
                </w:p>
              </w:tc>
              <w:tc>
                <w:tcPr>
                  <w:tcW w:w="17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2A62068">
                  <w:pPr>
                    <w:pStyle w:val="4"/>
                    <w:jc w:val="center"/>
                  </w:pPr>
                  <w:r>
                    <w:rPr>
                      <w:rFonts w:ascii="宋体" w:hAnsi="宋体" w:eastAsia="宋体" w:cs="宋体"/>
                      <w:sz w:val="24"/>
                    </w:rPr>
                    <w:t>2</w:t>
                  </w:r>
                </w:p>
              </w:tc>
              <w:tc>
                <w:tcPr>
                  <w:tcW w:w="247" w:type="dxa"/>
                  <w:vMerge w:val="continue"/>
                  <w:tcBorders>
                    <w:top w:val="nil"/>
                    <w:left w:val="single" w:color="000000" w:sz="4" w:space="0"/>
                    <w:bottom w:val="single" w:color="000000" w:sz="4" w:space="0"/>
                    <w:right w:val="single" w:color="000000" w:sz="4" w:space="0"/>
                  </w:tcBorders>
                </w:tcPr>
                <w:p w14:paraId="3E8F68B9"/>
              </w:tc>
              <w:tc>
                <w:tcPr>
                  <w:tcW w:w="367" w:type="dxa"/>
                  <w:vMerge w:val="continue"/>
                  <w:tcBorders>
                    <w:top w:val="nil"/>
                    <w:left w:val="single" w:color="000000" w:sz="4" w:space="0"/>
                    <w:bottom w:val="single" w:color="000000" w:sz="4" w:space="0"/>
                    <w:right w:val="single" w:color="000000" w:sz="4" w:space="0"/>
                  </w:tcBorders>
                </w:tcPr>
                <w:p w14:paraId="5ABBBFE0"/>
              </w:tc>
              <w:tc>
                <w:tcPr>
                  <w:tcW w:w="349" w:type="dxa"/>
                  <w:vMerge w:val="continue"/>
                  <w:tcBorders>
                    <w:top w:val="nil"/>
                    <w:left w:val="single" w:color="000000" w:sz="4" w:space="0"/>
                    <w:bottom w:val="single" w:color="000000" w:sz="4" w:space="0"/>
                    <w:right w:val="single" w:color="000000" w:sz="4" w:space="0"/>
                  </w:tcBorders>
                </w:tcPr>
                <w:p w14:paraId="4FEBEF59"/>
              </w:tc>
            </w:tr>
            <w:tr w14:paraId="6CB27D4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75" w:type="dxa"/>
                  <w:vMerge w:val="continue"/>
                  <w:tcBorders>
                    <w:top w:val="nil"/>
                    <w:left w:val="single" w:color="000000" w:sz="4" w:space="0"/>
                    <w:bottom w:val="single" w:color="000000" w:sz="4" w:space="0"/>
                    <w:right w:val="single" w:color="000000" w:sz="4" w:space="0"/>
                  </w:tcBorders>
                </w:tcPr>
                <w:p w14:paraId="4772EF1C"/>
              </w:tc>
              <w:tc>
                <w:tcPr>
                  <w:tcW w:w="355" w:type="dxa"/>
                  <w:vMerge w:val="continue"/>
                  <w:tcBorders>
                    <w:top w:val="nil"/>
                    <w:left w:val="single" w:color="000000" w:sz="4" w:space="0"/>
                    <w:bottom w:val="single" w:color="000000" w:sz="4" w:space="0"/>
                    <w:right w:val="single" w:color="000000" w:sz="4" w:space="0"/>
                  </w:tcBorders>
                </w:tcPr>
                <w:p w14:paraId="04E0C585"/>
              </w:tc>
              <w:tc>
                <w:tcPr>
                  <w:tcW w:w="50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A171EA6">
                  <w:pPr>
                    <w:pStyle w:val="4"/>
                    <w:jc w:val="center"/>
                  </w:pPr>
                  <w:r>
                    <w:rPr>
                      <w:rFonts w:ascii="宋体" w:hAnsi="宋体" w:eastAsia="宋体" w:cs="宋体"/>
                      <w:sz w:val="24"/>
                    </w:rPr>
                    <w:t>高效沉淀池搅拌机</w:t>
                  </w:r>
                </w:p>
              </w:tc>
              <w:tc>
                <w:tcPr>
                  <w:tcW w:w="38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B13814E">
                  <w:pPr>
                    <w:pStyle w:val="4"/>
                    <w:jc w:val="center"/>
                  </w:pPr>
                  <w:r>
                    <w:rPr>
                      <w:rFonts w:ascii="宋体" w:hAnsi="宋体" w:eastAsia="宋体" w:cs="宋体"/>
                      <w:sz w:val="24"/>
                    </w:rPr>
                    <w:t>0.37</w:t>
                  </w:r>
                </w:p>
              </w:tc>
              <w:tc>
                <w:tcPr>
                  <w:tcW w:w="17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8716A18">
                  <w:pPr>
                    <w:pStyle w:val="4"/>
                    <w:jc w:val="center"/>
                  </w:pPr>
                  <w:r>
                    <w:rPr>
                      <w:rFonts w:ascii="宋体" w:hAnsi="宋体" w:eastAsia="宋体" w:cs="宋体"/>
                      <w:sz w:val="24"/>
                    </w:rPr>
                    <w:t>1</w:t>
                  </w:r>
                </w:p>
              </w:tc>
              <w:tc>
                <w:tcPr>
                  <w:tcW w:w="247" w:type="dxa"/>
                  <w:vMerge w:val="continue"/>
                  <w:tcBorders>
                    <w:top w:val="nil"/>
                    <w:left w:val="single" w:color="000000" w:sz="4" w:space="0"/>
                    <w:bottom w:val="single" w:color="000000" w:sz="4" w:space="0"/>
                    <w:right w:val="single" w:color="000000" w:sz="4" w:space="0"/>
                  </w:tcBorders>
                </w:tcPr>
                <w:p w14:paraId="5C51D013"/>
              </w:tc>
              <w:tc>
                <w:tcPr>
                  <w:tcW w:w="367" w:type="dxa"/>
                  <w:vMerge w:val="continue"/>
                  <w:tcBorders>
                    <w:top w:val="nil"/>
                    <w:left w:val="single" w:color="000000" w:sz="4" w:space="0"/>
                    <w:bottom w:val="single" w:color="000000" w:sz="4" w:space="0"/>
                    <w:right w:val="single" w:color="000000" w:sz="4" w:space="0"/>
                  </w:tcBorders>
                </w:tcPr>
                <w:p w14:paraId="2B9A10D5"/>
              </w:tc>
              <w:tc>
                <w:tcPr>
                  <w:tcW w:w="349" w:type="dxa"/>
                  <w:vMerge w:val="continue"/>
                  <w:tcBorders>
                    <w:top w:val="nil"/>
                    <w:left w:val="single" w:color="000000" w:sz="4" w:space="0"/>
                    <w:bottom w:val="single" w:color="000000" w:sz="4" w:space="0"/>
                    <w:right w:val="single" w:color="000000" w:sz="4" w:space="0"/>
                  </w:tcBorders>
                </w:tcPr>
                <w:p w14:paraId="08358CBF"/>
              </w:tc>
            </w:tr>
            <w:tr w14:paraId="7B0D6A1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553" w:type="dxa"/>
                  <w:gridSpan w:val="8"/>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6D3C7F4">
                  <w:pPr>
                    <w:pStyle w:val="4"/>
                    <w:jc w:val="left"/>
                  </w:pPr>
                  <w:r>
                    <w:rPr>
                      <w:rFonts w:ascii="宋体" w:hAnsi="宋体" w:eastAsia="宋体" w:cs="宋体"/>
                      <w:sz w:val="24"/>
                    </w:rPr>
                    <w:t>备注：设备设施防腐一年一次。</w:t>
                  </w:r>
                </w:p>
              </w:tc>
            </w:tr>
          </w:tbl>
          <w:p w14:paraId="3DB6EFC2">
            <w:pPr>
              <w:pStyle w:val="4"/>
              <w:ind w:firstLine="480"/>
              <w:jc w:val="both"/>
            </w:pPr>
            <w:r>
              <w:rPr>
                <w:rFonts w:ascii="仿宋" w:hAnsi="仿宋" w:eastAsia="仿宋" w:cs="仿宋"/>
                <w:sz w:val="24"/>
              </w:rPr>
              <w:t>（4）因设备设施计划性检修、大修等，需部分停运或停运的，供应商应提前15个工作日报区水务局、区环保局备案，并在取得同意后实施。因大修或突发事件造成污水处理停运的，必须立即启动应急预案，并在40分钟内报区水务局、区环保局。</w:t>
            </w:r>
          </w:p>
          <w:p w14:paraId="78462815">
            <w:pPr>
              <w:pStyle w:val="4"/>
              <w:ind w:firstLine="480"/>
              <w:jc w:val="both"/>
            </w:pPr>
            <w:r>
              <w:rPr>
                <w:rFonts w:ascii="仿宋" w:hAnsi="仿宋" w:eastAsia="仿宋" w:cs="仿宋"/>
                <w:sz w:val="24"/>
              </w:rPr>
              <w:t>（5）供应商应每日对进出水氟化物指标进行化验检测（自行检测），并做好数据记录。若环保、水务部门有水质检测要求的，供应商应予以配合。</w:t>
            </w:r>
          </w:p>
          <w:p w14:paraId="1A9408DA">
            <w:pPr>
              <w:pStyle w:val="4"/>
              <w:ind w:firstLine="480"/>
              <w:jc w:val="both"/>
            </w:pPr>
            <w:r>
              <w:rPr>
                <w:rFonts w:ascii="仿宋" w:hAnsi="仿宋" w:eastAsia="仿宋" w:cs="仿宋"/>
                <w:sz w:val="24"/>
              </w:rPr>
              <w:t>（6）在运维服务期开始之前，供应商应对相关运维人员进行安全教育培训。运维服务期内，供应商应遵守安全方面有关规定，制定必要的安全操作规程和管理制度，制定应急预案，配备相关安全防护设备及装备，并按照采购人要求开展定期或不定期安全生产教育培训和应急演练。现场应采取有效防护措施保证运维人员的安全，并保护环境，如因供应商管理、操作或经营不善等原因造成的人员安全事故、环境安全事故等一系列安全事故问题，均由供应商自行负责。</w:t>
            </w:r>
          </w:p>
          <w:p w14:paraId="74C58D53">
            <w:pPr>
              <w:pStyle w:val="4"/>
              <w:ind w:firstLine="480"/>
              <w:jc w:val="both"/>
            </w:pPr>
            <w:r>
              <w:rPr>
                <w:rFonts w:ascii="仿宋" w:hAnsi="仿宋" w:eastAsia="仿宋" w:cs="仿宋"/>
                <w:sz w:val="24"/>
              </w:rPr>
              <w:t>（7）本项目除氟工艺运行过程中产生的泥水混合物，回流至公兴（中电子）再生水厂统一浓缩脱水处理，污泥处置费用由采购人承担。站内产生的生活垃圾由供应商负责清除。</w:t>
            </w:r>
          </w:p>
          <w:p w14:paraId="12502011">
            <w:pPr>
              <w:pStyle w:val="4"/>
              <w:ind w:firstLine="480"/>
              <w:jc w:val="both"/>
            </w:pPr>
            <w:r>
              <w:rPr>
                <w:rFonts w:ascii="仿宋" w:hAnsi="仿宋" w:eastAsia="仿宋" w:cs="仿宋"/>
                <w:sz w:val="24"/>
              </w:rPr>
              <w:t>（8）供应商应建立检测、记录、存档和报告制度，服务期满后，按照采购人要求移交相关资料。</w:t>
            </w:r>
          </w:p>
          <w:p w14:paraId="139D01D9">
            <w:pPr>
              <w:pStyle w:val="4"/>
              <w:ind w:firstLine="480"/>
              <w:jc w:val="both"/>
            </w:pPr>
            <w:r>
              <w:rPr>
                <w:rFonts w:ascii="仿宋" w:hAnsi="仿宋" w:eastAsia="仿宋" w:cs="仿宋"/>
                <w:sz w:val="24"/>
              </w:rPr>
              <w:t>（9）采购人将按照《双流县污水处理设施管理考核细则》（详见附件）（若考核制度有变化的，按照变化后的考核制度执行；因相关法律法规的变化导致考核制度中的部分条款与相关法律法规的规定不一致的，按照变化后的相关法律法规的规定执行）对供应商进行考核，并按相应规定进行处理，供应商须无条件接受考核。</w:t>
            </w:r>
          </w:p>
          <w:p w14:paraId="4B56D741">
            <w:pPr>
              <w:pStyle w:val="4"/>
              <w:jc w:val="both"/>
            </w:pPr>
            <w:r>
              <w:rPr>
                <w:rFonts w:ascii="仿宋" w:hAnsi="仿宋" w:eastAsia="仿宋" w:cs="仿宋"/>
                <w:b/>
                <w:sz w:val="24"/>
              </w:rPr>
              <w:t>4、人员配置要求</w:t>
            </w:r>
          </w:p>
          <w:p w14:paraId="64807582">
            <w:pPr>
              <w:pStyle w:val="4"/>
              <w:jc w:val="both"/>
            </w:pPr>
            <w:r>
              <w:rPr>
                <w:rFonts w:ascii="仿宋" w:hAnsi="仿宋" w:eastAsia="仿宋" w:cs="仿宋"/>
                <w:b/>
                <w:sz w:val="24"/>
              </w:rPr>
              <w:t>（1）人员要求</w:t>
            </w:r>
          </w:p>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451"/>
              <w:gridCol w:w="451"/>
              <w:gridCol w:w="572"/>
              <w:gridCol w:w="692"/>
              <w:gridCol w:w="690"/>
              <w:gridCol w:w="690"/>
            </w:tblGrid>
            <w:tr w14:paraId="7EFBA26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7"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2CB3227C">
                  <w:pPr>
                    <w:pStyle w:val="4"/>
                    <w:jc w:val="center"/>
                  </w:pPr>
                  <w:r>
                    <w:rPr>
                      <w:rFonts w:ascii="仿宋" w:hAnsi="仿宋" w:eastAsia="仿宋" w:cs="仿宋"/>
                      <w:b/>
                      <w:sz w:val="24"/>
                    </w:rPr>
                    <w:t>序号</w:t>
                  </w:r>
                </w:p>
              </w:tc>
              <w:tc>
                <w:tcPr>
                  <w:tcW w:w="270"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763C094B">
                  <w:pPr>
                    <w:pStyle w:val="4"/>
                    <w:jc w:val="center"/>
                  </w:pPr>
                  <w:r>
                    <w:rPr>
                      <w:rFonts w:ascii="仿宋" w:hAnsi="仿宋" w:eastAsia="仿宋" w:cs="仿宋"/>
                      <w:b/>
                      <w:sz w:val="24"/>
                    </w:rPr>
                    <w:t>岗位名称</w:t>
                  </w:r>
                </w:p>
              </w:tc>
              <w:tc>
                <w:tcPr>
                  <w:tcW w:w="285"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5F0EE72C">
                  <w:pPr>
                    <w:pStyle w:val="4"/>
                    <w:jc w:val="center"/>
                  </w:pPr>
                  <w:r>
                    <w:rPr>
                      <w:rFonts w:ascii="仿宋" w:hAnsi="仿宋" w:eastAsia="仿宋" w:cs="仿宋"/>
                      <w:b/>
                      <w:sz w:val="24"/>
                    </w:rPr>
                    <w:t>人数要求(不少于)</w:t>
                  </w:r>
                </w:p>
              </w:tc>
              <w:tc>
                <w:tcPr>
                  <w:tcW w:w="692"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62E56528">
                  <w:pPr>
                    <w:pStyle w:val="4"/>
                    <w:jc w:val="center"/>
                  </w:pPr>
                  <w:r>
                    <w:rPr>
                      <w:rFonts w:ascii="仿宋" w:hAnsi="仿宋" w:eastAsia="仿宋" w:cs="仿宋"/>
                      <w:b/>
                      <w:sz w:val="24"/>
                    </w:rPr>
                    <w:t>职责</w:t>
                  </w:r>
                </w:p>
              </w:tc>
              <w:tc>
                <w:tcPr>
                  <w:tcW w:w="589"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4B568F56">
                  <w:pPr>
                    <w:pStyle w:val="4"/>
                    <w:jc w:val="center"/>
                  </w:pPr>
                  <w:r>
                    <w:rPr>
                      <w:rFonts w:ascii="仿宋" w:hAnsi="仿宋" w:eastAsia="仿宋" w:cs="仿宋"/>
                      <w:b/>
                      <w:sz w:val="24"/>
                    </w:rPr>
                    <w:t>岗位要求</w:t>
                  </w:r>
                </w:p>
              </w:tc>
              <w:tc>
                <w:tcPr>
                  <w:tcW w:w="521"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590FDB6D">
                  <w:pPr>
                    <w:pStyle w:val="4"/>
                    <w:jc w:val="center"/>
                  </w:pPr>
                  <w:r>
                    <w:rPr>
                      <w:rFonts w:ascii="仿宋" w:hAnsi="仿宋" w:eastAsia="仿宋" w:cs="仿宋"/>
                      <w:b/>
                      <w:sz w:val="24"/>
                    </w:rPr>
                    <w:t>备注</w:t>
                  </w:r>
                </w:p>
              </w:tc>
            </w:tr>
            <w:tr w14:paraId="35E7803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19CDD2A">
                  <w:pPr>
                    <w:pStyle w:val="4"/>
                    <w:jc w:val="center"/>
                  </w:pPr>
                  <w:r>
                    <w:rPr>
                      <w:rFonts w:ascii="仿宋" w:hAnsi="仿宋" w:eastAsia="仿宋" w:cs="仿宋"/>
                      <w:sz w:val="24"/>
                    </w:rPr>
                    <w:t>1</w:t>
                  </w:r>
                </w:p>
              </w:tc>
              <w:tc>
                <w:tcPr>
                  <w:tcW w:w="27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68842E2">
                  <w:pPr>
                    <w:pStyle w:val="4"/>
                    <w:jc w:val="center"/>
                  </w:pPr>
                  <w:r>
                    <w:rPr>
                      <w:rFonts w:ascii="仿宋" w:hAnsi="仿宋" w:eastAsia="仿宋" w:cs="仿宋"/>
                      <w:sz w:val="24"/>
                    </w:rPr>
                    <w:t>项目管理人员</w:t>
                  </w:r>
                </w:p>
              </w:tc>
              <w:tc>
                <w:tcPr>
                  <w:tcW w:w="2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FE6F598">
                  <w:pPr>
                    <w:pStyle w:val="4"/>
                    <w:jc w:val="center"/>
                  </w:pPr>
                  <w:r>
                    <w:rPr>
                      <w:rFonts w:ascii="仿宋" w:hAnsi="仿宋" w:eastAsia="仿宋" w:cs="仿宋"/>
                      <w:sz w:val="24"/>
                    </w:rPr>
                    <w:t>1</w:t>
                  </w:r>
                </w:p>
              </w:tc>
              <w:tc>
                <w:tcPr>
                  <w:tcW w:w="692" w:type="dxa"/>
                  <w:tcBorders>
                    <w:top w:val="nil"/>
                    <w:left w:val="nil"/>
                    <w:bottom w:val="single" w:color="000000" w:sz="4" w:space="0"/>
                    <w:right w:val="single" w:color="000000" w:sz="4" w:space="0"/>
                  </w:tcBorders>
                  <w:tcMar>
                    <w:top w:w="0" w:type="dxa"/>
                    <w:left w:w="105" w:type="dxa"/>
                    <w:bottom w:w="0" w:type="dxa"/>
                    <w:right w:w="105" w:type="dxa"/>
                  </w:tcMar>
                  <w:vAlign w:val="top"/>
                </w:tcPr>
                <w:p w14:paraId="7DC20EDC">
                  <w:pPr>
                    <w:pStyle w:val="4"/>
                    <w:jc w:val="left"/>
                  </w:pPr>
                  <w:r>
                    <w:rPr>
                      <w:rFonts w:ascii="仿宋" w:hAnsi="仿宋" w:eastAsia="仿宋" w:cs="仿宋"/>
                      <w:sz w:val="24"/>
                    </w:rPr>
                    <w:t>对项目全面负责，总体把控项目运维质量及安全运行，负责与采购人及相关单位的沟通协调工作。</w:t>
                  </w:r>
                </w:p>
              </w:tc>
              <w:tc>
                <w:tcPr>
                  <w:tcW w:w="5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0976E5B1">
                  <w:pPr>
                    <w:pStyle w:val="4"/>
                    <w:jc w:val="left"/>
                  </w:pPr>
                  <w:r>
                    <w:rPr>
                      <w:rFonts w:ascii="仿宋" w:hAnsi="仿宋" w:eastAsia="仿宋" w:cs="仿宋"/>
                      <w:sz w:val="24"/>
                    </w:rPr>
                    <w:t>从事污水处理、环保相关领域管理工作10及以上工作经验。</w:t>
                  </w:r>
                </w:p>
              </w:tc>
              <w:tc>
                <w:tcPr>
                  <w:tcW w:w="521" w:type="dxa"/>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13111FE5">
                  <w:pPr>
                    <w:pStyle w:val="4"/>
                    <w:jc w:val="left"/>
                  </w:pPr>
                  <w:r>
                    <w:rPr>
                      <w:rFonts w:ascii="仿宋" w:hAnsi="仿宋" w:eastAsia="仿宋" w:cs="仿宋"/>
                      <w:sz w:val="24"/>
                    </w:rPr>
                    <w:t>1、以上人员不得重复。</w:t>
                  </w:r>
                </w:p>
                <w:p w14:paraId="6F6C9C02">
                  <w:pPr>
                    <w:pStyle w:val="4"/>
                    <w:jc w:val="left"/>
                  </w:pPr>
                  <w:r>
                    <w:rPr>
                      <w:rFonts w:ascii="仿宋" w:hAnsi="仿宋" w:eastAsia="仿宋" w:cs="仿宋"/>
                      <w:sz w:val="24"/>
                    </w:rPr>
                    <w:t>2、需提供团队人员名单、身份证、本单位工作证明材料（供应商与实施人员签订的劳动合同或其他相关证明材料，退休人员还需附相关证明材料）及相关证书并加盖供应商公章。</w:t>
                  </w:r>
                </w:p>
              </w:tc>
            </w:tr>
            <w:tr w14:paraId="6743139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ACB6F3A">
                  <w:pPr>
                    <w:pStyle w:val="4"/>
                    <w:jc w:val="center"/>
                  </w:pPr>
                  <w:r>
                    <w:rPr>
                      <w:rFonts w:ascii="仿宋" w:hAnsi="仿宋" w:eastAsia="仿宋" w:cs="仿宋"/>
                      <w:sz w:val="24"/>
                    </w:rPr>
                    <w:t>2</w:t>
                  </w:r>
                </w:p>
              </w:tc>
              <w:tc>
                <w:tcPr>
                  <w:tcW w:w="27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0B075A6">
                  <w:pPr>
                    <w:pStyle w:val="4"/>
                    <w:jc w:val="center"/>
                  </w:pPr>
                  <w:r>
                    <w:rPr>
                      <w:rFonts w:ascii="仿宋" w:hAnsi="仿宋" w:eastAsia="仿宋" w:cs="仿宋"/>
                      <w:sz w:val="24"/>
                    </w:rPr>
                    <w:t>技术负责人员</w:t>
                  </w:r>
                </w:p>
              </w:tc>
              <w:tc>
                <w:tcPr>
                  <w:tcW w:w="2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816D0E6">
                  <w:pPr>
                    <w:pStyle w:val="4"/>
                    <w:jc w:val="center"/>
                  </w:pPr>
                  <w:r>
                    <w:rPr>
                      <w:rFonts w:ascii="仿宋" w:hAnsi="仿宋" w:eastAsia="仿宋" w:cs="仿宋"/>
                      <w:sz w:val="24"/>
                    </w:rPr>
                    <w:t>1</w:t>
                  </w:r>
                </w:p>
              </w:tc>
              <w:tc>
                <w:tcPr>
                  <w:tcW w:w="692" w:type="dxa"/>
                  <w:tcBorders>
                    <w:top w:val="nil"/>
                    <w:left w:val="nil"/>
                    <w:bottom w:val="single" w:color="000000" w:sz="4" w:space="0"/>
                    <w:right w:val="single" w:color="000000" w:sz="4" w:space="0"/>
                  </w:tcBorders>
                  <w:tcMar>
                    <w:top w:w="0" w:type="dxa"/>
                    <w:left w:w="105" w:type="dxa"/>
                    <w:bottom w:w="0" w:type="dxa"/>
                    <w:right w:w="105" w:type="dxa"/>
                  </w:tcMar>
                  <w:vAlign w:val="top"/>
                </w:tcPr>
                <w:p w14:paraId="7D7AE605">
                  <w:pPr>
                    <w:pStyle w:val="4"/>
                    <w:jc w:val="left"/>
                  </w:pPr>
                  <w:r>
                    <w:rPr>
                      <w:rFonts w:ascii="仿宋" w:hAnsi="仿宋" w:eastAsia="仿宋" w:cs="仿宋"/>
                      <w:sz w:val="24"/>
                    </w:rPr>
                    <w:t>对项目的日常运营工作全面负责，结合本项目实际情况及工艺运行情况，负责编制月度、年度生产计划、安全生产计划并组织实施。</w:t>
                  </w:r>
                </w:p>
              </w:tc>
              <w:tc>
                <w:tcPr>
                  <w:tcW w:w="5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348BDE6E">
                  <w:pPr>
                    <w:pStyle w:val="4"/>
                    <w:jc w:val="left"/>
                  </w:pPr>
                  <w:r>
                    <w:rPr>
                      <w:rFonts w:ascii="仿宋" w:hAnsi="仿宋" w:eastAsia="仿宋" w:cs="仿宋"/>
                      <w:sz w:val="24"/>
                    </w:rPr>
                    <w:t>1.具有3年以上从事污水处理、环保相关工作经验。</w:t>
                  </w:r>
                </w:p>
                <w:p w14:paraId="4083CCC9">
                  <w:pPr>
                    <w:pStyle w:val="4"/>
                    <w:jc w:val="left"/>
                  </w:pPr>
                  <w:r>
                    <w:rPr>
                      <w:rFonts w:ascii="仿宋" w:hAnsi="仿宋" w:eastAsia="仿宋" w:cs="仿宋"/>
                      <w:sz w:val="24"/>
                    </w:rPr>
                    <w:t>2.具有给排水或环境工程或机械设备等相关专业的中级及以上专业技术职称。</w:t>
                  </w:r>
                </w:p>
              </w:tc>
              <w:tc>
                <w:tcPr>
                  <w:tcW w:w="521" w:type="dxa"/>
                  <w:vMerge w:val="continue"/>
                  <w:tcBorders>
                    <w:top w:val="nil"/>
                    <w:left w:val="nil"/>
                    <w:bottom w:val="single" w:color="000000" w:sz="4" w:space="0"/>
                    <w:right w:val="single" w:color="000000" w:sz="4" w:space="0"/>
                  </w:tcBorders>
                </w:tcPr>
                <w:p w14:paraId="164A26A5"/>
              </w:tc>
            </w:tr>
            <w:tr w14:paraId="5DAAF26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D2BCCE1">
                  <w:pPr>
                    <w:pStyle w:val="4"/>
                    <w:jc w:val="center"/>
                  </w:pPr>
                  <w:r>
                    <w:rPr>
                      <w:rFonts w:ascii="仿宋" w:hAnsi="仿宋" w:eastAsia="仿宋" w:cs="仿宋"/>
                      <w:sz w:val="24"/>
                    </w:rPr>
                    <w:t>3</w:t>
                  </w:r>
                </w:p>
              </w:tc>
              <w:tc>
                <w:tcPr>
                  <w:tcW w:w="27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A0B34AB">
                  <w:pPr>
                    <w:pStyle w:val="4"/>
                    <w:jc w:val="center"/>
                  </w:pPr>
                  <w:r>
                    <w:rPr>
                      <w:rFonts w:ascii="仿宋" w:hAnsi="仿宋" w:eastAsia="仿宋" w:cs="仿宋"/>
                      <w:sz w:val="24"/>
                    </w:rPr>
                    <w:t>设备维修人员</w:t>
                  </w:r>
                </w:p>
              </w:tc>
              <w:tc>
                <w:tcPr>
                  <w:tcW w:w="2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C9CA0ED">
                  <w:pPr>
                    <w:pStyle w:val="4"/>
                    <w:jc w:val="center"/>
                  </w:pPr>
                  <w:r>
                    <w:rPr>
                      <w:rFonts w:ascii="仿宋" w:hAnsi="仿宋" w:eastAsia="仿宋" w:cs="仿宋"/>
                      <w:sz w:val="24"/>
                    </w:rPr>
                    <w:t>1</w:t>
                  </w:r>
                </w:p>
              </w:tc>
              <w:tc>
                <w:tcPr>
                  <w:tcW w:w="692" w:type="dxa"/>
                  <w:tcBorders>
                    <w:top w:val="nil"/>
                    <w:left w:val="nil"/>
                    <w:bottom w:val="single" w:color="000000" w:sz="4" w:space="0"/>
                    <w:right w:val="single" w:color="000000" w:sz="4" w:space="0"/>
                  </w:tcBorders>
                  <w:tcMar>
                    <w:top w:w="0" w:type="dxa"/>
                    <w:left w:w="105" w:type="dxa"/>
                    <w:bottom w:w="0" w:type="dxa"/>
                    <w:right w:w="105" w:type="dxa"/>
                  </w:tcMar>
                  <w:vAlign w:val="top"/>
                </w:tcPr>
                <w:p w14:paraId="13C2C75E">
                  <w:pPr>
                    <w:pStyle w:val="4"/>
                    <w:jc w:val="left"/>
                  </w:pPr>
                  <w:r>
                    <w:rPr>
                      <w:rFonts w:ascii="仿宋" w:hAnsi="仿宋" w:eastAsia="仿宋" w:cs="仿宋"/>
                      <w:sz w:val="24"/>
                    </w:rPr>
                    <w:t>负责项目设施设备日常维护维修工作。</w:t>
                  </w:r>
                </w:p>
              </w:tc>
              <w:tc>
                <w:tcPr>
                  <w:tcW w:w="5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5278F7F4">
                  <w:pPr>
                    <w:pStyle w:val="4"/>
                    <w:jc w:val="left"/>
                  </w:pPr>
                </w:p>
              </w:tc>
              <w:tc>
                <w:tcPr>
                  <w:tcW w:w="521" w:type="dxa"/>
                  <w:vMerge w:val="continue"/>
                  <w:tcBorders>
                    <w:top w:val="nil"/>
                    <w:left w:val="nil"/>
                    <w:bottom w:val="single" w:color="000000" w:sz="4" w:space="0"/>
                    <w:right w:val="single" w:color="000000" w:sz="4" w:space="0"/>
                  </w:tcBorders>
                </w:tcPr>
                <w:p w14:paraId="00661615"/>
              </w:tc>
            </w:tr>
            <w:tr w14:paraId="2BD9E9E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688D71E">
                  <w:pPr>
                    <w:pStyle w:val="4"/>
                    <w:jc w:val="center"/>
                  </w:pPr>
                  <w:r>
                    <w:rPr>
                      <w:rFonts w:ascii="仿宋" w:hAnsi="仿宋" w:eastAsia="仿宋" w:cs="仿宋"/>
                      <w:sz w:val="24"/>
                    </w:rPr>
                    <w:t>4</w:t>
                  </w:r>
                </w:p>
              </w:tc>
              <w:tc>
                <w:tcPr>
                  <w:tcW w:w="27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9725934">
                  <w:pPr>
                    <w:pStyle w:val="4"/>
                    <w:jc w:val="center"/>
                  </w:pPr>
                  <w:r>
                    <w:rPr>
                      <w:rFonts w:ascii="仿宋" w:hAnsi="仿宋" w:eastAsia="仿宋" w:cs="仿宋"/>
                      <w:sz w:val="24"/>
                    </w:rPr>
                    <w:t>化验人员</w:t>
                  </w:r>
                </w:p>
              </w:tc>
              <w:tc>
                <w:tcPr>
                  <w:tcW w:w="2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F7DF651">
                  <w:pPr>
                    <w:pStyle w:val="4"/>
                    <w:jc w:val="center"/>
                  </w:pPr>
                  <w:r>
                    <w:rPr>
                      <w:rFonts w:ascii="仿宋" w:hAnsi="仿宋" w:eastAsia="仿宋" w:cs="仿宋"/>
                      <w:sz w:val="24"/>
                    </w:rPr>
                    <w:t>1</w:t>
                  </w:r>
                </w:p>
              </w:tc>
              <w:tc>
                <w:tcPr>
                  <w:tcW w:w="692" w:type="dxa"/>
                  <w:tcBorders>
                    <w:top w:val="nil"/>
                    <w:left w:val="nil"/>
                    <w:bottom w:val="single" w:color="000000" w:sz="4" w:space="0"/>
                    <w:right w:val="single" w:color="000000" w:sz="4" w:space="0"/>
                  </w:tcBorders>
                  <w:tcMar>
                    <w:top w:w="0" w:type="dxa"/>
                    <w:left w:w="105" w:type="dxa"/>
                    <w:bottom w:w="0" w:type="dxa"/>
                    <w:right w:w="105" w:type="dxa"/>
                  </w:tcMar>
                  <w:vAlign w:val="top"/>
                </w:tcPr>
                <w:p w14:paraId="5515F1CD">
                  <w:pPr>
                    <w:pStyle w:val="4"/>
                    <w:jc w:val="left"/>
                  </w:pPr>
                  <w:r>
                    <w:rPr>
                      <w:rFonts w:ascii="仿宋" w:hAnsi="仿宋" w:eastAsia="仿宋" w:cs="仿宋"/>
                      <w:sz w:val="24"/>
                    </w:rPr>
                    <w:t>负责开展项目的日常水质检测工作，做好危化药品管控工作。</w:t>
                  </w:r>
                </w:p>
              </w:tc>
              <w:tc>
                <w:tcPr>
                  <w:tcW w:w="5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0EAB3589">
                  <w:pPr>
                    <w:pStyle w:val="4"/>
                    <w:jc w:val="left"/>
                  </w:pPr>
                </w:p>
              </w:tc>
              <w:tc>
                <w:tcPr>
                  <w:tcW w:w="521" w:type="dxa"/>
                  <w:vMerge w:val="continue"/>
                  <w:tcBorders>
                    <w:top w:val="nil"/>
                    <w:left w:val="nil"/>
                    <w:bottom w:val="single" w:color="000000" w:sz="4" w:space="0"/>
                    <w:right w:val="single" w:color="000000" w:sz="4" w:space="0"/>
                  </w:tcBorders>
                </w:tcPr>
                <w:p w14:paraId="30442CBB"/>
              </w:tc>
            </w:tr>
            <w:tr w14:paraId="5916F0D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9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7BDA4B5">
                  <w:pPr>
                    <w:pStyle w:val="4"/>
                    <w:jc w:val="center"/>
                  </w:pPr>
                  <w:r>
                    <w:rPr>
                      <w:rFonts w:ascii="仿宋" w:hAnsi="仿宋" w:eastAsia="仿宋" w:cs="仿宋"/>
                      <w:sz w:val="24"/>
                    </w:rPr>
                    <w:t>5</w:t>
                  </w:r>
                </w:p>
              </w:tc>
              <w:tc>
                <w:tcPr>
                  <w:tcW w:w="27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09806CA">
                  <w:pPr>
                    <w:pStyle w:val="4"/>
                    <w:jc w:val="center"/>
                  </w:pPr>
                  <w:r>
                    <w:rPr>
                      <w:rFonts w:ascii="仿宋" w:hAnsi="仿宋" w:eastAsia="仿宋" w:cs="仿宋"/>
                      <w:sz w:val="24"/>
                    </w:rPr>
                    <w:t>运营操作人员</w:t>
                  </w:r>
                </w:p>
              </w:tc>
              <w:tc>
                <w:tcPr>
                  <w:tcW w:w="28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6F87CDB">
                  <w:pPr>
                    <w:pStyle w:val="4"/>
                    <w:jc w:val="center"/>
                  </w:pPr>
                  <w:r>
                    <w:rPr>
                      <w:rFonts w:ascii="仿宋" w:hAnsi="仿宋" w:eastAsia="仿宋" w:cs="仿宋"/>
                      <w:sz w:val="24"/>
                    </w:rPr>
                    <w:t>4</w:t>
                  </w:r>
                </w:p>
              </w:tc>
              <w:tc>
                <w:tcPr>
                  <w:tcW w:w="692" w:type="dxa"/>
                  <w:tcBorders>
                    <w:top w:val="nil"/>
                    <w:left w:val="nil"/>
                    <w:bottom w:val="single" w:color="000000" w:sz="4" w:space="0"/>
                    <w:right w:val="single" w:color="000000" w:sz="4" w:space="0"/>
                  </w:tcBorders>
                  <w:tcMar>
                    <w:top w:w="0" w:type="dxa"/>
                    <w:left w:w="105" w:type="dxa"/>
                    <w:bottom w:w="0" w:type="dxa"/>
                    <w:right w:w="105" w:type="dxa"/>
                  </w:tcMar>
                  <w:vAlign w:val="top"/>
                </w:tcPr>
                <w:p w14:paraId="7344B9F0">
                  <w:pPr>
                    <w:pStyle w:val="4"/>
                    <w:jc w:val="left"/>
                  </w:pPr>
                  <w:r>
                    <w:rPr>
                      <w:rFonts w:ascii="仿宋" w:hAnsi="仿宋" w:eastAsia="仿宋" w:cs="仿宋"/>
                      <w:sz w:val="24"/>
                    </w:rPr>
                    <w:t>配合开展项目的日常运营工作。</w:t>
                  </w:r>
                </w:p>
              </w:tc>
              <w:tc>
                <w:tcPr>
                  <w:tcW w:w="589" w:type="dxa"/>
                  <w:tcBorders>
                    <w:top w:val="nil"/>
                    <w:left w:val="nil"/>
                    <w:bottom w:val="single" w:color="000000" w:sz="4" w:space="0"/>
                    <w:right w:val="single" w:color="000000" w:sz="4" w:space="0"/>
                  </w:tcBorders>
                  <w:tcMar>
                    <w:top w:w="0" w:type="dxa"/>
                    <w:left w:w="105" w:type="dxa"/>
                    <w:bottom w:w="0" w:type="dxa"/>
                    <w:right w:w="105" w:type="dxa"/>
                  </w:tcMar>
                  <w:vAlign w:val="top"/>
                </w:tcPr>
                <w:p w14:paraId="1319E19D">
                  <w:pPr>
                    <w:pStyle w:val="4"/>
                    <w:jc w:val="left"/>
                  </w:pPr>
                </w:p>
              </w:tc>
              <w:tc>
                <w:tcPr>
                  <w:tcW w:w="521" w:type="dxa"/>
                  <w:vMerge w:val="continue"/>
                  <w:tcBorders>
                    <w:top w:val="nil"/>
                    <w:left w:val="nil"/>
                    <w:bottom w:val="single" w:color="000000" w:sz="4" w:space="0"/>
                    <w:right w:val="single" w:color="000000" w:sz="4" w:space="0"/>
                  </w:tcBorders>
                </w:tcPr>
                <w:p w14:paraId="08A9346D"/>
              </w:tc>
            </w:tr>
          </w:tbl>
          <w:p w14:paraId="7B4F4A94">
            <w:pPr>
              <w:pStyle w:val="4"/>
              <w:jc w:val="both"/>
            </w:pPr>
            <w:r>
              <w:rPr>
                <w:rFonts w:ascii="仿宋" w:hAnsi="仿宋" w:eastAsia="仿宋" w:cs="仿宋"/>
                <w:b/>
                <w:sz w:val="24"/>
              </w:rPr>
              <w:t>（2）其他要求</w:t>
            </w:r>
          </w:p>
          <w:p w14:paraId="0100D442">
            <w:pPr>
              <w:pStyle w:val="4"/>
              <w:ind w:firstLine="420"/>
              <w:jc w:val="both"/>
            </w:pPr>
            <w:r>
              <w:rPr>
                <w:rFonts w:ascii="仿宋" w:hAnsi="仿宋" w:eastAsia="仿宋" w:cs="仿宋"/>
                <w:b/>
                <w:sz w:val="24"/>
              </w:rPr>
              <w:t>供应商需单独提供承诺函并加盖供应商公章，并作为响应的一部分。承诺函应包括以下内容：</w:t>
            </w:r>
          </w:p>
          <w:p w14:paraId="32535FA5">
            <w:pPr>
              <w:pStyle w:val="4"/>
              <w:ind w:firstLine="480"/>
              <w:jc w:val="both"/>
            </w:pPr>
            <w:r>
              <w:rPr>
                <w:rFonts w:ascii="仿宋" w:hAnsi="仿宋" w:eastAsia="仿宋" w:cs="仿宋"/>
                <w:sz w:val="24"/>
              </w:rPr>
              <w:t>（1）本项目服务人员实行定岗定人，管理人员不得随意更换，如需更换的，须向采购人提交书面申请，并详细说明更换的原因、提供替代人员的简历及劳动合同等材料，经采购人同意后，方可更换。</w:t>
            </w:r>
          </w:p>
          <w:p w14:paraId="0103A134">
            <w:pPr>
              <w:pStyle w:val="4"/>
              <w:ind w:firstLine="480"/>
              <w:jc w:val="both"/>
            </w:pPr>
            <w:r>
              <w:rPr>
                <w:rFonts w:ascii="仿宋" w:hAnsi="仿宋" w:eastAsia="仿宋" w:cs="仿宋"/>
                <w:sz w:val="24"/>
              </w:rPr>
              <w:t>（2）在项目实施过程中接受采购人的管理和监督。</w:t>
            </w:r>
          </w:p>
          <w:p w14:paraId="6D2E7861">
            <w:pPr>
              <w:pStyle w:val="4"/>
              <w:ind w:firstLine="480"/>
              <w:jc w:val="both"/>
            </w:pPr>
            <w:r>
              <w:rPr>
                <w:rFonts w:ascii="仿宋" w:hAnsi="仿宋" w:eastAsia="仿宋" w:cs="仿宋"/>
                <w:sz w:val="24"/>
              </w:rPr>
              <w:t>（3）对项目运行数据等相关信息进行严格保密，除按相关规定需要公开或取得采购人同意外，不得私自外泄。</w:t>
            </w:r>
          </w:p>
          <w:p w14:paraId="5D4F5715">
            <w:pPr>
              <w:pStyle w:val="4"/>
              <w:ind w:left="195"/>
              <w:jc w:val="left"/>
            </w:pPr>
            <w:r>
              <w:rPr>
                <w:rFonts w:ascii="仿宋" w:hAnsi="仿宋" w:eastAsia="仿宋" w:cs="仿宋"/>
                <w:b/>
                <w:sz w:val="24"/>
              </w:rPr>
              <w:t>5、整体方案要求（此要求对应评分标准第3项内容）</w:t>
            </w:r>
          </w:p>
          <w:p w14:paraId="66BF1F42">
            <w:pPr>
              <w:pStyle w:val="4"/>
              <w:ind w:firstLine="480"/>
              <w:jc w:val="both"/>
            </w:pPr>
            <w:r>
              <w:rPr>
                <w:rFonts w:ascii="仿宋" w:hAnsi="仿宋" w:eastAsia="仿宋" w:cs="仿宋"/>
                <w:sz w:val="24"/>
              </w:rPr>
              <w:t>（1）运营维护方案</w:t>
            </w:r>
          </w:p>
          <w:p w14:paraId="2DDF9585">
            <w:pPr>
              <w:pStyle w:val="4"/>
              <w:ind w:firstLine="480"/>
              <w:jc w:val="both"/>
            </w:pPr>
            <w:r>
              <w:rPr>
                <w:rFonts w:ascii="仿宋" w:hAnsi="仿宋" w:eastAsia="仿宋" w:cs="仿宋"/>
                <w:sz w:val="24"/>
              </w:rPr>
              <w:t>结合本项目服务需求，提供完整的运营维护方案，至少包含：①机构设置、②管理制度、③计划安排、④人员培训计划、⑤水质检测方案（包括规范取样及保存、检测频率、质量控制）、⑥设备设施维护管理方案、⑦设备的运行管理方案、⑧节能降耗方案。</w:t>
            </w:r>
          </w:p>
          <w:p w14:paraId="3CA7E034">
            <w:pPr>
              <w:pStyle w:val="4"/>
              <w:ind w:firstLine="480"/>
              <w:jc w:val="both"/>
            </w:pPr>
            <w:r>
              <w:rPr>
                <w:rFonts w:ascii="仿宋" w:hAnsi="仿宋" w:eastAsia="仿宋" w:cs="仿宋"/>
                <w:sz w:val="24"/>
              </w:rPr>
              <w:t>（2）除氟工艺针对性运营方案</w:t>
            </w:r>
          </w:p>
          <w:p w14:paraId="207DC1A9">
            <w:pPr>
              <w:pStyle w:val="4"/>
              <w:ind w:firstLine="480"/>
              <w:jc w:val="both"/>
            </w:pPr>
            <w:r>
              <w:rPr>
                <w:rFonts w:ascii="仿宋" w:hAnsi="仿宋" w:eastAsia="仿宋" w:cs="仿宋"/>
                <w:sz w:val="24"/>
              </w:rPr>
              <w:t>结合本项目服务需求，提供完整的除氟工艺针对性运营方案，至少包含：①工艺现状分析、②运营的重点和难点分析及解决方案。</w:t>
            </w:r>
          </w:p>
          <w:p w14:paraId="4976DFB4">
            <w:pPr>
              <w:pStyle w:val="4"/>
              <w:ind w:firstLine="480"/>
              <w:jc w:val="both"/>
            </w:pPr>
            <w:r>
              <w:rPr>
                <w:rFonts w:ascii="仿宋" w:hAnsi="仿宋" w:eastAsia="仿宋" w:cs="仿宋"/>
                <w:sz w:val="24"/>
              </w:rPr>
              <w:t>（3）质量安全管理方案</w:t>
            </w:r>
          </w:p>
          <w:p w14:paraId="108D48A6">
            <w:pPr>
              <w:pStyle w:val="4"/>
              <w:ind w:firstLine="480"/>
              <w:jc w:val="both"/>
            </w:pPr>
            <w:r>
              <w:rPr>
                <w:rFonts w:ascii="仿宋" w:hAnsi="仿宋" w:eastAsia="仿宋" w:cs="仿宋"/>
                <w:sz w:val="24"/>
              </w:rPr>
              <w:t>结合本项目服务需求，提供完整的质量安全管理方案，至少包含：①安全管理责任制、②设施设备安全操作规程③人员安全④安全预案。</w:t>
            </w:r>
          </w:p>
          <w:p w14:paraId="09CBDFBD">
            <w:pPr>
              <w:pStyle w:val="4"/>
              <w:ind w:firstLine="480"/>
              <w:jc w:val="both"/>
            </w:pPr>
            <w:r>
              <w:rPr>
                <w:rFonts w:ascii="仿宋" w:hAnsi="仿宋" w:eastAsia="仿宋" w:cs="仿宋"/>
                <w:sz w:val="24"/>
              </w:rPr>
              <w:t>（4）应急预案</w:t>
            </w:r>
          </w:p>
          <w:p w14:paraId="7EDE9B63">
            <w:pPr>
              <w:pStyle w:val="4"/>
              <w:ind w:firstLine="480"/>
              <w:jc w:val="both"/>
            </w:pPr>
            <w:r>
              <w:rPr>
                <w:rFonts w:ascii="仿宋" w:hAnsi="仿宋" w:eastAsia="仿宋" w:cs="仿宋"/>
                <w:sz w:val="24"/>
              </w:rPr>
              <w:t>结合本项目服务需求，提供完整的应急预案，至少包含：①应急组织机构与职责、②预防与预警及应急响应机制、③信息报告、④培训和演练、⑤应急预案方案。</w:t>
            </w:r>
          </w:p>
          <w:p w14:paraId="279C151A">
            <w:pPr>
              <w:pStyle w:val="4"/>
              <w:ind w:firstLine="480"/>
              <w:jc w:val="both"/>
            </w:pPr>
            <w:r>
              <w:rPr>
                <w:rFonts w:ascii="仿宋" w:hAnsi="仿宋" w:eastAsia="仿宋" w:cs="仿宋"/>
                <w:sz w:val="24"/>
              </w:rPr>
              <w:t>备注：以上方案需结合本项目服务需求，与本项目采购需求相对应。</w:t>
            </w:r>
          </w:p>
          <w:p w14:paraId="54748ABA">
            <w:pPr>
              <w:pStyle w:val="4"/>
              <w:jc w:val="left"/>
            </w:pPr>
            <w:r>
              <w:t xml:space="preserve"> </w:t>
            </w:r>
          </w:p>
          <w:p w14:paraId="15FC82F3">
            <w:pPr>
              <w:pStyle w:val="4"/>
              <w:spacing w:before="30"/>
              <w:jc w:val="both"/>
              <w:outlineLvl w:val="0"/>
            </w:pPr>
            <w:r>
              <w:rPr>
                <w:rFonts w:ascii="宋体" w:hAnsi="宋体" w:eastAsia="宋体" w:cs="宋体"/>
                <w:b/>
                <w:color w:val="1A161F"/>
                <w:sz w:val="38"/>
              </w:rPr>
              <w:t>附件：</w:t>
            </w:r>
          </w:p>
          <w:p w14:paraId="32A772DC">
            <w:pPr>
              <w:pStyle w:val="4"/>
              <w:jc w:val="center"/>
            </w:pPr>
            <w:r>
              <w:rPr>
                <w:rFonts w:ascii="方正仿宋_gbk" w:hAnsi="方正仿宋_gbk" w:eastAsia="方正仿宋_gbk" w:cs="方正仿宋_gbk"/>
                <w:b/>
                <w:sz w:val="40"/>
              </w:rPr>
              <w:t>双流县污水处理设施管理考核细则</w:t>
            </w:r>
          </w:p>
          <w:p w14:paraId="2F1C5AEE">
            <w:pPr>
              <w:pStyle w:val="4"/>
              <w:ind w:firstLine="630"/>
              <w:jc w:val="both"/>
            </w:pPr>
            <w:r>
              <w:rPr>
                <w:rFonts w:ascii="方正仿宋_gbk" w:hAnsi="方正仿宋_gbk" w:eastAsia="方正仿宋_gbk" w:cs="方正仿宋_gbk"/>
                <w:b/>
                <w:sz w:val="32"/>
              </w:rPr>
              <w:t>第一条</w:t>
            </w:r>
            <w:r>
              <w:rPr>
                <w:rFonts w:ascii="Calibri" w:hAnsi="Calibri" w:eastAsia="Calibri" w:cs="Calibri"/>
                <w:b/>
                <w:sz w:val="21"/>
              </w:rPr>
              <w:t xml:space="preserve">  </w:t>
            </w:r>
            <w:r>
              <w:rPr>
                <w:rFonts w:ascii="方正仿宋_gbk" w:hAnsi="方正仿宋_gbk" w:eastAsia="方正仿宋_gbk" w:cs="方正仿宋_gbk"/>
                <w:sz w:val="32"/>
              </w:rPr>
              <w:t>为加强对全县污水处理设施的运行监管工作，统一监管办法和标准，保障污水处理设施正常规范运行，达标排放，充分发挥污水处理设施的投资效益和水环境治理功能，根据中华人民共和国《水污染防治法》、《四川省城市排水管理条例》等有关法律法规规定，结合我县实际，制定本细则。</w:t>
            </w:r>
          </w:p>
          <w:p w14:paraId="346214D7">
            <w:pPr>
              <w:pStyle w:val="4"/>
              <w:ind w:firstLine="643"/>
              <w:jc w:val="both"/>
            </w:pPr>
            <w:r>
              <w:rPr>
                <w:rFonts w:ascii="方正仿宋_gbk" w:hAnsi="方正仿宋_gbk" w:eastAsia="方正仿宋_gbk" w:cs="方正仿宋_gbk"/>
                <w:b/>
                <w:sz w:val="32"/>
              </w:rPr>
              <w:t>第二条</w:t>
            </w:r>
            <w:r>
              <w:rPr>
                <w:rFonts w:ascii="Calibri" w:hAnsi="Calibri" w:eastAsia="Calibri" w:cs="Calibri"/>
                <w:sz w:val="21"/>
              </w:rPr>
              <w:t xml:space="preserve">  </w:t>
            </w:r>
            <w:r>
              <w:rPr>
                <w:rFonts w:ascii="方正仿宋_gbk" w:hAnsi="方正仿宋_gbk" w:eastAsia="方正仿宋_gbk" w:cs="方正仿宋_gbk"/>
                <w:sz w:val="32"/>
              </w:rPr>
              <w:t>县水务局负责全县行政区域内的城镇排水与污水处理管理工作，双流县城乡排水设施管理所（以下简称排管所）受县水务局委托，负责全县污水处理设施运营单位和污水处理设施日常运行的监督管理。</w:t>
            </w:r>
          </w:p>
          <w:p w14:paraId="51C84F99">
            <w:pPr>
              <w:pStyle w:val="4"/>
              <w:ind w:firstLine="630"/>
              <w:jc w:val="both"/>
            </w:pPr>
            <w:r>
              <w:rPr>
                <w:rFonts w:ascii="方正仿宋_gbk" w:hAnsi="方正仿宋_gbk" w:eastAsia="方正仿宋_gbk" w:cs="方正仿宋_gbk"/>
                <w:b/>
                <w:sz w:val="32"/>
              </w:rPr>
              <w:t>第三条</w:t>
            </w:r>
            <w:r>
              <w:rPr>
                <w:rFonts w:ascii="方正仿宋_gbk" w:hAnsi="方正仿宋_gbk" w:eastAsia="方正仿宋_gbk" w:cs="方正仿宋_gbk"/>
                <w:sz w:val="32"/>
              </w:rPr>
              <w:t xml:space="preserve">  本细则适用于全县范围内城镇污水处理厂（站）及村级污水处理设施运营单位。</w:t>
            </w:r>
          </w:p>
          <w:p w14:paraId="74F92B00">
            <w:pPr>
              <w:pStyle w:val="4"/>
              <w:ind w:firstLine="630"/>
              <w:jc w:val="both"/>
            </w:pPr>
            <w:r>
              <w:rPr>
                <w:rFonts w:ascii="方正仿宋_gbk" w:hAnsi="方正仿宋_gbk" w:eastAsia="方正仿宋_gbk" w:cs="方正仿宋_gbk"/>
                <w:b/>
                <w:sz w:val="32"/>
              </w:rPr>
              <w:t>第四条</w:t>
            </w:r>
            <w:r>
              <w:rPr>
                <w:rFonts w:ascii="Calibri" w:hAnsi="Calibri" w:eastAsia="Calibri" w:cs="Calibri"/>
                <w:sz w:val="21"/>
              </w:rPr>
              <w:t xml:space="preserve">  </w:t>
            </w:r>
            <w:r>
              <w:rPr>
                <w:rFonts w:ascii="方正仿宋_gbk" w:hAnsi="方正仿宋_gbk" w:eastAsia="方正仿宋_gbk" w:cs="方正仿宋_gbk"/>
                <w:sz w:val="32"/>
              </w:rPr>
              <w:t>结合我县实际，县水务局对各污水处理设施及运营单位提出具体工作要求，将日常运行维护、规范管理、总量减排三个项目纳入月考核，考核满分为100分，根据每月考核情况，汇总各项目分值乘以权重的得分作为评定运行工作绩效。</w:t>
            </w:r>
          </w:p>
          <w:p w14:paraId="5B3934D0">
            <w:pPr>
              <w:pStyle w:val="4"/>
              <w:numPr>
                <w:ilvl w:val="0"/>
                <w:numId w:val="1"/>
              </w:numPr>
              <w:jc w:val="both"/>
            </w:pPr>
            <w:r>
              <w:rPr>
                <w:rFonts w:ascii="Calibri" w:hAnsi="Calibri" w:eastAsia="Calibri" w:cs="Calibri"/>
                <w:sz w:val="21"/>
              </w:rPr>
              <w:t xml:space="preserve"> </w:t>
            </w:r>
            <w:r>
              <w:rPr>
                <w:rFonts w:ascii="方正仿宋_gbk" w:hAnsi="方正仿宋_gbk" w:eastAsia="方正仿宋_gbk" w:cs="方正仿宋_gbk"/>
                <w:sz w:val="32"/>
              </w:rPr>
              <w:t>考核以公司为单位，得分实行每月通报制，对连续两月排名末位或年度内累计三次排名末位的公司给予5000元处罚作为运营管理工作经费。同时考核得分将作为公司在我县履约信誉评价的依据。</w:t>
            </w:r>
          </w:p>
          <w:p w14:paraId="08D110FC">
            <w:pPr>
              <w:pStyle w:val="4"/>
              <w:numPr>
                <w:ilvl w:val="0"/>
                <w:numId w:val="1"/>
              </w:numPr>
              <w:ind w:left="1320"/>
              <w:jc w:val="both"/>
            </w:pPr>
            <w:r>
              <w:rPr>
                <w:rFonts w:ascii="方正仿宋_gbk" w:hAnsi="方正仿宋_gbk" w:eastAsia="方正仿宋_gbk" w:cs="方正仿宋_gbk"/>
                <w:sz w:val="32"/>
              </w:rPr>
              <w:t>本办法由县水务局排管所负责解释。</w:t>
            </w:r>
          </w:p>
          <w:p w14:paraId="69F372E9">
            <w:pPr>
              <w:pStyle w:val="4"/>
              <w:numPr>
                <w:ilvl w:val="0"/>
                <w:numId w:val="1"/>
              </w:numPr>
              <w:ind w:left="1320"/>
              <w:jc w:val="both"/>
            </w:pPr>
            <w:r>
              <w:rPr>
                <w:rFonts w:ascii="方正仿宋_gbk" w:hAnsi="方正仿宋_gbk" w:eastAsia="方正仿宋_gbk" w:cs="方正仿宋_gbk"/>
                <w:sz w:val="32"/>
              </w:rPr>
              <w:t>本办法自2013年1月1日起施行。</w:t>
            </w:r>
          </w:p>
          <w:p w14:paraId="2D2E79E0">
            <w:pPr>
              <w:pStyle w:val="4"/>
              <w:jc w:val="left"/>
            </w:pPr>
            <w:r>
              <w:rPr>
                <w:rFonts w:ascii="方正仿宋_gbk" w:hAnsi="方正仿宋_gbk" w:eastAsia="方正仿宋_gbk" w:cs="方正仿宋_gbk"/>
                <w:b/>
                <w:sz w:val="40"/>
              </w:rPr>
              <w:t>日常维护运行考核</w:t>
            </w:r>
          </w:p>
          <w:p w14:paraId="5F7B34B8">
            <w:pPr>
              <w:pStyle w:val="4"/>
              <w:spacing w:after="150"/>
              <w:ind w:firstLine="643"/>
              <w:jc w:val="both"/>
            </w:pPr>
            <w:r>
              <w:rPr>
                <w:rFonts w:ascii="方正仿宋_gbk" w:hAnsi="方正仿宋_gbk" w:eastAsia="方正仿宋_gbk" w:cs="方正仿宋_gbk"/>
                <w:b/>
                <w:sz w:val="32"/>
              </w:rPr>
              <w:t>一、</w:t>
            </w:r>
            <w:r>
              <w:rPr>
                <w:rFonts w:ascii="方正仿宋_gbk" w:hAnsi="方正仿宋_gbk" w:eastAsia="方正仿宋_gbk" w:cs="方正仿宋_gbk"/>
                <w:sz w:val="32"/>
              </w:rPr>
              <w:t>污水处理设施运营单位应当保证设施正常运转，达标排放。</w:t>
            </w:r>
          </w:p>
          <w:p w14:paraId="1597ACE3">
            <w:pPr>
              <w:pStyle w:val="4"/>
              <w:spacing w:after="150"/>
              <w:ind w:firstLine="643"/>
              <w:jc w:val="both"/>
            </w:pPr>
            <w:r>
              <w:rPr>
                <w:rFonts w:ascii="方正仿宋_gbk" w:hAnsi="方正仿宋_gbk" w:eastAsia="方正仿宋_gbk" w:cs="方正仿宋_gbk"/>
                <w:b/>
                <w:sz w:val="32"/>
              </w:rPr>
              <w:t>二、</w:t>
            </w:r>
            <w:r>
              <w:rPr>
                <w:rFonts w:ascii="方正仿宋_gbk" w:hAnsi="方正仿宋_gbk" w:eastAsia="方正仿宋_gbk" w:cs="方正仿宋_gbk"/>
                <w:sz w:val="32"/>
              </w:rPr>
              <w:t>污水处理设施运营单位应按照上级主管部门要求建立健全运行管理制度，制定应急预案及安全生产规程。</w:t>
            </w:r>
          </w:p>
          <w:p w14:paraId="21290A39">
            <w:pPr>
              <w:pStyle w:val="4"/>
              <w:spacing w:after="150"/>
              <w:ind w:firstLine="643"/>
              <w:jc w:val="both"/>
            </w:pPr>
            <w:r>
              <w:rPr>
                <w:rFonts w:ascii="方正仿宋_gbk" w:hAnsi="方正仿宋_gbk" w:eastAsia="方正仿宋_gbk" w:cs="方正仿宋_gbk"/>
                <w:b/>
                <w:sz w:val="32"/>
              </w:rPr>
              <w:t>三、</w:t>
            </w:r>
            <w:r>
              <w:rPr>
                <w:rFonts w:ascii="方正仿宋_gbk" w:hAnsi="方正仿宋_gbk" w:eastAsia="方正仿宋_gbk" w:cs="方正仿宋_gbk"/>
                <w:sz w:val="32"/>
              </w:rPr>
              <w:t xml:space="preserve">污水处理设施运营单位应实行人员优化配置，确保人员相对稳定，持证上岗率达到相关要求，出现人员变动及时报县水务局备案。           </w:t>
            </w:r>
          </w:p>
          <w:p w14:paraId="71974C85">
            <w:pPr>
              <w:pStyle w:val="4"/>
              <w:ind w:firstLine="640"/>
              <w:jc w:val="both"/>
            </w:pPr>
            <w:r>
              <w:rPr>
                <w:rFonts w:ascii="方正仿宋_gbk" w:hAnsi="方正仿宋_gbk" w:eastAsia="方正仿宋_gbk" w:cs="方正仿宋_gbk"/>
                <w:sz w:val="32"/>
              </w:rPr>
              <w:t>四、污水处理设施进水水质水量发生突变、生化系统异常、出水超标、运行障碍或者发生环境污染安全事故，运营单位应当立即作出应急处理，并及时报县水务局、县环保局。</w:t>
            </w:r>
          </w:p>
          <w:p w14:paraId="33DF7D6E">
            <w:pPr>
              <w:pStyle w:val="4"/>
              <w:jc w:val="both"/>
            </w:pPr>
            <w:r>
              <w:rPr>
                <w:rFonts w:ascii="方正仿宋_gbk" w:hAnsi="方正仿宋_gbk" w:eastAsia="方正仿宋_gbk" w:cs="方正仿宋_gbk"/>
                <w:sz w:val="32"/>
              </w:rPr>
              <w:t xml:space="preserve">    五、污水处理设施运营单位不得有下列行为：</w:t>
            </w:r>
          </w:p>
          <w:p w14:paraId="38770FCC">
            <w:pPr>
              <w:pStyle w:val="4"/>
              <w:jc w:val="both"/>
            </w:pPr>
            <w:r>
              <w:rPr>
                <w:rFonts w:ascii="方正仿宋_gbk" w:hAnsi="方正仿宋_gbk" w:eastAsia="方正仿宋_gbk" w:cs="方正仿宋_gbk"/>
                <w:sz w:val="32"/>
              </w:rPr>
              <w:t xml:space="preserve">    (一)擅自停运污水处理运行设施；</w:t>
            </w:r>
          </w:p>
          <w:p w14:paraId="7C44FA97">
            <w:pPr>
              <w:pStyle w:val="4"/>
              <w:jc w:val="both"/>
            </w:pPr>
            <w:r>
              <w:rPr>
                <w:rFonts w:ascii="方正仿宋_gbk" w:hAnsi="方正仿宋_gbk" w:eastAsia="方正仿宋_gbk" w:cs="方正仿宋_gbk"/>
                <w:sz w:val="32"/>
              </w:rPr>
              <w:t xml:space="preserve">    (二)排放未经处理的污水；</w:t>
            </w:r>
          </w:p>
          <w:p w14:paraId="73F48CDD">
            <w:pPr>
              <w:pStyle w:val="4"/>
              <w:jc w:val="both"/>
            </w:pPr>
            <w:r>
              <w:rPr>
                <w:rFonts w:ascii="方正仿宋_gbk" w:hAnsi="方正仿宋_gbk" w:eastAsia="方正仿宋_gbk" w:cs="方正仿宋_gbk"/>
                <w:sz w:val="32"/>
              </w:rPr>
              <w:t xml:space="preserve">    (三)擅自停用污泥处理设施或将污泥随意弃置、堆放造成二次污染；</w:t>
            </w:r>
          </w:p>
          <w:p w14:paraId="33801889">
            <w:pPr>
              <w:pStyle w:val="4"/>
              <w:ind w:firstLine="630"/>
              <w:jc w:val="both"/>
            </w:pPr>
            <w:r>
              <w:rPr>
                <w:rFonts w:ascii="方正仿宋_gbk" w:hAnsi="方正仿宋_gbk" w:eastAsia="方正仿宋_gbk" w:cs="方正仿宋_gbk"/>
                <w:sz w:val="32"/>
              </w:rPr>
              <w:t>(四)虚报、瞒报、拒报、迟报、漏报上级主管部门要求的各项资料。</w:t>
            </w:r>
          </w:p>
          <w:p w14:paraId="3D30DDD4">
            <w:pPr>
              <w:pStyle w:val="4"/>
              <w:ind w:firstLine="630"/>
              <w:jc w:val="both"/>
            </w:pPr>
            <w:r>
              <w:rPr>
                <w:rFonts w:ascii="方正仿宋_gbk" w:hAnsi="方正仿宋_gbk" w:eastAsia="方正仿宋_gbk" w:cs="方正仿宋_gbk"/>
                <w:sz w:val="32"/>
              </w:rPr>
              <w:t>六、污水处理设施运营单位应按照《双流县污水处理厂（站）污泥管理实施细则》要求做好污泥检测相关工作。</w:t>
            </w:r>
          </w:p>
          <w:p w14:paraId="7DFB0BC3">
            <w:pPr>
              <w:pStyle w:val="4"/>
              <w:jc w:val="both"/>
            </w:pPr>
            <w:r>
              <w:rPr>
                <w:rFonts w:ascii="Calibri" w:hAnsi="Calibri" w:eastAsia="Calibri" w:cs="Calibri"/>
                <w:sz w:val="21"/>
              </w:rPr>
              <w:t xml:space="preserve">    </w:t>
            </w:r>
            <w:r>
              <w:rPr>
                <w:rFonts w:ascii="方正仿宋_gbk" w:hAnsi="方正仿宋_gbk" w:eastAsia="方正仿宋_gbk" w:cs="方正仿宋_gbk"/>
                <w:sz w:val="32"/>
              </w:rPr>
              <w:t>七、污水处理设施因设施检修、大修等，需部分停运或停运的，运营单位应当提前15个工作日报县水务局、县环保局备案，并在取得同意后实施。因大修或突发事件造成污水处理停运的，必须启动应急预案，并在2小时内报县水务局、县环保局。</w:t>
            </w:r>
          </w:p>
          <w:p w14:paraId="0CA038DA">
            <w:pPr>
              <w:pStyle w:val="4"/>
              <w:spacing w:after="150"/>
              <w:ind w:firstLine="643"/>
              <w:jc w:val="both"/>
            </w:pPr>
            <w:r>
              <w:rPr>
                <w:rFonts w:ascii="方正仿宋_gbk" w:hAnsi="方正仿宋_gbk" w:eastAsia="方正仿宋_gbk" w:cs="方正仿宋_gbk"/>
                <w:b/>
                <w:sz w:val="32"/>
              </w:rPr>
              <w:t>八、</w:t>
            </w:r>
            <w:r>
              <w:rPr>
                <w:rFonts w:ascii="方正仿宋_gbk" w:hAnsi="方正仿宋_gbk" w:eastAsia="方正仿宋_gbk" w:cs="方正仿宋_gbk"/>
                <w:sz w:val="32"/>
              </w:rPr>
              <w:t>日常维护运行考核权重分30分，详见下表。</w:t>
            </w:r>
          </w:p>
          <w:p w14:paraId="3B9F3E64">
            <w:pPr>
              <w:pStyle w:val="4"/>
              <w:jc w:val="center"/>
            </w:pPr>
            <w:r>
              <w:rPr>
                <w:rFonts w:ascii="方正仿宋_gbk" w:hAnsi="方正仿宋_gbk" w:eastAsia="方正仿宋_gbk" w:cs="方正仿宋_gbk"/>
                <w:b/>
                <w:sz w:val="40"/>
              </w:rPr>
              <w:t>规范管理考核</w:t>
            </w:r>
          </w:p>
          <w:p w14:paraId="6DC76692">
            <w:pPr>
              <w:pStyle w:val="4"/>
              <w:spacing w:after="150"/>
              <w:ind w:firstLine="643"/>
              <w:jc w:val="both"/>
            </w:pPr>
            <w:r>
              <w:rPr>
                <w:rFonts w:ascii="方正仿宋_gbk" w:hAnsi="方正仿宋_gbk" w:eastAsia="方正仿宋_gbk" w:cs="方正仿宋_gbk"/>
                <w:b/>
                <w:sz w:val="32"/>
              </w:rPr>
              <w:t>一、</w:t>
            </w:r>
            <w:r>
              <w:rPr>
                <w:rFonts w:ascii="方正仿宋_gbk" w:hAnsi="方正仿宋_gbk" w:eastAsia="方正仿宋_gbk" w:cs="方正仿宋_gbk"/>
                <w:sz w:val="32"/>
              </w:rPr>
              <w:t>污水处理设施运营单位应落实安全生产责任制度，确保施工安全、运行安全、人员安全及车辆安全。</w:t>
            </w:r>
          </w:p>
          <w:p w14:paraId="45BA0322">
            <w:pPr>
              <w:pStyle w:val="4"/>
              <w:ind w:firstLine="643"/>
              <w:jc w:val="both"/>
            </w:pPr>
            <w:r>
              <w:rPr>
                <w:rFonts w:ascii="方正仿宋_gbk" w:hAnsi="方正仿宋_gbk" w:eastAsia="方正仿宋_gbk" w:cs="方正仿宋_gbk"/>
                <w:b/>
                <w:sz w:val="32"/>
              </w:rPr>
              <w:t>二、</w:t>
            </w:r>
            <w:r>
              <w:rPr>
                <w:rFonts w:ascii="方正仿宋_gbk" w:hAnsi="方正仿宋_gbk" w:eastAsia="方正仿宋_gbk" w:cs="方正仿宋_gbk"/>
                <w:sz w:val="32"/>
              </w:rPr>
              <w:t>污水处理设施运营单位应当重视和规范厂区内部环境管理，保持厂区内标示安装准确清晰，设施、设备无锈蚀现象，建筑物、构筑物、绿化等整洁美观。</w:t>
            </w:r>
          </w:p>
          <w:p w14:paraId="5818A1B6">
            <w:pPr>
              <w:pStyle w:val="4"/>
              <w:spacing w:after="150"/>
              <w:ind w:firstLine="643"/>
              <w:jc w:val="both"/>
            </w:pPr>
            <w:r>
              <w:rPr>
                <w:rFonts w:ascii="方正仿宋_gbk" w:hAnsi="方正仿宋_gbk" w:eastAsia="方正仿宋_gbk" w:cs="方正仿宋_gbk"/>
                <w:b/>
                <w:sz w:val="32"/>
              </w:rPr>
              <w:t>三、</w:t>
            </w:r>
            <w:r>
              <w:rPr>
                <w:rFonts w:ascii="方正仿宋_gbk" w:hAnsi="方正仿宋_gbk" w:eastAsia="方正仿宋_gbk" w:cs="方正仿宋_gbk"/>
                <w:sz w:val="32"/>
              </w:rPr>
              <w:t>污水处理设施运营单位应严格执行24小时值班制度。当班人员应熟悉厂区运行情况并确保厂区安全。</w:t>
            </w:r>
          </w:p>
          <w:p w14:paraId="180E18CF">
            <w:pPr>
              <w:pStyle w:val="4"/>
              <w:spacing w:after="150"/>
              <w:ind w:firstLine="643"/>
              <w:jc w:val="both"/>
            </w:pPr>
            <w:r>
              <w:rPr>
                <w:rFonts w:ascii="方正仿宋_gbk" w:hAnsi="方正仿宋_gbk" w:eastAsia="方正仿宋_gbk" w:cs="方正仿宋_gbk"/>
                <w:sz w:val="32"/>
              </w:rPr>
              <w:t>四、污水处理设施运营单位应当按照《双流县污水处理厂（站）污泥管理实施细则》做好污泥处置相关工作。</w:t>
            </w:r>
          </w:p>
          <w:p w14:paraId="389A9412">
            <w:pPr>
              <w:pStyle w:val="4"/>
              <w:spacing w:after="150"/>
              <w:ind w:firstLine="643"/>
              <w:jc w:val="both"/>
            </w:pPr>
            <w:r>
              <w:rPr>
                <w:rFonts w:ascii="方正仿宋_gbk" w:hAnsi="方正仿宋_gbk" w:eastAsia="方正仿宋_gbk" w:cs="方正仿宋_gbk"/>
                <w:b/>
                <w:sz w:val="32"/>
              </w:rPr>
              <w:t>五、</w:t>
            </w:r>
            <w:r>
              <w:rPr>
                <w:rFonts w:ascii="方正仿宋_gbk" w:hAnsi="方正仿宋_gbk" w:eastAsia="方正仿宋_gbk" w:cs="方正仿宋_gbk"/>
                <w:sz w:val="32"/>
              </w:rPr>
              <w:t>污水处理设施运营单位应按上级主管部门要求及时报送和领取各类报表及文件，并及时完成反馈交办事项。</w:t>
            </w:r>
          </w:p>
          <w:p w14:paraId="25243FAE">
            <w:pPr>
              <w:pStyle w:val="4"/>
              <w:spacing w:after="150"/>
              <w:ind w:firstLine="643"/>
              <w:jc w:val="both"/>
            </w:pPr>
            <w:r>
              <w:rPr>
                <w:rFonts w:ascii="方正仿宋_gbk" w:hAnsi="方正仿宋_gbk" w:eastAsia="方正仿宋_gbk" w:cs="方正仿宋_gbk"/>
                <w:b/>
                <w:sz w:val="32"/>
              </w:rPr>
              <w:t>六、</w:t>
            </w:r>
            <w:r>
              <w:rPr>
                <w:rFonts w:ascii="方正仿宋_gbk" w:hAnsi="方正仿宋_gbk" w:eastAsia="方正仿宋_gbk" w:cs="方正仿宋_gbk"/>
                <w:sz w:val="32"/>
              </w:rPr>
              <w:t>未经县水务局同意，污水处理设施运营单位不得擅自进行厂区内改造施工，不得擅自接受参观、采访，不得擅自与第三方签订与污水处理设施相关的合同协议。</w:t>
            </w:r>
          </w:p>
          <w:p w14:paraId="4CE916B9">
            <w:pPr>
              <w:pStyle w:val="4"/>
              <w:spacing w:after="150"/>
              <w:ind w:firstLine="643"/>
              <w:jc w:val="both"/>
            </w:pPr>
            <w:r>
              <w:rPr>
                <w:rFonts w:ascii="方正仿宋_gbk" w:hAnsi="方正仿宋_gbk" w:eastAsia="方正仿宋_gbk" w:cs="方正仿宋_gbk"/>
                <w:b/>
                <w:sz w:val="32"/>
              </w:rPr>
              <w:t>七、</w:t>
            </w:r>
            <w:r>
              <w:rPr>
                <w:rFonts w:ascii="方正仿宋_gbk" w:hAnsi="方正仿宋_gbk" w:eastAsia="方正仿宋_gbk" w:cs="方正仿宋_gbk"/>
                <w:sz w:val="32"/>
              </w:rPr>
              <w:t>污水处理设施运营单位应全力做好规范管理运营，不得因管理不善造成不良社会影响；对于非运营单位原因造成的不良影响，应积极配合县水务局开展处理工作。</w:t>
            </w:r>
          </w:p>
          <w:p w14:paraId="0DA2CA4D">
            <w:pPr>
              <w:pStyle w:val="4"/>
              <w:spacing w:after="150"/>
              <w:ind w:firstLine="643"/>
              <w:jc w:val="both"/>
            </w:pPr>
            <w:r>
              <w:rPr>
                <w:rFonts w:ascii="方正仿宋_gbk" w:hAnsi="方正仿宋_gbk" w:eastAsia="方正仿宋_gbk" w:cs="方正仿宋_gbk"/>
                <w:b/>
                <w:sz w:val="32"/>
              </w:rPr>
              <w:t>八、</w:t>
            </w:r>
            <w:r>
              <w:rPr>
                <w:rFonts w:ascii="方正仿宋_gbk" w:hAnsi="方正仿宋_gbk" w:eastAsia="方正仿宋_gbk" w:cs="方正仿宋_gbk"/>
                <w:sz w:val="32"/>
              </w:rPr>
              <w:t>污水处理设施运营单位应积极配合县水务局做好重大活动迎检及其他临时交办工作。</w:t>
            </w:r>
          </w:p>
          <w:p w14:paraId="10CB36DF">
            <w:pPr>
              <w:pStyle w:val="4"/>
              <w:ind w:firstLine="643"/>
              <w:jc w:val="both"/>
            </w:pPr>
            <w:r>
              <w:rPr>
                <w:rFonts w:ascii="方正仿宋_gbk" w:hAnsi="方正仿宋_gbk" w:eastAsia="方正仿宋_gbk" w:cs="方正仿宋_gbk"/>
                <w:b/>
                <w:sz w:val="32"/>
              </w:rPr>
              <w:t>九、</w:t>
            </w:r>
            <w:r>
              <w:rPr>
                <w:rFonts w:ascii="方正仿宋_gbk" w:hAnsi="方正仿宋_gbk" w:eastAsia="方正仿宋_gbk" w:cs="方正仿宋_gbk"/>
                <w:sz w:val="32"/>
              </w:rPr>
              <w:t>规范管理考核权重分30分，详见下表。</w:t>
            </w:r>
          </w:p>
          <w:p w14:paraId="632F23D7">
            <w:pPr>
              <w:pStyle w:val="4"/>
              <w:jc w:val="center"/>
            </w:pPr>
            <w:r>
              <w:rPr>
                <w:rFonts w:ascii="方正仿宋_gbk" w:hAnsi="方正仿宋_gbk" w:eastAsia="方正仿宋_gbk" w:cs="方正仿宋_gbk"/>
                <w:b/>
                <w:sz w:val="40"/>
              </w:rPr>
              <w:t>总量减排考核</w:t>
            </w:r>
          </w:p>
          <w:p w14:paraId="42544EE0">
            <w:pPr>
              <w:pStyle w:val="4"/>
              <w:spacing w:after="150"/>
              <w:ind w:firstLine="639"/>
              <w:jc w:val="both"/>
            </w:pPr>
            <w:r>
              <w:rPr>
                <w:rFonts w:ascii="方正仿宋_gbk" w:hAnsi="方正仿宋_gbk" w:eastAsia="方正仿宋_gbk" w:cs="方正仿宋_gbk"/>
                <w:b/>
                <w:sz w:val="32"/>
              </w:rPr>
              <w:t>一、</w:t>
            </w:r>
            <w:r>
              <w:rPr>
                <w:rFonts w:ascii="方正仿宋_gbk" w:hAnsi="方正仿宋_gbk" w:eastAsia="方正仿宋_gbk" w:cs="方正仿宋_gbk"/>
                <w:sz w:val="32"/>
              </w:rPr>
              <w:t>污水处理设施运营单位应严格按照总量减排工作相关要求，做好系统运行、设备维护、记录完善等工作。</w:t>
            </w:r>
          </w:p>
          <w:p w14:paraId="6947048E">
            <w:pPr>
              <w:pStyle w:val="4"/>
              <w:spacing w:after="150"/>
              <w:ind w:firstLine="643"/>
              <w:jc w:val="both"/>
            </w:pPr>
            <w:r>
              <w:rPr>
                <w:rFonts w:ascii="方正仿宋_gbk" w:hAnsi="方正仿宋_gbk" w:eastAsia="方正仿宋_gbk" w:cs="方正仿宋_gbk"/>
                <w:b/>
                <w:sz w:val="32"/>
              </w:rPr>
              <w:t>二、</w:t>
            </w:r>
            <w:r>
              <w:rPr>
                <w:rFonts w:ascii="方正仿宋_gbk" w:hAnsi="方正仿宋_gbk" w:eastAsia="方正仿宋_gbk" w:cs="方正仿宋_gbk"/>
                <w:sz w:val="32"/>
              </w:rPr>
              <w:t>污水处理设施运营单位应做好运行报表，完整清晰记录处理水量、进出水浓度、耗电量、污泥产生量、主要药剂耗量、污泥指数、污泥浓度、沉降比、污泥转运记录、过磅记录、污泥检测报告等，并确保各项指标处于行业正常水平。</w:t>
            </w:r>
          </w:p>
          <w:p w14:paraId="12ABD36D">
            <w:pPr>
              <w:pStyle w:val="4"/>
              <w:spacing w:after="150"/>
              <w:ind w:firstLine="643"/>
              <w:jc w:val="both"/>
            </w:pPr>
            <w:r>
              <w:rPr>
                <w:rFonts w:ascii="方正仿宋_gbk" w:hAnsi="方正仿宋_gbk" w:eastAsia="方正仿宋_gbk" w:cs="方正仿宋_gbk"/>
                <w:b/>
                <w:sz w:val="32"/>
              </w:rPr>
              <w:t>三、</w:t>
            </w:r>
            <w:r>
              <w:rPr>
                <w:rFonts w:ascii="方正仿宋_gbk" w:hAnsi="方正仿宋_gbk" w:eastAsia="方正仿宋_gbk" w:cs="方正仿宋_gbk"/>
                <w:sz w:val="32"/>
              </w:rPr>
              <w:t>污水处理设施运营单位应做好设施</w:t>
            </w:r>
            <w:r>
              <w:rPr>
                <w:rFonts w:ascii="方正仿宋_gbk" w:hAnsi="方正仿宋_gbk" w:eastAsia="方正仿宋_gbk" w:cs="方正仿宋_gbk"/>
                <w:color w:val="000000"/>
                <w:sz w:val="32"/>
              </w:rPr>
              <w:t>非正常运行记录，包括设备异常、故障、停电等，并有相关材料佐证。</w:t>
            </w:r>
          </w:p>
          <w:p w14:paraId="783A9627">
            <w:pPr>
              <w:pStyle w:val="4"/>
              <w:spacing w:after="150"/>
              <w:ind w:firstLine="643"/>
              <w:jc w:val="both"/>
            </w:pPr>
            <w:r>
              <w:rPr>
                <w:rFonts w:ascii="方正仿宋_gbk" w:hAnsi="方正仿宋_gbk" w:eastAsia="方正仿宋_gbk" w:cs="方正仿宋_gbk"/>
                <w:color w:val="000000"/>
                <w:sz w:val="32"/>
              </w:rPr>
              <w:t>四、</w:t>
            </w:r>
            <w:r>
              <w:rPr>
                <w:rFonts w:ascii="方正仿宋_gbk" w:hAnsi="方正仿宋_gbk" w:eastAsia="方正仿宋_gbk" w:cs="方正仿宋_gbk"/>
                <w:sz w:val="32"/>
              </w:rPr>
              <w:t>污水处理设施运营单位应确保</w:t>
            </w:r>
            <w:r>
              <w:rPr>
                <w:rFonts w:ascii="方正仿宋_gbk" w:hAnsi="方正仿宋_gbk" w:eastAsia="方正仿宋_gbk" w:cs="方正仿宋_gbk"/>
                <w:color w:val="000000"/>
                <w:sz w:val="32"/>
              </w:rPr>
              <w:t>进出水在线监测设备运行正常，按期比对，历史数据至少保存一年，并保存打印数据。</w:t>
            </w:r>
          </w:p>
          <w:p w14:paraId="636CC6C1">
            <w:pPr>
              <w:pStyle w:val="4"/>
              <w:spacing w:after="150"/>
              <w:ind w:firstLine="643"/>
              <w:jc w:val="both"/>
            </w:pPr>
            <w:r>
              <w:rPr>
                <w:rFonts w:ascii="方正仿宋_gbk" w:hAnsi="方正仿宋_gbk" w:eastAsia="方正仿宋_gbk" w:cs="方正仿宋_gbk"/>
                <w:color w:val="000000"/>
                <w:sz w:val="32"/>
              </w:rPr>
              <w:t>五、</w:t>
            </w:r>
            <w:r>
              <w:rPr>
                <w:rFonts w:ascii="方正仿宋_gbk" w:hAnsi="方正仿宋_gbk" w:eastAsia="方正仿宋_gbk" w:cs="方正仿宋_gbk"/>
                <w:sz w:val="32"/>
              </w:rPr>
              <w:t>2万吨以上污水处理厂运营单位确保中控系统正常运行，并且有专人管理操作，参数须有历史曲线，历史数据至少保存一年，非正常数据有相关记录以及合理解释。</w:t>
            </w:r>
          </w:p>
          <w:p w14:paraId="57F5EE72">
            <w:pPr>
              <w:pStyle w:val="4"/>
              <w:spacing w:after="150"/>
              <w:ind w:firstLine="643"/>
              <w:jc w:val="both"/>
            </w:pPr>
            <w:r>
              <w:rPr>
                <w:rFonts w:ascii="方正仿宋_gbk" w:hAnsi="方正仿宋_gbk" w:eastAsia="方正仿宋_gbk" w:cs="方正仿宋_gbk"/>
                <w:b/>
                <w:sz w:val="32"/>
              </w:rPr>
              <w:t>六、</w:t>
            </w:r>
            <w:r>
              <w:rPr>
                <w:rFonts w:ascii="方正仿宋_gbk" w:hAnsi="方正仿宋_gbk" w:eastAsia="方正仿宋_gbk" w:cs="方正仿宋_gbk"/>
                <w:sz w:val="32"/>
              </w:rPr>
              <w:t>污水处理设施运营单位应做好自检水质数据记录和镜检记录，确保完整、准确，符合要求。</w:t>
            </w:r>
          </w:p>
          <w:p w14:paraId="1D3050A4">
            <w:pPr>
              <w:pStyle w:val="4"/>
              <w:spacing w:after="150"/>
              <w:ind w:firstLine="643"/>
              <w:jc w:val="both"/>
            </w:pPr>
            <w:r>
              <w:rPr>
                <w:rFonts w:ascii="方正仿宋_gbk" w:hAnsi="方正仿宋_gbk" w:eastAsia="方正仿宋_gbk" w:cs="方正仿宋_gbk"/>
                <w:sz w:val="32"/>
              </w:rPr>
              <w:t>七、污水处理设施运营单位应全力配合上级主管部门迎接总量减排各项检查。</w:t>
            </w:r>
          </w:p>
          <w:p w14:paraId="2072AC17">
            <w:pPr>
              <w:pStyle w:val="4"/>
              <w:ind w:firstLine="640"/>
              <w:jc w:val="both"/>
            </w:pPr>
            <w:r>
              <w:rPr>
                <w:rFonts w:ascii="方正仿宋_gbk" w:hAnsi="方正仿宋_gbk" w:eastAsia="方正仿宋_gbk" w:cs="方正仿宋_gbk"/>
                <w:sz w:val="32"/>
              </w:rPr>
              <w:t>八、总量减排考核权重分40分，详见下表。</w:t>
            </w:r>
          </w:p>
          <w:p w14:paraId="08222B38">
            <w:pPr>
              <w:pStyle w:val="4"/>
              <w:jc w:val="left"/>
            </w:pPr>
            <w:r>
              <w:rPr>
                <w:rFonts w:ascii="方正小标宋简体" w:hAnsi="方正小标宋简体" w:eastAsia="方正小标宋简体" w:cs="方正小标宋简体"/>
                <w:sz w:val="36"/>
              </w:rPr>
              <w:t>双流区污水处理设施管理考核综合评分表</w:t>
            </w:r>
          </w:p>
          <w:p w14:paraId="347BFD11">
            <w:pPr>
              <w:pStyle w:val="4"/>
              <w:spacing w:after="150"/>
              <w:jc w:val="both"/>
            </w:pPr>
            <w:r>
              <w:rPr>
                <w:rFonts w:ascii="仿宋_gb2312" w:hAnsi="仿宋_gb2312" w:eastAsia="仿宋_gb2312" w:cs="仿宋_gb2312"/>
                <w:sz w:val="28"/>
              </w:rPr>
              <w:t>厂名：</w:t>
            </w:r>
          </w:p>
          <w:p w14:paraId="3E48CE75">
            <w:pPr>
              <w:pStyle w:val="4"/>
              <w:spacing w:after="150"/>
              <w:jc w:val="right"/>
            </w:pPr>
            <w:r>
              <w:rPr>
                <w:rFonts w:ascii="仿宋_gb2312" w:hAnsi="仿宋_gb2312" w:eastAsia="仿宋_gb2312" w:cs="仿宋_gb2312"/>
                <w:sz w:val="28"/>
              </w:rPr>
              <w:t>日期：</w:t>
            </w:r>
            <w:r>
              <w:rPr>
                <w:rFonts w:ascii="Calibri" w:hAnsi="Calibri" w:eastAsia="Calibri" w:cs="Calibri"/>
                <w:sz w:val="32"/>
              </w:rPr>
              <w:t xml:space="preserve">   </w:t>
            </w:r>
            <w:r>
              <w:rPr>
                <w:rFonts w:ascii="仿宋_gb2312" w:hAnsi="仿宋_gb2312" w:eastAsia="仿宋_gb2312" w:cs="仿宋_gb2312"/>
                <w:sz w:val="28"/>
              </w:rPr>
              <w:t>年</w:t>
            </w:r>
            <w:r>
              <w:rPr>
                <w:rFonts w:ascii="Calibri" w:hAnsi="Calibri" w:eastAsia="Calibri" w:cs="Calibri"/>
                <w:sz w:val="32"/>
              </w:rPr>
              <w:t xml:space="preserve">   </w:t>
            </w:r>
            <w:r>
              <w:rPr>
                <w:rFonts w:ascii="仿宋_gb2312" w:hAnsi="仿宋_gb2312" w:eastAsia="仿宋_gb2312" w:cs="仿宋_gb2312"/>
                <w:sz w:val="28"/>
              </w:rPr>
              <w:t>月</w:t>
            </w:r>
            <w:r>
              <w:rPr>
                <w:rFonts w:ascii="Calibri" w:hAnsi="Calibri" w:eastAsia="Calibri" w:cs="Calibri"/>
                <w:sz w:val="32"/>
              </w:rPr>
              <w:t xml:space="preserve">   </w:t>
            </w:r>
            <w:r>
              <w:rPr>
                <w:rFonts w:ascii="仿宋_gb2312" w:hAnsi="仿宋_gb2312" w:eastAsia="仿宋_gb2312" w:cs="仿宋_gb2312"/>
                <w:sz w:val="28"/>
              </w:rPr>
              <w:t>日</w:t>
            </w:r>
          </w:p>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532"/>
              <w:gridCol w:w="569"/>
              <w:gridCol w:w="690"/>
              <w:gridCol w:w="850"/>
              <w:gridCol w:w="532"/>
              <w:gridCol w:w="532"/>
            </w:tblGrid>
            <w:tr w14:paraId="1F528FB7">
              <w:tblPrEx>
                <w:tblCellMar>
                  <w:top w:w="0" w:type="dxa"/>
                  <w:left w:w="108" w:type="dxa"/>
                  <w:bottom w:w="0" w:type="dxa"/>
                  <w:right w:w="108" w:type="dxa"/>
                </w:tblCellMar>
              </w:tblPrEx>
              <w:tc>
                <w:tcPr>
                  <w:tcW w:w="271"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55963EEF">
                  <w:pPr>
                    <w:pStyle w:val="4"/>
                    <w:jc w:val="center"/>
                  </w:pPr>
                  <w:r>
                    <w:rPr>
                      <w:rFonts w:ascii="仿宋_gb2312" w:hAnsi="仿宋_gb2312" w:eastAsia="仿宋_gb2312" w:cs="仿宋_gb2312"/>
                      <w:b/>
                      <w:sz w:val="32"/>
                    </w:rPr>
                    <w:t>序号</w:t>
                  </w:r>
                </w:p>
              </w:tc>
              <w:tc>
                <w:tcPr>
                  <w:tcW w:w="569"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3ED771AC">
                  <w:pPr>
                    <w:pStyle w:val="4"/>
                    <w:jc w:val="center"/>
                  </w:pPr>
                  <w:r>
                    <w:rPr>
                      <w:rFonts w:ascii="仿宋_gb2312" w:hAnsi="仿宋_gb2312" w:eastAsia="仿宋_gb2312" w:cs="仿宋_gb2312"/>
                      <w:b/>
                      <w:sz w:val="32"/>
                    </w:rPr>
                    <w:t>考核项目</w:t>
                  </w:r>
                </w:p>
              </w:tc>
              <w:tc>
                <w:tcPr>
                  <w:tcW w:w="317"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5D6468DC">
                  <w:pPr>
                    <w:pStyle w:val="4"/>
                    <w:jc w:val="center"/>
                  </w:pPr>
                  <w:r>
                    <w:rPr>
                      <w:rFonts w:ascii="仿宋_gb2312" w:hAnsi="仿宋_gb2312" w:eastAsia="仿宋_gb2312" w:cs="仿宋_gb2312"/>
                      <w:b/>
                      <w:sz w:val="32"/>
                    </w:rPr>
                    <w:t>考核得分</w:t>
                  </w:r>
                </w:p>
              </w:tc>
              <w:tc>
                <w:tcPr>
                  <w:tcW w:w="468"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233E8D85">
                  <w:pPr>
                    <w:pStyle w:val="4"/>
                    <w:jc w:val="center"/>
                  </w:pPr>
                  <w:r>
                    <w:rPr>
                      <w:rFonts w:ascii="仿宋_gb2312" w:hAnsi="仿宋_gb2312" w:eastAsia="仿宋_gb2312" w:cs="仿宋_gb2312"/>
                      <w:b/>
                      <w:sz w:val="32"/>
                    </w:rPr>
                    <w:t>权重</w:t>
                  </w:r>
                </w:p>
              </w:tc>
              <w:tc>
                <w:tcPr>
                  <w:tcW w:w="488"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20895975">
                  <w:pPr>
                    <w:pStyle w:val="4"/>
                    <w:jc w:val="center"/>
                  </w:pPr>
                  <w:r>
                    <w:rPr>
                      <w:rFonts w:ascii="仿宋_gb2312" w:hAnsi="仿宋_gb2312" w:eastAsia="仿宋_gb2312" w:cs="仿宋_gb2312"/>
                      <w:b/>
                      <w:sz w:val="32"/>
                    </w:rPr>
                    <w:t>实际得分</w:t>
                  </w:r>
                </w:p>
              </w:tc>
              <w:tc>
                <w:tcPr>
                  <w:tcW w:w="439"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2127B9E6">
                  <w:pPr>
                    <w:pStyle w:val="4"/>
                    <w:jc w:val="center"/>
                  </w:pPr>
                  <w:r>
                    <w:rPr>
                      <w:rFonts w:ascii="仿宋_gb2312" w:hAnsi="仿宋_gb2312" w:eastAsia="仿宋_gb2312" w:cs="仿宋_gb2312"/>
                      <w:b/>
                      <w:sz w:val="32"/>
                    </w:rPr>
                    <w:t>备注</w:t>
                  </w:r>
                </w:p>
              </w:tc>
            </w:tr>
            <w:tr w14:paraId="7B85EE7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1F73001">
                  <w:pPr>
                    <w:pStyle w:val="4"/>
                    <w:jc w:val="center"/>
                  </w:pPr>
                  <w:r>
                    <w:rPr>
                      <w:rFonts w:ascii="仿宋_gb2312" w:hAnsi="仿宋_gb2312" w:eastAsia="仿宋_gb2312" w:cs="仿宋_gb2312"/>
                      <w:sz w:val="32"/>
                    </w:rPr>
                    <w:t>1</w:t>
                  </w:r>
                </w:p>
              </w:tc>
              <w:tc>
                <w:tcPr>
                  <w:tcW w:w="5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435071B">
                  <w:pPr>
                    <w:pStyle w:val="4"/>
                    <w:jc w:val="center"/>
                  </w:pPr>
                  <w:r>
                    <w:rPr>
                      <w:rFonts w:ascii="仿宋_gb2312" w:hAnsi="仿宋_gb2312" w:eastAsia="仿宋_gb2312" w:cs="仿宋_gb2312"/>
                      <w:sz w:val="32"/>
                    </w:rPr>
                    <w:t>日常维护运行</w:t>
                  </w:r>
                </w:p>
              </w:tc>
              <w:tc>
                <w:tcPr>
                  <w:tcW w:w="31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EE4A0CA">
                  <w:pPr>
                    <w:pStyle w:val="4"/>
                    <w:jc w:val="center"/>
                  </w:pPr>
                  <w:r>
                    <w:rPr>
                      <w:rFonts w:ascii="仿宋_gb2312" w:hAnsi="仿宋_gb2312" w:eastAsia="仿宋_gb2312" w:cs="仿宋_gb2312"/>
                      <w:sz w:val="32"/>
                    </w:rPr>
                    <w:t>100</w:t>
                  </w:r>
                </w:p>
              </w:tc>
              <w:tc>
                <w:tcPr>
                  <w:tcW w:w="46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91CFE24">
                  <w:pPr>
                    <w:pStyle w:val="4"/>
                    <w:jc w:val="center"/>
                  </w:pPr>
                  <w:r>
                    <w:rPr>
                      <w:rFonts w:ascii="仿宋_gb2312" w:hAnsi="仿宋_gb2312" w:eastAsia="仿宋_gb2312" w:cs="仿宋_gb2312"/>
                      <w:sz w:val="32"/>
                    </w:rPr>
                    <w:t>30%</w:t>
                  </w:r>
                </w:p>
              </w:tc>
              <w:tc>
                <w:tcPr>
                  <w:tcW w:w="48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EFDB989">
                  <w:pPr>
                    <w:pStyle w:val="4"/>
                    <w:jc w:val="center"/>
                  </w:pPr>
                </w:p>
              </w:tc>
              <w:tc>
                <w:tcPr>
                  <w:tcW w:w="4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D1FDFBD"/>
              </w:tc>
            </w:tr>
            <w:tr w14:paraId="554A59A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23E7396">
                  <w:pPr>
                    <w:pStyle w:val="4"/>
                    <w:jc w:val="center"/>
                  </w:pPr>
                  <w:r>
                    <w:rPr>
                      <w:rFonts w:ascii="仿宋_gb2312" w:hAnsi="仿宋_gb2312" w:eastAsia="仿宋_gb2312" w:cs="仿宋_gb2312"/>
                      <w:sz w:val="32"/>
                    </w:rPr>
                    <w:t>2</w:t>
                  </w:r>
                </w:p>
              </w:tc>
              <w:tc>
                <w:tcPr>
                  <w:tcW w:w="5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A38326F">
                  <w:pPr>
                    <w:pStyle w:val="4"/>
                    <w:jc w:val="center"/>
                  </w:pPr>
                  <w:r>
                    <w:rPr>
                      <w:rFonts w:ascii="仿宋_gb2312" w:hAnsi="仿宋_gb2312" w:eastAsia="仿宋_gb2312" w:cs="仿宋_gb2312"/>
                      <w:sz w:val="32"/>
                    </w:rPr>
                    <w:t>规范管理</w:t>
                  </w:r>
                </w:p>
              </w:tc>
              <w:tc>
                <w:tcPr>
                  <w:tcW w:w="31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4787F51">
                  <w:pPr>
                    <w:pStyle w:val="4"/>
                    <w:jc w:val="center"/>
                  </w:pPr>
                  <w:r>
                    <w:rPr>
                      <w:rFonts w:ascii="仿宋_gb2312" w:hAnsi="仿宋_gb2312" w:eastAsia="仿宋_gb2312" w:cs="仿宋_gb2312"/>
                      <w:sz w:val="32"/>
                    </w:rPr>
                    <w:t>100</w:t>
                  </w:r>
                </w:p>
              </w:tc>
              <w:tc>
                <w:tcPr>
                  <w:tcW w:w="46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5F18350">
                  <w:pPr>
                    <w:pStyle w:val="4"/>
                    <w:jc w:val="center"/>
                  </w:pPr>
                  <w:r>
                    <w:rPr>
                      <w:rFonts w:ascii="仿宋_gb2312" w:hAnsi="仿宋_gb2312" w:eastAsia="仿宋_gb2312" w:cs="仿宋_gb2312"/>
                      <w:sz w:val="32"/>
                    </w:rPr>
                    <w:t>30%</w:t>
                  </w:r>
                </w:p>
              </w:tc>
              <w:tc>
                <w:tcPr>
                  <w:tcW w:w="48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D4E1B8C">
                  <w:pPr>
                    <w:pStyle w:val="4"/>
                    <w:jc w:val="center"/>
                  </w:pPr>
                </w:p>
              </w:tc>
              <w:tc>
                <w:tcPr>
                  <w:tcW w:w="4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C70BA85"/>
              </w:tc>
            </w:tr>
            <w:tr w14:paraId="402BBB7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195D91E">
                  <w:pPr>
                    <w:pStyle w:val="4"/>
                    <w:jc w:val="center"/>
                  </w:pPr>
                  <w:r>
                    <w:rPr>
                      <w:rFonts w:ascii="仿宋_gb2312" w:hAnsi="仿宋_gb2312" w:eastAsia="仿宋_gb2312" w:cs="仿宋_gb2312"/>
                      <w:sz w:val="32"/>
                    </w:rPr>
                    <w:t>3</w:t>
                  </w:r>
                </w:p>
              </w:tc>
              <w:tc>
                <w:tcPr>
                  <w:tcW w:w="5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7CB4952">
                  <w:pPr>
                    <w:pStyle w:val="4"/>
                    <w:jc w:val="center"/>
                  </w:pPr>
                  <w:r>
                    <w:rPr>
                      <w:rFonts w:ascii="仿宋_gb2312" w:hAnsi="仿宋_gb2312" w:eastAsia="仿宋_gb2312" w:cs="仿宋_gb2312"/>
                      <w:sz w:val="32"/>
                    </w:rPr>
                    <w:t>总量减排</w:t>
                  </w:r>
                </w:p>
              </w:tc>
              <w:tc>
                <w:tcPr>
                  <w:tcW w:w="31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CA3B98A">
                  <w:pPr>
                    <w:pStyle w:val="4"/>
                    <w:jc w:val="center"/>
                  </w:pPr>
                  <w:r>
                    <w:rPr>
                      <w:rFonts w:ascii="仿宋_gb2312" w:hAnsi="仿宋_gb2312" w:eastAsia="仿宋_gb2312" w:cs="仿宋_gb2312"/>
                      <w:sz w:val="32"/>
                    </w:rPr>
                    <w:t>100　</w:t>
                  </w:r>
                </w:p>
              </w:tc>
              <w:tc>
                <w:tcPr>
                  <w:tcW w:w="46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86F4ECC">
                  <w:pPr>
                    <w:pStyle w:val="4"/>
                    <w:jc w:val="center"/>
                  </w:pPr>
                  <w:r>
                    <w:rPr>
                      <w:rFonts w:ascii="仿宋_gb2312" w:hAnsi="仿宋_gb2312" w:eastAsia="仿宋_gb2312" w:cs="仿宋_gb2312"/>
                      <w:sz w:val="32"/>
                    </w:rPr>
                    <w:t>40%</w:t>
                  </w:r>
                </w:p>
              </w:tc>
              <w:tc>
                <w:tcPr>
                  <w:tcW w:w="48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F0720C3">
                  <w:pPr>
                    <w:pStyle w:val="4"/>
                    <w:jc w:val="center"/>
                  </w:pPr>
                </w:p>
              </w:tc>
              <w:tc>
                <w:tcPr>
                  <w:tcW w:w="4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1A43894"/>
              </w:tc>
            </w:tr>
            <w:tr w14:paraId="00D5857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1"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DBF699F">
                  <w:pPr>
                    <w:pStyle w:val="4"/>
                    <w:jc w:val="center"/>
                  </w:pPr>
                  <w:r>
                    <w:rPr>
                      <w:rFonts w:ascii="仿宋_gb2312" w:hAnsi="仿宋_gb2312" w:eastAsia="仿宋_gb2312" w:cs="仿宋_gb2312"/>
                      <w:sz w:val="32"/>
                    </w:rPr>
                    <w:t>合计</w:t>
                  </w:r>
                </w:p>
              </w:tc>
              <w:tc>
                <w:tcPr>
                  <w:tcW w:w="56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471AFAD">
                  <w:pPr>
                    <w:pStyle w:val="4"/>
                    <w:jc w:val="center"/>
                  </w:pPr>
                </w:p>
              </w:tc>
              <w:tc>
                <w:tcPr>
                  <w:tcW w:w="31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582D7D5"/>
              </w:tc>
              <w:tc>
                <w:tcPr>
                  <w:tcW w:w="46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68CE4C4">
                  <w:pPr>
                    <w:pStyle w:val="4"/>
                    <w:jc w:val="center"/>
                  </w:pPr>
                  <w:r>
                    <w:rPr>
                      <w:rFonts w:ascii="仿宋_gb2312" w:hAnsi="仿宋_gb2312" w:eastAsia="仿宋_gb2312" w:cs="仿宋_gb2312"/>
                      <w:sz w:val="32"/>
                    </w:rPr>
                    <w:t>100%</w:t>
                  </w:r>
                </w:p>
              </w:tc>
              <w:tc>
                <w:tcPr>
                  <w:tcW w:w="488"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819B7BD">
                  <w:pPr>
                    <w:pStyle w:val="4"/>
                    <w:jc w:val="center"/>
                  </w:pPr>
                </w:p>
              </w:tc>
              <w:tc>
                <w:tcPr>
                  <w:tcW w:w="43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A6805B4"/>
              </w:tc>
            </w:tr>
          </w:tbl>
          <w:p w14:paraId="3EF3A765">
            <w:pPr>
              <w:pStyle w:val="4"/>
              <w:jc w:val="left"/>
            </w:pPr>
            <w:r>
              <w:t xml:space="preserve"> </w:t>
            </w:r>
          </w:p>
          <w:p w14:paraId="3D770156">
            <w:pPr>
              <w:pStyle w:val="4"/>
              <w:jc w:val="center"/>
            </w:pPr>
            <w:r>
              <w:rPr>
                <w:rFonts w:ascii="方正小标宋简体" w:hAnsi="方正小标宋简体" w:eastAsia="方正小标宋简体" w:cs="方正小标宋简体"/>
                <w:sz w:val="32"/>
              </w:rPr>
              <w:t>双流区污水处理设施日常维护运行考核评分表</w:t>
            </w:r>
          </w:p>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451"/>
              <w:gridCol w:w="451"/>
              <w:gridCol w:w="2130"/>
              <w:gridCol w:w="451"/>
              <w:gridCol w:w="451"/>
              <w:gridCol w:w="451"/>
            </w:tblGrid>
            <w:tr w14:paraId="7BAA921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566" w:type="dxa"/>
                  <w:gridSpan w:val="3"/>
                  <w:tcBorders>
                    <w:top w:val="nil"/>
                    <w:left w:val="nil"/>
                    <w:bottom w:val="single" w:color="000000" w:sz="4" w:space="0"/>
                    <w:right w:val="nil"/>
                  </w:tcBorders>
                  <w:tcMar>
                    <w:top w:w="0" w:type="dxa"/>
                    <w:left w:w="105" w:type="dxa"/>
                    <w:bottom w:w="0" w:type="dxa"/>
                    <w:right w:w="105" w:type="dxa"/>
                  </w:tcMar>
                  <w:vAlign w:val="top"/>
                </w:tcPr>
                <w:p w14:paraId="4D21E033">
                  <w:pPr>
                    <w:pStyle w:val="4"/>
                    <w:jc w:val="left"/>
                  </w:pPr>
                  <w:r>
                    <w:rPr>
                      <w:rFonts w:ascii="仿宋_gb2312" w:hAnsi="仿宋_gb2312" w:eastAsia="仿宋_gb2312" w:cs="仿宋_gb2312"/>
                      <w:sz w:val="24"/>
                    </w:rPr>
                    <w:t>厂名：</w:t>
                  </w:r>
                </w:p>
              </w:tc>
              <w:tc>
                <w:tcPr>
                  <w:tcW w:w="986" w:type="dxa"/>
                  <w:gridSpan w:val="3"/>
                  <w:tcBorders>
                    <w:top w:val="nil"/>
                    <w:left w:val="nil"/>
                    <w:bottom w:val="single" w:color="000000" w:sz="4" w:space="0"/>
                    <w:right w:val="nil"/>
                  </w:tcBorders>
                  <w:tcMar>
                    <w:top w:w="0" w:type="dxa"/>
                    <w:left w:w="105" w:type="dxa"/>
                    <w:bottom w:w="0" w:type="dxa"/>
                    <w:right w:w="105" w:type="dxa"/>
                  </w:tcMar>
                  <w:vAlign w:val="top"/>
                </w:tcPr>
                <w:p w14:paraId="6B41DF66">
                  <w:pPr>
                    <w:pStyle w:val="4"/>
                    <w:jc w:val="center"/>
                  </w:pPr>
                  <w:r>
                    <w:rPr>
                      <w:rFonts w:ascii="仿宋_gb2312" w:hAnsi="仿宋_gb2312" w:eastAsia="仿宋_gb2312" w:cs="仿宋_gb2312"/>
                      <w:sz w:val="24"/>
                    </w:rPr>
                    <w:t>日期：</w:t>
                  </w:r>
                  <w:r>
                    <w:rPr>
                      <w:rFonts w:ascii="Calibri" w:hAnsi="Calibri" w:eastAsia="Calibri" w:cs="Calibri"/>
                      <w:sz w:val="21"/>
                    </w:rPr>
                    <w:t xml:space="preserve">   </w:t>
                  </w:r>
                  <w:r>
                    <w:rPr>
                      <w:rFonts w:ascii="仿宋_gb2312" w:hAnsi="仿宋_gb2312" w:eastAsia="仿宋_gb2312" w:cs="仿宋_gb2312"/>
                      <w:sz w:val="24"/>
                    </w:rPr>
                    <w:t>年</w:t>
                  </w:r>
                  <w:r>
                    <w:rPr>
                      <w:rFonts w:ascii="Calibri" w:hAnsi="Calibri" w:eastAsia="Calibri" w:cs="Calibri"/>
                      <w:sz w:val="21"/>
                    </w:rPr>
                    <w:t xml:space="preserve">   </w:t>
                  </w:r>
                  <w:r>
                    <w:rPr>
                      <w:rFonts w:ascii="仿宋_gb2312" w:hAnsi="仿宋_gb2312" w:eastAsia="仿宋_gb2312" w:cs="仿宋_gb2312"/>
                      <w:sz w:val="24"/>
                    </w:rPr>
                    <w:t>月</w:t>
                  </w:r>
                  <w:r>
                    <w:rPr>
                      <w:rFonts w:ascii="Calibri" w:hAnsi="Calibri" w:eastAsia="Calibri" w:cs="Calibri"/>
                      <w:sz w:val="21"/>
                    </w:rPr>
                    <w:t xml:space="preserve">   </w:t>
                  </w:r>
                  <w:r>
                    <w:rPr>
                      <w:rFonts w:ascii="仿宋_gb2312" w:hAnsi="仿宋_gb2312" w:eastAsia="仿宋_gb2312" w:cs="仿宋_gb2312"/>
                      <w:sz w:val="24"/>
                    </w:rPr>
                    <w:t>日</w:t>
                  </w:r>
                </w:p>
              </w:tc>
            </w:tr>
            <w:tr w14:paraId="59EF365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916DCF0">
                  <w:pPr>
                    <w:pStyle w:val="4"/>
                    <w:jc w:val="center"/>
                  </w:pPr>
                  <w:r>
                    <w:rPr>
                      <w:rFonts w:ascii="仿宋_gb2312" w:hAnsi="仿宋_gb2312" w:eastAsia="仿宋_gb2312" w:cs="仿宋_gb2312"/>
                      <w:b/>
                      <w:sz w:val="24"/>
                    </w:rPr>
                    <w:t>考核项目</w:t>
                  </w:r>
                </w:p>
              </w:tc>
              <w:tc>
                <w:tcPr>
                  <w:tcW w:w="223" w:type="dxa"/>
                  <w:tcBorders>
                    <w:top w:val="nil"/>
                    <w:left w:val="nil"/>
                    <w:bottom w:val="single" w:color="000000" w:sz="4" w:space="0"/>
                    <w:right w:val="single" w:color="000000" w:sz="4" w:space="0"/>
                  </w:tcBorders>
                  <w:tcMar>
                    <w:top w:w="0" w:type="dxa"/>
                    <w:left w:w="105" w:type="dxa"/>
                    <w:bottom w:w="0" w:type="dxa"/>
                    <w:right w:w="105" w:type="dxa"/>
                  </w:tcMar>
                  <w:vAlign w:val="top"/>
                </w:tcPr>
                <w:p w14:paraId="68CA7599">
                  <w:pPr>
                    <w:pStyle w:val="4"/>
                    <w:jc w:val="center"/>
                  </w:pPr>
                  <w:r>
                    <w:rPr>
                      <w:rFonts w:ascii="仿宋_gb2312" w:hAnsi="仿宋_gb2312" w:eastAsia="仿宋_gb2312" w:cs="仿宋_gb2312"/>
                      <w:b/>
                      <w:sz w:val="24"/>
                    </w:rPr>
                    <w:t>序号</w:t>
                  </w:r>
                </w:p>
              </w:tc>
              <w:tc>
                <w:tcPr>
                  <w:tcW w:w="991" w:type="dxa"/>
                  <w:tcBorders>
                    <w:top w:val="nil"/>
                    <w:left w:val="nil"/>
                    <w:bottom w:val="single" w:color="000000" w:sz="4" w:space="0"/>
                    <w:right w:val="single" w:color="000000" w:sz="4" w:space="0"/>
                  </w:tcBorders>
                  <w:tcMar>
                    <w:top w:w="0" w:type="dxa"/>
                    <w:left w:w="105" w:type="dxa"/>
                    <w:bottom w:w="0" w:type="dxa"/>
                    <w:right w:w="105" w:type="dxa"/>
                  </w:tcMar>
                  <w:vAlign w:val="top"/>
                </w:tcPr>
                <w:p w14:paraId="6B71424E">
                  <w:pPr>
                    <w:pStyle w:val="4"/>
                    <w:jc w:val="center"/>
                  </w:pPr>
                  <w:r>
                    <w:rPr>
                      <w:rFonts w:ascii="仿宋_gb2312" w:hAnsi="仿宋_gb2312" w:eastAsia="仿宋_gb2312" w:cs="仿宋_gb2312"/>
                      <w:b/>
                      <w:sz w:val="24"/>
                    </w:rPr>
                    <w:t>扣分内容</w:t>
                  </w:r>
                </w:p>
              </w:tc>
              <w:tc>
                <w:tcPr>
                  <w:tcW w:w="364" w:type="dxa"/>
                  <w:tcBorders>
                    <w:top w:val="nil"/>
                    <w:left w:val="nil"/>
                    <w:bottom w:val="single" w:color="000000" w:sz="4" w:space="0"/>
                    <w:right w:val="single" w:color="000000" w:sz="4" w:space="0"/>
                  </w:tcBorders>
                  <w:tcMar>
                    <w:top w:w="0" w:type="dxa"/>
                    <w:left w:w="105" w:type="dxa"/>
                    <w:bottom w:w="0" w:type="dxa"/>
                    <w:right w:w="105" w:type="dxa"/>
                  </w:tcMar>
                  <w:vAlign w:val="top"/>
                </w:tcPr>
                <w:p w14:paraId="48ADD4A4">
                  <w:pPr>
                    <w:pStyle w:val="4"/>
                    <w:jc w:val="center"/>
                  </w:pPr>
                  <w:r>
                    <w:rPr>
                      <w:rFonts w:ascii="仿宋_gb2312" w:hAnsi="仿宋_gb2312" w:eastAsia="仿宋_gb2312" w:cs="仿宋_gb2312"/>
                      <w:b/>
                      <w:sz w:val="24"/>
                    </w:rPr>
                    <w:t>扣分标准</w:t>
                  </w:r>
                </w:p>
              </w:tc>
              <w:tc>
                <w:tcPr>
                  <w:tcW w:w="34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2AF0B52">
                  <w:pPr>
                    <w:pStyle w:val="4"/>
                    <w:jc w:val="center"/>
                  </w:pPr>
                  <w:r>
                    <w:rPr>
                      <w:rFonts w:ascii="仿宋_gb2312" w:hAnsi="仿宋_gb2312" w:eastAsia="仿宋_gb2312" w:cs="仿宋_gb2312"/>
                      <w:b/>
                      <w:sz w:val="24"/>
                    </w:rPr>
                    <w:t>实际扣分</w:t>
                  </w:r>
                </w:p>
              </w:tc>
              <w:tc>
                <w:tcPr>
                  <w:tcW w:w="27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6CE2683">
                  <w:pPr>
                    <w:pStyle w:val="4"/>
                    <w:jc w:val="center"/>
                  </w:pPr>
                  <w:r>
                    <w:rPr>
                      <w:rFonts w:ascii="仿宋_gb2312" w:hAnsi="仿宋_gb2312" w:eastAsia="仿宋_gb2312" w:cs="仿宋_gb2312"/>
                      <w:b/>
                      <w:sz w:val="24"/>
                    </w:rPr>
                    <w:t>备注</w:t>
                  </w:r>
                </w:p>
              </w:tc>
            </w:tr>
            <w:tr w14:paraId="2B9FCF1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52" w:type="dxa"/>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C1F2E98">
                  <w:pPr>
                    <w:pStyle w:val="4"/>
                    <w:jc w:val="center"/>
                  </w:pPr>
                  <w:r>
                    <w:rPr>
                      <w:rFonts w:ascii="仿宋_gb2312" w:hAnsi="仿宋_gb2312" w:eastAsia="仿宋_gb2312" w:cs="仿宋_gb2312"/>
                      <w:sz w:val="24"/>
                    </w:rPr>
                    <w:t>日常维护运行</w:t>
                  </w:r>
                </w:p>
              </w:tc>
              <w:tc>
                <w:tcPr>
                  <w:tcW w:w="223" w:type="dxa"/>
                  <w:tcBorders>
                    <w:top w:val="nil"/>
                    <w:left w:val="nil"/>
                    <w:bottom w:val="single" w:color="000000" w:sz="4" w:space="0"/>
                    <w:right w:val="single" w:color="000000" w:sz="4" w:space="0"/>
                  </w:tcBorders>
                  <w:tcMar>
                    <w:top w:w="0" w:type="dxa"/>
                    <w:left w:w="105" w:type="dxa"/>
                    <w:bottom w:w="0" w:type="dxa"/>
                    <w:right w:w="105" w:type="dxa"/>
                  </w:tcMar>
                  <w:vAlign w:val="top"/>
                </w:tcPr>
                <w:p w14:paraId="0938DB61">
                  <w:pPr>
                    <w:pStyle w:val="4"/>
                    <w:jc w:val="center"/>
                  </w:pPr>
                  <w:r>
                    <w:rPr>
                      <w:rFonts w:ascii="仿宋_gb2312" w:hAnsi="仿宋_gb2312" w:eastAsia="仿宋_gb2312" w:cs="仿宋_gb2312"/>
                      <w:sz w:val="24"/>
                    </w:rPr>
                    <w:t>1</w:t>
                  </w:r>
                </w:p>
              </w:tc>
              <w:tc>
                <w:tcPr>
                  <w:tcW w:w="991" w:type="dxa"/>
                  <w:tcBorders>
                    <w:top w:val="nil"/>
                    <w:left w:val="nil"/>
                    <w:bottom w:val="single" w:color="000000" w:sz="4" w:space="0"/>
                    <w:right w:val="single" w:color="000000" w:sz="4" w:space="0"/>
                  </w:tcBorders>
                  <w:tcMar>
                    <w:top w:w="0" w:type="dxa"/>
                    <w:left w:w="105" w:type="dxa"/>
                    <w:bottom w:w="0" w:type="dxa"/>
                    <w:right w:w="105" w:type="dxa"/>
                  </w:tcMar>
                  <w:vAlign w:val="top"/>
                </w:tcPr>
                <w:p w14:paraId="6FCAC931">
                  <w:pPr>
                    <w:pStyle w:val="4"/>
                    <w:jc w:val="both"/>
                  </w:pPr>
                  <w:r>
                    <w:rPr>
                      <w:rFonts w:ascii="仿宋_gb2312" w:hAnsi="仿宋_gb2312" w:eastAsia="仿宋_gb2312" w:cs="仿宋_gb2312"/>
                      <w:sz w:val="24"/>
                    </w:rPr>
                    <w:t>污水处理设施运行不正常，超标排放，或未经许可擅自停运</w:t>
                  </w:r>
                </w:p>
              </w:tc>
              <w:tc>
                <w:tcPr>
                  <w:tcW w:w="364" w:type="dxa"/>
                  <w:tcBorders>
                    <w:top w:val="nil"/>
                    <w:left w:val="nil"/>
                    <w:bottom w:val="single" w:color="000000" w:sz="4" w:space="0"/>
                    <w:right w:val="single" w:color="000000" w:sz="4" w:space="0"/>
                  </w:tcBorders>
                  <w:tcMar>
                    <w:top w:w="0" w:type="dxa"/>
                    <w:left w:w="105" w:type="dxa"/>
                    <w:bottom w:w="0" w:type="dxa"/>
                    <w:right w:w="105" w:type="dxa"/>
                  </w:tcMar>
                  <w:vAlign w:val="top"/>
                </w:tcPr>
                <w:p w14:paraId="304918BE">
                  <w:pPr>
                    <w:pStyle w:val="4"/>
                    <w:jc w:val="center"/>
                  </w:pPr>
                  <w:r>
                    <w:rPr>
                      <w:rFonts w:ascii="仿宋_gb2312" w:hAnsi="仿宋_gb2312" w:eastAsia="仿宋_gb2312" w:cs="仿宋_gb2312"/>
                      <w:sz w:val="24"/>
                    </w:rPr>
                    <w:t>全部项目不得分</w:t>
                  </w:r>
                </w:p>
              </w:tc>
              <w:tc>
                <w:tcPr>
                  <w:tcW w:w="34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3527DD4">
                  <w:pPr>
                    <w:pStyle w:val="4"/>
                    <w:jc w:val="center"/>
                  </w:pPr>
                </w:p>
              </w:tc>
              <w:tc>
                <w:tcPr>
                  <w:tcW w:w="27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EF74D1A"/>
              </w:tc>
            </w:tr>
            <w:tr w14:paraId="4A08D2C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52" w:type="dxa"/>
                  <w:vMerge w:val="continue"/>
                  <w:tcBorders>
                    <w:top w:val="nil"/>
                    <w:left w:val="single" w:color="000000" w:sz="4" w:space="0"/>
                    <w:bottom w:val="single" w:color="000000" w:sz="4" w:space="0"/>
                    <w:right w:val="single" w:color="000000" w:sz="4" w:space="0"/>
                  </w:tcBorders>
                </w:tcPr>
                <w:p w14:paraId="3F015416"/>
              </w:tc>
              <w:tc>
                <w:tcPr>
                  <w:tcW w:w="223" w:type="dxa"/>
                  <w:tcBorders>
                    <w:top w:val="nil"/>
                    <w:left w:val="nil"/>
                    <w:bottom w:val="single" w:color="000000" w:sz="4" w:space="0"/>
                    <w:right w:val="single" w:color="000000" w:sz="4" w:space="0"/>
                  </w:tcBorders>
                  <w:tcMar>
                    <w:top w:w="0" w:type="dxa"/>
                    <w:left w:w="105" w:type="dxa"/>
                    <w:bottom w:w="0" w:type="dxa"/>
                    <w:right w:w="105" w:type="dxa"/>
                  </w:tcMar>
                  <w:vAlign w:val="top"/>
                </w:tcPr>
                <w:p w14:paraId="205FF26E">
                  <w:pPr>
                    <w:pStyle w:val="4"/>
                    <w:jc w:val="center"/>
                  </w:pPr>
                  <w:r>
                    <w:rPr>
                      <w:rFonts w:ascii="仿宋_gb2312" w:hAnsi="仿宋_gb2312" w:eastAsia="仿宋_gb2312" w:cs="仿宋_gb2312"/>
                      <w:sz w:val="24"/>
                    </w:rPr>
                    <w:t>2</w:t>
                  </w:r>
                </w:p>
              </w:tc>
              <w:tc>
                <w:tcPr>
                  <w:tcW w:w="991" w:type="dxa"/>
                  <w:tcBorders>
                    <w:top w:val="nil"/>
                    <w:left w:val="nil"/>
                    <w:bottom w:val="single" w:color="000000" w:sz="4" w:space="0"/>
                    <w:right w:val="single" w:color="000000" w:sz="4" w:space="0"/>
                  </w:tcBorders>
                  <w:tcMar>
                    <w:top w:w="0" w:type="dxa"/>
                    <w:left w:w="105" w:type="dxa"/>
                    <w:bottom w:w="0" w:type="dxa"/>
                    <w:right w:w="105" w:type="dxa"/>
                  </w:tcMar>
                  <w:vAlign w:val="top"/>
                </w:tcPr>
                <w:p w14:paraId="3D41756E">
                  <w:pPr>
                    <w:pStyle w:val="4"/>
                    <w:jc w:val="both"/>
                  </w:pPr>
                  <w:r>
                    <w:rPr>
                      <w:rFonts w:ascii="仿宋_gb2312" w:hAnsi="仿宋_gb2312" w:eastAsia="仿宋_gb2312" w:cs="仿宋_gb2312"/>
                      <w:sz w:val="24"/>
                    </w:rPr>
                    <w:t>未按要求建立管理制度、应急预案及安全生产规程</w:t>
                  </w:r>
                </w:p>
              </w:tc>
              <w:tc>
                <w:tcPr>
                  <w:tcW w:w="364" w:type="dxa"/>
                  <w:tcBorders>
                    <w:top w:val="nil"/>
                    <w:left w:val="nil"/>
                    <w:bottom w:val="single" w:color="000000" w:sz="4" w:space="0"/>
                    <w:right w:val="single" w:color="000000" w:sz="4" w:space="0"/>
                  </w:tcBorders>
                  <w:tcMar>
                    <w:top w:w="0" w:type="dxa"/>
                    <w:left w:w="105" w:type="dxa"/>
                    <w:bottom w:w="0" w:type="dxa"/>
                    <w:right w:w="105" w:type="dxa"/>
                  </w:tcMar>
                  <w:vAlign w:val="top"/>
                </w:tcPr>
                <w:p w14:paraId="5334EBF4">
                  <w:pPr>
                    <w:pStyle w:val="4"/>
                    <w:jc w:val="center"/>
                  </w:pPr>
                  <w:r>
                    <w:rPr>
                      <w:rFonts w:ascii="仿宋_gb2312" w:hAnsi="仿宋_gb2312" w:eastAsia="仿宋_gb2312" w:cs="仿宋_gb2312"/>
                      <w:sz w:val="24"/>
                    </w:rPr>
                    <w:t>一次扣20分</w:t>
                  </w:r>
                </w:p>
              </w:tc>
              <w:tc>
                <w:tcPr>
                  <w:tcW w:w="346" w:type="dxa"/>
                  <w:tcBorders>
                    <w:top w:val="nil"/>
                    <w:left w:val="nil"/>
                    <w:bottom w:val="single" w:color="000000" w:sz="4" w:space="0"/>
                    <w:right w:val="single" w:color="000000" w:sz="4" w:space="0"/>
                  </w:tcBorders>
                  <w:tcMar>
                    <w:top w:w="0" w:type="dxa"/>
                    <w:left w:w="105" w:type="dxa"/>
                    <w:bottom w:w="0" w:type="dxa"/>
                    <w:right w:w="105" w:type="dxa"/>
                  </w:tcMar>
                  <w:vAlign w:val="top"/>
                </w:tcPr>
                <w:p w14:paraId="3FEEA5DD">
                  <w:pPr>
                    <w:pStyle w:val="4"/>
                    <w:jc w:val="center"/>
                  </w:pPr>
                </w:p>
              </w:tc>
              <w:tc>
                <w:tcPr>
                  <w:tcW w:w="276" w:type="dxa"/>
                  <w:tcBorders>
                    <w:top w:val="nil"/>
                    <w:left w:val="nil"/>
                    <w:bottom w:val="single" w:color="000000" w:sz="4" w:space="0"/>
                    <w:right w:val="single" w:color="000000" w:sz="4" w:space="0"/>
                  </w:tcBorders>
                  <w:tcMar>
                    <w:top w:w="0" w:type="dxa"/>
                    <w:left w:w="105" w:type="dxa"/>
                    <w:bottom w:w="0" w:type="dxa"/>
                    <w:right w:w="105" w:type="dxa"/>
                  </w:tcMar>
                  <w:vAlign w:val="top"/>
                </w:tcPr>
                <w:p w14:paraId="300574C9"/>
              </w:tc>
            </w:tr>
            <w:tr w14:paraId="3FD72B6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52" w:type="dxa"/>
                  <w:vMerge w:val="continue"/>
                  <w:tcBorders>
                    <w:top w:val="nil"/>
                    <w:left w:val="single" w:color="000000" w:sz="4" w:space="0"/>
                    <w:bottom w:val="single" w:color="000000" w:sz="4" w:space="0"/>
                    <w:right w:val="single" w:color="000000" w:sz="4" w:space="0"/>
                  </w:tcBorders>
                </w:tcPr>
                <w:p w14:paraId="7138B730"/>
              </w:tc>
              <w:tc>
                <w:tcPr>
                  <w:tcW w:w="223" w:type="dxa"/>
                  <w:tcBorders>
                    <w:top w:val="nil"/>
                    <w:left w:val="nil"/>
                    <w:bottom w:val="single" w:color="000000" w:sz="4" w:space="0"/>
                    <w:right w:val="single" w:color="000000" w:sz="4" w:space="0"/>
                  </w:tcBorders>
                  <w:tcMar>
                    <w:top w:w="0" w:type="dxa"/>
                    <w:left w:w="105" w:type="dxa"/>
                    <w:bottom w:w="0" w:type="dxa"/>
                    <w:right w:w="105" w:type="dxa"/>
                  </w:tcMar>
                  <w:vAlign w:val="top"/>
                </w:tcPr>
                <w:p w14:paraId="5907F2CA">
                  <w:pPr>
                    <w:pStyle w:val="4"/>
                    <w:jc w:val="center"/>
                  </w:pPr>
                  <w:r>
                    <w:rPr>
                      <w:rFonts w:ascii="仿宋_gb2312" w:hAnsi="仿宋_gb2312" w:eastAsia="仿宋_gb2312" w:cs="仿宋_gb2312"/>
                      <w:sz w:val="24"/>
                    </w:rPr>
                    <w:t>3</w:t>
                  </w:r>
                </w:p>
              </w:tc>
              <w:tc>
                <w:tcPr>
                  <w:tcW w:w="991" w:type="dxa"/>
                  <w:tcBorders>
                    <w:top w:val="nil"/>
                    <w:left w:val="nil"/>
                    <w:bottom w:val="single" w:color="000000" w:sz="4" w:space="0"/>
                    <w:right w:val="single" w:color="000000" w:sz="4" w:space="0"/>
                  </w:tcBorders>
                  <w:tcMar>
                    <w:top w:w="0" w:type="dxa"/>
                    <w:left w:w="105" w:type="dxa"/>
                    <w:bottom w:w="0" w:type="dxa"/>
                    <w:right w:w="105" w:type="dxa"/>
                  </w:tcMar>
                  <w:vAlign w:val="top"/>
                </w:tcPr>
                <w:p w14:paraId="1C9E402E">
                  <w:pPr>
                    <w:pStyle w:val="4"/>
                    <w:jc w:val="both"/>
                  </w:pPr>
                  <w:r>
                    <w:rPr>
                      <w:rFonts w:ascii="仿宋_gb2312" w:hAnsi="仿宋_gb2312" w:eastAsia="仿宋_gb2312" w:cs="仿宋_gb2312"/>
                      <w:sz w:val="24"/>
                    </w:rPr>
                    <w:t>人员变动频繁，持证上岗率未达到相关要求</w:t>
                  </w:r>
                </w:p>
              </w:tc>
              <w:tc>
                <w:tcPr>
                  <w:tcW w:w="364" w:type="dxa"/>
                  <w:tcBorders>
                    <w:top w:val="nil"/>
                    <w:left w:val="nil"/>
                    <w:bottom w:val="single" w:color="000000" w:sz="4" w:space="0"/>
                    <w:right w:val="single" w:color="000000" w:sz="4" w:space="0"/>
                  </w:tcBorders>
                  <w:tcMar>
                    <w:top w:w="0" w:type="dxa"/>
                    <w:left w:w="105" w:type="dxa"/>
                    <w:bottom w:w="0" w:type="dxa"/>
                    <w:right w:w="105" w:type="dxa"/>
                  </w:tcMar>
                  <w:vAlign w:val="top"/>
                </w:tcPr>
                <w:p w14:paraId="66D80F67">
                  <w:pPr>
                    <w:pStyle w:val="4"/>
                    <w:jc w:val="center"/>
                  </w:pPr>
                  <w:r>
                    <w:rPr>
                      <w:rFonts w:ascii="仿宋_gb2312" w:hAnsi="仿宋_gb2312" w:eastAsia="仿宋_gb2312" w:cs="仿宋_gb2312"/>
                      <w:sz w:val="24"/>
                    </w:rPr>
                    <w:t>一次扣20分</w:t>
                  </w:r>
                </w:p>
              </w:tc>
              <w:tc>
                <w:tcPr>
                  <w:tcW w:w="34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2896E45">
                  <w:pPr>
                    <w:pStyle w:val="4"/>
                    <w:jc w:val="center"/>
                  </w:pPr>
                </w:p>
              </w:tc>
              <w:tc>
                <w:tcPr>
                  <w:tcW w:w="27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35D7075"/>
              </w:tc>
            </w:tr>
            <w:tr w14:paraId="656EE1B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52" w:type="dxa"/>
                  <w:vMerge w:val="continue"/>
                  <w:tcBorders>
                    <w:top w:val="nil"/>
                    <w:left w:val="single" w:color="000000" w:sz="4" w:space="0"/>
                    <w:bottom w:val="single" w:color="000000" w:sz="4" w:space="0"/>
                    <w:right w:val="single" w:color="000000" w:sz="4" w:space="0"/>
                  </w:tcBorders>
                </w:tcPr>
                <w:p w14:paraId="51560CAD"/>
              </w:tc>
              <w:tc>
                <w:tcPr>
                  <w:tcW w:w="223" w:type="dxa"/>
                  <w:tcBorders>
                    <w:top w:val="nil"/>
                    <w:left w:val="nil"/>
                    <w:bottom w:val="single" w:color="000000" w:sz="4" w:space="0"/>
                    <w:right w:val="single" w:color="000000" w:sz="4" w:space="0"/>
                  </w:tcBorders>
                  <w:tcMar>
                    <w:top w:w="0" w:type="dxa"/>
                    <w:left w:w="105" w:type="dxa"/>
                    <w:bottom w:w="0" w:type="dxa"/>
                    <w:right w:w="105" w:type="dxa"/>
                  </w:tcMar>
                  <w:vAlign w:val="top"/>
                </w:tcPr>
                <w:p w14:paraId="79C53A2B">
                  <w:pPr>
                    <w:pStyle w:val="4"/>
                    <w:jc w:val="center"/>
                  </w:pPr>
                  <w:r>
                    <w:rPr>
                      <w:rFonts w:ascii="仿宋_gb2312" w:hAnsi="仿宋_gb2312" w:eastAsia="仿宋_gb2312" w:cs="仿宋_gb2312"/>
                      <w:sz w:val="24"/>
                    </w:rPr>
                    <w:t>4</w:t>
                  </w:r>
                </w:p>
              </w:tc>
              <w:tc>
                <w:tcPr>
                  <w:tcW w:w="991" w:type="dxa"/>
                  <w:tcBorders>
                    <w:top w:val="nil"/>
                    <w:left w:val="nil"/>
                    <w:bottom w:val="single" w:color="000000" w:sz="4" w:space="0"/>
                    <w:right w:val="single" w:color="000000" w:sz="4" w:space="0"/>
                  </w:tcBorders>
                  <w:tcMar>
                    <w:top w:w="0" w:type="dxa"/>
                    <w:left w:w="105" w:type="dxa"/>
                    <w:bottom w:w="0" w:type="dxa"/>
                    <w:right w:w="105" w:type="dxa"/>
                  </w:tcMar>
                  <w:vAlign w:val="top"/>
                </w:tcPr>
                <w:p w14:paraId="05CE037A">
                  <w:pPr>
                    <w:pStyle w:val="4"/>
                    <w:jc w:val="both"/>
                  </w:pPr>
                  <w:r>
                    <w:rPr>
                      <w:rFonts w:ascii="仿宋_gb2312" w:hAnsi="仿宋_gb2312" w:eastAsia="仿宋_gb2312" w:cs="仿宋_gb2312"/>
                      <w:sz w:val="24"/>
                    </w:rPr>
                    <w:t>污水处理设施出水正常，但是工艺段存在问题，生化池菌种状态异常，未及时调整的</w:t>
                  </w:r>
                </w:p>
              </w:tc>
              <w:tc>
                <w:tcPr>
                  <w:tcW w:w="364" w:type="dxa"/>
                  <w:tcBorders>
                    <w:top w:val="nil"/>
                    <w:left w:val="nil"/>
                    <w:bottom w:val="single" w:color="000000" w:sz="4" w:space="0"/>
                    <w:right w:val="single" w:color="000000" w:sz="4" w:space="0"/>
                  </w:tcBorders>
                  <w:tcMar>
                    <w:top w:w="0" w:type="dxa"/>
                    <w:left w:w="105" w:type="dxa"/>
                    <w:bottom w:w="0" w:type="dxa"/>
                    <w:right w:w="105" w:type="dxa"/>
                  </w:tcMar>
                  <w:vAlign w:val="top"/>
                </w:tcPr>
                <w:p w14:paraId="4F80F043">
                  <w:pPr>
                    <w:pStyle w:val="4"/>
                    <w:jc w:val="center"/>
                  </w:pPr>
                  <w:r>
                    <w:rPr>
                      <w:rFonts w:ascii="仿宋_gb2312" w:hAnsi="仿宋_gb2312" w:eastAsia="仿宋_gb2312" w:cs="仿宋_gb2312"/>
                      <w:sz w:val="24"/>
                    </w:rPr>
                    <w:t>一次扣20分</w:t>
                  </w:r>
                </w:p>
              </w:tc>
              <w:tc>
                <w:tcPr>
                  <w:tcW w:w="346" w:type="dxa"/>
                  <w:tcBorders>
                    <w:top w:val="nil"/>
                    <w:left w:val="nil"/>
                    <w:bottom w:val="single" w:color="000000" w:sz="4" w:space="0"/>
                    <w:right w:val="single" w:color="000000" w:sz="4" w:space="0"/>
                  </w:tcBorders>
                  <w:tcMar>
                    <w:top w:w="0" w:type="dxa"/>
                    <w:left w:w="105" w:type="dxa"/>
                    <w:bottom w:w="0" w:type="dxa"/>
                    <w:right w:w="105" w:type="dxa"/>
                  </w:tcMar>
                  <w:vAlign w:val="top"/>
                </w:tcPr>
                <w:p w14:paraId="690178FC">
                  <w:pPr>
                    <w:pStyle w:val="4"/>
                    <w:jc w:val="center"/>
                  </w:pPr>
                </w:p>
              </w:tc>
              <w:tc>
                <w:tcPr>
                  <w:tcW w:w="27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C3C8D14"/>
              </w:tc>
            </w:tr>
            <w:tr w14:paraId="259D397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52" w:type="dxa"/>
                  <w:vMerge w:val="continue"/>
                  <w:tcBorders>
                    <w:top w:val="nil"/>
                    <w:left w:val="single" w:color="000000" w:sz="4" w:space="0"/>
                    <w:bottom w:val="single" w:color="000000" w:sz="4" w:space="0"/>
                    <w:right w:val="single" w:color="000000" w:sz="4" w:space="0"/>
                  </w:tcBorders>
                </w:tcPr>
                <w:p w14:paraId="6786D604"/>
              </w:tc>
              <w:tc>
                <w:tcPr>
                  <w:tcW w:w="223" w:type="dxa"/>
                  <w:tcBorders>
                    <w:top w:val="nil"/>
                    <w:left w:val="nil"/>
                    <w:bottom w:val="single" w:color="000000" w:sz="4" w:space="0"/>
                    <w:right w:val="single" w:color="000000" w:sz="4" w:space="0"/>
                  </w:tcBorders>
                  <w:tcMar>
                    <w:top w:w="0" w:type="dxa"/>
                    <w:left w:w="105" w:type="dxa"/>
                    <w:bottom w:w="0" w:type="dxa"/>
                    <w:right w:w="105" w:type="dxa"/>
                  </w:tcMar>
                  <w:vAlign w:val="top"/>
                </w:tcPr>
                <w:p w14:paraId="312B93FB">
                  <w:pPr>
                    <w:pStyle w:val="4"/>
                    <w:jc w:val="center"/>
                  </w:pPr>
                  <w:r>
                    <w:rPr>
                      <w:rFonts w:ascii="仿宋_gb2312" w:hAnsi="仿宋_gb2312" w:eastAsia="仿宋_gb2312" w:cs="仿宋_gb2312"/>
                      <w:sz w:val="24"/>
                    </w:rPr>
                    <w:t>5</w:t>
                  </w:r>
                </w:p>
              </w:tc>
              <w:tc>
                <w:tcPr>
                  <w:tcW w:w="991" w:type="dxa"/>
                  <w:tcBorders>
                    <w:top w:val="nil"/>
                    <w:left w:val="nil"/>
                    <w:bottom w:val="single" w:color="000000" w:sz="4" w:space="0"/>
                    <w:right w:val="single" w:color="000000" w:sz="4" w:space="0"/>
                  </w:tcBorders>
                  <w:tcMar>
                    <w:top w:w="0" w:type="dxa"/>
                    <w:left w:w="105" w:type="dxa"/>
                    <w:bottom w:w="0" w:type="dxa"/>
                    <w:right w:w="105" w:type="dxa"/>
                  </w:tcMar>
                  <w:vAlign w:val="top"/>
                </w:tcPr>
                <w:p w14:paraId="4E23C27C">
                  <w:pPr>
                    <w:pStyle w:val="4"/>
                    <w:jc w:val="both"/>
                  </w:pPr>
                  <w:r>
                    <w:rPr>
                      <w:rFonts w:ascii="仿宋_gb2312" w:hAnsi="仿宋_gb2312" w:eastAsia="仿宋_gb2312" w:cs="仿宋_gb2312"/>
                      <w:sz w:val="24"/>
                    </w:rPr>
                    <w:t>出现紧急情况未采取应急措施或未及时上报</w:t>
                  </w:r>
                </w:p>
              </w:tc>
              <w:tc>
                <w:tcPr>
                  <w:tcW w:w="364" w:type="dxa"/>
                  <w:tcBorders>
                    <w:top w:val="nil"/>
                    <w:left w:val="nil"/>
                    <w:bottom w:val="single" w:color="000000" w:sz="4" w:space="0"/>
                    <w:right w:val="single" w:color="000000" w:sz="4" w:space="0"/>
                  </w:tcBorders>
                  <w:tcMar>
                    <w:top w:w="0" w:type="dxa"/>
                    <w:left w:w="105" w:type="dxa"/>
                    <w:bottom w:w="0" w:type="dxa"/>
                    <w:right w:w="105" w:type="dxa"/>
                  </w:tcMar>
                  <w:vAlign w:val="top"/>
                </w:tcPr>
                <w:p w14:paraId="4EADFB19">
                  <w:pPr>
                    <w:pStyle w:val="4"/>
                    <w:jc w:val="center"/>
                  </w:pPr>
                  <w:r>
                    <w:rPr>
                      <w:rFonts w:ascii="仿宋_gb2312" w:hAnsi="仿宋_gb2312" w:eastAsia="仿宋_gb2312" w:cs="仿宋_gb2312"/>
                      <w:sz w:val="24"/>
                    </w:rPr>
                    <w:t>一次扣20分</w:t>
                  </w:r>
                </w:p>
              </w:tc>
              <w:tc>
                <w:tcPr>
                  <w:tcW w:w="34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04470EB">
                  <w:pPr>
                    <w:pStyle w:val="4"/>
                    <w:jc w:val="center"/>
                  </w:pPr>
                </w:p>
              </w:tc>
              <w:tc>
                <w:tcPr>
                  <w:tcW w:w="276" w:type="dxa"/>
                  <w:tcBorders>
                    <w:top w:val="nil"/>
                    <w:left w:val="nil"/>
                    <w:bottom w:val="single" w:color="000000" w:sz="4" w:space="0"/>
                    <w:right w:val="single" w:color="000000" w:sz="4" w:space="0"/>
                  </w:tcBorders>
                  <w:tcMar>
                    <w:top w:w="0" w:type="dxa"/>
                    <w:left w:w="105" w:type="dxa"/>
                    <w:bottom w:w="0" w:type="dxa"/>
                    <w:right w:w="105" w:type="dxa"/>
                  </w:tcMar>
                  <w:vAlign w:val="top"/>
                </w:tcPr>
                <w:p w14:paraId="3933F2F3"/>
              </w:tc>
            </w:tr>
            <w:tr w14:paraId="07BD891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52" w:type="dxa"/>
                  <w:vMerge w:val="continue"/>
                  <w:tcBorders>
                    <w:top w:val="nil"/>
                    <w:left w:val="single" w:color="000000" w:sz="4" w:space="0"/>
                    <w:bottom w:val="single" w:color="000000" w:sz="4" w:space="0"/>
                    <w:right w:val="single" w:color="000000" w:sz="4" w:space="0"/>
                  </w:tcBorders>
                </w:tcPr>
                <w:p w14:paraId="49B719EA"/>
              </w:tc>
              <w:tc>
                <w:tcPr>
                  <w:tcW w:w="223" w:type="dxa"/>
                  <w:tcBorders>
                    <w:top w:val="nil"/>
                    <w:left w:val="nil"/>
                    <w:bottom w:val="single" w:color="000000" w:sz="4" w:space="0"/>
                    <w:right w:val="single" w:color="000000" w:sz="4" w:space="0"/>
                  </w:tcBorders>
                  <w:tcMar>
                    <w:top w:w="0" w:type="dxa"/>
                    <w:left w:w="105" w:type="dxa"/>
                    <w:bottom w:w="0" w:type="dxa"/>
                    <w:right w:w="105" w:type="dxa"/>
                  </w:tcMar>
                  <w:vAlign w:val="top"/>
                </w:tcPr>
                <w:p w14:paraId="6E97C44A">
                  <w:pPr>
                    <w:pStyle w:val="4"/>
                    <w:jc w:val="center"/>
                  </w:pPr>
                  <w:r>
                    <w:rPr>
                      <w:rFonts w:ascii="仿宋_gb2312" w:hAnsi="仿宋_gb2312" w:eastAsia="仿宋_gb2312" w:cs="仿宋_gb2312"/>
                      <w:sz w:val="24"/>
                    </w:rPr>
                    <w:t>6</w:t>
                  </w:r>
                </w:p>
              </w:tc>
              <w:tc>
                <w:tcPr>
                  <w:tcW w:w="991" w:type="dxa"/>
                  <w:tcBorders>
                    <w:top w:val="nil"/>
                    <w:left w:val="nil"/>
                    <w:bottom w:val="single" w:color="000000" w:sz="4" w:space="0"/>
                    <w:right w:val="single" w:color="000000" w:sz="4" w:space="0"/>
                  </w:tcBorders>
                  <w:tcMar>
                    <w:top w:w="0" w:type="dxa"/>
                    <w:left w:w="105" w:type="dxa"/>
                    <w:bottom w:w="0" w:type="dxa"/>
                    <w:right w:w="105" w:type="dxa"/>
                  </w:tcMar>
                  <w:vAlign w:val="top"/>
                </w:tcPr>
                <w:p w14:paraId="180C074B">
                  <w:pPr>
                    <w:pStyle w:val="4"/>
                    <w:jc w:val="both"/>
                  </w:pPr>
                  <w:r>
                    <w:rPr>
                      <w:rFonts w:ascii="仿宋_gb2312" w:hAnsi="仿宋_gb2312" w:eastAsia="仿宋_gb2312" w:cs="仿宋_gb2312"/>
                      <w:sz w:val="24"/>
                    </w:rPr>
                    <w:t>擅自停用污泥处理设施或将污泥随意弃置、堆放造成二次污染</w:t>
                  </w:r>
                </w:p>
              </w:tc>
              <w:tc>
                <w:tcPr>
                  <w:tcW w:w="364" w:type="dxa"/>
                  <w:tcBorders>
                    <w:top w:val="nil"/>
                    <w:left w:val="nil"/>
                    <w:bottom w:val="single" w:color="000000" w:sz="4" w:space="0"/>
                    <w:right w:val="single" w:color="000000" w:sz="4" w:space="0"/>
                  </w:tcBorders>
                  <w:tcMar>
                    <w:top w:w="0" w:type="dxa"/>
                    <w:left w:w="105" w:type="dxa"/>
                    <w:bottom w:w="0" w:type="dxa"/>
                    <w:right w:w="105" w:type="dxa"/>
                  </w:tcMar>
                  <w:vAlign w:val="top"/>
                </w:tcPr>
                <w:p w14:paraId="2A4B572C">
                  <w:pPr>
                    <w:pStyle w:val="4"/>
                    <w:jc w:val="center"/>
                  </w:pPr>
                  <w:r>
                    <w:rPr>
                      <w:rFonts w:ascii="仿宋_gb2312" w:hAnsi="仿宋_gb2312" w:eastAsia="仿宋_gb2312" w:cs="仿宋_gb2312"/>
                      <w:sz w:val="24"/>
                    </w:rPr>
                    <w:t>一次扣10分</w:t>
                  </w:r>
                </w:p>
              </w:tc>
              <w:tc>
                <w:tcPr>
                  <w:tcW w:w="34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A62F0D8">
                  <w:pPr>
                    <w:pStyle w:val="4"/>
                    <w:jc w:val="center"/>
                  </w:pPr>
                </w:p>
              </w:tc>
              <w:tc>
                <w:tcPr>
                  <w:tcW w:w="27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EB54D1A"/>
              </w:tc>
            </w:tr>
            <w:tr w14:paraId="63CE6DC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52" w:type="dxa"/>
                  <w:vMerge w:val="continue"/>
                  <w:tcBorders>
                    <w:top w:val="nil"/>
                    <w:left w:val="single" w:color="000000" w:sz="4" w:space="0"/>
                    <w:bottom w:val="single" w:color="000000" w:sz="4" w:space="0"/>
                    <w:right w:val="single" w:color="000000" w:sz="4" w:space="0"/>
                  </w:tcBorders>
                </w:tcPr>
                <w:p w14:paraId="487DC276"/>
              </w:tc>
              <w:tc>
                <w:tcPr>
                  <w:tcW w:w="223" w:type="dxa"/>
                  <w:tcBorders>
                    <w:top w:val="nil"/>
                    <w:left w:val="nil"/>
                    <w:bottom w:val="single" w:color="000000" w:sz="4" w:space="0"/>
                    <w:right w:val="single" w:color="000000" w:sz="4" w:space="0"/>
                  </w:tcBorders>
                  <w:tcMar>
                    <w:top w:w="0" w:type="dxa"/>
                    <w:left w:w="105" w:type="dxa"/>
                    <w:bottom w:w="0" w:type="dxa"/>
                    <w:right w:w="105" w:type="dxa"/>
                  </w:tcMar>
                  <w:vAlign w:val="top"/>
                </w:tcPr>
                <w:p w14:paraId="5F1EA5CB">
                  <w:pPr>
                    <w:pStyle w:val="4"/>
                    <w:jc w:val="center"/>
                  </w:pPr>
                  <w:r>
                    <w:rPr>
                      <w:rFonts w:ascii="仿宋_gb2312" w:hAnsi="仿宋_gb2312" w:eastAsia="仿宋_gb2312" w:cs="仿宋_gb2312"/>
                      <w:sz w:val="24"/>
                    </w:rPr>
                    <w:t>7</w:t>
                  </w:r>
                </w:p>
              </w:tc>
              <w:tc>
                <w:tcPr>
                  <w:tcW w:w="991" w:type="dxa"/>
                  <w:tcBorders>
                    <w:top w:val="nil"/>
                    <w:left w:val="nil"/>
                    <w:bottom w:val="single" w:color="000000" w:sz="4" w:space="0"/>
                    <w:right w:val="single" w:color="000000" w:sz="4" w:space="0"/>
                  </w:tcBorders>
                  <w:tcMar>
                    <w:top w:w="0" w:type="dxa"/>
                    <w:left w:w="105" w:type="dxa"/>
                    <w:bottom w:w="0" w:type="dxa"/>
                    <w:right w:w="105" w:type="dxa"/>
                  </w:tcMar>
                  <w:vAlign w:val="top"/>
                </w:tcPr>
                <w:p w14:paraId="01D1DA6F">
                  <w:pPr>
                    <w:pStyle w:val="4"/>
                    <w:jc w:val="both"/>
                  </w:pPr>
                  <w:r>
                    <w:rPr>
                      <w:rFonts w:ascii="仿宋_gb2312" w:hAnsi="仿宋_gb2312" w:eastAsia="仿宋_gb2312" w:cs="仿宋_gb2312"/>
                      <w:sz w:val="24"/>
                    </w:rPr>
                    <w:t>虚报、瞒报、拒报、迟报、漏报上级主管部门要求的各项资料</w:t>
                  </w:r>
                </w:p>
              </w:tc>
              <w:tc>
                <w:tcPr>
                  <w:tcW w:w="364" w:type="dxa"/>
                  <w:tcBorders>
                    <w:top w:val="nil"/>
                    <w:left w:val="nil"/>
                    <w:bottom w:val="single" w:color="000000" w:sz="4" w:space="0"/>
                    <w:right w:val="single" w:color="000000" w:sz="4" w:space="0"/>
                  </w:tcBorders>
                  <w:tcMar>
                    <w:top w:w="0" w:type="dxa"/>
                    <w:left w:w="105" w:type="dxa"/>
                    <w:bottom w:w="0" w:type="dxa"/>
                    <w:right w:w="105" w:type="dxa"/>
                  </w:tcMar>
                  <w:vAlign w:val="top"/>
                </w:tcPr>
                <w:p w14:paraId="54F3D1DF">
                  <w:pPr>
                    <w:pStyle w:val="4"/>
                    <w:jc w:val="center"/>
                  </w:pPr>
                  <w:r>
                    <w:rPr>
                      <w:rFonts w:ascii="仿宋_gb2312" w:hAnsi="仿宋_gb2312" w:eastAsia="仿宋_gb2312" w:cs="仿宋_gb2312"/>
                      <w:sz w:val="24"/>
                    </w:rPr>
                    <w:t>一次扣10分</w:t>
                  </w:r>
                </w:p>
              </w:tc>
              <w:tc>
                <w:tcPr>
                  <w:tcW w:w="34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B059954">
                  <w:pPr>
                    <w:pStyle w:val="4"/>
                    <w:jc w:val="center"/>
                  </w:pPr>
                </w:p>
              </w:tc>
              <w:tc>
                <w:tcPr>
                  <w:tcW w:w="27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9EED30F"/>
              </w:tc>
            </w:tr>
            <w:tr w14:paraId="5EBCDDB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A25C4AD"/>
              </w:tc>
              <w:tc>
                <w:tcPr>
                  <w:tcW w:w="223" w:type="dxa"/>
                  <w:tcBorders>
                    <w:top w:val="nil"/>
                    <w:left w:val="nil"/>
                    <w:bottom w:val="single" w:color="000000" w:sz="4" w:space="0"/>
                    <w:right w:val="single" w:color="000000" w:sz="4" w:space="0"/>
                  </w:tcBorders>
                  <w:tcMar>
                    <w:top w:w="0" w:type="dxa"/>
                    <w:left w:w="105" w:type="dxa"/>
                    <w:bottom w:w="0" w:type="dxa"/>
                    <w:right w:w="105" w:type="dxa"/>
                  </w:tcMar>
                  <w:vAlign w:val="top"/>
                </w:tcPr>
                <w:p w14:paraId="4C80AFBD">
                  <w:pPr>
                    <w:pStyle w:val="4"/>
                    <w:jc w:val="center"/>
                  </w:pPr>
                  <w:r>
                    <w:rPr>
                      <w:rFonts w:ascii="仿宋_gb2312" w:hAnsi="仿宋_gb2312" w:eastAsia="仿宋_gb2312" w:cs="仿宋_gb2312"/>
                      <w:sz w:val="24"/>
                    </w:rPr>
                    <w:t>8</w:t>
                  </w:r>
                </w:p>
              </w:tc>
              <w:tc>
                <w:tcPr>
                  <w:tcW w:w="991" w:type="dxa"/>
                  <w:tcBorders>
                    <w:top w:val="nil"/>
                    <w:left w:val="nil"/>
                    <w:bottom w:val="single" w:color="000000" w:sz="4" w:space="0"/>
                    <w:right w:val="single" w:color="000000" w:sz="4" w:space="0"/>
                  </w:tcBorders>
                  <w:tcMar>
                    <w:top w:w="0" w:type="dxa"/>
                    <w:left w:w="105" w:type="dxa"/>
                    <w:bottom w:w="0" w:type="dxa"/>
                    <w:right w:w="105" w:type="dxa"/>
                  </w:tcMar>
                  <w:vAlign w:val="top"/>
                </w:tcPr>
                <w:p w14:paraId="2DA630D4">
                  <w:pPr>
                    <w:pStyle w:val="4"/>
                    <w:jc w:val="both"/>
                  </w:pPr>
                  <w:r>
                    <w:rPr>
                      <w:rFonts w:ascii="仿宋_gb2312" w:hAnsi="仿宋_gb2312" w:eastAsia="仿宋_gb2312" w:cs="仿宋_gb2312"/>
                      <w:sz w:val="24"/>
                    </w:rPr>
                    <w:t>污泥检测结果未达到《城镇污水处理厂污泥泥质标准》（GB24188-2009）</w:t>
                  </w:r>
                </w:p>
              </w:tc>
              <w:tc>
                <w:tcPr>
                  <w:tcW w:w="364" w:type="dxa"/>
                  <w:tcBorders>
                    <w:top w:val="nil"/>
                    <w:left w:val="nil"/>
                    <w:bottom w:val="single" w:color="000000" w:sz="4" w:space="0"/>
                    <w:right w:val="single" w:color="000000" w:sz="4" w:space="0"/>
                  </w:tcBorders>
                  <w:tcMar>
                    <w:top w:w="0" w:type="dxa"/>
                    <w:left w:w="105" w:type="dxa"/>
                    <w:bottom w:w="0" w:type="dxa"/>
                    <w:right w:w="105" w:type="dxa"/>
                  </w:tcMar>
                  <w:vAlign w:val="top"/>
                </w:tcPr>
                <w:p w14:paraId="32AF15AA">
                  <w:pPr>
                    <w:pStyle w:val="4"/>
                    <w:jc w:val="center"/>
                  </w:pPr>
                  <w:r>
                    <w:rPr>
                      <w:rFonts w:ascii="仿宋_gb2312" w:hAnsi="仿宋_gb2312" w:eastAsia="仿宋_gb2312" w:cs="仿宋_gb2312"/>
                      <w:sz w:val="24"/>
                    </w:rPr>
                    <w:t>一次扣10分</w:t>
                  </w:r>
                </w:p>
              </w:tc>
              <w:tc>
                <w:tcPr>
                  <w:tcW w:w="34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8E7E28B">
                  <w:pPr>
                    <w:pStyle w:val="4"/>
                    <w:jc w:val="center"/>
                  </w:pPr>
                </w:p>
              </w:tc>
              <w:tc>
                <w:tcPr>
                  <w:tcW w:w="27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822F839"/>
              </w:tc>
            </w:tr>
            <w:tr w14:paraId="5A55FF1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5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15BE274">
                  <w:pPr>
                    <w:pStyle w:val="4"/>
                    <w:jc w:val="center"/>
                  </w:pPr>
                  <w:r>
                    <w:rPr>
                      <w:rFonts w:ascii="仿宋_gb2312" w:hAnsi="仿宋_gb2312" w:eastAsia="仿宋_gb2312" w:cs="仿宋_gb2312"/>
                      <w:sz w:val="24"/>
                    </w:rPr>
                    <w:t>合计</w:t>
                  </w:r>
                </w:p>
              </w:tc>
              <w:tc>
                <w:tcPr>
                  <w:tcW w:w="223" w:type="dxa"/>
                  <w:tcBorders>
                    <w:top w:val="nil"/>
                    <w:left w:val="nil"/>
                    <w:bottom w:val="single" w:color="000000" w:sz="4" w:space="0"/>
                    <w:right w:val="single" w:color="000000" w:sz="4" w:space="0"/>
                  </w:tcBorders>
                  <w:tcMar>
                    <w:top w:w="0" w:type="dxa"/>
                    <w:left w:w="105" w:type="dxa"/>
                    <w:bottom w:w="0" w:type="dxa"/>
                    <w:right w:w="105" w:type="dxa"/>
                  </w:tcMar>
                  <w:vAlign w:val="top"/>
                </w:tcPr>
                <w:p w14:paraId="3E789E58">
                  <w:pPr>
                    <w:pStyle w:val="4"/>
                    <w:jc w:val="both"/>
                  </w:pPr>
                </w:p>
              </w:tc>
              <w:tc>
                <w:tcPr>
                  <w:tcW w:w="991" w:type="dxa"/>
                  <w:tcBorders>
                    <w:top w:val="nil"/>
                    <w:left w:val="nil"/>
                    <w:bottom w:val="single" w:color="000000" w:sz="4" w:space="0"/>
                    <w:right w:val="single" w:color="000000" w:sz="4" w:space="0"/>
                  </w:tcBorders>
                  <w:tcMar>
                    <w:top w:w="0" w:type="dxa"/>
                    <w:left w:w="105" w:type="dxa"/>
                    <w:bottom w:w="0" w:type="dxa"/>
                    <w:right w:w="105" w:type="dxa"/>
                  </w:tcMar>
                  <w:vAlign w:val="top"/>
                </w:tcPr>
                <w:p w14:paraId="54F92EED"/>
              </w:tc>
              <w:tc>
                <w:tcPr>
                  <w:tcW w:w="364" w:type="dxa"/>
                  <w:tcBorders>
                    <w:top w:val="nil"/>
                    <w:left w:val="nil"/>
                    <w:bottom w:val="single" w:color="000000" w:sz="4" w:space="0"/>
                    <w:right w:val="single" w:color="000000" w:sz="4" w:space="0"/>
                  </w:tcBorders>
                  <w:tcMar>
                    <w:top w:w="0" w:type="dxa"/>
                    <w:left w:w="105" w:type="dxa"/>
                    <w:bottom w:w="0" w:type="dxa"/>
                    <w:right w:w="105" w:type="dxa"/>
                  </w:tcMar>
                  <w:vAlign w:val="top"/>
                </w:tcPr>
                <w:p w14:paraId="5572EDDC"/>
              </w:tc>
              <w:tc>
                <w:tcPr>
                  <w:tcW w:w="34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A480D10">
                  <w:pPr>
                    <w:pStyle w:val="4"/>
                    <w:jc w:val="center"/>
                  </w:pPr>
                  <w:r>
                    <w:rPr>
                      <w:rFonts w:ascii="仿宋_gb2312" w:hAnsi="仿宋_gb2312" w:eastAsia="仿宋_gb2312" w:cs="仿宋_gb2312"/>
                      <w:sz w:val="24"/>
                    </w:rPr>
                    <w:t>0</w:t>
                  </w:r>
                </w:p>
              </w:tc>
              <w:tc>
                <w:tcPr>
                  <w:tcW w:w="27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8728AAB">
                  <w:pPr>
                    <w:pStyle w:val="4"/>
                    <w:jc w:val="center"/>
                  </w:pPr>
                </w:p>
              </w:tc>
            </w:tr>
          </w:tbl>
          <w:p w14:paraId="0535F066">
            <w:pPr>
              <w:pStyle w:val="4"/>
              <w:jc w:val="left"/>
            </w:pPr>
            <w:r>
              <w:rPr>
                <w:rFonts w:ascii="方正小标宋简体" w:hAnsi="方正小标宋简体" w:eastAsia="方正小标宋简体" w:cs="方正小标宋简体"/>
                <w:sz w:val="32"/>
              </w:rPr>
              <w:t>双流区污水处理设施规范管理考核评分表</w:t>
            </w:r>
          </w:p>
          <w:p w14:paraId="7F0D58B9">
            <w:pPr>
              <w:pStyle w:val="4"/>
              <w:jc w:val="left"/>
            </w:pPr>
            <w:r>
              <w:t xml:space="preserve"> </w:t>
            </w:r>
          </w:p>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451"/>
              <w:gridCol w:w="451"/>
              <w:gridCol w:w="1022"/>
              <w:gridCol w:w="451"/>
              <w:gridCol w:w="451"/>
              <w:gridCol w:w="593"/>
            </w:tblGrid>
            <w:tr w14:paraId="5CE9A5C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391" w:type="dxa"/>
                  <w:gridSpan w:val="3"/>
                  <w:tcBorders>
                    <w:top w:val="nil"/>
                    <w:left w:val="nil"/>
                    <w:bottom w:val="single" w:color="000000" w:sz="4" w:space="0"/>
                    <w:right w:val="nil"/>
                  </w:tcBorders>
                  <w:tcMar>
                    <w:top w:w="0" w:type="dxa"/>
                    <w:left w:w="105" w:type="dxa"/>
                    <w:bottom w:w="0" w:type="dxa"/>
                    <w:right w:w="105" w:type="dxa"/>
                  </w:tcMar>
                  <w:vAlign w:val="top"/>
                </w:tcPr>
                <w:p w14:paraId="16572973">
                  <w:pPr>
                    <w:pStyle w:val="4"/>
                    <w:jc w:val="left"/>
                  </w:pPr>
                  <w:r>
                    <w:rPr>
                      <w:rFonts w:ascii="仿宋_gb2312" w:hAnsi="仿宋_gb2312" w:eastAsia="仿宋_gb2312" w:cs="仿宋_gb2312"/>
                      <w:sz w:val="24"/>
                    </w:rPr>
                    <w:t>厂名</w:t>
                  </w:r>
                  <w:r>
                    <w:rPr>
                      <w:rFonts w:ascii="宋体" w:hAnsi="宋体" w:eastAsia="宋体" w:cs="宋体"/>
                      <w:sz w:val="24"/>
                    </w:rPr>
                    <w:t>：</w:t>
                  </w:r>
                </w:p>
              </w:tc>
              <w:tc>
                <w:tcPr>
                  <w:tcW w:w="1161" w:type="dxa"/>
                  <w:gridSpan w:val="3"/>
                  <w:tcBorders>
                    <w:top w:val="nil"/>
                    <w:left w:val="nil"/>
                    <w:bottom w:val="single" w:color="000000" w:sz="4" w:space="0"/>
                    <w:right w:val="nil"/>
                  </w:tcBorders>
                  <w:tcMar>
                    <w:top w:w="0" w:type="dxa"/>
                    <w:left w:w="105" w:type="dxa"/>
                    <w:bottom w:w="0" w:type="dxa"/>
                    <w:right w:w="105" w:type="dxa"/>
                  </w:tcMar>
                  <w:vAlign w:val="top"/>
                </w:tcPr>
                <w:p w14:paraId="7B6664F3">
                  <w:pPr>
                    <w:pStyle w:val="4"/>
                    <w:ind w:firstLine="720"/>
                    <w:jc w:val="left"/>
                  </w:pPr>
                  <w:r>
                    <w:rPr>
                      <w:rFonts w:ascii="仿宋_gb2312" w:hAnsi="仿宋_gb2312" w:eastAsia="仿宋_gb2312" w:cs="仿宋_gb2312"/>
                      <w:sz w:val="24"/>
                    </w:rPr>
                    <w:t>日期：</w:t>
                  </w:r>
                  <w:r>
                    <w:rPr>
                      <w:rFonts w:ascii="Calibri" w:hAnsi="Calibri" w:eastAsia="Calibri" w:cs="Calibri"/>
                      <w:sz w:val="21"/>
                    </w:rPr>
                    <w:t xml:space="preserve">   </w:t>
                  </w:r>
                  <w:r>
                    <w:rPr>
                      <w:rFonts w:ascii="仿宋_gb2312" w:hAnsi="仿宋_gb2312" w:eastAsia="仿宋_gb2312" w:cs="仿宋_gb2312"/>
                      <w:sz w:val="24"/>
                    </w:rPr>
                    <w:t>年</w:t>
                  </w:r>
                  <w:r>
                    <w:rPr>
                      <w:rFonts w:ascii="Calibri" w:hAnsi="Calibri" w:eastAsia="Calibri" w:cs="Calibri"/>
                      <w:sz w:val="21"/>
                    </w:rPr>
                    <w:t xml:space="preserve">  </w:t>
                  </w:r>
                  <w:r>
                    <w:rPr>
                      <w:rFonts w:ascii="仿宋_gb2312" w:hAnsi="仿宋_gb2312" w:eastAsia="仿宋_gb2312" w:cs="仿宋_gb2312"/>
                      <w:sz w:val="24"/>
                    </w:rPr>
                    <w:t>月</w:t>
                  </w:r>
                  <w:r>
                    <w:rPr>
                      <w:rFonts w:ascii="Calibri" w:hAnsi="Calibri" w:eastAsia="Calibri" w:cs="Calibri"/>
                      <w:sz w:val="21"/>
                    </w:rPr>
                    <w:t xml:space="preserve">   </w:t>
                  </w:r>
                  <w:r>
                    <w:rPr>
                      <w:rFonts w:ascii="仿宋_gb2312" w:hAnsi="仿宋_gb2312" w:eastAsia="仿宋_gb2312" w:cs="仿宋_gb2312"/>
                      <w:sz w:val="24"/>
                    </w:rPr>
                    <w:t>日</w:t>
                  </w:r>
                </w:p>
              </w:tc>
            </w:tr>
            <w:tr w14:paraId="4660240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42"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0DB650D">
                  <w:pPr>
                    <w:pStyle w:val="4"/>
                    <w:jc w:val="center"/>
                  </w:pPr>
                  <w:r>
                    <w:rPr>
                      <w:rFonts w:ascii="仿宋_gb2312" w:hAnsi="仿宋_gb2312" w:eastAsia="仿宋_gb2312" w:cs="仿宋_gb2312"/>
                      <w:b/>
                      <w:sz w:val="24"/>
                    </w:rPr>
                    <w:t>考核</w:t>
                  </w:r>
                </w:p>
                <w:p w14:paraId="60612F6C">
                  <w:pPr>
                    <w:pStyle w:val="4"/>
                    <w:jc w:val="center"/>
                  </w:pPr>
                  <w:r>
                    <w:rPr>
                      <w:rFonts w:ascii="仿宋_gb2312" w:hAnsi="仿宋_gb2312" w:eastAsia="仿宋_gb2312" w:cs="仿宋_gb2312"/>
                      <w:b/>
                      <w:sz w:val="24"/>
                    </w:rPr>
                    <w:t>项目</w:t>
                  </w:r>
                </w:p>
              </w:tc>
              <w:tc>
                <w:tcPr>
                  <w:tcW w:w="1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147BDC25">
                  <w:pPr>
                    <w:pStyle w:val="4"/>
                    <w:jc w:val="center"/>
                  </w:pPr>
                  <w:r>
                    <w:rPr>
                      <w:rFonts w:ascii="仿宋_gb2312" w:hAnsi="仿宋_gb2312" w:eastAsia="仿宋_gb2312" w:cs="仿宋_gb2312"/>
                      <w:b/>
                      <w:sz w:val="24"/>
                    </w:rPr>
                    <w:t>序号</w:t>
                  </w:r>
                </w:p>
              </w:tc>
              <w:tc>
                <w:tcPr>
                  <w:tcW w:w="1022" w:type="dxa"/>
                  <w:tcBorders>
                    <w:top w:val="nil"/>
                    <w:left w:val="nil"/>
                    <w:bottom w:val="single" w:color="000000" w:sz="4" w:space="0"/>
                    <w:right w:val="single" w:color="000000" w:sz="4" w:space="0"/>
                  </w:tcBorders>
                  <w:tcMar>
                    <w:top w:w="0" w:type="dxa"/>
                    <w:left w:w="105" w:type="dxa"/>
                    <w:bottom w:w="0" w:type="dxa"/>
                    <w:right w:w="105" w:type="dxa"/>
                  </w:tcMar>
                  <w:vAlign w:val="top"/>
                </w:tcPr>
                <w:p w14:paraId="1493805E">
                  <w:pPr>
                    <w:pStyle w:val="4"/>
                    <w:jc w:val="center"/>
                  </w:pPr>
                  <w:r>
                    <w:rPr>
                      <w:rFonts w:ascii="仿宋_gb2312" w:hAnsi="仿宋_gb2312" w:eastAsia="仿宋_gb2312" w:cs="仿宋_gb2312"/>
                      <w:b/>
                      <w:sz w:val="24"/>
                    </w:rPr>
                    <w:t>扣分内容</w:t>
                  </w:r>
                </w:p>
              </w:tc>
              <w:tc>
                <w:tcPr>
                  <w:tcW w:w="3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1451E6AA">
                  <w:pPr>
                    <w:pStyle w:val="4"/>
                    <w:jc w:val="center"/>
                  </w:pPr>
                  <w:r>
                    <w:rPr>
                      <w:rFonts w:ascii="仿宋_gb2312" w:hAnsi="仿宋_gb2312" w:eastAsia="仿宋_gb2312" w:cs="仿宋_gb2312"/>
                      <w:b/>
                      <w:sz w:val="24"/>
                    </w:rPr>
                    <w:t>扣分</w:t>
                  </w:r>
                </w:p>
                <w:p w14:paraId="39719FE9">
                  <w:pPr>
                    <w:pStyle w:val="4"/>
                    <w:jc w:val="center"/>
                  </w:pPr>
                  <w:r>
                    <w:rPr>
                      <w:rFonts w:ascii="仿宋_gb2312" w:hAnsi="仿宋_gb2312" w:eastAsia="仿宋_gb2312" w:cs="仿宋_gb2312"/>
                      <w:b/>
                      <w:sz w:val="24"/>
                    </w:rPr>
                    <w:t>标准</w:t>
                  </w:r>
                </w:p>
              </w:tc>
              <w:tc>
                <w:tcPr>
                  <w:tcW w:w="26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04B2FAE">
                  <w:pPr>
                    <w:pStyle w:val="4"/>
                    <w:jc w:val="center"/>
                  </w:pPr>
                  <w:r>
                    <w:rPr>
                      <w:rFonts w:ascii="仿宋_gb2312" w:hAnsi="仿宋_gb2312" w:eastAsia="仿宋_gb2312" w:cs="仿宋_gb2312"/>
                      <w:b/>
                      <w:sz w:val="24"/>
                    </w:rPr>
                    <w:t>实际</w:t>
                  </w:r>
                </w:p>
                <w:p w14:paraId="13BBDD1D">
                  <w:pPr>
                    <w:pStyle w:val="4"/>
                    <w:jc w:val="center"/>
                  </w:pPr>
                  <w:r>
                    <w:rPr>
                      <w:rFonts w:ascii="仿宋_gb2312" w:hAnsi="仿宋_gb2312" w:eastAsia="仿宋_gb2312" w:cs="仿宋_gb2312"/>
                      <w:b/>
                      <w:sz w:val="24"/>
                    </w:rPr>
                    <w:t>扣分</w:t>
                  </w:r>
                </w:p>
              </w:tc>
              <w:tc>
                <w:tcPr>
                  <w:tcW w:w="593" w:type="dxa"/>
                  <w:tcBorders>
                    <w:top w:val="nil"/>
                    <w:left w:val="nil"/>
                    <w:bottom w:val="single" w:color="000000" w:sz="4" w:space="0"/>
                    <w:right w:val="single" w:color="000000" w:sz="4" w:space="0"/>
                  </w:tcBorders>
                  <w:tcMar>
                    <w:top w:w="0" w:type="dxa"/>
                    <w:left w:w="105" w:type="dxa"/>
                    <w:bottom w:w="0" w:type="dxa"/>
                    <w:right w:w="105" w:type="dxa"/>
                  </w:tcMar>
                  <w:vAlign w:val="top"/>
                </w:tcPr>
                <w:p w14:paraId="2A206887">
                  <w:pPr>
                    <w:pStyle w:val="4"/>
                    <w:jc w:val="center"/>
                  </w:pPr>
                  <w:r>
                    <w:rPr>
                      <w:rFonts w:ascii="仿宋_gb2312" w:hAnsi="仿宋_gb2312" w:eastAsia="仿宋_gb2312" w:cs="仿宋_gb2312"/>
                      <w:b/>
                      <w:sz w:val="24"/>
                    </w:rPr>
                    <w:t>备注</w:t>
                  </w:r>
                </w:p>
              </w:tc>
            </w:tr>
            <w:tr w14:paraId="26B3AC4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42" w:type="dxa"/>
                  <w:vMerge w:val="restart"/>
                  <w:tcBorders>
                    <w:top w:val="nil"/>
                    <w:left w:val="single" w:color="000000" w:sz="4" w:space="0"/>
                    <w:bottom w:val="nil"/>
                    <w:right w:val="single" w:color="000000" w:sz="4" w:space="0"/>
                  </w:tcBorders>
                  <w:tcMar>
                    <w:top w:w="0" w:type="dxa"/>
                    <w:left w:w="105" w:type="dxa"/>
                    <w:bottom w:w="0" w:type="dxa"/>
                    <w:right w:w="105" w:type="dxa"/>
                  </w:tcMar>
                  <w:vAlign w:val="top"/>
                </w:tcPr>
                <w:p w14:paraId="306F6D64">
                  <w:pPr>
                    <w:pStyle w:val="4"/>
                    <w:jc w:val="center"/>
                  </w:pPr>
                  <w:r>
                    <w:rPr>
                      <w:rFonts w:ascii="仿宋_gb2312" w:hAnsi="仿宋_gb2312" w:eastAsia="仿宋_gb2312" w:cs="仿宋_gb2312"/>
                      <w:sz w:val="24"/>
                    </w:rPr>
                    <w:t>规</w:t>
                  </w:r>
                </w:p>
                <w:p w14:paraId="24B17DFD">
                  <w:pPr>
                    <w:pStyle w:val="4"/>
                    <w:jc w:val="center"/>
                  </w:pPr>
                  <w:r>
                    <w:rPr>
                      <w:rFonts w:ascii="仿宋_gb2312" w:hAnsi="仿宋_gb2312" w:eastAsia="仿宋_gb2312" w:cs="仿宋_gb2312"/>
                      <w:sz w:val="24"/>
                    </w:rPr>
                    <w:t>范</w:t>
                  </w:r>
                </w:p>
                <w:p w14:paraId="3B99AD42">
                  <w:pPr>
                    <w:pStyle w:val="4"/>
                    <w:jc w:val="center"/>
                  </w:pPr>
                  <w:r>
                    <w:rPr>
                      <w:rFonts w:ascii="仿宋_gb2312" w:hAnsi="仿宋_gb2312" w:eastAsia="仿宋_gb2312" w:cs="仿宋_gb2312"/>
                      <w:sz w:val="24"/>
                    </w:rPr>
                    <w:t>管</w:t>
                  </w:r>
                </w:p>
                <w:p w14:paraId="009C613F">
                  <w:pPr>
                    <w:pStyle w:val="4"/>
                    <w:jc w:val="center"/>
                  </w:pPr>
                  <w:r>
                    <w:rPr>
                      <w:rFonts w:ascii="仿宋_gb2312" w:hAnsi="仿宋_gb2312" w:eastAsia="仿宋_gb2312" w:cs="仿宋_gb2312"/>
                      <w:sz w:val="24"/>
                    </w:rPr>
                    <w:t>理</w:t>
                  </w:r>
                </w:p>
              </w:tc>
              <w:tc>
                <w:tcPr>
                  <w:tcW w:w="1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B9B5F36">
                  <w:pPr>
                    <w:pStyle w:val="4"/>
                    <w:jc w:val="center"/>
                  </w:pPr>
                  <w:r>
                    <w:rPr>
                      <w:rFonts w:ascii="仿宋_gb2312" w:hAnsi="仿宋_gb2312" w:eastAsia="仿宋_gb2312" w:cs="仿宋_gb2312"/>
                      <w:sz w:val="24"/>
                    </w:rPr>
                    <w:t>1</w:t>
                  </w:r>
                </w:p>
              </w:tc>
              <w:tc>
                <w:tcPr>
                  <w:tcW w:w="1022" w:type="dxa"/>
                  <w:tcBorders>
                    <w:top w:val="nil"/>
                    <w:left w:val="nil"/>
                    <w:bottom w:val="single" w:color="000000" w:sz="4" w:space="0"/>
                    <w:right w:val="single" w:color="000000" w:sz="4" w:space="0"/>
                  </w:tcBorders>
                  <w:tcMar>
                    <w:top w:w="0" w:type="dxa"/>
                    <w:left w:w="105" w:type="dxa"/>
                    <w:bottom w:w="0" w:type="dxa"/>
                    <w:right w:w="105" w:type="dxa"/>
                  </w:tcMar>
                  <w:vAlign w:val="top"/>
                </w:tcPr>
                <w:p w14:paraId="1BE4203E">
                  <w:pPr>
                    <w:pStyle w:val="4"/>
                    <w:jc w:val="both"/>
                  </w:pPr>
                  <w:r>
                    <w:rPr>
                      <w:rFonts w:ascii="仿宋_gb2312" w:hAnsi="仿宋_gb2312" w:eastAsia="仿宋_gb2312" w:cs="仿宋_gb2312"/>
                      <w:sz w:val="24"/>
                    </w:rPr>
                    <w:t>施工、运行、人员及车辆等发生重大安全事故</w:t>
                  </w:r>
                </w:p>
              </w:tc>
              <w:tc>
                <w:tcPr>
                  <w:tcW w:w="3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493593C8">
                  <w:pPr>
                    <w:pStyle w:val="4"/>
                    <w:jc w:val="center"/>
                  </w:pPr>
                  <w:r>
                    <w:rPr>
                      <w:rFonts w:ascii="仿宋_gb2312" w:hAnsi="仿宋_gb2312" w:eastAsia="仿宋_gb2312" w:cs="仿宋_gb2312"/>
                      <w:sz w:val="24"/>
                    </w:rPr>
                    <w:t>全部项目不得分</w:t>
                  </w:r>
                </w:p>
              </w:tc>
              <w:tc>
                <w:tcPr>
                  <w:tcW w:w="26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B532CD9">
                  <w:pPr>
                    <w:pStyle w:val="4"/>
                    <w:jc w:val="center"/>
                  </w:pPr>
                </w:p>
              </w:tc>
              <w:tc>
                <w:tcPr>
                  <w:tcW w:w="593" w:type="dxa"/>
                  <w:tcBorders>
                    <w:top w:val="nil"/>
                    <w:left w:val="nil"/>
                    <w:bottom w:val="single" w:color="000000" w:sz="4" w:space="0"/>
                    <w:right w:val="single" w:color="000000" w:sz="4" w:space="0"/>
                  </w:tcBorders>
                  <w:tcMar>
                    <w:top w:w="0" w:type="dxa"/>
                    <w:left w:w="105" w:type="dxa"/>
                    <w:bottom w:w="0" w:type="dxa"/>
                    <w:right w:w="105" w:type="dxa"/>
                  </w:tcMar>
                  <w:vAlign w:val="top"/>
                </w:tcPr>
                <w:p w14:paraId="4B83AC4D"/>
              </w:tc>
            </w:tr>
            <w:tr w14:paraId="0A65AA2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42" w:type="dxa"/>
                  <w:vMerge w:val="continue"/>
                  <w:tcBorders>
                    <w:top w:val="nil"/>
                    <w:left w:val="single" w:color="000000" w:sz="4" w:space="0"/>
                    <w:bottom w:val="nil"/>
                    <w:right w:val="single" w:color="000000" w:sz="4" w:space="0"/>
                  </w:tcBorders>
                </w:tcPr>
                <w:p w14:paraId="001CD077"/>
              </w:tc>
              <w:tc>
                <w:tcPr>
                  <w:tcW w:w="1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901220B">
                  <w:pPr>
                    <w:pStyle w:val="4"/>
                    <w:jc w:val="center"/>
                  </w:pPr>
                  <w:r>
                    <w:rPr>
                      <w:rFonts w:ascii="仿宋_gb2312" w:hAnsi="仿宋_gb2312" w:eastAsia="仿宋_gb2312" w:cs="仿宋_gb2312"/>
                      <w:sz w:val="24"/>
                    </w:rPr>
                    <w:t>2</w:t>
                  </w:r>
                </w:p>
              </w:tc>
              <w:tc>
                <w:tcPr>
                  <w:tcW w:w="1022" w:type="dxa"/>
                  <w:tcBorders>
                    <w:top w:val="nil"/>
                    <w:left w:val="nil"/>
                    <w:bottom w:val="single" w:color="000000" w:sz="4" w:space="0"/>
                    <w:right w:val="single" w:color="000000" w:sz="4" w:space="0"/>
                  </w:tcBorders>
                  <w:tcMar>
                    <w:top w:w="0" w:type="dxa"/>
                    <w:left w:w="105" w:type="dxa"/>
                    <w:bottom w:w="0" w:type="dxa"/>
                    <w:right w:w="105" w:type="dxa"/>
                  </w:tcMar>
                  <w:vAlign w:val="top"/>
                </w:tcPr>
                <w:p w14:paraId="4B868144">
                  <w:pPr>
                    <w:pStyle w:val="4"/>
                    <w:jc w:val="both"/>
                  </w:pPr>
                  <w:r>
                    <w:rPr>
                      <w:rFonts w:ascii="仿宋_gb2312" w:hAnsi="仿宋_gb2312" w:eastAsia="仿宋_gb2312" w:cs="仿宋_gb2312"/>
                      <w:sz w:val="24"/>
                    </w:rPr>
                    <w:t>施工、运行、人员及车辆等存在安全隐患</w:t>
                  </w:r>
                </w:p>
              </w:tc>
              <w:tc>
                <w:tcPr>
                  <w:tcW w:w="3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36E39E89">
                  <w:pPr>
                    <w:pStyle w:val="4"/>
                    <w:jc w:val="center"/>
                  </w:pPr>
                  <w:r>
                    <w:rPr>
                      <w:rFonts w:ascii="仿宋_gb2312" w:hAnsi="仿宋_gb2312" w:eastAsia="仿宋_gb2312" w:cs="仿宋_gb2312"/>
                      <w:sz w:val="24"/>
                    </w:rPr>
                    <w:t>一次扣5分</w:t>
                  </w:r>
                </w:p>
              </w:tc>
              <w:tc>
                <w:tcPr>
                  <w:tcW w:w="26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AE277C4">
                  <w:pPr>
                    <w:pStyle w:val="4"/>
                    <w:jc w:val="center"/>
                  </w:pPr>
                </w:p>
              </w:tc>
              <w:tc>
                <w:tcPr>
                  <w:tcW w:w="593" w:type="dxa"/>
                  <w:tcBorders>
                    <w:top w:val="nil"/>
                    <w:left w:val="nil"/>
                    <w:bottom w:val="single" w:color="000000" w:sz="4" w:space="0"/>
                    <w:right w:val="single" w:color="000000" w:sz="4" w:space="0"/>
                  </w:tcBorders>
                  <w:tcMar>
                    <w:top w:w="0" w:type="dxa"/>
                    <w:left w:w="105" w:type="dxa"/>
                    <w:bottom w:w="0" w:type="dxa"/>
                    <w:right w:w="105" w:type="dxa"/>
                  </w:tcMar>
                  <w:vAlign w:val="top"/>
                </w:tcPr>
                <w:p w14:paraId="70D78C49"/>
              </w:tc>
            </w:tr>
            <w:tr w14:paraId="3019B9E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42" w:type="dxa"/>
                  <w:vMerge w:val="continue"/>
                  <w:tcBorders>
                    <w:top w:val="nil"/>
                    <w:left w:val="single" w:color="000000" w:sz="4" w:space="0"/>
                    <w:bottom w:val="nil"/>
                    <w:right w:val="single" w:color="000000" w:sz="4" w:space="0"/>
                  </w:tcBorders>
                </w:tcPr>
                <w:p w14:paraId="36F3484A"/>
              </w:tc>
              <w:tc>
                <w:tcPr>
                  <w:tcW w:w="1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360AD26">
                  <w:pPr>
                    <w:pStyle w:val="4"/>
                    <w:jc w:val="center"/>
                  </w:pPr>
                  <w:r>
                    <w:rPr>
                      <w:rFonts w:ascii="仿宋_gb2312" w:hAnsi="仿宋_gb2312" w:eastAsia="仿宋_gb2312" w:cs="仿宋_gb2312"/>
                      <w:sz w:val="24"/>
                    </w:rPr>
                    <w:t>3</w:t>
                  </w:r>
                </w:p>
              </w:tc>
              <w:tc>
                <w:tcPr>
                  <w:tcW w:w="1022" w:type="dxa"/>
                  <w:tcBorders>
                    <w:top w:val="nil"/>
                    <w:left w:val="nil"/>
                    <w:bottom w:val="single" w:color="000000" w:sz="4" w:space="0"/>
                    <w:right w:val="single" w:color="000000" w:sz="4" w:space="0"/>
                  </w:tcBorders>
                  <w:tcMar>
                    <w:top w:w="0" w:type="dxa"/>
                    <w:left w:w="105" w:type="dxa"/>
                    <w:bottom w:w="0" w:type="dxa"/>
                    <w:right w:w="105" w:type="dxa"/>
                  </w:tcMar>
                  <w:vAlign w:val="top"/>
                </w:tcPr>
                <w:p w14:paraId="67B65AA5">
                  <w:pPr>
                    <w:pStyle w:val="4"/>
                    <w:jc w:val="both"/>
                  </w:pPr>
                  <w:r>
                    <w:rPr>
                      <w:rFonts w:ascii="仿宋_gb2312" w:hAnsi="仿宋_gb2312" w:eastAsia="仿宋_gb2312" w:cs="仿宋_gb2312"/>
                      <w:sz w:val="24"/>
                    </w:rPr>
                    <w:t>厂区内绿化不完整，未及时替换、补种、修剪枯、死植被，树墙等,厂区内有垃圾，蜘蛛网等</w:t>
                  </w:r>
                </w:p>
              </w:tc>
              <w:tc>
                <w:tcPr>
                  <w:tcW w:w="3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48C0E72C">
                  <w:pPr>
                    <w:pStyle w:val="4"/>
                    <w:jc w:val="center"/>
                  </w:pPr>
                  <w:r>
                    <w:rPr>
                      <w:rFonts w:ascii="仿宋_gb2312" w:hAnsi="仿宋_gb2312" w:eastAsia="仿宋_gb2312" w:cs="仿宋_gb2312"/>
                      <w:sz w:val="24"/>
                    </w:rPr>
                    <w:t>一次扣5分</w:t>
                  </w:r>
                </w:p>
              </w:tc>
              <w:tc>
                <w:tcPr>
                  <w:tcW w:w="26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9CE6563">
                  <w:pPr>
                    <w:pStyle w:val="4"/>
                    <w:jc w:val="center"/>
                  </w:pPr>
                </w:p>
              </w:tc>
              <w:tc>
                <w:tcPr>
                  <w:tcW w:w="593" w:type="dxa"/>
                  <w:tcBorders>
                    <w:top w:val="nil"/>
                    <w:left w:val="nil"/>
                    <w:bottom w:val="single" w:color="000000" w:sz="4" w:space="0"/>
                    <w:right w:val="single" w:color="000000" w:sz="4" w:space="0"/>
                  </w:tcBorders>
                  <w:tcMar>
                    <w:top w:w="0" w:type="dxa"/>
                    <w:left w:w="105" w:type="dxa"/>
                    <w:bottom w:w="0" w:type="dxa"/>
                    <w:right w:w="105" w:type="dxa"/>
                  </w:tcMar>
                  <w:vAlign w:val="top"/>
                </w:tcPr>
                <w:p w14:paraId="54FD7BFC"/>
              </w:tc>
            </w:tr>
            <w:tr w14:paraId="4C25C29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42" w:type="dxa"/>
                  <w:vMerge w:val="continue"/>
                  <w:tcBorders>
                    <w:top w:val="nil"/>
                    <w:left w:val="single" w:color="000000" w:sz="4" w:space="0"/>
                    <w:bottom w:val="nil"/>
                    <w:right w:val="single" w:color="000000" w:sz="4" w:space="0"/>
                  </w:tcBorders>
                </w:tcPr>
                <w:p w14:paraId="7F11AB0F"/>
              </w:tc>
              <w:tc>
                <w:tcPr>
                  <w:tcW w:w="1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E389BF4">
                  <w:pPr>
                    <w:pStyle w:val="4"/>
                    <w:jc w:val="center"/>
                  </w:pPr>
                  <w:r>
                    <w:rPr>
                      <w:rFonts w:ascii="仿宋_gb2312" w:hAnsi="仿宋_gb2312" w:eastAsia="仿宋_gb2312" w:cs="仿宋_gb2312"/>
                      <w:sz w:val="24"/>
                    </w:rPr>
                    <w:t>4</w:t>
                  </w:r>
                </w:p>
              </w:tc>
              <w:tc>
                <w:tcPr>
                  <w:tcW w:w="1022" w:type="dxa"/>
                  <w:tcBorders>
                    <w:top w:val="nil"/>
                    <w:left w:val="nil"/>
                    <w:bottom w:val="single" w:color="000000" w:sz="4" w:space="0"/>
                    <w:right w:val="single" w:color="000000" w:sz="4" w:space="0"/>
                  </w:tcBorders>
                  <w:tcMar>
                    <w:top w:w="0" w:type="dxa"/>
                    <w:left w:w="105" w:type="dxa"/>
                    <w:bottom w:w="0" w:type="dxa"/>
                    <w:right w:w="105" w:type="dxa"/>
                  </w:tcMar>
                  <w:vAlign w:val="top"/>
                </w:tcPr>
                <w:p w14:paraId="3560BCDD">
                  <w:pPr>
                    <w:pStyle w:val="4"/>
                    <w:jc w:val="both"/>
                  </w:pPr>
                  <w:r>
                    <w:rPr>
                      <w:rFonts w:ascii="仿宋_gb2312" w:hAnsi="仿宋_gb2312" w:eastAsia="仿宋_gb2312" w:cs="仿宋_gb2312"/>
                      <w:sz w:val="24"/>
                    </w:rPr>
                    <w:t>厂区内区域划分不明确，未安装标志牌</w:t>
                  </w:r>
                </w:p>
              </w:tc>
              <w:tc>
                <w:tcPr>
                  <w:tcW w:w="3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6095BD8E">
                  <w:pPr>
                    <w:pStyle w:val="4"/>
                    <w:jc w:val="center"/>
                  </w:pPr>
                  <w:r>
                    <w:rPr>
                      <w:rFonts w:ascii="仿宋_gb2312" w:hAnsi="仿宋_gb2312" w:eastAsia="仿宋_gb2312" w:cs="仿宋_gb2312"/>
                      <w:sz w:val="24"/>
                    </w:rPr>
                    <w:t>一次扣5分</w:t>
                  </w:r>
                </w:p>
              </w:tc>
              <w:tc>
                <w:tcPr>
                  <w:tcW w:w="26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6297219">
                  <w:pPr>
                    <w:pStyle w:val="4"/>
                    <w:jc w:val="center"/>
                  </w:pPr>
                </w:p>
              </w:tc>
              <w:tc>
                <w:tcPr>
                  <w:tcW w:w="593" w:type="dxa"/>
                  <w:tcBorders>
                    <w:top w:val="nil"/>
                    <w:left w:val="nil"/>
                    <w:bottom w:val="single" w:color="000000" w:sz="4" w:space="0"/>
                    <w:right w:val="single" w:color="000000" w:sz="4" w:space="0"/>
                  </w:tcBorders>
                  <w:tcMar>
                    <w:top w:w="0" w:type="dxa"/>
                    <w:left w:w="105" w:type="dxa"/>
                    <w:bottom w:w="0" w:type="dxa"/>
                    <w:right w:w="105" w:type="dxa"/>
                  </w:tcMar>
                  <w:vAlign w:val="top"/>
                </w:tcPr>
                <w:p w14:paraId="64C5FA31"/>
              </w:tc>
            </w:tr>
            <w:tr w14:paraId="4B88096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42" w:type="dxa"/>
                  <w:vMerge w:val="continue"/>
                  <w:tcBorders>
                    <w:top w:val="nil"/>
                    <w:left w:val="single" w:color="000000" w:sz="4" w:space="0"/>
                    <w:bottom w:val="nil"/>
                    <w:right w:val="single" w:color="000000" w:sz="4" w:space="0"/>
                  </w:tcBorders>
                </w:tcPr>
                <w:p w14:paraId="390617B7"/>
              </w:tc>
              <w:tc>
                <w:tcPr>
                  <w:tcW w:w="1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3EF1DC7">
                  <w:pPr>
                    <w:pStyle w:val="4"/>
                    <w:jc w:val="center"/>
                  </w:pPr>
                  <w:r>
                    <w:rPr>
                      <w:rFonts w:ascii="仿宋_gb2312" w:hAnsi="仿宋_gb2312" w:eastAsia="仿宋_gb2312" w:cs="仿宋_gb2312"/>
                      <w:sz w:val="24"/>
                    </w:rPr>
                    <w:t>5</w:t>
                  </w:r>
                </w:p>
              </w:tc>
              <w:tc>
                <w:tcPr>
                  <w:tcW w:w="1022" w:type="dxa"/>
                  <w:tcBorders>
                    <w:top w:val="nil"/>
                    <w:left w:val="nil"/>
                    <w:bottom w:val="single" w:color="000000" w:sz="4" w:space="0"/>
                    <w:right w:val="single" w:color="000000" w:sz="4" w:space="0"/>
                  </w:tcBorders>
                  <w:tcMar>
                    <w:top w:w="0" w:type="dxa"/>
                    <w:left w:w="105" w:type="dxa"/>
                    <w:bottom w:w="0" w:type="dxa"/>
                    <w:right w:w="105" w:type="dxa"/>
                  </w:tcMar>
                  <w:vAlign w:val="top"/>
                </w:tcPr>
                <w:p w14:paraId="573B430A">
                  <w:pPr>
                    <w:pStyle w:val="4"/>
                    <w:jc w:val="both"/>
                  </w:pPr>
                  <w:r>
                    <w:rPr>
                      <w:rFonts w:ascii="仿宋_gb2312" w:hAnsi="仿宋_gb2312" w:eastAsia="仿宋_gb2312" w:cs="仿宋_gb2312"/>
                      <w:sz w:val="24"/>
                    </w:rPr>
                    <w:t>构筑物内有漂浮物或出水口有青苔</w:t>
                  </w:r>
                </w:p>
              </w:tc>
              <w:tc>
                <w:tcPr>
                  <w:tcW w:w="3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7C1CBDDD">
                  <w:pPr>
                    <w:pStyle w:val="4"/>
                    <w:jc w:val="center"/>
                  </w:pPr>
                  <w:r>
                    <w:rPr>
                      <w:rFonts w:ascii="仿宋_gb2312" w:hAnsi="仿宋_gb2312" w:eastAsia="仿宋_gb2312" w:cs="仿宋_gb2312"/>
                      <w:sz w:val="24"/>
                    </w:rPr>
                    <w:t>一次扣5分</w:t>
                  </w:r>
                </w:p>
              </w:tc>
              <w:tc>
                <w:tcPr>
                  <w:tcW w:w="26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F017963">
                  <w:pPr>
                    <w:pStyle w:val="4"/>
                    <w:jc w:val="center"/>
                  </w:pPr>
                </w:p>
              </w:tc>
              <w:tc>
                <w:tcPr>
                  <w:tcW w:w="593" w:type="dxa"/>
                  <w:tcBorders>
                    <w:top w:val="nil"/>
                    <w:left w:val="nil"/>
                    <w:bottom w:val="single" w:color="000000" w:sz="4" w:space="0"/>
                    <w:right w:val="single" w:color="000000" w:sz="4" w:space="0"/>
                  </w:tcBorders>
                  <w:tcMar>
                    <w:top w:w="0" w:type="dxa"/>
                    <w:left w:w="105" w:type="dxa"/>
                    <w:bottom w:w="0" w:type="dxa"/>
                    <w:right w:w="105" w:type="dxa"/>
                  </w:tcMar>
                  <w:vAlign w:val="top"/>
                </w:tcPr>
                <w:p w14:paraId="4807F255"/>
              </w:tc>
            </w:tr>
            <w:tr w14:paraId="0797636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42" w:type="dxa"/>
                  <w:vMerge w:val="continue"/>
                  <w:tcBorders>
                    <w:top w:val="nil"/>
                    <w:left w:val="single" w:color="000000" w:sz="4" w:space="0"/>
                    <w:bottom w:val="nil"/>
                    <w:right w:val="single" w:color="000000" w:sz="4" w:space="0"/>
                  </w:tcBorders>
                </w:tcPr>
                <w:p w14:paraId="230C31D2"/>
              </w:tc>
              <w:tc>
                <w:tcPr>
                  <w:tcW w:w="1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8D31B5A">
                  <w:pPr>
                    <w:pStyle w:val="4"/>
                    <w:jc w:val="center"/>
                  </w:pPr>
                  <w:r>
                    <w:rPr>
                      <w:rFonts w:ascii="仿宋_gb2312" w:hAnsi="仿宋_gb2312" w:eastAsia="仿宋_gb2312" w:cs="仿宋_gb2312"/>
                      <w:sz w:val="24"/>
                    </w:rPr>
                    <w:t>6</w:t>
                  </w:r>
                </w:p>
              </w:tc>
              <w:tc>
                <w:tcPr>
                  <w:tcW w:w="1022" w:type="dxa"/>
                  <w:tcBorders>
                    <w:top w:val="nil"/>
                    <w:left w:val="nil"/>
                    <w:bottom w:val="single" w:color="000000" w:sz="4" w:space="0"/>
                    <w:right w:val="single" w:color="000000" w:sz="4" w:space="0"/>
                  </w:tcBorders>
                  <w:tcMar>
                    <w:top w:w="0" w:type="dxa"/>
                    <w:left w:w="105" w:type="dxa"/>
                    <w:bottom w:w="0" w:type="dxa"/>
                    <w:right w:w="105" w:type="dxa"/>
                  </w:tcMar>
                  <w:vAlign w:val="top"/>
                </w:tcPr>
                <w:p w14:paraId="38338BF3">
                  <w:pPr>
                    <w:pStyle w:val="4"/>
                    <w:jc w:val="both"/>
                  </w:pPr>
                  <w:r>
                    <w:rPr>
                      <w:rFonts w:ascii="仿宋_gb2312" w:hAnsi="仿宋_gb2312" w:eastAsia="仿宋_gb2312" w:cs="仿宋_gb2312"/>
                      <w:sz w:val="24"/>
                    </w:rPr>
                    <w:t>设施设备有锈蚀现象</w:t>
                  </w:r>
                </w:p>
              </w:tc>
              <w:tc>
                <w:tcPr>
                  <w:tcW w:w="3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34CF0078">
                  <w:pPr>
                    <w:pStyle w:val="4"/>
                    <w:jc w:val="center"/>
                  </w:pPr>
                  <w:r>
                    <w:rPr>
                      <w:rFonts w:ascii="仿宋_gb2312" w:hAnsi="仿宋_gb2312" w:eastAsia="仿宋_gb2312" w:cs="仿宋_gb2312"/>
                      <w:sz w:val="24"/>
                    </w:rPr>
                    <w:t>一次扣5分</w:t>
                  </w:r>
                </w:p>
              </w:tc>
              <w:tc>
                <w:tcPr>
                  <w:tcW w:w="26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5C97C77">
                  <w:pPr>
                    <w:pStyle w:val="4"/>
                    <w:jc w:val="center"/>
                  </w:pPr>
                </w:p>
              </w:tc>
              <w:tc>
                <w:tcPr>
                  <w:tcW w:w="593" w:type="dxa"/>
                  <w:tcBorders>
                    <w:top w:val="nil"/>
                    <w:left w:val="nil"/>
                    <w:bottom w:val="single" w:color="000000" w:sz="4" w:space="0"/>
                    <w:right w:val="single" w:color="000000" w:sz="4" w:space="0"/>
                  </w:tcBorders>
                  <w:tcMar>
                    <w:top w:w="0" w:type="dxa"/>
                    <w:left w:w="105" w:type="dxa"/>
                    <w:bottom w:w="0" w:type="dxa"/>
                    <w:right w:w="105" w:type="dxa"/>
                  </w:tcMar>
                  <w:vAlign w:val="top"/>
                </w:tcPr>
                <w:p w14:paraId="2C4E775C"/>
              </w:tc>
            </w:tr>
            <w:tr w14:paraId="0A2332F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42" w:type="dxa"/>
                  <w:vMerge w:val="continue"/>
                  <w:tcBorders>
                    <w:top w:val="nil"/>
                    <w:left w:val="single" w:color="000000" w:sz="4" w:space="0"/>
                    <w:bottom w:val="nil"/>
                    <w:right w:val="single" w:color="000000" w:sz="4" w:space="0"/>
                  </w:tcBorders>
                </w:tcPr>
                <w:p w14:paraId="11965C54"/>
              </w:tc>
              <w:tc>
                <w:tcPr>
                  <w:tcW w:w="1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3AF6E30B">
                  <w:pPr>
                    <w:pStyle w:val="4"/>
                    <w:jc w:val="center"/>
                  </w:pPr>
                  <w:r>
                    <w:rPr>
                      <w:rFonts w:ascii="仿宋_gb2312" w:hAnsi="仿宋_gb2312" w:eastAsia="仿宋_gb2312" w:cs="仿宋_gb2312"/>
                      <w:sz w:val="24"/>
                    </w:rPr>
                    <w:t>7</w:t>
                  </w:r>
                </w:p>
              </w:tc>
              <w:tc>
                <w:tcPr>
                  <w:tcW w:w="1022" w:type="dxa"/>
                  <w:tcBorders>
                    <w:top w:val="nil"/>
                    <w:left w:val="nil"/>
                    <w:bottom w:val="single" w:color="000000" w:sz="4" w:space="0"/>
                    <w:right w:val="single" w:color="000000" w:sz="4" w:space="0"/>
                  </w:tcBorders>
                  <w:tcMar>
                    <w:top w:w="0" w:type="dxa"/>
                    <w:left w:w="105" w:type="dxa"/>
                    <w:bottom w:w="0" w:type="dxa"/>
                    <w:right w:w="105" w:type="dxa"/>
                  </w:tcMar>
                  <w:vAlign w:val="top"/>
                </w:tcPr>
                <w:p w14:paraId="0CE5FB4C">
                  <w:pPr>
                    <w:pStyle w:val="4"/>
                    <w:jc w:val="both"/>
                  </w:pPr>
                  <w:r>
                    <w:rPr>
                      <w:rFonts w:ascii="仿宋_gb2312" w:hAnsi="仿宋_gb2312" w:eastAsia="仿宋_gb2312" w:cs="仿宋_gb2312"/>
                      <w:sz w:val="24"/>
                    </w:rPr>
                    <w:t>厂区无人值守，当班人员不熟悉厂区运行情况或工作不在状态,未按要求着工作服</w:t>
                  </w:r>
                </w:p>
              </w:tc>
              <w:tc>
                <w:tcPr>
                  <w:tcW w:w="3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01976764">
                  <w:pPr>
                    <w:pStyle w:val="4"/>
                    <w:jc w:val="center"/>
                  </w:pPr>
                  <w:r>
                    <w:rPr>
                      <w:rFonts w:ascii="仿宋_gb2312" w:hAnsi="仿宋_gb2312" w:eastAsia="仿宋_gb2312" w:cs="仿宋_gb2312"/>
                      <w:sz w:val="24"/>
                    </w:rPr>
                    <w:t>一次扣10分</w:t>
                  </w:r>
                </w:p>
              </w:tc>
              <w:tc>
                <w:tcPr>
                  <w:tcW w:w="26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48F5EC6">
                  <w:pPr>
                    <w:pStyle w:val="4"/>
                    <w:jc w:val="center"/>
                  </w:pPr>
                </w:p>
              </w:tc>
              <w:tc>
                <w:tcPr>
                  <w:tcW w:w="593" w:type="dxa"/>
                  <w:tcBorders>
                    <w:top w:val="nil"/>
                    <w:left w:val="nil"/>
                    <w:bottom w:val="single" w:color="000000" w:sz="4" w:space="0"/>
                    <w:right w:val="single" w:color="000000" w:sz="4" w:space="0"/>
                  </w:tcBorders>
                  <w:tcMar>
                    <w:top w:w="0" w:type="dxa"/>
                    <w:left w:w="105" w:type="dxa"/>
                    <w:bottom w:w="0" w:type="dxa"/>
                    <w:right w:w="105" w:type="dxa"/>
                  </w:tcMar>
                  <w:vAlign w:val="top"/>
                </w:tcPr>
                <w:p w14:paraId="40CECF26"/>
              </w:tc>
            </w:tr>
            <w:tr w14:paraId="220F879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42" w:type="dxa"/>
                  <w:vMerge w:val="continue"/>
                  <w:tcBorders>
                    <w:top w:val="nil"/>
                    <w:left w:val="single" w:color="000000" w:sz="4" w:space="0"/>
                    <w:bottom w:val="nil"/>
                    <w:right w:val="single" w:color="000000" w:sz="4" w:space="0"/>
                  </w:tcBorders>
                </w:tcPr>
                <w:p w14:paraId="39C2891E"/>
              </w:tc>
              <w:tc>
                <w:tcPr>
                  <w:tcW w:w="1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22151A86">
                  <w:pPr>
                    <w:pStyle w:val="4"/>
                    <w:jc w:val="center"/>
                  </w:pPr>
                  <w:r>
                    <w:rPr>
                      <w:rFonts w:ascii="仿宋_gb2312" w:hAnsi="仿宋_gb2312" w:eastAsia="仿宋_gb2312" w:cs="仿宋_gb2312"/>
                      <w:sz w:val="24"/>
                    </w:rPr>
                    <w:t>8</w:t>
                  </w:r>
                </w:p>
              </w:tc>
              <w:tc>
                <w:tcPr>
                  <w:tcW w:w="1022" w:type="dxa"/>
                  <w:tcBorders>
                    <w:top w:val="nil"/>
                    <w:left w:val="nil"/>
                    <w:bottom w:val="single" w:color="000000" w:sz="4" w:space="0"/>
                    <w:right w:val="single" w:color="000000" w:sz="4" w:space="0"/>
                  </w:tcBorders>
                  <w:tcMar>
                    <w:top w:w="0" w:type="dxa"/>
                    <w:left w:w="105" w:type="dxa"/>
                    <w:bottom w:w="0" w:type="dxa"/>
                    <w:right w:w="105" w:type="dxa"/>
                  </w:tcMar>
                  <w:vAlign w:val="top"/>
                </w:tcPr>
                <w:p w14:paraId="17F68641">
                  <w:pPr>
                    <w:pStyle w:val="4"/>
                    <w:jc w:val="both"/>
                  </w:pPr>
                  <w:r>
                    <w:rPr>
                      <w:rFonts w:ascii="仿宋_gb2312" w:hAnsi="仿宋_gb2312" w:eastAsia="仿宋_gb2312" w:cs="仿宋_gb2312"/>
                      <w:sz w:val="24"/>
                    </w:rPr>
                    <w:t>未在规定时间内按要求报送各类报表和资料或领取文件的,完成交办事项后未及时反馈处理结果</w:t>
                  </w:r>
                </w:p>
              </w:tc>
              <w:tc>
                <w:tcPr>
                  <w:tcW w:w="3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5FE5F969">
                  <w:pPr>
                    <w:pStyle w:val="4"/>
                    <w:jc w:val="center"/>
                  </w:pPr>
                  <w:r>
                    <w:rPr>
                      <w:rFonts w:ascii="仿宋_gb2312" w:hAnsi="仿宋_gb2312" w:eastAsia="仿宋_gb2312" w:cs="仿宋_gb2312"/>
                      <w:sz w:val="24"/>
                    </w:rPr>
                    <w:t>迟一天扣5分</w:t>
                  </w:r>
                </w:p>
              </w:tc>
              <w:tc>
                <w:tcPr>
                  <w:tcW w:w="26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1AD058A">
                  <w:pPr>
                    <w:pStyle w:val="4"/>
                    <w:jc w:val="center"/>
                  </w:pPr>
                </w:p>
              </w:tc>
              <w:tc>
                <w:tcPr>
                  <w:tcW w:w="593" w:type="dxa"/>
                  <w:tcBorders>
                    <w:top w:val="nil"/>
                    <w:left w:val="nil"/>
                    <w:bottom w:val="single" w:color="000000" w:sz="4" w:space="0"/>
                    <w:right w:val="single" w:color="000000" w:sz="4" w:space="0"/>
                  </w:tcBorders>
                  <w:tcMar>
                    <w:top w:w="0" w:type="dxa"/>
                    <w:left w:w="105" w:type="dxa"/>
                    <w:bottom w:w="0" w:type="dxa"/>
                    <w:right w:w="105" w:type="dxa"/>
                  </w:tcMar>
                  <w:vAlign w:val="top"/>
                </w:tcPr>
                <w:p w14:paraId="3F627498"/>
              </w:tc>
            </w:tr>
            <w:tr w14:paraId="0DBC433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42" w:type="dxa"/>
                  <w:vMerge w:val="continue"/>
                  <w:tcBorders>
                    <w:top w:val="nil"/>
                    <w:left w:val="single" w:color="000000" w:sz="4" w:space="0"/>
                    <w:bottom w:val="nil"/>
                    <w:right w:val="single" w:color="000000" w:sz="4" w:space="0"/>
                  </w:tcBorders>
                </w:tcPr>
                <w:p w14:paraId="439BEF41"/>
              </w:tc>
              <w:tc>
                <w:tcPr>
                  <w:tcW w:w="1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471BB63">
                  <w:pPr>
                    <w:pStyle w:val="4"/>
                    <w:jc w:val="center"/>
                  </w:pPr>
                  <w:r>
                    <w:rPr>
                      <w:rFonts w:ascii="仿宋_gb2312" w:hAnsi="仿宋_gb2312" w:eastAsia="仿宋_gb2312" w:cs="仿宋_gb2312"/>
                      <w:sz w:val="24"/>
                    </w:rPr>
                    <w:t>9</w:t>
                  </w:r>
                </w:p>
              </w:tc>
              <w:tc>
                <w:tcPr>
                  <w:tcW w:w="1022" w:type="dxa"/>
                  <w:tcBorders>
                    <w:top w:val="nil"/>
                    <w:left w:val="nil"/>
                    <w:bottom w:val="single" w:color="000000" w:sz="4" w:space="0"/>
                    <w:right w:val="single" w:color="000000" w:sz="4" w:space="0"/>
                  </w:tcBorders>
                  <w:tcMar>
                    <w:top w:w="0" w:type="dxa"/>
                    <w:left w:w="105" w:type="dxa"/>
                    <w:bottom w:w="0" w:type="dxa"/>
                    <w:right w:w="105" w:type="dxa"/>
                  </w:tcMar>
                  <w:vAlign w:val="top"/>
                </w:tcPr>
                <w:p w14:paraId="5E914F38">
                  <w:pPr>
                    <w:pStyle w:val="4"/>
                    <w:jc w:val="both"/>
                  </w:pPr>
                  <w:r>
                    <w:rPr>
                      <w:rFonts w:ascii="仿宋_gb2312" w:hAnsi="仿宋_gb2312" w:eastAsia="仿宋_gb2312" w:cs="仿宋_gb2312"/>
                      <w:sz w:val="24"/>
                    </w:rPr>
                    <w:t>运营单位擅自接受参观、采访，与第三方签订与污水处理设施相关的合同协议</w:t>
                  </w:r>
                </w:p>
              </w:tc>
              <w:tc>
                <w:tcPr>
                  <w:tcW w:w="3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0205B3D3">
                  <w:pPr>
                    <w:pStyle w:val="4"/>
                    <w:jc w:val="center"/>
                  </w:pPr>
                  <w:r>
                    <w:rPr>
                      <w:rFonts w:ascii="仿宋_gb2312" w:hAnsi="仿宋_gb2312" w:eastAsia="仿宋_gb2312" w:cs="仿宋_gb2312"/>
                      <w:sz w:val="24"/>
                    </w:rPr>
                    <w:t>一次扣20分</w:t>
                  </w:r>
                </w:p>
              </w:tc>
              <w:tc>
                <w:tcPr>
                  <w:tcW w:w="26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B40DCC7">
                  <w:pPr>
                    <w:pStyle w:val="4"/>
                    <w:jc w:val="center"/>
                  </w:pPr>
                </w:p>
              </w:tc>
              <w:tc>
                <w:tcPr>
                  <w:tcW w:w="593" w:type="dxa"/>
                  <w:tcBorders>
                    <w:top w:val="nil"/>
                    <w:left w:val="nil"/>
                    <w:bottom w:val="single" w:color="000000" w:sz="4" w:space="0"/>
                    <w:right w:val="single" w:color="000000" w:sz="4" w:space="0"/>
                  </w:tcBorders>
                  <w:tcMar>
                    <w:top w:w="0" w:type="dxa"/>
                    <w:left w:w="105" w:type="dxa"/>
                    <w:bottom w:w="0" w:type="dxa"/>
                    <w:right w:w="105" w:type="dxa"/>
                  </w:tcMar>
                  <w:vAlign w:val="top"/>
                </w:tcPr>
                <w:p w14:paraId="7573A6D0"/>
              </w:tc>
            </w:tr>
            <w:tr w14:paraId="1DC9EE0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42" w:type="dxa"/>
                  <w:vMerge w:val="continue"/>
                  <w:tcBorders>
                    <w:top w:val="nil"/>
                    <w:left w:val="single" w:color="000000" w:sz="4" w:space="0"/>
                    <w:bottom w:val="nil"/>
                    <w:right w:val="single" w:color="000000" w:sz="4" w:space="0"/>
                  </w:tcBorders>
                </w:tcPr>
                <w:p w14:paraId="6AC5B716"/>
              </w:tc>
              <w:tc>
                <w:tcPr>
                  <w:tcW w:w="1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B122BC9">
                  <w:pPr>
                    <w:pStyle w:val="4"/>
                    <w:jc w:val="center"/>
                  </w:pPr>
                  <w:r>
                    <w:rPr>
                      <w:rFonts w:ascii="仿宋_gb2312" w:hAnsi="仿宋_gb2312" w:eastAsia="仿宋_gb2312" w:cs="仿宋_gb2312"/>
                      <w:sz w:val="24"/>
                    </w:rPr>
                    <w:t>10</w:t>
                  </w:r>
                </w:p>
              </w:tc>
              <w:tc>
                <w:tcPr>
                  <w:tcW w:w="1022" w:type="dxa"/>
                  <w:tcBorders>
                    <w:top w:val="nil"/>
                    <w:left w:val="nil"/>
                    <w:bottom w:val="single" w:color="000000" w:sz="4" w:space="0"/>
                    <w:right w:val="single" w:color="000000" w:sz="4" w:space="0"/>
                  </w:tcBorders>
                  <w:tcMar>
                    <w:top w:w="0" w:type="dxa"/>
                    <w:left w:w="105" w:type="dxa"/>
                    <w:bottom w:w="0" w:type="dxa"/>
                    <w:right w:w="105" w:type="dxa"/>
                  </w:tcMar>
                  <w:vAlign w:val="top"/>
                </w:tcPr>
                <w:p w14:paraId="4DBB2B12">
                  <w:pPr>
                    <w:pStyle w:val="4"/>
                    <w:jc w:val="both"/>
                  </w:pPr>
                  <w:r>
                    <w:rPr>
                      <w:rFonts w:ascii="仿宋_gb2312" w:hAnsi="仿宋_gb2312" w:eastAsia="仿宋_gb2312" w:cs="仿宋_gb2312"/>
                      <w:sz w:val="24"/>
                    </w:rPr>
                    <w:t>污泥检测取样未通知水务局、环保局代表现场确认,未按照要求对污泥进行检测</w:t>
                  </w:r>
                </w:p>
              </w:tc>
              <w:tc>
                <w:tcPr>
                  <w:tcW w:w="3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08F967AC">
                  <w:pPr>
                    <w:pStyle w:val="4"/>
                    <w:jc w:val="center"/>
                  </w:pPr>
                  <w:r>
                    <w:rPr>
                      <w:rFonts w:ascii="仿宋_gb2312" w:hAnsi="仿宋_gb2312" w:eastAsia="仿宋_gb2312" w:cs="仿宋_gb2312"/>
                      <w:sz w:val="24"/>
                    </w:rPr>
                    <w:t>一次扣20分</w:t>
                  </w:r>
                </w:p>
              </w:tc>
              <w:tc>
                <w:tcPr>
                  <w:tcW w:w="26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22AEFBF">
                  <w:pPr>
                    <w:pStyle w:val="4"/>
                    <w:jc w:val="center"/>
                  </w:pPr>
                </w:p>
              </w:tc>
              <w:tc>
                <w:tcPr>
                  <w:tcW w:w="593" w:type="dxa"/>
                  <w:tcBorders>
                    <w:top w:val="nil"/>
                    <w:left w:val="nil"/>
                    <w:bottom w:val="single" w:color="000000" w:sz="4" w:space="0"/>
                    <w:right w:val="single" w:color="000000" w:sz="4" w:space="0"/>
                  </w:tcBorders>
                  <w:tcMar>
                    <w:top w:w="0" w:type="dxa"/>
                    <w:left w:w="105" w:type="dxa"/>
                    <w:bottom w:w="0" w:type="dxa"/>
                    <w:right w:w="105" w:type="dxa"/>
                  </w:tcMar>
                  <w:vAlign w:val="top"/>
                </w:tcPr>
                <w:p w14:paraId="36F51768"/>
              </w:tc>
            </w:tr>
            <w:tr w14:paraId="5767DB8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42" w:type="dxa"/>
                  <w:vMerge w:val="continue"/>
                  <w:tcBorders>
                    <w:top w:val="nil"/>
                    <w:left w:val="single" w:color="000000" w:sz="4" w:space="0"/>
                    <w:bottom w:val="nil"/>
                    <w:right w:val="single" w:color="000000" w:sz="4" w:space="0"/>
                  </w:tcBorders>
                </w:tcPr>
                <w:p w14:paraId="4ABC9EC1"/>
              </w:tc>
              <w:tc>
                <w:tcPr>
                  <w:tcW w:w="1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17FFDA2">
                  <w:pPr>
                    <w:pStyle w:val="4"/>
                    <w:jc w:val="center"/>
                  </w:pPr>
                  <w:r>
                    <w:rPr>
                      <w:rFonts w:ascii="仿宋_gb2312" w:hAnsi="仿宋_gb2312" w:eastAsia="仿宋_gb2312" w:cs="仿宋_gb2312"/>
                      <w:sz w:val="24"/>
                    </w:rPr>
                    <w:t>11</w:t>
                  </w:r>
                </w:p>
              </w:tc>
              <w:tc>
                <w:tcPr>
                  <w:tcW w:w="1022" w:type="dxa"/>
                  <w:tcBorders>
                    <w:top w:val="nil"/>
                    <w:left w:val="nil"/>
                    <w:bottom w:val="single" w:color="000000" w:sz="4" w:space="0"/>
                    <w:right w:val="single" w:color="000000" w:sz="4" w:space="0"/>
                  </w:tcBorders>
                  <w:tcMar>
                    <w:top w:w="0" w:type="dxa"/>
                    <w:left w:w="105" w:type="dxa"/>
                    <w:bottom w:w="0" w:type="dxa"/>
                    <w:right w:w="105" w:type="dxa"/>
                  </w:tcMar>
                  <w:vAlign w:val="top"/>
                </w:tcPr>
                <w:p w14:paraId="211B61CE">
                  <w:pPr>
                    <w:pStyle w:val="4"/>
                    <w:jc w:val="both"/>
                  </w:pPr>
                  <w:r>
                    <w:rPr>
                      <w:rFonts w:ascii="仿宋_gb2312" w:hAnsi="仿宋_gb2312" w:eastAsia="仿宋_gb2312" w:cs="仿宋_gb2312"/>
                      <w:sz w:val="24"/>
                    </w:rPr>
                    <w:t>厂区内污泥堆场未采取防雨、防渗措施,运输污泥车辆未采用密闭性车辆进行运输</w:t>
                  </w:r>
                </w:p>
              </w:tc>
              <w:tc>
                <w:tcPr>
                  <w:tcW w:w="3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67DCB339">
                  <w:pPr>
                    <w:pStyle w:val="4"/>
                    <w:jc w:val="center"/>
                  </w:pPr>
                  <w:r>
                    <w:rPr>
                      <w:rFonts w:ascii="仿宋_gb2312" w:hAnsi="仿宋_gb2312" w:eastAsia="仿宋_gb2312" w:cs="仿宋_gb2312"/>
                      <w:sz w:val="24"/>
                    </w:rPr>
                    <w:t>一次扣10分</w:t>
                  </w:r>
                </w:p>
              </w:tc>
              <w:tc>
                <w:tcPr>
                  <w:tcW w:w="26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4C29139">
                  <w:pPr>
                    <w:pStyle w:val="4"/>
                    <w:jc w:val="center"/>
                  </w:pPr>
                </w:p>
              </w:tc>
              <w:tc>
                <w:tcPr>
                  <w:tcW w:w="593" w:type="dxa"/>
                  <w:tcBorders>
                    <w:top w:val="nil"/>
                    <w:left w:val="nil"/>
                    <w:bottom w:val="single" w:color="000000" w:sz="4" w:space="0"/>
                    <w:right w:val="single" w:color="000000" w:sz="4" w:space="0"/>
                  </w:tcBorders>
                  <w:tcMar>
                    <w:top w:w="0" w:type="dxa"/>
                    <w:left w:w="105" w:type="dxa"/>
                    <w:bottom w:w="0" w:type="dxa"/>
                    <w:right w:w="105" w:type="dxa"/>
                  </w:tcMar>
                  <w:vAlign w:val="top"/>
                </w:tcPr>
                <w:p w14:paraId="187EAD32"/>
              </w:tc>
            </w:tr>
            <w:tr w14:paraId="4153922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42" w:type="dxa"/>
                  <w:vMerge w:val="continue"/>
                  <w:tcBorders>
                    <w:top w:val="nil"/>
                    <w:left w:val="single" w:color="000000" w:sz="4" w:space="0"/>
                    <w:bottom w:val="nil"/>
                    <w:right w:val="single" w:color="000000" w:sz="4" w:space="0"/>
                  </w:tcBorders>
                </w:tcPr>
                <w:p w14:paraId="0679C772"/>
              </w:tc>
              <w:tc>
                <w:tcPr>
                  <w:tcW w:w="1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6E1011F">
                  <w:pPr>
                    <w:pStyle w:val="4"/>
                    <w:jc w:val="center"/>
                  </w:pPr>
                  <w:r>
                    <w:rPr>
                      <w:rFonts w:ascii="仿宋_gb2312" w:hAnsi="仿宋_gb2312" w:eastAsia="仿宋_gb2312" w:cs="仿宋_gb2312"/>
                      <w:sz w:val="24"/>
                    </w:rPr>
                    <w:t>12</w:t>
                  </w:r>
                </w:p>
              </w:tc>
              <w:tc>
                <w:tcPr>
                  <w:tcW w:w="1022" w:type="dxa"/>
                  <w:tcBorders>
                    <w:top w:val="nil"/>
                    <w:left w:val="nil"/>
                    <w:bottom w:val="single" w:color="000000" w:sz="4" w:space="0"/>
                    <w:right w:val="single" w:color="000000" w:sz="4" w:space="0"/>
                  </w:tcBorders>
                  <w:tcMar>
                    <w:top w:w="0" w:type="dxa"/>
                    <w:left w:w="105" w:type="dxa"/>
                    <w:bottom w:w="0" w:type="dxa"/>
                    <w:right w:w="105" w:type="dxa"/>
                  </w:tcMar>
                  <w:vAlign w:val="top"/>
                </w:tcPr>
                <w:p w14:paraId="50E2C0BB">
                  <w:pPr>
                    <w:pStyle w:val="4"/>
                    <w:jc w:val="both"/>
                  </w:pPr>
                  <w:r>
                    <w:rPr>
                      <w:rFonts w:ascii="仿宋_gb2312" w:hAnsi="仿宋_gb2312" w:eastAsia="仿宋_gb2312" w:cs="仿宋_gb2312"/>
                      <w:sz w:val="24"/>
                    </w:rPr>
                    <w:t>因运营单位管理不善造成不良社会影响，重大事件配合不到位，交办任务未能及时完成</w:t>
                  </w:r>
                </w:p>
              </w:tc>
              <w:tc>
                <w:tcPr>
                  <w:tcW w:w="3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7616A589">
                  <w:pPr>
                    <w:pStyle w:val="4"/>
                    <w:jc w:val="center"/>
                  </w:pPr>
                  <w:r>
                    <w:rPr>
                      <w:rFonts w:ascii="仿宋_gb2312" w:hAnsi="仿宋_gb2312" w:eastAsia="仿宋_gb2312" w:cs="仿宋_gb2312"/>
                      <w:sz w:val="24"/>
                    </w:rPr>
                    <w:t>全部项目不得分</w:t>
                  </w:r>
                </w:p>
              </w:tc>
              <w:tc>
                <w:tcPr>
                  <w:tcW w:w="26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7904C8D">
                  <w:pPr>
                    <w:pStyle w:val="4"/>
                    <w:jc w:val="center"/>
                  </w:pPr>
                </w:p>
              </w:tc>
              <w:tc>
                <w:tcPr>
                  <w:tcW w:w="593" w:type="dxa"/>
                  <w:tcBorders>
                    <w:top w:val="nil"/>
                    <w:left w:val="nil"/>
                    <w:bottom w:val="single" w:color="000000" w:sz="4" w:space="0"/>
                    <w:right w:val="single" w:color="000000" w:sz="4" w:space="0"/>
                  </w:tcBorders>
                  <w:tcMar>
                    <w:top w:w="0" w:type="dxa"/>
                    <w:left w:w="105" w:type="dxa"/>
                    <w:bottom w:w="0" w:type="dxa"/>
                    <w:right w:w="105" w:type="dxa"/>
                  </w:tcMar>
                  <w:vAlign w:val="top"/>
                </w:tcPr>
                <w:p w14:paraId="2EB34EF2"/>
              </w:tc>
            </w:tr>
            <w:tr w14:paraId="2D16B6A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42"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7B1B77F2">
                  <w:pPr>
                    <w:pStyle w:val="4"/>
                    <w:jc w:val="center"/>
                  </w:pPr>
                  <w:r>
                    <w:rPr>
                      <w:rFonts w:ascii="仿宋_gb2312" w:hAnsi="仿宋_gb2312" w:eastAsia="仿宋_gb2312" w:cs="仿宋_gb2312"/>
                      <w:sz w:val="24"/>
                    </w:rPr>
                    <w:t>合计</w:t>
                  </w:r>
                </w:p>
              </w:tc>
              <w:tc>
                <w:tcPr>
                  <w:tcW w:w="1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BBEF22E">
                  <w:pPr>
                    <w:pStyle w:val="4"/>
                    <w:jc w:val="center"/>
                  </w:pPr>
                </w:p>
              </w:tc>
              <w:tc>
                <w:tcPr>
                  <w:tcW w:w="1022" w:type="dxa"/>
                  <w:tcBorders>
                    <w:top w:val="nil"/>
                    <w:left w:val="nil"/>
                    <w:bottom w:val="single" w:color="000000" w:sz="4" w:space="0"/>
                    <w:right w:val="single" w:color="000000" w:sz="4" w:space="0"/>
                  </w:tcBorders>
                  <w:tcMar>
                    <w:top w:w="0" w:type="dxa"/>
                    <w:left w:w="105" w:type="dxa"/>
                    <w:bottom w:w="0" w:type="dxa"/>
                    <w:right w:w="105" w:type="dxa"/>
                  </w:tcMar>
                  <w:vAlign w:val="top"/>
                </w:tcPr>
                <w:p w14:paraId="16681C2A"/>
              </w:tc>
              <w:tc>
                <w:tcPr>
                  <w:tcW w:w="308" w:type="dxa"/>
                  <w:tcBorders>
                    <w:top w:val="nil"/>
                    <w:left w:val="nil"/>
                    <w:bottom w:val="single" w:color="000000" w:sz="4" w:space="0"/>
                    <w:right w:val="single" w:color="000000" w:sz="4" w:space="0"/>
                  </w:tcBorders>
                  <w:tcMar>
                    <w:top w:w="0" w:type="dxa"/>
                    <w:left w:w="105" w:type="dxa"/>
                    <w:bottom w:w="0" w:type="dxa"/>
                    <w:right w:w="105" w:type="dxa"/>
                  </w:tcMar>
                  <w:vAlign w:val="top"/>
                </w:tcPr>
                <w:p w14:paraId="6F556288"/>
              </w:tc>
              <w:tc>
                <w:tcPr>
                  <w:tcW w:w="26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C1223A5"/>
              </w:tc>
              <w:tc>
                <w:tcPr>
                  <w:tcW w:w="593" w:type="dxa"/>
                  <w:tcBorders>
                    <w:top w:val="nil"/>
                    <w:left w:val="nil"/>
                    <w:bottom w:val="single" w:color="000000" w:sz="4" w:space="0"/>
                    <w:right w:val="single" w:color="000000" w:sz="4" w:space="0"/>
                  </w:tcBorders>
                  <w:tcMar>
                    <w:top w:w="0" w:type="dxa"/>
                    <w:left w:w="105" w:type="dxa"/>
                    <w:bottom w:w="0" w:type="dxa"/>
                    <w:right w:w="105" w:type="dxa"/>
                  </w:tcMar>
                  <w:vAlign w:val="top"/>
                </w:tcPr>
                <w:p w14:paraId="1DB46B88"/>
              </w:tc>
            </w:tr>
          </w:tbl>
          <w:p w14:paraId="77C358BF">
            <w:pPr>
              <w:pStyle w:val="4"/>
              <w:jc w:val="left"/>
            </w:pPr>
            <w:r>
              <w:rPr>
                <w:rFonts w:ascii="方正小标宋简体" w:hAnsi="方正小标宋简体" w:eastAsia="方正小标宋简体" w:cs="方正小标宋简体"/>
                <w:sz w:val="32"/>
              </w:rPr>
              <w:t>双流区污水处理设施总量减排工作考核评分表</w:t>
            </w:r>
          </w:p>
          <w:p w14:paraId="3BBCC51D">
            <w:pPr>
              <w:pStyle w:val="4"/>
              <w:jc w:val="left"/>
            </w:pPr>
            <w:r>
              <w:t xml:space="preserve"> </w:t>
            </w:r>
          </w:p>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451"/>
              <w:gridCol w:w="451"/>
              <w:gridCol w:w="925"/>
              <w:gridCol w:w="690"/>
              <w:gridCol w:w="451"/>
              <w:gridCol w:w="451"/>
            </w:tblGrid>
            <w:tr w14:paraId="358E3FF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1433" w:type="dxa"/>
                  <w:gridSpan w:val="3"/>
                  <w:tcBorders>
                    <w:top w:val="nil"/>
                    <w:left w:val="nil"/>
                    <w:bottom w:val="single" w:color="000000" w:sz="4" w:space="0"/>
                    <w:right w:val="nil"/>
                  </w:tcBorders>
                  <w:tcMar>
                    <w:top w:w="0" w:type="dxa"/>
                    <w:left w:w="105" w:type="dxa"/>
                    <w:bottom w:w="0" w:type="dxa"/>
                    <w:right w:w="105" w:type="dxa"/>
                  </w:tcMar>
                  <w:vAlign w:val="top"/>
                </w:tcPr>
                <w:p w14:paraId="4F481497">
                  <w:pPr>
                    <w:pStyle w:val="4"/>
                    <w:jc w:val="left"/>
                  </w:pPr>
                  <w:r>
                    <w:rPr>
                      <w:rFonts w:ascii="仿宋_gb2312" w:hAnsi="仿宋_gb2312" w:eastAsia="仿宋_gb2312" w:cs="仿宋_gb2312"/>
                      <w:sz w:val="24"/>
                    </w:rPr>
                    <w:t>厂名：</w:t>
                  </w:r>
                </w:p>
              </w:tc>
              <w:tc>
                <w:tcPr>
                  <w:tcW w:w="1119" w:type="dxa"/>
                  <w:gridSpan w:val="3"/>
                  <w:tcBorders>
                    <w:top w:val="nil"/>
                    <w:left w:val="nil"/>
                    <w:bottom w:val="single" w:color="000000" w:sz="4" w:space="0"/>
                    <w:right w:val="nil"/>
                  </w:tcBorders>
                  <w:tcMar>
                    <w:top w:w="0" w:type="dxa"/>
                    <w:left w:w="105" w:type="dxa"/>
                    <w:bottom w:w="0" w:type="dxa"/>
                    <w:right w:w="105" w:type="dxa"/>
                  </w:tcMar>
                  <w:vAlign w:val="top"/>
                </w:tcPr>
                <w:p w14:paraId="63BE1FEF">
                  <w:pPr>
                    <w:pStyle w:val="4"/>
                    <w:jc w:val="center"/>
                  </w:pPr>
                  <w:r>
                    <w:rPr>
                      <w:rFonts w:ascii="仿宋_gb2312" w:hAnsi="仿宋_gb2312" w:eastAsia="仿宋_gb2312" w:cs="仿宋_gb2312"/>
                      <w:sz w:val="24"/>
                    </w:rPr>
                    <w:t>日期：</w:t>
                  </w:r>
                  <w:r>
                    <w:rPr>
                      <w:rFonts w:ascii="Calibri" w:hAnsi="Calibri" w:eastAsia="Calibri" w:cs="Calibri"/>
                      <w:sz w:val="21"/>
                    </w:rPr>
                    <w:t xml:space="preserve">   </w:t>
                  </w:r>
                  <w:r>
                    <w:rPr>
                      <w:rFonts w:ascii="仿宋_gb2312" w:hAnsi="仿宋_gb2312" w:eastAsia="仿宋_gb2312" w:cs="仿宋_gb2312"/>
                      <w:sz w:val="24"/>
                    </w:rPr>
                    <w:t>年</w:t>
                  </w:r>
                  <w:r>
                    <w:rPr>
                      <w:rFonts w:ascii="Calibri" w:hAnsi="Calibri" w:eastAsia="Calibri" w:cs="Calibri"/>
                      <w:sz w:val="21"/>
                    </w:rPr>
                    <w:t xml:space="preserve">   </w:t>
                  </w:r>
                  <w:r>
                    <w:rPr>
                      <w:rFonts w:ascii="仿宋_gb2312" w:hAnsi="仿宋_gb2312" w:eastAsia="仿宋_gb2312" w:cs="仿宋_gb2312"/>
                      <w:sz w:val="24"/>
                    </w:rPr>
                    <w:t>月</w:t>
                  </w:r>
                  <w:r>
                    <w:rPr>
                      <w:rFonts w:ascii="Calibri" w:hAnsi="Calibri" w:eastAsia="Calibri" w:cs="Calibri"/>
                      <w:sz w:val="21"/>
                    </w:rPr>
                    <w:t xml:space="preserve">   </w:t>
                  </w:r>
                  <w:r>
                    <w:rPr>
                      <w:rFonts w:ascii="仿宋_gb2312" w:hAnsi="仿宋_gb2312" w:eastAsia="仿宋_gb2312" w:cs="仿宋_gb2312"/>
                      <w:sz w:val="24"/>
                    </w:rPr>
                    <w:t>日</w:t>
                  </w:r>
                </w:p>
              </w:tc>
            </w:tr>
            <w:tr w14:paraId="5B485F5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759CD68">
                  <w:pPr>
                    <w:pStyle w:val="4"/>
                    <w:jc w:val="center"/>
                  </w:pPr>
                  <w:r>
                    <w:rPr>
                      <w:rFonts w:ascii="仿宋_gb2312" w:hAnsi="仿宋_gb2312" w:eastAsia="仿宋_gb2312" w:cs="仿宋_gb2312"/>
                      <w:b/>
                      <w:sz w:val="24"/>
                    </w:rPr>
                    <w:t>考核</w:t>
                  </w:r>
                  <w:r>
                    <w:br w:type="textWrapping"/>
                  </w:r>
                  <w:r>
                    <w:rPr>
                      <w:rFonts w:ascii="仿宋_gb2312" w:hAnsi="仿宋_gb2312" w:eastAsia="仿宋_gb2312" w:cs="仿宋_gb2312"/>
                      <w:b/>
                      <w:sz w:val="24"/>
                    </w:rPr>
                    <w:t>项目</w:t>
                  </w:r>
                </w:p>
              </w:tc>
              <w:tc>
                <w:tcPr>
                  <w:tcW w:w="231" w:type="dxa"/>
                  <w:tcBorders>
                    <w:top w:val="nil"/>
                    <w:left w:val="nil"/>
                    <w:bottom w:val="single" w:color="000000" w:sz="4" w:space="0"/>
                    <w:right w:val="single" w:color="000000" w:sz="4" w:space="0"/>
                  </w:tcBorders>
                  <w:tcMar>
                    <w:top w:w="0" w:type="dxa"/>
                    <w:left w:w="105" w:type="dxa"/>
                    <w:bottom w:w="0" w:type="dxa"/>
                    <w:right w:w="105" w:type="dxa"/>
                  </w:tcMar>
                  <w:vAlign w:val="top"/>
                </w:tcPr>
                <w:p w14:paraId="3DACF1ED">
                  <w:pPr>
                    <w:pStyle w:val="4"/>
                    <w:jc w:val="center"/>
                  </w:pPr>
                  <w:r>
                    <w:rPr>
                      <w:rFonts w:ascii="仿宋_gb2312" w:hAnsi="仿宋_gb2312" w:eastAsia="仿宋_gb2312" w:cs="仿宋_gb2312"/>
                      <w:b/>
                      <w:sz w:val="24"/>
                    </w:rPr>
                    <w:t>序号</w:t>
                  </w:r>
                </w:p>
              </w:tc>
              <w:tc>
                <w:tcPr>
                  <w:tcW w:w="9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D76C0C2">
                  <w:pPr>
                    <w:pStyle w:val="4"/>
                    <w:jc w:val="center"/>
                  </w:pPr>
                  <w:r>
                    <w:rPr>
                      <w:rFonts w:ascii="仿宋_gb2312" w:hAnsi="仿宋_gb2312" w:eastAsia="仿宋_gb2312" w:cs="仿宋_gb2312"/>
                      <w:b/>
                      <w:sz w:val="24"/>
                    </w:rPr>
                    <w:t>扣分内容</w:t>
                  </w:r>
                </w:p>
              </w:tc>
              <w:tc>
                <w:tcPr>
                  <w:tcW w:w="4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B2D39CC">
                  <w:pPr>
                    <w:pStyle w:val="4"/>
                    <w:jc w:val="center"/>
                  </w:pPr>
                  <w:r>
                    <w:rPr>
                      <w:rFonts w:ascii="仿宋_gb2312" w:hAnsi="仿宋_gb2312" w:eastAsia="仿宋_gb2312" w:cs="仿宋_gb2312"/>
                      <w:b/>
                      <w:sz w:val="24"/>
                    </w:rPr>
                    <w:t>扣分标准</w:t>
                  </w:r>
                </w:p>
              </w:tc>
              <w:tc>
                <w:tcPr>
                  <w:tcW w:w="319" w:type="dxa"/>
                  <w:tcBorders>
                    <w:top w:val="nil"/>
                    <w:left w:val="nil"/>
                    <w:bottom w:val="single" w:color="000000" w:sz="4" w:space="0"/>
                    <w:right w:val="single" w:color="000000" w:sz="4" w:space="0"/>
                  </w:tcBorders>
                  <w:tcMar>
                    <w:top w:w="0" w:type="dxa"/>
                    <w:left w:w="105" w:type="dxa"/>
                    <w:bottom w:w="0" w:type="dxa"/>
                    <w:right w:w="105" w:type="dxa"/>
                  </w:tcMar>
                  <w:vAlign w:val="top"/>
                </w:tcPr>
                <w:p w14:paraId="4FCEF3B3">
                  <w:pPr>
                    <w:pStyle w:val="4"/>
                    <w:jc w:val="center"/>
                  </w:pPr>
                  <w:r>
                    <w:rPr>
                      <w:rFonts w:ascii="仿宋_gb2312" w:hAnsi="仿宋_gb2312" w:eastAsia="仿宋_gb2312" w:cs="仿宋_gb2312"/>
                      <w:b/>
                      <w:sz w:val="24"/>
                    </w:rPr>
                    <w:t>实际</w:t>
                  </w:r>
                </w:p>
                <w:p w14:paraId="15760954">
                  <w:pPr>
                    <w:pStyle w:val="4"/>
                    <w:jc w:val="center"/>
                  </w:pPr>
                  <w:r>
                    <w:rPr>
                      <w:rFonts w:ascii="仿宋_gb2312" w:hAnsi="仿宋_gb2312" w:eastAsia="仿宋_gb2312" w:cs="仿宋_gb2312"/>
                      <w:b/>
                      <w:sz w:val="24"/>
                    </w:rPr>
                    <w:t>扣分</w:t>
                  </w:r>
                </w:p>
              </w:tc>
              <w:tc>
                <w:tcPr>
                  <w:tcW w:w="30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779A57E">
                  <w:pPr>
                    <w:pStyle w:val="4"/>
                    <w:jc w:val="center"/>
                  </w:pPr>
                  <w:r>
                    <w:rPr>
                      <w:rFonts w:ascii="仿宋_gb2312" w:hAnsi="仿宋_gb2312" w:eastAsia="仿宋_gb2312" w:cs="仿宋_gb2312"/>
                      <w:b/>
                      <w:sz w:val="24"/>
                    </w:rPr>
                    <w:t>备注</w:t>
                  </w:r>
                </w:p>
              </w:tc>
            </w:tr>
            <w:tr w14:paraId="75984E8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7" w:type="dxa"/>
                  <w:vMerge w:val="restart"/>
                  <w:tcBorders>
                    <w:top w:val="nil"/>
                    <w:left w:val="single" w:color="000000" w:sz="4" w:space="0"/>
                    <w:bottom w:val="nil"/>
                    <w:right w:val="single" w:color="000000" w:sz="4" w:space="0"/>
                  </w:tcBorders>
                  <w:tcMar>
                    <w:top w:w="0" w:type="dxa"/>
                    <w:left w:w="105" w:type="dxa"/>
                    <w:bottom w:w="0" w:type="dxa"/>
                    <w:right w:w="105" w:type="dxa"/>
                  </w:tcMar>
                  <w:vAlign w:val="top"/>
                </w:tcPr>
                <w:p w14:paraId="7D2EFA06">
                  <w:pPr>
                    <w:pStyle w:val="4"/>
                    <w:jc w:val="center"/>
                  </w:pPr>
                  <w:r>
                    <w:rPr>
                      <w:rFonts w:ascii="仿宋_gb2312" w:hAnsi="仿宋_gb2312" w:eastAsia="仿宋_gb2312" w:cs="仿宋_gb2312"/>
                      <w:sz w:val="24"/>
                    </w:rPr>
                    <w:t>总</w:t>
                  </w:r>
                </w:p>
                <w:p w14:paraId="2C8385CE">
                  <w:pPr>
                    <w:pStyle w:val="4"/>
                    <w:jc w:val="center"/>
                  </w:pPr>
                  <w:r>
                    <w:rPr>
                      <w:rFonts w:ascii="仿宋_gb2312" w:hAnsi="仿宋_gb2312" w:eastAsia="仿宋_gb2312" w:cs="仿宋_gb2312"/>
                      <w:sz w:val="24"/>
                    </w:rPr>
                    <w:t>量</w:t>
                  </w:r>
                </w:p>
                <w:p w14:paraId="6BE6EA71">
                  <w:pPr>
                    <w:pStyle w:val="4"/>
                    <w:jc w:val="center"/>
                  </w:pPr>
                  <w:r>
                    <w:rPr>
                      <w:rFonts w:ascii="仿宋_gb2312" w:hAnsi="仿宋_gb2312" w:eastAsia="仿宋_gb2312" w:cs="仿宋_gb2312"/>
                      <w:sz w:val="24"/>
                    </w:rPr>
                    <w:t>减</w:t>
                  </w:r>
                </w:p>
                <w:p w14:paraId="24B46599">
                  <w:pPr>
                    <w:pStyle w:val="4"/>
                    <w:jc w:val="center"/>
                  </w:pPr>
                  <w:r>
                    <w:rPr>
                      <w:rFonts w:ascii="仿宋_gb2312" w:hAnsi="仿宋_gb2312" w:eastAsia="仿宋_gb2312" w:cs="仿宋_gb2312"/>
                      <w:sz w:val="24"/>
                    </w:rPr>
                    <w:t>排</w:t>
                  </w:r>
                </w:p>
              </w:tc>
              <w:tc>
                <w:tcPr>
                  <w:tcW w:w="231" w:type="dxa"/>
                  <w:tcBorders>
                    <w:top w:val="nil"/>
                    <w:left w:val="nil"/>
                    <w:bottom w:val="single" w:color="000000" w:sz="4" w:space="0"/>
                    <w:right w:val="single" w:color="000000" w:sz="4" w:space="0"/>
                  </w:tcBorders>
                  <w:tcMar>
                    <w:top w:w="0" w:type="dxa"/>
                    <w:left w:w="105" w:type="dxa"/>
                    <w:bottom w:w="0" w:type="dxa"/>
                    <w:right w:w="105" w:type="dxa"/>
                  </w:tcMar>
                  <w:vAlign w:val="top"/>
                </w:tcPr>
                <w:p w14:paraId="32085613">
                  <w:pPr>
                    <w:pStyle w:val="4"/>
                    <w:jc w:val="center"/>
                  </w:pPr>
                  <w:r>
                    <w:rPr>
                      <w:rFonts w:ascii="仿宋_gb2312" w:hAnsi="仿宋_gb2312" w:eastAsia="仿宋_gb2312" w:cs="仿宋_gb2312"/>
                      <w:sz w:val="24"/>
                    </w:rPr>
                    <w:t>1</w:t>
                  </w:r>
                </w:p>
              </w:tc>
              <w:tc>
                <w:tcPr>
                  <w:tcW w:w="9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1C25DE0">
                  <w:pPr>
                    <w:pStyle w:val="4"/>
                    <w:jc w:val="both"/>
                  </w:pPr>
                  <w:r>
                    <w:rPr>
                      <w:rFonts w:ascii="仿宋_gb2312" w:hAnsi="仿宋_gb2312" w:eastAsia="仿宋_gb2312" w:cs="仿宋_gb2312"/>
                      <w:sz w:val="24"/>
                    </w:rPr>
                    <w:t>运行日报表、月报表记录不完整、不清晰、数据不符合行业水平，包括处理水量、进出水浓度、耗电量、污泥产生量、主要药剂耗量、污泥指数、污泥沉降比等指标</w:t>
                  </w:r>
                </w:p>
              </w:tc>
              <w:tc>
                <w:tcPr>
                  <w:tcW w:w="4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BD6E918">
                  <w:pPr>
                    <w:pStyle w:val="4"/>
                    <w:jc w:val="center"/>
                  </w:pPr>
                  <w:r>
                    <w:rPr>
                      <w:rFonts w:ascii="仿宋_gb2312" w:hAnsi="仿宋_gb2312" w:eastAsia="仿宋_gb2312" w:cs="仿宋_gb2312"/>
                      <w:sz w:val="24"/>
                    </w:rPr>
                    <w:t>其中一个指标记录不符合要求，或不符合行业平均水平，扣10分</w:t>
                  </w:r>
                </w:p>
              </w:tc>
              <w:tc>
                <w:tcPr>
                  <w:tcW w:w="319" w:type="dxa"/>
                  <w:tcBorders>
                    <w:top w:val="nil"/>
                    <w:left w:val="nil"/>
                    <w:bottom w:val="single" w:color="000000" w:sz="4" w:space="0"/>
                    <w:right w:val="single" w:color="000000" w:sz="4" w:space="0"/>
                  </w:tcBorders>
                  <w:tcMar>
                    <w:top w:w="0" w:type="dxa"/>
                    <w:left w:w="105" w:type="dxa"/>
                    <w:bottom w:w="0" w:type="dxa"/>
                    <w:right w:w="105" w:type="dxa"/>
                  </w:tcMar>
                  <w:vAlign w:val="top"/>
                </w:tcPr>
                <w:p w14:paraId="0280D2EE">
                  <w:pPr>
                    <w:pStyle w:val="4"/>
                    <w:jc w:val="center"/>
                  </w:pPr>
                </w:p>
              </w:tc>
              <w:tc>
                <w:tcPr>
                  <w:tcW w:w="30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0A3920B"/>
              </w:tc>
            </w:tr>
            <w:tr w14:paraId="0BA9C33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7" w:type="dxa"/>
                  <w:vMerge w:val="continue"/>
                  <w:tcBorders>
                    <w:top w:val="nil"/>
                    <w:left w:val="single" w:color="000000" w:sz="4" w:space="0"/>
                    <w:bottom w:val="nil"/>
                    <w:right w:val="single" w:color="000000" w:sz="4" w:space="0"/>
                  </w:tcBorders>
                </w:tcPr>
                <w:p w14:paraId="2F4822D5"/>
              </w:tc>
              <w:tc>
                <w:tcPr>
                  <w:tcW w:w="231" w:type="dxa"/>
                  <w:tcBorders>
                    <w:top w:val="nil"/>
                    <w:left w:val="nil"/>
                    <w:bottom w:val="single" w:color="000000" w:sz="4" w:space="0"/>
                    <w:right w:val="single" w:color="000000" w:sz="4" w:space="0"/>
                  </w:tcBorders>
                  <w:tcMar>
                    <w:top w:w="0" w:type="dxa"/>
                    <w:left w:w="105" w:type="dxa"/>
                    <w:bottom w:w="0" w:type="dxa"/>
                    <w:right w:w="105" w:type="dxa"/>
                  </w:tcMar>
                  <w:vAlign w:val="top"/>
                </w:tcPr>
                <w:p w14:paraId="72545A8E">
                  <w:pPr>
                    <w:pStyle w:val="4"/>
                    <w:jc w:val="center"/>
                  </w:pPr>
                  <w:r>
                    <w:rPr>
                      <w:rFonts w:ascii="仿宋_gb2312" w:hAnsi="仿宋_gb2312" w:eastAsia="仿宋_gb2312" w:cs="仿宋_gb2312"/>
                      <w:sz w:val="24"/>
                    </w:rPr>
                    <w:t>2</w:t>
                  </w:r>
                </w:p>
              </w:tc>
              <w:tc>
                <w:tcPr>
                  <w:tcW w:w="9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432F463">
                  <w:pPr>
                    <w:pStyle w:val="4"/>
                    <w:jc w:val="both"/>
                  </w:pPr>
                  <w:r>
                    <w:rPr>
                      <w:rFonts w:ascii="仿宋_gb2312" w:hAnsi="仿宋_gb2312" w:eastAsia="仿宋_gb2312" w:cs="仿宋_gb2312"/>
                      <w:sz w:val="24"/>
                    </w:rPr>
                    <w:t>未做好非正常运行记录，包括设备异常、故障、停电等，并无相关材料佐证</w:t>
                  </w:r>
                </w:p>
              </w:tc>
              <w:tc>
                <w:tcPr>
                  <w:tcW w:w="4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3D7E93B">
                  <w:pPr>
                    <w:pStyle w:val="4"/>
                    <w:jc w:val="center"/>
                  </w:pPr>
                  <w:r>
                    <w:rPr>
                      <w:rFonts w:ascii="仿宋_gb2312" w:hAnsi="仿宋_gb2312" w:eastAsia="仿宋_gb2312" w:cs="仿宋_gb2312"/>
                      <w:sz w:val="24"/>
                    </w:rPr>
                    <w:t>一次扣20分</w:t>
                  </w:r>
                </w:p>
              </w:tc>
              <w:tc>
                <w:tcPr>
                  <w:tcW w:w="319" w:type="dxa"/>
                  <w:tcBorders>
                    <w:top w:val="nil"/>
                    <w:left w:val="nil"/>
                    <w:bottom w:val="single" w:color="000000" w:sz="4" w:space="0"/>
                    <w:right w:val="single" w:color="000000" w:sz="4" w:space="0"/>
                  </w:tcBorders>
                  <w:tcMar>
                    <w:top w:w="0" w:type="dxa"/>
                    <w:left w:w="105" w:type="dxa"/>
                    <w:bottom w:w="0" w:type="dxa"/>
                    <w:right w:w="105" w:type="dxa"/>
                  </w:tcMar>
                  <w:vAlign w:val="top"/>
                </w:tcPr>
                <w:p w14:paraId="787AF981">
                  <w:pPr>
                    <w:pStyle w:val="4"/>
                    <w:jc w:val="center"/>
                  </w:pPr>
                </w:p>
              </w:tc>
              <w:tc>
                <w:tcPr>
                  <w:tcW w:w="30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2CF33FC"/>
              </w:tc>
            </w:tr>
            <w:tr w14:paraId="761F173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7" w:type="dxa"/>
                  <w:vMerge w:val="continue"/>
                  <w:tcBorders>
                    <w:top w:val="nil"/>
                    <w:left w:val="single" w:color="000000" w:sz="4" w:space="0"/>
                    <w:bottom w:val="nil"/>
                    <w:right w:val="single" w:color="000000" w:sz="4" w:space="0"/>
                  </w:tcBorders>
                </w:tcPr>
                <w:p w14:paraId="3F69F674"/>
              </w:tc>
              <w:tc>
                <w:tcPr>
                  <w:tcW w:w="231" w:type="dxa"/>
                  <w:tcBorders>
                    <w:top w:val="nil"/>
                    <w:left w:val="nil"/>
                    <w:bottom w:val="single" w:color="000000" w:sz="4" w:space="0"/>
                    <w:right w:val="single" w:color="000000" w:sz="4" w:space="0"/>
                  </w:tcBorders>
                  <w:tcMar>
                    <w:top w:w="0" w:type="dxa"/>
                    <w:left w:w="105" w:type="dxa"/>
                    <w:bottom w:w="0" w:type="dxa"/>
                    <w:right w:w="105" w:type="dxa"/>
                  </w:tcMar>
                  <w:vAlign w:val="top"/>
                </w:tcPr>
                <w:p w14:paraId="7AA21B82">
                  <w:pPr>
                    <w:pStyle w:val="4"/>
                    <w:jc w:val="center"/>
                  </w:pPr>
                  <w:r>
                    <w:rPr>
                      <w:rFonts w:ascii="仿宋_gb2312" w:hAnsi="仿宋_gb2312" w:eastAsia="仿宋_gb2312" w:cs="仿宋_gb2312"/>
                      <w:sz w:val="24"/>
                    </w:rPr>
                    <w:t>3</w:t>
                  </w:r>
                </w:p>
              </w:tc>
              <w:tc>
                <w:tcPr>
                  <w:tcW w:w="9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7140853">
                  <w:pPr>
                    <w:pStyle w:val="4"/>
                    <w:jc w:val="both"/>
                  </w:pPr>
                  <w:r>
                    <w:rPr>
                      <w:rFonts w:ascii="仿宋_gb2312" w:hAnsi="仿宋_gb2312" w:eastAsia="仿宋_gb2312" w:cs="仿宋_gb2312"/>
                      <w:sz w:val="24"/>
                    </w:rPr>
                    <w:t>进出水在线监测设备运行不正常，不能查阅至少一年历史数据，无打印数据档案，数据丢失无相关记录及合理解释</w:t>
                  </w:r>
                </w:p>
              </w:tc>
              <w:tc>
                <w:tcPr>
                  <w:tcW w:w="4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E3DAD27">
                  <w:pPr>
                    <w:pStyle w:val="4"/>
                    <w:jc w:val="center"/>
                  </w:pPr>
                  <w:r>
                    <w:rPr>
                      <w:rFonts w:ascii="仿宋_gb2312" w:hAnsi="仿宋_gb2312" w:eastAsia="仿宋_gb2312" w:cs="仿宋_gb2312"/>
                      <w:sz w:val="24"/>
                    </w:rPr>
                    <w:t>一次扣20分</w:t>
                  </w:r>
                </w:p>
              </w:tc>
              <w:tc>
                <w:tcPr>
                  <w:tcW w:w="319" w:type="dxa"/>
                  <w:tcBorders>
                    <w:top w:val="nil"/>
                    <w:left w:val="nil"/>
                    <w:bottom w:val="single" w:color="000000" w:sz="4" w:space="0"/>
                    <w:right w:val="single" w:color="000000" w:sz="4" w:space="0"/>
                  </w:tcBorders>
                  <w:tcMar>
                    <w:top w:w="0" w:type="dxa"/>
                    <w:left w:w="105" w:type="dxa"/>
                    <w:bottom w:w="0" w:type="dxa"/>
                    <w:right w:w="105" w:type="dxa"/>
                  </w:tcMar>
                  <w:vAlign w:val="top"/>
                </w:tcPr>
                <w:p w14:paraId="2350C6C9">
                  <w:pPr>
                    <w:pStyle w:val="4"/>
                    <w:jc w:val="center"/>
                  </w:pPr>
                </w:p>
              </w:tc>
              <w:tc>
                <w:tcPr>
                  <w:tcW w:w="30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A5AA7D8"/>
              </w:tc>
            </w:tr>
            <w:tr w14:paraId="6E6EE86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7" w:type="dxa"/>
                  <w:vMerge w:val="continue"/>
                  <w:tcBorders>
                    <w:top w:val="nil"/>
                    <w:left w:val="single" w:color="000000" w:sz="4" w:space="0"/>
                    <w:bottom w:val="nil"/>
                    <w:right w:val="single" w:color="000000" w:sz="4" w:space="0"/>
                  </w:tcBorders>
                </w:tcPr>
                <w:p w14:paraId="112F2A5B"/>
              </w:tc>
              <w:tc>
                <w:tcPr>
                  <w:tcW w:w="231" w:type="dxa"/>
                  <w:tcBorders>
                    <w:top w:val="nil"/>
                    <w:left w:val="nil"/>
                    <w:bottom w:val="single" w:color="000000" w:sz="4" w:space="0"/>
                    <w:right w:val="single" w:color="000000" w:sz="4" w:space="0"/>
                  </w:tcBorders>
                  <w:tcMar>
                    <w:top w:w="0" w:type="dxa"/>
                    <w:left w:w="105" w:type="dxa"/>
                    <w:bottom w:w="0" w:type="dxa"/>
                    <w:right w:w="105" w:type="dxa"/>
                  </w:tcMar>
                  <w:vAlign w:val="top"/>
                </w:tcPr>
                <w:p w14:paraId="3120D1E4">
                  <w:pPr>
                    <w:pStyle w:val="4"/>
                    <w:jc w:val="center"/>
                  </w:pPr>
                  <w:r>
                    <w:rPr>
                      <w:rFonts w:ascii="仿宋_gb2312" w:hAnsi="仿宋_gb2312" w:eastAsia="仿宋_gb2312" w:cs="仿宋_gb2312"/>
                      <w:sz w:val="24"/>
                    </w:rPr>
                    <w:t>4</w:t>
                  </w:r>
                </w:p>
              </w:tc>
              <w:tc>
                <w:tcPr>
                  <w:tcW w:w="9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BD64CA7">
                  <w:pPr>
                    <w:pStyle w:val="4"/>
                    <w:jc w:val="both"/>
                  </w:pPr>
                  <w:r>
                    <w:rPr>
                      <w:rFonts w:ascii="仿宋_gb2312" w:hAnsi="仿宋_gb2312" w:eastAsia="仿宋_gb2312" w:cs="仿宋_gb2312"/>
                      <w:sz w:val="24"/>
                    </w:rPr>
                    <w:t>化验室水质自检数据记录和镜检记录不完整准确。</w:t>
                  </w:r>
                </w:p>
              </w:tc>
              <w:tc>
                <w:tcPr>
                  <w:tcW w:w="4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664111D">
                  <w:pPr>
                    <w:pStyle w:val="4"/>
                    <w:jc w:val="center"/>
                  </w:pPr>
                  <w:r>
                    <w:rPr>
                      <w:rFonts w:ascii="仿宋_gb2312" w:hAnsi="仿宋_gb2312" w:eastAsia="仿宋_gb2312" w:cs="仿宋_gb2312"/>
                      <w:sz w:val="24"/>
                    </w:rPr>
                    <w:t>一次扣20分</w:t>
                  </w:r>
                </w:p>
              </w:tc>
              <w:tc>
                <w:tcPr>
                  <w:tcW w:w="319" w:type="dxa"/>
                  <w:tcBorders>
                    <w:top w:val="nil"/>
                    <w:left w:val="nil"/>
                    <w:bottom w:val="single" w:color="000000" w:sz="4" w:space="0"/>
                    <w:right w:val="single" w:color="000000" w:sz="4" w:space="0"/>
                  </w:tcBorders>
                  <w:tcMar>
                    <w:top w:w="0" w:type="dxa"/>
                    <w:left w:w="105" w:type="dxa"/>
                    <w:bottom w:w="0" w:type="dxa"/>
                    <w:right w:w="105" w:type="dxa"/>
                  </w:tcMar>
                  <w:vAlign w:val="top"/>
                </w:tcPr>
                <w:p w14:paraId="4EEA906D">
                  <w:pPr>
                    <w:pStyle w:val="4"/>
                    <w:jc w:val="center"/>
                  </w:pPr>
                </w:p>
              </w:tc>
              <w:tc>
                <w:tcPr>
                  <w:tcW w:w="30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A034399"/>
              </w:tc>
            </w:tr>
            <w:tr w14:paraId="7118228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7" w:type="dxa"/>
                  <w:vMerge w:val="continue"/>
                  <w:tcBorders>
                    <w:top w:val="nil"/>
                    <w:left w:val="single" w:color="000000" w:sz="4" w:space="0"/>
                    <w:bottom w:val="nil"/>
                    <w:right w:val="single" w:color="000000" w:sz="4" w:space="0"/>
                  </w:tcBorders>
                </w:tcPr>
                <w:p w14:paraId="653974CD"/>
              </w:tc>
              <w:tc>
                <w:tcPr>
                  <w:tcW w:w="231" w:type="dxa"/>
                  <w:tcBorders>
                    <w:top w:val="nil"/>
                    <w:left w:val="nil"/>
                    <w:bottom w:val="single" w:color="000000" w:sz="4" w:space="0"/>
                    <w:right w:val="single" w:color="000000" w:sz="4" w:space="0"/>
                  </w:tcBorders>
                  <w:tcMar>
                    <w:top w:w="0" w:type="dxa"/>
                    <w:left w:w="105" w:type="dxa"/>
                    <w:bottom w:w="0" w:type="dxa"/>
                    <w:right w:w="105" w:type="dxa"/>
                  </w:tcMar>
                  <w:vAlign w:val="top"/>
                </w:tcPr>
                <w:p w14:paraId="08FF460A">
                  <w:pPr>
                    <w:pStyle w:val="4"/>
                    <w:jc w:val="center"/>
                  </w:pPr>
                  <w:r>
                    <w:rPr>
                      <w:rFonts w:ascii="仿宋_gb2312" w:hAnsi="仿宋_gb2312" w:eastAsia="仿宋_gb2312" w:cs="仿宋_gb2312"/>
                      <w:sz w:val="24"/>
                    </w:rPr>
                    <w:t>5</w:t>
                  </w:r>
                </w:p>
              </w:tc>
              <w:tc>
                <w:tcPr>
                  <w:tcW w:w="9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801D175">
                  <w:pPr>
                    <w:pStyle w:val="4"/>
                    <w:jc w:val="both"/>
                  </w:pPr>
                  <w:r>
                    <w:rPr>
                      <w:rFonts w:ascii="仿宋_gb2312" w:hAnsi="仿宋_gb2312" w:eastAsia="仿宋_gb2312" w:cs="仿宋_gb2312"/>
                      <w:sz w:val="24"/>
                    </w:rPr>
                    <w:t>2万吨以上污水处理厂中控系统非正常运行，无专人管理操作，参数无历史曲线，历史数据无法保存一年，非正常数据无相关记录以及合理解释</w:t>
                  </w:r>
                </w:p>
              </w:tc>
              <w:tc>
                <w:tcPr>
                  <w:tcW w:w="4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FA12EEA">
                  <w:pPr>
                    <w:pStyle w:val="4"/>
                    <w:jc w:val="center"/>
                  </w:pPr>
                  <w:r>
                    <w:rPr>
                      <w:rFonts w:ascii="仿宋_gb2312" w:hAnsi="仿宋_gb2312" w:eastAsia="仿宋_gb2312" w:cs="仿宋_gb2312"/>
                      <w:sz w:val="24"/>
                    </w:rPr>
                    <w:t>一次扣20分</w:t>
                  </w:r>
                </w:p>
              </w:tc>
              <w:tc>
                <w:tcPr>
                  <w:tcW w:w="319" w:type="dxa"/>
                  <w:tcBorders>
                    <w:top w:val="nil"/>
                    <w:left w:val="nil"/>
                    <w:bottom w:val="single" w:color="000000" w:sz="4" w:space="0"/>
                    <w:right w:val="single" w:color="000000" w:sz="4" w:space="0"/>
                  </w:tcBorders>
                  <w:tcMar>
                    <w:top w:w="0" w:type="dxa"/>
                    <w:left w:w="105" w:type="dxa"/>
                    <w:bottom w:w="0" w:type="dxa"/>
                    <w:right w:w="105" w:type="dxa"/>
                  </w:tcMar>
                  <w:vAlign w:val="top"/>
                </w:tcPr>
                <w:p w14:paraId="1422BBCC">
                  <w:pPr>
                    <w:pStyle w:val="4"/>
                    <w:jc w:val="center"/>
                  </w:pPr>
                </w:p>
              </w:tc>
              <w:tc>
                <w:tcPr>
                  <w:tcW w:w="30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8403A23"/>
              </w:tc>
            </w:tr>
            <w:tr w14:paraId="512935B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7" w:type="dxa"/>
                  <w:vMerge w:val="continue"/>
                  <w:tcBorders>
                    <w:top w:val="nil"/>
                    <w:left w:val="single" w:color="000000" w:sz="4" w:space="0"/>
                    <w:bottom w:val="nil"/>
                    <w:right w:val="single" w:color="000000" w:sz="4" w:space="0"/>
                  </w:tcBorders>
                </w:tcPr>
                <w:p w14:paraId="10A7BD0B"/>
              </w:tc>
              <w:tc>
                <w:tcPr>
                  <w:tcW w:w="231" w:type="dxa"/>
                  <w:tcBorders>
                    <w:top w:val="nil"/>
                    <w:left w:val="nil"/>
                    <w:bottom w:val="single" w:color="000000" w:sz="4" w:space="0"/>
                    <w:right w:val="single" w:color="000000" w:sz="4" w:space="0"/>
                  </w:tcBorders>
                  <w:tcMar>
                    <w:top w:w="0" w:type="dxa"/>
                    <w:left w:w="105" w:type="dxa"/>
                    <w:bottom w:w="0" w:type="dxa"/>
                    <w:right w:w="105" w:type="dxa"/>
                  </w:tcMar>
                  <w:vAlign w:val="top"/>
                </w:tcPr>
                <w:p w14:paraId="4223CD0E">
                  <w:pPr>
                    <w:pStyle w:val="4"/>
                    <w:jc w:val="center"/>
                  </w:pPr>
                  <w:r>
                    <w:rPr>
                      <w:rFonts w:ascii="仿宋_gb2312" w:hAnsi="仿宋_gb2312" w:eastAsia="仿宋_gb2312" w:cs="仿宋_gb2312"/>
                      <w:sz w:val="24"/>
                    </w:rPr>
                    <w:t>6</w:t>
                  </w:r>
                </w:p>
              </w:tc>
              <w:tc>
                <w:tcPr>
                  <w:tcW w:w="9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8706771">
                  <w:pPr>
                    <w:pStyle w:val="4"/>
                    <w:jc w:val="both"/>
                  </w:pPr>
                  <w:r>
                    <w:rPr>
                      <w:rFonts w:ascii="仿宋_gb2312" w:hAnsi="仿宋_gb2312" w:eastAsia="仿宋_gb2312" w:cs="仿宋_gb2312"/>
                      <w:sz w:val="24"/>
                    </w:rPr>
                    <w:t>污泥转运记录、过磅记录、污泥检测报告等不完善、不清晰</w:t>
                  </w:r>
                </w:p>
              </w:tc>
              <w:tc>
                <w:tcPr>
                  <w:tcW w:w="4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55D1436">
                  <w:pPr>
                    <w:pStyle w:val="4"/>
                    <w:jc w:val="center"/>
                  </w:pPr>
                  <w:r>
                    <w:rPr>
                      <w:rFonts w:ascii="仿宋_gb2312" w:hAnsi="仿宋_gb2312" w:eastAsia="仿宋_gb2312" w:cs="仿宋_gb2312"/>
                      <w:sz w:val="24"/>
                    </w:rPr>
                    <w:t>一次扣20分</w:t>
                  </w:r>
                </w:p>
              </w:tc>
              <w:tc>
                <w:tcPr>
                  <w:tcW w:w="319" w:type="dxa"/>
                  <w:tcBorders>
                    <w:top w:val="nil"/>
                    <w:left w:val="nil"/>
                    <w:bottom w:val="single" w:color="000000" w:sz="4" w:space="0"/>
                    <w:right w:val="single" w:color="000000" w:sz="4" w:space="0"/>
                  </w:tcBorders>
                  <w:tcMar>
                    <w:top w:w="0" w:type="dxa"/>
                    <w:left w:w="105" w:type="dxa"/>
                    <w:bottom w:w="0" w:type="dxa"/>
                    <w:right w:w="105" w:type="dxa"/>
                  </w:tcMar>
                  <w:vAlign w:val="top"/>
                </w:tcPr>
                <w:p w14:paraId="227FB6D6">
                  <w:pPr>
                    <w:pStyle w:val="4"/>
                    <w:jc w:val="center"/>
                  </w:pPr>
                </w:p>
              </w:tc>
              <w:tc>
                <w:tcPr>
                  <w:tcW w:w="30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4981FBC"/>
              </w:tc>
            </w:tr>
            <w:tr w14:paraId="0F409DE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277"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07832D0B">
                  <w:pPr>
                    <w:pStyle w:val="4"/>
                    <w:jc w:val="center"/>
                  </w:pPr>
                  <w:r>
                    <w:rPr>
                      <w:rFonts w:ascii="仿宋_gb2312" w:hAnsi="仿宋_gb2312" w:eastAsia="仿宋_gb2312" w:cs="仿宋_gb2312"/>
                      <w:sz w:val="24"/>
                    </w:rPr>
                    <w:t>合计</w:t>
                  </w:r>
                </w:p>
              </w:tc>
              <w:tc>
                <w:tcPr>
                  <w:tcW w:w="231" w:type="dxa"/>
                  <w:tcBorders>
                    <w:top w:val="nil"/>
                    <w:left w:val="nil"/>
                    <w:bottom w:val="single" w:color="000000" w:sz="4" w:space="0"/>
                    <w:right w:val="single" w:color="000000" w:sz="4" w:space="0"/>
                  </w:tcBorders>
                  <w:tcMar>
                    <w:top w:w="0" w:type="dxa"/>
                    <w:left w:w="105" w:type="dxa"/>
                    <w:bottom w:w="0" w:type="dxa"/>
                    <w:right w:w="105" w:type="dxa"/>
                  </w:tcMar>
                  <w:vAlign w:val="top"/>
                </w:tcPr>
                <w:p w14:paraId="6A27A219">
                  <w:pPr>
                    <w:pStyle w:val="4"/>
                    <w:jc w:val="center"/>
                  </w:pPr>
                </w:p>
              </w:tc>
              <w:tc>
                <w:tcPr>
                  <w:tcW w:w="9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839AED5"/>
              </w:tc>
              <w:tc>
                <w:tcPr>
                  <w:tcW w:w="4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B1C3D1B"/>
              </w:tc>
              <w:tc>
                <w:tcPr>
                  <w:tcW w:w="319" w:type="dxa"/>
                  <w:tcBorders>
                    <w:top w:val="nil"/>
                    <w:left w:val="nil"/>
                    <w:bottom w:val="single" w:color="000000" w:sz="4" w:space="0"/>
                    <w:right w:val="single" w:color="000000" w:sz="4" w:space="0"/>
                  </w:tcBorders>
                  <w:tcMar>
                    <w:top w:w="0" w:type="dxa"/>
                    <w:left w:w="105" w:type="dxa"/>
                    <w:bottom w:w="0" w:type="dxa"/>
                    <w:right w:w="105" w:type="dxa"/>
                  </w:tcMar>
                  <w:vAlign w:val="top"/>
                </w:tcPr>
                <w:p w14:paraId="53BA8257">
                  <w:pPr>
                    <w:pStyle w:val="4"/>
                    <w:jc w:val="center"/>
                  </w:pPr>
                  <w:r>
                    <w:rPr>
                      <w:rFonts w:ascii="仿宋_gb2312" w:hAnsi="仿宋_gb2312" w:eastAsia="仿宋_gb2312" w:cs="仿宋_gb2312"/>
                      <w:sz w:val="24"/>
                    </w:rPr>
                    <w:t>0　</w:t>
                  </w:r>
                </w:p>
              </w:tc>
              <w:tc>
                <w:tcPr>
                  <w:tcW w:w="30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CD81505">
                  <w:pPr>
                    <w:pStyle w:val="4"/>
                    <w:jc w:val="both"/>
                  </w:pPr>
                </w:p>
              </w:tc>
            </w:tr>
          </w:tbl>
          <w:p w14:paraId="1234B6A0"/>
        </w:tc>
      </w:tr>
    </w:tbl>
    <w:p w14:paraId="33F93CE7">
      <w:pPr>
        <w:pStyle w:val="4"/>
        <w:jc w:val="left"/>
        <w:outlineLvl w:val="2"/>
      </w:pPr>
      <w:r>
        <w:rPr>
          <w:b/>
          <w:sz w:val="28"/>
        </w:rPr>
        <w:t>3.4.服务要求</w:t>
      </w:r>
    </w:p>
    <w:p w14:paraId="331B40FE">
      <w:pPr>
        <w:pStyle w:val="4"/>
        <w:jc w:val="left"/>
        <w:outlineLvl w:val="3"/>
      </w:pPr>
      <w:r>
        <w:rPr>
          <w:b/>
          <w:sz w:val="24"/>
        </w:rPr>
        <w:t>3.4.1.服务内容要求</w:t>
      </w:r>
    </w:p>
    <w:p w14:paraId="0B0FF5C4">
      <w:pPr>
        <w:pStyle w:val="4"/>
        <w:ind w:firstLine="480"/>
        <w:jc w:val="left"/>
      </w:pPr>
      <w: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2076"/>
        <w:gridCol w:w="2076"/>
        <w:gridCol w:w="2076"/>
      </w:tblGrid>
      <w:tr w14:paraId="6881BB4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07E25E79">
            <w:pPr>
              <w:pStyle w:val="4"/>
              <w:jc w:val="left"/>
            </w:pPr>
            <w:r>
              <w:t xml:space="preserve"> 序号</w:t>
            </w:r>
          </w:p>
        </w:tc>
        <w:tc>
          <w:tcPr>
            <w:tcW w:w="2076" w:type="dxa"/>
          </w:tcPr>
          <w:p w14:paraId="0EED3791">
            <w:pPr>
              <w:pStyle w:val="4"/>
              <w:jc w:val="left"/>
            </w:pPr>
            <w:r>
              <w:t xml:space="preserve"> 符号标识</w:t>
            </w:r>
          </w:p>
        </w:tc>
        <w:tc>
          <w:tcPr>
            <w:tcW w:w="2076" w:type="dxa"/>
          </w:tcPr>
          <w:p w14:paraId="7C0221C8">
            <w:pPr>
              <w:pStyle w:val="4"/>
              <w:jc w:val="left"/>
            </w:pPr>
            <w:r>
              <w:t xml:space="preserve"> 服务要求名称</w:t>
            </w:r>
          </w:p>
        </w:tc>
        <w:tc>
          <w:tcPr>
            <w:tcW w:w="2076" w:type="dxa"/>
          </w:tcPr>
          <w:p w14:paraId="1CD37152">
            <w:pPr>
              <w:pStyle w:val="4"/>
              <w:jc w:val="left"/>
            </w:pPr>
            <w:r>
              <w:t xml:space="preserve"> 服务要求内容</w:t>
            </w:r>
          </w:p>
        </w:tc>
      </w:tr>
      <w:tr w14:paraId="1E1C8A7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48326BF5">
            <w:pPr>
              <w:pStyle w:val="4"/>
              <w:jc w:val="left"/>
            </w:pPr>
            <w:r>
              <w:t>1</w:t>
            </w:r>
          </w:p>
        </w:tc>
        <w:tc>
          <w:tcPr>
            <w:tcW w:w="2076" w:type="dxa"/>
          </w:tcPr>
          <w:p w14:paraId="65CAC9EE">
            <w:pPr>
              <w:pStyle w:val="4"/>
              <w:jc w:val="left"/>
            </w:pPr>
            <w:r>
              <w:t>★</w:t>
            </w:r>
          </w:p>
        </w:tc>
        <w:tc>
          <w:tcPr>
            <w:tcW w:w="2076" w:type="dxa"/>
          </w:tcPr>
          <w:p w14:paraId="6C1B7474">
            <w:pPr>
              <w:pStyle w:val="4"/>
              <w:jc w:val="left"/>
            </w:pPr>
            <w:r>
              <w:t>保密要求</w:t>
            </w:r>
          </w:p>
        </w:tc>
        <w:tc>
          <w:tcPr>
            <w:tcW w:w="2076" w:type="dxa"/>
          </w:tcPr>
          <w:p w14:paraId="311EA202">
            <w:pPr>
              <w:pStyle w:val="4"/>
              <w:ind w:firstLine="480"/>
              <w:jc w:val="both"/>
            </w:pPr>
            <w:r>
              <w:rPr>
                <w:rFonts w:ascii="仿宋" w:hAnsi="仿宋" w:eastAsia="仿宋" w:cs="仿宋"/>
                <w:sz w:val="21"/>
              </w:rPr>
              <w:t>供应商应对项目实施过程及实施过程中获取的所有相关数据、信息、企业资料、研究成果等材料保密，未经采购人书面允许，不得以任意形式传播或泄露相关信息，否则视为违约，供应商应承担因此产生的全部损失，且采购人有权要求供应商支付本合同总价1%的违约金，并有权无条件解除本合同。同时采购人保留追究供应商侵权责任的权利。</w:t>
            </w:r>
          </w:p>
        </w:tc>
      </w:tr>
      <w:tr w14:paraId="18926D6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6C1321A5">
            <w:pPr>
              <w:pStyle w:val="4"/>
              <w:jc w:val="left"/>
            </w:pPr>
            <w:r>
              <w:t>2</w:t>
            </w:r>
          </w:p>
        </w:tc>
        <w:tc>
          <w:tcPr>
            <w:tcW w:w="2076" w:type="dxa"/>
          </w:tcPr>
          <w:p w14:paraId="6FD288D8">
            <w:pPr>
              <w:pStyle w:val="4"/>
              <w:jc w:val="left"/>
            </w:pPr>
            <w:r>
              <w:t>★</w:t>
            </w:r>
          </w:p>
        </w:tc>
        <w:tc>
          <w:tcPr>
            <w:tcW w:w="2076" w:type="dxa"/>
          </w:tcPr>
          <w:p w14:paraId="6DF1CD3C">
            <w:pPr>
              <w:pStyle w:val="4"/>
              <w:jc w:val="left"/>
            </w:pPr>
            <w:r>
              <w:t>不可抗力事件处理</w:t>
            </w:r>
          </w:p>
        </w:tc>
        <w:tc>
          <w:tcPr>
            <w:tcW w:w="2076" w:type="dxa"/>
          </w:tcPr>
          <w:p w14:paraId="65209320">
            <w:pPr>
              <w:pStyle w:val="4"/>
              <w:ind w:firstLine="480"/>
              <w:jc w:val="both"/>
            </w:pPr>
            <w:r>
              <w:rPr>
                <w:rFonts w:ascii="仿宋" w:hAnsi="仿宋" w:eastAsia="仿宋" w:cs="仿宋"/>
                <w:sz w:val="21"/>
              </w:rPr>
              <w:t>签约双方任一方由于受诸如战争、洪水、地震等不可抗力事件的影响导致本合同无法履行的，互不承担违约责任。但不可能抗力发生时，甲乙双方应尽力采取措施防止扩大损失，若由于双方任一方有能力采取而未采取措施导致损失扩大，由应采取而未采取措施方承担扩大损失部分的赔偿。</w:t>
            </w:r>
          </w:p>
        </w:tc>
      </w:tr>
      <w:tr w14:paraId="0F82AB0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547ED596">
            <w:pPr>
              <w:pStyle w:val="4"/>
              <w:jc w:val="left"/>
            </w:pPr>
            <w:r>
              <w:t>3</w:t>
            </w:r>
          </w:p>
        </w:tc>
        <w:tc>
          <w:tcPr>
            <w:tcW w:w="2076" w:type="dxa"/>
          </w:tcPr>
          <w:p w14:paraId="7D0FD44E">
            <w:pPr>
              <w:pStyle w:val="4"/>
              <w:jc w:val="left"/>
            </w:pPr>
            <w:r>
              <w:t>★</w:t>
            </w:r>
          </w:p>
        </w:tc>
        <w:tc>
          <w:tcPr>
            <w:tcW w:w="2076" w:type="dxa"/>
          </w:tcPr>
          <w:p w14:paraId="21431464">
            <w:pPr>
              <w:pStyle w:val="4"/>
              <w:jc w:val="left"/>
            </w:pPr>
            <w:r>
              <w:t>知识产权</w:t>
            </w:r>
          </w:p>
        </w:tc>
        <w:tc>
          <w:tcPr>
            <w:tcW w:w="2076" w:type="dxa"/>
          </w:tcPr>
          <w:p w14:paraId="39A7517D">
            <w:pPr>
              <w:pStyle w:val="4"/>
              <w:jc w:val="left"/>
            </w:pPr>
            <w:r>
              <w:rPr>
                <w:rFonts w:ascii="仿宋" w:hAnsi="仿宋" w:eastAsia="仿宋" w:cs="仿宋"/>
              </w:rPr>
              <w:t>供应商应保证所提供的服务或其任何一部分均不会侵犯任何第三方的专利权、商标权、著作权或其他合法权益，否则视为供应商违约，由此产生的一切损失由供应商承担，且采购人有权要求供应商支付合同总价的1%的违约金，并有权无条件解除本合同；</w:t>
            </w:r>
          </w:p>
          <w:p w14:paraId="2482EA26">
            <w:pPr>
              <w:pStyle w:val="4"/>
              <w:ind w:firstLine="480"/>
              <w:jc w:val="both"/>
            </w:pPr>
            <w:r>
              <w:rPr>
                <w:rFonts w:ascii="仿宋" w:hAnsi="仿宋" w:eastAsia="仿宋" w:cs="仿宋"/>
                <w:sz w:val="21"/>
              </w:rPr>
              <w:t>采购人享有本项目实施过程中产生的知识成果及知识产权，未经采购人书面允许供应商不得另做他用，否则视为违约，按照前款约定进行处理。</w:t>
            </w:r>
          </w:p>
        </w:tc>
      </w:tr>
    </w:tbl>
    <w:p w14:paraId="16813EBA">
      <w:pPr>
        <w:pStyle w:val="4"/>
        <w:jc w:val="left"/>
        <w:outlineLvl w:val="3"/>
      </w:pPr>
      <w:r>
        <w:rPr>
          <w:b/>
          <w:sz w:val="24"/>
        </w:rPr>
        <w:t>3.4.2.商务要求</w:t>
      </w:r>
    </w:p>
    <w:p w14:paraId="1ECB268E">
      <w:pPr>
        <w:pStyle w:val="4"/>
        <w:ind w:firstLine="480"/>
        <w:jc w:val="left"/>
      </w:pPr>
      <w: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2076"/>
        <w:gridCol w:w="2076"/>
        <w:gridCol w:w="2076"/>
      </w:tblGrid>
      <w:tr w14:paraId="14DA27F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271E996D">
            <w:pPr>
              <w:pStyle w:val="4"/>
              <w:jc w:val="left"/>
            </w:pPr>
            <w:r>
              <w:t>序号</w:t>
            </w:r>
          </w:p>
        </w:tc>
        <w:tc>
          <w:tcPr>
            <w:tcW w:w="2076" w:type="dxa"/>
          </w:tcPr>
          <w:p w14:paraId="7BCEB7E0">
            <w:pPr>
              <w:pStyle w:val="4"/>
              <w:jc w:val="left"/>
            </w:pPr>
            <w:r>
              <w:t>符号标识</w:t>
            </w:r>
          </w:p>
        </w:tc>
        <w:tc>
          <w:tcPr>
            <w:tcW w:w="2076" w:type="dxa"/>
          </w:tcPr>
          <w:p w14:paraId="1B508C67">
            <w:pPr>
              <w:pStyle w:val="4"/>
              <w:jc w:val="left"/>
            </w:pPr>
            <w:r>
              <w:t>商务要求名称</w:t>
            </w:r>
          </w:p>
        </w:tc>
        <w:tc>
          <w:tcPr>
            <w:tcW w:w="2076" w:type="dxa"/>
          </w:tcPr>
          <w:p w14:paraId="1D2A57DD">
            <w:pPr>
              <w:pStyle w:val="4"/>
              <w:jc w:val="left"/>
            </w:pPr>
            <w:r>
              <w:t>商务要求内容</w:t>
            </w:r>
          </w:p>
        </w:tc>
      </w:tr>
      <w:tr w14:paraId="0BE97A2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51D52B1D">
            <w:pPr>
              <w:pStyle w:val="4"/>
              <w:jc w:val="left"/>
            </w:pPr>
            <w:r>
              <w:t>1</w:t>
            </w:r>
          </w:p>
        </w:tc>
        <w:tc>
          <w:tcPr>
            <w:tcW w:w="2076" w:type="dxa"/>
          </w:tcPr>
          <w:p w14:paraId="128BEF69">
            <w:pPr>
              <w:pStyle w:val="4"/>
              <w:jc w:val="left"/>
            </w:pPr>
            <w:r>
              <w:t>★</w:t>
            </w:r>
          </w:p>
        </w:tc>
        <w:tc>
          <w:tcPr>
            <w:tcW w:w="2076" w:type="dxa"/>
          </w:tcPr>
          <w:p w14:paraId="71FBC5B6">
            <w:pPr>
              <w:pStyle w:val="4"/>
              <w:jc w:val="left"/>
            </w:pPr>
            <w:r>
              <w:t>服务期限</w:t>
            </w:r>
          </w:p>
        </w:tc>
        <w:tc>
          <w:tcPr>
            <w:tcW w:w="2076" w:type="dxa"/>
          </w:tcPr>
          <w:p w14:paraId="2A1D2F67">
            <w:pPr>
              <w:pStyle w:val="4"/>
              <w:jc w:val="left"/>
            </w:pPr>
            <w:r>
              <w:t>自合同签订之日起365日</w:t>
            </w:r>
          </w:p>
        </w:tc>
      </w:tr>
      <w:tr w14:paraId="0B56004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472046C1">
            <w:pPr>
              <w:pStyle w:val="4"/>
              <w:jc w:val="left"/>
            </w:pPr>
            <w:r>
              <w:t>2</w:t>
            </w:r>
          </w:p>
        </w:tc>
        <w:tc>
          <w:tcPr>
            <w:tcW w:w="2076" w:type="dxa"/>
          </w:tcPr>
          <w:p w14:paraId="07A2394F">
            <w:pPr>
              <w:pStyle w:val="4"/>
              <w:jc w:val="left"/>
            </w:pPr>
            <w:r>
              <w:t>★</w:t>
            </w:r>
          </w:p>
        </w:tc>
        <w:tc>
          <w:tcPr>
            <w:tcW w:w="2076" w:type="dxa"/>
          </w:tcPr>
          <w:p w14:paraId="7D1BE8C7">
            <w:pPr>
              <w:pStyle w:val="4"/>
              <w:jc w:val="left"/>
            </w:pPr>
            <w:r>
              <w:t>服务地点</w:t>
            </w:r>
          </w:p>
        </w:tc>
        <w:tc>
          <w:tcPr>
            <w:tcW w:w="2076" w:type="dxa"/>
          </w:tcPr>
          <w:p w14:paraId="670A8EDD">
            <w:pPr>
              <w:pStyle w:val="4"/>
              <w:jc w:val="left"/>
            </w:pPr>
            <w:r>
              <w:t>成都市双流区剑南大道南段兰家沟3组188号</w:t>
            </w:r>
          </w:p>
        </w:tc>
      </w:tr>
      <w:tr w14:paraId="3FB7D92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54A29BF8">
            <w:pPr>
              <w:pStyle w:val="4"/>
              <w:jc w:val="left"/>
            </w:pPr>
            <w:r>
              <w:t>3</w:t>
            </w:r>
          </w:p>
        </w:tc>
        <w:tc>
          <w:tcPr>
            <w:tcW w:w="2076" w:type="dxa"/>
          </w:tcPr>
          <w:p w14:paraId="35726286">
            <w:pPr>
              <w:pStyle w:val="4"/>
              <w:jc w:val="left"/>
            </w:pPr>
            <w:r>
              <w:t>★</w:t>
            </w:r>
          </w:p>
        </w:tc>
        <w:tc>
          <w:tcPr>
            <w:tcW w:w="2076" w:type="dxa"/>
          </w:tcPr>
          <w:p w14:paraId="33F8DAC8">
            <w:pPr>
              <w:pStyle w:val="4"/>
              <w:jc w:val="left"/>
            </w:pPr>
            <w:r>
              <w:t>验收、交付标准和方法</w:t>
            </w:r>
          </w:p>
        </w:tc>
        <w:tc>
          <w:tcPr>
            <w:tcW w:w="2076" w:type="dxa"/>
          </w:tcPr>
          <w:p w14:paraId="6F4A7CD3">
            <w:pPr>
              <w:pStyle w:val="4"/>
              <w:jc w:val="left"/>
            </w:pPr>
            <w:r>
              <w:t>按照《财政部关于进-步加强政府采购需求和履约验收管理的指导意见》(财库(2016)205号)以及主管部门的相关要求进行验收。达到国家相关标准、行业标准、地方标准或者其他标准、规范要求为标准，按照《招标文件》、成交供应商《响应文件》和双方签订的《采购合同》，对供应商履约情况进行验收，出具项目履约验收表。</w:t>
            </w:r>
          </w:p>
        </w:tc>
      </w:tr>
      <w:tr w14:paraId="43F7306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14CA0035">
            <w:pPr>
              <w:pStyle w:val="4"/>
              <w:jc w:val="left"/>
            </w:pPr>
            <w:r>
              <w:t>4</w:t>
            </w:r>
          </w:p>
        </w:tc>
        <w:tc>
          <w:tcPr>
            <w:tcW w:w="2076" w:type="dxa"/>
          </w:tcPr>
          <w:p w14:paraId="2E96F5E0">
            <w:pPr>
              <w:pStyle w:val="4"/>
              <w:jc w:val="left"/>
            </w:pPr>
            <w:r>
              <w:t>★</w:t>
            </w:r>
          </w:p>
        </w:tc>
        <w:tc>
          <w:tcPr>
            <w:tcW w:w="2076" w:type="dxa"/>
          </w:tcPr>
          <w:p w14:paraId="748DB8DD">
            <w:pPr>
              <w:pStyle w:val="4"/>
              <w:jc w:val="left"/>
            </w:pPr>
            <w:r>
              <w:t>支付方式</w:t>
            </w:r>
          </w:p>
        </w:tc>
        <w:tc>
          <w:tcPr>
            <w:tcW w:w="2076" w:type="dxa"/>
          </w:tcPr>
          <w:p w14:paraId="7FF44099">
            <w:pPr>
              <w:pStyle w:val="4"/>
              <w:jc w:val="left"/>
            </w:pPr>
            <w:r>
              <w:t>分期付款</w:t>
            </w:r>
          </w:p>
        </w:tc>
      </w:tr>
      <w:tr w14:paraId="724744B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702BBDBD">
            <w:pPr>
              <w:pStyle w:val="4"/>
              <w:jc w:val="left"/>
            </w:pPr>
            <w:r>
              <w:t>5</w:t>
            </w:r>
          </w:p>
        </w:tc>
        <w:tc>
          <w:tcPr>
            <w:tcW w:w="2076" w:type="dxa"/>
          </w:tcPr>
          <w:p w14:paraId="67D3305C"/>
        </w:tc>
        <w:tc>
          <w:tcPr>
            <w:tcW w:w="2076" w:type="dxa"/>
          </w:tcPr>
          <w:p w14:paraId="221F23BF">
            <w:pPr>
              <w:pStyle w:val="4"/>
              <w:jc w:val="left"/>
            </w:pPr>
            <w:r>
              <w:t>付款进度安排</w:t>
            </w:r>
          </w:p>
        </w:tc>
        <w:tc>
          <w:tcPr>
            <w:tcW w:w="2076" w:type="dxa"/>
          </w:tcPr>
          <w:p w14:paraId="2EA43F51">
            <w:pPr>
              <w:pStyle w:val="4"/>
              <w:jc w:val="left"/>
            </w:pPr>
            <w:r>
              <w:t>1、每次结算费用时，乙方须提供结算审批表、付款申请、正式发票等。若乙方未按甲方要求出具发票，甲方有权延迟或拒绝支付合同相应款项，并不承担任何违约责任，达到付款条件起90日内，据实情况说明为季度运维服务费=固定成本单价×40000m³/d×当季度实际运行天数+可变成本单价×当季度实际处理水量。 其中：固定成本包含人工工资、基础电费、设备维修费、在线监测设备运维费、水质检测费、财务及税费、合理利润等；可变成本包含电费、药剂费等。</w:t>
            </w:r>
          </w:p>
        </w:tc>
      </w:tr>
      <w:tr w14:paraId="1BFF20D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0024F3FE">
            <w:pPr>
              <w:pStyle w:val="4"/>
              <w:jc w:val="left"/>
            </w:pPr>
            <w:r>
              <w:t>6</w:t>
            </w:r>
          </w:p>
        </w:tc>
        <w:tc>
          <w:tcPr>
            <w:tcW w:w="2076" w:type="dxa"/>
          </w:tcPr>
          <w:p w14:paraId="3DF64622">
            <w:pPr>
              <w:pStyle w:val="4"/>
              <w:jc w:val="left"/>
            </w:pPr>
            <w:r>
              <w:t>★</w:t>
            </w:r>
          </w:p>
        </w:tc>
        <w:tc>
          <w:tcPr>
            <w:tcW w:w="2076" w:type="dxa"/>
          </w:tcPr>
          <w:p w14:paraId="64F2DA77">
            <w:pPr>
              <w:pStyle w:val="4"/>
              <w:jc w:val="left"/>
            </w:pPr>
            <w:r>
              <w:t>违约责任与解决争议的方法</w:t>
            </w:r>
          </w:p>
        </w:tc>
        <w:tc>
          <w:tcPr>
            <w:tcW w:w="2076" w:type="dxa"/>
          </w:tcPr>
          <w:p w14:paraId="7DE0DF4C">
            <w:pPr>
              <w:pStyle w:val="4"/>
              <w:jc w:val="left"/>
            </w:pPr>
            <w:r>
              <w:t>1. 采购人与供应商必须遵守并履行本项目的相关义务，若需提前终止服务，双方可以进行友好协商，若能达成一致意见，双方签订中止合同的协议，可以提前终止服务，双方不承担违约责任；若协商不成，违约方应向对方支付合同限价的10％作为违约金。非供应商原因采购人单方面解除合同的，采购人应向供应商支付全部已依约完成工作量对应的运维服务费用。 2. 在执行本项目服务中发生的或与本服务有关的争端，采购人与供应商应通过友好协商解决，经协商在30天内不能达成协议时，向采购人所在地有管辖权的法院提起诉讼，诉讼产生相应的费用应由败诉方负担。在法院审理期间，除有争议部分外，其他可以履行的部分仍应按相关约定继续履行。 3. 由于供应商原因造成迟延付款的，采购人不承担责任。因采购人原因逾期支付的，供应商有权要求采购人按照银行同期利率支付逾期利息。 4. 运维服务期内，如因供应商管理、操作或经营不善等原因造成的人员安全事故、环境安全事故等一系列安全事故问题，均由供应商自行承担。若采购人因此遭受损失的，采购人有权向供应商追偿，并依法追究法律责任。 5. 对采购人或政府相关部门出具的整改通知书，供应商拒不整改或者经三次整改后仍不符合相关要求的，采购人有权要求供应商支付合同限价10％的违约金，且有权单方面解除合同。 6. 守约方为实现权力而实际发生的一切费用（包括但不限于诉讼费、财产保全费，差旅费、执行费、公正费、送达费、律师费等）均由违约方承担。 7. 如因供应商工作人员在履行职务过程中的的疏忽、失职、过错等故意或者过失原因给采购人造成损失或侵害，包括但不限于采购人本身的财产损失、由此而导致的采购人对任何第三方的法律责任等，供应商对此均应承担全部的赔偿责任。 8. 如供应商对本项目处理后水质要求不能达到本合同约定的相应要求的（进水水质、水量超标情况除外），采购人有权扣除超标当日的运维服务费用。供应商除尽早恢复达标外，还应向采购人支付违约金，计算公式为：出水超标违约金=水质超标当日的水量×运维服务费单价×2。 9. 在本合同期限内，因供应商原因造成的项目处理后水质不能达到本合同约定的相应要求且累计达到五次及以上（定义：水质要求不符合标准，前次整改合格后，再次出现水质问题，属于“累计五次及以上”），并经由相应资质的检测机构出具的检测报告确认的情况下，采购人有权单方解除本合同，并对未达到相应处理要求的污水处理量不予支付任何费用。同时供应商应承担当次超标水量2倍对应水价的违约金，并赔偿因此给采购人造成的损失。 10. 在本合同期限内，供应商私自转移、弃置未经处理的污水（水量超过设计水量且供应商已尽力处理的情况除外），除依法承担全部责任外，采购人有权凭相关行政机关调查确认的事实单方解除本合同，供应商应承担采购人已付合同价款30%的违约金，同时赔偿因此给采购人造成的损失。 11. 保密要求：供应商应对项目实施过程及实施过程中获取的所有相关数据、信息、成果等资料保密，未经采购人书面允许，不得以任意形式传播或泄露相关信息，否则视为违约，供应商应承担因此产生的全部损失，且采购人有权要求供应商支付本合同限价1%的违约金，并有权无条件解除本合同，同时采购人保留追究供应商相关责任的权利。 12. 不可抗力事件处理：签约双方任一方由于受诸如战争、洪水、地震等不可抗力事件的影响导致本合同无法履行的，互不承担违约责任。但不可能抗力发生时，甲乙双方应尽力采取措施防止扩大损失，若由于双方任一方有能力采取而未采取措施导致损失扩大，由应采取而未采取措施方承担扩大损失部分的赔偿。 13. 如供应商违反国家相关法律、法规，具体处罚标准按国家现行法律、法规相关标准执行，所有责任由供应商承担。</w:t>
            </w:r>
          </w:p>
        </w:tc>
      </w:tr>
    </w:tbl>
    <w:p w14:paraId="17D15E39">
      <w:pPr>
        <w:pStyle w:val="4"/>
        <w:jc w:val="left"/>
        <w:outlineLvl w:val="2"/>
      </w:pPr>
      <w:r>
        <w:rPr>
          <w:b/>
          <w:sz w:val="28"/>
        </w:rPr>
        <w:t>3.5.其他要求</w:t>
      </w:r>
    </w:p>
    <w:p w14:paraId="026BE719">
      <w:pPr>
        <w:pStyle w:val="4"/>
        <w:ind w:firstLine="480"/>
        <w:jc w:val="left"/>
      </w:pPr>
      <w:r>
        <w:t>采购包1：</w:t>
      </w:r>
    </w:p>
    <w:p w14:paraId="3578A9F6">
      <w:pPr>
        <w:pStyle w:val="4"/>
        <w:jc w:val="left"/>
      </w:pPr>
      <w:r>
        <w:t>系统格式固化原因，3.4.2.商务要求付款进度安排以此为准【编制于第六章投标文件格式-《商务应答表》】：（1）运维服务费按季度（3个月）据实结算。 季度运维服务费=固定成本单价×40000m³/d×当季度实际运行天数+可变成本单价×当季度实际处理水量。 其中：固定成本包含人工工资、基础电费、设备维修费、在线监测设备运维费、水质检测费、财务及税费、合理利润等；可变成本包含电费、药剂费等。 （2）每季度运维服务费结合考核结果进行拨付，若考核不合格或排放不达标，则按照合同约定扣款后支付，每次结算费用时，供应商须提供结算审批表、付款申请、正式发票等。若供应商未按采购人要求出具发票，采购人有权延迟或拒绝支付合同相应款项，并不承担任何违约责任。</w:t>
      </w:r>
    </w:p>
    <w:p w14:paraId="030FD791">
      <w:pPr>
        <w:pStyle w:val="4"/>
      </w:pPr>
      <w:r>
        <w:t xml:space="preserve"> </w:t>
      </w:r>
      <w:r>
        <w:br w:type="textWrapping"/>
      </w:r>
      <w:r>
        <w:br w:type="page"/>
      </w:r>
    </w:p>
    <w:p w14:paraId="57B02FEC"/>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方正仿宋_gbk">
    <w:altName w:val="仿宋"/>
    <w:panose1 w:val="00000000000000000000"/>
    <w:charset w:val="00"/>
    <w:family w:val="auto"/>
    <w:pitch w:val="default"/>
    <w:sig w:usb0="00000000" w:usb1="00000000" w:usb2="00000000" w:usb3="00000000" w:csb0="00000000" w:csb1="00000000"/>
  </w:font>
  <w:font w:name="方正小标宋简体">
    <w:altName w:val="方正舒体"/>
    <w:panose1 w:val="00000000000000000000"/>
    <w:charset w:val="00"/>
    <w:family w:val="auto"/>
    <w:pitch w:val="default"/>
    <w:sig w:usb0="00000000" w:usb1="00000000" w:usb2="00000000" w:usb3="00000000" w:csb0="00000000" w:csb1="00000000"/>
  </w:font>
  <w:font w:name="仿宋_gb2312">
    <w:altName w:val="仿宋"/>
    <w:panose1 w:val="00000000000000000000"/>
    <w:charset w:val="00"/>
    <w:family w:val="auto"/>
    <w:pitch w:val="default"/>
    <w:sig w:usb0="00000000" w:usb1="00000000" w:usb2="00000000" w:usb3="00000000" w:csb0="00000000" w:csb1="00000000"/>
  </w:font>
  <w:font w:name="方正舒体">
    <w:panose1 w:val="02010601030101010101"/>
    <w:charset w:val="86"/>
    <w:family w:val="auto"/>
    <w:pitch w:val="default"/>
    <w:sig w:usb0="00000003"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53208E"/>
    <w:multiLevelType w:val="singleLevel"/>
    <w:tmpl w:val="0053208E"/>
    <w:lvl w:ilvl="0" w:tentative="0">
      <w:start w:val="1"/>
      <w:numFmt w:val="bullet"/>
      <w:lvlText w:val=""/>
      <w:lvlJc w:val="left"/>
      <w:pPr>
        <w:ind w:left="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hlNTRiZWM1MGViZGNhMzQ0OTFiOTY0MzFkMGE0YjYifQ=="/>
  </w:docVars>
  <w:rsids>
    <w:rsidRoot w:val="00000000"/>
    <w:rsid w:val="68115E5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31</Pages>
  <Words>0</Words>
  <Characters>0</Characters>
  <Lines>0</Lines>
  <Paragraphs>0</Paragraphs>
  <TotalTime>10</TotalTime>
  <ScaleCrop>false</ScaleCrop>
  <LinksUpToDate>false</LinksUpToDate>
  <CharactersWithSpaces>0</CharactersWithSpaces>
  <Application>WPS Office_12.1.0.17813_F1E327BC-269C-435d-A152-05C5408002CA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Administrator</cp:lastModifiedBy>
  <dcterms:modified xsi:type="dcterms:W3CDTF">2024-07-26T07:16:50Z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2052-12.1.0.17813</vt:lpwstr>
  </property>
  <property fmtid="{D5CDD505-2E9C-101B-9397-08002B2CF9AE}" pid="3" name="ICV">
    <vt:lpwstr>B82CC1B4C5A74EB8AA2DDED33EB78340_12</vt:lpwstr>
  </property>
</Properties>
</file>