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版本号：N510901202500036420251118001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馆藏扇面纸质类文物保护修复项目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N5109012025000364</w:t>
      </w:r>
    </w:p>
    <w:p>
      <w:pPr>
        <w:pStyle w:val="null3"/>
        <w:jc w:val="center"/>
        <w:outlineLvl w:val="2"/>
      </w:pPr>
      <w:r>
        <w:rPr>
          <w:rFonts w:ascii="仿宋_GB2312" w:hAnsi="仿宋_GB2312" w:cs="仿宋_GB2312" w:eastAsia="仿宋_GB2312"/>
          <w:sz w:val="28"/>
          <w:b/>
        </w:rPr>
        <w:t>遂宁市博物馆</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遂宁市博物馆</w:t>
      </w:r>
      <w:r>
        <w:rPr>
          <w:rFonts w:ascii="仿宋_GB2312" w:hAnsi="仿宋_GB2312" w:cs="仿宋_GB2312" w:eastAsia="仿宋_GB2312"/>
        </w:rPr>
        <w:t xml:space="preserve"> 委托，拟对 </w:t>
      </w:r>
      <w:r>
        <w:rPr>
          <w:rFonts w:ascii="仿宋_GB2312" w:hAnsi="仿宋_GB2312" w:cs="仿宋_GB2312" w:eastAsia="仿宋_GB2312"/>
        </w:rPr>
        <w:t>馆藏扇面纸质类文物保护修复项目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遂宁市市本级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N5109012025000364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馆藏扇面纸质类文物保护修复项目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遂宁市博物馆拟采购馆藏扇面纸质类文物保护修复服务一项，本项目为1个采购包。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文物行政部门颁发的《可移动文物修复资质证书》，业务范围包括书法绘画。（描述：供应商须具备文物行政部门颁发的《可移动文物修复资质证书》，业务范围包括书法绘画。（提供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遂宁市博物馆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遂宁市河东新区德水北路遂宁市文化中心D区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0825-2328312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四川省成都市金牛区茶店子西街36号1栋2单元18层1819号/项目地址：遂宁市河东新区五彩缤纷路鼎盛国际银座20楼16-17号办公室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1.项目负责人：龙福兴、邓顺琼；2.技术审核：杨丹、郑佳、王艺霖</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1.项目：0825-8085848；2.公司监察合规部（投诉、举报）电话：028-62306011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采购包1：870,000.00元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代理服务费收费标准：依照成本加合理利润的原则，以成交金额作为计算基数，按差额定率累进法进行计算，并按以下费率标准(服务采购项目)下浮20%收取:成交金额100 万元以下，费率 1.5%。（若下浮后的代理服务费收费不足5000元的按5000元计算。）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遂宁市博物馆</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遂宁市博物馆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遂宁市博物馆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联系电话：0825-2328312</w:t>
      </w:r>
    </w:p>
    <w:p>
      <w:pPr>
        <w:pStyle w:val="null3"/>
        <w:jc w:val="left"/>
      </w:pPr>
      <w:r>
        <w:rPr>
          <w:rFonts w:ascii="仿宋_GB2312" w:hAnsi="仿宋_GB2312" w:cs="仿宋_GB2312" w:eastAsia="仿宋_GB2312"/>
        </w:rPr>
        <w:t>地址：遂宁市河东新区德水北路遂宁市文化中心D区</w:t>
      </w:r>
    </w:p>
    <w:p>
      <w:pPr>
        <w:pStyle w:val="null3"/>
        <w:jc w:val="left"/>
      </w:pPr>
      <w:r>
        <w:rPr>
          <w:rFonts w:ascii="仿宋_GB2312" w:hAnsi="仿宋_GB2312" w:cs="仿宋_GB2312" w:eastAsia="仿宋_GB2312"/>
        </w:rPr>
        <w:t>邮编：629000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联系电话：0825-8085848</w:t>
      </w:r>
    </w:p>
    <w:p>
      <w:pPr>
        <w:pStyle w:val="null3"/>
        <w:jc w:val="left"/>
      </w:pPr>
      <w:r>
        <w:rPr>
          <w:rFonts w:ascii="仿宋_GB2312" w:hAnsi="仿宋_GB2312" w:cs="仿宋_GB2312" w:eastAsia="仿宋_GB2312"/>
        </w:rPr>
        <w:t>地址：遂宁市河东新区五彩缤纷路鼎盛国际银座20楼16-17号办公室</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870,000.00</w:t>
      </w:r>
    </w:p>
    <w:p>
      <w:pPr>
        <w:pStyle w:val="null3"/>
        <w:jc w:val="left"/>
      </w:pPr>
      <w:r>
        <w:rPr>
          <w:rFonts w:ascii="仿宋_GB2312" w:hAnsi="仿宋_GB2312" w:cs="仿宋_GB2312" w:eastAsia="仿宋_GB2312"/>
        </w:rPr>
        <w:t>采购包最高限价（元）: 785,800.00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C06030500 博物馆服务</w:t>
            </w:r>
          </w:p>
        </w:tc>
        <w:tc>
          <w:tcPr>
            <w:tcW w:type="dxa" w:w="821"/>
          </w:tcPr>
          <w:p>
            <w:pPr>
              <w:pStyle w:val="null3"/>
              <w:jc w:val="left"/>
            </w:pPr>
            <w:r>
              <w:rPr>
                <w:rFonts w:ascii="仿宋_GB2312" w:hAnsi="仿宋_GB2312" w:cs="仿宋_GB2312" w:eastAsia="仿宋_GB2312"/>
              </w:rPr>
              <w:t>馆藏扇面纸质类文物保护修复服务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785,800.00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馆藏扇面纸质类文物保护修复服务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报价包含完成本项目的一切费用。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标的名称：馆藏扇面纸质类文物保护修复服务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80"/>
              <w:ind w:right="90"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对</w:t>
            </w:r>
            <w:r>
              <w:rPr>
                <w:rFonts w:ascii="仿宋_GB2312" w:hAnsi="仿宋_GB2312" w:cs="仿宋_GB2312" w:eastAsia="仿宋_GB2312"/>
                <w:sz w:val="24"/>
              </w:rPr>
              <w:t>58件扇面文物进行修复，</w:t>
            </w:r>
            <w:r>
              <w:rPr>
                <w:rFonts w:ascii="仿宋_GB2312" w:hAnsi="仿宋_GB2312" w:cs="仿宋_GB2312" w:eastAsia="仿宋_GB2312"/>
                <w:sz w:val="24"/>
              </w:rPr>
              <w:t>修复必须遵守《中华人民共和国文物保护法》，消除文物各种病害至少包括微生物损害、污渍、水渍、虫蛀病变。</w:t>
            </w:r>
          </w:p>
          <w:p>
            <w:pPr>
              <w:pStyle w:val="null3"/>
              <w:spacing w:before="180"/>
              <w:ind w:right="90" w:firstLine="480"/>
              <w:jc w:val="left"/>
            </w:pPr>
            <w:r>
              <w:rPr>
                <w:rFonts w:ascii="仿宋_GB2312" w:hAnsi="仿宋_GB2312" w:cs="仿宋_GB2312" w:eastAsia="仿宋_GB2312"/>
                <w:sz w:val="24"/>
              </w:rPr>
              <w:t>★</w:t>
            </w:r>
            <w:r>
              <w:rPr>
                <w:rFonts w:ascii="仿宋_GB2312" w:hAnsi="仿宋_GB2312" w:cs="仿宋_GB2312" w:eastAsia="仿宋_GB2312"/>
                <w:sz w:val="24"/>
              </w:rPr>
              <w:t>2、修复遵</w:t>
            </w:r>
            <w:r>
              <w:rPr>
                <w:rFonts w:ascii="仿宋_GB2312" w:hAnsi="仿宋_GB2312" w:cs="仿宋_GB2312" w:eastAsia="仿宋_GB2312"/>
                <w:sz w:val="24"/>
              </w:rPr>
              <w:t>循最小干预及修旧如旧原则</w:t>
            </w:r>
            <w:r>
              <w:rPr>
                <w:rFonts w:ascii="仿宋_GB2312" w:hAnsi="仿宋_GB2312" w:cs="仿宋_GB2312" w:eastAsia="仿宋_GB2312"/>
                <w:sz w:val="24"/>
              </w:rPr>
              <w:t>,</w:t>
            </w:r>
            <w:r>
              <w:rPr>
                <w:rFonts w:ascii="仿宋_GB2312" w:hAnsi="仿宋_GB2312" w:cs="仿宋_GB2312" w:eastAsia="仿宋_GB2312"/>
                <w:sz w:val="24"/>
              </w:rPr>
              <w:t>工作过程中，确保对文物全面了解之后再进行保护修复工作</w:t>
            </w:r>
            <w:r>
              <w:rPr>
                <w:rFonts w:ascii="仿宋_GB2312" w:hAnsi="仿宋_GB2312" w:cs="仿宋_GB2312" w:eastAsia="仿宋_GB2312"/>
                <w:sz w:val="24"/>
              </w:rPr>
              <w:t>；</w:t>
            </w:r>
            <w:r>
              <w:rPr>
                <w:rFonts w:ascii="仿宋_GB2312" w:hAnsi="仿宋_GB2312" w:cs="仿宋_GB2312" w:eastAsia="仿宋_GB2312"/>
                <w:sz w:val="24"/>
              </w:rPr>
              <w:t>采取预防性保护措施，防止保护性的破坏</w:t>
            </w:r>
            <w:r>
              <w:rPr>
                <w:rFonts w:ascii="仿宋_GB2312" w:hAnsi="仿宋_GB2312" w:cs="仿宋_GB2312" w:eastAsia="仿宋_GB2312"/>
                <w:sz w:val="24"/>
              </w:rPr>
              <w:t>；</w:t>
            </w:r>
            <w:r>
              <w:rPr>
                <w:rFonts w:ascii="仿宋_GB2312" w:hAnsi="仿宋_GB2312" w:cs="仿宋_GB2312" w:eastAsia="仿宋_GB2312"/>
                <w:sz w:val="24"/>
              </w:rPr>
              <w:t>保证文物完整，修复不能改变文物原貌，不可破坏文物本身蕴含的信息</w:t>
            </w:r>
            <w:r>
              <w:rPr>
                <w:rFonts w:ascii="仿宋_GB2312" w:hAnsi="仿宋_GB2312" w:cs="仿宋_GB2312" w:eastAsia="仿宋_GB2312"/>
                <w:sz w:val="24"/>
              </w:rPr>
              <w:t>；</w:t>
            </w:r>
            <w:r>
              <w:rPr>
                <w:rFonts w:ascii="仿宋_GB2312" w:hAnsi="仿宋_GB2312" w:cs="仿宋_GB2312" w:eastAsia="仿宋_GB2312"/>
                <w:sz w:val="24"/>
              </w:rPr>
              <w:t>若采用新的方法或材料要确保对文物无害。</w:t>
            </w:r>
          </w:p>
          <w:p>
            <w:pPr>
              <w:pStyle w:val="null3"/>
              <w:ind w:right="330" w:firstLine="480"/>
              <w:jc w:val="both"/>
            </w:pPr>
            <w:r>
              <w:rPr>
                <w:rFonts w:ascii="仿宋_GB2312" w:hAnsi="仿宋_GB2312" w:cs="仿宋_GB2312" w:eastAsia="仿宋_GB2312"/>
                <w:sz w:val="24"/>
              </w:rPr>
              <w:t>★3、安全要求：在实施本项目的过程中，发生的任何安全事故由成交供应商自行承担。</w:t>
            </w:r>
          </w:p>
          <w:p>
            <w:pPr>
              <w:pStyle w:val="null3"/>
              <w:spacing w:before="180"/>
              <w:ind w:right="90" w:firstLine="480"/>
              <w:jc w:val="left"/>
            </w:pP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根据采购人提供的</w:t>
            </w:r>
            <w:r>
              <w:rPr>
                <w:rFonts w:ascii="仿宋_GB2312" w:hAnsi="仿宋_GB2312" w:cs="仿宋_GB2312" w:eastAsia="仿宋_GB2312"/>
                <w:sz w:val="24"/>
              </w:rPr>
              <w:t>初步修复方案</w:t>
            </w:r>
            <w:r>
              <w:rPr>
                <w:rFonts w:ascii="仿宋_GB2312" w:hAnsi="仿宋_GB2312" w:cs="仿宋_GB2312" w:eastAsia="仿宋_GB2312"/>
                <w:sz w:val="24"/>
              </w:rPr>
              <w:t>编制</w:t>
            </w:r>
            <w:r>
              <w:rPr>
                <w:rFonts w:ascii="仿宋_GB2312" w:hAnsi="仿宋_GB2312" w:cs="仿宋_GB2312" w:eastAsia="仿宋_GB2312"/>
                <w:sz w:val="24"/>
              </w:rPr>
              <w:t>修复</w:t>
            </w:r>
            <w:r>
              <w:rPr>
                <w:rFonts w:ascii="仿宋_GB2312" w:hAnsi="仿宋_GB2312" w:cs="仿宋_GB2312" w:eastAsia="仿宋_GB2312"/>
                <w:sz w:val="24"/>
              </w:rPr>
              <w:t>实施方案</w:t>
            </w:r>
            <w:r>
              <w:rPr>
                <w:rFonts w:ascii="仿宋_GB2312" w:hAnsi="仿宋_GB2312" w:cs="仿宋_GB2312" w:eastAsia="仿宋_GB2312"/>
                <w:sz w:val="24"/>
              </w:rPr>
              <w:t>，</w:t>
            </w:r>
            <w:r>
              <w:rPr>
                <w:rFonts w:ascii="仿宋_GB2312" w:hAnsi="仿宋_GB2312" w:cs="仿宋_GB2312" w:eastAsia="仿宋_GB2312"/>
                <w:sz w:val="24"/>
              </w:rPr>
              <w:t>经</w:t>
            </w:r>
            <w:r>
              <w:rPr>
                <w:rFonts w:ascii="仿宋_GB2312" w:hAnsi="仿宋_GB2312" w:cs="仿宋_GB2312" w:eastAsia="仿宋_GB2312"/>
                <w:sz w:val="24"/>
              </w:rPr>
              <w:t>采购人</w:t>
            </w:r>
            <w:r>
              <w:rPr>
                <w:rFonts w:ascii="仿宋_GB2312" w:hAnsi="仿宋_GB2312" w:cs="仿宋_GB2312" w:eastAsia="仿宋_GB2312"/>
                <w:sz w:val="24"/>
              </w:rPr>
              <w:t>组织专家论证后，按论证通过后的</w:t>
            </w:r>
            <w:r>
              <w:rPr>
                <w:rFonts w:ascii="仿宋_GB2312" w:hAnsi="仿宋_GB2312" w:cs="仿宋_GB2312" w:eastAsia="仿宋_GB2312"/>
                <w:sz w:val="24"/>
              </w:rPr>
              <w:t>修复</w:t>
            </w:r>
            <w:r>
              <w:rPr>
                <w:rFonts w:ascii="仿宋_GB2312" w:hAnsi="仿宋_GB2312" w:cs="仿宋_GB2312" w:eastAsia="仿宋_GB2312"/>
                <w:sz w:val="24"/>
              </w:rPr>
              <w:t>实施方案对</w:t>
            </w:r>
            <w:r>
              <w:rPr>
                <w:rFonts w:ascii="仿宋_GB2312" w:hAnsi="仿宋_GB2312" w:cs="仿宋_GB2312" w:eastAsia="仿宋_GB2312"/>
                <w:sz w:val="24"/>
              </w:rPr>
              <w:t>58件扇面文物进行修复。</w:t>
            </w:r>
            <w:r>
              <w:rPr>
                <w:rFonts w:ascii="仿宋_GB2312" w:hAnsi="仿宋_GB2312" w:cs="仿宋_GB2312" w:eastAsia="仿宋_GB2312"/>
                <w:sz w:val="24"/>
              </w:rPr>
              <w:t>供应商提供的修复实施方案至少包括以下内容：</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项目实施方案：</w:t>
            </w:r>
            <w:r>
              <w:rPr>
                <w:rFonts w:ascii="仿宋_GB2312" w:hAnsi="仿宋_GB2312" w:cs="仿宋_GB2312" w:eastAsia="仿宋_GB2312"/>
                <w:sz w:val="24"/>
              </w:rPr>
              <w:t>①项目总体思路和理解综述；②文物保护修复分析与风险评估；③保护修复的技术路线及操作步骤；④保护修复进度安排；⑤保护修复工作的质量保障体系；⑥安全措施及应急预案。</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后续服务方案：</w:t>
            </w:r>
            <w:r>
              <w:rPr>
                <w:rFonts w:ascii="仿宋_GB2312" w:hAnsi="仿宋_GB2312" w:cs="仿宋_GB2312" w:eastAsia="仿宋_GB2312"/>
                <w:sz w:val="24"/>
              </w:rPr>
              <w:t>①后续服务内容及响应计划；②后续服务人员配备。</w:t>
            </w:r>
          </w:p>
          <w:p>
            <w:pPr>
              <w:pStyle w:val="null3"/>
              <w:ind w:right="330" w:firstLine="480"/>
              <w:jc w:val="both"/>
            </w:pPr>
            <w:r>
              <w:rPr>
                <w:rFonts w:ascii="仿宋_GB2312" w:hAnsi="仿宋_GB2312" w:cs="仿宋_GB2312" w:eastAsia="仿宋_GB2312"/>
                <w:sz w:val="24"/>
              </w:rPr>
              <w:t>注：本项目为供应商提供初步修复方案，详见附件。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签订合同之日起12个月内完成修复服务，并通过采购人组织的验收。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成交供应商所在修复场所。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2.验收主体：采购人。 3.是否邀请本项目的其他供应商：否。 4.是否邀请专家：否。 5.是否邀请服务对象：否。 6.是否邀请第三方检测机构：否。 7.履约验收程序：一次性验收。 8.履约验收时间：供应商提出验收申请之日起30日内组织验收，验收合同金额的100%。 9.验收组织的其他事项：无。 10.技术履约验收内容：按照采购文件要求、供应商的响应文件及承诺与合同约定标准进行验收。 11.商务履约验收内容：按照采购文件商务要求及供应商响应商务要求内容进行验收。 12.履约验收标准：本项目采购人将严格按照政府采购相关法律法规、《财政部关于进一步加强政府采购需求和履约验收管理的指导意见》（财库〔2016〕205号）以及《政府采购需求管理办法》（财库〔2021〕22号）的要求进行验收。 13.履约验收其他事项：无。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1、合同签订，达到付款条件起10日内，支付合同总金额的60.00%</w:t>
            </w:r>
          </w:p>
          <w:p>
            <w:pPr>
              <w:pStyle w:val="null3"/>
              <w:jc w:val="left"/>
            </w:pPr>
            <w:r>
              <w:rPr>
                <w:rFonts w:ascii="仿宋_GB2312" w:hAnsi="仿宋_GB2312" w:cs="仿宋_GB2312" w:eastAsia="仿宋_GB2312"/>
              </w:rPr>
              <w:t>2、经采购人组织验收合格，达到付款条件起10日内，支付合同总金额的40.00%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1、采购人与成交供应商双方必须遵守合同并执行合同中的各项规定，保证合同的正常履行。 2、如因成交供应商工作人员在履行职务过程中的疏忽、失职、过错故意或者过失原因给采购人造成损失或侵害，成交供应商对此均应承担全部的赔偿责任。 3、在执行合同中发生的或与合同有关的争端，双方应通过友好协商解决，经协商在两天内不能达成协议时，可向采购人所在地人民法院提起诉讼。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1.供应商具有类似本项目业绩。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在磋商过程中，磋商小组在获得采购人代表确认的前提下，可以根据磋商情况实质性变动第三章技术、服务及其他要求中的</w:t>
      </w:r>
      <w:r>
        <w:rPr>
          <w:rFonts w:ascii="仿宋_GB2312" w:hAnsi="仿宋_GB2312" w:cs="仿宋_GB2312" w:eastAsia="仿宋_GB2312"/>
          <w:sz w:val="21"/>
        </w:rPr>
        <w:t>“3.3.1.服务内容要求”。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在磋商过程中，磋商小组在获得采购人代表确认的前提下，可以根据磋商情况实质性变动合同草案条款。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或“营业执照、税务登记证”；⑤若为自然人：提供“身份证明材料”。（按要求上传相应证明材料并进行电子签章）</w:t>
            </w:r>
          </w:p>
        </w:tc>
        <w:tc>
          <w:tcPr>
            <w:tcW w:type="dxa" w:w="1910"/>
          </w:tcPr>
          <w:p>
            <w:pPr>
              <w:pStyle w:val="null3"/>
              <w:jc w:val="left"/>
            </w:pPr>
            <w:r>
              <w:rPr>
                <w:rFonts w:ascii="仿宋_GB2312" w:hAnsi="仿宋_GB2312" w:cs="仿宋_GB2312" w:eastAsia="仿宋_GB2312"/>
              </w:rPr>
              <w:t>响应文件封面,具有独立承担民事责任的能力</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提供证明材料：A、可提供2023年度（含）至今（任意一年度）经审计的财务报告（包含审计报告和审计报告中所涉及的财务报表和报表附注）；B、也可提供2023年度（含）至今（任意一年度）供应商内部的财务报表（财务报表内容至少包含并体现资产负债及利润情况）；C、也可提供截止响应文件递交截止日一年内其基本开户银行出具的资信证明；D、供应商注册时间截止响应文件递交截止日不足一年的，也可提供经备案的公司章程；E、若为事业单位或其它组织（不具备法人条件的组织：如合伙组织、个体工商户、农村承包经营户等）或自然人时，则可提供具有健全的财务会计制度的承诺函。（提供证明材料均进行电子签章）</w:t>
            </w:r>
          </w:p>
        </w:tc>
        <w:tc>
          <w:tcPr>
            <w:tcW w:type="dxa" w:w="1910"/>
          </w:tcPr>
          <w:p>
            <w:pPr>
              <w:pStyle w:val="null3"/>
              <w:jc w:val="left"/>
            </w:pPr>
            <w:r>
              <w:rPr>
                <w:rFonts w:ascii="仿宋_GB2312" w:hAnsi="仿宋_GB2312" w:cs="仿宋_GB2312" w:eastAsia="仿宋_GB2312"/>
              </w:rPr>
              <w:t>具有健全的财务会计制度,投标（响应）函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供应商须具备文物行政部门颁发的《可移动文物修复资质证书》，业务范围包括书法绘画。</w:t>
            </w:r>
          </w:p>
        </w:tc>
        <w:tc>
          <w:tcPr>
            <w:tcW w:type="dxa" w:w="3322"/>
          </w:tcPr>
          <w:p>
            <w:pPr>
              <w:pStyle w:val="null3"/>
              <w:jc w:val="left"/>
            </w:pPr>
            <w:r>
              <w:rPr>
                <w:rFonts w:ascii="仿宋_GB2312" w:hAnsi="仿宋_GB2312" w:cs="仿宋_GB2312" w:eastAsia="仿宋_GB2312"/>
              </w:rPr>
              <w:t>供应商须具备文物行政部门颁发的《可移动文物修复资质证书》，业务范围包括书法绘画。（提供证书扫描件并进行电子签章）</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关于竞争性磋商文件“第二章实质性要求”的承诺函（实质性要求）</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3.3.1.服务内容要求</w:t>
            </w:r>
          </w:p>
        </w:tc>
        <w:tc>
          <w:tcPr>
            <w:tcW w:type="dxa" w:w="3322"/>
          </w:tcPr>
          <w:p>
            <w:pPr>
              <w:pStyle w:val="null3"/>
              <w:jc w:val="left"/>
            </w:pPr>
            <w:r>
              <w:rPr>
                <w:rFonts w:ascii="仿宋_GB2312" w:hAnsi="仿宋_GB2312" w:cs="仿宋_GB2312" w:eastAsia="仿宋_GB2312"/>
              </w:rPr>
              <w:t>根据磋商文件"3.3.1.服务内容要求"进行响应，带★的参数为实质性要求，不允许负偏离，否则作无效响应处理。</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3.3.2.商务要求</w:t>
            </w:r>
          </w:p>
        </w:tc>
        <w:tc>
          <w:tcPr>
            <w:tcW w:type="dxa" w:w="3322"/>
          </w:tcPr>
          <w:p>
            <w:pPr>
              <w:pStyle w:val="null3"/>
              <w:jc w:val="left"/>
            </w:pPr>
            <w:r>
              <w:rPr>
                <w:rFonts w:ascii="仿宋_GB2312" w:hAnsi="仿宋_GB2312" w:cs="仿宋_GB2312" w:eastAsia="仿宋_GB2312"/>
              </w:rPr>
              <w:t>3.3.2.商务要求中带“★”的要求为本次采购活动体现满足采购需求、质量相等的采购项目最低要求，不允许有负偏离。</w:t>
            </w:r>
          </w:p>
        </w:tc>
        <w:tc>
          <w:tcPr>
            <w:tcW w:type="dxa" w:w="1910"/>
          </w:tcPr>
          <w:p>
            <w:pPr>
              <w:pStyle w:val="null3"/>
              <w:jc w:val="left"/>
            </w:pPr>
            <w:r>
              <w:rPr>
                <w:rFonts w:ascii="仿宋_GB2312" w:hAnsi="仿宋_GB2312" w:cs="仿宋_GB2312" w:eastAsia="仿宋_GB2312"/>
              </w:rPr>
              <w:t>商务要求应答表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项目实施方案和后续服务方案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拟定的项目实施方案进行评审，内容包括：①项目总体思路和理解综述；②文物保护修复分析与风险评估；③保护修复的技术路线及操作步骤；④保护修复进度安排；⑤保护修复工作的质量保障体系；⑥安全措施及应急预案。 涵盖以上6项内容且不存在缺陷得60分，在此基础上，每缺少一项内容扣10分，每有一处内容存在缺陷扣5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供应商提供类似本项目业绩，每有一个类似本项目业绩的得5分，本项最高得10分。 注：提供合同复印件并进行电子签章，不提供或者未签章的不得分。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根据供应商提供的后续服务方案进行评审，内容包括：①后续服务内容及响应计划；②后续服务人员配备。 涵盖以上2项内容且不存在缺陷得20分，在此基础上，每缺少一项内容扣10分，每有一处内容存在缺陷扣5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1.经评审委员会评审，通过资格和符合性审查，且最后响应报价最低的供应商的响应报价作为评审基准价。2.响应报价得分=(评审基准价／最后响应报价)×分值。评审价格=最后响应报价。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详见附件：关于竞争性磋商文件“第二章实质性要求”的承诺函（实质性要求）</w:t>
      </w:r>
    </w:p>
    <w:p>
      <w:pPr>
        <w:pStyle w:val="null3"/>
        <w:ind w:firstLine="960"/>
        <w:jc w:val="left"/>
      </w:pPr>
      <w:r>
        <w:rPr>
          <w:rFonts w:ascii="仿宋_GB2312" w:hAnsi="仿宋_GB2312" w:cs="仿宋_GB2312" w:eastAsia="仿宋_GB2312"/>
        </w:rPr>
        <w:t>详见附件：具有独立承担民事责任的能力</w:t>
      </w:r>
    </w:p>
    <w:p>
      <w:pPr>
        <w:pStyle w:val="null3"/>
        <w:ind w:firstLine="960"/>
        <w:jc w:val="left"/>
      </w:pPr>
      <w:r>
        <w:rPr>
          <w:rFonts w:ascii="仿宋_GB2312" w:hAnsi="仿宋_GB2312" w:cs="仿宋_GB2312" w:eastAsia="仿宋_GB2312"/>
        </w:rPr>
        <w:t>详见附件：具有健全的财务会计制度</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详见附件：服务应答表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