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440229-2026-00509</w:t>
      </w:r>
    </w:p>
    <w:p>
      <w:pPr>
        <w:pStyle w:val="null3"/>
        <w:jc w:val="center"/>
        <w:outlineLvl w:val="3"/>
      </w:pPr>
      <w:r>
        <w:rPr>
          <w:sz w:val="24"/>
          <w:b/>
        </w:rPr>
        <w:t>采购项目编号：</w:t>
      </w:r>
      <w:r>
        <w:rPr>
          <w:sz w:val="24"/>
          <w:b/>
        </w:rPr>
        <w:t>HDZB-202606GC004</w:t>
      </w:r>
    </w:p>
    <w:p>
      <w:pPr>
        <w:pStyle w:val="null3"/>
        <w:jc w:val="center"/>
        <w:outlineLvl w:val="3"/>
      </w:pPr>
      <w:r>
        <w:rPr>
          <w:sz w:val="24"/>
          <w:b/>
        </w:rPr>
        <w:t>项目名称：</w:t>
      </w:r>
      <w:r>
        <w:rPr>
          <w:sz w:val="24"/>
          <w:b/>
        </w:rPr>
        <w:t>“百千万工程”风貌示范带县城绿化提升项目</w:t>
      </w:r>
    </w:p>
    <w:p>
      <w:pPr>
        <w:pStyle w:val="null3"/>
        <w:jc w:val="center"/>
        <w:outlineLvl w:val="3"/>
      </w:pPr>
      <w:r>
        <w:rPr>
          <w:sz w:val="24"/>
          <w:b/>
        </w:rPr>
        <w:t>采购人：</w:t>
      </w:r>
      <w:r>
        <w:rPr>
          <w:sz w:val="24"/>
          <w:b/>
        </w:rPr>
        <w:t>翁源县市政建设服务中心</w:t>
      </w:r>
    </w:p>
    <w:p>
      <w:pPr>
        <w:pStyle w:val="null3"/>
        <w:jc w:val="center"/>
        <w:outlineLvl w:val="3"/>
      </w:pPr>
      <w:r>
        <w:rPr>
          <w:sz w:val="24"/>
          <w:b/>
        </w:rPr>
        <w:t>采购代理机构：</w:t>
      </w:r>
      <w:r>
        <w:rPr>
          <w:sz w:val="24"/>
          <w:b/>
        </w:rPr>
        <w:t>恒达招标代理(韶关)有限公司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恒达招标代理(韶关)有限公司</w:t>
      </w:r>
      <w:r>
        <w:rPr/>
        <w:t>受</w:t>
      </w:r>
      <w:r>
        <w:rPr/>
        <w:t>翁源县市政建设服务中心</w:t>
      </w:r>
      <w:r>
        <w:rPr/>
        <w:t>的委托，采用</w:t>
      </w:r>
      <w:r>
        <w:rPr/>
        <w:t>竞争性磋商</w:t>
      </w:r>
      <w:r>
        <w:rPr/>
        <w:t>方式组织采购</w:t>
      </w:r>
      <w:r>
        <w:rPr/>
        <w:t>“百千万工程”风貌示范带县城绿化提升项目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“百千万工程”风貌示范带县城绿化提升项目</w:t>
      </w:r>
    </w:p>
    <w:p>
      <w:pPr>
        <w:pStyle w:val="null3"/>
        <w:ind w:firstLine="480"/>
      </w:pPr>
      <w:r>
        <w:rPr/>
        <w:t>采购计划编号：</w:t>
      </w:r>
      <w:r>
        <w:rPr/>
        <w:t>440229-2026-00509</w:t>
      </w:r>
    </w:p>
    <w:p>
      <w:pPr>
        <w:pStyle w:val="null3"/>
        <w:ind w:firstLine="480"/>
      </w:pPr>
      <w:r>
        <w:rPr/>
        <w:t>采购项目编号：</w:t>
      </w:r>
      <w:r>
        <w:rPr/>
        <w:t>HDZB-202606GC004</w:t>
      </w:r>
    </w:p>
    <w:p>
      <w:pPr>
        <w:pStyle w:val="null3"/>
        <w:ind w:firstLine="480"/>
      </w:pPr>
      <w:r>
        <w:rPr/>
        <w:t>采购方式：</w:t>
      </w:r>
      <w:r>
        <w:rPr/>
        <w:t>竞争性磋商</w:t>
      </w:r>
    </w:p>
    <w:p>
      <w:pPr>
        <w:pStyle w:val="null3"/>
        <w:ind w:firstLine="480"/>
      </w:pPr>
      <w:r>
        <w:rPr/>
        <w:t>预算金额：</w:t>
      </w:r>
      <w:r>
        <w:rPr/>
        <w:t>2,793,688.28</w:t>
      </w:r>
      <w:r>
        <w:rPr/>
        <w:t>元</w:t>
      </w:r>
    </w:p>
    <w:p>
      <w:pPr>
        <w:pStyle w:val="null3"/>
        <w:outlineLvl w:val="3"/>
      </w:pPr>
      <w:r>
        <w:rPr>
          <w:sz w:val="24"/>
          <w:b/>
        </w:rPr>
        <w:t>2.项目内容及需求情况（采购项目技术规格、参数及要求）</w:t>
      </w:r>
    </w:p>
    <w:p>
      <w:pPr>
        <w:pStyle w:val="null3"/>
      </w:pPr>
      <w:r>
        <w:rPr/>
        <w:t>采购包1(“百千万工程”风貌示范带县城绿化提升项目):</w:t>
      </w:r>
    </w:p>
    <w:p>
      <w:pPr>
        <w:pStyle w:val="null3"/>
      </w:pPr>
      <w:r>
        <w:rPr/>
        <w:t>采购包预算金额：2,793,688.28元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园林绿化工程施工</w:t>
            </w:r>
          </w:p>
        </w:tc>
        <w:tc>
          <w:tcPr>
            <w:tcW w:type="dxa" w:w="2136"/>
          </w:tcPr>
          <w:p>
            <w:pPr>
              <w:pStyle w:val="null3"/>
            </w:pPr>
            <w:r>
              <w:rPr/>
              <w:t>“百千万工程”风貌示范带县城绿化提升项目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合同履行期限：1.30个日历天内完成新种植工作。 2.所有绿化种植全部完成、进行初检合格后，成交供应商须进行绿化养护管理，养护期为3个月。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2）有依法缴纳税收和社会保障资金的良好记录：响应文件中提供《资格承诺函》。</w:t>
      </w:r>
    </w:p>
    <w:p>
      <w:pPr>
        <w:pStyle w:val="null3"/>
      </w:pPr>
      <w:r>
        <w:rPr/>
        <w:t>3）具有良好的商业信誉和健全的财务会计制度：响应文件中提供《资格承诺函》。</w:t>
      </w:r>
    </w:p>
    <w:p>
      <w:pPr>
        <w:pStyle w:val="null3"/>
      </w:pPr>
      <w:r>
        <w:rPr/>
        <w:t>4）履行合同所必需的设备和专业技术能力：响应文件中提供《资格承诺函》。</w:t>
      </w:r>
    </w:p>
    <w:p>
      <w:pPr>
        <w:pStyle w:val="null3"/>
      </w:pPr>
      <w:r>
        <w:rPr/>
        <w:t>5）参加采购活动前3年内，在经营活动中没有重大违法记录：响应文件中提供《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采购包1（“百千万工程”风貌示范带县城绿化提升项目）：</w:t>
      </w:r>
      <w:r>
        <w:rPr/>
        <w:t>采购包整体专门面向中小企业。供应商须符合本项目采购标的对应行业（本项目行业为：建筑业）的政策划分标准。监狱企业、残疾人福利单位视同小型、微型企业。【注：中小企业以供应商填写的《中小企业声明函》（见磋商文件“第六章 响应文件格式与要求”）为判定标准，残疾人福利性单位以供应商填写的《残疾人福利性单位声明函》（见磋商文件“第六章 响应文件格式与要求”）为判定标准，监狱企业须供应商提供由省级以上监狱管理局、戒毒管理局（含新疆生产建设兵团）出具的属于监狱企业的证明文件，否则不予认定。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采购包1（“百千万工程”风貌示范带县城绿化提升项目）：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翁源县市政建设服务中心</w:t>
      </w:r>
    </w:p>
    <w:p>
      <w:pPr>
        <w:pStyle w:val="null3"/>
        <w:ind w:firstLine="480"/>
      </w:pPr>
      <w:r>
        <w:rPr/>
        <w:t>地址：</w:t>
      </w:r>
      <w:r>
        <w:rPr/>
        <w:t>翁源县龙仙镇前进路东二巷一栋201房</w:t>
      </w:r>
    </w:p>
    <w:p>
      <w:pPr>
        <w:pStyle w:val="null3"/>
        <w:ind w:firstLine="480"/>
      </w:pPr>
      <w:r>
        <w:rPr/>
        <w:t>联系方式：</w:t>
      </w:r>
      <w:r>
        <w:rPr/>
        <w:t>0751-2872630</w:t>
      </w:r>
    </w:p>
    <w:p>
      <w:pPr>
        <w:pStyle w:val="null3"/>
        <w:outlineLvl w:val="3"/>
      </w:pPr>
      <w:r>
        <w:rPr>
          <w:sz w:val="24"/>
          <w:b/>
        </w:rPr>
        <w:t>2.采购代理机构信息</w:t>
      </w:r>
    </w:p>
    <w:p>
      <w:pPr>
        <w:pStyle w:val="null3"/>
        <w:ind w:firstLine="480"/>
      </w:pPr>
      <w:r>
        <w:rPr/>
        <w:t>名称：</w:t>
      </w:r>
      <w:r>
        <w:rPr/>
        <w:t>恒达招标代理(韶关)有限公司</w:t>
      </w:r>
    </w:p>
    <w:p>
      <w:pPr>
        <w:pStyle w:val="null3"/>
        <w:ind w:firstLine="480"/>
      </w:pPr>
      <w:r>
        <w:rPr/>
        <w:t xml:space="preserve"> 地址：</w:t>
      </w:r>
      <w:r>
        <w:rPr/>
        <w:t>广东省韶关市翁源县龙仙镇陈璘路150号喜樾家园7栋门店09-1</w:t>
      </w:r>
    </w:p>
    <w:p>
      <w:pPr>
        <w:pStyle w:val="null3"/>
        <w:ind w:firstLine="480"/>
      </w:pPr>
      <w:r>
        <w:rPr/>
        <w:t xml:space="preserve"> 联系方式：</w:t>
      </w:r>
      <w:r>
        <w:rPr/>
        <w:t>13727508802</w:t>
      </w:r>
    </w:p>
    <w:p>
      <w:pPr>
        <w:pStyle w:val="null3"/>
        <w:outlineLvl w:val="3"/>
      </w:pPr>
      <w:r>
        <w:rPr>
          <w:sz w:val="24"/>
          <w:b/>
        </w:rPr>
        <w:t xml:space="preserve"> 3.项目联系方式</w:t>
      </w:r>
    </w:p>
    <w:p>
      <w:pPr>
        <w:pStyle w:val="null3"/>
        <w:ind w:firstLine="480"/>
      </w:pPr>
      <w:r>
        <w:rPr/>
        <w:t xml:space="preserve"> 项目联系人：</w:t>
      </w:r>
      <w:r>
        <w:rPr/>
        <w:t>赖工</w:t>
      </w:r>
    </w:p>
    <w:p>
      <w:pPr>
        <w:pStyle w:val="null3"/>
        <w:ind w:firstLine="480"/>
      </w:pPr>
      <w:r>
        <w:rPr/>
        <w:t xml:space="preserve"> 电话：</w:t>
      </w:r>
      <w:r>
        <w:rPr/>
        <w:t>13727508802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恒达招标代理(韶关)有限公司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恒达招标代理（韶关）有限公司</w:t>
      </w:r>
      <w:r>
        <w:rPr>
          <w:sz w:val="21"/>
        </w:rPr>
        <w:t>受</w:t>
      </w:r>
      <w:r>
        <w:rPr>
          <w:sz w:val="21"/>
        </w:rPr>
        <w:t>翁源县市政建设服务中心</w:t>
      </w:r>
      <w:r>
        <w:rPr>
          <w:sz w:val="21"/>
        </w:rPr>
        <w:t>的委托，对</w:t>
      </w:r>
      <w:r>
        <w:rPr>
          <w:sz w:val="21"/>
        </w:rPr>
        <w:t>“百千万工程”风貌示范带县城绿化提升项目</w:t>
      </w:r>
      <w:r>
        <w:rPr>
          <w:sz w:val="21"/>
        </w:rPr>
        <w:t>进行竞争性磋商采购，欢迎符合资格条件的供应商投标。</w:t>
      </w:r>
    </w:p>
    <w:p>
      <w:pPr>
        <w:pStyle w:val="null3"/>
      </w:pPr>
      <w:r>
        <w:rPr>
          <w:sz w:val="21"/>
        </w:rPr>
        <w:t>2</w:t>
      </w:r>
      <w:r>
        <w:rPr>
          <w:sz w:val="21"/>
        </w:rPr>
        <w:t>、项目类型：工程类</w:t>
      </w:r>
    </w:p>
    <w:p>
      <w:pPr>
        <w:pStyle w:val="null3"/>
      </w:pPr>
      <w:r>
        <w:rPr/>
        <w:t>采购包1（“百千万工程”风貌示范带县城绿化提升项目）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1.30个日历天内完成新种植工作。 2.所有绿化种植全部完成、进行初检合格后，成交供应商须进行绿化养护管理，养护期为3个月。</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1期：支付比例30%,合同签订后5个工作日内及财政拨款到账后，采购人向成交供应商支付该合同总价款的30%作为工程预付款；</w:t>
            </w:r>
          </w:p>
          <w:p>
            <w:pPr>
              <w:pStyle w:val="null3"/>
            </w:pPr>
            <w:r>
              <w:rPr/>
              <w:t>2期：支付比例40%,新种植的苗木全部到达指定地点经采购人清点验收合格并种植完成后，采购人在收到成交供应商开具发票后10个工作日内及财政拨款到账后，向成交供应商支付该合同总价款的40%；</w:t>
            </w:r>
          </w:p>
          <w:p>
            <w:pPr>
              <w:pStyle w:val="null3"/>
            </w:pPr>
            <w:r>
              <w:rPr/>
              <w:t>3期：支付比例27%,3个月养护后及财政拨款到账后，供应商按采购人要求提交合格的结算资料，翁源县财政局投资审核中心或第三方审核单位审核定案后，且在收到成交供应商开具发票后10个工作日内支付至定案金额的97%；</w:t>
            </w:r>
          </w:p>
          <w:p>
            <w:pPr>
              <w:pStyle w:val="null3"/>
            </w:pPr>
            <w:r>
              <w:rPr/>
              <w:t>4期：支付比例3%,定案金额的3%作为质保金，质保期结束项目验收合格并经结算审核完毕后，在收到成交供应商开具发票后10个工作日内及财政拨款到账后无息付清质保金。 付款方式其他补充事项： 1.因项目采用财政资金支付，双方同意按照翁源县财政局投资审核中心或第三方审核单位审核结果为准； 2.付款方式：银行转账支付。 3.支付每笔进度款前，成交供应商根据采购人要求，按比例开具发票，提供给采购人，由采购人按发票金额支付进度款。 4.逾期付款的违约责任：如采购人逾期支付资金的，从逾期之日起以逾期的该期支付金额的为基数，按照中国人民银行授权全国银行间同业拆借中心发布的一年期贷款市场报价利率支付违约金给成交供应商。 5.因项目使用的是财政资金，采购人在前款约定时间内办理财政支付申请手续后，即视为采购人已经按期支付，财政支付部门审核期限不计入付款期限。供应商应充分理解财政资金未及时到位而导致的采购人不能按时支付款项的风险。因财政审批流程导致采购人逾期付款的，不视为采购人违约，供应商不提出其他索赔或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1期：1.质保期满后，采购人组织最终验收。最终验收须在质保期届满后15日历天内完成。2.验收标准及要求：按国家相关行业，设计、招标要求标准验收，达到合格。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的磋商报价不得高于本项目的最高限价￥2,793,688.28元，其中：安全生产措施费为人民币18247.47元、暂列金额为人民币174930.61元。（备注：响应供应商安全生产措施费报价不得低于磋商文件中提供的安全生产措施费，否则视为无效响应。响应供应商暂列金额报价必须统一报价不得浮动，否则视为无效响应。）2.报价总价应包含本项目采购需求和投入使用的所有费用，包含但不限于各种人力成本、水费、电费、日常办公等管理费、设备设施增补、税费及合同实施过程中的所有费用。供应商考虑自身企业实力及结合项目实际情况和市场因素及其它不可预见等因素，自行决定是否响应，并合理、科学填报报价，报价时应考虑项目过程中的各种不确定因素。</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1.合同签约金额暂以采购预算金额进行签约，但工程结算时以实际完成的合格工程量结算，结算方式：本工程按实际完成的合格工程量结算，结算金额＝（经翁源县财政局投资审核中心或第三方审核单位审定的预算综合单价×实际完成工程量×折扣率，最终结算以翁源财政局投资审核中心或第三方审核单位审核定案金额为准。 2.成交供应商凭以下有效文件与采购人结算：①合同；②成交供应商开具的正式发票；③成交通知书。 3.收款方、出具发票方、合同乙方均必须与成交供应商名称一致。</w:t>
            </w:r>
          </w:p>
        </w:tc>
      </w:tr>
      <w:tr>
        <w:tc>
          <w:tcPr>
            <w:tcW w:type="dxa" w:w="2076"/>
          </w:tcPr>
          <w:p/>
        </w:tc>
        <w:tc>
          <w:tcPr>
            <w:tcW w:type="dxa" w:w="2076"/>
          </w:tcPr>
          <w:p>
            <w:pPr>
              <w:pStyle w:val="null3"/>
              <w:jc w:val="center"/>
            </w:pPr>
            <w:r>
              <w:rPr/>
              <w:t>3</w:t>
            </w:r>
          </w:p>
        </w:tc>
        <w:tc>
          <w:tcPr>
            <w:tcW w:type="dxa" w:w="2076"/>
          </w:tcPr>
          <w:p>
            <w:pPr>
              <w:pStyle w:val="null3"/>
              <w:jc w:val="left"/>
            </w:pPr>
            <w:r>
              <w:rPr/>
              <w:t>质量标准</w:t>
            </w:r>
          </w:p>
        </w:tc>
        <w:tc>
          <w:tcPr>
            <w:tcW w:type="dxa" w:w="2076"/>
          </w:tcPr>
          <w:p>
            <w:pPr>
              <w:pStyle w:val="null3"/>
              <w:jc w:val="left"/>
            </w:pPr>
            <w:r>
              <w:rPr/>
              <w:t>苗木必须达到规定的苗木标准，苗木生长正常，品种纯正优良，根系完整无破损，无病虫害，带泥团，实行捆装，无机械损伤和脱水现象，符合有关技术要求。苗木运抵现场时土球应完整、不松散，并需要用草绳、编制袋或钢丝网捆扎。</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w:t>
            </w:r>
          </w:p>
        </w:tc>
        <w:tc>
          <w:tcPr>
            <w:tcW w:type="dxa" w:w="2076"/>
          </w:tcPr>
          <w:p>
            <w:pPr>
              <w:pStyle w:val="null3"/>
              <w:jc w:val="left"/>
            </w:pPr>
            <w:r>
              <w:rPr/>
              <w:t>1.质量保证范围主要包括：苗木成活率、养护质量。在质保期内死亡的苗木需由成交供应商负责无偿更换、补种并继续养护。 2.质量保证（质保期）：12个月（包含3个月养护期），自所有绿化种植全部完成、初检合格之日起计算。 3.质保期内，成交供应商负责对整体项目进行维护，不再收取任何费用，但人为因素，自然因素（如火灾、地震等）造成的故障除外。 4.质保期内养护人员接到养护通知后到场时间：成交供应商应在接到通知后的1小时内响应，4小时内赶到现场进行处理。 5.供应商应充分分析项目实施过程中有可能存在的突发情况并针对其提供对应的安全防护制度和应急处理措施。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不得转包要求</w:t>
            </w:r>
          </w:p>
        </w:tc>
        <w:tc>
          <w:tcPr>
            <w:tcW w:type="dxa" w:w="2076"/>
          </w:tcPr>
          <w:p>
            <w:pPr>
              <w:pStyle w:val="null3"/>
              <w:jc w:val="left"/>
            </w:pPr>
            <w:r>
              <w:rPr/>
              <w:t>成交供应商不得将本项目进行转包，不允许违规分包，否则由此引起的全部责任均由成交供应商负责，采购人有权解除合同。 注：供应商响应时须在响应文件中提供承诺函，格式可参照磋商文件“第六章 响应文件格式与要求”格式十一要求提供，未提供或所提供内容未按磋商文件要求，则按无效响应文件处理。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园林绿化工程施工</w:t>
            </w:r>
          </w:p>
        </w:tc>
        <w:tc>
          <w:tcPr>
            <w:tcW w:type="dxa" w:w="933"/>
          </w:tcPr>
          <w:p>
            <w:pPr>
              <w:pStyle w:val="null3"/>
              <w:jc w:val="left"/>
            </w:pPr>
            <w:r>
              <w:rPr/>
              <w:t>“百千万工程”风貌示范带县城绿化提升项目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2,793,688.28</w:t>
            </w:r>
          </w:p>
        </w:tc>
        <w:tc>
          <w:tcPr>
            <w:tcW w:type="dxa" w:w="933"/>
          </w:tcPr>
          <w:p>
            <w:pPr>
              <w:pStyle w:val="null3"/>
              <w:jc w:val="right"/>
            </w:pPr>
            <w:r>
              <w:rPr/>
              <w:t>2,793,688.28</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“百千万工程”风貌示范带县城绿化提升项目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预算清单：</w:t>
            </w:r>
            <w:r>
              <w:rPr>
                <w:sz w:val="21"/>
              </w:rPr>
              <w:t>详见公告附件中施工图纸和工程量清单</w:t>
            </w:r>
          </w:p>
          <w:p>
            <w:pPr>
              <w:pStyle w:val="null3"/>
              <w:jc w:val="both"/>
            </w:pPr>
            <w:r>
              <w:rPr>
                <w:sz w:val="21"/>
                <w:b/>
              </w:rPr>
              <w:t>二、项目质量及施工要求</w:t>
            </w:r>
          </w:p>
          <w:p>
            <w:pPr>
              <w:pStyle w:val="null3"/>
              <w:jc w:val="both"/>
            </w:pPr>
            <w:r>
              <w:rPr>
                <w:sz w:val="21"/>
              </w:rPr>
              <w:t>1.</w:t>
            </w:r>
            <w:r>
              <w:rPr>
                <w:sz w:val="21"/>
              </w:rPr>
              <w:t>工程质量满足工程量清单、招标控制价及相关设计要求，达到国家或行业质量检验评定的合格标准（或地方政府主管部门的具体标准）和现行的施工验收规范；</w:t>
            </w:r>
          </w:p>
          <w:p>
            <w:pPr>
              <w:pStyle w:val="null3"/>
              <w:jc w:val="both"/>
            </w:pPr>
            <w:r>
              <w:rPr>
                <w:sz w:val="21"/>
              </w:rPr>
              <w:t>（</w:t>
            </w:r>
            <w:r>
              <w:rPr>
                <w:sz w:val="21"/>
              </w:rPr>
              <w:t>1</w:t>
            </w:r>
            <w:r>
              <w:rPr>
                <w:sz w:val="21"/>
              </w:rPr>
              <w:t>）种植物要求生长健壮，树冠开展</w:t>
            </w:r>
            <w:r>
              <w:rPr>
                <w:sz w:val="21"/>
              </w:rPr>
              <w:t>,</w:t>
            </w:r>
            <w:r>
              <w:rPr>
                <w:sz w:val="21"/>
              </w:rPr>
              <w:t>树枝发育正常，根系茁壮</w:t>
            </w:r>
            <w:r>
              <w:rPr>
                <w:sz w:val="21"/>
              </w:rPr>
              <w:t>,</w:t>
            </w:r>
            <w:r>
              <w:rPr>
                <w:sz w:val="21"/>
              </w:rPr>
              <w:t>无病虫害</w:t>
            </w:r>
            <w:r>
              <w:rPr>
                <w:sz w:val="21"/>
              </w:rPr>
              <w:t>,</w:t>
            </w:r>
            <w:r>
              <w:rPr>
                <w:sz w:val="21"/>
              </w:rPr>
              <w:t>有丰满干枝体系和茁壮的根系，无缺损枝节，无受风冻伤害或其他损伤</w:t>
            </w:r>
            <w:r>
              <w:rPr>
                <w:sz w:val="21"/>
              </w:rPr>
              <w:t>,</w:t>
            </w:r>
            <w:r>
              <w:rPr>
                <w:sz w:val="21"/>
              </w:rPr>
              <w:t>外观显示出正常健康状态，能承受上部及根部适当的修剪；</w:t>
            </w:r>
          </w:p>
          <w:p>
            <w:pPr>
              <w:pStyle w:val="null3"/>
              <w:jc w:val="both"/>
            </w:pPr>
            <w:r>
              <w:rPr>
                <w:sz w:val="21"/>
              </w:rPr>
              <w:t>（</w:t>
            </w:r>
            <w:r>
              <w:rPr>
                <w:sz w:val="21"/>
              </w:rPr>
              <w:t>2</w:t>
            </w:r>
            <w:r>
              <w:rPr>
                <w:sz w:val="21"/>
              </w:rPr>
              <w:t>）所有种植物必须健康，符合设计和施工要求，所有材料须经采购方现场代表全部检查合格后才能进场施工并作记录存档备查。对验收不合要求的材料，采购方现场代表有权要求施工单位更换合格材料。</w:t>
            </w:r>
          </w:p>
          <w:p>
            <w:pPr>
              <w:pStyle w:val="null3"/>
              <w:jc w:val="both"/>
            </w:pPr>
            <w:r>
              <w:rPr>
                <w:sz w:val="21"/>
              </w:rPr>
              <w:t>2.</w:t>
            </w:r>
            <w:r>
              <w:rPr>
                <w:sz w:val="21"/>
              </w:rPr>
              <w:t>遵守国家、省、市相关管理部门安全文明施工的规定；</w:t>
            </w:r>
          </w:p>
          <w:p>
            <w:pPr>
              <w:pStyle w:val="null3"/>
              <w:jc w:val="both"/>
            </w:pPr>
            <w:r>
              <w:rPr>
                <w:sz w:val="21"/>
              </w:rPr>
              <w:t>3.</w:t>
            </w:r>
            <w:r>
              <w:rPr>
                <w:sz w:val="21"/>
              </w:rPr>
              <w:t>施工队伍应具备机械化施工设备和能力，严把工程质量关，加强施工组织管理，确保工程质量和速度；</w:t>
            </w:r>
          </w:p>
          <w:p>
            <w:pPr>
              <w:pStyle w:val="null3"/>
            </w:pPr>
            <w:r>
              <w:rPr>
                <w:sz w:val="21"/>
              </w:rPr>
              <w:t>4.</w:t>
            </w:r>
            <w:r>
              <w:rPr>
                <w:sz w:val="21"/>
              </w:rPr>
              <w:t>成交供应商拟投入的技术人员应具备相关的专业知识和技术水平，熟悉园林绿化工作所需材料的规格、技术指标及相关工艺，有足够能力完成项目内工作。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1.采购代理机构：本项目是指恒达招标代理(韶关)有限公司，负责整个采购活动的组织，依法负责编制和发布磋商文件，对磋商文件拥有最终的解释权，不以任何身份出任磋商小组成员。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翁源县市政建设服务中心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中华人民共和国国家发展计划委员会颁发的计价格〔2002〕1980号、发改办价格〔2003〕857号及发改价格〔2011〕534号文规定的“工程类”计费标准计算后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1.投标(响应)报价低于全部通过符合性审查供应商投标(响应)报价平均值50%的，即投标(响应)报价&lt;全部通过符合性审查供应商投标(响应)报价平均值×50%&gt;； 2.投标(响应)报价低于通过符合性审查的次低报价供应商投标(响应)报价50%的，即投标(响应)报价&lt;通过符合性审查的次低报价供应商投标(响应)报价×50%&gt;； 3.投标(响应)报价低于采购项目最高限价45%的，即投标(响应)报价&lt;采购项目最高限价×45%&gt;；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如联合体投标时，所有投标资料可由联合体牵头单位签字、盖章即可，或联合各方均盖章。联合体协议书（联合体共同投标协议书）必须各联合单位均需盖章。如联合体投标的，法定代表人证明书及法定代表人授权书可由联合体牵头单位提供并签字、盖章即可。</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恒达招标代理(韶关)有限公司</w:t>
      </w:r>
      <w:r>
        <w:rPr/>
        <w:t>代收。具体操作要求详见</w:t>
      </w:r>
      <w:r>
        <w:rPr/>
        <w:t>恒达招标代理(韶关)有限公司</w:t>
      </w:r>
      <w:r>
        <w:rPr/>
        <w:t>有关指引，递交事宜请自行咨询</w:t>
      </w:r>
      <w:r>
        <w:rPr/>
        <w:t>恒达招标代理(韶关)有限公司</w:t>
      </w:r>
      <w:r>
        <w:rPr/>
        <w:t>；请各供应商在响应文件递交截止时间前按须知前附表规定的金额递交至</w:t>
      </w:r>
      <w:r>
        <w:rPr/>
        <w:t>恒达招标代理(韶关)有限公司</w:t>
      </w:r>
      <w:r>
        <w:rPr/>
        <w:t>，到账情况以开启时</w:t>
      </w:r>
      <w:r>
        <w:rPr/>
        <w:t>恒达招标代理(韶关)有限公司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赖工</w:t>
      </w:r>
    </w:p>
    <w:p>
      <w:pPr>
        <w:pStyle w:val="null3"/>
        <w:ind w:firstLine="480"/>
      </w:pPr>
      <w:r>
        <w:rPr/>
        <w:t>电话：</w:t>
      </w:r>
      <w:r>
        <w:rPr/>
        <w:t>13727508802</w:t>
      </w:r>
    </w:p>
    <w:p>
      <w:pPr>
        <w:pStyle w:val="null3"/>
        <w:ind w:firstLine="480"/>
      </w:pPr>
      <w:r>
        <w:rPr/>
        <w:t>传真：</w:t>
      </w:r>
      <w:r>
        <w:rPr/>
        <w:t>/</w:t>
      </w:r>
    </w:p>
    <w:p>
      <w:pPr>
        <w:pStyle w:val="null3"/>
        <w:ind w:firstLine="480"/>
      </w:pPr>
      <w:r>
        <w:rPr/>
        <w:t>邮箱：</w:t>
      </w:r>
      <w:r>
        <w:rPr/>
        <w:t>3547593586@qq.com</w:t>
      </w:r>
    </w:p>
    <w:p>
      <w:pPr>
        <w:pStyle w:val="null3"/>
        <w:ind w:firstLine="480"/>
      </w:pPr>
      <w:r>
        <w:rPr/>
        <w:t>地址：</w:t>
      </w:r>
      <w:r>
        <w:rPr/>
        <w:t>韶关市翁源县龙仙镇陈璘路150号喜樾家园7栋门店09-1</w:t>
      </w:r>
    </w:p>
    <w:p>
      <w:pPr>
        <w:pStyle w:val="null3"/>
        <w:ind w:firstLine="480"/>
      </w:pPr>
      <w:r>
        <w:rPr/>
        <w:t>邮编：</w:t>
      </w:r>
      <w:r>
        <w:rPr/>
        <w:t>512600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政府采购监督管理机构名称：翁源县财政局政府采购监管股</w:t>
      </w:r>
    </w:p>
    <w:p>
      <w:pPr>
        <w:pStyle w:val="null3"/>
      </w:pPr>
      <w:r>
        <w:rPr/>
        <w:t>地 址：广东省韶关市翁源县龙仙镇前进路33号财政局</w:t>
      </w:r>
    </w:p>
    <w:p>
      <w:pPr>
        <w:pStyle w:val="null3"/>
      </w:pPr>
      <w:r>
        <w:rPr/>
        <w:t>电 话：0751-2822038</w:t>
      </w:r>
    </w:p>
    <w:p>
      <w:pPr>
        <w:pStyle w:val="null3"/>
      </w:pPr>
      <w:r>
        <w:rPr/>
        <w:t>邮 编：512600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百千万工程”风貌示范带县城绿化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恒达招标代理(韶关)有限公司</w:t>
      </w:r>
      <w:r>
        <w:rPr/>
        <w:t>统一对外发布。</w:t>
      </w:r>
    </w:p>
    <w:p>
      <w:pPr>
        <w:pStyle w:val="null3"/>
        <w:ind w:firstLine="480"/>
      </w:pPr>
      <w:r>
        <w:rPr/>
        <w:t>（2）对</w:t>
      </w:r>
      <w:r>
        <w:rPr/>
        <w:t>恒达招标代理(韶关)有限公司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采购包1（“百千万工程”风貌示范带县城绿化提升项目）：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采购包1（“百千万工程”风貌示范带县城绿化提升项目）：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须符合本项目采购标的对应行业（本项目行业为：建筑业）的政策划分标准。监狱企业、残疾人福利单位视同小型、微型企业。【注：中小企业以供应商填写的《中小企业声明函》（见磋商文件“第六章 响应文件格式与要求”）为判定标准，残疾人福利性单位以供应商填写的《残疾人福利性单位声明函》（见磋商文件“第六章 响应文件格式与要求”）为判定标准，监狱企业须供应商提供由省级以上监狱管理局、戒毒管理局（含新疆生产建设兵团）出具的属于监狱企业的证明文件，否则不予认定。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采购包1（“百千万工程”风貌示范带县城绿化提升项目）：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响应承诺函已提交并符合磋商文件要求的，且响应有效期不少于磋商文件中载明的响应有效期。</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2</w:t>
            </w:r>
          </w:p>
        </w:tc>
        <w:tc>
          <w:tcPr>
            <w:tcW w:type="dxa" w:w="3178"/>
          </w:tcPr>
          <w:p>
            <w:pPr>
              <w:pStyle w:val="null3"/>
            </w:pPr>
            <w:r>
              <w:rPr/>
              <w:t>响应报价唯一，不高于采购需求规定的最高限价，且响应报价未明显低于其他通过符合性审查供应商的报价。</w:t>
            </w:r>
          </w:p>
        </w:tc>
        <w:tc>
          <w:tcPr>
            <w:tcW w:type="dxa" w:w="4238"/>
          </w:tcPr>
          <w:p>
            <w:pPr>
              <w:pStyle w:val="null3"/>
            </w:pPr>
            <w:r>
              <w:rPr/>
              <w:t>响应报价唯一，不高于采购需求规定的最高限价，且响应报价未明显低于其他通过符合性审查供应商的报价。</w:t>
            </w:r>
          </w:p>
        </w:tc>
      </w:tr>
      <w:tr>
        <w:tc>
          <w:tcPr>
            <w:tcW w:type="dxa" w:w="890"/>
          </w:tcPr>
          <w:p>
            <w:pPr>
              <w:pStyle w:val="null3"/>
            </w:pPr>
            <w:r>
              <w:rPr/>
              <w:t>3</w:t>
            </w:r>
          </w:p>
        </w:tc>
        <w:tc>
          <w:tcPr>
            <w:tcW w:type="dxa" w:w="3178"/>
          </w:tcPr>
          <w:p>
            <w:pPr>
              <w:pStyle w:val="null3"/>
            </w:pPr>
            <w:r>
              <w:rPr/>
              <w:t>已按磋商文件要求提供法定代表人/负责人证明书（附法定代表人/负责人身份证复印件）及授权委托书（附被授权人身份证复印件）的。</w:t>
            </w:r>
          </w:p>
        </w:tc>
        <w:tc>
          <w:tcPr>
            <w:tcW w:type="dxa" w:w="4238"/>
          </w:tcPr>
          <w:p>
            <w:pPr>
              <w:pStyle w:val="null3"/>
            </w:pPr>
            <w:r>
              <w:rPr/>
              <w:t>已按磋商文件要求提供法定代表人/负责人证明书（附法定代表人/负责人身份证复印件）及授权委托书（附被授权人身份证复印件）的。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符合磋商文件规定的签署、盖章要求。</w:t>
            </w:r>
          </w:p>
        </w:tc>
        <w:tc>
          <w:tcPr>
            <w:tcW w:type="dxa" w:w="4238"/>
          </w:tcPr>
          <w:p>
            <w:pPr>
              <w:pStyle w:val="null3"/>
            </w:pPr>
            <w:r>
              <w:rPr/>
              <w:t>符合磋商文件规定的签署、盖章要求。</w:t>
            </w:r>
          </w:p>
        </w:tc>
      </w:tr>
      <w:tr>
        <w:tc>
          <w:tcPr>
            <w:tcW w:type="dxa" w:w="890"/>
          </w:tcPr>
          <w:p>
            <w:pPr>
              <w:pStyle w:val="null3"/>
            </w:pPr>
            <w:r>
              <w:rPr/>
              <w:t>5</w:t>
            </w:r>
          </w:p>
        </w:tc>
        <w:tc>
          <w:tcPr>
            <w:tcW w:type="dxa" w:w="3178"/>
          </w:tcPr>
          <w:p>
            <w:pPr>
              <w:pStyle w:val="null3"/>
            </w:pPr>
            <w:r>
              <w:rPr/>
              <w:t>响应文件完全满足磋商文件的实质性条款（即标注★号条款） 无负偏离的。</w:t>
            </w:r>
          </w:p>
        </w:tc>
        <w:tc>
          <w:tcPr>
            <w:tcW w:type="dxa" w:w="4238"/>
          </w:tcPr>
          <w:p>
            <w:pPr>
              <w:pStyle w:val="null3"/>
            </w:pPr>
            <w:r>
              <w:rPr/>
              <w:t>响应文件完全满足磋商文件的实质性条款（即标注★号条款） 无负偏离的。</w:t>
            </w:r>
          </w:p>
        </w:tc>
      </w:tr>
      <w:tr>
        <w:tc>
          <w:tcPr>
            <w:tcW w:type="dxa" w:w="890"/>
          </w:tcPr>
          <w:p>
            <w:pPr>
              <w:pStyle w:val="null3"/>
            </w:pPr>
            <w:r>
              <w:rPr/>
              <w:t>6</w:t>
            </w:r>
          </w:p>
        </w:tc>
        <w:tc>
          <w:tcPr>
            <w:tcW w:type="dxa" w:w="3178"/>
          </w:tcPr>
          <w:p>
            <w:pPr>
              <w:pStyle w:val="null3"/>
            </w:pPr>
            <w:r>
              <w:rPr/>
              <w:t>响应文件没有磋商文件中规定的其他无效响应条款的。</w:t>
            </w:r>
          </w:p>
        </w:tc>
        <w:tc>
          <w:tcPr>
            <w:tcW w:type="dxa" w:w="4238"/>
          </w:tcPr>
          <w:p>
            <w:pPr>
              <w:pStyle w:val="null3"/>
            </w:pPr>
            <w:r>
              <w:rPr/>
              <w:t>响应文件没有磋商文件中规定的其他无效响应条款的。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采购包1(“百千万工程”风貌示范带县城绿化提升项目):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商务部分49.0分</w:t>
            </w:r>
          </w:p>
          <w:p>
            <w:pPr>
              <w:pStyle w:val="null3"/>
            </w:pPr>
            <w:r>
              <w:rPr/>
              <w:t>技术部分36.0分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项目实施方案1 (3.0分)</w:t>
            </w:r>
          </w:p>
        </w:tc>
        <w:tc>
          <w:tcPr>
            <w:tcW w:type="dxa" w:w="5076"/>
          </w:tcPr>
          <w:p>
            <w:pPr>
              <w:pStyle w:val="null3"/>
              <w:jc w:val="left"/>
            </w:pPr>
            <w:r>
              <w:rPr/>
              <w:t>根据响应供应商提供的项目实施方案（包括但不限于：①承诺的技术要求；②对实地的了解情况；③有针对性的施工措施）进行评审：方案中每提供一项上述内容得1分，最高得3分，未提供不得分。</w:t>
            </w:r>
          </w:p>
        </w:tc>
      </w:tr>
      <w:tr>
        <w:tc>
          <w:tcPr>
            <w:tcW w:type="dxa" w:w="922"/>
            <w:gridSpan w:val="2"/>
            <w:vMerge/>
          </w:tcPr>
          <w:p/>
        </w:tc>
        <w:tc>
          <w:tcPr>
            <w:tcW w:type="dxa" w:w="2307"/>
          </w:tcPr>
          <w:p>
            <w:pPr>
              <w:pStyle w:val="null3"/>
              <w:jc w:val="left"/>
            </w:pPr>
            <w:r>
              <w:rPr/>
              <w:t>项目实施方案2 (5.0分)</w:t>
            </w:r>
          </w:p>
        </w:tc>
        <w:tc>
          <w:tcPr>
            <w:tcW w:type="dxa" w:w="5076"/>
          </w:tcPr>
          <w:p>
            <w:pPr>
              <w:pStyle w:val="null3"/>
              <w:jc w:val="left"/>
            </w:pPr>
            <w:r>
              <w:rPr/>
              <w:t>在满足上述“项目实施方案1”的基础上对方案内容进行评审： 内容详细，思路清晰，目标明确，措施可行，具有针对性，得5分； 内容基本详细，思路基本清晰，目标基本明确，措施基本可行，基本具有针对性，得3分； 内容不够详细，思路不够清晰，目标不够明确，措施可行性不够，不够具有针对性，得1分； 内容不详细，思路不清晰，目标不明确，措施不可行，不具有针对性，得0分； 不提供不得分。</w:t>
            </w:r>
          </w:p>
        </w:tc>
      </w:tr>
      <w:tr>
        <w:tc>
          <w:tcPr>
            <w:tcW w:type="dxa" w:w="922"/>
            <w:gridSpan w:val="2"/>
            <w:vMerge/>
          </w:tcPr>
          <w:p/>
        </w:tc>
        <w:tc>
          <w:tcPr>
            <w:tcW w:type="dxa" w:w="2307"/>
          </w:tcPr>
          <w:p>
            <w:pPr>
              <w:pStyle w:val="null3"/>
              <w:jc w:val="left"/>
            </w:pPr>
            <w:r>
              <w:rPr/>
              <w:t>工期计划及保障措施1 (2.0分)</w:t>
            </w:r>
          </w:p>
        </w:tc>
        <w:tc>
          <w:tcPr>
            <w:tcW w:type="dxa" w:w="5076"/>
          </w:tcPr>
          <w:p>
            <w:pPr>
              <w:pStyle w:val="null3"/>
              <w:jc w:val="left"/>
            </w:pPr>
            <w:r>
              <w:rPr/>
              <w:t>根据响应供应商提供的工期计划及保障措施（包括但不限于：①施工过程工期计划安排、②进度保证措施）进行评审：方案中每提供一项上述内容得1分，最高得2分，未提供不得分。</w:t>
            </w:r>
          </w:p>
        </w:tc>
      </w:tr>
      <w:tr>
        <w:tc>
          <w:tcPr>
            <w:tcW w:type="dxa" w:w="922"/>
            <w:gridSpan w:val="2"/>
            <w:vMerge/>
          </w:tcPr>
          <w:p/>
        </w:tc>
        <w:tc>
          <w:tcPr>
            <w:tcW w:type="dxa" w:w="2307"/>
          </w:tcPr>
          <w:p>
            <w:pPr>
              <w:pStyle w:val="null3"/>
              <w:jc w:val="left"/>
            </w:pPr>
            <w:r>
              <w:rPr/>
              <w:t>工期计划及保障措施2 (9.0分)</w:t>
            </w:r>
          </w:p>
        </w:tc>
        <w:tc>
          <w:tcPr>
            <w:tcW w:type="dxa" w:w="5076"/>
          </w:tcPr>
          <w:p>
            <w:pPr>
              <w:pStyle w:val="null3"/>
              <w:jc w:val="left"/>
            </w:pPr>
            <w:r>
              <w:rPr/>
              <w:t>在满足上述“工期计划及保障措施1”的基础上对方案内容进行评审： 施工工期计划目标明确具体、工期进度计划具有逻辑性、可行性，进度保证措施科学、合理的，得9分； 施工工期计划目标比较明确具体，工期进度计划较有逻辑性、较可行、较合理，进度保证措施较科学、较合理的，得7分； 施工工期计划目标基本明确具体，工期进度计划基本具有逻辑性、基本可行，进度保证措施基本科学、基本合理的，得5分； 施工工期计划目标不够明确具体，工期进度计划不够具有逻辑性，进度保证措施不够合理的，得3分； 施工工期计划目标不明确具体，工期进度计划不具有逻辑性，进度保证措施不合理的，得0分； 不提供不得分。 注：施工总进度计划中响应供应商可暂时约定开工日期，实际开工日期以采购人或监理出具的开工令为准。</w:t>
            </w:r>
          </w:p>
        </w:tc>
      </w:tr>
      <w:tr>
        <w:tc>
          <w:tcPr>
            <w:tcW w:type="dxa" w:w="922"/>
            <w:gridSpan w:val="2"/>
            <w:vMerge/>
          </w:tcPr>
          <w:p/>
        </w:tc>
        <w:tc>
          <w:tcPr>
            <w:tcW w:type="dxa" w:w="2307"/>
          </w:tcPr>
          <w:p>
            <w:pPr>
              <w:pStyle w:val="null3"/>
              <w:jc w:val="left"/>
            </w:pPr>
            <w:r>
              <w:rPr/>
              <w:t>质量保障措施1 (2.0分)</w:t>
            </w:r>
          </w:p>
        </w:tc>
        <w:tc>
          <w:tcPr>
            <w:tcW w:type="dxa" w:w="5076"/>
          </w:tcPr>
          <w:p>
            <w:pPr>
              <w:pStyle w:val="null3"/>
              <w:jc w:val="left"/>
            </w:pPr>
            <w:r>
              <w:rPr/>
              <w:t>根据响应供应商提供的质量保障措施（包括但不限于：①质量承诺、②质量保障措施）进行评审：方案中每提供一项上述内容得1分，最高得2分，未提供不得分。</w:t>
            </w:r>
          </w:p>
        </w:tc>
      </w:tr>
      <w:tr>
        <w:tc>
          <w:tcPr>
            <w:tcW w:type="dxa" w:w="922"/>
            <w:gridSpan w:val="2"/>
            <w:vMerge/>
          </w:tcPr>
          <w:p/>
        </w:tc>
        <w:tc>
          <w:tcPr>
            <w:tcW w:type="dxa" w:w="2307"/>
          </w:tcPr>
          <w:p>
            <w:pPr>
              <w:pStyle w:val="null3"/>
              <w:jc w:val="left"/>
            </w:pPr>
            <w:r>
              <w:rPr/>
              <w:t>质量保障措施2 (10.0分)</w:t>
            </w:r>
          </w:p>
        </w:tc>
        <w:tc>
          <w:tcPr>
            <w:tcW w:type="dxa" w:w="5076"/>
          </w:tcPr>
          <w:p>
            <w:pPr>
              <w:pStyle w:val="null3"/>
              <w:jc w:val="left"/>
            </w:pPr>
            <w:r>
              <w:rPr/>
              <w:t>在满足上述“质量保障措施1”的基础上对方案内容进行评审： 施工质量保证措施明确、具体、可行、各项措施落实，针对性及准确性强的，得10分； 施工质量保证措施较明确、较具体，各项措施基本能落实，针对性及准确性较强的，得8分； 施工质量保证措施不够明确、各项措施响应不够充分，针对性及准确性一般的，得6分； 施工质量保证措施不明确、各项措施响应不充分，针对性及准确性差的，得2分； 不提供不得分。</w:t>
            </w:r>
          </w:p>
        </w:tc>
      </w:tr>
      <w:tr>
        <w:tc>
          <w:tcPr>
            <w:tcW w:type="dxa" w:w="922"/>
            <w:gridSpan w:val="2"/>
            <w:vMerge/>
          </w:tcPr>
          <w:p/>
        </w:tc>
        <w:tc>
          <w:tcPr>
            <w:tcW w:type="dxa" w:w="2307"/>
          </w:tcPr>
          <w:p>
            <w:pPr>
              <w:pStyle w:val="null3"/>
              <w:jc w:val="left"/>
            </w:pPr>
            <w:r>
              <w:rPr/>
              <w:t>绿色施工、安全防护、文明施工措施计划1 (1.0分)</w:t>
            </w:r>
          </w:p>
        </w:tc>
        <w:tc>
          <w:tcPr>
            <w:tcW w:type="dxa" w:w="5076"/>
          </w:tcPr>
          <w:p>
            <w:pPr>
              <w:pStyle w:val="null3"/>
              <w:jc w:val="left"/>
            </w:pPr>
            <w:r>
              <w:rPr/>
              <w:t>根据响应供应商提供的绿色施工、安全防护、文明施工措施计划进行评审：提供上述内容得1分，未提供或不齐全不得分。</w:t>
            </w:r>
          </w:p>
        </w:tc>
      </w:tr>
      <w:tr>
        <w:tc>
          <w:tcPr>
            <w:tcW w:type="dxa" w:w="922"/>
            <w:gridSpan w:val="2"/>
            <w:vMerge/>
          </w:tcPr>
          <w:p/>
        </w:tc>
        <w:tc>
          <w:tcPr>
            <w:tcW w:type="dxa" w:w="2307"/>
          </w:tcPr>
          <w:p>
            <w:pPr>
              <w:pStyle w:val="null3"/>
              <w:jc w:val="left"/>
            </w:pPr>
            <w:r>
              <w:rPr/>
              <w:t>绿色施工、安全防护、文明施工措施计划2 (4.0分)</w:t>
            </w:r>
          </w:p>
        </w:tc>
        <w:tc>
          <w:tcPr>
            <w:tcW w:type="dxa" w:w="5076"/>
          </w:tcPr>
          <w:p>
            <w:pPr>
              <w:pStyle w:val="null3"/>
              <w:jc w:val="left"/>
            </w:pPr>
            <w:r>
              <w:rPr/>
              <w:t>在满足上述“绿色施工、安全防护、文明施工措施计划1”的基础上对方案内容进行评审： 绿色施工、安全防护、文明施工措施计划合理、全面、具体、可行性强的，得4分； 绿色施工、安全防护、文明施工措施计划较合理、较具体、可行性较强的，得3分； 绿色施工、安全防护、文明施工措施计划基本合理、有可行性的得2分； 绿色施工、安全防护、文明施工措施计划基本合理，可行性差的得1分； 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团队实力 (20.0分)</w:t>
            </w:r>
          </w:p>
        </w:tc>
        <w:tc>
          <w:tcPr>
            <w:tcW w:type="dxa" w:w="5076"/>
          </w:tcPr>
          <w:p>
            <w:pPr>
              <w:pStyle w:val="null3"/>
              <w:jc w:val="left"/>
            </w:pPr>
            <w:r>
              <w:rPr/>
              <w:t>1.项目负责人具有园林类高级职称的得5分，具有园林类中级职称的得3分。本小项最高得5分。2.项目团队人员中(除项目负责人)具有园林类高级职称的，每提供一个得5分;具有园林类中级职称的，每提供一个得3分;具有园林类助理职称的，每提供一个得1分。本小项最高得10 分。3.项目团队人员中(除上述人员外)具有园林绿化工四级(中级)或以上技能等级/职业资格证书，每提供一人得1分，此小项最高得5分。 注:提供人员证书扫描件及全国联网查询截图及响应文件截止时间之前半年内任意1个月的社保证明文件扫描件，未提供不得分。</w:t>
            </w:r>
          </w:p>
        </w:tc>
      </w:tr>
      <w:tr>
        <w:tc>
          <w:tcPr>
            <w:tcW w:type="dxa" w:w="922"/>
            <w:gridSpan w:val="2"/>
            <w:vMerge/>
          </w:tcPr>
          <w:p/>
        </w:tc>
        <w:tc>
          <w:tcPr>
            <w:tcW w:type="dxa" w:w="2307"/>
          </w:tcPr>
          <w:p>
            <w:pPr>
              <w:pStyle w:val="null3"/>
              <w:jc w:val="left"/>
            </w:pPr>
            <w:r>
              <w:rPr/>
              <w:t>企业业绩 (15.0分)</w:t>
            </w:r>
          </w:p>
        </w:tc>
        <w:tc>
          <w:tcPr>
            <w:tcW w:type="dxa" w:w="5076"/>
          </w:tcPr>
          <w:p>
            <w:pPr>
              <w:pStyle w:val="null3"/>
              <w:jc w:val="left"/>
            </w:pPr>
            <w:r>
              <w:rPr/>
              <w:t>供应商近2024年1月1日至今（以合同签订时间为准）独立完成过类似业绩的，每提供一项得2.5分，最高得15分。 注：提供中标通知书、合同复印件关键页（包括但不限于合同首页、主要内容页、签字盖章页）、竣工验收报告复印件加盖公章，未提供不得分。</w:t>
            </w:r>
          </w:p>
        </w:tc>
      </w:tr>
      <w:tr>
        <w:tc>
          <w:tcPr>
            <w:tcW w:type="dxa" w:w="922"/>
            <w:gridSpan w:val="2"/>
            <w:vMerge/>
          </w:tcPr>
          <w:p/>
        </w:tc>
        <w:tc>
          <w:tcPr>
            <w:tcW w:type="dxa" w:w="2307"/>
          </w:tcPr>
          <w:p>
            <w:pPr>
              <w:pStyle w:val="null3"/>
              <w:jc w:val="left"/>
            </w:pPr>
            <w:r>
              <w:rPr/>
              <w:t>企业认证体系 (9.0分)</w:t>
            </w:r>
          </w:p>
        </w:tc>
        <w:tc>
          <w:tcPr>
            <w:tcW w:type="dxa" w:w="5076"/>
          </w:tcPr>
          <w:p>
            <w:pPr>
              <w:pStyle w:val="null3"/>
              <w:jc w:val="left"/>
            </w:pPr>
            <w:r>
              <w:rPr/>
              <w:t>供应商具有有效期内的质量管理体系认证证书、职业健康安全管理体系认证证书、环境管理体系认证证书，每提供其中一项证书得3分，最高得9分。 注：提供相关有效证书复印件加盖公章，未提供不得分。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根据供应商提供的服务响应情况进行评审： 供应商承诺在采购人提出服务要求后2小时内（含）响应并派服务人员赶到现场提供服务的，得5分； 供应商承诺在采购人提出服务要求后2小时（不含）至4小时内（含）响应并派服务人员赶到现场提供服务的，得3分； 供应商承诺在采购人提出服务要求后4小时（不含）至6小时内（含）响应并派服务人员赶到现场提供服务的，得1分； 无或其他不得分。 注：须提供相关承诺函（格式自定），未提供不得分。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1.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2.根据《关于优化政府采购信用评价工作的通知》（韶财采购[2024]5号）要求，对供应商的诚信状况（普通失信行为）进行评审，具体计算公式如下：响应供应商评审报价=供应商最后一轮报价+供应商最后一轮报价×〔（诚信基础得分一诚信记录得分）÷诚信基础得分〕×5% 两个以上的自然人、法人或者其他组织组成一个联合体，以一个供应商的身份共同参加政府采购活动的，应当对所有联合体成员进行诚信记录查询，诚信记录得分以联合体成员的诚信记录平均得分参与评审。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440229-2026-00509</w:t>
      </w:r>
    </w:p>
    <w:p>
      <w:pPr>
        <w:pStyle w:val="null3"/>
        <w:jc w:val="center"/>
        <w:outlineLvl w:val="3"/>
      </w:pPr>
      <w:r>
        <w:rPr>
          <w:sz w:val="24"/>
          <w:b/>
        </w:rPr>
        <w:t>采购项目编号：</w:t>
      </w:r>
      <w:r>
        <w:rPr>
          <w:sz w:val="24"/>
          <w:b/>
        </w:rPr>
        <w:t>HDZB-202606GC004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恒达招标代理(韶关)有限公司</w:t>
      </w:r>
    </w:p>
    <w:p>
      <w:pPr>
        <w:pStyle w:val="null3"/>
        <w:ind w:firstLine="480"/>
      </w:pPr>
      <w:r>
        <w:rPr/>
        <w:t xml:space="preserve"> 你方组织的</w:t>
      </w:r>
      <w:r>
        <w:rPr>
          <w:u w:val="single"/>
        </w:rPr>
        <w:t>“</w:t>
      </w:r>
      <w:r>
        <w:rPr>
          <w:u w:val="single"/>
        </w:rPr>
        <w:t>“百千万工程”风貌示范带县城绿化提升项目</w:t>
      </w:r>
      <w:r>
        <w:rPr>
          <w:u w:val="single"/>
        </w:rPr>
        <w:t>”</w:t>
      </w:r>
      <w:r>
        <w:rPr/>
        <w:t>项目的竞争性磋商[采购项目编号为：</w:t>
      </w:r>
      <w:r>
        <w:rPr>
          <w:u w:val="single"/>
        </w:rPr>
        <w:t>HDZB-202606GC004</w:t>
      </w:r>
      <w:r>
        <w:rPr/>
        <w:t>]，我方愿参与响应。</w:t>
      </w:r>
    </w:p>
    <w:p>
      <w:pPr>
        <w:pStyle w:val="null3"/>
        <w:ind w:firstLine="480"/>
      </w:pPr>
      <w:r>
        <w:rPr/>
        <w:t>我方确认收到贵方提供的</w:t>
      </w:r>
      <w:r>
        <w:rPr>
          <w:u w:val="single"/>
        </w:rPr>
        <w:t>“</w:t>
      </w:r>
      <w:r>
        <w:rPr>
          <w:u w:val="single"/>
        </w:rPr>
        <w:t>“百千万工程”风貌示范带县城绿化提升项目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恒达招标代理(韶关)有限公司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“百千万工程”风貌示范带县城绿化提升项目</w:t>
      </w:r>
      <w:r>
        <w:rPr/>
        <w:t>”项目采购[采购项目编号为</w:t>
      </w:r>
      <w:r>
        <w:rPr/>
        <w:t>HDZB-202606GC004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翁源县市政建设服务中心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恒达招标代理(韶关)有限公司</w:t>
      </w:r>
    </w:p>
    <w:p>
      <w:pPr>
        <w:pStyle w:val="null3"/>
        <w:ind w:firstLine="480"/>
      </w:pPr>
      <w:r>
        <w:rPr/>
        <w:t>我单位参加贵公司组织的</w:t>
      </w:r>
      <w:r>
        <w:rPr/>
        <w:t>“百千万工程”风貌示范带县城绿化提升项目</w:t>
      </w:r>
      <w:r>
        <w:rPr/>
        <w:t>（采购项目编号：</w:t>
      </w:r>
      <w:r>
        <w:rPr/>
        <w:t>HDZB-202606GC004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恒达招标代理(韶关)有限公司</w:t>
      </w:r>
    </w:p>
    <w:p>
      <w:pPr>
        <w:pStyle w:val="null3"/>
        <w:ind w:firstLine="480"/>
      </w:pPr>
      <w:r>
        <w:rPr/>
        <w:t>我单位已登记并准备参与“</w:t>
      </w:r>
      <w:r>
        <w:rPr/>
        <w:t>“百千万工程”风貌示范带县城绿化提升项目</w:t>
      </w:r>
      <w:r>
        <w:rPr/>
        <w:t>”项目（采购项目编号：</w:t>
      </w:r>
      <w:r>
        <w:rPr/>
        <w:t>HDZB-202606GC004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