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版本号：N510001202600121720260601001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2026年规建工程咨询服务采购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N5100012026001217</w:t>
      </w:r>
    </w:p>
    <w:p>
      <w:pPr>
        <w:pStyle w:val="null3"/>
        <w:jc w:val="left"/>
        <w:outlineLvl w:val="2"/>
      </w:pPr>
      <w:r>
        <w:rPr>
          <w:rFonts w:ascii="仿宋_GB2312" w:hAnsi="仿宋_GB2312" w:cs="仿宋_GB2312" w:eastAsia="仿宋_GB2312"/>
          <w:sz w:val="28"/>
          <w:b/>
        </w:rPr>
        <w:t>成都理工大学</w:t>
      </w:r>
    </w:p>
    <w:p>
      <w:pPr>
        <w:pStyle w:val="null3"/>
        <w:jc w:val="center"/>
        <w:outlineLvl w:val="2"/>
      </w:pPr>
      <w:r>
        <w:rPr>
          <w:rFonts w:ascii="仿宋_GB2312" w:hAnsi="仿宋_GB2312" w:cs="仿宋_GB2312" w:eastAsia="仿宋_GB2312"/>
          <w:sz w:val="28"/>
          <w:b/>
        </w:rPr>
        <w:t>中科标禾工程项目管理有限公司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中科标禾工程项目管理有限公司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成都理工大学</w:t>
      </w:r>
      <w:r>
        <w:rPr>
          <w:rFonts w:ascii="仿宋_GB2312" w:hAnsi="仿宋_GB2312" w:cs="仿宋_GB2312" w:eastAsia="仿宋_GB2312"/>
        </w:rPr>
        <w:t xml:space="preserve"> 委托，拟对 </w:t>
      </w:r>
      <w:r>
        <w:rPr>
          <w:rFonts w:ascii="仿宋_GB2312" w:hAnsi="仿宋_GB2312" w:cs="仿宋_GB2312" w:eastAsia="仿宋_GB2312"/>
        </w:rPr>
        <w:t>2026年规建工程咨询服务采购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N5100012026001217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2026年规建工程咨询服务采购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2个包，分别确认1家服务单位。包1为成都理工大学2026年度工程及维修项目造价咨询相关服务。主要包括工程造价咨询服务、招标采购咨询服务。包2为成都理工大学2026年度各种工程咨询服务，包含项目论证咨询服务、建设规划（计划）编制、分区分期建设规划、规划修编服务、水土保持报告及验收报告编制服务、施工图审查服务、环境影响评价服务、社会稳定风险评估服务、建设工程安全评价服务、地质灾害评估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在“全国投资项目在线审批监管平台”备案且至少具备建筑、市政公用、电力（含火电、水电、核电、新能源）专业。（描述：供应商须在“全国投资项目在线审批监管平台”备案且至少具备建筑、市政公用、电力（含火电、水电、核电、新能源）专业。（提供相关证明材料并加盖投标人单位公章） ）</w:t>
      </w:r>
    </w:p>
    <w:p>
      <w:pPr>
        <w:pStyle w:val="null3"/>
        <w:jc w:val="left"/>
      </w:pPr>
      <w:r>
        <w:rPr>
          <w:rFonts w:ascii="仿宋_GB2312" w:hAnsi="仿宋_GB2312" w:cs="仿宋_GB2312" w:eastAsia="仿宋_GB2312"/>
        </w:rPr>
        <w:t>2、供应商具备行政主管部门颁发的城乡规划（国土空间规划）编制乙级及以上资质。（描述：供应商具备行政主管部门颁发的城乡规划（国土空间规划）编制乙级及以上资质。（提供相关证明材料并加盖投标人单位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成都理工大学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成都市成华区二仙桥东三路1号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陆老师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028-84078845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中科标禾工程项目管理有限公司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四川省成都市锦江区四川省成都市锦江区锦东路668号1栋14楼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028-86618391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采购包2：1,300,000.00元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合同签订前，中标人向采购人支付中标金额的 5 %作为本合同履约保证金，并将相关材料加盖供应商财务鲜章交采购人采购与招标管理中心核验和管理登记，履约保证金可以以银行转账，支票/汇票/本票，保函/保险等形式缴纳。中标人在验收合格且不存在任何违约行为的情况下，向采购人使用单位提出退还履约保证金申请，由采购人在20个工作日内一次性向中标人无息全额退还。若中标人违约，采购人可以先从履约保证金中扣除违约金，不足部分由中标人应另行支付，同时中标人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合同签订前，中标人向采购人支付中标金额的 5 %作为本合同履约保证金，并将相关材料加盖供应商财务鲜章交采购人采购与招标管理中心核验和管理登记，履约保证金可以以银行转账，支票/汇票/本票，保函/保险等形式缴纳。中标人在验收合格且不存在任何违约行为的情况下，向采购人使用单位提出退还履约保证金申请，由采购人在20个工作日内一次性向中标人无息全额退还。若中标人违约，采购人可以先从履约保证金中扣除违约金，不足部分由中标人应另行支付，同时中标人应在3日内补足履约保证金。 </w:t>
              <w:br/>
              <w:t>履约保证金缴纳账号（缴纳信息）：</w:t>
              <w:br/>
              <w:t>收款单位：成都理工大学</w:t>
              <w:br/>
              <w:t>开户行：中国建设银行股份有限公司成都双建路支行</w:t>
              <w:br/>
              <w:t>银行账号：5100 1885 3360 5071 6993</w:t>
              <w:br/>
              <w:t>纳税人识别号：12510000450722107H</w:t>
              <w:br/>
              <w:t>或</w:t>
              <w:br/>
              <w:t>收款单位：成都理工大学</w:t>
              <w:br/>
              <w:t>开户行：工行成都沙河支行理工大学分理处；</w:t>
              <w:br/>
              <w:t>银行账号：4402 2280 0900 8800 382；</w:t>
              <w:br/>
              <w:t>纳税人识别号：12510000450722107H</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代理服务费收费标准：供应商支付，以中标价作为计算基数, 参照1980号文收费标准下浮20%进行收取。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成都理工大学</w:t>
      </w:r>
      <w:r>
        <w:rPr>
          <w:rFonts w:ascii="仿宋_GB2312" w:hAnsi="仿宋_GB2312" w:cs="仿宋_GB2312" w:eastAsia="仿宋_GB2312"/>
        </w:rPr>
        <w:t xml:space="preserve"> 和 </w:t>
      </w:r>
      <w:r>
        <w:rPr>
          <w:rFonts w:ascii="仿宋_GB2312" w:hAnsi="仿宋_GB2312" w:cs="仿宋_GB2312" w:eastAsia="仿宋_GB2312"/>
        </w:rPr>
        <w:t>中科标禾工程项目管理有限公司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成都理工大学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中科标禾工程项目管理有限公司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采购包2</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1、采购包2允许分包非主体非关键服务内容。非主体非关键服务内容包括：水土保持报告及验收报告编制服务、施工图审查服务、环境影响评价服务、社会稳定风险评估服务、建设工程安全评价服务、地质灾害评估服务。 2、投标人拟采用合同分包方式履行的，分包承担主体须具有：①施工图审查服务承包单位应为《四川省2024年房屋建筑和市政基础设施工程施工图审查机构认定名录》（川建通告[2024]337号）中的施工图审查机构，认定范围须包含房屋建筑（含超限高层建筑）施工图审查一类、市政行业(道路工程、给水工程、风景园林、排水工程、桥梁工程)施工图审查二类及以上资质；②地质灾害评估服务承包单位须具备地质灾害评估和治理工程勘查设计乙级及以上资质。[在投标文件中提供拟分包供应商资质证书复印件、分包说明（格式自拟）以及分包供应商的中小企业声明函（或残疾人福利性单位声明函、或监狱企业的证明文件）加盖供应商公章。] 3、投标人如不采用合同分包方式履行的，则须自身上述第2条相关资质。(在投标文件中提供证书复印件并加盖供应商公章)</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单个咨询服务项目完成后，供应商按采购人要求提交正式成果资料文件并验收通过后，采购人向供应商支付单项项目费用总额的80%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待所有委托项目服务内容达到要求且合同服务期满，采购人向供应商支付全部委托任务服务费用剩余的20%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单个咨询服务项目完成后，供应商按采购人要求提交正式成果资料文件并验收通过后，采购人向供应商支付单项项目费用总额的80%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待所有委托项目服务内容达到要求且合同服务期满，采购人向供应商支付全部委托任务服务费用剩余的20%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按合同约定的技术条款进行验收。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按合同约定的技术条款进行验收。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按合同约定的商务条款进行验收。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达到合同要求。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达到合同要求。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由校内需求单位自⾏组织验收。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由校内需求单位自⾏组织验收。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成都理工大学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中科标禾工程项目管理有限公司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中科标禾工程项目管理有限公司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联系人：程老师</w:t>
      </w:r>
    </w:p>
    <w:p>
      <w:pPr>
        <w:pStyle w:val="null3"/>
        <w:jc w:val="left"/>
      </w:pPr>
      <w:r>
        <w:rPr>
          <w:rFonts w:ascii="仿宋_GB2312" w:hAnsi="仿宋_GB2312" w:cs="仿宋_GB2312" w:eastAsia="仿宋_GB2312"/>
        </w:rPr>
        <w:t>联系电话：028-86618391</w:t>
      </w:r>
    </w:p>
    <w:p>
      <w:pPr>
        <w:pStyle w:val="null3"/>
        <w:jc w:val="left"/>
      </w:pPr>
      <w:r>
        <w:rPr>
          <w:rFonts w:ascii="仿宋_GB2312" w:hAnsi="仿宋_GB2312" w:cs="仿宋_GB2312" w:eastAsia="仿宋_GB2312"/>
        </w:rPr>
        <w:t>地址：四川省成都市锦江区四川省成都市锦江区锦东路668号1栋14楼</w:t>
      </w:r>
    </w:p>
    <w:p>
      <w:pPr>
        <w:pStyle w:val="null3"/>
        <w:jc w:val="left"/>
      </w:pPr>
      <w:r>
        <w:rPr>
          <w:rFonts w:ascii="仿宋_GB2312" w:hAnsi="仿宋_GB2312" w:cs="仿宋_GB2312" w:eastAsia="仿宋_GB2312"/>
        </w:rPr>
        <w:t>邮编：610065</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联系人：陆老师</w:t>
      </w:r>
    </w:p>
    <w:p>
      <w:pPr>
        <w:pStyle w:val="null3"/>
        <w:jc w:val="left"/>
      </w:pPr>
      <w:r>
        <w:rPr>
          <w:rFonts w:ascii="仿宋_GB2312" w:hAnsi="仿宋_GB2312" w:cs="仿宋_GB2312" w:eastAsia="仿宋_GB2312"/>
        </w:rPr>
        <w:t>联系电话：028-84078845</w:t>
      </w:r>
    </w:p>
    <w:p>
      <w:pPr>
        <w:pStyle w:val="null3"/>
        <w:jc w:val="left"/>
      </w:pPr>
      <w:r>
        <w:rPr>
          <w:rFonts w:ascii="仿宋_GB2312" w:hAnsi="仿宋_GB2312" w:cs="仿宋_GB2312" w:eastAsia="仿宋_GB2312"/>
        </w:rPr>
        <w:t>地址：成都市成华区二仙桥东三路1号</w:t>
      </w:r>
    </w:p>
    <w:p>
      <w:pPr>
        <w:pStyle w:val="null3"/>
        <w:jc w:val="left"/>
      </w:pPr>
      <w:r>
        <w:rPr>
          <w:rFonts w:ascii="仿宋_GB2312" w:hAnsi="仿宋_GB2312" w:cs="仿宋_GB2312" w:eastAsia="仿宋_GB2312"/>
        </w:rPr>
        <w:t>邮编：610059</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2026年规建工程咨询服务采购包1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1,300,000.00</w:t>
      </w:r>
    </w:p>
    <w:p>
      <w:pPr>
        <w:pStyle w:val="null3"/>
        <w:jc w:val="left"/>
      </w:pPr>
      <w:r>
        <w:rPr>
          <w:rFonts w:ascii="仿宋_GB2312" w:hAnsi="仿宋_GB2312" w:cs="仿宋_GB2312" w:eastAsia="仿宋_GB2312"/>
        </w:rPr>
        <w:t>采购包最高限价（元）: 1,300,000.00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2026年规建工程咨询服务采购包2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2026年规建工程咨询服务采购包1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格式设置原因，《报价表》内“响应报价”统一填写为“2000000.00”元，具体不同服务项的报价折扣率在《报价明细表》中进行分别报价。价格分计算以《报价明细表》中不同服务项的报价折扣率按综合评分明细表进行计算。最终结算根据不同服务项的报价折扣率按招标文件的计费标准进行结算。</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2026年规建工程咨询服务采购包2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格式设置原因，《报价表》内“响应报价”统一填写为“1300000.00”元，具体不同服务项的报价折扣率在《报价明细表》中进行分别报价。价格分计算以《报价明细表》中不同服务项的报价折扣率按综合评分明细表进行计算。最终结算根据不同服务项的报价折扣率按招标文件的计费标准进行结算。</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标的名称：2026年规建工程咨询服务采购包1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造价咨询服务</w:t>
            </w:r>
          </w:p>
          <w:p>
            <w:pPr>
              <w:pStyle w:val="null3"/>
              <w:ind w:firstLine="480"/>
              <w:jc w:val="both"/>
            </w:pPr>
            <w:r>
              <w:rPr>
                <w:rFonts w:ascii="仿宋_GB2312" w:hAnsi="仿宋_GB2312" w:cs="仿宋_GB2312" w:eastAsia="仿宋_GB2312"/>
                <w:sz w:val="24"/>
              </w:rPr>
              <w:t>根据采购人工程造价咨询服务需求完成工程造价咨询服务，至少包括完成工程量清单及控制价编制（审核）、项目结算审核、施工阶段工程造价全过程造价控制、清标、施工方案的经济评价、设计变更的经济分析、参与施工阶段的现场收方计量、现场签证、新增项目的价格审核及评价、工程材料询价及相关工作、工程材料认（审）价、工程进度款审核、专业分包造价控制、提供工程索赔和反索赔咨询、有关工程造价信息及法规等与工程造价有关的其他服务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招标采购咨询服务</w:t>
            </w:r>
          </w:p>
          <w:p>
            <w:pPr>
              <w:pStyle w:val="null3"/>
              <w:ind w:firstLine="480"/>
              <w:jc w:val="both"/>
            </w:pPr>
            <w:r>
              <w:rPr>
                <w:rFonts w:ascii="仿宋_GB2312" w:hAnsi="仿宋_GB2312" w:cs="仿宋_GB2312" w:eastAsia="仿宋_GB2312"/>
                <w:sz w:val="24"/>
              </w:rPr>
              <w:t>根据采购人招标采购咨询服务需求完成招标采购咨询服务，至少包括招标采购政策咨询、编制政府采购需求论证、政府采购文件（含合同）修改和比选文件（含合同）修改。</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计费标准：报价采用对以下服务分别报折扣率</w:t>
            </w:r>
            <w:r>
              <w:rPr>
                <w:rFonts w:ascii="仿宋_GB2312" w:hAnsi="仿宋_GB2312" w:cs="仿宋_GB2312" w:eastAsia="仿宋_GB2312"/>
                <w:sz w:val="24"/>
              </w:rPr>
              <w:t>的方式计费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造价咨询</w:t>
            </w:r>
            <w:r>
              <w:rPr>
                <w:rFonts w:ascii="仿宋_GB2312" w:hAnsi="仿宋_GB2312" w:cs="仿宋_GB2312" w:eastAsia="仿宋_GB2312"/>
                <w:sz w:val="24"/>
              </w:rPr>
              <w:t>服务</w:t>
            </w:r>
          </w:p>
          <w:p>
            <w:pPr>
              <w:pStyle w:val="null3"/>
              <w:ind w:firstLine="480"/>
              <w:jc w:val="both"/>
            </w:pPr>
            <w:r>
              <w:rPr>
                <w:rFonts w:ascii="仿宋_GB2312" w:hAnsi="仿宋_GB2312" w:cs="仿宋_GB2312" w:eastAsia="仿宋_GB2312"/>
                <w:sz w:val="24"/>
              </w:rPr>
              <w:t>按照《四川省发改委关于进一步放开住建部门专业服务收费有关事项的通知》</w:t>
            </w:r>
            <w:r>
              <w:rPr>
                <w:rFonts w:ascii="仿宋_GB2312" w:hAnsi="仿宋_GB2312" w:cs="仿宋_GB2312" w:eastAsia="仿宋_GB2312"/>
                <w:sz w:val="24"/>
              </w:rPr>
              <w:t>(川发改价格[2015]769号文)的文件精神，工程造价咨询服务费实行市场调节价。本项目工程造价咨询费用的计费方式如下：工程造价咨询服务费基准价参照川价发[2008]141号文中附件《四川省工程造价咨询服务收费标准》计算，工程造价咨询服务费=工程造价咨询服务费基准价×折扣率。清单编制服务以项目招标控制价为收费基数（编制工程量清单含预算控制价时，其收费系数乘1.25）；全过程造价咨询服务费以施工合同价作为收费基数，如只委托其中部分内容，则以委托内容按照对应分项标准进行计算；零星维修结算项目按照送审价格作为收费基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招标采购咨询服务</w:t>
            </w:r>
          </w:p>
          <w:p>
            <w:pPr>
              <w:pStyle w:val="null3"/>
              <w:ind w:firstLine="480"/>
              <w:jc w:val="both"/>
            </w:pPr>
            <w:r>
              <w:rPr>
                <w:rFonts w:ascii="仿宋_GB2312" w:hAnsi="仿宋_GB2312" w:cs="仿宋_GB2312" w:eastAsia="仿宋_GB2312"/>
                <w:sz w:val="24"/>
              </w:rPr>
              <w:t>编制政府采购需求论证、政府采购文件（含合同）修改和比选文件（含合同）修改按照每个项目</w:t>
            </w:r>
            <w:r>
              <w:rPr>
                <w:rFonts w:ascii="仿宋_GB2312" w:hAnsi="仿宋_GB2312" w:cs="仿宋_GB2312" w:eastAsia="仿宋_GB2312"/>
                <w:sz w:val="24"/>
              </w:rPr>
              <w:t>3000元乘以报价折扣率进行计费。</w:t>
            </w:r>
          </w:p>
          <w:p>
            <w:pPr>
              <w:pStyle w:val="null3"/>
              <w:ind w:firstLine="480"/>
              <w:jc w:val="both"/>
            </w:pPr>
            <w:r>
              <w:rPr>
                <w:rFonts w:ascii="仿宋_GB2312" w:hAnsi="仿宋_GB2312" w:cs="仿宋_GB2312" w:eastAsia="仿宋_GB2312"/>
                <w:sz w:val="24"/>
              </w:rPr>
              <w:t>三、成果要求</w:t>
            </w:r>
          </w:p>
          <w:p>
            <w:pPr>
              <w:pStyle w:val="null3"/>
              <w:ind w:firstLine="480"/>
              <w:jc w:val="both"/>
            </w:pPr>
            <w:r>
              <w:rPr>
                <w:rFonts w:ascii="仿宋_GB2312" w:hAnsi="仿宋_GB2312" w:cs="仿宋_GB2312" w:eastAsia="仿宋_GB2312"/>
                <w:sz w:val="24"/>
              </w:rPr>
              <w:t>根据</w:t>
            </w:r>
            <w:r>
              <w:rPr>
                <w:rFonts w:ascii="仿宋_GB2312" w:hAnsi="仿宋_GB2312" w:cs="仿宋_GB2312" w:eastAsia="仿宋_GB2312"/>
                <w:sz w:val="24"/>
              </w:rPr>
              <w:t>任务书要求提供对应成果文件，含纸质版和电子版，具体要求在任务书中列明。成果著作权归采购人所有，未经采购人书面签章同意，不得向任何第三方提供。所有成果技术标准满足现行国家及各级规范和行政管理要求。</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供应商根据国家税法依法纳税。如供应商按照国家税法缴纳税率与合同约定税率不一致或根据国家政策法规变化按照新的增值税率开具符合采购人财务要求的发票，采购人按照合同不含税价保持不变，税率及税额调整则相应调整合同结算费用。</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服务期内供应商无时限配合采购人对咨询服务成果资料进行技术、经济优化，以达到采购人要求。</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供应商至少委派一人常驻到现场，配合采购人完成相关咨询服务工作，驻场时间为合同签订之日起</w:t>
            </w:r>
            <w:r>
              <w:rPr>
                <w:rFonts w:ascii="仿宋_GB2312" w:hAnsi="仿宋_GB2312" w:cs="仿宋_GB2312" w:eastAsia="仿宋_GB2312"/>
                <w:sz w:val="24"/>
              </w:rPr>
              <w:t>365日（或据实结算金额达到采购合同金额）中的所有工作日的9:00-17:00。（提供拟派驻人员身份证明，拟派驻人员与实际派驻项目现场的人员必须一致，若实际派驻人员与拟派驻人员不一致，则以虚假响应处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标的名称：2026年规建工程咨询服务采购包2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项目论证咨询服务要求</w:t>
            </w:r>
          </w:p>
          <w:p>
            <w:pPr>
              <w:pStyle w:val="null3"/>
              <w:ind w:firstLine="480"/>
              <w:jc w:val="both"/>
            </w:pPr>
            <w:r>
              <w:rPr>
                <w:rFonts w:ascii="仿宋_GB2312" w:hAnsi="仿宋_GB2312" w:cs="仿宋_GB2312" w:eastAsia="仿宋_GB2312"/>
                <w:sz w:val="24"/>
              </w:rPr>
              <w:t>根据项目建设需求和申报要求，进行基础数据收集分析、建设条件核实、建设标准研究论证及合理确定等，结合政策导向分析，进行项目咨询论证并编制项目申报所需的咨询论证全套资料。具体服务应包含：</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获取政策申报信息：关注并收集国家及省级相关部门政策信息，进行政策导向分析、合规性分析。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研究申报指南：根据不同部门支持的项目范围不同，研究申报指南，根据申报指南开展自评，为相关部门提供项目谋划及项目完善建议。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申报前准备：汇总并分析项目各方面信息、核实项目条件、拟定项目建设计划、并负责各方协调工作等。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编制项目申请书</w:t>
            </w:r>
            <w:r>
              <w:rPr>
                <w:rFonts w:ascii="仿宋_GB2312" w:hAnsi="仿宋_GB2312" w:cs="仿宋_GB2312" w:eastAsia="仿宋_GB2312"/>
                <w:sz w:val="24"/>
              </w:rPr>
              <w:t>/建议书/论证报告等，形式满足上级主管部门要求，主要内容至少包括：项目基本情况、项目背景及建设必要性、初步勘察、规划方案、场址选择与建设条件、项目建设方案、工程技术方案、各专项方案评价评估、投资估算与资金筹措等；编制章节及深度需符合“政府投资项目可行性研究报告编写通用大纲（2023版）”等政策性文件要求，完成相关评审工作，并提供论证报告评审报告。</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协助编制项目申报材料：根据项目指南，准备项目申报材料，如资金申请报告、项目审核文件、真实性说明、资金承诺函，将相关文件按时送审。</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完成项目可行性评估的各种报审报批工作所需要的相关资料，协助采购人完成送审，并修改报告直至通过评审。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成果要求：根据项目评审要求提供符合成果要求的成果文件，成果质量、数量和标准均应满足项目评审和采购人要求；如因供应商原因导致的项目报告未能通过评审，将视为成果不合格、不予认定。所有成果均须同步提供电子文件一套</w:t>
            </w:r>
            <w:r>
              <w:rPr>
                <w:rFonts w:ascii="仿宋_GB2312" w:hAnsi="仿宋_GB2312" w:cs="仿宋_GB2312" w:eastAsia="仿宋_GB2312"/>
                <w:sz w:val="24"/>
              </w:rPr>
              <w:t>(U盘或光盘)成果文件及相关知识产权最终归采购人所有。</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保密要求：成交供应商在签订采购合同时应同时提供保密承诺，承诺本项目资料不得传递给无关的第三方，妥善保管、保存成果文件。</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技术要求：满足现行国家、行业及地方标准。要求建设内容真实可靠，相关数据准确详实，建设方案科学可行，运用系统的分析方法，全面、系统的对项目进行论证。</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建设规划（计划）编制服务要求</w:t>
            </w:r>
          </w:p>
          <w:p>
            <w:pPr>
              <w:pStyle w:val="null3"/>
              <w:ind w:firstLine="480"/>
              <w:jc w:val="both"/>
            </w:pPr>
            <w:r>
              <w:rPr>
                <w:rFonts w:ascii="仿宋_GB2312" w:hAnsi="仿宋_GB2312" w:cs="仿宋_GB2312" w:eastAsia="仿宋_GB2312"/>
                <w:sz w:val="24"/>
              </w:rPr>
              <w:t>（一）前期调研与基础资料收集整理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全面开展项目区域现状调研，包括地形地貌、土地利用、人口分布、基础设施（市政管线、道路交通等）、公共服务设施、生态环境、历史文化资源、现有规划实施情况等，精准梳理区域发展优势与存在问题，形成完整的现状调研分析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收集整理项目相关基础资料，包括上位规划文件（国土空间总体规划、区域发展规划等）、相关法律法规及政策文件、地质勘察资料、测绘资料、各类专项规划成果等，对资料的真实性、完整性、有效性进行核查，建立规范的资料档案，为规划编制提供坚实基础，确保资料符合国家有关规定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开展公众参与调研，通过走访、座谈、问卷调查、公示等多种形式，广泛征求项目区域群众、相关单位及专家的意见和建议，梳理汇总公众诉求，将合理意见融入规划编制过程，保障公众知情权、参与权。</w:t>
            </w:r>
          </w:p>
          <w:p>
            <w:pPr>
              <w:pStyle w:val="null3"/>
              <w:ind w:firstLine="480"/>
              <w:jc w:val="both"/>
            </w:pPr>
            <w:r>
              <w:rPr>
                <w:rFonts w:ascii="仿宋_GB2312" w:hAnsi="仿宋_GB2312" w:cs="仿宋_GB2312" w:eastAsia="仿宋_GB2312"/>
                <w:sz w:val="24"/>
              </w:rPr>
              <w:t>（二）规划方案编制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结合前期调研成果及采购单位需求，严格依据上位规划及相关技术规范，编制规划方案初稿，明确规划定位、规划目标、空间布局、功能分区、发展指标等核心内容，贴合成都公园城市建设、有机更新、产业升级等发展导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针对不同类型规划，完成对应专项内容编制：</w:t>
            </w:r>
          </w:p>
          <w:p>
            <w:pPr>
              <w:pStyle w:val="null3"/>
              <w:ind w:firstLine="480"/>
              <w:jc w:val="both"/>
            </w:pPr>
            <w:r>
              <w:rPr>
                <w:rFonts w:ascii="仿宋_GB2312" w:hAnsi="仿宋_GB2312" w:cs="仿宋_GB2312" w:eastAsia="仿宋_GB2312"/>
                <w:sz w:val="24"/>
              </w:rPr>
              <w:t>①区域规划/控规大纲单元管控规划：优化单元范围，梳理上位规划传导要求，明确公园绿地、道路、公共服务设施、公用设施用地规模及管控要求，划定“控制线”与“城市四线”，制定单元管控传导指引。</w:t>
            </w:r>
          </w:p>
          <w:p>
            <w:pPr>
              <w:pStyle w:val="null3"/>
              <w:ind w:firstLine="480"/>
              <w:jc w:val="both"/>
            </w:pPr>
            <w:r>
              <w:rPr>
                <w:rFonts w:ascii="仿宋_GB2312" w:hAnsi="仿宋_GB2312" w:cs="仿宋_GB2312" w:eastAsia="仿宋_GB2312"/>
                <w:sz w:val="24"/>
              </w:rPr>
              <w:t>②控制性详细规划：明确地块划分、用地性质、容积率、建筑密度、绿地率等控制指标，合理布局基础设施和公共服务设施，制定地块开发控制要求及规划管理细则。</w:t>
            </w:r>
          </w:p>
          <w:p>
            <w:pPr>
              <w:pStyle w:val="null3"/>
              <w:ind w:firstLine="480"/>
              <w:jc w:val="both"/>
            </w:pPr>
            <w:r>
              <w:rPr>
                <w:rFonts w:ascii="仿宋_GB2312" w:hAnsi="仿宋_GB2312" w:cs="仿宋_GB2312" w:eastAsia="仿宋_GB2312"/>
                <w:sz w:val="24"/>
              </w:rPr>
              <w:t>③修建性详细规划：结合地块实际情况，编制建筑布局、道路系统、绿化景观、市政管线等详细设计方案，明确建筑造型、高度、色彩等设计要求，确保方案可落地实施。</w:t>
            </w:r>
          </w:p>
          <w:p>
            <w:pPr>
              <w:pStyle w:val="null3"/>
              <w:ind w:firstLine="480"/>
              <w:jc w:val="both"/>
            </w:pPr>
            <w:r>
              <w:rPr>
                <w:rFonts w:ascii="仿宋_GB2312" w:hAnsi="仿宋_GB2312" w:cs="仿宋_GB2312" w:eastAsia="仿宋_GB2312"/>
                <w:sz w:val="24"/>
              </w:rPr>
              <w:t>④专项规划（市政管线、道路交通等）：分析现行管控存在的问题，编制规划编制指引及管理办法，明确专项设施的布局、规模、建设标准及管控要求，促进专项设施有序衔接。</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规划方案编制过程中，负责与采购单位、相关职能部门进行多轮沟通对接，根据反馈意见及时修改完善方案，形成规划方案送审稿，直至方案符合采购单位实际需求及相关规范要求。</w:t>
            </w:r>
          </w:p>
          <w:p>
            <w:pPr>
              <w:pStyle w:val="null3"/>
              <w:ind w:firstLine="480"/>
              <w:jc w:val="both"/>
            </w:pPr>
            <w:r>
              <w:rPr>
                <w:rFonts w:ascii="仿宋_GB2312" w:hAnsi="仿宋_GB2312" w:cs="仿宋_GB2312" w:eastAsia="仿宋_GB2312"/>
                <w:sz w:val="24"/>
              </w:rPr>
              <w:t>（三）成果编制与审核</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规划方案送审稿通过初步审核后，按照规范格式编制完整的规划成果，包括规划文本、规划图纸、规划说明书、技术研究报告等，成果形式需满足采购单位要求，包括纸质版（图文合订本）及电子版（</w:t>
            </w:r>
            <w:r>
              <w:rPr>
                <w:rFonts w:ascii="仿宋_GB2312" w:hAnsi="仿宋_GB2312" w:cs="仿宋_GB2312" w:eastAsia="仿宋_GB2312"/>
                <w:sz w:val="24"/>
              </w:rPr>
              <w:t>PDF、PPT、矢量数据等）。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配合采购单位组织专家评审会、公众听证会等相关评审活动，负责准备评审所需资料，现场汇报规划成果，解答评审专家及相关单位提出的疑问，根据评审意见对规划成果进行修改完善，形成规划成果报批稿（如需）。</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协助采购单位将规划成果报批稿（如需）报送相关行政主管部门审批，负责对接审批过程中的相关事宜，根据审批意见进一步修改完善，直至规划成果通过审批。</w:t>
            </w:r>
          </w:p>
          <w:p>
            <w:pPr>
              <w:pStyle w:val="null3"/>
              <w:ind w:firstLine="480"/>
              <w:jc w:val="both"/>
            </w:pPr>
            <w:r>
              <w:rPr>
                <w:rFonts w:ascii="仿宋_GB2312" w:hAnsi="仿宋_GB2312" w:cs="仿宋_GB2312" w:eastAsia="仿宋_GB2312"/>
                <w:sz w:val="24"/>
              </w:rPr>
              <w:t>（四）后续服务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规划成果通过审批后，按照采购单位要求提交正式成果，包括纸质成果（一式多份，具体数量按采购单位要求）及电子成果（刻录光盘或</w:t>
            </w:r>
            <w:r>
              <w:rPr>
                <w:rFonts w:ascii="仿宋_GB2312" w:hAnsi="仿宋_GB2312" w:cs="仿宋_GB2312" w:eastAsia="仿宋_GB2312"/>
                <w:sz w:val="24"/>
              </w:rPr>
              <w:t>U盘存储），负责成果的归档整理，协助采购单位完成成果备案工作。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提供后续技术咨询服务，解答采购单位及相关实施单位在规划实施过程中遇到的问题，配合采购单位开展规划实施跟踪、评估及修改完善工作，若上位规划或相关政策调整，需按要求及时修改规划成果。</w:t>
            </w:r>
          </w:p>
          <w:p>
            <w:pPr>
              <w:pStyle w:val="null3"/>
              <w:ind w:firstLine="480"/>
              <w:jc w:val="both"/>
            </w:pPr>
            <w:r>
              <w:rPr>
                <w:rFonts w:ascii="仿宋_GB2312" w:hAnsi="仿宋_GB2312" w:cs="仿宋_GB2312" w:eastAsia="仿宋_GB2312"/>
                <w:sz w:val="24"/>
              </w:rPr>
              <w:t>（五）服务质量要求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调研成果真实、全面、准确，基础资料齐全、规范，调研分析报告逻辑清晰、观点明确，能够准确反映项目区域现状及存在问题，为规划编制提供可靠支撑。</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规划方案符合国家、四川省及成都市相关法律法规、技术规范和政策要求，贴合采购单位实际需求，规划定位准确、目标清晰、布局合理，具有较强的前瞻性、可操作性和针对性，符合成都地域发展特色。</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规划成果格式规范、内容完整、图文清晰，数据准确无误，文本、图纸、说明书等成果相互衔接、一致，符合相关技术标准及采购单位要求。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服务过程中及时响应采购单位的需求，按时完成各阶段服务任务，修改完善工作高效、到位，确保规划编制工作按期推进，资料齐备后，按约定时间完成送审成果及正式成果提交。</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规划成果需通过相关行政主管部门审批或专家评审，确保成果合规、有效，能够满足项目立项、实施、管理等相关用途。</w:t>
            </w:r>
          </w:p>
          <w:p>
            <w:pPr>
              <w:pStyle w:val="null3"/>
              <w:ind w:firstLine="480"/>
              <w:jc w:val="both"/>
            </w:pPr>
            <w:r>
              <w:rPr>
                <w:rFonts w:ascii="仿宋_GB2312" w:hAnsi="仿宋_GB2312" w:cs="仿宋_GB2312" w:eastAsia="仿宋_GB2312"/>
                <w:sz w:val="24"/>
              </w:rPr>
              <w:t>（六）服务期限要求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单个项目服务期限自合同签订之日起至规划成果通过审批、提交正式成果并完成后续技术咨询服务止，具体服务周期按任务委托书执行。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中标供应商在服务过程中需结合采购人实际需求制定采购人认可的详细的服务进度计划，明确各阶段工作任务、完成时间及责任人，按时完成各阶段服务内容，若因自身原因导致服务延期，需承担相应违约责任；因采购单位原因或不可抗力导致延期的，服务周期相应顺延。</w:t>
            </w:r>
          </w:p>
          <w:p>
            <w:pPr>
              <w:pStyle w:val="null3"/>
              <w:ind w:firstLine="480"/>
              <w:jc w:val="both"/>
            </w:pPr>
            <w:r>
              <w:rPr>
                <w:rFonts w:ascii="仿宋_GB2312" w:hAnsi="仿宋_GB2312" w:cs="仿宋_GB2312" w:eastAsia="仿宋_GB2312"/>
                <w:sz w:val="24"/>
              </w:rPr>
              <w:t>注：分区分期建设规划和规划修编服务要求参照以上</w:t>
            </w:r>
            <w:r>
              <w:rPr>
                <w:rFonts w:ascii="仿宋_GB2312" w:hAnsi="仿宋_GB2312" w:cs="仿宋_GB2312" w:eastAsia="仿宋_GB2312"/>
                <w:sz w:val="24"/>
              </w:rPr>
              <w:t>“2.建设规划（计划）编制服务要求”。</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水土保持报告及验收报告编制服务要求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编制单位需承担技术咨询的内容、要求和方式：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咨询内容：编制工程项目水土保持报告及验收报告，协助完成报告评审工作，相关评审等费用由供应商承担</w:t>
            </w:r>
            <w:r>
              <w:rPr>
                <w:rFonts w:ascii="仿宋_GB2312" w:hAnsi="仿宋_GB2312" w:cs="仿宋_GB2312" w:eastAsia="仿宋_GB2312"/>
                <w:sz w:val="24"/>
              </w:rPr>
              <w:t>,确保成果通过评审。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2）咨询要求：所编制的水土保持报告及验收报告应符合国家相关规范和各级政府管理的要求。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咨询方式：所编制水土保持报告及验收报告通过相关审批部门的审批。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编制单位应当根据采购人需求制定进度计划，经采购人同意后按照进度要求进行本合同项目的技术咨询工作并提供完整的资料，在采购人要求的时间内完成项目水土保持报告编制及验收评估工作。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按以下标准和方式对编制单位提交的技术咨询工作成果进行验收：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技术咨询工作成果的验收标准：出具项目水土保持报告及验收报告文本形式及电子版，符合国家编制规范和各级政府部门管理的要求；成果能通过相关审批部门验收。需给采购方提供项目电子版（</w:t>
            </w:r>
            <w:r>
              <w:rPr>
                <w:rFonts w:ascii="仿宋_GB2312" w:hAnsi="仿宋_GB2312" w:cs="仿宋_GB2312" w:eastAsia="仿宋_GB2312"/>
                <w:sz w:val="24"/>
              </w:rPr>
              <w:t>PDF版和Word版），成果质量、数量和标准均应满足审批部门报审和采购人要求。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2）技术咨询工作成果的验收方法：通过相关审批部门的审批。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3）验收的时间和地点：满足采购人要求。</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施工图审查服务要求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服务要求：按照《建设工程勘察设计管理条例》、《房屋建筑和市政基础设施工程施工图设计文件审查管理办法》（住建部令第</w:t>
            </w:r>
            <w:r>
              <w:rPr>
                <w:rFonts w:ascii="仿宋_GB2312" w:hAnsi="仿宋_GB2312" w:cs="仿宋_GB2312" w:eastAsia="仿宋_GB2312"/>
                <w:sz w:val="24"/>
              </w:rPr>
              <w:t>13号）、《住房和城乡建设部关于修改〈房屋建筑和市政基础设施工程施工图设计文件审查管理办法〉的决定》（住建部令第46号）等国家及四川省相关法规要求完成施工图审查并出具符合要求的施工图审查结论和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服务期限：服务时间要求满足《房屋建筑和市政基础设施工程施工图设计文件审查管理办法》规定和采购人进度要求。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服务成果要求：按照《房屋建筑和市政基础设施工程施工图设计文件审查管理办法》及四川省相关法规要求出具符合要求的审查结论和报告，成果质量、数量和标准均应满足审查要求和采购人要求。</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环境影响评价服务要求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服务范围：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1）协助采购人使用部门厘清项目中涉化内容及其分类分级，正确确定环评等级；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根据项目工程分析，预测项目建设期和运营期可能对大气、水、声、生态、土壤、辐射等环境要素造成的影响，确定项目环境影响评价的报审报批程序并提出相应的环保措施；配合设计单位完成对该项目涉化内容的专业设计，确保设计能完全满足使用单位的要求，并符合政府部门对环境影响的评价和控制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按环境影响评价相关法律、法规、政策和技术要求正确履行环评手续的报批报审程序，完成本项目环境影响评价报告书/表的编制；完成环评报批报审的各种资料文件，配合采购人完成环评报批报审流程，并负责其成果通过环保行业主管部门（如有）的审批并获得批复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4）项目开工建设过程中配合采购人督促施工单位严格执行环评文件及批复中提出的环保措施，落实“三同时”制度，确保项目能顺利通过竣工环保验收。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服务期限：接到采购人委托任务后，环评文件编制在</w:t>
            </w:r>
            <w:r>
              <w:rPr>
                <w:rFonts w:ascii="仿宋_GB2312" w:hAnsi="仿宋_GB2312" w:cs="仿宋_GB2312" w:eastAsia="仿宋_GB2312"/>
                <w:sz w:val="24"/>
              </w:rPr>
              <w:t>15个工作日内完成，其余工作根据项目进程全程推进，满足采购人要求。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成果要求：完成委托的所有内容，并达到环评各项工作要求；最终要求能顺利通过环保行业主管部门（如有）的审批并获得批复文件，确保能通过环保验收。最终提交成果质量、数量和标准均应满足审查要求和采购人要求。</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社会稳定风险评估服务要求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前期筹备服务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资料收集与梳理：全面收集采购方提供的项目相关资料，包括项目可行性研究报告、规划方案、环评报告、土地预审文件、相关政策文件、前期调研资料等，对资料进行分类整理、核实完整性，形成资料清单并留存归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稳评方案制定：服务过程中结合项目类型（如征地拆迁、城市更新、重大决策、园区建设等）、项目规模及当地稳评政策要求，制定稳评实施方案，明确评估范围、评估方法、调查方式、时间节点、人员分工、质量控制标准及风险防控初步思路，方案需经采购方审核确认后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3）前期调研准备：组建专业评估团队，明确团队成员职责；准备调研所需工具（问卷、访谈提纲等）；对接项目相关利益相关方、当地主管部门，协调调研相关事宜，确保调研工作顺利推进。</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风险调查与识别服务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多维度风险调查：采用不少于2种调查方式（如问卷调研、座谈访谈、实地踏勘、公示听证、舆情监测等），全面覆盖项目涉及的利益相关方（如居民、企业、基层组织等），广泛收集各方诉求及意见建议，详细记录调查过程、反馈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风险全面识别：结合项目特点及调查结果，全面排查项目实施过程中可能存在的合法性、合理性、可行性、可控性四类风险，重点识别政策合规、补偿安置、环境影响、舆情传播、信访诉求、群体性事件等核心风险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3）风险清单编制：对识别出的风险点进行分类梳理，明确风险来源、涉及群体、表现形式、潜在影响，编制完整的风险清单，为后续风险分析评估提供基础。</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风险分析与评估服务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1）风险分析论证：采用定性与定量相结合的方法（如风险矩阵法、层次分析法、模糊综合评价法等），对风险清单中的各类风险进行深入分析，明确各类风险的发生概率、影响范围、影响程度及传导路径。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2）风险等级评估：根据风险分析结果，结合当地稳评等级划分标准，对项目整体风险等级（低、中、高、极高）进行科学判定，论证项目是否具备实施条件，形成明确的风险等级结论。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3）风险分析报告：梳理风险分析过程、方法及结果，形成风险分析专项报告，明确风险核心问题及潜在隐患，为风险防控措施制定提供依据。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风险防控与化解服务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1）风险防控措施制定：针对风险清单及风险分析结果，制定风险防控措施，覆盖源头预防、过程管控、后期处置全环节，明确措施实施主体、实施流程、时间节点及保障条件。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2）应急预案编制：结合项目核心风险点，编制突发事件应急预案，明确应急组织机构、职责分工、应急响应流程、处置措施、资源保障及后期善后工作，确保能够快速、有效应对各类突发风险事件。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3）防控方案优化：根据采购方及当地主管部门意见，对风险防控措施及应急预案进行优化完善，确保措施贴合实际、具备可执行性，能够有效降低或消除各类风险。</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报告编制与评审备案服务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1）稳评报告编制：严格按照《重大项目社会稳定风险评估规范》（T/CNAEC 0506-2023）、《国家发展改革委重大固定资产投资项目社会稳定风险评估暂行办法》（发改投资〔2012〕2492号）文件及《成都市重大决策社会稳定风险评估实施办法》（成委办〔2022〕15 号），编制完整的社会稳定风险评估报告，报告需包含项目概况、风险调查、风险分析、风险等级、防控措施、应急预案、结论建议及全套附件材料（调查记录、访谈纪要、公示材料等），确保报告数据真实、依据充分、逻辑清晰、结论客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专家评审组织：组织不少于5人的单数专家评审团队（含政法、发改、法律、行业相关专家），重大项目/高风险事项不少于7人，召开稳评报告评审会，产生的评审费用由供应商承担。负责会议组织、资料分发、意见收集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3）报告修改完善：根据专家评审意见及采购人要求，对稳评报告进行修改完善，直至通过专家评审；配合采购方对接当地政法委、发改局等主管部门，完成报告审核及备案工作，取得备案证明或审核意见。</w:t>
            </w:r>
          </w:p>
          <w:p>
            <w:pPr>
              <w:pStyle w:val="null3"/>
              <w:ind w:firstLine="480"/>
              <w:jc w:val="both"/>
            </w:pPr>
            <w:r>
              <w:rPr>
                <w:rFonts w:ascii="仿宋_GB2312" w:hAnsi="仿宋_GB2312" w:cs="仿宋_GB2312" w:eastAsia="仿宋_GB2312"/>
                <w:sz w:val="24"/>
              </w:rPr>
              <w:t>注：以上</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内容以满足上级主管部门要求为准。</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配合与后续保障服务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1）全程配合服务：配合采购人完成稳评相关报批、审查、答疑等工作，及时响应采购人及上级主管部门的各类需求，提供必要的技术支持及资料补充。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2）后续咨询服务：项目稳评报告备案后，提供一定期限的后续咨询服务，包括报告解读、风险防控措施落地指导、应急预案培训、后续风险排查建议等。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资料归档与保密：将稳评全流程相关资料（资料清单、调研记录、报告文稿、评审意见、备案文件等）整理归档，形成完整的服务档案；严格遵守保密规定，对项目资料、评估过程、报告内容及相关敏感信息严格保密，不得泄露给第三方。</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成果要求：最终提交成果质量、数量和标准均应满足上级主管部门审批审查要求和采购人要求，并完成备案。</w:t>
            </w:r>
          </w:p>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建设工程安全评价服务要求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危险有害因素辨识：全面识别项目选址、工艺布局、设备选型、施工方案、周边环境等方面存在的火灾、爆炸、坍塌、触电、高处坠落、机械伤害等危险有害因素，结合建设工程项目特点，重点排查与公共安全、民生保障相关的风险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评价单元划分与风险评估：按照项目工艺、区域、设施功能拆分评价单元，采用</w:t>
            </w:r>
            <w:r>
              <w:rPr>
                <w:rFonts w:ascii="仿宋_GB2312" w:hAnsi="仿宋_GB2312" w:cs="仿宋_GB2312" w:eastAsia="仿宋_GB2312"/>
                <w:sz w:val="24"/>
              </w:rPr>
              <w:t>LEC法、事故树、事件树等规范方法，进行定性、定量风险评估，明确风险等级，形成风险清单，重点标注建设工程项目中需重点管控的高风险环节。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安全对策措施制定：结合项目实际及政府采购合规要求，从选址、布局、工艺、设备、安全防护、安全管理、应急处置等方面，提出科学、可落地的安全对策措施，确保措施符合《安全预评价导则》等标准，为项目初步设计提供安全依据。</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报告编制与评审协助：编制《安全预评价报告》，严格遵循政府采购项目成果规范，确保报告内容完整、数据真实、结论明确；协助组织专家评审，根据评审意见修改完善报告，直至通过评审；对需要取得安全条件许可批复的项目，协助采购方获取相关批复文件，配合完成建设工程项目前期审批备案工作。</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成果要求：最终提交成果质量、数量和标准均应满足上级主管部门审批审查要求和采购人要求，并通过评审。</w:t>
            </w:r>
          </w:p>
          <w:p>
            <w:pPr>
              <w:pStyle w:val="null3"/>
              <w:ind w:firstLine="480"/>
              <w:jc w:val="both"/>
            </w:pPr>
            <w:r>
              <w:rPr>
                <w:rFonts w:ascii="仿宋_GB2312" w:hAnsi="仿宋_GB2312" w:cs="仿宋_GB2312" w:eastAsia="仿宋_GB2312"/>
                <w:sz w:val="24"/>
              </w:rPr>
              <w:t>八、</w:t>
            </w:r>
            <w:r>
              <w:rPr>
                <w:rFonts w:ascii="仿宋_GB2312" w:hAnsi="仿宋_GB2312" w:cs="仿宋_GB2312" w:eastAsia="仿宋_GB2312"/>
                <w:sz w:val="24"/>
              </w:rPr>
              <w:t>地质灾害评估</w:t>
            </w:r>
            <w:r>
              <w:rPr>
                <w:rFonts w:ascii="仿宋_GB2312" w:hAnsi="仿宋_GB2312" w:cs="仿宋_GB2312" w:eastAsia="仿宋_GB2312"/>
                <w:sz w:val="24"/>
              </w:rPr>
              <w:t>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内容：包括资料收集、现场踏勘、地质调查、岩土补充勘察测试、现状灾害评估、建设诱发风险预测、建设用地适宜性评价、防治对策、简易监测建议、应急安全提示、报告编制、专家评审、主管部门备案、成果交底及后期技术咨询全流程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技术标准与规范依据：《地质灾害危险性评估规范》（</w:t>
            </w:r>
            <w:r>
              <w:rPr>
                <w:rFonts w:ascii="仿宋_GB2312" w:hAnsi="仿宋_GB2312" w:cs="仿宋_GB2312" w:eastAsia="仿宋_GB2312"/>
                <w:sz w:val="24"/>
              </w:rPr>
              <w:t>GB/T 40112-2021）、《滑坡崩塌泥石流灾害调查规范》（1：50000）（DZ/T 0261-2014）、《建筑抗震设计标准》（GB/T50011-2010）、成都主城区地震动参数区划要求、《四川省斜坡地质灾害隐患风险详查技术指南》（DB51/T 3312-2025）、成都市规划和自然资源局关于建设用地地质灾害评估备案管理相关规定、成都主城区平原区第四系地层、卵石层、软弱夹层、局部膨胀土勘察评价技术要求。地质灾害评估依据有最新的以发布的最新版本标准为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成果要求：最终提交成果质量、数量和标准均应满足上级主管部门审批审查要求和采购人要求，并通过评审。</w:t>
            </w:r>
          </w:p>
          <w:p>
            <w:pPr>
              <w:pStyle w:val="null3"/>
              <w:ind w:firstLine="480"/>
              <w:jc w:val="both"/>
            </w:pPr>
            <w:r>
              <w:rPr>
                <w:rFonts w:ascii="仿宋_GB2312" w:hAnsi="仿宋_GB2312" w:cs="仿宋_GB2312" w:eastAsia="仿宋_GB2312"/>
                <w:sz w:val="24"/>
              </w:rPr>
              <w:t>九、</w:t>
            </w:r>
            <w:r>
              <w:rPr>
                <w:rFonts w:ascii="仿宋_GB2312" w:hAnsi="仿宋_GB2312" w:cs="仿宋_GB2312" w:eastAsia="仿宋_GB2312"/>
                <w:sz w:val="24"/>
              </w:rPr>
              <w:t>计费标准</w:t>
            </w:r>
            <w:r>
              <w:rPr>
                <w:rFonts w:ascii="仿宋_GB2312" w:hAnsi="仿宋_GB2312" w:cs="仿宋_GB2312" w:eastAsia="仿宋_GB2312"/>
                <w:sz w:val="24"/>
              </w:rPr>
              <w:t>:报价采用对以下服务分别报折扣率的方式计费</w:t>
            </w:r>
            <w:r>
              <w:rPr>
                <w:rFonts w:ascii="仿宋_GB2312" w:hAnsi="仿宋_GB2312" w:cs="仿宋_GB2312" w:eastAsia="仿宋_GB2312"/>
                <w:sz w:val="24"/>
                <w:shd w:fill="FFFFFF" w:val="clear"/>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项目论证咨询服务费</w:t>
            </w:r>
            <w:r>
              <w:rPr>
                <w:rFonts w:ascii="仿宋_GB2312" w:hAnsi="仿宋_GB2312" w:cs="仿宋_GB2312" w:eastAsia="仿宋_GB2312"/>
                <w:sz w:val="24"/>
              </w:rPr>
              <w:t>收费标准</w:t>
            </w:r>
          </w:p>
          <w:p>
            <w:pPr>
              <w:pStyle w:val="null3"/>
              <w:ind w:firstLine="480"/>
              <w:jc w:val="both"/>
            </w:pPr>
            <w:r>
              <w:rPr>
                <w:rFonts w:ascii="仿宋_GB2312" w:hAnsi="仿宋_GB2312" w:cs="仿宋_GB2312" w:eastAsia="仿宋_GB2312"/>
                <w:sz w:val="24"/>
              </w:rPr>
              <w:t>参照《国家计委关于印发建设项目前期工作咨询收费暂行规定的通知》（计价格［</w:t>
            </w:r>
            <w:r>
              <w:rPr>
                <w:rFonts w:ascii="仿宋_GB2312" w:hAnsi="仿宋_GB2312" w:cs="仿宋_GB2312" w:eastAsia="仿宋_GB2312"/>
                <w:sz w:val="24"/>
              </w:rPr>
              <w:t>1999］1283号），总投资3000万元以上的建设项目咨询费，费用取各分档收费标准的最低值，不考虑调整系数（均取1.0），最终乘以报价折扣率。总投资3000万元以下的建设项目咨询费，参照《关于印发建设项目前期工作咨询收费暂行规定的通知》（川价字费（2000）35号），费用取各分档收费标准的</w:t>
            </w:r>
            <w:r>
              <w:rPr>
                <w:rFonts w:ascii="仿宋_GB2312" w:hAnsi="仿宋_GB2312" w:cs="仿宋_GB2312" w:eastAsia="仿宋_GB2312"/>
                <w:sz w:val="24"/>
              </w:rPr>
              <w:t>最低值，最终乘以报价折扣率。</w:t>
            </w:r>
          </w:p>
          <w:p>
            <w:pPr>
              <w:pStyle w:val="null3"/>
              <w:ind w:firstLine="480"/>
              <w:jc w:val="both"/>
            </w:pPr>
            <w:r>
              <w:rPr>
                <w:rFonts w:ascii="仿宋_GB2312" w:hAnsi="仿宋_GB2312" w:cs="仿宋_GB2312" w:eastAsia="仿宋_GB2312"/>
                <w:sz w:val="24"/>
              </w:rPr>
              <w:t>2、建设规划（计划）编制服务收费标准</w:t>
            </w:r>
          </w:p>
          <w:tbl>
            <w:tblPr>
              <w:tblBorders>
                <w:top w:val="none" w:color="000000" w:sz="4"/>
                <w:left w:val="none" w:color="000000" w:sz="4"/>
                <w:bottom w:val="none" w:color="000000" w:sz="4"/>
                <w:right w:val="none" w:color="000000" w:sz="4"/>
                <w:insideH w:val="none"/>
                <w:insideV w:val="none"/>
              </w:tblBorders>
            </w:tblPr>
            <w:tblGrid>
              <w:gridCol w:w="3179"/>
              <w:gridCol w:w="2324"/>
            </w:tblGrid>
            <w:tr>
              <w:tc>
                <w:tcPr>
                  <w:tcW w:type="dxa" w:w="3179"/>
                  <w:tcBorders>
                    <w:top w:val="single" w:color="000000" w:sz="4"/>
                    <w:left w:val="single" w:color="000000" w:sz="4"/>
                    <w:bottom w:val="single" w:color="CCCCCC"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计费基数区间（万元）</w:t>
                  </w:r>
                </w:p>
              </w:tc>
              <w:tc>
                <w:tcPr>
                  <w:tcW w:type="dxa" w:w="2324"/>
                  <w:tcBorders>
                    <w:top w:val="single" w:color="000000" w:sz="4"/>
                    <w:left w:val="none" w:color="000000" w:sz="4"/>
                    <w:bottom w:val="single" w:color="CCCCCC"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基准费率</w:t>
                  </w:r>
                </w:p>
              </w:tc>
            </w:tr>
            <w:tr>
              <w:tc>
                <w:tcPr>
                  <w:tcW w:type="dxa" w:w="3179"/>
                  <w:tcBorders>
                    <w:top w:val="none" w:color="000000" w:sz="4"/>
                    <w:left w:val="single" w:color="000000" w:sz="4"/>
                    <w:bottom w:val="single" w:color="CCCCCC"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0—100（含）</w:t>
                  </w:r>
                </w:p>
              </w:tc>
              <w:tc>
                <w:tcPr>
                  <w:tcW w:type="dxa" w:w="2324"/>
                  <w:tcBorders>
                    <w:top w:val="none" w:color="000000" w:sz="4"/>
                    <w:left w:val="none" w:color="000000" w:sz="4"/>
                    <w:bottom w:val="single" w:color="CCCCCC"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1.50%</w:t>
                  </w:r>
                </w:p>
              </w:tc>
            </w:tr>
            <w:tr>
              <w:tc>
                <w:tcPr>
                  <w:tcW w:type="dxa" w:w="3179"/>
                  <w:tcBorders>
                    <w:top w:val="none" w:color="000000" w:sz="4"/>
                    <w:left w:val="single" w:color="000000" w:sz="4"/>
                    <w:bottom w:val="single" w:color="CCCCCC"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100—500（含）</w:t>
                  </w:r>
                </w:p>
              </w:tc>
              <w:tc>
                <w:tcPr>
                  <w:tcW w:type="dxa" w:w="2324"/>
                  <w:tcBorders>
                    <w:top w:val="none" w:color="000000" w:sz="4"/>
                    <w:left w:val="none" w:color="000000" w:sz="4"/>
                    <w:bottom w:val="single" w:color="CCCCCC"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0.80%</w:t>
                  </w:r>
                </w:p>
              </w:tc>
            </w:tr>
            <w:tr>
              <w:tc>
                <w:tcPr>
                  <w:tcW w:type="dxa" w:w="3179"/>
                  <w:tcBorders>
                    <w:top w:val="none" w:color="000000" w:sz="4"/>
                    <w:left w:val="single" w:color="000000" w:sz="4"/>
                    <w:bottom w:val="single" w:color="CCCCCC"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500—1000（含）</w:t>
                  </w:r>
                </w:p>
              </w:tc>
              <w:tc>
                <w:tcPr>
                  <w:tcW w:type="dxa" w:w="2324"/>
                  <w:tcBorders>
                    <w:top w:val="none" w:color="000000" w:sz="4"/>
                    <w:left w:val="none" w:color="000000" w:sz="4"/>
                    <w:bottom w:val="single" w:color="CCCCCC"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0.45%</w:t>
                  </w:r>
                </w:p>
              </w:tc>
            </w:tr>
            <w:tr>
              <w:tc>
                <w:tcPr>
                  <w:tcW w:type="dxa" w:w="3179"/>
                  <w:tcBorders>
                    <w:top w:val="none" w:color="000000" w:sz="4"/>
                    <w:left w:val="single" w:color="000000" w:sz="4"/>
                    <w:bottom w:val="single" w:color="CCCCCC"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1000—5000（含）</w:t>
                  </w:r>
                </w:p>
              </w:tc>
              <w:tc>
                <w:tcPr>
                  <w:tcW w:type="dxa" w:w="2324"/>
                  <w:tcBorders>
                    <w:top w:val="none" w:color="000000" w:sz="4"/>
                    <w:left w:val="none" w:color="000000" w:sz="4"/>
                    <w:bottom w:val="single" w:color="CCCCCC"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0.25%</w:t>
                  </w:r>
                </w:p>
              </w:tc>
            </w:tr>
            <w:tr>
              <w:tc>
                <w:tcPr>
                  <w:tcW w:type="dxa" w:w="3179"/>
                  <w:tcBorders>
                    <w:top w:val="none" w:color="000000" w:sz="4"/>
                    <w:left w:val="single" w:color="000000" w:sz="4"/>
                    <w:bottom w:val="single" w:color="CCCCCC"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5000—10000（含）</w:t>
                  </w:r>
                </w:p>
              </w:tc>
              <w:tc>
                <w:tcPr>
                  <w:tcW w:type="dxa" w:w="2324"/>
                  <w:tcBorders>
                    <w:top w:val="none" w:color="000000" w:sz="4"/>
                    <w:left w:val="none" w:color="000000" w:sz="4"/>
                    <w:bottom w:val="single" w:color="CCCCCC"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0.10%</w:t>
                  </w:r>
                </w:p>
              </w:tc>
            </w:tr>
            <w:tr>
              <w:tc>
                <w:tcPr>
                  <w:tcW w:type="dxa" w:w="3179"/>
                  <w:tcBorders>
                    <w:top w:val="none" w:color="000000" w:sz="4"/>
                    <w:left w:val="single" w:color="000000" w:sz="4"/>
                    <w:bottom w:val="single" w:color="000000" w:sz="4"/>
                    <w:right w:val="single" w:color="CCCCCC"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10000 以上</w:t>
                  </w:r>
                </w:p>
              </w:tc>
              <w:tc>
                <w:tcPr>
                  <w:tcW w:type="dxa" w:w="2324"/>
                  <w:tcBorders>
                    <w:top w:val="none" w:color="000000" w:sz="4"/>
                    <w:left w:val="non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0.05%</w:t>
                  </w:r>
                </w:p>
              </w:tc>
            </w:tr>
          </w:tbl>
          <w:p>
            <w:pPr>
              <w:pStyle w:val="null3"/>
              <w:ind w:firstLine="200"/>
              <w:jc w:val="left"/>
            </w:pPr>
            <w:r>
              <w:rPr>
                <w:rFonts w:ascii="仿宋_GB2312" w:hAnsi="仿宋_GB2312" w:cs="仿宋_GB2312" w:eastAsia="仿宋_GB2312"/>
                <w:sz w:val="24"/>
                <w:shd w:fill="FFFFFF" w:val="clear"/>
              </w:rPr>
              <w:t>注：</w:t>
            </w:r>
            <w:r>
              <w:rPr>
                <w:rFonts w:ascii="仿宋_GB2312" w:hAnsi="仿宋_GB2312" w:cs="仿宋_GB2312" w:eastAsia="仿宋_GB2312"/>
                <w:sz w:val="24"/>
                <w:shd w:fill="FFFFFF" w:val="clear"/>
              </w:rPr>
              <w:t>1、以规划面积对应的投资额为计费基数，根据以上表格采取</w:t>
            </w:r>
            <w:r>
              <w:rPr>
                <w:rFonts w:ascii="仿宋_GB2312" w:hAnsi="仿宋_GB2312" w:cs="仿宋_GB2312" w:eastAsia="仿宋_GB2312"/>
                <w:sz w:val="24"/>
                <w:shd w:fill="FFFFFF" w:val="clear"/>
              </w:rPr>
              <w:t>差</w:t>
            </w:r>
            <w:r>
              <w:rPr>
                <w:rFonts w:ascii="仿宋_GB2312" w:hAnsi="仿宋_GB2312" w:cs="仿宋_GB2312" w:eastAsia="仿宋_GB2312"/>
                <w:sz w:val="24"/>
                <w:shd w:fill="FFFFFF" w:val="clear"/>
              </w:rPr>
              <w:t>额</w:t>
            </w:r>
            <w:r>
              <w:rPr>
                <w:rFonts w:ascii="仿宋_GB2312" w:hAnsi="仿宋_GB2312" w:cs="仿宋_GB2312" w:eastAsia="仿宋_GB2312"/>
                <w:sz w:val="24"/>
                <w:shd w:fill="FFFFFF" w:val="clear"/>
              </w:rPr>
              <w:t>定率</w:t>
            </w:r>
            <w:r>
              <w:rPr>
                <w:rFonts w:ascii="仿宋_GB2312" w:hAnsi="仿宋_GB2312" w:cs="仿宋_GB2312" w:eastAsia="仿宋_GB2312"/>
                <w:sz w:val="24"/>
                <w:shd w:fill="FFFFFF" w:val="clear"/>
              </w:rPr>
              <w:t>累进</w:t>
            </w:r>
            <w:r>
              <w:rPr>
                <w:rFonts w:ascii="仿宋_GB2312" w:hAnsi="仿宋_GB2312" w:cs="仿宋_GB2312" w:eastAsia="仿宋_GB2312"/>
                <w:sz w:val="24"/>
                <w:shd w:fill="FFFFFF" w:val="clear"/>
              </w:rPr>
              <w:t>收费方式</w:t>
            </w:r>
            <w:r>
              <w:rPr>
                <w:rFonts w:ascii="仿宋_GB2312" w:hAnsi="仿宋_GB2312" w:cs="仿宋_GB2312" w:eastAsia="仿宋_GB2312"/>
                <w:sz w:val="24"/>
                <w:shd w:fill="FFFFFF" w:val="clear"/>
              </w:rPr>
              <w:t>计算。</w:t>
            </w:r>
          </w:p>
          <w:p>
            <w:pPr>
              <w:pStyle w:val="null3"/>
              <w:ind w:firstLine="200"/>
              <w:jc w:val="left"/>
            </w:pPr>
            <w:r>
              <w:rPr>
                <w:rFonts w:ascii="仿宋_GB2312" w:hAnsi="仿宋_GB2312" w:cs="仿宋_GB2312" w:eastAsia="仿宋_GB2312"/>
                <w:sz w:val="24"/>
                <w:shd w:fill="FFFFFF" w:val="clear"/>
              </w:rPr>
              <w:t>2、分区分期建设规划和规划修编服务收费标准参照以上“（2）建设规划（计划）编制服务收费标准”，按建设规划（计划）编制服务的报价折扣率进行结算。</w:t>
            </w:r>
          </w:p>
          <w:p>
            <w:pPr>
              <w:pStyle w:val="null3"/>
              <w:ind w:firstLine="200"/>
              <w:jc w:val="left"/>
            </w:pPr>
            <w:r>
              <w:rPr>
                <w:rFonts w:ascii="仿宋_GB2312" w:hAnsi="仿宋_GB2312" w:cs="仿宋_GB2312" w:eastAsia="仿宋_GB2312"/>
                <w:sz w:val="24"/>
              </w:rPr>
              <w:t>3、水土保持报告及验收报告编制收费标准</w:t>
            </w:r>
          </w:p>
          <w:tbl>
            <w:tblPr>
              <w:tblBorders>
                <w:top w:val="none" w:color="000000" w:sz="4"/>
                <w:left w:val="none" w:color="000000" w:sz="4"/>
                <w:bottom w:val="none" w:color="000000" w:sz="4"/>
                <w:right w:val="none" w:color="000000" w:sz="4"/>
                <w:insideH w:val="none"/>
                <w:insideV w:val="none"/>
              </w:tblBorders>
            </w:tblPr>
            <w:tblGrid>
              <w:gridCol w:w="960"/>
              <w:gridCol w:w="1130"/>
              <w:gridCol w:w="1160"/>
              <w:gridCol w:w="2349"/>
            </w:tblGrid>
            <w:tr>
              <w:tc>
                <w:tcPr>
                  <w:tcW w:type="dxa" w:w="9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水保类型</w:t>
                  </w:r>
                </w:p>
              </w:tc>
              <w:tc>
                <w:tcPr>
                  <w:tcW w:type="dxa" w:w="113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项目规模</w:t>
                  </w:r>
                  <w:r>
                    <w:rPr>
                      <w:rFonts w:ascii="仿宋_GB2312" w:hAnsi="仿宋_GB2312" w:cs="仿宋_GB2312" w:eastAsia="仿宋_GB2312"/>
                      <w:sz w:val="24"/>
                    </w:rPr>
                    <w:t>/土建投资</w:t>
                  </w:r>
                </w:p>
              </w:tc>
              <w:tc>
                <w:tcPr>
                  <w:tcW w:type="dxa" w:w="116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计费方式</w:t>
                  </w:r>
                </w:p>
              </w:tc>
              <w:tc>
                <w:tcPr>
                  <w:tcW w:type="dxa" w:w="234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基准收费</w:t>
                  </w:r>
                </w:p>
              </w:tc>
            </w:tr>
            <w:tr>
              <w:tc>
                <w:tcPr>
                  <w:tcW w:type="dxa" w:w="9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水土保持方案报告书</w:t>
                  </w:r>
                </w:p>
              </w:tc>
              <w:tc>
                <w:tcPr>
                  <w:tcW w:type="dxa" w:w="11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扰动面积＞</w:t>
                  </w:r>
                  <w:r>
                    <w:rPr>
                      <w:rFonts w:ascii="仿宋_GB2312" w:hAnsi="仿宋_GB2312" w:cs="仿宋_GB2312" w:eastAsia="仿宋_GB2312"/>
                      <w:sz w:val="24"/>
                    </w:rPr>
                    <w:t>5公顷或土建投资＞5000万</w:t>
                  </w:r>
                </w:p>
              </w:tc>
              <w:tc>
                <w:tcPr>
                  <w:tcW w:type="dxa" w:w="1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按土建投资分档计费</w:t>
                  </w:r>
                </w:p>
              </w:tc>
              <w:tc>
                <w:tcPr>
                  <w:tcW w:type="dxa" w:w="2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5000万-1亿：8万元；1亿-5亿：15万元；5亿以上：30万元（100亿以上按0.04计列）</w:t>
                  </w:r>
                </w:p>
              </w:tc>
            </w:tr>
            <w:tr>
              <w:tc>
                <w:tcPr>
                  <w:tcW w:type="dxa" w:w="9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水土保持方案报告表</w:t>
                  </w:r>
                </w:p>
              </w:tc>
              <w:tc>
                <w:tcPr>
                  <w:tcW w:type="dxa" w:w="11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扰动面积</w:t>
                  </w:r>
                  <w:r>
                    <w:rPr>
                      <w:rFonts w:ascii="仿宋_GB2312" w:hAnsi="仿宋_GB2312" w:cs="仿宋_GB2312" w:eastAsia="仿宋_GB2312"/>
                      <w:sz w:val="24"/>
                    </w:rPr>
                    <w:t>≤5公顷且土建投资≤5000万</w:t>
                  </w:r>
                </w:p>
              </w:tc>
              <w:tc>
                <w:tcPr>
                  <w:tcW w:type="dxa" w:w="1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按扰动面积</w:t>
                  </w:r>
                  <w:r>
                    <w:rPr>
                      <w:rFonts w:ascii="仿宋_GB2312" w:hAnsi="仿宋_GB2312" w:cs="仿宋_GB2312" w:eastAsia="仿宋_GB2312"/>
                      <w:sz w:val="24"/>
                    </w:rPr>
                    <w:t>/土建投资计费</w:t>
                  </w:r>
                </w:p>
              </w:tc>
              <w:tc>
                <w:tcPr>
                  <w:tcW w:type="dxa" w:w="2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扰动面积</w:t>
                  </w:r>
                  <w:r>
                    <w:rPr>
                      <w:rFonts w:ascii="仿宋_GB2312" w:hAnsi="仿宋_GB2312" w:cs="仿宋_GB2312" w:eastAsia="仿宋_GB2312"/>
                      <w:sz w:val="24"/>
                    </w:rPr>
                    <w:t>≤2公顷：2万元；2公顷：4万元；土建投资≤5000万：3万元</w:t>
                  </w:r>
                </w:p>
              </w:tc>
            </w:tr>
            <w:tr>
              <w:tc>
                <w:tcPr>
                  <w:tcW w:type="dxa" w:w="9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水保监测服务费</w:t>
                  </w:r>
                </w:p>
              </w:tc>
              <w:tc>
                <w:tcPr>
                  <w:tcW w:type="dxa" w:w="113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各类需监测项目</w:t>
                  </w:r>
                </w:p>
              </w:tc>
              <w:tc>
                <w:tcPr>
                  <w:tcW w:type="dxa" w:w="116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按水保编制费计费</w:t>
                  </w:r>
                </w:p>
              </w:tc>
              <w:tc>
                <w:tcPr>
                  <w:tcW w:type="dxa" w:w="2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水保编制费的</w:t>
                  </w:r>
                  <w:r>
                    <w:rPr>
                      <w:rFonts w:ascii="仿宋_GB2312" w:hAnsi="仿宋_GB2312" w:cs="仿宋_GB2312" w:eastAsia="仿宋_GB2312"/>
                      <w:sz w:val="24"/>
                    </w:rPr>
                    <w:t>30%</w:t>
                  </w:r>
                </w:p>
              </w:tc>
            </w:tr>
          </w:tbl>
          <w:p>
            <w:pPr>
              <w:pStyle w:val="null3"/>
              <w:jc w:val="left"/>
            </w:pPr>
            <w:r>
              <w:rPr>
                <w:rFonts w:ascii="仿宋_GB2312" w:hAnsi="仿宋_GB2312" w:cs="仿宋_GB2312" w:eastAsia="仿宋_GB2312"/>
                <w:sz w:val="24"/>
              </w:rPr>
              <w:t>4、施工图审查收费标准</w:t>
            </w:r>
          </w:p>
          <w:tbl>
            <w:tblPr>
              <w:tblBorders>
                <w:top w:val="none" w:color="000000" w:sz="4"/>
                <w:left w:val="none" w:color="000000" w:sz="4"/>
                <w:bottom w:val="none" w:color="000000" w:sz="4"/>
                <w:right w:val="none" w:color="000000" w:sz="4"/>
                <w:insideH w:val="none"/>
                <w:insideV w:val="none"/>
              </w:tblBorders>
            </w:tblPr>
            <w:tblGrid>
              <w:gridCol w:w="1321"/>
              <w:gridCol w:w="1419"/>
              <w:gridCol w:w="1448"/>
              <w:gridCol w:w="1399"/>
            </w:tblGrid>
            <w:tr>
              <w:tc>
                <w:tcPr>
                  <w:tcW w:type="dxa" w:w="132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项目类型</w:t>
                  </w:r>
                </w:p>
              </w:tc>
              <w:tc>
                <w:tcPr>
                  <w:tcW w:type="dxa" w:w="141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规模</w:t>
                  </w:r>
                  <w:r>
                    <w:rPr>
                      <w:rFonts w:ascii="仿宋_GB2312" w:hAnsi="仿宋_GB2312" w:cs="仿宋_GB2312" w:eastAsia="仿宋_GB2312"/>
                      <w:sz w:val="24"/>
                    </w:rPr>
                    <w:t>/规格</w:t>
                  </w:r>
                </w:p>
              </w:tc>
              <w:tc>
                <w:tcPr>
                  <w:tcW w:type="dxa" w:w="144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计费方式</w:t>
                  </w:r>
                </w:p>
              </w:tc>
              <w:tc>
                <w:tcPr>
                  <w:tcW w:type="dxa" w:w="139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基准收费</w:t>
                  </w:r>
                </w:p>
              </w:tc>
            </w:tr>
            <w:tr>
              <w:tc>
                <w:tcPr>
                  <w:tcW w:type="dxa" w:w="13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一般房屋建筑</w:t>
                  </w:r>
                </w:p>
              </w:tc>
              <w:tc>
                <w:tcPr>
                  <w:tcW w:type="dxa" w:w="14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建筑面积</w:t>
                  </w:r>
                  <w:r>
                    <w:rPr>
                      <w:rFonts w:ascii="仿宋_GB2312" w:hAnsi="仿宋_GB2312" w:cs="仿宋_GB2312" w:eastAsia="仿宋_GB2312"/>
                      <w:sz w:val="24"/>
                    </w:rPr>
                    <w:t>≤20万㎡</w:t>
                  </w:r>
                </w:p>
              </w:tc>
              <w:tc>
                <w:tcPr>
                  <w:tcW w:type="dxa" w:w="1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按建筑面积计费（元</w:t>
                  </w:r>
                  <w:r>
                    <w:rPr>
                      <w:rFonts w:ascii="仿宋_GB2312" w:hAnsi="仿宋_GB2312" w:cs="仿宋_GB2312" w:eastAsia="仿宋_GB2312"/>
                      <w:sz w:val="24"/>
                    </w:rPr>
                    <w:t>/㎡）</w:t>
                  </w:r>
                </w:p>
              </w:tc>
              <w:tc>
                <w:tcPr>
                  <w:tcW w:type="dxa" w:w="139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1.8</w:t>
                  </w:r>
                </w:p>
              </w:tc>
            </w:tr>
            <w:tr>
              <w:tc>
                <w:tcPr>
                  <w:tcW w:type="dxa" w:w="13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一般房屋建筑</w:t>
                  </w:r>
                </w:p>
              </w:tc>
              <w:tc>
                <w:tcPr>
                  <w:tcW w:type="dxa" w:w="14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20万㎡＜建筑面积≤50万㎡</w:t>
                  </w:r>
                </w:p>
              </w:tc>
              <w:tc>
                <w:tcPr>
                  <w:tcW w:type="dxa" w:w="1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按建筑面积计费（元</w:t>
                  </w:r>
                  <w:r>
                    <w:rPr>
                      <w:rFonts w:ascii="仿宋_GB2312" w:hAnsi="仿宋_GB2312" w:cs="仿宋_GB2312" w:eastAsia="仿宋_GB2312"/>
                      <w:sz w:val="24"/>
                    </w:rPr>
                    <w:t>/㎡）</w:t>
                  </w:r>
                </w:p>
              </w:tc>
              <w:tc>
                <w:tcPr>
                  <w:tcW w:type="dxa" w:w="139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1.5</w:t>
                  </w:r>
                </w:p>
              </w:tc>
            </w:tr>
            <w:tr>
              <w:tc>
                <w:tcPr>
                  <w:tcW w:type="dxa" w:w="13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一般房屋建筑</w:t>
                  </w:r>
                </w:p>
              </w:tc>
              <w:tc>
                <w:tcPr>
                  <w:tcW w:type="dxa" w:w="14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建筑面积＞</w:t>
                  </w:r>
                  <w:r>
                    <w:rPr>
                      <w:rFonts w:ascii="仿宋_GB2312" w:hAnsi="仿宋_GB2312" w:cs="仿宋_GB2312" w:eastAsia="仿宋_GB2312"/>
                      <w:sz w:val="24"/>
                    </w:rPr>
                    <w:t>50万㎡</w:t>
                  </w:r>
                </w:p>
              </w:tc>
              <w:tc>
                <w:tcPr>
                  <w:tcW w:type="dxa" w:w="1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按建筑面积计费（元</w:t>
                  </w:r>
                  <w:r>
                    <w:rPr>
                      <w:rFonts w:ascii="仿宋_GB2312" w:hAnsi="仿宋_GB2312" w:cs="仿宋_GB2312" w:eastAsia="仿宋_GB2312"/>
                      <w:sz w:val="24"/>
                    </w:rPr>
                    <w:t>/㎡）</w:t>
                  </w:r>
                </w:p>
              </w:tc>
              <w:tc>
                <w:tcPr>
                  <w:tcW w:type="dxa" w:w="139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1.2</w:t>
                  </w:r>
                </w:p>
              </w:tc>
            </w:tr>
            <w:tr>
              <w:tc>
                <w:tcPr>
                  <w:tcW w:type="dxa" w:w="13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特殊建筑（体育场、博物馆等）</w:t>
                  </w:r>
                </w:p>
              </w:tc>
              <w:tc>
                <w:tcPr>
                  <w:tcW w:type="dxa" w:w="14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各类规模</w:t>
                  </w:r>
                </w:p>
              </w:tc>
              <w:tc>
                <w:tcPr>
                  <w:tcW w:type="dxa" w:w="1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按项目投资额计费</w:t>
                  </w:r>
                </w:p>
              </w:tc>
              <w:tc>
                <w:tcPr>
                  <w:tcW w:type="dxa" w:w="139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投资额的</w:t>
                  </w:r>
                  <w:r>
                    <w:rPr>
                      <w:rFonts w:ascii="仿宋_GB2312" w:hAnsi="仿宋_GB2312" w:cs="仿宋_GB2312" w:eastAsia="仿宋_GB2312"/>
                      <w:sz w:val="24"/>
                    </w:rPr>
                    <w:t>1.6‰</w:t>
                  </w:r>
                </w:p>
              </w:tc>
            </w:tr>
            <w:tr>
              <w:tc>
                <w:tcPr>
                  <w:tcW w:type="dxa" w:w="13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专项审查（内装饰、幕墙）</w:t>
                  </w:r>
                </w:p>
              </w:tc>
              <w:tc>
                <w:tcPr>
                  <w:tcW w:type="dxa" w:w="14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装饰</w:t>
                  </w:r>
                  <w:r>
                    <w:rPr>
                      <w:rFonts w:ascii="仿宋_GB2312" w:hAnsi="仿宋_GB2312" w:cs="仿宋_GB2312" w:eastAsia="仿宋_GB2312"/>
                      <w:sz w:val="24"/>
                    </w:rPr>
                    <w:t>/幕墙面积≤1万㎡</w:t>
                  </w:r>
                </w:p>
              </w:tc>
              <w:tc>
                <w:tcPr>
                  <w:tcW w:type="dxa" w:w="1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按面积计费（元</w:t>
                  </w:r>
                  <w:r>
                    <w:rPr>
                      <w:rFonts w:ascii="仿宋_GB2312" w:hAnsi="仿宋_GB2312" w:cs="仿宋_GB2312" w:eastAsia="仿宋_GB2312"/>
                      <w:sz w:val="24"/>
                    </w:rPr>
                    <w:t>/㎡）</w:t>
                  </w:r>
                </w:p>
              </w:tc>
              <w:tc>
                <w:tcPr>
                  <w:tcW w:type="dxa" w:w="139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内装饰</w:t>
                  </w:r>
                  <w:r>
                    <w:rPr>
                      <w:rFonts w:ascii="仿宋_GB2312" w:hAnsi="仿宋_GB2312" w:cs="仿宋_GB2312" w:eastAsia="仿宋_GB2312"/>
                      <w:sz w:val="24"/>
                    </w:rPr>
                    <w:t>1.5；幕墙1.2</w:t>
                  </w:r>
                </w:p>
              </w:tc>
            </w:tr>
            <w:tr>
              <w:tc>
                <w:tcPr>
                  <w:tcW w:type="dxa" w:w="13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市政项目</w:t>
                  </w:r>
                </w:p>
              </w:tc>
              <w:tc>
                <w:tcPr>
                  <w:tcW w:type="dxa" w:w="141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各类规模</w:t>
                  </w:r>
                </w:p>
              </w:tc>
              <w:tc>
                <w:tcPr>
                  <w:tcW w:type="dxa" w:w="144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按项目投资额计费</w:t>
                  </w:r>
                </w:p>
              </w:tc>
              <w:tc>
                <w:tcPr>
                  <w:tcW w:type="dxa" w:w="139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投资额的</w:t>
                  </w:r>
                  <w:r>
                    <w:rPr>
                      <w:rFonts w:ascii="仿宋_GB2312" w:hAnsi="仿宋_GB2312" w:cs="仿宋_GB2312" w:eastAsia="仿宋_GB2312"/>
                      <w:sz w:val="24"/>
                    </w:rPr>
                    <w:t>1.6‰</w:t>
                  </w:r>
                </w:p>
              </w:tc>
            </w:tr>
          </w:tbl>
          <w:p>
            <w:pPr>
              <w:pStyle w:val="null3"/>
              <w:ind w:firstLine="480"/>
              <w:jc w:val="both"/>
            </w:pPr>
            <w:r>
              <w:rPr>
                <w:rFonts w:ascii="仿宋_GB2312" w:hAnsi="仿宋_GB2312" w:cs="仿宋_GB2312" w:eastAsia="仿宋_GB2312"/>
                <w:sz w:val="24"/>
              </w:rPr>
              <w:t>5、环境影响评价收费标准</w:t>
            </w:r>
          </w:p>
          <w:tbl>
            <w:tblPr>
              <w:tblInd w:type="dxa" w:w="135"/>
              <w:tblBorders>
                <w:top w:val="none" w:color="000000" w:sz="4"/>
                <w:left w:val="none" w:color="000000" w:sz="4"/>
                <w:bottom w:val="none" w:color="000000" w:sz="4"/>
                <w:right w:val="none" w:color="000000" w:sz="4"/>
                <w:insideH w:val="none"/>
                <w:insideV w:val="none"/>
              </w:tblBorders>
            </w:tblPr>
            <w:tblGrid>
              <w:gridCol w:w="898"/>
              <w:gridCol w:w="1416"/>
              <w:gridCol w:w="1357"/>
              <w:gridCol w:w="1914"/>
            </w:tblGrid>
            <w:tr>
              <w:tc>
                <w:tcPr>
                  <w:tcW w:type="dxa" w:w="89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环评类型</w:t>
                  </w:r>
                </w:p>
              </w:tc>
              <w:tc>
                <w:tcPr>
                  <w:tcW w:type="dxa" w:w="141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项目规模</w:t>
                  </w:r>
                  <w:r>
                    <w:rPr>
                      <w:rFonts w:ascii="仿宋_GB2312" w:hAnsi="仿宋_GB2312" w:cs="仿宋_GB2312" w:eastAsia="仿宋_GB2312"/>
                      <w:sz w:val="24"/>
                    </w:rPr>
                    <w:t>/类型</w:t>
                  </w:r>
                </w:p>
              </w:tc>
              <w:tc>
                <w:tcPr>
                  <w:tcW w:type="dxa" w:w="135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计费方式</w:t>
                  </w:r>
                </w:p>
              </w:tc>
              <w:tc>
                <w:tcPr>
                  <w:tcW w:type="dxa" w:w="191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基准收费</w:t>
                  </w:r>
                </w:p>
              </w:tc>
            </w:tr>
            <w:tr>
              <w:tc>
                <w:tcPr>
                  <w:tcW w:type="dxa" w:w="8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环境影响报告书</w:t>
                  </w:r>
                </w:p>
              </w:tc>
              <w:tc>
                <w:tcPr>
                  <w:tcW w:type="dxa" w:w="14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重大影响类（化工、火电、矿山、大型园区等）</w:t>
                  </w:r>
                </w:p>
              </w:tc>
              <w:tc>
                <w:tcPr>
                  <w:tcW w:type="dxa" w:w="13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按项目总投资额分档累进计费</w:t>
                  </w:r>
                </w:p>
              </w:tc>
              <w:tc>
                <w:tcPr>
                  <w:tcW w:type="dxa" w:w="191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1000万以下：10万元；1000万-1亿：20万元；1亿-5亿：45万元；5亿以上：80万元</w:t>
                  </w:r>
                </w:p>
              </w:tc>
            </w:tr>
            <w:tr>
              <w:tc>
                <w:tcPr>
                  <w:tcW w:type="dxa" w:w="8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环境影响报告表</w:t>
                  </w:r>
                </w:p>
              </w:tc>
              <w:tc>
                <w:tcPr>
                  <w:tcW w:type="dxa" w:w="14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轻度影响类（普通加工、餐饮、小型房地产等）</w:t>
                  </w:r>
                </w:p>
              </w:tc>
              <w:tc>
                <w:tcPr>
                  <w:tcW w:type="dxa" w:w="13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按项目类型定额计费</w:t>
                  </w:r>
                </w:p>
              </w:tc>
              <w:tc>
                <w:tcPr>
                  <w:tcW w:type="dxa" w:w="191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小型（</w:t>
                  </w:r>
                  <w:r>
                    <w:rPr>
                      <w:rFonts w:ascii="仿宋_GB2312" w:hAnsi="仿宋_GB2312" w:cs="仿宋_GB2312" w:eastAsia="仿宋_GB2312"/>
                      <w:sz w:val="24"/>
                    </w:rPr>
                    <w:t>500万以下）：3万元；中型（500万-1000万）：6万元；大型（1000万以上）：10万元</w:t>
                  </w:r>
                </w:p>
              </w:tc>
            </w:tr>
            <w:tr>
              <w:tc>
                <w:tcPr>
                  <w:tcW w:type="dxa" w:w="8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环境影响登记表</w:t>
                  </w:r>
                </w:p>
              </w:tc>
              <w:tc>
                <w:tcPr>
                  <w:tcW w:type="dxa" w:w="141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影响极小类（普通商铺、小型装修等）</w:t>
                  </w:r>
                </w:p>
              </w:tc>
              <w:tc>
                <w:tcPr>
                  <w:tcW w:type="dxa" w:w="135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网上备案</w:t>
                  </w:r>
                </w:p>
              </w:tc>
              <w:tc>
                <w:tcPr>
                  <w:tcW w:type="dxa" w:w="191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200.00元</w:t>
                  </w:r>
                </w:p>
              </w:tc>
            </w:tr>
          </w:tbl>
          <w:p>
            <w:pPr>
              <w:pStyle w:val="null3"/>
              <w:ind w:firstLine="480"/>
              <w:jc w:val="both"/>
            </w:pPr>
            <w:r>
              <w:rPr>
                <w:rFonts w:ascii="仿宋_GB2312" w:hAnsi="仿宋_GB2312" w:cs="仿宋_GB2312" w:eastAsia="仿宋_GB2312"/>
                <w:sz w:val="24"/>
              </w:rPr>
              <w:t>6、社会稳定风险评估收费标准</w:t>
            </w:r>
          </w:p>
          <w:tbl>
            <w:tblPr>
              <w:tblBorders>
                <w:top w:val="none" w:color="000000" w:sz="4"/>
                <w:left w:val="none" w:color="000000" w:sz="4"/>
                <w:bottom w:val="none" w:color="000000" w:sz="4"/>
                <w:right w:val="none" w:color="000000" w:sz="4"/>
                <w:insideH w:val="none"/>
                <w:insideV w:val="none"/>
              </w:tblBorders>
            </w:tblPr>
            <w:tblGrid>
              <w:gridCol w:w="1958"/>
              <w:gridCol w:w="3640"/>
            </w:tblGrid>
            <w:tr>
              <w:tc>
                <w:tcPr>
                  <w:tcW w:type="dxa" w:w="195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项目投资额</w:t>
                  </w:r>
                </w:p>
              </w:tc>
              <w:tc>
                <w:tcPr>
                  <w:tcW w:type="dxa" w:w="364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基准收费（编制费）</w:t>
                  </w:r>
                </w:p>
              </w:tc>
            </w:tr>
            <w:tr>
              <w:tc>
                <w:tcPr>
                  <w:tcW w:type="dxa" w:w="19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1亿元（含）以下</w:t>
                  </w:r>
                </w:p>
              </w:tc>
              <w:tc>
                <w:tcPr>
                  <w:tcW w:type="dxa" w:w="364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6万元</w:t>
                  </w:r>
                </w:p>
              </w:tc>
            </w:tr>
            <w:tr>
              <w:tc>
                <w:tcPr>
                  <w:tcW w:type="dxa" w:w="19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1-5亿元（含）</w:t>
                  </w:r>
                </w:p>
              </w:tc>
              <w:tc>
                <w:tcPr>
                  <w:tcW w:type="dxa" w:w="364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8万元</w:t>
                  </w:r>
                </w:p>
              </w:tc>
            </w:tr>
            <w:tr>
              <w:tc>
                <w:tcPr>
                  <w:tcW w:type="dxa" w:w="19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5-10亿元（含）</w:t>
                  </w:r>
                </w:p>
              </w:tc>
              <w:tc>
                <w:tcPr>
                  <w:tcW w:type="dxa" w:w="364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16万元</w:t>
                  </w:r>
                </w:p>
              </w:tc>
            </w:tr>
            <w:tr>
              <w:tc>
                <w:tcPr>
                  <w:tcW w:type="dxa" w:w="19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10-50亿元（含）</w:t>
                  </w:r>
                </w:p>
              </w:tc>
              <w:tc>
                <w:tcPr>
                  <w:tcW w:type="dxa" w:w="364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25万元</w:t>
                  </w:r>
                </w:p>
              </w:tc>
            </w:tr>
            <w:tr>
              <w:tc>
                <w:tcPr>
                  <w:tcW w:type="dxa" w:w="195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50亿元以上</w:t>
                  </w:r>
                </w:p>
              </w:tc>
              <w:tc>
                <w:tcPr>
                  <w:tcW w:type="dxa" w:w="364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50万元（封顶）</w:t>
                  </w:r>
                </w:p>
              </w:tc>
            </w:tr>
          </w:tbl>
          <w:p>
            <w:pPr>
              <w:pStyle w:val="null3"/>
              <w:jc w:val="left"/>
            </w:pPr>
            <w:r>
              <w:rPr>
                <w:rFonts w:ascii="仿宋_GB2312" w:hAnsi="仿宋_GB2312" w:cs="仿宋_GB2312" w:eastAsia="仿宋_GB2312"/>
                <w:sz w:val="24"/>
              </w:rPr>
              <w:t>7、建设工程安全评价收费标准</w:t>
            </w:r>
          </w:p>
          <w:tbl>
            <w:tblPr>
              <w:tblBorders>
                <w:top w:val="none" w:color="000000" w:sz="4"/>
                <w:left w:val="none" w:color="000000" w:sz="4"/>
                <w:bottom w:val="none" w:color="000000" w:sz="4"/>
                <w:right w:val="none" w:color="000000" w:sz="4"/>
                <w:insideH w:val="none"/>
                <w:insideV w:val="none"/>
              </w:tblBorders>
            </w:tblPr>
            <w:tblGrid>
              <w:gridCol w:w="1429"/>
              <w:gridCol w:w="2020"/>
              <w:gridCol w:w="2149"/>
            </w:tblGrid>
            <w:tr>
              <w:tc>
                <w:tcPr>
                  <w:tcW w:type="dxa" w:w="142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安评类型</w:t>
                  </w:r>
                </w:p>
              </w:tc>
              <w:tc>
                <w:tcPr>
                  <w:tcW w:type="dxa" w:w="202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项目投资额</w:t>
                  </w:r>
                  <w:r>
                    <w:rPr>
                      <w:rFonts w:ascii="仿宋_GB2312" w:hAnsi="仿宋_GB2312" w:cs="仿宋_GB2312" w:eastAsia="仿宋_GB2312"/>
                      <w:sz w:val="24"/>
                    </w:rPr>
                    <w:t>/行业类型</w:t>
                  </w:r>
                </w:p>
              </w:tc>
              <w:tc>
                <w:tcPr>
                  <w:tcW w:type="dxa" w:w="214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基准收费</w:t>
                  </w:r>
                </w:p>
              </w:tc>
            </w:tr>
            <w:tr>
              <w:tc>
                <w:tcPr>
                  <w:tcW w:type="dxa" w:w="14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安全预评价</w:t>
                  </w:r>
                </w:p>
              </w:tc>
              <w:tc>
                <w:tcPr>
                  <w:tcW w:type="dxa" w:w="20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1000万以下</w:t>
                  </w:r>
                </w:p>
              </w:tc>
              <w:tc>
                <w:tcPr>
                  <w:tcW w:type="dxa" w:w="21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4万元</w:t>
                  </w:r>
                </w:p>
              </w:tc>
            </w:tr>
            <w:tr>
              <w:tc>
                <w:tcPr>
                  <w:tcW w:type="dxa" w:w="14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安全预评价</w:t>
                  </w:r>
                </w:p>
              </w:tc>
              <w:tc>
                <w:tcPr>
                  <w:tcW w:type="dxa" w:w="20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1000万-1亿</w:t>
                  </w:r>
                </w:p>
              </w:tc>
              <w:tc>
                <w:tcPr>
                  <w:tcW w:type="dxa" w:w="21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6万元</w:t>
                  </w:r>
                </w:p>
              </w:tc>
            </w:tr>
            <w:tr>
              <w:tc>
                <w:tcPr>
                  <w:tcW w:type="dxa" w:w="14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安全预评价</w:t>
                  </w:r>
                </w:p>
              </w:tc>
              <w:tc>
                <w:tcPr>
                  <w:tcW w:type="dxa" w:w="20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1亿以上/高危行业（化工、矿山、危化品等）</w:t>
                  </w:r>
                </w:p>
              </w:tc>
              <w:tc>
                <w:tcPr>
                  <w:tcW w:type="dxa" w:w="21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30万元</w:t>
                  </w:r>
                </w:p>
              </w:tc>
            </w:tr>
            <w:tr>
              <w:tc>
                <w:tcPr>
                  <w:tcW w:type="dxa" w:w="14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安全验收评价</w:t>
                  </w:r>
                </w:p>
              </w:tc>
              <w:tc>
                <w:tcPr>
                  <w:tcW w:type="dxa" w:w="20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各类项目</w:t>
                  </w:r>
                </w:p>
              </w:tc>
              <w:tc>
                <w:tcPr>
                  <w:tcW w:type="dxa" w:w="21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按对应预评价收费的</w:t>
                  </w:r>
                  <w:r>
                    <w:rPr>
                      <w:rFonts w:ascii="仿宋_GB2312" w:hAnsi="仿宋_GB2312" w:cs="仿宋_GB2312" w:eastAsia="仿宋_GB2312"/>
                      <w:sz w:val="24"/>
                    </w:rPr>
                    <w:t>70%</w:t>
                  </w:r>
                </w:p>
              </w:tc>
            </w:tr>
            <w:tr>
              <w:tc>
                <w:tcPr>
                  <w:tcW w:type="dxa" w:w="14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安全现状评价</w:t>
                  </w:r>
                </w:p>
              </w:tc>
              <w:tc>
                <w:tcPr>
                  <w:tcW w:type="dxa" w:w="20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各类项目</w:t>
                  </w:r>
                </w:p>
              </w:tc>
              <w:tc>
                <w:tcPr>
                  <w:tcW w:type="dxa" w:w="21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按对应预评价收费的</w:t>
                  </w:r>
                  <w:r>
                    <w:rPr>
                      <w:rFonts w:ascii="仿宋_GB2312" w:hAnsi="仿宋_GB2312" w:cs="仿宋_GB2312" w:eastAsia="仿宋_GB2312"/>
                      <w:sz w:val="24"/>
                    </w:rPr>
                    <w:t>60%</w:t>
                  </w:r>
                </w:p>
              </w:tc>
            </w:tr>
            <w:tr>
              <w:tc>
                <w:tcPr>
                  <w:tcW w:type="dxa" w:w="142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专项安评（加油站）</w:t>
                  </w:r>
                </w:p>
              </w:tc>
              <w:tc>
                <w:tcPr>
                  <w:tcW w:type="dxa" w:w="202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一级站</w:t>
                  </w:r>
                  <w:r>
                    <w:rPr>
                      <w:rFonts w:ascii="仿宋_GB2312" w:hAnsi="仿宋_GB2312" w:cs="仿宋_GB2312" w:eastAsia="仿宋_GB2312"/>
                      <w:sz w:val="24"/>
                    </w:rPr>
                    <w:t>/二级站/三级站</w:t>
                  </w:r>
                </w:p>
              </w:tc>
              <w:tc>
                <w:tcPr>
                  <w:tcW w:type="dxa" w:w="21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4"/>
                    </w:rPr>
                    <w:t>0.8万元/0.5万元/0.3万元</w:t>
                  </w:r>
                </w:p>
              </w:tc>
            </w:tr>
          </w:tbl>
          <w:p>
            <w:pPr>
              <w:pStyle w:val="null3"/>
              <w:ind w:firstLine="200"/>
              <w:jc w:val="left"/>
            </w:pPr>
            <w:r>
              <w:rPr>
                <w:rFonts w:ascii="仿宋_GB2312" w:hAnsi="仿宋_GB2312" w:cs="仿宋_GB2312" w:eastAsia="仿宋_GB2312"/>
                <w:sz w:val="24"/>
              </w:rPr>
              <w:t>8、地质灾害评估收费标准</w:t>
            </w:r>
          </w:p>
          <w:tbl>
            <w:tblPr>
              <w:tblInd w:type="dxa" w:w="30"/>
              <w:tblBorders>
                <w:top w:val="none" w:color="000000" w:sz="4"/>
                <w:left w:val="none" w:color="000000" w:sz="4"/>
                <w:bottom w:val="none" w:color="000000" w:sz="4"/>
                <w:right w:val="none" w:color="000000" w:sz="4"/>
                <w:insideH w:val="none"/>
                <w:insideV w:val="none"/>
              </w:tblBorders>
            </w:tblPr>
            <w:tblGrid>
              <w:gridCol w:w="1395"/>
              <w:gridCol w:w="1859"/>
              <w:gridCol w:w="2344"/>
            </w:tblGrid>
            <w:tr>
              <w:tc>
                <w:tcPr>
                  <w:tcW w:type="dxa" w:w="1395"/>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评估面积（</w:t>
                  </w:r>
                  <w:r>
                    <w:rPr>
                      <w:rFonts w:ascii="仿宋_GB2312" w:hAnsi="仿宋_GB2312" w:cs="仿宋_GB2312" w:eastAsia="仿宋_GB2312"/>
                      <w:sz w:val="24"/>
                    </w:rPr>
                    <w:t>km²）</w:t>
                  </w:r>
                </w:p>
              </w:tc>
              <w:tc>
                <w:tcPr>
                  <w:tcW w:type="dxa" w:w="1859"/>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评估面积（亩）</w:t>
                  </w:r>
                </w:p>
              </w:tc>
              <w:tc>
                <w:tcPr>
                  <w:tcW w:type="dxa" w:w="2344"/>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二级评估基准价（万元）</w:t>
                  </w:r>
                </w:p>
              </w:tc>
            </w:tr>
            <w:tr>
              <w:tc>
                <w:tcPr>
                  <w:tcW w:type="dxa" w:w="1395"/>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0.05</w:t>
                  </w:r>
                </w:p>
              </w:tc>
              <w:tc>
                <w:tcPr>
                  <w:tcW w:type="dxa" w:w="185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75</w:t>
                  </w:r>
                </w:p>
              </w:tc>
              <w:tc>
                <w:tcPr>
                  <w:tcW w:type="dxa" w:w="234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3.0</w:t>
                  </w:r>
                </w:p>
              </w:tc>
            </w:tr>
            <w:tr>
              <w:tc>
                <w:tcPr>
                  <w:tcW w:type="dxa" w:w="1395"/>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0.05～0.1</w:t>
                  </w:r>
                </w:p>
              </w:tc>
              <w:tc>
                <w:tcPr>
                  <w:tcW w:type="dxa" w:w="185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75～150</w:t>
                  </w:r>
                </w:p>
              </w:tc>
              <w:tc>
                <w:tcPr>
                  <w:tcW w:type="dxa" w:w="234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3.5</w:t>
                  </w:r>
                </w:p>
              </w:tc>
            </w:tr>
            <w:tr>
              <w:tc>
                <w:tcPr>
                  <w:tcW w:type="dxa" w:w="1395"/>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0.1～0.5</w:t>
                  </w:r>
                </w:p>
              </w:tc>
              <w:tc>
                <w:tcPr>
                  <w:tcW w:type="dxa" w:w="185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150～750</w:t>
                  </w:r>
                </w:p>
              </w:tc>
              <w:tc>
                <w:tcPr>
                  <w:tcW w:type="dxa" w:w="234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6.5</w:t>
                  </w:r>
                </w:p>
              </w:tc>
            </w:tr>
            <w:tr>
              <w:tc>
                <w:tcPr>
                  <w:tcW w:type="dxa" w:w="1395"/>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0.5～1.0</w:t>
                  </w:r>
                </w:p>
              </w:tc>
              <w:tc>
                <w:tcPr>
                  <w:tcW w:type="dxa" w:w="185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750～1500</w:t>
                  </w:r>
                </w:p>
              </w:tc>
              <w:tc>
                <w:tcPr>
                  <w:tcW w:type="dxa" w:w="234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8.0</w:t>
                  </w:r>
                </w:p>
              </w:tc>
            </w:tr>
            <w:tr>
              <w:tc>
                <w:tcPr>
                  <w:tcW w:type="dxa" w:w="1395"/>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1.0～2.0</w:t>
                  </w:r>
                </w:p>
              </w:tc>
              <w:tc>
                <w:tcPr>
                  <w:tcW w:type="dxa" w:w="1859"/>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1500～3000</w:t>
                  </w:r>
                </w:p>
              </w:tc>
              <w:tc>
                <w:tcPr>
                  <w:tcW w:type="dxa" w:w="2344"/>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rPr>
                    <w:t>12.0</w:t>
                  </w:r>
                </w:p>
              </w:tc>
            </w:tr>
          </w:tbl>
          <w:p>
            <w:pPr>
              <w:pStyle w:val="null3"/>
              <w:ind w:firstLine="480"/>
              <w:jc w:val="both"/>
            </w:pPr>
            <w:r>
              <w:rPr>
                <w:rFonts w:ascii="仿宋_GB2312" w:hAnsi="仿宋_GB2312" w:cs="仿宋_GB2312" w:eastAsia="仿宋_GB2312"/>
                <w:sz w:val="24"/>
              </w:rPr>
              <w:t>十、</w:t>
            </w:r>
            <w:r>
              <w:rPr>
                <w:rFonts w:ascii="仿宋_GB2312" w:hAnsi="仿宋_GB2312" w:cs="仿宋_GB2312" w:eastAsia="仿宋_GB2312"/>
                <w:sz w:val="24"/>
              </w:rPr>
              <w:t>供应商根据国家税法依法纳税。如供应商按照国家税法缴纳税率与合同约定税率不一致或根据国家政策法规变化按照新的增值税率开具符合采购人财务要求的发票，采购人按照合同不含税价保持不变，税率及税额调整则相应调整合同结算费用。</w:t>
            </w:r>
          </w:p>
          <w:p>
            <w:pPr>
              <w:pStyle w:val="null3"/>
              <w:ind w:firstLine="480"/>
              <w:jc w:val="both"/>
            </w:pPr>
            <w:r>
              <w:rPr>
                <w:rFonts w:ascii="仿宋_GB2312" w:hAnsi="仿宋_GB2312" w:cs="仿宋_GB2312" w:eastAsia="仿宋_GB2312"/>
                <w:sz w:val="24"/>
              </w:rPr>
              <w:t>十一、</w:t>
            </w:r>
            <w:r>
              <w:rPr>
                <w:rFonts w:ascii="仿宋_GB2312" w:hAnsi="仿宋_GB2312" w:cs="仿宋_GB2312" w:eastAsia="仿宋_GB2312"/>
                <w:sz w:val="24"/>
              </w:rPr>
              <w:t>服务期内供应商无时限配合采购人对咨询服务成果资料进行技术、经济优化，以达到采购人要求。</w:t>
            </w:r>
          </w:p>
          <w:p>
            <w:pPr>
              <w:pStyle w:val="null3"/>
              <w:ind w:firstLine="480"/>
              <w:jc w:val="both"/>
            </w:pPr>
            <w:r>
              <w:rPr>
                <w:rFonts w:ascii="仿宋_GB2312" w:hAnsi="仿宋_GB2312" w:cs="仿宋_GB2312" w:eastAsia="仿宋_GB2312"/>
                <w:sz w:val="24"/>
              </w:rPr>
              <w:t>十二、</w:t>
            </w:r>
            <w:r>
              <w:rPr>
                <w:rFonts w:ascii="仿宋_GB2312" w:hAnsi="仿宋_GB2312" w:cs="仿宋_GB2312" w:eastAsia="仿宋_GB2312"/>
                <w:sz w:val="24"/>
              </w:rPr>
              <w:t>供应商至少委派一人常驻到现场，配合采购人完成相关咨询服务工作，驻场时间为合同签订之日起</w:t>
            </w:r>
            <w:r>
              <w:rPr>
                <w:rFonts w:ascii="仿宋_GB2312" w:hAnsi="仿宋_GB2312" w:cs="仿宋_GB2312" w:eastAsia="仿宋_GB2312"/>
                <w:sz w:val="24"/>
              </w:rPr>
              <w:t>365日（或据实结算金额达到采购合同金额）中的所有工作日的9:00-17:00。（提供拟派驻人员身份证明，拟派驻人员与实际派驻项目现场的人员必须一致，若实际派驻人员与拟派驻人员不一致，则以虚假响应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rPr>
              <w:t>1、在本项目服务期内，中标人不可私自变更服务团队人员，如确需要变更的，需报请采购人书面同意后方可变更。</w:t>
            </w:r>
          </w:p>
          <w:p>
            <w:pPr>
              <w:pStyle w:val="null3"/>
              <w:jc w:val="left"/>
            </w:pPr>
            <w:r>
              <w:rPr>
                <w:rFonts w:ascii="仿宋_GB2312" w:hAnsi="仿宋_GB2312" w:cs="仿宋_GB2312" w:eastAsia="仿宋_GB2312"/>
              </w:rPr>
              <w:t>2、中标人应建立7×24小时联系机制，确保采购人在任意时间均可与中标人保持通畅的渠道。</w:t>
            </w:r>
          </w:p>
          <w:p>
            <w:pPr>
              <w:pStyle w:val="null3"/>
              <w:jc w:val="left"/>
            </w:pPr>
            <w:r>
              <w:rPr>
                <w:rFonts w:ascii="仿宋_GB2312" w:hAnsi="仿宋_GB2312" w:cs="仿宋_GB2312" w:eastAsia="仿宋_GB2312"/>
              </w:rPr>
              <w:t>3、中标人应建立完善的应急机制，确保在出现意外或紧急情况下可妥善完成服务内容。</w:t>
            </w:r>
          </w:p>
          <w:p>
            <w:pPr>
              <w:pStyle w:val="null3"/>
              <w:ind w:firstLine="480"/>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采购需求提供服务方案，内容包含：①咨询服务整体方案、②咨询服务工作质量控制措施、③咨询服务工作进度控制措施、④咨询服务工作协调措施、⑤咨询服务工作重点难点分析与建议、⑥咨询服务工作后续服务措施、⑦咨询服务人员组织管理措施、⑧咨询服务资源配备管理措施。</w:t>
            </w:r>
          </w:p>
          <w:p>
            <w:pPr>
              <w:pStyle w:val="null3"/>
              <w:jc w:val="left"/>
            </w:pPr>
            <w:r>
              <w:rPr>
                <w:rFonts w:ascii="仿宋_GB2312" w:hAnsi="仿宋_GB2312" w:cs="仿宋_GB2312" w:eastAsia="仿宋_GB2312"/>
              </w:rPr>
              <w:t>2、投标人针对本项目采购需求提供内控质量管理制度方案，内容包含：①人员管理制度、②质量控制制度、③信息保密制度、④ 廉政管理制度、⑤风险管理制度、⑥后续服务管理制度。</w:t>
            </w:r>
          </w:p>
          <w:p>
            <w:pPr>
              <w:pStyle w:val="null3"/>
              <w:jc w:val="left"/>
            </w:pPr>
            <w:r>
              <w:rPr>
                <w:rFonts w:ascii="仿宋_GB2312" w:hAnsi="仿宋_GB2312" w:cs="仿宋_GB2312" w:eastAsia="仿宋_GB2312"/>
              </w:rPr>
              <w:t>3、投标人具有类似项目业绩。</w:t>
            </w:r>
          </w:p>
          <w:p>
            <w:pPr>
              <w:pStyle w:val="null3"/>
              <w:jc w:val="left"/>
            </w:pPr>
            <w:r>
              <w:rPr>
                <w:rFonts w:ascii="仿宋_GB2312" w:hAnsi="仿宋_GB2312" w:cs="仿宋_GB2312" w:eastAsia="仿宋_GB2312"/>
              </w:rPr>
              <w:t>4、投标人自行配备其他有利于项目实施的人员、设备等。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1、在本项目服务期内，中标人不可私自变更服务团队人员，如确需要变更的，需报请采购人书面同意后方可变更。</w:t>
            </w:r>
          </w:p>
          <w:p>
            <w:pPr>
              <w:pStyle w:val="null3"/>
              <w:jc w:val="left"/>
            </w:pPr>
            <w:r>
              <w:rPr>
                <w:rFonts w:ascii="仿宋_GB2312" w:hAnsi="仿宋_GB2312" w:cs="仿宋_GB2312" w:eastAsia="仿宋_GB2312"/>
              </w:rPr>
              <w:t>2、中标人应建立7×24小时联系机制，确保采购人在任意时间均可与中标人保持通畅的渠道。</w:t>
            </w:r>
          </w:p>
          <w:p>
            <w:pPr>
              <w:pStyle w:val="null3"/>
              <w:jc w:val="left"/>
            </w:pPr>
            <w:r>
              <w:rPr>
                <w:rFonts w:ascii="仿宋_GB2312" w:hAnsi="仿宋_GB2312" w:cs="仿宋_GB2312" w:eastAsia="仿宋_GB2312"/>
              </w:rPr>
              <w:t>3、中标人应建立完善的应急机制，确保在出现意外或紧急情况下可妥善完成服务内容。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采购需求提供服务方案，内容包含：①编制依据；②工作流程；③项目重难点分析及解决方案；④项目组织机构；⑤服务质量保证措施；⑥编制时效保障；⑦保密管理；⑧成果文件档案管理；⑨应急管理措施。</w:t>
            </w:r>
          </w:p>
          <w:p>
            <w:pPr>
              <w:pStyle w:val="null3"/>
              <w:jc w:val="left"/>
            </w:pPr>
            <w:r>
              <w:rPr>
                <w:rFonts w:ascii="仿宋_GB2312" w:hAnsi="仿宋_GB2312" w:cs="仿宋_GB2312" w:eastAsia="仿宋_GB2312"/>
              </w:rPr>
              <w:t>2、投标人具有类似项目业绩。</w:t>
            </w:r>
          </w:p>
          <w:p>
            <w:pPr>
              <w:pStyle w:val="null3"/>
              <w:jc w:val="left"/>
            </w:pPr>
            <w:r>
              <w:rPr>
                <w:rFonts w:ascii="仿宋_GB2312" w:hAnsi="仿宋_GB2312" w:cs="仿宋_GB2312" w:eastAsia="仿宋_GB2312"/>
              </w:rPr>
              <w:t>3、投标人自行配备其他有利于项目实施的人员、设备等。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合同签订之日起365日或据实结算金额达到采购合同金额时止。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成都理工大学，具体内容以委托人的委托为准。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采购人按照《财政部关于进一步加强政府采购需求和履约验收管理的指导意见》（财库[2016]205号）及《成都理工大学采购验收管理办法》（成理校发[2023]11号）的有关规定开展验收工作。 验收标准：由采购人确认完成任务委托书要求，并达到成果标准。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单项咨询服务委托任务书和供应商提交的请款报告支付咨询服务费，具体如下：（1）供应商向采购人提交成果资料并审查通过，采购人向供应商支付单项项目费用总额的80%，达到付款条件起15日内，据实结算说明为各单项任务服务费用的80%</w:t>
            </w:r>
          </w:p>
          <w:p>
            <w:pPr>
              <w:pStyle w:val="null3"/>
              <w:jc w:val="left"/>
            </w:pPr>
            <w:r>
              <w:rPr>
                <w:rFonts w:ascii="仿宋_GB2312" w:hAnsi="仿宋_GB2312" w:cs="仿宋_GB2312" w:eastAsia="仿宋_GB2312"/>
              </w:rPr>
              <w:t>2、待所有委托项目服务内容达到要求且合同服务期满，可办理本合同结算手续，结算完成后，采购人向供应商支付全部委托任务服务费用剩余咨询费，达到付款条件起15日内，据实结算说明为全部委托任务服务费剩余的20%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双方协商解决；协商不成时，双方可向采购人所在地人民法院提起诉讼。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合同签订之日起365日或据实结算金额达到采购合同金额时止。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成都理工大学，具体内容以委托人的委托为准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采购人按照《财政部关于进一步加强政府采购需求和履约验收管理的指导意见》（财库[2016]205号）及《成都理工大学采购验收管理办法》（成理校发[2023]11号）的有关规定开展验收工作。 验收标准：由采购人确认完成任务委托书要求，并达到成果标准。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单项咨询服务委托任务书和供应商提交的请款报告支付咨询服务费，具体如下：（1）供应商向采购人提交成果资料并审查通过，采购人向供应商支付单项项目费用总额的80%，达到付款条件起15日内，据实结算说明为各单项任务服务费用的80%</w:t>
            </w:r>
          </w:p>
          <w:p>
            <w:pPr>
              <w:pStyle w:val="null3"/>
              <w:jc w:val="left"/>
            </w:pPr>
            <w:r>
              <w:rPr>
                <w:rFonts w:ascii="仿宋_GB2312" w:hAnsi="仿宋_GB2312" w:cs="仿宋_GB2312" w:eastAsia="仿宋_GB2312"/>
              </w:rPr>
              <w:t>2、待所有委托项目服务内容达到要求且合同服务期满，可办理本合同结算手续，结算完成后，采购人向供应商支付全部委托任务服务费用剩余咨询费，达到付款条件起15日内，据实结算说明为全部委托任务服务费剩余的20%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双方协商解决；协商不成时，双方可向采购人所在地人民法院提起诉讼。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采购人不承诺供应商在服务期内承接的咨询服务的具体数量和额度；2、如招标文件中所引用相关法律制度规定及相关国家、行业、地方标准存在过期、废止、变更的情况下(包含实质性要求)，那么招标文件中已过期、废止或变更的法律依据及标准仅作为参考依据，无实际意义；按照最新变化后的相关法律制度规定及相关国家、行业、地方标准制作投标文件；3、为扶持不发达地区和少数民族地区，同等条件下，评标委员会优先推荐企业注册地在不发达地区和少数民族地区的供应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采购人不承诺供应商在服务期内承接的咨询服务的具体数量和额度；2、如招标文件中所引用相关法律制度规定及相关国家、行业、地方标准存在过期、废止、变更的情况下(包含实质性要求)，那么招标文件中已过期、废止或变更的法律依据及标准仅作为参考依据，无实际意义；按照最新变化后的相关法律制度规定及相关国家、行业、地方标准制作投标文件；3、为扶持不发达地区和少数民族地区，同等条件下，评标委员会优先推荐企业注册地在不发达地区和少数民族地区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提供具有独立承担民事责任能力的证明材料，根据实际情况提供以下材料之一：①企业法人：提供统一社会信用代码的营业执照（未换证的提供营业执照、组织机构代码证、税务登记证）复印件；②事业法人：提供统一社会信用代码法人登记证书（未换证的提供事业法人登记证书、组织机构代码证）复印件；③其他组织：提供对应主管部门颁发的准许执业证明文件或营业执照复印件；④自然人：提供自然人身份证明复印件。若以无独立法人资格的分支机构参加投标，需提供总公司授权其独立开展业务的证明材料。供应商需在项目电子化交易系统中按要求上传相应证明文件并加盖供应商公章。</w:t>
            </w:r>
          </w:p>
        </w:tc>
        <w:tc>
          <w:tcPr>
            <w:tcW w:type="dxa" w:w="1661"/>
          </w:tcPr>
          <w:p>
            <w:pPr>
              <w:pStyle w:val="null3"/>
              <w:jc w:val="left"/>
            </w:pPr>
            <w:r>
              <w:rPr>
                <w:rFonts w:ascii="仿宋_GB2312" w:hAnsi="仿宋_GB2312" w:cs="仿宋_GB2312" w:eastAsia="仿宋_GB2312"/>
              </w:rPr>
              <w:t>投标（响应）函,01投标人应提交的相关资格证明材料.docx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提供具有独立承担民事责任能力的证明材料，根据实际情况提供以下材料之一：①企业法人：提供统一社会信用代码的营业执照（未换证的提供营业执照、组织机构代码证、税务登记证）复印件；②事业法人：提供统一社会信用代码法人登记证书（未换证的提供事业法人登记证书、组织机构代码证）复印件；③其他组织：提供对应主管部门颁发的准许执业证明文件或营业执照复印件；④自然人：提供自然人身份证明复印件。若以无独立法人资格的分支机构参加投标，需提供总公司授权其独立开展业务的证明材料。供应商需在项目电子化交易系统中按要求上传相应证明文件并加盖供应商公章。</w:t>
            </w:r>
          </w:p>
        </w:tc>
        <w:tc>
          <w:tcPr>
            <w:tcW w:type="dxa" w:w="1661"/>
          </w:tcPr>
          <w:p>
            <w:pPr>
              <w:pStyle w:val="null3"/>
              <w:jc w:val="left"/>
            </w:pPr>
            <w:r>
              <w:rPr>
                <w:rFonts w:ascii="仿宋_GB2312" w:hAnsi="仿宋_GB2312" w:cs="仿宋_GB2312" w:eastAsia="仿宋_GB2312"/>
              </w:rPr>
              <w:t>投标（响应）函,01投标人应提交的相关资格证明材料.docx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供应商须在“全国投资项目在线审批监管平台”备案且至少具备建筑、市政公用、电力（含火电、水电、核电、新能源）专业。</w:t>
            </w:r>
          </w:p>
        </w:tc>
        <w:tc>
          <w:tcPr>
            <w:tcW w:type="dxa" w:w="3322"/>
          </w:tcPr>
          <w:p>
            <w:pPr>
              <w:pStyle w:val="null3"/>
              <w:jc w:val="left"/>
            </w:pPr>
            <w:r>
              <w:rPr>
                <w:rFonts w:ascii="仿宋_GB2312" w:hAnsi="仿宋_GB2312" w:cs="仿宋_GB2312" w:eastAsia="仿宋_GB2312"/>
              </w:rPr>
              <w:t>供应商须在“全国投资项目在线审批监管平台”备案且至少具备建筑、市政公用、电力（含火电、水电、核电、新能源）专业。（提供相关证明材料并加盖投标人单位公章）</w:t>
            </w:r>
          </w:p>
        </w:tc>
        <w:tc>
          <w:tcPr>
            <w:tcW w:type="dxa" w:w="1661"/>
          </w:tcPr>
          <w:p>
            <w:pPr>
              <w:pStyle w:val="null3"/>
              <w:jc w:val="left"/>
            </w:pPr>
            <w:r>
              <w:rPr>
                <w:rFonts w:ascii="仿宋_GB2312" w:hAnsi="仿宋_GB2312" w:cs="仿宋_GB2312" w:eastAsia="仿宋_GB2312"/>
              </w:rPr>
              <w:t>01投标人应提交的相关资格证明材料.docx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供应商具备行政主管部门颁发的城乡规划（国土空间规划）编制乙级及以上资质。</w:t>
            </w:r>
          </w:p>
        </w:tc>
        <w:tc>
          <w:tcPr>
            <w:tcW w:type="dxa" w:w="3322"/>
          </w:tcPr>
          <w:p>
            <w:pPr>
              <w:pStyle w:val="null3"/>
              <w:jc w:val="left"/>
            </w:pPr>
            <w:r>
              <w:rPr>
                <w:rFonts w:ascii="仿宋_GB2312" w:hAnsi="仿宋_GB2312" w:cs="仿宋_GB2312" w:eastAsia="仿宋_GB2312"/>
              </w:rPr>
              <w:t>供应商具备行政主管部门颁发的城乡规划（国土空间规划）编制乙级及以上资质。（提供相关证明材料并加盖投标人单位公章）</w:t>
            </w:r>
          </w:p>
        </w:tc>
        <w:tc>
          <w:tcPr>
            <w:tcW w:type="dxa" w:w="1661"/>
          </w:tcPr>
          <w:p>
            <w:pPr>
              <w:pStyle w:val="null3"/>
              <w:jc w:val="left"/>
            </w:pPr>
            <w:r>
              <w:rPr>
                <w:rFonts w:ascii="仿宋_GB2312" w:hAnsi="仿宋_GB2312" w:cs="仿宋_GB2312" w:eastAsia="仿宋_GB2312"/>
              </w:rPr>
              <w:t>01投标人应提交的相关资格证明材料.docx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招标文件规定的其他实质性内容。</w:t>
            </w:r>
          </w:p>
        </w:tc>
        <w:tc>
          <w:tcPr>
            <w:tcW w:type="dxa" w:w="3322"/>
          </w:tcPr>
          <w:p>
            <w:pPr>
              <w:pStyle w:val="null3"/>
              <w:jc w:val="left"/>
            </w:pPr>
            <w:r>
              <w:rPr>
                <w:rFonts w:ascii="仿宋_GB2312" w:hAnsi="仿宋_GB2312" w:cs="仿宋_GB2312" w:eastAsia="仿宋_GB2312"/>
              </w:rPr>
              <w:t>投标文件是否符合招标文件规定的其他实质性内容要求。</w:t>
            </w:r>
          </w:p>
        </w:tc>
        <w:tc>
          <w:tcPr>
            <w:tcW w:type="dxa" w:w="1661"/>
          </w:tcPr>
          <w:p>
            <w:pPr>
              <w:pStyle w:val="null3"/>
              <w:jc w:val="left"/>
            </w:pPr>
            <w:r>
              <w:rPr>
                <w:rFonts w:ascii="仿宋_GB2312" w:hAnsi="仿宋_GB2312" w:cs="仿宋_GB2312" w:eastAsia="仿宋_GB2312"/>
              </w:rPr>
              <w:t>02技术要求应答表.docx,03服务、商务要求应答表.docx,报价明细表,报价表,投标（响应）函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招标文件规定的其他实质性内容。</w:t>
            </w:r>
          </w:p>
        </w:tc>
        <w:tc>
          <w:tcPr>
            <w:tcW w:type="dxa" w:w="3322"/>
          </w:tcPr>
          <w:p>
            <w:pPr>
              <w:pStyle w:val="null3"/>
              <w:jc w:val="left"/>
            </w:pPr>
            <w:r>
              <w:rPr>
                <w:rFonts w:ascii="仿宋_GB2312" w:hAnsi="仿宋_GB2312" w:cs="仿宋_GB2312" w:eastAsia="仿宋_GB2312"/>
              </w:rPr>
              <w:t>投标文件是否符合招标文件规定的其他实质性内容要求。</w:t>
            </w:r>
          </w:p>
        </w:tc>
        <w:tc>
          <w:tcPr>
            <w:tcW w:type="dxa" w:w="1661"/>
          </w:tcPr>
          <w:p>
            <w:pPr>
              <w:pStyle w:val="null3"/>
              <w:jc w:val="left"/>
            </w:pPr>
            <w:r>
              <w:rPr>
                <w:rFonts w:ascii="仿宋_GB2312" w:hAnsi="仿宋_GB2312" w:cs="仿宋_GB2312" w:eastAsia="仿宋_GB2312"/>
              </w:rPr>
              <w:t>02技术要求应答表.docx,03服务、商务要求应答表.docx,报价明细表,报价表,投标（响应）函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投入本项目总负责人（1名）：具有全国注册造价工程师或一级造价工程师（土建专业）得2分，具有全国注册造价工程师或一级造价工程师（安装专业）得2分；具有咨询类或工程类或经济类专业中级职称得1分，具有咨询类或工程类或经济类专业高级及以上职称得2分。本项最多得6分。 2.拟投入本项目技术负责人（1名）：具备全国注册造价工程师或一级造价工程师（土建专业或安装专业）得2分；具有工程类或经济类专业中级职称得1分，具有工程类或经济类专业高级及以上职称得2分，本项最多得4分。 3.拟投入本项目造价咨询负责人（1名）：具备全国注册造价工程师或一级造价工程师（土建或安装专业）得2分，具有工程类或经济类专业中级职称得1分，具有工程类或经济类专业高级及以上职称得2分，本项最多得4分。 4.拟投入本项目招标采购咨询负责人：具有工程类或经济类专业中级职称得2分，具有工程类或经济类专业高级及以上职称得3分，本项最多得3分。 5.拟投入本项目其他招标采购专业技术人员：具有工程类或经济类专业中级及以上职称得1分。本项最多得1分。 6.拟投入本项目土建专业造价人员：每配备1名具有全国注册造价工程师或一级造价工程师（土建专业）的土建专业造价人员得1分。本项最多得8分。 7.拟投入本项目安装专业造价人员：每配备1名具有全国注册造价师或一级造价工程师（安装专业）的安装专业造价人员得1分。本项最多得4分。 说明：以上人员不重复计算，以上人员须提供人员身份证、职称证（如涉及）、注册证（如涉及，注册单位须与投标单位一致）等证书复印件加盖供应商电子印章。投入本项目人员必须是投标人本单位的人员，提供在职证明。</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04实施本项目的主要人员情况表.docx</w:t>
            </w:r>
          </w:p>
          <w:p>
            <w:pPr>
              <w:pStyle w:val="null3"/>
              <w:jc w:val="left"/>
            </w:pPr>
            <w:r>
              <w:rPr>
                <w:rFonts w:ascii="仿宋_GB2312" w:hAnsi="仿宋_GB2312" w:cs="仿宋_GB2312" w:eastAsia="仿宋_GB2312"/>
              </w:rPr>
              <w:t>07投标人认为需要提供的其他文件和资料.docx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采购需求提供咨询服务方案，内容包括：①咨询服务整体方案、②咨询服务工作质量控制措施、③咨询服务工作进度控制措施、④咨询服务工作协调措施、⑤咨询服务工作重点难点分析与建议、⑥咨询服务工作后续服务措施、⑦咨询服务人员组织管理措施、⑧咨询服务资源配备管理措施。上述内容齐全且无缺陷得32分，每有1项内容缺失扣4分，每有1项中存在1处缺陷扣2分，每项分值扣完为止。未提供不得分。“缺陷”是指：存在项目名称错误、地点区域错误、内容与本项目需求无关、方案内容矛盾、仅有框架或标题、本项目提供的方案中引用的法律、法规、标准存在失效或错误、明显复制其他项目内容等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06服务方案.docx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供应商自2023年1月1日（含）以来，每具有1个工程造价咨询服务类业绩得5分，最高得10分。 注：提供合同复印/扫描件加盖供应商公章，以合同签订时间为准。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05类似业绩一览表.docx</w:t>
            </w:r>
          </w:p>
          <w:p>
            <w:pPr>
              <w:pStyle w:val="null3"/>
              <w:jc w:val="left"/>
            </w:pPr>
            <w:r>
              <w:rPr>
                <w:rFonts w:ascii="仿宋_GB2312" w:hAnsi="仿宋_GB2312" w:cs="仿宋_GB2312" w:eastAsia="仿宋_GB2312"/>
              </w:rPr>
              <w:t>07投标人认为需要提供的其他文件和资料.docx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内控质量管理制度方案</w:t>
            </w:r>
          </w:p>
        </w:tc>
        <w:tc>
          <w:tcPr>
            <w:tcW w:type="dxa" w:w="2575"/>
          </w:tcPr>
          <w:p>
            <w:pPr>
              <w:pStyle w:val="null3"/>
              <w:jc w:val="left"/>
            </w:pPr>
            <w:r>
              <w:rPr>
                <w:rFonts w:ascii="仿宋_GB2312" w:hAnsi="仿宋_GB2312" w:cs="仿宋_GB2312" w:eastAsia="仿宋_GB2312"/>
              </w:rPr>
              <w:t>供应商针对本项目采购需求提供项目服务时的内控质量管理制度方案，方案内容包括：①人员管理制度、②质量控制制度、③信息保密制度、④ 廉政管理制度、⑤风险管理制度、⑥后续服务管理制度。上述内容齐全且无缺陷得18分，每有1项内容缺失扣3分，每有1项中存在1处缺陷扣1.5分，每项分值扣完为止。未提供不得分。“缺陷”是指：存在项目名称错误、地点区域错误、内容与本项目需求无关、方案内容矛盾、仅有框架或标题、本项目提供的方案中引用的法律、法规、标准存在失效或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06服务方案.docx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满足招标文件要求且单项投标报价最低的为对应单项的评标基准价，投标人的各项价格得分按照下列公式计算： ①造价咨询服务报价得分=(评标基准价／投标报价)×10%×100。 ②招标采购咨询服务报价得分=(评标基准价／投标报价)×10%×100。 投标人的最终价格得分=①×0.8+②×0.2。 注：基准价=各单项最低投标报价折扣率； 投标报价=各单项投标报价折扣率。</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项目提供服务方案，内容包含：①编制依据；②工作流程；③项目重难点分析及解决方案；④项目组织机构；⑤服务质量保证措施；⑥编制时效保障；⑦保密管理；⑧成果文件档案管理；⑨应急管理措施。上述内容齐全且无缺陷得54分，每有1项内容缺失扣6分，每有1项中存在1处缺陷扣3分，每项分值扣完为止。未提供不得分。“缺陷”是指：存在项目名称错误、地点区域错误、内容与本项目需求无关、方案内容矛盾、仅有框架或标题、本项目提供的方案中引用的法律、法规、标准存在失效或错误、明显复制其他项目内容等任意一种情形。</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06服务方案.docx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1、项目负责人（1名）：具有咨询工程师（投资）证书得4分；在此基础上，具有工程类相关专业中级及以上技术职称加2分，本项最多得6分。 2、项目技术负责人（1名）：具有咨询工程师（投资）证书得4分；在此基础上，具有工程类相关专业中级及以上技术职称加2分，本项最多得6分。 3、其他服务人员：每有1人具有咨询工程师（投资）证书或者工程类相关专业中级及以上技术职称得2分，本项最多得4分。 注：1、以上人员需提供以下证明资料并加盖供应商电子签章：①提供对应人员身份证复印件；②提供对应人员的在职证明材料；③提供对应证书复印/扫描件。2、以上人员不重复得分。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04实施本项目的主要人员情况表.docx</w:t>
            </w:r>
          </w:p>
          <w:p>
            <w:pPr>
              <w:pStyle w:val="null3"/>
              <w:jc w:val="left"/>
            </w:pPr>
            <w:r>
              <w:rPr>
                <w:rFonts w:ascii="仿宋_GB2312" w:hAnsi="仿宋_GB2312" w:cs="仿宋_GB2312" w:eastAsia="仿宋_GB2312"/>
              </w:rPr>
              <w:t>07投标人认为需要提供的其他文件和资料.docx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提供的2023年1月1日（含）至递交投标文件截止日类似项目业绩（类似项目业绩是指：本次采购服务中的任意类型业绩）。每提供1个类似项目业绩得5分，此项最多得15分。 注：提供合同复印/扫描件加盖投标人公章，以合同签订之日为准。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05类似业绩一览表.docx</w:t>
            </w:r>
          </w:p>
          <w:p>
            <w:pPr>
              <w:pStyle w:val="null3"/>
              <w:jc w:val="left"/>
            </w:pPr>
            <w:r>
              <w:rPr>
                <w:rFonts w:ascii="仿宋_GB2312" w:hAnsi="仿宋_GB2312" w:cs="仿宋_GB2312" w:eastAsia="仿宋_GB2312"/>
              </w:rPr>
              <w:t>07投标人认为需要提供的其他文件和资料.docx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满足招标文件要求且单项投标报价最低的为对应单项的评标基准价，投标人的各项价格得分按照下列公式计算： ①项目咨询服务报价得分=(评标基准价／投标报价)×15%×100。 ②规划编制（修编）服务报价得分=(评标基准价／投标报价)×15%×100。 ③环境影响评价报价得分=(评标基准价／投标报价)×15%×100。 ④社会稳定风险评估报价得分=(评标基准价／投标报价)×15%×100。 ⑤安全评价报价得分=(评标基准价／投标报价)×15%×100。 ⑥地质灾害评估报价得分=(评标基准价／投标报价)×15%×100。 ⑦水土保持方案报价得分=(评标基准价／投标报价)×15%×100。 ⑧施工图审查（图审）报价得分=(评标基准价／投标报价)×15%×100。 投标人的最终价格得分=①×0.2+②×0.3+③×0.1+④×0.1+⑤×0.1+⑥×0.1+⑦×0.05+⑧×0.05。 注：基准价=各单项最低投标报价折扣率； 投标报价=各单项投标报价折扣率。</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详见附件：01投标人应提交的相关资格证明材料.docx</w:t>
      </w:r>
    </w:p>
    <w:p>
      <w:pPr>
        <w:pStyle w:val="null3"/>
        <w:ind w:firstLine="960"/>
        <w:jc w:val="left"/>
      </w:pPr>
      <w:r>
        <w:rPr>
          <w:rFonts w:ascii="仿宋_GB2312" w:hAnsi="仿宋_GB2312" w:cs="仿宋_GB2312" w:eastAsia="仿宋_GB2312"/>
        </w:rPr>
        <w:t>详见附件：02技术要求应答表.docx</w:t>
      </w:r>
    </w:p>
    <w:p>
      <w:pPr>
        <w:pStyle w:val="null3"/>
        <w:ind w:firstLine="960"/>
        <w:jc w:val="left"/>
      </w:pPr>
      <w:r>
        <w:rPr>
          <w:rFonts w:ascii="仿宋_GB2312" w:hAnsi="仿宋_GB2312" w:cs="仿宋_GB2312" w:eastAsia="仿宋_GB2312"/>
        </w:rPr>
        <w:t>详见附件：03服务、商务要求应答表.docx</w:t>
      </w:r>
    </w:p>
    <w:p>
      <w:pPr>
        <w:pStyle w:val="null3"/>
        <w:ind w:firstLine="960"/>
        <w:jc w:val="left"/>
      </w:pPr>
      <w:r>
        <w:rPr>
          <w:rFonts w:ascii="仿宋_GB2312" w:hAnsi="仿宋_GB2312" w:cs="仿宋_GB2312" w:eastAsia="仿宋_GB2312"/>
        </w:rPr>
        <w:t>详见附件：04实施本项目的主要人员情况表.docx</w:t>
      </w:r>
    </w:p>
    <w:p>
      <w:pPr>
        <w:pStyle w:val="null3"/>
        <w:ind w:firstLine="960"/>
        <w:jc w:val="left"/>
      </w:pPr>
      <w:r>
        <w:rPr>
          <w:rFonts w:ascii="仿宋_GB2312" w:hAnsi="仿宋_GB2312" w:cs="仿宋_GB2312" w:eastAsia="仿宋_GB2312"/>
        </w:rPr>
        <w:t>详见附件：05类似业绩一览表.docx</w:t>
      </w:r>
    </w:p>
    <w:p>
      <w:pPr>
        <w:pStyle w:val="null3"/>
        <w:ind w:firstLine="960"/>
        <w:jc w:val="left"/>
      </w:pPr>
      <w:r>
        <w:rPr>
          <w:rFonts w:ascii="仿宋_GB2312" w:hAnsi="仿宋_GB2312" w:cs="仿宋_GB2312" w:eastAsia="仿宋_GB2312"/>
        </w:rPr>
        <w:t>详见附件：06服务方案.docx</w:t>
      </w:r>
    </w:p>
    <w:p>
      <w:pPr>
        <w:pStyle w:val="null3"/>
        <w:ind w:firstLine="960"/>
        <w:jc w:val="left"/>
      </w:pPr>
      <w:r>
        <w:rPr>
          <w:rFonts w:ascii="仿宋_GB2312" w:hAnsi="仿宋_GB2312" w:cs="仿宋_GB2312" w:eastAsia="仿宋_GB2312"/>
        </w:rPr>
        <w:t>详见附件：07投标人认为需要提供的其他文件和资料.docx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详见附件：01投标人应提交的相关资格证明材料.docx</w:t>
      </w:r>
    </w:p>
    <w:p>
      <w:pPr>
        <w:pStyle w:val="null3"/>
        <w:ind w:firstLine="960"/>
        <w:jc w:val="left"/>
      </w:pPr>
      <w:r>
        <w:rPr>
          <w:rFonts w:ascii="仿宋_GB2312" w:hAnsi="仿宋_GB2312" w:cs="仿宋_GB2312" w:eastAsia="仿宋_GB2312"/>
        </w:rPr>
        <w:t>详见附件：02技术要求应答表.docx</w:t>
      </w:r>
    </w:p>
    <w:p>
      <w:pPr>
        <w:pStyle w:val="null3"/>
        <w:ind w:firstLine="960"/>
        <w:jc w:val="left"/>
      </w:pPr>
      <w:r>
        <w:rPr>
          <w:rFonts w:ascii="仿宋_GB2312" w:hAnsi="仿宋_GB2312" w:cs="仿宋_GB2312" w:eastAsia="仿宋_GB2312"/>
        </w:rPr>
        <w:t>详见附件：03服务、商务要求应答表.docx</w:t>
      </w:r>
    </w:p>
    <w:p>
      <w:pPr>
        <w:pStyle w:val="null3"/>
        <w:ind w:firstLine="960"/>
        <w:jc w:val="left"/>
      </w:pPr>
      <w:r>
        <w:rPr>
          <w:rFonts w:ascii="仿宋_GB2312" w:hAnsi="仿宋_GB2312" w:cs="仿宋_GB2312" w:eastAsia="仿宋_GB2312"/>
        </w:rPr>
        <w:t>详见附件：04实施本项目的主要人员情况表.docx</w:t>
      </w:r>
    </w:p>
    <w:p>
      <w:pPr>
        <w:pStyle w:val="null3"/>
        <w:ind w:firstLine="960"/>
        <w:jc w:val="left"/>
      </w:pPr>
      <w:r>
        <w:rPr>
          <w:rFonts w:ascii="仿宋_GB2312" w:hAnsi="仿宋_GB2312" w:cs="仿宋_GB2312" w:eastAsia="仿宋_GB2312"/>
        </w:rPr>
        <w:t>详见附件：05类似业绩一览表.docx</w:t>
      </w:r>
    </w:p>
    <w:p>
      <w:pPr>
        <w:pStyle w:val="null3"/>
        <w:ind w:firstLine="960"/>
        <w:jc w:val="left"/>
      </w:pPr>
      <w:r>
        <w:rPr>
          <w:rFonts w:ascii="仿宋_GB2312" w:hAnsi="仿宋_GB2312" w:cs="仿宋_GB2312" w:eastAsia="仿宋_GB2312"/>
        </w:rPr>
        <w:t>详见附件：06服务方案.docx</w:t>
      </w:r>
    </w:p>
    <w:p>
      <w:pPr>
        <w:pStyle w:val="null3"/>
        <w:ind w:firstLine="960"/>
        <w:jc w:val="left"/>
      </w:pPr>
      <w:r>
        <w:rPr>
          <w:rFonts w:ascii="仿宋_GB2312" w:hAnsi="仿宋_GB2312" w:cs="仿宋_GB2312" w:eastAsia="仿宋_GB2312"/>
        </w:rPr>
        <w:t>详见附件：07投标人认为需要提供的其他文件和资料.docx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详见附件：服务类-拟签订采购合同文本.docx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