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C64076">
      <w:pPr>
        <w:pStyle w:val="6"/>
        <w:jc w:val="center"/>
        <w:outlineLvl w:val="1"/>
        <w:rPr>
          <w:rFonts w:hint="default"/>
          <w:color w:val="auto"/>
          <w:highlight w:val="none"/>
        </w:rPr>
      </w:pPr>
      <w:r>
        <w:rPr>
          <w:b/>
          <w:color w:val="auto"/>
          <w:sz w:val="36"/>
          <w:highlight w:val="none"/>
        </w:rPr>
        <w:t>第二章 采购需求</w:t>
      </w:r>
    </w:p>
    <w:p w14:paraId="5D81727C">
      <w:pPr>
        <w:adjustRightInd w:val="0"/>
        <w:snapToGrid w:val="0"/>
        <w:spacing w:line="560" w:lineRule="exact"/>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一、项目概况</w:t>
      </w:r>
    </w:p>
    <w:p w14:paraId="27CF62F6">
      <w:pPr>
        <w:adjustRightInd w:val="0"/>
        <w:snapToGrid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广州市殡葬服务中心（以下称采购人）以竞争性磋商方式，向社会公开采购合作商驻点为群众提供骨灰箱 (盒) 金属相片及灵牌位制作服务。服务产品由采购人销售，售价由采购人依规确定，数量以采购人实际销售为准。</w:t>
      </w:r>
    </w:p>
    <w:p w14:paraId="6AB197F5">
      <w:pPr>
        <w:adjustRightInd w:val="0"/>
        <w:snapToGrid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项目属性：服务类</w:t>
      </w:r>
    </w:p>
    <w:p w14:paraId="1BE4A5BB">
      <w:pPr>
        <w:adjustRightInd w:val="0"/>
        <w:snapToGrid w:val="0"/>
        <w:spacing w:line="560" w:lineRule="exact"/>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二、合同期限</w:t>
      </w:r>
    </w:p>
    <w:p w14:paraId="08313276">
      <w:pPr>
        <w:spacing w:line="360" w:lineRule="auto"/>
        <w:ind w:firstLine="643" w:firstLineChars="200"/>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合同期1年，服务期为2026年10月</w:t>
      </w:r>
      <w:r>
        <w:rPr>
          <w:rFonts w:hint="eastAsia" w:ascii="仿宋_GB2312" w:hAnsi="仿宋_GB2312" w:eastAsia="仿宋_GB2312" w:cs="仿宋_GB2312"/>
          <w:b/>
          <w:bCs/>
          <w:color w:val="auto"/>
          <w:sz w:val="32"/>
          <w:szCs w:val="32"/>
          <w:highlight w:val="none"/>
          <w:lang w:val="en-US" w:eastAsia="zh-CN"/>
        </w:rPr>
        <w:t>1日</w:t>
      </w:r>
      <w:r>
        <w:rPr>
          <w:rFonts w:hint="eastAsia" w:ascii="仿宋_GB2312" w:hAnsi="仿宋_GB2312" w:eastAsia="仿宋_GB2312" w:cs="仿宋_GB2312"/>
          <w:b/>
          <w:bCs/>
          <w:color w:val="auto"/>
          <w:sz w:val="32"/>
          <w:szCs w:val="32"/>
          <w:highlight w:val="none"/>
        </w:rPr>
        <w:t>至2027年9月</w:t>
      </w:r>
      <w:r>
        <w:rPr>
          <w:rFonts w:hint="eastAsia" w:ascii="仿宋_GB2312" w:hAnsi="仿宋_GB2312" w:eastAsia="仿宋_GB2312" w:cs="仿宋_GB2312"/>
          <w:b/>
          <w:bCs/>
          <w:color w:val="auto"/>
          <w:sz w:val="32"/>
          <w:szCs w:val="32"/>
          <w:highlight w:val="none"/>
          <w:lang w:val="en-US" w:eastAsia="zh-CN"/>
        </w:rPr>
        <w:t>30日</w:t>
      </w:r>
      <w:r>
        <w:rPr>
          <w:rFonts w:hint="eastAsia" w:ascii="仿宋_GB2312" w:hAnsi="仿宋_GB2312" w:eastAsia="仿宋_GB2312" w:cs="仿宋_GB2312"/>
          <w:b/>
          <w:bCs/>
          <w:color w:val="auto"/>
          <w:sz w:val="32"/>
          <w:szCs w:val="32"/>
          <w:highlight w:val="none"/>
        </w:rPr>
        <w:t>，合同到期或供货金额满165万元，则该合同终止。</w:t>
      </w:r>
    </w:p>
    <w:p w14:paraId="40EA8A96">
      <w:pPr>
        <w:adjustRightInd w:val="0"/>
        <w:snapToGrid w:val="0"/>
        <w:spacing w:line="560" w:lineRule="exact"/>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三、服务范围及采购内容</w:t>
      </w:r>
    </w:p>
    <w:p w14:paraId="7490E3A0">
      <w:pPr>
        <w:adjustRightInd w:val="0"/>
        <w:snapToGrid w:val="0"/>
        <w:spacing w:line="560" w:lineRule="exact"/>
        <w:ind w:firstLine="320" w:firstLineChars="1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（一）服务地点：银河园、铭恩园、新塘公墓、观音山公墓</w:t>
      </w:r>
    </w:p>
    <w:p w14:paraId="4944FA8C">
      <w:pPr>
        <w:adjustRightInd w:val="0"/>
        <w:snapToGrid w:val="0"/>
        <w:spacing w:line="560" w:lineRule="exact"/>
        <w:ind w:firstLine="320" w:firstLineChars="1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（二）服务内容</w:t>
      </w:r>
    </w:p>
    <w:tbl>
      <w:tblPr>
        <w:tblStyle w:val="4"/>
        <w:tblpPr w:leftFromText="180" w:rightFromText="180" w:vertAnchor="text" w:horzAnchor="page" w:tblpX="2110" w:tblpY="4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800"/>
        <w:gridCol w:w="2400"/>
      </w:tblGrid>
      <w:tr w14:paraId="3E2D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900" w:type="dxa"/>
            <w:noWrap w:val="0"/>
            <w:vAlign w:val="center"/>
          </w:tcPr>
          <w:p w14:paraId="1D5AD1D3">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序号</w:t>
            </w:r>
          </w:p>
        </w:tc>
        <w:tc>
          <w:tcPr>
            <w:tcW w:w="4800" w:type="dxa"/>
            <w:noWrap w:val="0"/>
            <w:vAlign w:val="center"/>
          </w:tcPr>
          <w:p w14:paraId="13F3C928">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采购内容</w:t>
            </w:r>
          </w:p>
        </w:tc>
        <w:tc>
          <w:tcPr>
            <w:tcW w:w="2400" w:type="dxa"/>
            <w:noWrap w:val="0"/>
            <w:vAlign w:val="center"/>
          </w:tcPr>
          <w:p w14:paraId="2F773AE8">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采购预算金额</w:t>
            </w:r>
          </w:p>
        </w:tc>
      </w:tr>
      <w:tr w14:paraId="6E8A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900" w:type="dxa"/>
            <w:noWrap w:val="0"/>
            <w:vAlign w:val="center"/>
          </w:tcPr>
          <w:p w14:paraId="4ACCE05D">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p>
        </w:tc>
        <w:tc>
          <w:tcPr>
            <w:tcW w:w="4800" w:type="dxa"/>
            <w:noWrap w:val="0"/>
            <w:vAlign w:val="center"/>
          </w:tcPr>
          <w:p w14:paraId="0678B1A6">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骨灰盒箱（盅）遗像制作</w:t>
            </w:r>
          </w:p>
        </w:tc>
        <w:tc>
          <w:tcPr>
            <w:tcW w:w="2400" w:type="dxa"/>
            <w:vMerge w:val="restart"/>
            <w:noWrap w:val="0"/>
            <w:vAlign w:val="center"/>
          </w:tcPr>
          <w:p w14:paraId="36B2B1B8">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Cs/>
                <w:color w:val="auto"/>
                <w:sz w:val="32"/>
                <w:szCs w:val="32"/>
                <w:highlight w:val="none"/>
              </w:rPr>
              <w:t>本项目预算为165万元</w:t>
            </w:r>
          </w:p>
        </w:tc>
      </w:tr>
      <w:tr w14:paraId="06BD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noWrap w:val="0"/>
            <w:vAlign w:val="center"/>
          </w:tcPr>
          <w:p w14:paraId="06223FFD">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p>
        </w:tc>
        <w:tc>
          <w:tcPr>
            <w:tcW w:w="4800" w:type="dxa"/>
            <w:noWrap w:val="0"/>
            <w:vAlign w:val="center"/>
          </w:tcPr>
          <w:p w14:paraId="614158D7">
            <w:pPr>
              <w:spacing w:line="360" w:lineRule="auto"/>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灵牌位制作</w:t>
            </w:r>
          </w:p>
        </w:tc>
        <w:tc>
          <w:tcPr>
            <w:tcW w:w="2400" w:type="dxa"/>
            <w:vMerge w:val="continue"/>
            <w:noWrap w:val="0"/>
            <w:vAlign w:val="center"/>
          </w:tcPr>
          <w:p w14:paraId="40A4D4EE">
            <w:pPr>
              <w:spacing w:line="360" w:lineRule="auto"/>
              <w:jc w:val="center"/>
              <w:rPr>
                <w:rFonts w:hint="eastAsia" w:ascii="仿宋_GB2312" w:hAnsi="仿宋_GB2312" w:eastAsia="仿宋_GB2312" w:cs="仿宋_GB2312"/>
                <w:color w:val="auto"/>
                <w:sz w:val="32"/>
                <w:szCs w:val="32"/>
                <w:highlight w:val="none"/>
                <w:lang w:val="zh-CN"/>
              </w:rPr>
            </w:pPr>
          </w:p>
        </w:tc>
      </w:tr>
    </w:tbl>
    <w:p w14:paraId="0A57752F">
      <w:pPr>
        <w:adjustRightInd w:val="0"/>
        <w:snapToGrid w:val="0"/>
        <w:spacing w:line="560" w:lineRule="exact"/>
        <w:ind w:firstLine="320" w:firstLineChars="1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（三）产品规格</w:t>
      </w:r>
    </w:p>
    <w:tbl>
      <w:tblPr>
        <w:tblStyle w:val="4"/>
        <w:tblpPr w:leftFromText="180" w:rightFromText="180" w:vertAnchor="text" w:horzAnchor="page" w:tblpX="1787" w:tblpY="347"/>
        <w:tblOverlap w:val="never"/>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530"/>
        <w:gridCol w:w="638"/>
        <w:gridCol w:w="1247"/>
        <w:gridCol w:w="2540"/>
        <w:gridCol w:w="1785"/>
      </w:tblGrid>
      <w:tr w14:paraId="485B8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5" w:type="dxa"/>
            <w:noWrap w:val="0"/>
            <w:vAlign w:val="center"/>
          </w:tcPr>
          <w:p w14:paraId="6B04E56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30" w:type="dxa"/>
            <w:noWrap w:val="0"/>
            <w:vAlign w:val="center"/>
          </w:tcPr>
          <w:p w14:paraId="7654EE3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产品类别</w:t>
            </w:r>
          </w:p>
        </w:tc>
        <w:tc>
          <w:tcPr>
            <w:tcW w:w="638" w:type="dxa"/>
            <w:noWrap w:val="0"/>
            <w:vAlign w:val="center"/>
          </w:tcPr>
          <w:p w14:paraId="773418B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1247" w:type="dxa"/>
            <w:noWrap w:val="0"/>
            <w:vAlign w:val="center"/>
          </w:tcPr>
          <w:p w14:paraId="2A04C38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单价基准价（元）</w:t>
            </w:r>
          </w:p>
        </w:tc>
        <w:tc>
          <w:tcPr>
            <w:tcW w:w="2540" w:type="dxa"/>
            <w:noWrap w:val="0"/>
            <w:vAlign w:val="center"/>
          </w:tcPr>
          <w:p w14:paraId="0950389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规格（均为外部尺寸）</w:t>
            </w:r>
          </w:p>
          <w:p w14:paraId="0F3460A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椭圆长、短径（cm）</w:t>
            </w:r>
          </w:p>
          <w:p w14:paraId="5C084CB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宽、厚、高（cm）</w:t>
            </w:r>
          </w:p>
        </w:tc>
        <w:tc>
          <w:tcPr>
            <w:tcW w:w="1785" w:type="dxa"/>
            <w:noWrap w:val="0"/>
            <w:vAlign w:val="center"/>
          </w:tcPr>
          <w:p w14:paraId="4EE84F7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442CA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3" w:hRule="atLeast"/>
        </w:trPr>
        <w:tc>
          <w:tcPr>
            <w:tcW w:w="675" w:type="dxa"/>
            <w:vMerge w:val="restart"/>
            <w:noWrap w:val="0"/>
            <w:vAlign w:val="center"/>
          </w:tcPr>
          <w:p w14:paraId="4F2A763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30" w:type="dxa"/>
            <w:noWrap w:val="0"/>
            <w:vAlign w:val="center"/>
          </w:tcPr>
          <w:p w14:paraId="68F01292">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彩色金属相片</w:t>
            </w:r>
          </w:p>
        </w:tc>
        <w:tc>
          <w:tcPr>
            <w:tcW w:w="638" w:type="dxa"/>
            <w:noWrap w:val="0"/>
            <w:vAlign w:val="center"/>
          </w:tcPr>
          <w:p w14:paraId="2721BBC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785A392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60</w:t>
            </w:r>
          </w:p>
        </w:tc>
        <w:tc>
          <w:tcPr>
            <w:tcW w:w="2540" w:type="dxa"/>
            <w:noWrap w:val="0"/>
            <w:vAlign w:val="center"/>
          </w:tcPr>
          <w:p w14:paraId="2058B1FA">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长径</w:t>
            </w:r>
            <w:r>
              <w:rPr>
                <w:rFonts w:ascii="宋体" w:hAnsi="宋体" w:cs="宋体"/>
                <w:bCs/>
                <w:color w:val="auto"/>
                <w:kern w:val="0"/>
                <w:szCs w:val="21"/>
                <w:highlight w:val="none"/>
              </w:rPr>
              <w:t>×</w:t>
            </w:r>
            <w:r>
              <w:rPr>
                <w:rFonts w:hint="eastAsia" w:ascii="宋体" w:hAnsi="宋体"/>
                <w:bCs/>
                <w:color w:val="auto"/>
                <w:szCs w:val="21"/>
                <w:highlight w:val="none"/>
              </w:rPr>
              <w:t>短径=5</w:t>
            </w:r>
            <w:r>
              <w:rPr>
                <w:rFonts w:ascii="宋体" w:hAnsi="宋体" w:cs="宋体"/>
                <w:bCs/>
                <w:color w:val="auto"/>
                <w:kern w:val="0"/>
                <w:szCs w:val="21"/>
                <w:highlight w:val="none"/>
              </w:rPr>
              <w:t>×</w:t>
            </w:r>
            <w:r>
              <w:rPr>
                <w:rFonts w:hint="eastAsia" w:ascii="宋体" w:hAnsi="宋体"/>
                <w:bCs/>
                <w:color w:val="auto"/>
                <w:szCs w:val="21"/>
                <w:highlight w:val="none"/>
              </w:rPr>
              <w:t>4</w:t>
            </w:r>
          </w:p>
          <w:p w14:paraId="1CC6928E">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厚度</w:t>
            </w:r>
            <w:r>
              <w:rPr>
                <w:rFonts w:hint="eastAsia" w:ascii="宋体" w:hAnsi="宋体" w:cs="宋体"/>
                <w:bCs/>
                <w:color w:val="auto"/>
                <w:kern w:val="0"/>
                <w:szCs w:val="21"/>
                <w:highlight w:val="none"/>
              </w:rPr>
              <w:t>≤</w:t>
            </w:r>
            <w:r>
              <w:rPr>
                <w:rFonts w:hint="eastAsia" w:ascii="宋体" w:hAnsi="宋体"/>
                <w:bCs/>
                <w:color w:val="auto"/>
                <w:szCs w:val="21"/>
                <w:highlight w:val="none"/>
              </w:rPr>
              <w:t>0.5mm</w:t>
            </w:r>
          </w:p>
          <w:p w14:paraId="3DB709CC">
            <w:pPr>
              <w:spacing w:line="360" w:lineRule="auto"/>
              <w:jc w:val="center"/>
              <w:rPr>
                <w:rFonts w:hint="eastAsia" w:ascii="宋体" w:hAnsi="宋体" w:cs="宋体"/>
                <w:color w:val="auto"/>
                <w:szCs w:val="21"/>
                <w:highlight w:val="none"/>
              </w:rPr>
            </w:pPr>
            <w:r>
              <w:rPr>
                <w:rFonts w:hint="eastAsia" w:ascii="宋体" w:hAnsi="宋体"/>
                <w:bCs/>
                <w:color w:val="auto"/>
                <w:szCs w:val="21"/>
                <w:highlight w:val="none"/>
              </w:rPr>
              <w:t>铜制金属材质</w:t>
            </w:r>
          </w:p>
        </w:tc>
        <w:tc>
          <w:tcPr>
            <w:tcW w:w="1785" w:type="dxa"/>
            <w:vMerge w:val="restart"/>
            <w:noWrap w:val="0"/>
            <w:vAlign w:val="center"/>
          </w:tcPr>
          <w:p w14:paraId="78799F0B">
            <w:pPr>
              <w:spacing w:line="360" w:lineRule="auto"/>
              <w:jc w:val="left"/>
              <w:rPr>
                <w:rFonts w:hint="eastAsia" w:ascii="宋体" w:hAnsi="宋体" w:cs="宋体"/>
                <w:color w:val="auto"/>
                <w:szCs w:val="21"/>
                <w:highlight w:val="none"/>
              </w:rPr>
            </w:pPr>
          </w:p>
        </w:tc>
      </w:tr>
      <w:tr w14:paraId="6619A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675" w:type="dxa"/>
            <w:vMerge w:val="continue"/>
            <w:noWrap w:val="0"/>
            <w:vAlign w:val="center"/>
          </w:tcPr>
          <w:p w14:paraId="09FF713F">
            <w:pPr>
              <w:spacing w:line="360" w:lineRule="auto"/>
              <w:jc w:val="center"/>
              <w:rPr>
                <w:rFonts w:hint="eastAsia" w:ascii="宋体" w:hAnsi="宋体" w:cs="宋体"/>
                <w:color w:val="auto"/>
                <w:szCs w:val="21"/>
                <w:highlight w:val="none"/>
              </w:rPr>
            </w:pPr>
          </w:p>
        </w:tc>
        <w:tc>
          <w:tcPr>
            <w:tcW w:w="1530" w:type="dxa"/>
            <w:noWrap w:val="0"/>
            <w:vAlign w:val="center"/>
          </w:tcPr>
          <w:p w14:paraId="4138F05C">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黑白金属相片</w:t>
            </w:r>
          </w:p>
        </w:tc>
        <w:tc>
          <w:tcPr>
            <w:tcW w:w="638" w:type="dxa"/>
            <w:noWrap w:val="0"/>
            <w:vAlign w:val="center"/>
          </w:tcPr>
          <w:p w14:paraId="0B0856E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0C1B321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50</w:t>
            </w:r>
          </w:p>
        </w:tc>
        <w:tc>
          <w:tcPr>
            <w:tcW w:w="2540" w:type="dxa"/>
            <w:noWrap w:val="0"/>
            <w:vAlign w:val="center"/>
          </w:tcPr>
          <w:p w14:paraId="2D9F6018">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长径</w:t>
            </w:r>
            <w:r>
              <w:rPr>
                <w:rFonts w:ascii="宋体" w:hAnsi="宋体" w:cs="宋体"/>
                <w:bCs/>
                <w:color w:val="auto"/>
                <w:kern w:val="0"/>
                <w:szCs w:val="21"/>
                <w:highlight w:val="none"/>
              </w:rPr>
              <w:t>×</w:t>
            </w:r>
            <w:r>
              <w:rPr>
                <w:rFonts w:hint="eastAsia" w:ascii="宋体" w:hAnsi="宋体"/>
                <w:bCs/>
                <w:color w:val="auto"/>
                <w:szCs w:val="21"/>
                <w:highlight w:val="none"/>
              </w:rPr>
              <w:t>短径=5</w:t>
            </w:r>
            <w:r>
              <w:rPr>
                <w:rFonts w:ascii="宋体" w:hAnsi="宋体" w:cs="宋体"/>
                <w:bCs/>
                <w:color w:val="auto"/>
                <w:kern w:val="0"/>
                <w:szCs w:val="21"/>
                <w:highlight w:val="none"/>
              </w:rPr>
              <w:t>×</w:t>
            </w:r>
            <w:r>
              <w:rPr>
                <w:rFonts w:hint="eastAsia" w:ascii="宋体" w:hAnsi="宋体"/>
                <w:bCs/>
                <w:color w:val="auto"/>
                <w:szCs w:val="21"/>
                <w:highlight w:val="none"/>
              </w:rPr>
              <w:t>4</w:t>
            </w:r>
          </w:p>
          <w:p w14:paraId="01C1D4CC">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厚度</w:t>
            </w:r>
            <w:r>
              <w:rPr>
                <w:rFonts w:hint="eastAsia" w:ascii="宋体" w:hAnsi="宋体" w:cs="宋体"/>
                <w:bCs/>
                <w:color w:val="auto"/>
                <w:kern w:val="0"/>
                <w:szCs w:val="21"/>
                <w:highlight w:val="none"/>
              </w:rPr>
              <w:t>≤</w:t>
            </w:r>
            <w:r>
              <w:rPr>
                <w:rFonts w:hint="eastAsia" w:ascii="宋体" w:hAnsi="宋体"/>
                <w:bCs/>
                <w:color w:val="auto"/>
                <w:szCs w:val="21"/>
                <w:highlight w:val="none"/>
              </w:rPr>
              <w:t>0.5mm</w:t>
            </w:r>
          </w:p>
          <w:p w14:paraId="00A1444C">
            <w:pPr>
              <w:spacing w:line="360" w:lineRule="auto"/>
              <w:jc w:val="center"/>
              <w:rPr>
                <w:rFonts w:hint="eastAsia" w:ascii="宋体" w:hAnsi="宋体" w:cs="宋体"/>
                <w:color w:val="auto"/>
                <w:szCs w:val="21"/>
                <w:highlight w:val="none"/>
              </w:rPr>
            </w:pPr>
            <w:r>
              <w:rPr>
                <w:rFonts w:hint="eastAsia" w:ascii="宋体" w:hAnsi="宋体"/>
                <w:bCs/>
                <w:color w:val="auto"/>
                <w:szCs w:val="21"/>
                <w:highlight w:val="none"/>
              </w:rPr>
              <w:t>铜制金属材质</w:t>
            </w:r>
          </w:p>
        </w:tc>
        <w:tc>
          <w:tcPr>
            <w:tcW w:w="1785" w:type="dxa"/>
            <w:vMerge w:val="continue"/>
            <w:noWrap w:val="0"/>
            <w:vAlign w:val="center"/>
          </w:tcPr>
          <w:p w14:paraId="673124D2">
            <w:pPr>
              <w:spacing w:line="360" w:lineRule="auto"/>
              <w:jc w:val="center"/>
              <w:rPr>
                <w:rFonts w:hint="eastAsia" w:ascii="宋体" w:hAnsi="宋体" w:cs="宋体"/>
                <w:color w:val="auto"/>
                <w:szCs w:val="21"/>
                <w:highlight w:val="none"/>
              </w:rPr>
            </w:pPr>
          </w:p>
        </w:tc>
      </w:tr>
      <w:tr w14:paraId="7C51C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675" w:type="dxa"/>
            <w:vMerge w:val="restart"/>
            <w:noWrap w:val="0"/>
            <w:vAlign w:val="center"/>
          </w:tcPr>
          <w:p w14:paraId="69844EA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30" w:type="dxa"/>
            <w:noWrap w:val="0"/>
            <w:vAlign w:val="center"/>
          </w:tcPr>
          <w:p w14:paraId="25098B1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灵牌位一类</w:t>
            </w:r>
          </w:p>
        </w:tc>
        <w:tc>
          <w:tcPr>
            <w:tcW w:w="638" w:type="dxa"/>
            <w:noWrap w:val="0"/>
            <w:vAlign w:val="center"/>
          </w:tcPr>
          <w:p w14:paraId="7D40F67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1F86FA2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540" w:type="dxa"/>
            <w:vMerge w:val="restart"/>
            <w:noWrap w:val="0"/>
            <w:vAlign w:val="center"/>
          </w:tcPr>
          <w:p w14:paraId="20D795AD">
            <w:pPr>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一二类牌位高度不超过20cm</w:t>
            </w:r>
          </w:p>
          <w:p w14:paraId="5C881E96">
            <w:pPr>
              <w:jc w:val="left"/>
              <w:rPr>
                <w:rFonts w:hint="eastAsia" w:ascii="宋体" w:hAnsi="宋体" w:cs="宋体"/>
                <w:color w:val="auto"/>
                <w:szCs w:val="21"/>
                <w:highlight w:val="none"/>
              </w:rPr>
            </w:pPr>
            <w:r>
              <w:rPr>
                <w:rFonts w:hint="eastAsia" w:ascii="宋体" w:hAnsi="宋体" w:cs="宋体"/>
                <w:bCs/>
                <w:color w:val="auto"/>
                <w:kern w:val="0"/>
                <w:szCs w:val="21"/>
                <w:highlight w:val="none"/>
              </w:rPr>
              <w:t>三至</w:t>
            </w:r>
            <w:r>
              <w:rPr>
                <w:rFonts w:hint="eastAsia" w:ascii="宋体" w:hAnsi="宋体" w:cs="宋体"/>
                <w:bCs/>
                <w:color w:val="auto"/>
                <w:kern w:val="0"/>
                <w:szCs w:val="21"/>
                <w:highlight w:val="none"/>
                <w:lang w:val="en-US" w:eastAsia="zh-CN"/>
              </w:rPr>
              <w:t>六</w:t>
            </w:r>
            <w:r>
              <w:rPr>
                <w:rFonts w:hint="eastAsia" w:ascii="宋体" w:hAnsi="宋体" w:cs="宋体"/>
                <w:bCs/>
                <w:color w:val="auto"/>
                <w:kern w:val="0"/>
                <w:szCs w:val="21"/>
                <w:highlight w:val="none"/>
              </w:rPr>
              <w:t>类牌位：</w:t>
            </w:r>
            <w:r>
              <w:rPr>
                <w:rFonts w:hint="eastAsia" w:ascii="宋体" w:hAnsi="宋体" w:cs="宋体"/>
                <w:color w:val="auto"/>
                <w:szCs w:val="21"/>
                <w:highlight w:val="none"/>
              </w:rPr>
              <w:t>宽×厚×高≤15×6×26</w:t>
            </w:r>
            <w:r>
              <w:rPr>
                <w:rFonts w:hint="eastAsia" w:ascii="宋体" w:hAnsi="宋体" w:cs="宋体"/>
                <w:bCs/>
                <w:color w:val="auto"/>
                <w:kern w:val="0"/>
                <w:szCs w:val="21"/>
                <w:highlight w:val="none"/>
              </w:rPr>
              <w:t>cm</w:t>
            </w:r>
          </w:p>
          <w:p w14:paraId="4366A8D7">
            <w:pPr>
              <w:jc w:val="left"/>
              <w:rPr>
                <w:rFonts w:hint="eastAsia" w:ascii="宋体" w:hAnsi="宋体" w:cs="宋体"/>
                <w:color w:val="auto"/>
                <w:szCs w:val="21"/>
                <w:highlight w:val="none"/>
              </w:rPr>
            </w:pPr>
            <w:r>
              <w:rPr>
                <w:rFonts w:hint="eastAsia" w:ascii="宋体" w:hAnsi="宋体" w:cs="宋体"/>
                <w:color w:val="auto"/>
                <w:szCs w:val="21"/>
                <w:highlight w:val="none"/>
              </w:rPr>
              <w:t>单件重量：不少于0.5Kg</w:t>
            </w:r>
          </w:p>
          <w:p w14:paraId="2BC9DA07">
            <w:pPr>
              <w:jc w:val="left"/>
              <w:rPr>
                <w:rFonts w:hint="eastAsia" w:ascii="宋体" w:hAnsi="宋体" w:cs="宋体"/>
                <w:bCs/>
                <w:color w:val="auto"/>
                <w:kern w:val="0"/>
                <w:szCs w:val="21"/>
                <w:highlight w:val="none"/>
              </w:rPr>
            </w:pPr>
            <w:r>
              <w:rPr>
                <w:rFonts w:hint="eastAsia" w:ascii="宋体" w:hAnsi="宋体" w:cs="宋体"/>
                <w:color w:val="auto"/>
                <w:szCs w:val="21"/>
                <w:highlight w:val="none"/>
              </w:rPr>
              <w:t>木制牌位主要部位须榫卯结构</w:t>
            </w:r>
          </w:p>
          <w:p w14:paraId="4B82F90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灵牌位材质类别需包含汉白玉、大理石、</w:t>
            </w:r>
            <w:r>
              <w:rPr>
                <w:rFonts w:hint="eastAsia" w:ascii="宋体" w:hAnsi="宋体" w:cs="宋体"/>
                <w:color w:val="auto"/>
                <w:szCs w:val="21"/>
                <w:highlight w:val="none"/>
                <w:lang w:val="en-US" w:eastAsia="zh-CN"/>
              </w:rPr>
              <w:t>透明亚克力</w:t>
            </w:r>
            <w:r>
              <w:rPr>
                <w:rFonts w:hint="eastAsia" w:ascii="宋体" w:hAnsi="宋体" w:cs="宋体"/>
                <w:color w:val="auto"/>
                <w:szCs w:val="21"/>
                <w:highlight w:val="none"/>
              </w:rPr>
              <w:t>、木制（</w:t>
            </w:r>
            <w:r>
              <w:rPr>
                <w:rFonts w:hint="eastAsia" w:ascii="宋体" w:hAnsi="宋体" w:cs="宋体"/>
                <w:color w:val="auto"/>
                <w:szCs w:val="21"/>
                <w:highlight w:val="none"/>
                <w:lang w:eastAsia="zh-CN"/>
              </w:rPr>
              <w:t>檀木</w:t>
            </w:r>
            <w:r>
              <w:rPr>
                <w:rFonts w:hint="eastAsia" w:ascii="宋体" w:hAnsi="宋体" w:cs="宋体"/>
                <w:color w:val="auto"/>
                <w:szCs w:val="21"/>
                <w:highlight w:val="none"/>
              </w:rPr>
              <w:t>、樟</w:t>
            </w:r>
            <w:r>
              <w:rPr>
                <w:rFonts w:hint="eastAsia" w:ascii="宋体" w:hAnsi="宋体" w:cs="宋体"/>
                <w:color w:val="auto"/>
                <w:szCs w:val="21"/>
                <w:highlight w:val="none"/>
                <w:lang w:eastAsia="zh-CN"/>
              </w:rPr>
              <w:t>木</w:t>
            </w:r>
            <w:r>
              <w:rPr>
                <w:rFonts w:hint="eastAsia" w:ascii="宋体" w:hAnsi="宋体" w:cs="宋体"/>
                <w:color w:val="auto"/>
                <w:szCs w:val="21"/>
                <w:highlight w:val="none"/>
              </w:rPr>
              <w:t>、</w:t>
            </w:r>
            <w:r>
              <w:rPr>
                <w:rFonts w:hint="eastAsia" w:ascii="宋体" w:hAnsi="宋体" w:cs="宋体"/>
                <w:color w:val="auto"/>
                <w:szCs w:val="21"/>
                <w:highlight w:val="none"/>
                <w:lang w:eastAsia="zh-CN"/>
              </w:rPr>
              <w:t>菠萝格</w:t>
            </w:r>
            <w:r>
              <w:rPr>
                <w:rFonts w:hint="eastAsia" w:ascii="宋体" w:hAnsi="宋体" w:cs="宋体"/>
                <w:color w:val="auto"/>
                <w:szCs w:val="21"/>
                <w:highlight w:val="none"/>
              </w:rPr>
              <w:t>）材质。</w:t>
            </w:r>
          </w:p>
        </w:tc>
        <w:tc>
          <w:tcPr>
            <w:tcW w:w="1785" w:type="dxa"/>
            <w:vMerge w:val="continue"/>
            <w:noWrap w:val="0"/>
            <w:vAlign w:val="top"/>
          </w:tcPr>
          <w:p w14:paraId="33BA91B8">
            <w:pPr>
              <w:spacing w:line="360" w:lineRule="auto"/>
              <w:jc w:val="center"/>
              <w:rPr>
                <w:rFonts w:hint="eastAsia" w:ascii="宋体" w:hAnsi="宋体" w:cs="宋体"/>
                <w:color w:val="auto"/>
                <w:szCs w:val="21"/>
                <w:highlight w:val="none"/>
              </w:rPr>
            </w:pPr>
          </w:p>
        </w:tc>
      </w:tr>
      <w:tr w14:paraId="6F3AD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75" w:type="dxa"/>
            <w:vMerge w:val="continue"/>
            <w:noWrap w:val="0"/>
            <w:vAlign w:val="center"/>
          </w:tcPr>
          <w:p w14:paraId="74A184F7">
            <w:pPr>
              <w:spacing w:line="360" w:lineRule="auto"/>
              <w:jc w:val="center"/>
              <w:rPr>
                <w:rFonts w:hint="eastAsia" w:ascii="宋体" w:hAnsi="宋体" w:cs="宋体"/>
                <w:color w:val="auto"/>
                <w:szCs w:val="21"/>
                <w:highlight w:val="none"/>
              </w:rPr>
            </w:pPr>
          </w:p>
        </w:tc>
        <w:tc>
          <w:tcPr>
            <w:tcW w:w="1530" w:type="dxa"/>
            <w:noWrap w:val="0"/>
            <w:vAlign w:val="center"/>
          </w:tcPr>
          <w:p w14:paraId="45566C6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灵牌位二类</w:t>
            </w:r>
          </w:p>
        </w:tc>
        <w:tc>
          <w:tcPr>
            <w:tcW w:w="638" w:type="dxa"/>
            <w:noWrap w:val="0"/>
            <w:vAlign w:val="center"/>
          </w:tcPr>
          <w:p w14:paraId="01DBF68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1DB9C47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70</w:t>
            </w:r>
          </w:p>
        </w:tc>
        <w:tc>
          <w:tcPr>
            <w:tcW w:w="2540" w:type="dxa"/>
            <w:vMerge w:val="continue"/>
            <w:noWrap w:val="0"/>
            <w:vAlign w:val="center"/>
          </w:tcPr>
          <w:p w14:paraId="4A661B1A">
            <w:pPr>
              <w:spacing w:line="360" w:lineRule="auto"/>
              <w:jc w:val="center"/>
              <w:rPr>
                <w:rFonts w:hint="eastAsia" w:ascii="宋体" w:hAnsi="宋体" w:cs="宋体"/>
                <w:color w:val="auto"/>
                <w:szCs w:val="21"/>
                <w:highlight w:val="none"/>
              </w:rPr>
            </w:pPr>
          </w:p>
        </w:tc>
        <w:tc>
          <w:tcPr>
            <w:tcW w:w="1785" w:type="dxa"/>
            <w:vMerge w:val="continue"/>
            <w:noWrap w:val="0"/>
            <w:vAlign w:val="center"/>
          </w:tcPr>
          <w:p w14:paraId="321927C4">
            <w:pPr>
              <w:spacing w:line="360" w:lineRule="auto"/>
              <w:jc w:val="center"/>
              <w:rPr>
                <w:rFonts w:hint="eastAsia" w:ascii="宋体" w:hAnsi="宋体" w:cs="宋体"/>
                <w:color w:val="auto"/>
                <w:szCs w:val="21"/>
                <w:highlight w:val="none"/>
              </w:rPr>
            </w:pPr>
          </w:p>
        </w:tc>
      </w:tr>
      <w:tr w14:paraId="5E9AE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675" w:type="dxa"/>
            <w:vMerge w:val="continue"/>
            <w:noWrap w:val="0"/>
            <w:vAlign w:val="center"/>
          </w:tcPr>
          <w:p w14:paraId="7CF5FDAE">
            <w:pPr>
              <w:spacing w:line="360" w:lineRule="auto"/>
              <w:jc w:val="center"/>
              <w:rPr>
                <w:rFonts w:hint="eastAsia" w:ascii="宋体" w:hAnsi="宋体" w:cs="宋体"/>
                <w:color w:val="auto"/>
                <w:szCs w:val="21"/>
                <w:highlight w:val="none"/>
              </w:rPr>
            </w:pPr>
          </w:p>
        </w:tc>
        <w:tc>
          <w:tcPr>
            <w:tcW w:w="1530" w:type="dxa"/>
            <w:noWrap w:val="0"/>
            <w:vAlign w:val="center"/>
          </w:tcPr>
          <w:p w14:paraId="0F5B14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灵牌位三类</w:t>
            </w:r>
          </w:p>
        </w:tc>
        <w:tc>
          <w:tcPr>
            <w:tcW w:w="638" w:type="dxa"/>
            <w:noWrap w:val="0"/>
            <w:vAlign w:val="center"/>
          </w:tcPr>
          <w:p w14:paraId="352232F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05E48B9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110</w:t>
            </w:r>
          </w:p>
        </w:tc>
        <w:tc>
          <w:tcPr>
            <w:tcW w:w="2540" w:type="dxa"/>
            <w:vMerge w:val="continue"/>
            <w:noWrap w:val="0"/>
            <w:vAlign w:val="center"/>
          </w:tcPr>
          <w:p w14:paraId="793D0B61">
            <w:pPr>
              <w:spacing w:line="360" w:lineRule="auto"/>
              <w:jc w:val="center"/>
              <w:rPr>
                <w:rFonts w:hint="eastAsia" w:ascii="宋体" w:hAnsi="宋体" w:cs="宋体"/>
                <w:color w:val="auto"/>
                <w:szCs w:val="21"/>
                <w:highlight w:val="none"/>
              </w:rPr>
            </w:pPr>
          </w:p>
        </w:tc>
        <w:tc>
          <w:tcPr>
            <w:tcW w:w="1785" w:type="dxa"/>
            <w:vMerge w:val="continue"/>
            <w:noWrap w:val="0"/>
            <w:vAlign w:val="center"/>
          </w:tcPr>
          <w:p w14:paraId="05AA2DCA">
            <w:pPr>
              <w:spacing w:line="360" w:lineRule="auto"/>
              <w:jc w:val="center"/>
              <w:rPr>
                <w:rFonts w:hint="eastAsia" w:ascii="宋体" w:hAnsi="宋体" w:cs="宋体"/>
                <w:color w:val="auto"/>
                <w:szCs w:val="21"/>
                <w:highlight w:val="none"/>
              </w:rPr>
            </w:pPr>
          </w:p>
        </w:tc>
      </w:tr>
      <w:tr w14:paraId="6F52A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3" w:hRule="atLeast"/>
        </w:trPr>
        <w:tc>
          <w:tcPr>
            <w:tcW w:w="675" w:type="dxa"/>
            <w:vMerge w:val="continue"/>
            <w:noWrap w:val="0"/>
            <w:vAlign w:val="center"/>
          </w:tcPr>
          <w:p w14:paraId="502B778D">
            <w:pPr>
              <w:spacing w:line="360" w:lineRule="auto"/>
              <w:jc w:val="center"/>
              <w:rPr>
                <w:rFonts w:hint="eastAsia" w:ascii="宋体" w:hAnsi="宋体" w:cs="宋体"/>
                <w:color w:val="auto"/>
                <w:szCs w:val="21"/>
                <w:highlight w:val="none"/>
              </w:rPr>
            </w:pPr>
          </w:p>
        </w:tc>
        <w:tc>
          <w:tcPr>
            <w:tcW w:w="1530" w:type="dxa"/>
            <w:noWrap w:val="0"/>
            <w:vAlign w:val="center"/>
          </w:tcPr>
          <w:p w14:paraId="19D00F1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灵牌位四类</w:t>
            </w:r>
          </w:p>
        </w:tc>
        <w:tc>
          <w:tcPr>
            <w:tcW w:w="638" w:type="dxa"/>
            <w:noWrap w:val="0"/>
            <w:vAlign w:val="center"/>
          </w:tcPr>
          <w:p w14:paraId="6D6A5B8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099253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130</w:t>
            </w:r>
          </w:p>
        </w:tc>
        <w:tc>
          <w:tcPr>
            <w:tcW w:w="2540" w:type="dxa"/>
            <w:vMerge w:val="continue"/>
            <w:noWrap w:val="0"/>
            <w:vAlign w:val="center"/>
          </w:tcPr>
          <w:p w14:paraId="64E140CA">
            <w:pPr>
              <w:spacing w:line="360" w:lineRule="auto"/>
              <w:jc w:val="center"/>
              <w:rPr>
                <w:rFonts w:hint="eastAsia" w:ascii="宋体" w:hAnsi="宋体" w:cs="宋体"/>
                <w:color w:val="auto"/>
                <w:szCs w:val="21"/>
                <w:highlight w:val="none"/>
              </w:rPr>
            </w:pPr>
          </w:p>
        </w:tc>
        <w:tc>
          <w:tcPr>
            <w:tcW w:w="1785" w:type="dxa"/>
            <w:vMerge w:val="continue"/>
            <w:noWrap w:val="0"/>
            <w:vAlign w:val="center"/>
          </w:tcPr>
          <w:p w14:paraId="437E28A4">
            <w:pPr>
              <w:spacing w:line="360" w:lineRule="auto"/>
              <w:jc w:val="center"/>
              <w:rPr>
                <w:rFonts w:hint="eastAsia" w:ascii="宋体" w:hAnsi="宋体" w:cs="宋体"/>
                <w:color w:val="auto"/>
                <w:szCs w:val="21"/>
                <w:highlight w:val="none"/>
              </w:rPr>
            </w:pPr>
          </w:p>
        </w:tc>
      </w:tr>
      <w:tr w14:paraId="0A675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75" w:type="dxa"/>
            <w:vMerge w:val="continue"/>
            <w:noWrap w:val="0"/>
            <w:vAlign w:val="center"/>
          </w:tcPr>
          <w:p w14:paraId="2DDA2388">
            <w:pPr>
              <w:spacing w:line="360" w:lineRule="auto"/>
              <w:jc w:val="center"/>
              <w:rPr>
                <w:rFonts w:hint="eastAsia" w:ascii="宋体" w:hAnsi="宋体" w:cs="宋体"/>
                <w:color w:val="auto"/>
                <w:szCs w:val="21"/>
                <w:highlight w:val="none"/>
              </w:rPr>
            </w:pPr>
          </w:p>
        </w:tc>
        <w:tc>
          <w:tcPr>
            <w:tcW w:w="1530" w:type="dxa"/>
            <w:noWrap w:val="0"/>
            <w:vAlign w:val="center"/>
          </w:tcPr>
          <w:p w14:paraId="12D7963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灵牌位五类</w:t>
            </w:r>
          </w:p>
        </w:tc>
        <w:tc>
          <w:tcPr>
            <w:tcW w:w="638" w:type="dxa"/>
            <w:noWrap w:val="0"/>
            <w:vAlign w:val="center"/>
          </w:tcPr>
          <w:p w14:paraId="07E0DF0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5007D13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200</w:t>
            </w:r>
          </w:p>
        </w:tc>
        <w:tc>
          <w:tcPr>
            <w:tcW w:w="2540" w:type="dxa"/>
            <w:vMerge w:val="continue"/>
            <w:noWrap w:val="0"/>
            <w:vAlign w:val="center"/>
          </w:tcPr>
          <w:p w14:paraId="1BEDEE5D">
            <w:pPr>
              <w:spacing w:line="360" w:lineRule="auto"/>
              <w:jc w:val="center"/>
              <w:rPr>
                <w:rFonts w:hint="eastAsia" w:ascii="宋体" w:hAnsi="宋体" w:cs="宋体"/>
                <w:color w:val="auto"/>
                <w:szCs w:val="21"/>
                <w:highlight w:val="none"/>
              </w:rPr>
            </w:pPr>
          </w:p>
        </w:tc>
        <w:tc>
          <w:tcPr>
            <w:tcW w:w="1785" w:type="dxa"/>
            <w:vMerge w:val="continue"/>
            <w:noWrap w:val="0"/>
            <w:vAlign w:val="center"/>
          </w:tcPr>
          <w:p w14:paraId="011ED238">
            <w:pPr>
              <w:spacing w:line="360" w:lineRule="auto"/>
              <w:jc w:val="center"/>
              <w:rPr>
                <w:rFonts w:hint="eastAsia" w:ascii="宋体" w:hAnsi="宋体" w:cs="宋体"/>
                <w:color w:val="auto"/>
                <w:szCs w:val="21"/>
                <w:highlight w:val="none"/>
              </w:rPr>
            </w:pPr>
          </w:p>
        </w:tc>
      </w:tr>
      <w:tr w14:paraId="15475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675" w:type="dxa"/>
            <w:vMerge w:val="continue"/>
            <w:noWrap w:val="0"/>
            <w:vAlign w:val="center"/>
          </w:tcPr>
          <w:p w14:paraId="0F7A1EAA">
            <w:pPr>
              <w:spacing w:line="360" w:lineRule="auto"/>
              <w:jc w:val="center"/>
              <w:rPr>
                <w:rFonts w:hint="eastAsia" w:ascii="宋体" w:hAnsi="宋体" w:cs="宋体"/>
                <w:color w:val="auto"/>
                <w:szCs w:val="21"/>
                <w:highlight w:val="none"/>
              </w:rPr>
            </w:pPr>
          </w:p>
        </w:tc>
        <w:tc>
          <w:tcPr>
            <w:tcW w:w="1530" w:type="dxa"/>
            <w:noWrap w:val="0"/>
            <w:vAlign w:val="center"/>
          </w:tcPr>
          <w:p w14:paraId="245F0E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灵牌位六类</w:t>
            </w:r>
          </w:p>
        </w:tc>
        <w:tc>
          <w:tcPr>
            <w:tcW w:w="638" w:type="dxa"/>
            <w:noWrap w:val="0"/>
            <w:vAlign w:val="center"/>
          </w:tcPr>
          <w:p w14:paraId="762EAE1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1247" w:type="dxa"/>
            <w:noWrap w:val="0"/>
            <w:vAlign w:val="center"/>
          </w:tcPr>
          <w:p w14:paraId="221B3C9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450</w:t>
            </w:r>
          </w:p>
        </w:tc>
        <w:tc>
          <w:tcPr>
            <w:tcW w:w="2540" w:type="dxa"/>
            <w:vMerge w:val="continue"/>
            <w:noWrap w:val="0"/>
            <w:vAlign w:val="center"/>
          </w:tcPr>
          <w:p w14:paraId="403CFDE1">
            <w:pPr>
              <w:spacing w:line="360" w:lineRule="auto"/>
              <w:jc w:val="center"/>
              <w:rPr>
                <w:rFonts w:hint="eastAsia" w:ascii="宋体" w:hAnsi="宋体" w:cs="宋体"/>
                <w:color w:val="auto"/>
                <w:szCs w:val="21"/>
                <w:highlight w:val="none"/>
              </w:rPr>
            </w:pPr>
          </w:p>
        </w:tc>
        <w:tc>
          <w:tcPr>
            <w:tcW w:w="1785" w:type="dxa"/>
            <w:vMerge w:val="continue"/>
            <w:noWrap w:val="0"/>
            <w:vAlign w:val="center"/>
          </w:tcPr>
          <w:p w14:paraId="45F88BD1">
            <w:pPr>
              <w:spacing w:line="360" w:lineRule="auto"/>
              <w:jc w:val="center"/>
              <w:rPr>
                <w:rFonts w:hint="eastAsia" w:ascii="宋体" w:hAnsi="宋体" w:cs="宋体"/>
                <w:color w:val="auto"/>
                <w:szCs w:val="21"/>
                <w:highlight w:val="none"/>
              </w:rPr>
            </w:pPr>
          </w:p>
        </w:tc>
      </w:tr>
    </w:tbl>
    <w:p w14:paraId="5A5F93BA">
      <w:pPr>
        <w:rPr>
          <w:color w:val="auto"/>
          <w:highlight w:val="none"/>
        </w:rPr>
      </w:pPr>
    </w:p>
    <w:tbl>
      <w:tblPr>
        <w:tblStyle w:val="4"/>
        <w:tblpPr w:leftFromText="180" w:rightFromText="180" w:vertAnchor="text" w:horzAnchor="page" w:tblpX="1787" w:tblpY="347"/>
        <w:tblOverlap w:val="never"/>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530"/>
        <w:gridCol w:w="915"/>
        <w:gridCol w:w="2380"/>
        <w:gridCol w:w="2480"/>
      </w:tblGrid>
      <w:tr w14:paraId="3A894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5" w:type="dxa"/>
            <w:noWrap w:val="0"/>
            <w:vAlign w:val="center"/>
          </w:tcPr>
          <w:p w14:paraId="3343C47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30" w:type="dxa"/>
            <w:noWrap w:val="0"/>
            <w:vAlign w:val="center"/>
          </w:tcPr>
          <w:p w14:paraId="54CCDB8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产品类别</w:t>
            </w:r>
          </w:p>
        </w:tc>
        <w:tc>
          <w:tcPr>
            <w:tcW w:w="915" w:type="dxa"/>
            <w:noWrap w:val="0"/>
            <w:vAlign w:val="center"/>
          </w:tcPr>
          <w:p w14:paraId="67565A5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2380" w:type="dxa"/>
            <w:noWrap w:val="0"/>
            <w:vAlign w:val="center"/>
          </w:tcPr>
          <w:p w14:paraId="79FFBFB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单价基准价（元）</w:t>
            </w:r>
          </w:p>
        </w:tc>
        <w:tc>
          <w:tcPr>
            <w:tcW w:w="2480" w:type="dxa"/>
            <w:noWrap w:val="0"/>
            <w:vAlign w:val="center"/>
          </w:tcPr>
          <w:p w14:paraId="4505C37F">
            <w:pPr>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供应商报价（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w:t>
            </w:r>
          </w:p>
        </w:tc>
      </w:tr>
      <w:tr w14:paraId="23D1C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3" w:hRule="atLeast"/>
        </w:trPr>
        <w:tc>
          <w:tcPr>
            <w:tcW w:w="675" w:type="dxa"/>
            <w:vMerge w:val="restart"/>
            <w:noWrap w:val="0"/>
            <w:vAlign w:val="center"/>
          </w:tcPr>
          <w:p w14:paraId="2A7C222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30" w:type="dxa"/>
            <w:noWrap w:val="0"/>
            <w:vAlign w:val="center"/>
          </w:tcPr>
          <w:p w14:paraId="7E27ABF8">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彩色金属相片</w:t>
            </w:r>
          </w:p>
        </w:tc>
        <w:tc>
          <w:tcPr>
            <w:tcW w:w="915" w:type="dxa"/>
            <w:noWrap w:val="0"/>
            <w:vAlign w:val="center"/>
          </w:tcPr>
          <w:p w14:paraId="727C1E1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1C28FDE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60</w:t>
            </w:r>
          </w:p>
        </w:tc>
        <w:tc>
          <w:tcPr>
            <w:tcW w:w="2480" w:type="dxa"/>
            <w:vMerge w:val="restart"/>
            <w:noWrap w:val="0"/>
            <w:vAlign w:val="center"/>
          </w:tcPr>
          <w:p w14:paraId="5C2D5126">
            <w:pPr>
              <w:spacing w:line="360" w:lineRule="auto"/>
              <w:jc w:val="center"/>
              <w:rPr>
                <w:rFonts w:hint="eastAsia" w:ascii="宋体" w:hAnsi="宋体" w:cs="宋体"/>
                <w:color w:val="auto"/>
                <w:szCs w:val="21"/>
                <w:highlight w:val="none"/>
              </w:rPr>
            </w:pPr>
          </w:p>
        </w:tc>
      </w:tr>
      <w:tr w14:paraId="7E833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675" w:type="dxa"/>
            <w:vMerge w:val="continue"/>
            <w:noWrap w:val="0"/>
            <w:vAlign w:val="center"/>
          </w:tcPr>
          <w:p w14:paraId="0B77F6A5">
            <w:pPr>
              <w:spacing w:line="360" w:lineRule="auto"/>
              <w:jc w:val="center"/>
              <w:rPr>
                <w:rFonts w:hint="eastAsia" w:ascii="宋体" w:hAnsi="宋体" w:cs="宋体"/>
                <w:color w:val="auto"/>
                <w:szCs w:val="21"/>
                <w:highlight w:val="none"/>
              </w:rPr>
            </w:pPr>
          </w:p>
        </w:tc>
        <w:tc>
          <w:tcPr>
            <w:tcW w:w="1530" w:type="dxa"/>
            <w:noWrap w:val="0"/>
            <w:vAlign w:val="center"/>
          </w:tcPr>
          <w:p w14:paraId="27E2DF76">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黑白金属相片</w:t>
            </w:r>
          </w:p>
        </w:tc>
        <w:tc>
          <w:tcPr>
            <w:tcW w:w="915" w:type="dxa"/>
            <w:noWrap w:val="0"/>
            <w:vAlign w:val="center"/>
          </w:tcPr>
          <w:p w14:paraId="41ACBE7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539DCAC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50</w:t>
            </w:r>
          </w:p>
        </w:tc>
        <w:tc>
          <w:tcPr>
            <w:tcW w:w="2480" w:type="dxa"/>
            <w:vMerge w:val="continue"/>
            <w:noWrap w:val="0"/>
            <w:vAlign w:val="center"/>
          </w:tcPr>
          <w:p w14:paraId="6E97B2D5">
            <w:pPr>
              <w:spacing w:line="360" w:lineRule="auto"/>
              <w:jc w:val="center"/>
              <w:rPr>
                <w:rFonts w:hint="eastAsia" w:ascii="宋体" w:hAnsi="宋体" w:cs="宋体"/>
                <w:color w:val="auto"/>
                <w:szCs w:val="21"/>
                <w:highlight w:val="none"/>
              </w:rPr>
            </w:pPr>
          </w:p>
        </w:tc>
      </w:tr>
      <w:tr w14:paraId="087D4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8" w:hRule="atLeast"/>
        </w:trPr>
        <w:tc>
          <w:tcPr>
            <w:tcW w:w="675" w:type="dxa"/>
            <w:vMerge w:val="restart"/>
            <w:noWrap w:val="0"/>
            <w:vAlign w:val="center"/>
          </w:tcPr>
          <w:p w14:paraId="6B6E258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30" w:type="dxa"/>
            <w:noWrap w:val="0"/>
            <w:vAlign w:val="center"/>
          </w:tcPr>
          <w:p w14:paraId="6BBEF49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灵牌位一类</w:t>
            </w:r>
          </w:p>
        </w:tc>
        <w:tc>
          <w:tcPr>
            <w:tcW w:w="915" w:type="dxa"/>
            <w:noWrap w:val="0"/>
            <w:vAlign w:val="center"/>
          </w:tcPr>
          <w:p w14:paraId="79ECA48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44E41C2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480" w:type="dxa"/>
            <w:vMerge w:val="continue"/>
            <w:noWrap w:val="0"/>
            <w:vAlign w:val="center"/>
          </w:tcPr>
          <w:p w14:paraId="05FE4E44">
            <w:pPr>
              <w:spacing w:line="360" w:lineRule="auto"/>
              <w:jc w:val="center"/>
              <w:rPr>
                <w:rFonts w:hint="eastAsia" w:ascii="宋体" w:hAnsi="宋体" w:cs="宋体"/>
                <w:color w:val="auto"/>
                <w:szCs w:val="21"/>
                <w:highlight w:val="none"/>
              </w:rPr>
            </w:pPr>
          </w:p>
        </w:tc>
      </w:tr>
      <w:tr w14:paraId="532FE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75" w:type="dxa"/>
            <w:vMerge w:val="continue"/>
            <w:noWrap w:val="0"/>
            <w:vAlign w:val="center"/>
          </w:tcPr>
          <w:p w14:paraId="481D536F">
            <w:pPr>
              <w:spacing w:line="360" w:lineRule="auto"/>
              <w:jc w:val="center"/>
              <w:rPr>
                <w:rFonts w:hint="eastAsia" w:ascii="宋体" w:hAnsi="宋体" w:cs="宋体"/>
                <w:color w:val="auto"/>
                <w:szCs w:val="21"/>
                <w:highlight w:val="none"/>
              </w:rPr>
            </w:pPr>
          </w:p>
        </w:tc>
        <w:tc>
          <w:tcPr>
            <w:tcW w:w="1530" w:type="dxa"/>
            <w:noWrap w:val="0"/>
            <w:vAlign w:val="center"/>
          </w:tcPr>
          <w:p w14:paraId="2EB3B58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灵牌位二类</w:t>
            </w:r>
          </w:p>
        </w:tc>
        <w:tc>
          <w:tcPr>
            <w:tcW w:w="915" w:type="dxa"/>
            <w:noWrap w:val="0"/>
            <w:vAlign w:val="center"/>
          </w:tcPr>
          <w:p w14:paraId="4B68611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119B359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70</w:t>
            </w:r>
          </w:p>
        </w:tc>
        <w:tc>
          <w:tcPr>
            <w:tcW w:w="2480" w:type="dxa"/>
            <w:vMerge w:val="continue"/>
            <w:noWrap w:val="0"/>
            <w:vAlign w:val="center"/>
          </w:tcPr>
          <w:p w14:paraId="67A26773">
            <w:pPr>
              <w:spacing w:line="360" w:lineRule="auto"/>
              <w:jc w:val="center"/>
              <w:rPr>
                <w:rFonts w:hint="eastAsia" w:ascii="宋体" w:hAnsi="宋体" w:cs="宋体"/>
                <w:color w:val="auto"/>
                <w:szCs w:val="21"/>
                <w:highlight w:val="none"/>
              </w:rPr>
            </w:pPr>
          </w:p>
        </w:tc>
      </w:tr>
      <w:tr w14:paraId="25FC2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675" w:type="dxa"/>
            <w:vMerge w:val="continue"/>
            <w:noWrap w:val="0"/>
            <w:vAlign w:val="center"/>
          </w:tcPr>
          <w:p w14:paraId="045C71E4">
            <w:pPr>
              <w:spacing w:line="360" w:lineRule="auto"/>
              <w:jc w:val="center"/>
              <w:rPr>
                <w:rFonts w:hint="eastAsia" w:ascii="宋体" w:hAnsi="宋体" w:cs="宋体"/>
                <w:color w:val="auto"/>
                <w:szCs w:val="21"/>
                <w:highlight w:val="none"/>
              </w:rPr>
            </w:pPr>
          </w:p>
        </w:tc>
        <w:tc>
          <w:tcPr>
            <w:tcW w:w="1530" w:type="dxa"/>
            <w:noWrap w:val="0"/>
            <w:vAlign w:val="center"/>
          </w:tcPr>
          <w:p w14:paraId="5EA2CA0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灵牌位三类</w:t>
            </w:r>
          </w:p>
        </w:tc>
        <w:tc>
          <w:tcPr>
            <w:tcW w:w="915" w:type="dxa"/>
            <w:noWrap w:val="0"/>
            <w:vAlign w:val="center"/>
          </w:tcPr>
          <w:p w14:paraId="26EAD2A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688DC74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110</w:t>
            </w:r>
          </w:p>
        </w:tc>
        <w:tc>
          <w:tcPr>
            <w:tcW w:w="2480" w:type="dxa"/>
            <w:vMerge w:val="continue"/>
            <w:noWrap w:val="0"/>
            <w:vAlign w:val="center"/>
          </w:tcPr>
          <w:p w14:paraId="0F2E6A9C">
            <w:pPr>
              <w:spacing w:line="360" w:lineRule="auto"/>
              <w:jc w:val="center"/>
              <w:rPr>
                <w:rFonts w:hint="eastAsia" w:ascii="宋体" w:hAnsi="宋体" w:cs="宋体"/>
                <w:color w:val="auto"/>
                <w:szCs w:val="21"/>
                <w:highlight w:val="none"/>
              </w:rPr>
            </w:pPr>
          </w:p>
        </w:tc>
      </w:tr>
      <w:tr w14:paraId="7ABD0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3" w:hRule="atLeast"/>
        </w:trPr>
        <w:tc>
          <w:tcPr>
            <w:tcW w:w="675" w:type="dxa"/>
            <w:vMerge w:val="continue"/>
            <w:noWrap w:val="0"/>
            <w:vAlign w:val="center"/>
          </w:tcPr>
          <w:p w14:paraId="71A84A37">
            <w:pPr>
              <w:spacing w:line="360" w:lineRule="auto"/>
              <w:jc w:val="center"/>
              <w:rPr>
                <w:rFonts w:hint="eastAsia" w:ascii="宋体" w:hAnsi="宋体" w:cs="宋体"/>
                <w:color w:val="auto"/>
                <w:szCs w:val="21"/>
                <w:highlight w:val="none"/>
              </w:rPr>
            </w:pPr>
          </w:p>
        </w:tc>
        <w:tc>
          <w:tcPr>
            <w:tcW w:w="1530" w:type="dxa"/>
            <w:noWrap w:val="0"/>
            <w:vAlign w:val="center"/>
          </w:tcPr>
          <w:p w14:paraId="5A2A839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灵牌位四类</w:t>
            </w:r>
          </w:p>
        </w:tc>
        <w:tc>
          <w:tcPr>
            <w:tcW w:w="915" w:type="dxa"/>
            <w:noWrap w:val="0"/>
            <w:vAlign w:val="center"/>
          </w:tcPr>
          <w:p w14:paraId="51CEBC7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5729317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130</w:t>
            </w:r>
          </w:p>
        </w:tc>
        <w:tc>
          <w:tcPr>
            <w:tcW w:w="2480" w:type="dxa"/>
            <w:vMerge w:val="continue"/>
            <w:noWrap w:val="0"/>
            <w:vAlign w:val="center"/>
          </w:tcPr>
          <w:p w14:paraId="6A33647F">
            <w:pPr>
              <w:spacing w:line="360" w:lineRule="auto"/>
              <w:jc w:val="center"/>
              <w:rPr>
                <w:rFonts w:hint="eastAsia" w:ascii="宋体" w:hAnsi="宋体" w:cs="宋体"/>
                <w:color w:val="auto"/>
                <w:szCs w:val="21"/>
                <w:highlight w:val="none"/>
              </w:rPr>
            </w:pPr>
          </w:p>
        </w:tc>
      </w:tr>
      <w:tr w14:paraId="2DC4D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3" w:hRule="atLeast"/>
        </w:trPr>
        <w:tc>
          <w:tcPr>
            <w:tcW w:w="675" w:type="dxa"/>
            <w:vMerge w:val="continue"/>
            <w:noWrap w:val="0"/>
            <w:vAlign w:val="center"/>
          </w:tcPr>
          <w:p w14:paraId="41192E7C">
            <w:pPr>
              <w:spacing w:line="360" w:lineRule="auto"/>
              <w:jc w:val="center"/>
              <w:rPr>
                <w:rFonts w:hint="eastAsia" w:ascii="宋体" w:hAnsi="宋体" w:cs="宋体"/>
                <w:color w:val="auto"/>
                <w:szCs w:val="21"/>
                <w:highlight w:val="none"/>
              </w:rPr>
            </w:pPr>
          </w:p>
        </w:tc>
        <w:tc>
          <w:tcPr>
            <w:tcW w:w="1530" w:type="dxa"/>
            <w:noWrap w:val="0"/>
            <w:vAlign w:val="center"/>
          </w:tcPr>
          <w:p w14:paraId="27162D4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灵牌位五类</w:t>
            </w:r>
          </w:p>
        </w:tc>
        <w:tc>
          <w:tcPr>
            <w:tcW w:w="915" w:type="dxa"/>
            <w:noWrap w:val="0"/>
            <w:vAlign w:val="center"/>
          </w:tcPr>
          <w:p w14:paraId="3A5599E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6C79A5C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200</w:t>
            </w:r>
          </w:p>
        </w:tc>
        <w:tc>
          <w:tcPr>
            <w:tcW w:w="2480" w:type="dxa"/>
            <w:vMerge w:val="continue"/>
            <w:noWrap w:val="0"/>
            <w:vAlign w:val="center"/>
          </w:tcPr>
          <w:p w14:paraId="7DDF909D">
            <w:pPr>
              <w:spacing w:line="360" w:lineRule="auto"/>
              <w:jc w:val="center"/>
              <w:rPr>
                <w:rFonts w:hint="eastAsia" w:ascii="宋体" w:hAnsi="宋体" w:cs="宋体"/>
                <w:color w:val="auto"/>
                <w:szCs w:val="21"/>
                <w:highlight w:val="none"/>
              </w:rPr>
            </w:pPr>
          </w:p>
        </w:tc>
      </w:tr>
      <w:tr w14:paraId="31B84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trPr>
        <w:tc>
          <w:tcPr>
            <w:tcW w:w="675" w:type="dxa"/>
            <w:vMerge w:val="continue"/>
            <w:noWrap w:val="0"/>
            <w:vAlign w:val="center"/>
          </w:tcPr>
          <w:p w14:paraId="0A51DC0D">
            <w:pPr>
              <w:spacing w:line="360" w:lineRule="auto"/>
              <w:jc w:val="center"/>
              <w:rPr>
                <w:rFonts w:hint="eastAsia" w:ascii="宋体" w:hAnsi="宋体" w:cs="宋体"/>
                <w:color w:val="auto"/>
                <w:szCs w:val="21"/>
                <w:highlight w:val="none"/>
              </w:rPr>
            </w:pPr>
          </w:p>
        </w:tc>
        <w:tc>
          <w:tcPr>
            <w:tcW w:w="1530" w:type="dxa"/>
            <w:noWrap w:val="0"/>
            <w:vAlign w:val="center"/>
          </w:tcPr>
          <w:p w14:paraId="14D47E8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灵牌位六类</w:t>
            </w:r>
          </w:p>
        </w:tc>
        <w:tc>
          <w:tcPr>
            <w:tcW w:w="915" w:type="dxa"/>
            <w:noWrap w:val="0"/>
            <w:vAlign w:val="center"/>
          </w:tcPr>
          <w:p w14:paraId="168A835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个</w:t>
            </w:r>
          </w:p>
        </w:tc>
        <w:tc>
          <w:tcPr>
            <w:tcW w:w="2380" w:type="dxa"/>
            <w:noWrap w:val="0"/>
            <w:vAlign w:val="center"/>
          </w:tcPr>
          <w:p w14:paraId="69F2C3D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450</w:t>
            </w:r>
          </w:p>
        </w:tc>
        <w:tc>
          <w:tcPr>
            <w:tcW w:w="2480" w:type="dxa"/>
            <w:vMerge w:val="continue"/>
            <w:noWrap w:val="0"/>
            <w:vAlign w:val="center"/>
          </w:tcPr>
          <w:p w14:paraId="24A57992">
            <w:pPr>
              <w:spacing w:line="360" w:lineRule="auto"/>
              <w:jc w:val="center"/>
              <w:rPr>
                <w:rFonts w:hint="eastAsia" w:ascii="宋体" w:hAnsi="宋体" w:cs="宋体"/>
                <w:color w:val="auto"/>
                <w:szCs w:val="21"/>
                <w:highlight w:val="none"/>
              </w:rPr>
            </w:pPr>
          </w:p>
        </w:tc>
      </w:tr>
    </w:tbl>
    <w:p w14:paraId="631360E0">
      <w:pPr>
        <w:rPr>
          <w:color w:val="auto"/>
          <w:highlight w:val="none"/>
        </w:rPr>
      </w:pPr>
    </w:p>
    <w:p w14:paraId="6C54908D">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注:1、供应商须按要求填写所有信息，不得随意更改本表格式。</w:t>
      </w:r>
    </w:p>
    <w:p w14:paraId="7300695F">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供应商在《首轮报价表》中报出响应折扣，本项目根据清单中单价基准价为基准报出统一折扣（%），适用于所有品种。供应商报出统一的折扣（%），折扣为固定报价（如10%），不接受区间报价（如10％～20％），折扣报价范围：0%＜折扣≤100%，凡超出报价范围的报价均视为无效响应。结算公式：各类产品费用=单价基准价×中标折扣×实际供应量，并在响应文件中按《报价明细表》列出</w:t>
      </w:r>
      <w:r>
        <w:rPr>
          <w:rFonts w:hint="eastAsia" w:ascii="仿宋_GB2312" w:hAnsi="仿宋_GB2312" w:eastAsia="仿宋_GB2312" w:cs="仿宋_GB2312"/>
          <w:color w:val="auto"/>
          <w:sz w:val="32"/>
          <w:szCs w:val="32"/>
          <w:highlight w:val="none"/>
          <w:lang w:val="en-US" w:eastAsia="zh-CN"/>
        </w:rPr>
        <w:t>折扣</w:t>
      </w:r>
      <w:r>
        <w:rPr>
          <w:rFonts w:hint="eastAsia" w:ascii="仿宋_GB2312" w:hAnsi="仿宋_GB2312" w:eastAsia="仿宋_GB2312" w:cs="仿宋_GB2312"/>
          <w:color w:val="auto"/>
          <w:sz w:val="32"/>
          <w:szCs w:val="32"/>
          <w:highlight w:val="none"/>
        </w:rPr>
        <w:t>（表格中供应商报价一栏）。</w:t>
      </w:r>
    </w:p>
    <w:p w14:paraId="4161B714">
      <w:pPr>
        <w:adjustRightInd w:val="0"/>
        <w:snapToGrid w:val="0"/>
        <w:spacing w:line="560" w:lineRule="exact"/>
        <w:ind w:firstLine="320" w:firstLineChars="1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（四）项目要求</w:t>
      </w:r>
    </w:p>
    <w:p w14:paraId="1A8EBB37">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必须遵守服务承诺，合作期间，在广州市范围内（除番禺、花都、增城、从化殡仪馆外）不得经营与采购人(广州市殡葬服务中心)有同类竞争的殡葬业务，包括销售殡仪用(商)品、鲜花及殡葬服务等，否则，采购人有权单方面终止合同。</w:t>
      </w:r>
    </w:p>
    <w:p w14:paraId="127B99DC">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2.中标价确定后将不得再次调整或变更。</w:t>
      </w:r>
    </w:p>
    <w:p w14:paraId="0F32FA17">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的</w:t>
      </w:r>
      <w:r>
        <w:rPr>
          <w:rFonts w:hint="eastAsia" w:ascii="仿宋_GB2312" w:hAnsi="仿宋_GB2312" w:eastAsia="仿宋_GB2312" w:cs="仿宋_GB2312"/>
          <w:color w:val="auto"/>
          <w:sz w:val="32"/>
          <w:szCs w:val="32"/>
          <w:highlight w:val="none"/>
          <w:lang w:val="en-US" w:eastAsia="zh-CN"/>
        </w:rPr>
        <w:t>响应折扣</w:t>
      </w:r>
      <w:r>
        <w:rPr>
          <w:rFonts w:hint="eastAsia" w:ascii="仿宋_GB2312" w:hAnsi="仿宋_GB2312" w:eastAsia="仿宋_GB2312" w:cs="仿宋_GB2312"/>
          <w:color w:val="auto"/>
          <w:sz w:val="32"/>
          <w:szCs w:val="32"/>
          <w:highlight w:val="none"/>
        </w:rPr>
        <w:t>报价确定，否则响应无效。磋商小组认为</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的</w:t>
      </w:r>
      <w:r>
        <w:rPr>
          <w:rFonts w:hint="eastAsia" w:ascii="仿宋_GB2312" w:hAnsi="仿宋_GB2312" w:eastAsia="仿宋_GB2312" w:cs="仿宋_GB2312"/>
          <w:color w:val="auto"/>
          <w:sz w:val="32"/>
          <w:szCs w:val="32"/>
          <w:highlight w:val="none"/>
          <w:lang w:val="en-US" w:eastAsia="zh-CN"/>
        </w:rPr>
        <w:t>响应折扣</w:t>
      </w:r>
      <w:r>
        <w:rPr>
          <w:rFonts w:hint="eastAsia" w:ascii="仿宋_GB2312" w:hAnsi="仿宋_GB2312" w:eastAsia="仿宋_GB2312" w:cs="仿宋_GB2312"/>
          <w:color w:val="auto"/>
          <w:sz w:val="32"/>
          <w:szCs w:val="32"/>
          <w:highlight w:val="none"/>
        </w:rPr>
        <w:t>报价明显低于其他通过符合性审查</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的报价，有可能影响服务质量或者不能诚信履约的，将要求其在评标现场合理的时间内提供书面说明，必要时提交相关证明材料；</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不能证明其报价合理性的，磋商小组将其作为无效</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处理。</w:t>
      </w:r>
    </w:p>
    <w:p w14:paraId="06E22636">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4.突发事件要求</w:t>
      </w:r>
    </w:p>
    <w:p w14:paraId="01BA713E">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为确保在各类突发与紧急场景下，能够为逝者家属提供高效、精准、合规且充满温情的骨灰箱（盒）金属相片及灵牌位定制服务，</w:t>
      </w:r>
      <w:r>
        <w:rPr>
          <w:rFonts w:hint="eastAsia" w:ascii="仿宋_GB2312" w:hAnsi="仿宋_GB2312" w:eastAsia="仿宋_GB2312" w:cs="仿宋_GB2312"/>
          <w:color w:val="auto"/>
          <w:sz w:val="32"/>
          <w:szCs w:val="32"/>
          <w:highlight w:val="none"/>
        </w:rPr>
        <w:t>相关要求如下</w:t>
      </w:r>
      <w:r>
        <w:rPr>
          <w:rFonts w:ascii="仿宋_GB2312" w:hAnsi="仿宋_GB2312" w:eastAsia="仿宋_GB2312" w:cs="仿宋_GB2312"/>
          <w:color w:val="auto"/>
          <w:sz w:val="32"/>
          <w:szCs w:val="32"/>
          <w:highlight w:val="none"/>
        </w:rPr>
        <w:t>：</w:t>
      </w:r>
    </w:p>
    <w:p w14:paraId="12A5DB98">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ascii="仿宋_GB2312" w:hAnsi="仿宋_GB2312" w:eastAsia="仿宋_GB2312" w:cs="仿宋_GB2312"/>
          <w:color w:val="auto"/>
          <w:sz w:val="32"/>
          <w:szCs w:val="32"/>
          <w:highlight w:val="none"/>
        </w:rPr>
        <w:t xml:space="preserve"> 应急保障措施</w:t>
      </w:r>
    </w:p>
    <w:p w14:paraId="31753ACB">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资源储备保障：建立专项原材料与成品库存体系，针对金属相片材质、灵牌位基材及配件实行分级储备，确保极端情况下可立即启动供应。</w:t>
      </w:r>
    </w:p>
    <w:p w14:paraId="4E339660">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合规流程保障：严格遵循殡葬服务相关法律法规及行业标准，全流程建立溯源台账，确保数据、材料和流程的合法合规与隐私安全。</w:t>
      </w:r>
    </w:p>
    <w:p w14:paraId="22F045E9">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ascii="仿宋_GB2312" w:hAnsi="仿宋_GB2312" w:eastAsia="仿宋_GB2312" w:cs="仿宋_GB2312"/>
          <w:color w:val="auto"/>
          <w:sz w:val="32"/>
          <w:szCs w:val="32"/>
          <w:highlight w:val="none"/>
        </w:rPr>
        <w:t>应急响应时间</w:t>
      </w:r>
    </w:p>
    <w:p w14:paraId="2FDAEADA">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首响时限：在接收到应急需求后的</w:t>
      </w:r>
      <w:r>
        <w:rPr>
          <w:rFonts w:hint="eastAsia" w:ascii="仿宋_GB2312" w:hAnsi="仿宋_GB2312" w:eastAsia="仿宋_GB2312" w:cs="仿宋_GB2312"/>
          <w:color w:val="auto"/>
          <w:sz w:val="32"/>
          <w:szCs w:val="32"/>
          <w:highlight w:val="none"/>
        </w:rPr>
        <w:t>30</w:t>
      </w:r>
      <w:r>
        <w:rPr>
          <w:rFonts w:ascii="仿宋_GB2312" w:hAnsi="仿宋_GB2312" w:eastAsia="仿宋_GB2312" w:cs="仿宋_GB2312"/>
          <w:color w:val="auto"/>
          <w:sz w:val="32"/>
          <w:szCs w:val="32"/>
          <w:highlight w:val="none"/>
        </w:rPr>
        <w:t xml:space="preserve"> 分钟内，必须完成需求受理、信息确认与应急工单派发，启动专属绿色通道。</w:t>
      </w:r>
    </w:p>
    <w:p w14:paraId="0EE4E5CA">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出样时限：在资料齐全的情况下，2 小时内完成金属相片初稿 / 灵牌位设计稿的确认与打样，确保家属第一时间看到方案。</w:t>
      </w:r>
    </w:p>
    <w:p w14:paraId="35D99F49">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成品交付：针对同城紧急场景，承诺4-8 小时内完成成品制作与送达；跨区域特殊应急需求，协调最快物流通道，力争24 小时内交付。</w:t>
      </w:r>
    </w:p>
    <w:p w14:paraId="48C391F1">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ascii="仿宋_GB2312" w:hAnsi="仿宋_GB2312" w:eastAsia="仿宋_GB2312" w:cs="仿宋_GB2312"/>
          <w:color w:val="auto"/>
          <w:sz w:val="32"/>
          <w:szCs w:val="32"/>
          <w:highlight w:val="none"/>
        </w:rPr>
        <w:t>应急调动能力</w:t>
      </w:r>
    </w:p>
    <w:p w14:paraId="37443A04">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人员调度：设立应急指挥小组，明确项目经理、工艺师、物流专员的应急联络人名单</w:t>
      </w:r>
      <w:r>
        <w:rPr>
          <w:rFonts w:hint="eastAsia" w:ascii="仿宋_GB2312" w:hAnsi="仿宋_GB2312" w:eastAsia="仿宋_GB2312" w:cs="仿宋_GB2312"/>
          <w:color w:val="auto"/>
          <w:sz w:val="32"/>
          <w:szCs w:val="32"/>
          <w:highlight w:val="none"/>
        </w:rPr>
        <w:t>（至少提供1套方案）</w:t>
      </w:r>
      <w:r>
        <w:rPr>
          <w:rFonts w:ascii="仿宋_GB2312" w:hAnsi="仿宋_GB2312" w:eastAsia="仿宋_GB2312" w:cs="仿宋_GB2312"/>
          <w:color w:val="auto"/>
          <w:sz w:val="32"/>
          <w:szCs w:val="32"/>
          <w:highlight w:val="none"/>
        </w:rPr>
        <w:t>，确保一人响应、全员联动。</w:t>
      </w:r>
    </w:p>
    <w:p w14:paraId="68DF0849">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技术支援：组建应急技术突击队，具备远程指导资料采集、现场加急制作及疑难问题即时处置的能力。</w:t>
      </w:r>
    </w:p>
    <w:p w14:paraId="761719CE">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跨部门协同：打通设计、制作、质检、物流全环节，实行应急订单 “特事特办” 与 “一路绿灯” 机制，杜绝环节卡点。</w:t>
      </w:r>
    </w:p>
    <w:p w14:paraId="39B9BB4C">
      <w:pPr>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lang w:eastAsia="zh-CN"/>
        </w:rPr>
        <w:t>）</w:t>
      </w:r>
      <w:r>
        <w:rPr>
          <w:rFonts w:ascii="仿宋_GB2312" w:hAnsi="仿宋_GB2312" w:eastAsia="仿宋_GB2312" w:cs="仿宋_GB2312"/>
          <w:color w:val="auto"/>
          <w:sz w:val="32"/>
          <w:szCs w:val="32"/>
          <w:highlight w:val="none"/>
        </w:rPr>
        <w:t>应急响应流程</w:t>
      </w:r>
    </w:p>
    <w:p w14:paraId="7FBD1654">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需求触达：通过官方热线、专属客服或紧急联络人渠道接收需求，记录逝者信息、制作要求与期望交付时间。</w:t>
      </w:r>
    </w:p>
    <w:p w14:paraId="2661664D">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评估与派单：应急小组快速评估资源匹配度，确定加急优先级，立即指派专人对接。</w:t>
      </w:r>
    </w:p>
    <w:p w14:paraId="30008AA7">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资料采集：指导家属完成高清相片、身份信息等资料的提供与确认，确保资料合规、清晰与保密。</w:t>
      </w:r>
    </w:p>
    <w:p w14:paraId="05BF1D6C">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制作与质检：启动应急加工通道，实行首件全检制度，确保成品工艺、材质、细节符合标准。</w:t>
      </w:r>
    </w:p>
    <w:p w14:paraId="685A7FF7">
      <w:pPr>
        <w:spacing w:line="560" w:lineRule="exact"/>
        <w:ind w:firstLine="640" w:firstLineChars="200"/>
        <w:rPr>
          <w:rFonts w:hint="eastAsia"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交付与回访：按约定时间送达成品，由专人签收并进行服务回访，确保家属体验与后续服务闭环。</w:t>
      </w:r>
    </w:p>
    <w:p w14:paraId="473F2E00">
      <w:pPr>
        <w:adjustRightInd w:val="0"/>
        <w:snapToGrid w:val="0"/>
        <w:spacing w:line="560" w:lineRule="exact"/>
        <w:ind w:firstLine="640" w:firstLineChars="2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（五）质量标准</w:t>
      </w:r>
    </w:p>
    <w:p w14:paraId="00C72B65">
      <w:pPr>
        <w:pStyle w:val="3"/>
        <w:tabs>
          <w:tab w:val="left" w:pos="540"/>
        </w:tabs>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1.</w:t>
      </w:r>
      <w:r>
        <w:rPr>
          <w:rFonts w:hint="default" w:ascii="仿宋_GB2312" w:hAnsi="仿宋_GB2312" w:eastAsia="仿宋_GB2312" w:cs="仿宋_GB2312"/>
          <w:color w:val="auto"/>
          <w:sz w:val="32"/>
          <w:szCs w:val="32"/>
          <w:highlight w:val="none"/>
          <w:lang w:eastAsia="zh-CN"/>
        </w:rPr>
        <w:t>响应</w:t>
      </w:r>
      <w:r>
        <w:rPr>
          <w:rFonts w:hint="default" w:ascii="仿宋_GB2312" w:hAnsi="仿宋_GB2312" w:eastAsia="仿宋_GB2312" w:cs="仿宋_GB2312"/>
          <w:color w:val="auto"/>
          <w:sz w:val="32"/>
          <w:szCs w:val="32"/>
          <w:highlight w:val="none"/>
        </w:rPr>
        <w:t>产品需符合国家相关法律法规以及</w:t>
      </w:r>
      <w:r>
        <w:rPr>
          <w:rFonts w:hint="default" w:ascii="仿宋_GB2312" w:hAnsi="仿宋_GB2312" w:eastAsia="仿宋_GB2312" w:cs="仿宋_GB2312"/>
          <w:color w:val="auto"/>
          <w:sz w:val="32"/>
          <w:szCs w:val="32"/>
          <w:highlight w:val="none"/>
          <w:lang w:bidi="ar-SA"/>
        </w:rPr>
        <w:t>国家质量</w:t>
      </w:r>
      <w:r>
        <w:rPr>
          <w:rFonts w:hint="default" w:ascii="仿宋_GB2312" w:hAnsi="仿宋_GB2312" w:eastAsia="仿宋_GB2312" w:cs="仿宋_GB2312"/>
          <w:color w:val="auto"/>
          <w:sz w:val="32"/>
          <w:szCs w:val="32"/>
          <w:highlight w:val="none"/>
        </w:rPr>
        <w:t>标准的要求，是制造厂商自主生产的、完整的、质量合格的、全新的正品，其技术性能应满足各项规格参数和安全性能的要求。</w:t>
      </w:r>
    </w:p>
    <w:p w14:paraId="06A37B9F">
      <w:pPr>
        <w:pStyle w:val="3"/>
        <w:tabs>
          <w:tab w:val="left" w:pos="540"/>
        </w:tabs>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2.成交供应商参照《部分商品修理更换退货责任规定》对所提供的商品实行质量“三包”，质保期为具体货物验收合格交付终端客户使用后三年。成交供应商应当在收到采购人质保通知后</w:t>
      </w:r>
      <w:r>
        <w:rPr>
          <w:rFonts w:hint="default" w:ascii="仿宋_GB2312" w:hAnsi="仿宋_GB2312" w:eastAsia="仿宋_GB2312" w:cs="仿宋_GB2312"/>
          <w:color w:val="auto"/>
          <w:sz w:val="32"/>
          <w:szCs w:val="32"/>
          <w:highlight w:val="none"/>
          <w:lang w:bidi="ar-SA"/>
        </w:rPr>
        <w:t xml:space="preserve"> 3日</w:t>
      </w:r>
      <w:r>
        <w:rPr>
          <w:rFonts w:hint="default" w:ascii="仿宋_GB2312" w:hAnsi="仿宋_GB2312" w:eastAsia="仿宋_GB2312" w:cs="仿宋_GB2312"/>
          <w:color w:val="auto"/>
          <w:sz w:val="32"/>
          <w:szCs w:val="32"/>
          <w:highlight w:val="none"/>
        </w:rPr>
        <w:t>内作出实质性响应，否则采购人有权直接另行委托第三方处理，由此产生的费用和责任后果均由成交供应商承担。若因产品质量问题给采购人造成损失的，成交供应商应负全部责任。</w:t>
      </w:r>
    </w:p>
    <w:p w14:paraId="440E72D7">
      <w:pPr>
        <w:pStyle w:val="3"/>
        <w:tabs>
          <w:tab w:val="left" w:pos="540"/>
        </w:tabs>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3.为保证服务质量，成交供应商需派至少两名员工常驻采购人单位提供本项目相关产品的现场制作服务，驻场人员需服从采购人单位相关工作安排，遵守甲方单位纪律。</w:t>
      </w:r>
    </w:p>
    <w:p w14:paraId="12FB5C08">
      <w:pPr>
        <w:pStyle w:val="3"/>
        <w:tabs>
          <w:tab w:val="left" w:pos="540"/>
        </w:tabs>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4.★成交供应商应按照《中华人民共和国劳动法》的相关规定发放工资，驻场工作人员工资不得低于广州市企业职工最低工资标准（工资不含按国家规定</w:t>
      </w:r>
      <w:r>
        <w:rPr>
          <w:rFonts w:hint="default" w:ascii="仿宋_GB2312" w:hAnsi="仿宋_GB2312" w:eastAsia="仿宋_GB2312" w:cs="仿宋_GB2312"/>
          <w:color w:val="auto"/>
          <w:sz w:val="32"/>
          <w:szCs w:val="32"/>
          <w:highlight w:val="none"/>
          <w:lang w:eastAsia="zh-CN"/>
        </w:rPr>
        <w:t>成交供应商</w:t>
      </w:r>
      <w:r>
        <w:rPr>
          <w:rFonts w:hint="default" w:ascii="仿宋_GB2312" w:hAnsi="仿宋_GB2312" w:eastAsia="仿宋_GB2312" w:cs="仿宋_GB2312"/>
          <w:color w:val="auto"/>
          <w:sz w:val="32"/>
          <w:szCs w:val="32"/>
          <w:highlight w:val="none"/>
        </w:rPr>
        <w:t>必须支付的社会保险及其他应付费用）。（响应文件中提交响应或承诺文件，格式自拟）</w:t>
      </w:r>
    </w:p>
    <w:p w14:paraId="1191A819">
      <w:pPr>
        <w:pStyle w:val="3"/>
        <w:tabs>
          <w:tab w:val="left" w:pos="540"/>
        </w:tabs>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5.★成交供应商应按照《中华人民共和国社会保险法》和《住房公积金管理条例》的相关规定，为驻场工作人员支付国家规定必须购买的社会保险费用（基本养老保险、基本医疗保险、工伤保险、失业保险、生育保险）和缴存住房公积金，并且采购人有权不定期抽查缴纳情况，成交供应商须无条件配合，并在接到采购人抽查通知后三日内提供相应材料。（响应文件中提交响应或承诺文件，格式自拟）</w:t>
      </w:r>
    </w:p>
    <w:p w14:paraId="6A33CECE">
      <w:pPr>
        <w:pStyle w:val="3"/>
        <w:tabs>
          <w:tab w:val="left" w:pos="540"/>
        </w:tabs>
        <w:adjustRightInd w:val="0"/>
        <w:snapToGrid w:val="0"/>
        <w:spacing w:line="560" w:lineRule="exact"/>
        <w:ind w:firstLine="600" w:firstLineChars="200"/>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四、商务要求</w:t>
      </w:r>
    </w:p>
    <w:p w14:paraId="0C3CDB6D">
      <w:pPr>
        <w:adjustRightInd w:val="0"/>
        <w:snapToGrid w:val="0"/>
        <w:spacing w:line="560" w:lineRule="exact"/>
        <w:ind w:firstLine="600" w:firstLineChars="2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0"/>
          <w:szCs w:val="30"/>
          <w:highlight w:val="none"/>
        </w:rPr>
        <w:t>（一）</w:t>
      </w:r>
      <w:r>
        <w:rPr>
          <w:rFonts w:hint="default" w:ascii="方正楷体_GB2312" w:hAnsi="方正楷体_GB2312" w:eastAsia="方正楷体_GB2312" w:cs="方正楷体_GB2312"/>
          <w:color w:val="auto"/>
          <w:sz w:val="32"/>
          <w:szCs w:val="32"/>
          <w:highlight w:val="none"/>
          <w:lang w:val="en-US" w:eastAsia="zh-CN"/>
        </w:rPr>
        <w:t>响应折扣</w:t>
      </w:r>
      <w:r>
        <w:rPr>
          <w:rFonts w:hint="default" w:ascii="方正楷体_GB2312" w:hAnsi="方正楷体_GB2312" w:eastAsia="方正楷体_GB2312" w:cs="方正楷体_GB2312"/>
          <w:color w:val="auto"/>
          <w:sz w:val="32"/>
          <w:szCs w:val="32"/>
          <w:highlight w:val="none"/>
        </w:rPr>
        <w:t>报</w:t>
      </w:r>
      <w:r>
        <w:rPr>
          <w:rFonts w:hint="eastAsia" w:ascii="方正楷体_GB2312" w:hAnsi="方正楷体_GB2312" w:eastAsia="方正楷体_GB2312" w:cs="方正楷体_GB2312"/>
          <w:color w:val="auto"/>
          <w:sz w:val="32"/>
          <w:szCs w:val="32"/>
          <w:highlight w:val="none"/>
        </w:rPr>
        <w:t>价</w:t>
      </w:r>
    </w:p>
    <w:p w14:paraId="0B04B122">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lang w:val="en-US" w:eastAsia="zh-CN"/>
        </w:rPr>
        <w:t>响应折扣</w:t>
      </w:r>
      <w:r>
        <w:rPr>
          <w:rFonts w:hint="default" w:ascii="仿宋_GB2312" w:hAnsi="仿宋_GB2312" w:eastAsia="仿宋_GB2312" w:cs="仿宋_GB2312"/>
          <w:color w:val="auto"/>
          <w:sz w:val="32"/>
          <w:szCs w:val="32"/>
          <w:highlight w:val="none"/>
        </w:rPr>
        <w:t>报价</w:t>
      </w:r>
      <w:r>
        <w:rPr>
          <w:rFonts w:hint="default" w:ascii="仿宋_GB2312" w:hAnsi="仿宋_GB2312" w:eastAsia="仿宋_GB2312" w:cs="仿宋_GB2312"/>
          <w:color w:val="auto"/>
          <w:sz w:val="32"/>
          <w:szCs w:val="32"/>
          <w:highlight w:val="none"/>
          <w:lang w:val="en-US" w:eastAsia="zh-CN"/>
        </w:rPr>
        <w:t>为统一的折扣报价</w:t>
      </w:r>
      <w:r>
        <w:rPr>
          <w:rFonts w:hint="default" w:ascii="仿宋_GB2312" w:hAnsi="仿宋_GB2312" w:eastAsia="仿宋_GB2312" w:cs="仿宋_GB2312"/>
          <w:color w:val="auto"/>
          <w:sz w:val="32"/>
          <w:szCs w:val="32"/>
          <w:highlight w:val="none"/>
        </w:rPr>
        <w:t>，</w:t>
      </w:r>
      <w:r>
        <w:rPr>
          <w:rFonts w:hint="default" w:ascii="仿宋_GB2312" w:hAnsi="仿宋_GB2312" w:eastAsia="仿宋_GB2312" w:cs="仿宋_GB2312"/>
          <w:color w:val="auto"/>
          <w:sz w:val="32"/>
          <w:szCs w:val="32"/>
          <w:highlight w:val="none"/>
          <w:lang w:val="en-US" w:eastAsia="zh-CN"/>
        </w:rPr>
        <w:t>响应折扣</w:t>
      </w:r>
      <w:r>
        <w:rPr>
          <w:rFonts w:hint="default" w:ascii="仿宋_GB2312" w:hAnsi="仿宋_GB2312" w:eastAsia="仿宋_GB2312" w:cs="仿宋_GB2312"/>
          <w:color w:val="auto"/>
          <w:sz w:val="32"/>
          <w:szCs w:val="32"/>
          <w:highlight w:val="none"/>
        </w:rPr>
        <w:t>报价包含产品的货款、税费、包装、运输、装卸、验收交付使用之前以及售后服务等所有费用。采购人按成交供应商</w:t>
      </w:r>
      <w:r>
        <w:rPr>
          <w:rFonts w:hint="default" w:ascii="仿宋_GB2312" w:hAnsi="仿宋_GB2312" w:eastAsia="仿宋_GB2312" w:cs="仿宋_GB2312"/>
          <w:color w:val="auto"/>
          <w:sz w:val="32"/>
          <w:szCs w:val="32"/>
          <w:highlight w:val="none"/>
          <w:lang w:val="en-US" w:eastAsia="zh-CN"/>
        </w:rPr>
        <w:t>响应折扣</w:t>
      </w:r>
      <w:r>
        <w:rPr>
          <w:rFonts w:hint="default" w:ascii="仿宋_GB2312" w:hAnsi="仿宋_GB2312" w:eastAsia="仿宋_GB2312" w:cs="仿宋_GB2312"/>
          <w:color w:val="auto"/>
          <w:sz w:val="32"/>
          <w:szCs w:val="32"/>
          <w:highlight w:val="none"/>
        </w:rPr>
        <w:t>及实际销售结算数量向成交供应商支付货款，无须向成交供应商支付其他任何费用。</w:t>
      </w:r>
    </w:p>
    <w:p w14:paraId="74049C01">
      <w:pPr>
        <w:adjustRightInd w:val="0"/>
        <w:snapToGrid w:val="0"/>
        <w:spacing w:line="560" w:lineRule="exact"/>
        <w:ind w:firstLine="640" w:firstLineChars="2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（二）结算方式</w:t>
      </w:r>
    </w:p>
    <w:p w14:paraId="3C54FDD7">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1.本项目采购供货方式为销售方式，合同签订并正常供货后，产品零售价由采购人自行确定，成交价与零售价之间的差额归采购人所有。按月进行实销实结（成交单价×采购人每月实际销售数量）。成交供应商</w:t>
      </w:r>
      <w:r>
        <w:rPr>
          <w:rFonts w:hint="default" w:ascii="仿宋_GB2312" w:hAnsi="仿宋_GB2312" w:eastAsia="仿宋_GB2312" w:cs="仿宋_GB2312"/>
          <w:color w:val="auto"/>
          <w:sz w:val="32"/>
          <w:szCs w:val="32"/>
          <w:highlight w:val="none"/>
          <w:lang w:bidi="zh-CN"/>
        </w:rPr>
        <w:t>应在每月15日前，向</w:t>
      </w:r>
      <w:r>
        <w:rPr>
          <w:rFonts w:hint="default" w:ascii="仿宋_GB2312" w:hAnsi="仿宋_GB2312" w:eastAsia="仿宋_GB2312" w:cs="仿宋_GB2312"/>
          <w:color w:val="auto"/>
          <w:sz w:val="32"/>
          <w:szCs w:val="32"/>
          <w:highlight w:val="none"/>
        </w:rPr>
        <w:t>采购人</w:t>
      </w:r>
      <w:r>
        <w:rPr>
          <w:rFonts w:hint="default" w:ascii="仿宋_GB2312" w:hAnsi="仿宋_GB2312" w:eastAsia="仿宋_GB2312" w:cs="仿宋_GB2312"/>
          <w:color w:val="auto"/>
          <w:sz w:val="32"/>
          <w:szCs w:val="32"/>
          <w:highlight w:val="none"/>
          <w:lang w:bidi="zh-CN"/>
        </w:rPr>
        <w:t>提供上月实际销售的账单，经</w:t>
      </w:r>
      <w:r>
        <w:rPr>
          <w:rFonts w:hint="default" w:ascii="仿宋_GB2312" w:hAnsi="仿宋_GB2312" w:eastAsia="仿宋_GB2312" w:cs="仿宋_GB2312"/>
          <w:color w:val="auto"/>
          <w:sz w:val="32"/>
          <w:szCs w:val="32"/>
          <w:highlight w:val="none"/>
        </w:rPr>
        <w:t>采购人</w:t>
      </w:r>
      <w:r>
        <w:rPr>
          <w:rFonts w:hint="default" w:ascii="仿宋_GB2312" w:hAnsi="仿宋_GB2312" w:eastAsia="仿宋_GB2312" w:cs="仿宋_GB2312"/>
          <w:color w:val="auto"/>
          <w:sz w:val="32"/>
          <w:szCs w:val="32"/>
          <w:highlight w:val="none"/>
          <w:lang w:bidi="zh-CN"/>
        </w:rPr>
        <w:t>确认后，由</w:t>
      </w:r>
      <w:r>
        <w:rPr>
          <w:rFonts w:hint="default" w:ascii="仿宋_GB2312" w:hAnsi="仿宋_GB2312" w:eastAsia="仿宋_GB2312" w:cs="仿宋_GB2312"/>
          <w:color w:val="auto"/>
          <w:sz w:val="32"/>
          <w:szCs w:val="32"/>
          <w:highlight w:val="none"/>
        </w:rPr>
        <w:t>采购人</w:t>
      </w:r>
      <w:r>
        <w:rPr>
          <w:rFonts w:hint="default" w:ascii="仿宋_GB2312" w:hAnsi="仿宋_GB2312" w:eastAsia="仿宋_GB2312" w:cs="仿宋_GB2312"/>
          <w:color w:val="auto"/>
          <w:sz w:val="32"/>
          <w:szCs w:val="32"/>
          <w:highlight w:val="none"/>
          <w:lang w:bidi="zh-CN"/>
        </w:rPr>
        <w:t>进行付款。</w:t>
      </w:r>
    </w:p>
    <w:p w14:paraId="087BE6B7">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2.采购人原则上在收到成交供应商提供的</w:t>
      </w:r>
      <w:r>
        <w:rPr>
          <w:rFonts w:hint="default" w:ascii="仿宋_GB2312" w:hAnsi="仿宋_GB2312" w:eastAsia="仿宋_GB2312" w:cs="仿宋_GB2312"/>
          <w:color w:val="auto"/>
          <w:sz w:val="32"/>
          <w:szCs w:val="32"/>
          <w:highlight w:val="none"/>
          <w:lang w:bidi="zh-CN"/>
        </w:rPr>
        <w:t>符合</w:t>
      </w:r>
      <w:r>
        <w:rPr>
          <w:rFonts w:hint="default" w:ascii="仿宋_GB2312" w:hAnsi="仿宋_GB2312" w:eastAsia="仿宋_GB2312" w:cs="仿宋_GB2312"/>
          <w:color w:val="auto"/>
          <w:sz w:val="32"/>
          <w:szCs w:val="32"/>
          <w:highlight w:val="none"/>
        </w:rPr>
        <w:t>采购人</w:t>
      </w:r>
      <w:r>
        <w:rPr>
          <w:rFonts w:hint="default" w:ascii="仿宋_GB2312" w:hAnsi="仿宋_GB2312" w:eastAsia="仿宋_GB2312" w:cs="仿宋_GB2312"/>
          <w:color w:val="auto"/>
          <w:sz w:val="32"/>
          <w:szCs w:val="32"/>
          <w:highlight w:val="none"/>
          <w:lang w:bidi="zh-CN"/>
        </w:rPr>
        <w:t>财务要求的</w:t>
      </w:r>
      <w:r>
        <w:rPr>
          <w:rFonts w:hint="default" w:ascii="仿宋_GB2312" w:hAnsi="仿宋_GB2312" w:eastAsia="仿宋_GB2312" w:cs="仿宋_GB2312"/>
          <w:color w:val="auto"/>
          <w:sz w:val="32"/>
          <w:szCs w:val="32"/>
          <w:highlight w:val="none"/>
        </w:rPr>
        <w:t>正式发票后5个工作日内，按照相关财务规定办理支付手续</w:t>
      </w:r>
      <w:r>
        <w:rPr>
          <w:rFonts w:hint="default" w:ascii="仿宋_GB2312" w:hAnsi="仿宋_GB2312" w:eastAsia="仿宋_GB2312" w:cs="仿宋_GB2312"/>
          <w:color w:val="auto"/>
          <w:sz w:val="32"/>
          <w:szCs w:val="32"/>
          <w:highlight w:val="none"/>
          <w:lang w:val="zh-CN" w:bidi="zh-CN"/>
        </w:rPr>
        <w:t>，</w:t>
      </w:r>
      <w:r>
        <w:rPr>
          <w:rFonts w:hint="default" w:ascii="仿宋_GB2312" w:hAnsi="仿宋_GB2312" w:eastAsia="仿宋_GB2312" w:cs="仿宋_GB2312"/>
          <w:color w:val="auto"/>
          <w:sz w:val="32"/>
          <w:szCs w:val="32"/>
          <w:highlight w:val="none"/>
        </w:rPr>
        <w:t>成交供应商</w:t>
      </w:r>
      <w:r>
        <w:rPr>
          <w:rFonts w:hint="default" w:ascii="仿宋_GB2312" w:hAnsi="仿宋_GB2312" w:eastAsia="仿宋_GB2312" w:cs="仿宋_GB2312"/>
          <w:color w:val="auto"/>
          <w:sz w:val="32"/>
          <w:szCs w:val="32"/>
          <w:highlight w:val="none"/>
          <w:lang w:val="zh-CN" w:bidi="zh-CN"/>
        </w:rPr>
        <w:t>怠于提供发票，</w:t>
      </w:r>
      <w:r>
        <w:rPr>
          <w:rFonts w:hint="default" w:ascii="仿宋_GB2312" w:hAnsi="仿宋_GB2312" w:eastAsia="仿宋_GB2312" w:cs="仿宋_GB2312"/>
          <w:color w:val="auto"/>
          <w:sz w:val="32"/>
          <w:szCs w:val="32"/>
          <w:highlight w:val="none"/>
        </w:rPr>
        <w:t>采购人</w:t>
      </w:r>
      <w:r>
        <w:rPr>
          <w:rFonts w:hint="default" w:ascii="仿宋_GB2312" w:hAnsi="仿宋_GB2312" w:eastAsia="仿宋_GB2312" w:cs="仿宋_GB2312"/>
          <w:color w:val="auto"/>
          <w:sz w:val="32"/>
          <w:szCs w:val="32"/>
          <w:highlight w:val="none"/>
          <w:lang w:val="zh-CN" w:bidi="zh-CN"/>
        </w:rPr>
        <w:t>有权顺延付款期限，</w:t>
      </w:r>
      <w:r>
        <w:rPr>
          <w:rFonts w:hint="default" w:ascii="仿宋_GB2312" w:hAnsi="仿宋_GB2312" w:eastAsia="仿宋_GB2312" w:cs="仿宋_GB2312"/>
          <w:color w:val="auto"/>
          <w:sz w:val="32"/>
          <w:szCs w:val="32"/>
          <w:highlight w:val="none"/>
        </w:rPr>
        <w:t>成交供应商</w:t>
      </w:r>
      <w:r>
        <w:rPr>
          <w:rFonts w:hint="default" w:ascii="仿宋_GB2312" w:hAnsi="仿宋_GB2312" w:eastAsia="仿宋_GB2312" w:cs="仿宋_GB2312"/>
          <w:color w:val="auto"/>
          <w:sz w:val="32"/>
          <w:szCs w:val="32"/>
          <w:highlight w:val="none"/>
          <w:lang w:val="zh-CN" w:bidi="zh-CN"/>
        </w:rPr>
        <w:t>不得据此怠于履行任何一项或几项合同义务</w:t>
      </w:r>
      <w:r>
        <w:rPr>
          <w:rFonts w:hint="default" w:ascii="仿宋_GB2312" w:hAnsi="仿宋_GB2312" w:eastAsia="仿宋_GB2312" w:cs="仿宋_GB2312"/>
          <w:color w:val="auto"/>
          <w:sz w:val="32"/>
          <w:szCs w:val="32"/>
          <w:highlight w:val="none"/>
        </w:rPr>
        <w:t>。</w:t>
      </w:r>
    </w:p>
    <w:p w14:paraId="783D7ECE">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lang w:bidi="zh-CN"/>
        </w:rPr>
      </w:pPr>
      <w:r>
        <w:rPr>
          <w:rFonts w:hint="eastAsia" w:ascii="仿宋_GB2312" w:hAnsi="仿宋_GB2312" w:eastAsia="仿宋_GB2312" w:cs="仿宋_GB2312"/>
          <w:color w:val="auto"/>
          <w:sz w:val="32"/>
          <w:szCs w:val="32"/>
          <w:highlight w:val="none"/>
          <w:lang w:val="en-US" w:eastAsia="zh-CN"/>
        </w:rPr>
        <w:t>3</w:t>
      </w:r>
      <w:r>
        <w:rPr>
          <w:rFonts w:hint="default" w:ascii="仿宋_GB2312" w:hAnsi="仿宋_GB2312" w:eastAsia="仿宋_GB2312" w:cs="仿宋_GB2312"/>
          <w:color w:val="auto"/>
          <w:sz w:val="32"/>
          <w:szCs w:val="32"/>
          <w:highlight w:val="none"/>
        </w:rPr>
        <w:t>.</w:t>
      </w:r>
      <w:r>
        <w:rPr>
          <w:rFonts w:hint="default" w:ascii="仿宋_GB2312" w:hAnsi="仿宋_GB2312" w:eastAsia="仿宋_GB2312" w:cs="仿宋_GB2312"/>
          <w:color w:val="auto"/>
          <w:sz w:val="32"/>
          <w:szCs w:val="32"/>
          <w:highlight w:val="none"/>
          <w:lang w:bidi="zh-CN"/>
        </w:rPr>
        <w:t>在中国境内、外发生的与本合同执行有关的一切税费均由</w:t>
      </w:r>
      <w:r>
        <w:rPr>
          <w:rFonts w:hint="default" w:ascii="仿宋_GB2312" w:hAnsi="仿宋_GB2312" w:eastAsia="仿宋_GB2312" w:cs="仿宋_GB2312"/>
          <w:color w:val="auto"/>
          <w:sz w:val="32"/>
          <w:szCs w:val="32"/>
          <w:highlight w:val="none"/>
        </w:rPr>
        <w:t>成交供应商</w:t>
      </w:r>
      <w:r>
        <w:rPr>
          <w:rFonts w:hint="default" w:ascii="仿宋_GB2312" w:hAnsi="仿宋_GB2312" w:eastAsia="仿宋_GB2312" w:cs="仿宋_GB2312"/>
          <w:color w:val="auto"/>
          <w:sz w:val="32"/>
          <w:szCs w:val="32"/>
          <w:highlight w:val="none"/>
          <w:lang w:bidi="zh-CN"/>
        </w:rPr>
        <w:t>承担。</w:t>
      </w:r>
    </w:p>
    <w:p w14:paraId="2372132F">
      <w:pPr>
        <w:adjustRightInd w:val="0"/>
        <w:snapToGrid w:val="0"/>
        <w:spacing w:line="560" w:lineRule="exact"/>
        <w:ind w:firstLine="640" w:firstLineChars="20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（三）交货方式、要求、交货地点以及验收要求</w:t>
      </w:r>
    </w:p>
    <w:p w14:paraId="7A27B01D">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t>1.交货方式：分批交货。</w:t>
      </w:r>
      <w:r>
        <w:rPr>
          <w:rFonts w:hint="default" w:ascii="仿宋_GB2312" w:hAnsi="仿宋_GB2312" w:eastAsia="仿宋_GB2312" w:cs="仿宋_GB2312"/>
          <w:color w:val="auto"/>
          <w:sz w:val="32"/>
          <w:szCs w:val="32"/>
          <w:highlight w:val="none"/>
          <w:u w:val="none"/>
        </w:rPr>
        <w:t>成交供应商应在接到采购人通知后24小时内保证供货（</w:t>
      </w:r>
      <w:r>
        <w:rPr>
          <w:rFonts w:hint="default" w:ascii="仿宋_GB2312" w:hAnsi="仿宋_GB2312" w:eastAsia="仿宋_GB2312" w:cs="仿宋_GB2312"/>
          <w:color w:val="auto"/>
          <w:sz w:val="32"/>
          <w:szCs w:val="32"/>
          <w:highlight w:val="none"/>
        </w:rPr>
        <w:t>以送达采购人指定地点为准）。</w:t>
      </w:r>
    </w:p>
    <w:p w14:paraId="5BD1091B">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1.1</w:t>
      </w:r>
      <w:r>
        <w:rPr>
          <w:rFonts w:hint="default" w:ascii="仿宋_GB2312" w:hAnsi="仿宋_GB2312" w:eastAsia="仿宋_GB2312" w:cs="仿宋_GB2312"/>
          <w:color w:val="auto"/>
          <w:sz w:val="32"/>
          <w:szCs w:val="32"/>
          <w:highlight w:val="none"/>
        </w:rPr>
        <w:t>.金属相片交货要求：成交供应商收到制作单后</w:t>
      </w:r>
      <w:r>
        <w:rPr>
          <w:rFonts w:hint="default" w:ascii="仿宋_GB2312" w:hAnsi="仿宋_GB2312" w:eastAsia="仿宋_GB2312" w:cs="仿宋_GB2312"/>
          <w:color w:val="auto"/>
          <w:sz w:val="32"/>
          <w:szCs w:val="32"/>
          <w:highlight w:val="none"/>
          <w:u w:val="none"/>
        </w:rPr>
        <w:t>2小时内</w:t>
      </w:r>
      <w:r>
        <w:rPr>
          <w:rFonts w:hint="default" w:ascii="仿宋_GB2312" w:hAnsi="仿宋_GB2312" w:eastAsia="仿宋_GB2312" w:cs="仿宋_GB2312"/>
          <w:color w:val="auto"/>
          <w:sz w:val="32"/>
          <w:szCs w:val="32"/>
          <w:highlight w:val="none"/>
        </w:rPr>
        <w:t>在采购人指定地点交货。</w:t>
      </w:r>
    </w:p>
    <w:p w14:paraId="08FFDDC6">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1.2</w:t>
      </w:r>
      <w:r>
        <w:rPr>
          <w:rFonts w:hint="default" w:ascii="仿宋_GB2312" w:hAnsi="仿宋_GB2312" w:eastAsia="仿宋_GB2312" w:cs="仿宋_GB2312"/>
          <w:color w:val="auto"/>
          <w:sz w:val="32"/>
          <w:szCs w:val="32"/>
          <w:highlight w:val="none"/>
        </w:rPr>
        <w:t>.灵牌位的交货要求：成交供应商应在采购人通知后24小时内在采购人指定地点交货。</w:t>
      </w:r>
    </w:p>
    <w:p w14:paraId="5E83FB62">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default" w:ascii="仿宋_GB2312" w:hAnsi="仿宋_GB2312" w:eastAsia="仿宋_GB2312" w:cs="仿宋_GB2312"/>
          <w:color w:val="auto"/>
          <w:sz w:val="32"/>
          <w:szCs w:val="32"/>
          <w:highlight w:val="none"/>
        </w:rPr>
        <w:t>.制作及交货地点：采购人指定地点（含铭恩园、银河园、新塘公墓和观音山公墓）。</w:t>
      </w:r>
    </w:p>
    <w:p w14:paraId="1A881ACA">
      <w:pPr>
        <w:ind w:firstLine="600"/>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3</w:t>
      </w:r>
      <w:r>
        <w:rPr>
          <w:rFonts w:hint="default" w:ascii="仿宋_GB2312" w:hAnsi="仿宋_GB2312" w:eastAsia="仿宋_GB2312" w:cs="仿宋_GB2312"/>
          <w:color w:val="auto"/>
          <w:sz w:val="32"/>
          <w:szCs w:val="32"/>
          <w:highlight w:val="none"/>
        </w:rPr>
        <w:t>.验收要求</w:t>
      </w:r>
    </w:p>
    <w:p w14:paraId="6F198765">
      <w:pPr>
        <w:adjustRightInd w:val="0"/>
        <w:snapToGrid w:val="0"/>
        <w:spacing w:line="560" w:lineRule="exact"/>
        <w:ind w:firstLine="640" w:firstLineChars="200"/>
        <w:jc w:val="left"/>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w:t>
      </w:r>
      <w:r>
        <w:rPr>
          <w:rFonts w:hint="default" w:ascii="仿宋_GB2312" w:hAnsi="仿宋_GB2312" w:eastAsia="仿宋_GB2312" w:cs="仿宋_GB2312"/>
          <w:color w:val="auto"/>
          <w:sz w:val="32"/>
          <w:szCs w:val="32"/>
          <w:highlight w:val="none"/>
        </w:rPr>
        <w:t>成交供应商交付的货物需与中标样品的材料以及磋商文件的详细参数相符，否则采购人有权拒绝收货，</w:t>
      </w:r>
      <w:r>
        <w:rPr>
          <w:rFonts w:hint="default" w:ascii="仿宋_GB2312" w:hAnsi="仿宋_GB2312" w:eastAsia="仿宋_GB2312" w:cs="仿宋_GB2312"/>
          <w:color w:val="auto"/>
          <w:sz w:val="32"/>
          <w:szCs w:val="32"/>
          <w:highlight w:val="none"/>
          <w:lang w:bidi="zh-CN"/>
        </w:rPr>
        <w:t>并要求</w:t>
      </w:r>
      <w:r>
        <w:rPr>
          <w:rFonts w:hint="default" w:ascii="仿宋_GB2312" w:hAnsi="仿宋_GB2312" w:eastAsia="仿宋_GB2312" w:cs="仿宋_GB2312"/>
          <w:color w:val="auto"/>
          <w:sz w:val="32"/>
          <w:szCs w:val="32"/>
          <w:highlight w:val="none"/>
        </w:rPr>
        <w:t>成交供应商</w:t>
      </w:r>
      <w:r>
        <w:rPr>
          <w:rFonts w:hint="default" w:ascii="仿宋_GB2312" w:hAnsi="仿宋_GB2312" w:eastAsia="仿宋_GB2312" w:cs="仿宋_GB2312"/>
          <w:color w:val="auto"/>
          <w:sz w:val="32"/>
          <w:szCs w:val="32"/>
          <w:highlight w:val="none"/>
          <w:lang w:bidi="zh-CN"/>
        </w:rPr>
        <w:t>重新进行交付，交货时间不顺延，</w:t>
      </w:r>
      <w:r>
        <w:rPr>
          <w:rFonts w:hint="default" w:ascii="仿宋_GB2312" w:hAnsi="仿宋_GB2312" w:eastAsia="仿宋_GB2312" w:cs="仿宋_GB2312"/>
          <w:color w:val="auto"/>
          <w:sz w:val="32"/>
          <w:szCs w:val="32"/>
          <w:highlight w:val="none"/>
        </w:rPr>
        <w:t>由此造成的损失由成交供应商承担。</w:t>
      </w:r>
    </w:p>
    <w:p w14:paraId="253B174A">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eastAsia="zh-CN"/>
        </w:rPr>
        <w:t>）</w:t>
      </w:r>
      <w:r>
        <w:rPr>
          <w:rFonts w:hint="default" w:ascii="仿宋_GB2312" w:hAnsi="仿宋_GB2312" w:eastAsia="仿宋_GB2312" w:cs="仿宋_GB2312"/>
          <w:color w:val="auto"/>
          <w:sz w:val="32"/>
          <w:szCs w:val="32"/>
          <w:highlight w:val="none"/>
        </w:rPr>
        <w:t>采购人按国家有关规定、规范进行验收，必要时邀请相关的专业人员或机构参与验收。因货物质量问题发生争议时，由本地质量技术监督部门鉴定。货物符合质量技术标准的，鉴定费由采购人承担；否则鉴定费由成交供应商承担。</w:t>
      </w:r>
    </w:p>
    <w:p w14:paraId="53E9FCA5">
      <w:pPr>
        <w:adjustRightInd w:val="0"/>
        <w:snapToGrid w:val="0"/>
        <w:spacing w:line="560" w:lineRule="exact"/>
        <w:ind w:firstLine="640" w:firstLineChars="200"/>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w:t>
      </w:r>
      <w:r>
        <w:rPr>
          <w:rFonts w:hint="default" w:ascii="仿宋_GB2312" w:hAnsi="仿宋_GB2312" w:eastAsia="仿宋_GB2312" w:cs="仿宋_GB2312"/>
          <w:color w:val="auto"/>
          <w:sz w:val="32"/>
          <w:szCs w:val="32"/>
          <w:highlight w:val="none"/>
        </w:rPr>
        <w:t>响应供应商在响应文件中提供对项目的质量保证体系及措施响应情况（包括质量管理目标、质量控制过程所使用的方法、质量管理的纠偏措施、风险预防和应对措施）内容。</w:t>
      </w:r>
    </w:p>
    <w:p w14:paraId="2F839FA6">
      <w:pPr>
        <w:spacing w:line="560" w:lineRule="exact"/>
        <w:ind w:firstLine="640"/>
        <w:rPr>
          <w:rFonts w:hint="eastAsia" w:ascii="方正楷体_GB2312" w:hAnsi="方正楷体_GB2312" w:eastAsia="方正楷体_GB2312" w:cs="方正楷体_GB2312"/>
          <w:color w:val="auto"/>
          <w:sz w:val="32"/>
          <w:szCs w:val="32"/>
          <w:highlight w:val="none"/>
        </w:rPr>
      </w:pPr>
      <w:r>
        <w:rPr>
          <w:rFonts w:hint="eastAsia" w:ascii="方正楷体_GB2312" w:hAnsi="方正楷体_GB2312" w:eastAsia="方正楷体_GB2312" w:cs="方正楷体_GB2312"/>
          <w:color w:val="auto"/>
          <w:sz w:val="32"/>
          <w:szCs w:val="32"/>
          <w:highlight w:val="none"/>
        </w:rPr>
        <w:t>（四）响应样品要求</w:t>
      </w:r>
    </w:p>
    <w:p w14:paraId="1A684A56">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1.本项目要求提交响应样品，供应商应在提交响应文件截止时间前将</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样品提交到采购代理机构样板室，迟于提交响应文件截止时间提交的</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样品，采购代理机构不予收取（为便于操作，请供应商尽可能在提交响应文件当日截止时间前1小时内提交</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样品）。采购代理机构样板室地点：广州市天河区天润路447号广州市政府采购中心（太阳广场）四楼。</w:t>
      </w:r>
    </w:p>
    <w:p w14:paraId="52792E89">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2.关于提交</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样品要求：</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在提交响应文件的同时必须按照磋商文件中的要求，供评标现场</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样品展示。</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样品配置必须与响应文件列报的配置一致；成交供应商的</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样品留样直至项目验收。</w:t>
      </w:r>
    </w:p>
    <w:p w14:paraId="3E83B48A">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的</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样品不能相互共用。</w:t>
      </w:r>
    </w:p>
    <w:p w14:paraId="37D6BFDC">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4.没有要求的</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样品采购代理机构不予接收。</w:t>
      </w:r>
    </w:p>
    <w:p w14:paraId="22797731">
      <w:pPr>
        <w:spacing w:line="360" w:lineRule="auto"/>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5.采购代理机构在收取</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样品时没有对</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样品外观验收及性能测试，所以对</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样品的破损或质量概不负责</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 xml:space="preserve">    </w:t>
      </w:r>
    </w:p>
    <w:p w14:paraId="34694428">
      <w:pPr>
        <w:spacing w:line="360" w:lineRule="auto"/>
        <w:ind w:firstLine="640" w:firstLineChars="200"/>
        <w:rPr>
          <w:rFonts w:hint="eastAsia" w:ascii="方正仿宋_GB2312" w:hAnsi="方正仿宋_GB2312" w:eastAsia="方正仿宋_GB2312" w:cs="方正仿宋_GB2312"/>
          <w:color w:val="auto"/>
          <w:sz w:val="32"/>
          <w:szCs w:val="32"/>
          <w:highlight w:val="none"/>
        </w:rPr>
      </w:pPr>
      <w:r>
        <w:rPr>
          <w:rFonts w:hint="eastAsia" w:ascii="仿宋_GB2312" w:hAnsi="仿宋_GB2312" w:eastAsia="仿宋_GB2312" w:cs="仿宋_GB2312"/>
          <w:color w:val="auto"/>
          <w:sz w:val="32"/>
          <w:szCs w:val="32"/>
          <w:highlight w:val="none"/>
        </w:rPr>
        <w:t>6.实物样品标准如下所示：</w:t>
      </w:r>
    </w:p>
    <w:tbl>
      <w:tblPr>
        <w:tblStyle w:val="4"/>
        <w:tblW w:w="0" w:type="auto"/>
        <w:tblInd w:w="5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91"/>
        <w:gridCol w:w="2190"/>
        <w:gridCol w:w="1110"/>
        <w:gridCol w:w="3668"/>
      </w:tblGrid>
      <w:tr w14:paraId="2C6802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3" w:hRule="atLeast"/>
        </w:trPr>
        <w:tc>
          <w:tcPr>
            <w:tcW w:w="1191" w:type="dxa"/>
            <w:tcBorders>
              <w:right w:val="single" w:color="auto" w:sz="4" w:space="0"/>
            </w:tcBorders>
            <w:noWrap w:val="0"/>
            <w:vAlign w:val="center"/>
          </w:tcPr>
          <w:p w14:paraId="60613200">
            <w:pPr>
              <w:adjustRightInd w:val="0"/>
              <w:snapToGrid w:val="0"/>
              <w:spacing w:line="560" w:lineRule="exact"/>
              <w:jc w:val="left"/>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190" w:type="dxa"/>
            <w:tcBorders>
              <w:left w:val="single" w:color="auto" w:sz="4" w:space="0"/>
            </w:tcBorders>
            <w:noWrap w:val="0"/>
            <w:vAlign w:val="center"/>
          </w:tcPr>
          <w:p w14:paraId="12357510">
            <w:pPr>
              <w:adjustRightInd w:val="0"/>
              <w:snapToGrid w:val="0"/>
              <w:spacing w:line="560" w:lineRule="exact"/>
              <w:jc w:val="left"/>
              <w:rPr>
                <w:rFonts w:hint="eastAsia" w:ascii="宋体" w:hAnsi="宋体" w:cs="宋体"/>
                <w:color w:val="auto"/>
                <w:szCs w:val="21"/>
                <w:highlight w:val="none"/>
              </w:rPr>
            </w:pPr>
            <w:r>
              <w:rPr>
                <w:rFonts w:hint="eastAsia" w:ascii="宋体" w:hAnsi="宋体" w:cs="宋体"/>
                <w:color w:val="auto"/>
                <w:szCs w:val="21"/>
                <w:highlight w:val="none"/>
              </w:rPr>
              <w:t>产品类别</w:t>
            </w:r>
          </w:p>
        </w:tc>
        <w:tc>
          <w:tcPr>
            <w:tcW w:w="1110" w:type="dxa"/>
            <w:noWrap w:val="0"/>
            <w:vAlign w:val="center"/>
          </w:tcPr>
          <w:p w14:paraId="5AB20EC9">
            <w:pPr>
              <w:adjustRightInd w:val="0"/>
              <w:snapToGrid w:val="0"/>
              <w:spacing w:line="560" w:lineRule="exact"/>
              <w:jc w:val="left"/>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3668" w:type="dxa"/>
            <w:noWrap w:val="0"/>
            <w:vAlign w:val="center"/>
          </w:tcPr>
          <w:p w14:paraId="69A35D28">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具体参数：</w:t>
            </w:r>
          </w:p>
          <w:p w14:paraId="1F5E26DA">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规格（均为外部尺寸）</w:t>
            </w:r>
          </w:p>
          <w:p w14:paraId="2CEC02CA">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椭圆长短径（cm）</w:t>
            </w:r>
          </w:p>
          <w:p w14:paraId="38A259B2">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宽厚高（cm）</w:t>
            </w:r>
          </w:p>
        </w:tc>
      </w:tr>
      <w:tr w14:paraId="6731DE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trPr>
        <w:tc>
          <w:tcPr>
            <w:tcW w:w="1191" w:type="dxa"/>
            <w:vMerge w:val="restart"/>
            <w:tcBorders>
              <w:right w:val="single" w:color="auto" w:sz="4" w:space="0"/>
            </w:tcBorders>
            <w:noWrap w:val="0"/>
            <w:vAlign w:val="center"/>
          </w:tcPr>
          <w:p w14:paraId="1A30E4F1">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w:t>
            </w:r>
          </w:p>
        </w:tc>
        <w:tc>
          <w:tcPr>
            <w:tcW w:w="2190" w:type="dxa"/>
            <w:tcBorders>
              <w:left w:val="single" w:color="auto" w:sz="4" w:space="0"/>
            </w:tcBorders>
            <w:noWrap w:val="0"/>
            <w:vAlign w:val="center"/>
          </w:tcPr>
          <w:p w14:paraId="79DA1058">
            <w:pPr>
              <w:widowControl/>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彩色金属相片</w:t>
            </w:r>
          </w:p>
        </w:tc>
        <w:tc>
          <w:tcPr>
            <w:tcW w:w="1110" w:type="dxa"/>
            <w:noWrap w:val="0"/>
            <w:vAlign w:val="center"/>
          </w:tcPr>
          <w:p w14:paraId="6419EF01">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noWrap w:val="0"/>
            <w:vAlign w:val="center"/>
          </w:tcPr>
          <w:p w14:paraId="09E3C746">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长径×短径=5×4</w:t>
            </w:r>
          </w:p>
          <w:p w14:paraId="729F4060">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厚度≤0.5mm</w:t>
            </w:r>
          </w:p>
          <w:p w14:paraId="614B5511">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bCs/>
                <w:color w:val="auto"/>
                <w:szCs w:val="21"/>
                <w:highlight w:val="none"/>
              </w:rPr>
              <w:t>铜制金属材质</w:t>
            </w:r>
          </w:p>
        </w:tc>
      </w:tr>
      <w:tr w14:paraId="0A2F8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6" w:hRule="atLeast"/>
        </w:trPr>
        <w:tc>
          <w:tcPr>
            <w:tcW w:w="1191" w:type="dxa"/>
            <w:vMerge w:val="continue"/>
            <w:tcBorders>
              <w:right w:val="single" w:color="auto" w:sz="4" w:space="0"/>
            </w:tcBorders>
            <w:noWrap w:val="0"/>
            <w:vAlign w:val="center"/>
          </w:tcPr>
          <w:p w14:paraId="13CA2513">
            <w:pPr>
              <w:adjustRightInd w:val="0"/>
              <w:snapToGrid w:val="0"/>
              <w:spacing w:line="560" w:lineRule="exact"/>
              <w:ind w:firstLine="420" w:firstLineChars="200"/>
              <w:jc w:val="left"/>
              <w:rPr>
                <w:rFonts w:hint="eastAsia" w:ascii="宋体" w:hAnsi="宋体" w:cs="宋体"/>
                <w:color w:val="auto"/>
                <w:szCs w:val="21"/>
                <w:highlight w:val="none"/>
              </w:rPr>
            </w:pPr>
          </w:p>
        </w:tc>
        <w:tc>
          <w:tcPr>
            <w:tcW w:w="2190" w:type="dxa"/>
            <w:tcBorders>
              <w:left w:val="single" w:color="auto" w:sz="4" w:space="0"/>
            </w:tcBorders>
            <w:noWrap w:val="0"/>
            <w:vAlign w:val="center"/>
          </w:tcPr>
          <w:p w14:paraId="6089BFDF">
            <w:pPr>
              <w:widowControl/>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黑白金属相片</w:t>
            </w:r>
          </w:p>
        </w:tc>
        <w:tc>
          <w:tcPr>
            <w:tcW w:w="1110" w:type="dxa"/>
            <w:noWrap w:val="0"/>
            <w:vAlign w:val="center"/>
          </w:tcPr>
          <w:p w14:paraId="766E753B">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noWrap w:val="0"/>
            <w:vAlign w:val="center"/>
          </w:tcPr>
          <w:p w14:paraId="6F1E7BBA">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长径×短径=5×4</w:t>
            </w:r>
          </w:p>
          <w:p w14:paraId="5C8C9D2C">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厚度≤0.5mm</w:t>
            </w:r>
          </w:p>
          <w:p w14:paraId="72743C78">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bCs/>
                <w:color w:val="auto"/>
                <w:szCs w:val="21"/>
                <w:highlight w:val="none"/>
              </w:rPr>
              <w:t>铜制金属材质</w:t>
            </w:r>
          </w:p>
        </w:tc>
      </w:tr>
      <w:tr w14:paraId="672DE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7" w:hRule="atLeast"/>
        </w:trPr>
        <w:tc>
          <w:tcPr>
            <w:tcW w:w="1191" w:type="dxa"/>
            <w:vMerge w:val="restart"/>
            <w:tcBorders>
              <w:right w:val="single" w:color="auto" w:sz="4" w:space="0"/>
            </w:tcBorders>
            <w:noWrap w:val="0"/>
            <w:vAlign w:val="center"/>
          </w:tcPr>
          <w:p w14:paraId="286A2B23">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w:t>
            </w:r>
          </w:p>
        </w:tc>
        <w:tc>
          <w:tcPr>
            <w:tcW w:w="2190" w:type="dxa"/>
            <w:tcBorders>
              <w:left w:val="single" w:color="auto" w:sz="4" w:space="0"/>
            </w:tcBorders>
            <w:noWrap w:val="0"/>
            <w:vAlign w:val="center"/>
          </w:tcPr>
          <w:p w14:paraId="0648A5F6">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灵牌位一类</w:t>
            </w:r>
          </w:p>
        </w:tc>
        <w:tc>
          <w:tcPr>
            <w:tcW w:w="1110" w:type="dxa"/>
            <w:noWrap w:val="0"/>
            <w:vAlign w:val="center"/>
          </w:tcPr>
          <w:p w14:paraId="03EE75A4">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vMerge w:val="restart"/>
            <w:noWrap w:val="0"/>
            <w:vAlign w:val="center"/>
          </w:tcPr>
          <w:p w14:paraId="023349FB">
            <w:pPr>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一二类牌位高度不超过20cm</w:t>
            </w:r>
          </w:p>
          <w:p w14:paraId="11B1C025">
            <w:pPr>
              <w:jc w:val="left"/>
              <w:rPr>
                <w:rFonts w:hint="eastAsia" w:ascii="宋体" w:hAnsi="宋体" w:cs="宋体"/>
                <w:color w:val="auto"/>
                <w:szCs w:val="21"/>
                <w:highlight w:val="none"/>
              </w:rPr>
            </w:pPr>
            <w:r>
              <w:rPr>
                <w:rFonts w:hint="eastAsia" w:ascii="宋体" w:hAnsi="宋体" w:cs="宋体"/>
                <w:bCs/>
                <w:color w:val="auto"/>
                <w:kern w:val="0"/>
                <w:szCs w:val="21"/>
                <w:highlight w:val="none"/>
              </w:rPr>
              <w:t>三至</w:t>
            </w:r>
            <w:r>
              <w:rPr>
                <w:rFonts w:hint="eastAsia" w:ascii="宋体" w:hAnsi="宋体" w:cs="宋体"/>
                <w:bCs/>
                <w:color w:val="auto"/>
                <w:kern w:val="0"/>
                <w:szCs w:val="21"/>
                <w:highlight w:val="none"/>
                <w:lang w:val="en-US" w:eastAsia="zh-CN"/>
              </w:rPr>
              <w:t>六</w:t>
            </w:r>
            <w:r>
              <w:rPr>
                <w:rFonts w:hint="eastAsia" w:ascii="宋体" w:hAnsi="宋体" w:cs="宋体"/>
                <w:bCs/>
                <w:color w:val="auto"/>
                <w:kern w:val="0"/>
                <w:szCs w:val="21"/>
                <w:highlight w:val="none"/>
              </w:rPr>
              <w:t>类牌位：</w:t>
            </w:r>
            <w:r>
              <w:rPr>
                <w:rFonts w:hint="eastAsia" w:ascii="宋体" w:hAnsi="宋体" w:cs="宋体"/>
                <w:color w:val="auto"/>
                <w:szCs w:val="21"/>
                <w:highlight w:val="none"/>
              </w:rPr>
              <w:t>宽×厚×高≤15×6×26</w:t>
            </w:r>
            <w:r>
              <w:rPr>
                <w:rFonts w:hint="eastAsia" w:ascii="宋体" w:hAnsi="宋体" w:cs="宋体"/>
                <w:bCs/>
                <w:color w:val="auto"/>
                <w:kern w:val="0"/>
                <w:szCs w:val="21"/>
                <w:highlight w:val="none"/>
              </w:rPr>
              <w:t>cm</w:t>
            </w:r>
          </w:p>
          <w:p w14:paraId="0BBC0719">
            <w:pPr>
              <w:jc w:val="left"/>
              <w:rPr>
                <w:rFonts w:hint="eastAsia" w:ascii="宋体" w:hAnsi="宋体" w:cs="宋体"/>
                <w:color w:val="auto"/>
                <w:szCs w:val="21"/>
                <w:highlight w:val="none"/>
              </w:rPr>
            </w:pPr>
            <w:r>
              <w:rPr>
                <w:rFonts w:hint="eastAsia" w:ascii="宋体" w:hAnsi="宋体" w:cs="宋体"/>
                <w:color w:val="auto"/>
                <w:szCs w:val="21"/>
                <w:highlight w:val="none"/>
              </w:rPr>
              <w:t>单件重量：不少于0.5Kg</w:t>
            </w:r>
          </w:p>
          <w:p w14:paraId="6E37A6C0">
            <w:pPr>
              <w:jc w:val="left"/>
              <w:rPr>
                <w:rFonts w:hint="eastAsia" w:ascii="宋体" w:hAnsi="宋体" w:cs="宋体"/>
                <w:bCs/>
                <w:color w:val="auto"/>
                <w:kern w:val="0"/>
                <w:szCs w:val="21"/>
                <w:highlight w:val="none"/>
              </w:rPr>
            </w:pPr>
            <w:r>
              <w:rPr>
                <w:rFonts w:hint="eastAsia" w:ascii="宋体" w:hAnsi="宋体" w:cs="宋体"/>
                <w:color w:val="auto"/>
                <w:szCs w:val="21"/>
                <w:highlight w:val="none"/>
              </w:rPr>
              <w:t>木制牌位主要部位须榫卯结构</w:t>
            </w:r>
          </w:p>
          <w:p w14:paraId="026A7E70">
            <w:pPr>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灵牌位材质类别需包含汉白玉、大理石、</w:t>
            </w:r>
            <w:r>
              <w:rPr>
                <w:rFonts w:hint="eastAsia" w:ascii="宋体" w:hAnsi="宋体" w:cs="宋体"/>
                <w:color w:val="auto"/>
                <w:szCs w:val="21"/>
                <w:highlight w:val="none"/>
                <w:lang w:val="en-US" w:eastAsia="zh-CN"/>
              </w:rPr>
              <w:t>透明亚克力</w:t>
            </w:r>
            <w:r>
              <w:rPr>
                <w:rFonts w:hint="eastAsia" w:ascii="宋体" w:hAnsi="宋体" w:cs="宋体"/>
                <w:color w:val="auto"/>
                <w:szCs w:val="21"/>
                <w:highlight w:val="none"/>
              </w:rPr>
              <w:t>、木制（</w:t>
            </w:r>
            <w:r>
              <w:rPr>
                <w:rFonts w:hint="eastAsia" w:ascii="宋体" w:hAnsi="宋体" w:cs="宋体"/>
                <w:color w:val="auto"/>
                <w:szCs w:val="21"/>
                <w:highlight w:val="none"/>
                <w:lang w:eastAsia="zh-CN"/>
              </w:rPr>
              <w:t>檀木</w:t>
            </w:r>
            <w:r>
              <w:rPr>
                <w:rFonts w:hint="eastAsia" w:ascii="宋体" w:hAnsi="宋体" w:cs="宋体"/>
                <w:color w:val="auto"/>
                <w:szCs w:val="21"/>
                <w:highlight w:val="none"/>
              </w:rPr>
              <w:t>、樟</w:t>
            </w:r>
            <w:r>
              <w:rPr>
                <w:rFonts w:hint="eastAsia" w:ascii="宋体" w:hAnsi="宋体" w:cs="宋体"/>
                <w:color w:val="auto"/>
                <w:szCs w:val="21"/>
                <w:highlight w:val="none"/>
                <w:lang w:eastAsia="zh-CN"/>
              </w:rPr>
              <w:t>木</w:t>
            </w:r>
            <w:r>
              <w:rPr>
                <w:rFonts w:hint="eastAsia" w:ascii="宋体" w:hAnsi="宋体" w:cs="宋体"/>
                <w:color w:val="auto"/>
                <w:szCs w:val="21"/>
                <w:highlight w:val="none"/>
              </w:rPr>
              <w:t>、</w:t>
            </w:r>
            <w:r>
              <w:rPr>
                <w:rFonts w:hint="eastAsia" w:ascii="宋体" w:hAnsi="宋体" w:cs="宋体"/>
                <w:color w:val="auto"/>
                <w:szCs w:val="21"/>
                <w:highlight w:val="none"/>
                <w:lang w:eastAsia="zh-CN"/>
              </w:rPr>
              <w:t>菠萝格</w:t>
            </w:r>
            <w:r>
              <w:rPr>
                <w:rFonts w:hint="eastAsia" w:ascii="宋体" w:hAnsi="宋体" w:cs="宋体"/>
                <w:color w:val="auto"/>
                <w:szCs w:val="21"/>
                <w:highlight w:val="none"/>
              </w:rPr>
              <w:t>）材质</w:t>
            </w:r>
            <w:r>
              <w:rPr>
                <w:rFonts w:hint="eastAsia" w:ascii="宋体" w:hAnsi="宋体" w:cs="宋体"/>
                <w:color w:val="auto"/>
                <w:szCs w:val="21"/>
                <w:highlight w:val="none"/>
                <w:lang w:eastAsia="zh-CN"/>
              </w:rPr>
              <w:t>。</w:t>
            </w:r>
          </w:p>
        </w:tc>
      </w:tr>
      <w:tr w14:paraId="1A5B9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91" w:type="dxa"/>
            <w:vMerge w:val="continue"/>
            <w:tcBorders>
              <w:right w:val="single" w:color="auto" w:sz="4" w:space="0"/>
            </w:tcBorders>
            <w:noWrap w:val="0"/>
            <w:vAlign w:val="center"/>
          </w:tcPr>
          <w:p w14:paraId="4ECD3908">
            <w:pPr>
              <w:adjustRightInd w:val="0"/>
              <w:snapToGrid w:val="0"/>
              <w:spacing w:line="560" w:lineRule="exact"/>
              <w:ind w:firstLine="420" w:firstLineChars="200"/>
              <w:jc w:val="left"/>
              <w:rPr>
                <w:rFonts w:hint="eastAsia" w:ascii="宋体" w:hAnsi="宋体" w:cs="宋体"/>
                <w:color w:val="auto"/>
                <w:szCs w:val="21"/>
                <w:highlight w:val="none"/>
              </w:rPr>
            </w:pPr>
          </w:p>
        </w:tc>
        <w:tc>
          <w:tcPr>
            <w:tcW w:w="2190" w:type="dxa"/>
            <w:tcBorders>
              <w:left w:val="single" w:color="auto" w:sz="4" w:space="0"/>
            </w:tcBorders>
            <w:noWrap w:val="0"/>
            <w:vAlign w:val="center"/>
          </w:tcPr>
          <w:p w14:paraId="02CDD047">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灵牌位二类</w:t>
            </w:r>
          </w:p>
        </w:tc>
        <w:tc>
          <w:tcPr>
            <w:tcW w:w="1110" w:type="dxa"/>
            <w:tcBorders>
              <w:bottom w:val="single" w:color="auto" w:sz="4" w:space="0"/>
            </w:tcBorders>
            <w:noWrap w:val="0"/>
            <w:vAlign w:val="center"/>
          </w:tcPr>
          <w:p w14:paraId="2B542A8D">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vMerge w:val="continue"/>
            <w:noWrap w:val="0"/>
            <w:vAlign w:val="center"/>
          </w:tcPr>
          <w:p w14:paraId="121A3D5B">
            <w:pPr>
              <w:adjustRightInd w:val="0"/>
              <w:snapToGrid w:val="0"/>
              <w:spacing w:line="560" w:lineRule="exact"/>
              <w:ind w:firstLine="420" w:firstLineChars="200"/>
              <w:jc w:val="left"/>
              <w:rPr>
                <w:rFonts w:hint="eastAsia" w:ascii="宋体" w:hAnsi="宋体" w:cs="宋体"/>
                <w:color w:val="auto"/>
                <w:szCs w:val="21"/>
                <w:highlight w:val="none"/>
              </w:rPr>
            </w:pPr>
          </w:p>
        </w:tc>
      </w:tr>
      <w:tr w14:paraId="3F5DD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1191" w:type="dxa"/>
            <w:vMerge w:val="continue"/>
            <w:tcBorders>
              <w:right w:val="single" w:color="auto" w:sz="4" w:space="0"/>
            </w:tcBorders>
            <w:noWrap w:val="0"/>
            <w:vAlign w:val="center"/>
          </w:tcPr>
          <w:p w14:paraId="739BA21D">
            <w:pPr>
              <w:adjustRightInd w:val="0"/>
              <w:snapToGrid w:val="0"/>
              <w:spacing w:line="560" w:lineRule="exact"/>
              <w:ind w:firstLine="420" w:firstLineChars="200"/>
              <w:jc w:val="left"/>
              <w:rPr>
                <w:rFonts w:hint="eastAsia" w:ascii="宋体" w:hAnsi="宋体" w:cs="宋体"/>
                <w:color w:val="auto"/>
                <w:szCs w:val="21"/>
                <w:highlight w:val="none"/>
              </w:rPr>
            </w:pPr>
          </w:p>
        </w:tc>
        <w:tc>
          <w:tcPr>
            <w:tcW w:w="2190" w:type="dxa"/>
            <w:tcBorders>
              <w:left w:val="single" w:color="auto" w:sz="4" w:space="0"/>
            </w:tcBorders>
            <w:noWrap w:val="0"/>
            <w:vAlign w:val="center"/>
          </w:tcPr>
          <w:p w14:paraId="438F02F2">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灵牌位三类</w:t>
            </w:r>
          </w:p>
        </w:tc>
        <w:tc>
          <w:tcPr>
            <w:tcW w:w="1110" w:type="dxa"/>
            <w:tcBorders>
              <w:top w:val="single" w:color="auto" w:sz="4" w:space="0"/>
            </w:tcBorders>
            <w:noWrap w:val="0"/>
            <w:vAlign w:val="center"/>
          </w:tcPr>
          <w:p w14:paraId="6D6CE8B0">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vMerge w:val="continue"/>
            <w:noWrap w:val="0"/>
            <w:vAlign w:val="center"/>
          </w:tcPr>
          <w:p w14:paraId="0841A2B0">
            <w:pPr>
              <w:adjustRightInd w:val="0"/>
              <w:snapToGrid w:val="0"/>
              <w:spacing w:line="560" w:lineRule="exact"/>
              <w:ind w:firstLine="420" w:firstLineChars="200"/>
              <w:jc w:val="left"/>
              <w:rPr>
                <w:rFonts w:hint="eastAsia" w:ascii="宋体" w:hAnsi="宋体" w:cs="宋体"/>
                <w:color w:val="auto"/>
                <w:szCs w:val="21"/>
                <w:highlight w:val="none"/>
              </w:rPr>
            </w:pPr>
          </w:p>
        </w:tc>
      </w:tr>
      <w:tr w14:paraId="45AD8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7" w:hRule="atLeast"/>
        </w:trPr>
        <w:tc>
          <w:tcPr>
            <w:tcW w:w="1191" w:type="dxa"/>
            <w:vMerge w:val="continue"/>
            <w:tcBorders>
              <w:right w:val="single" w:color="auto" w:sz="4" w:space="0"/>
            </w:tcBorders>
            <w:noWrap w:val="0"/>
            <w:vAlign w:val="center"/>
          </w:tcPr>
          <w:p w14:paraId="4E72EEF3">
            <w:pPr>
              <w:adjustRightInd w:val="0"/>
              <w:snapToGrid w:val="0"/>
              <w:spacing w:line="560" w:lineRule="exact"/>
              <w:ind w:firstLine="420" w:firstLineChars="200"/>
              <w:jc w:val="left"/>
              <w:rPr>
                <w:rFonts w:hint="eastAsia" w:ascii="宋体" w:hAnsi="宋体" w:cs="宋体"/>
                <w:color w:val="auto"/>
                <w:szCs w:val="21"/>
                <w:highlight w:val="none"/>
              </w:rPr>
            </w:pPr>
          </w:p>
        </w:tc>
        <w:tc>
          <w:tcPr>
            <w:tcW w:w="2190" w:type="dxa"/>
            <w:tcBorders>
              <w:left w:val="single" w:color="auto" w:sz="4" w:space="0"/>
              <w:bottom w:val="single" w:color="auto" w:sz="4" w:space="0"/>
            </w:tcBorders>
            <w:noWrap w:val="0"/>
            <w:vAlign w:val="center"/>
          </w:tcPr>
          <w:p w14:paraId="4423C929">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灵牌位四类</w:t>
            </w:r>
          </w:p>
        </w:tc>
        <w:tc>
          <w:tcPr>
            <w:tcW w:w="1110" w:type="dxa"/>
            <w:tcBorders>
              <w:bottom w:val="single" w:color="auto" w:sz="4" w:space="0"/>
            </w:tcBorders>
            <w:noWrap w:val="0"/>
            <w:vAlign w:val="center"/>
          </w:tcPr>
          <w:p w14:paraId="166CB049">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vMerge w:val="continue"/>
            <w:noWrap w:val="0"/>
            <w:vAlign w:val="center"/>
          </w:tcPr>
          <w:p w14:paraId="29FB5506">
            <w:pPr>
              <w:adjustRightInd w:val="0"/>
              <w:snapToGrid w:val="0"/>
              <w:spacing w:line="560" w:lineRule="exact"/>
              <w:ind w:firstLine="420" w:firstLineChars="200"/>
              <w:jc w:val="left"/>
              <w:rPr>
                <w:rFonts w:hint="eastAsia" w:ascii="宋体" w:hAnsi="宋体" w:cs="宋体"/>
                <w:color w:val="auto"/>
                <w:szCs w:val="21"/>
                <w:highlight w:val="none"/>
              </w:rPr>
            </w:pPr>
          </w:p>
        </w:tc>
      </w:tr>
      <w:tr w14:paraId="53499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trPr>
        <w:tc>
          <w:tcPr>
            <w:tcW w:w="1191" w:type="dxa"/>
            <w:vMerge w:val="continue"/>
            <w:tcBorders>
              <w:right w:val="single" w:color="auto" w:sz="4" w:space="0"/>
            </w:tcBorders>
            <w:noWrap w:val="0"/>
            <w:vAlign w:val="center"/>
          </w:tcPr>
          <w:p w14:paraId="23EBC993">
            <w:pPr>
              <w:adjustRightInd w:val="0"/>
              <w:snapToGrid w:val="0"/>
              <w:spacing w:line="560" w:lineRule="exact"/>
              <w:ind w:firstLine="420" w:firstLineChars="200"/>
              <w:jc w:val="left"/>
              <w:rPr>
                <w:rFonts w:hint="eastAsia" w:ascii="宋体" w:hAnsi="宋体" w:cs="宋体"/>
                <w:color w:val="auto"/>
                <w:szCs w:val="21"/>
                <w:highlight w:val="none"/>
              </w:rPr>
            </w:pPr>
          </w:p>
        </w:tc>
        <w:tc>
          <w:tcPr>
            <w:tcW w:w="2190" w:type="dxa"/>
            <w:tcBorders>
              <w:top w:val="single" w:color="auto" w:sz="4" w:space="0"/>
              <w:left w:val="single" w:color="auto" w:sz="4" w:space="0"/>
              <w:bottom w:val="single" w:color="auto" w:sz="4" w:space="0"/>
            </w:tcBorders>
            <w:noWrap w:val="0"/>
            <w:vAlign w:val="center"/>
          </w:tcPr>
          <w:p w14:paraId="51A1E43D">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灵牌位五类</w:t>
            </w:r>
          </w:p>
        </w:tc>
        <w:tc>
          <w:tcPr>
            <w:tcW w:w="1110" w:type="dxa"/>
            <w:tcBorders>
              <w:top w:val="single" w:color="auto" w:sz="4" w:space="0"/>
              <w:bottom w:val="single" w:color="auto" w:sz="4" w:space="0"/>
            </w:tcBorders>
            <w:noWrap w:val="0"/>
            <w:vAlign w:val="center"/>
          </w:tcPr>
          <w:p w14:paraId="75B31A48">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vMerge w:val="continue"/>
            <w:noWrap w:val="0"/>
            <w:vAlign w:val="center"/>
          </w:tcPr>
          <w:p w14:paraId="16C0FE13">
            <w:pPr>
              <w:adjustRightInd w:val="0"/>
              <w:snapToGrid w:val="0"/>
              <w:spacing w:line="560" w:lineRule="exact"/>
              <w:ind w:firstLine="420" w:firstLineChars="200"/>
              <w:jc w:val="left"/>
              <w:rPr>
                <w:rFonts w:hint="eastAsia" w:ascii="宋体" w:hAnsi="宋体" w:cs="宋体"/>
                <w:color w:val="auto"/>
                <w:szCs w:val="21"/>
                <w:highlight w:val="none"/>
              </w:rPr>
            </w:pPr>
          </w:p>
        </w:tc>
      </w:tr>
      <w:tr w14:paraId="6F05B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7" w:hRule="atLeast"/>
        </w:trPr>
        <w:tc>
          <w:tcPr>
            <w:tcW w:w="1191" w:type="dxa"/>
            <w:vMerge w:val="continue"/>
            <w:tcBorders>
              <w:right w:val="single" w:color="auto" w:sz="4" w:space="0"/>
            </w:tcBorders>
            <w:noWrap w:val="0"/>
            <w:vAlign w:val="center"/>
          </w:tcPr>
          <w:p w14:paraId="14F3F5A6">
            <w:pPr>
              <w:adjustRightInd w:val="0"/>
              <w:snapToGrid w:val="0"/>
              <w:spacing w:line="560" w:lineRule="exact"/>
              <w:ind w:firstLine="420" w:firstLineChars="200"/>
              <w:jc w:val="left"/>
              <w:rPr>
                <w:rFonts w:hint="eastAsia" w:ascii="宋体" w:hAnsi="宋体" w:cs="宋体"/>
                <w:color w:val="auto"/>
                <w:szCs w:val="21"/>
                <w:highlight w:val="none"/>
              </w:rPr>
            </w:pPr>
          </w:p>
        </w:tc>
        <w:tc>
          <w:tcPr>
            <w:tcW w:w="2190" w:type="dxa"/>
            <w:tcBorders>
              <w:top w:val="single" w:color="auto" w:sz="4" w:space="0"/>
              <w:left w:val="single" w:color="auto" w:sz="4" w:space="0"/>
            </w:tcBorders>
            <w:noWrap w:val="0"/>
            <w:vAlign w:val="center"/>
          </w:tcPr>
          <w:p w14:paraId="67832B98">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灵牌位六类</w:t>
            </w:r>
          </w:p>
        </w:tc>
        <w:tc>
          <w:tcPr>
            <w:tcW w:w="1110" w:type="dxa"/>
            <w:tcBorders>
              <w:top w:val="single" w:color="auto" w:sz="4" w:space="0"/>
            </w:tcBorders>
            <w:noWrap w:val="0"/>
            <w:vAlign w:val="center"/>
          </w:tcPr>
          <w:p w14:paraId="518B9239">
            <w:pPr>
              <w:adjustRightInd w:val="0"/>
              <w:snapToGrid w:val="0"/>
              <w:spacing w:line="56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1个</w:t>
            </w:r>
          </w:p>
        </w:tc>
        <w:tc>
          <w:tcPr>
            <w:tcW w:w="3668" w:type="dxa"/>
            <w:vMerge w:val="continue"/>
            <w:noWrap w:val="0"/>
            <w:vAlign w:val="center"/>
          </w:tcPr>
          <w:p w14:paraId="0866E608">
            <w:pPr>
              <w:adjustRightInd w:val="0"/>
              <w:snapToGrid w:val="0"/>
              <w:spacing w:line="560" w:lineRule="exact"/>
              <w:ind w:firstLine="420" w:firstLineChars="200"/>
              <w:jc w:val="left"/>
              <w:rPr>
                <w:rFonts w:hint="eastAsia" w:ascii="宋体" w:hAnsi="宋体" w:cs="宋体"/>
                <w:color w:val="auto"/>
                <w:szCs w:val="21"/>
                <w:highlight w:val="none"/>
              </w:rPr>
            </w:pPr>
          </w:p>
        </w:tc>
      </w:tr>
    </w:tbl>
    <w:p w14:paraId="6D45A2D1">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注：样品须提供以上所有产品各一个。每种产品提供两张5D冲洗照片及电子照片（正面拍摄）</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电子照片需存放在U盘中附随样品一起提交</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，并列明规格、尺寸、产品类别。样品的各项技术质量指标标准应符合规定。</w:t>
      </w:r>
    </w:p>
    <w:p w14:paraId="065E810C">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样品要与响应文件分开，每个样品要标识清楚样品名称、响应供应商名称。格式参照如下：</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0"/>
      </w:tblGrid>
      <w:tr w14:paraId="3AE1F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2" w:hRule="atLeast"/>
          <w:jc w:val="center"/>
        </w:trPr>
        <w:tc>
          <w:tcPr>
            <w:tcW w:w="7340" w:type="dxa"/>
            <w:noWrap w:val="0"/>
            <w:vAlign w:val="top"/>
          </w:tcPr>
          <w:p w14:paraId="71E9385D">
            <w:pPr>
              <w:adjustRightInd w:val="0"/>
              <w:snapToGrid w:val="0"/>
              <w:spacing w:line="560" w:lineRule="exact"/>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样品”</w:t>
            </w:r>
          </w:p>
          <w:p w14:paraId="09A386F6">
            <w:pPr>
              <w:adjustRightInd w:val="0"/>
              <w:snapToGrid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采购项目名称：</w:t>
            </w:r>
          </w:p>
          <w:p w14:paraId="5B5308AA">
            <w:pPr>
              <w:adjustRightInd w:val="0"/>
              <w:snapToGrid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采购文件编号：</w:t>
            </w:r>
          </w:p>
          <w:p w14:paraId="4CC58D63">
            <w:pPr>
              <w:adjustRightInd w:val="0"/>
              <w:snapToGrid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响应供应商名称：（请填写名称并加盖公章）</w:t>
            </w:r>
          </w:p>
          <w:p w14:paraId="6F7B2AE6">
            <w:pPr>
              <w:adjustRightInd w:val="0"/>
              <w:snapToGrid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产品类别：</w:t>
            </w:r>
          </w:p>
          <w:p w14:paraId="584FE380">
            <w:pPr>
              <w:adjustRightInd w:val="0"/>
              <w:snapToGrid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规格：</w:t>
            </w:r>
          </w:p>
          <w:p w14:paraId="2A8C3627">
            <w:pPr>
              <w:adjustRightInd w:val="0"/>
              <w:snapToGrid w:val="0"/>
              <w:spacing w:line="560" w:lineRule="exact"/>
              <w:ind w:left="638" w:leftChars="304" w:firstLine="0" w:firstLineChars="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响应供应商法定代表人或其授权委托人姓名、联系电话：</w:t>
            </w:r>
          </w:p>
        </w:tc>
      </w:tr>
    </w:tbl>
    <w:p w14:paraId="7DEB70E9">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7.由于采购代理机构场地空间有限，敬请各有关供应商支持配合，在接到采购代理机构通知后尽快取回</w:t>
      </w:r>
      <w:r>
        <w:rPr>
          <w:rFonts w:hint="eastAsia" w:ascii="仿宋_GB2312" w:hAnsi="仿宋_GB2312" w:eastAsia="仿宋_GB2312" w:cs="仿宋_GB2312"/>
          <w:color w:val="auto"/>
          <w:sz w:val="32"/>
          <w:szCs w:val="32"/>
          <w:highlight w:val="none"/>
          <w:lang w:eastAsia="zh-CN"/>
        </w:rPr>
        <w:t>响应</w:t>
      </w:r>
      <w:r>
        <w:rPr>
          <w:rFonts w:hint="eastAsia" w:ascii="仿宋_GB2312" w:hAnsi="仿宋_GB2312" w:eastAsia="仿宋_GB2312" w:cs="仿宋_GB2312"/>
          <w:color w:val="auto"/>
          <w:sz w:val="32"/>
          <w:szCs w:val="32"/>
          <w:highlight w:val="none"/>
        </w:rPr>
        <w:t>样板，否则视同供应商不再认领，采购代理机构有权进行处理。</w:t>
      </w:r>
    </w:p>
    <w:p w14:paraId="25651F9B">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8.注意事项：</w:t>
      </w:r>
    </w:p>
    <w:p w14:paraId="5FE58B64">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8.1如涉及提交样板的：样板间大门尺寸（宽1.33米×高2.3米），样板间高度2.4米。请供应商根据样板间的大门尺寸和高度安排样品。如因样板间无法满足供应商的样品尺寸，造成的不利后果由供应商自行承担。</w:t>
      </w:r>
    </w:p>
    <w:p w14:paraId="616692CE">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8.2如涉及产品演示的：多功能室大门尺寸（宽0.8米×高2.1米），多功能室体积（长5米×宽2.7米×高2.4米）。请供应商根据多功能室的大门尺寸和体积安排演示内容或产品。如因多功能室无法满足供应商演示内容或产品，造成的不利后果由供应商自行承担。</w:t>
      </w:r>
    </w:p>
    <w:p w14:paraId="12F983F6">
      <w:pPr>
        <w:spacing w:line="560" w:lineRule="exact"/>
        <w:ind w:firstLine="640"/>
        <w:rPr>
          <w:rFonts w:hint="eastAsia" w:ascii="黑体" w:hAnsi="黑体" w:eastAsia="黑体" w:cs="黑体"/>
          <w:color w:val="auto"/>
          <w:sz w:val="32"/>
          <w:szCs w:val="32"/>
          <w:highlight w:val="none"/>
        </w:rPr>
      </w:pPr>
      <w:r>
        <w:rPr>
          <w:rFonts w:hint="eastAsia" w:ascii="仿宋_GB2312" w:hAnsi="仿宋_GB2312" w:eastAsia="仿宋_GB2312" w:cs="仿宋_GB2312"/>
          <w:color w:val="auto"/>
          <w:sz w:val="32"/>
          <w:szCs w:val="32"/>
          <w:highlight w:val="none"/>
        </w:rPr>
        <w:t>8.3如涉及方案讲解或原型演示或答辩的：方案讲解或原型演示或答辩人员的身份由评审专家进行核验。</w:t>
      </w:r>
    </w:p>
    <w:p w14:paraId="1FA6E525">
      <w:pPr>
        <w:spacing w:line="560" w:lineRule="exact"/>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五、违约责任</w:t>
      </w:r>
    </w:p>
    <w:p w14:paraId="598E8139">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应按照国家及广州地方税务部门的要求出具正式合法的税务专用发票，且税务发票要与</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的工商、税务资料相符合，否则采购人有权不支付服务款项。</w:t>
      </w:r>
    </w:p>
    <w:p w14:paraId="0947EE7F">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（二）如因</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的原因未能按要求完成服务的，</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应积极与采购人共同解决顾客的投诉和纠纷，并承担由此产生的费用。</w:t>
      </w:r>
    </w:p>
    <w:p w14:paraId="3E9BB9D2">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遇到不可抗力因素影响服务的，应积极与采购人一同做好善后工作，采购人未能收取顾客服务费用的，无需向</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支付服务费用。</w:t>
      </w:r>
    </w:p>
    <w:p w14:paraId="5895D0F8">
      <w:pPr>
        <w:pStyle w:val="2"/>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（四）合作期间，</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若有损害采购人利益的任何行为，采购人有权按损害的严重程度要求</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赔偿</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在履约保证金中扣除，不足部分由</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补齐。</w:t>
      </w:r>
    </w:p>
    <w:p w14:paraId="333F2416">
      <w:pPr>
        <w:pStyle w:val="2"/>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情况如下</w:t>
      </w:r>
      <w:r>
        <w:rPr>
          <w:rFonts w:hint="eastAsia" w:ascii="仿宋_GB2312" w:hAnsi="仿宋_GB2312" w:eastAsia="仿宋_GB2312" w:cs="仿宋_GB2312"/>
          <w:color w:val="auto"/>
          <w:sz w:val="32"/>
          <w:szCs w:val="32"/>
          <w:highlight w:val="none"/>
        </w:rPr>
        <w:t>：</w:t>
      </w:r>
    </w:p>
    <w:p w14:paraId="2AF34D2A">
      <w:pPr>
        <w:pStyle w:val="2"/>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1.因</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违约导致工作缺失，采购人书面通知2次后仍不整改</w:t>
      </w:r>
      <w:r>
        <w:rPr>
          <w:rFonts w:hint="eastAsia" w:ascii="仿宋_GB2312" w:hAnsi="仿宋_GB2312" w:eastAsia="仿宋_GB2312" w:cs="仿宋_GB2312"/>
          <w:color w:val="auto"/>
          <w:sz w:val="32"/>
          <w:szCs w:val="32"/>
          <w:highlight w:val="none"/>
          <w:lang w:val="en-US" w:eastAsia="zh-CN"/>
        </w:rPr>
        <w:t>的，单次扣除20%</w:t>
      </w:r>
      <w:r>
        <w:rPr>
          <w:rFonts w:hint="eastAsia" w:ascii="仿宋_GB2312" w:hAnsi="仿宋_GB2312" w:eastAsia="仿宋_GB2312" w:cs="仿宋_GB2312"/>
          <w:color w:val="auto"/>
          <w:sz w:val="32"/>
          <w:szCs w:val="32"/>
          <w:highlight w:val="none"/>
        </w:rPr>
        <w:t>履约保证金</w:t>
      </w:r>
      <w:r>
        <w:rPr>
          <w:rFonts w:hint="eastAsia" w:ascii="仿宋_GB2312" w:hAnsi="仿宋_GB2312" w:eastAsia="仿宋_GB2312" w:cs="仿宋_GB2312"/>
          <w:color w:val="auto"/>
          <w:sz w:val="32"/>
          <w:szCs w:val="32"/>
          <w:highlight w:val="none"/>
          <w:lang w:eastAsia="zh-CN"/>
        </w:rPr>
        <w:t>；</w:t>
      </w:r>
    </w:p>
    <w:p w14:paraId="040B528F">
      <w:pPr>
        <w:pStyle w:val="2"/>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2.有明显证据证明</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未履行本合同约定的</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单次扣除20%</w:t>
      </w:r>
      <w:r>
        <w:rPr>
          <w:rFonts w:hint="eastAsia" w:ascii="仿宋_GB2312" w:hAnsi="仿宋_GB2312" w:eastAsia="仿宋_GB2312" w:cs="仿宋_GB2312"/>
          <w:color w:val="auto"/>
          <w:sz w:val="32"/>
          <w:szCs w:val="32"/>
          <w:highlight w:val="none"/>
        </w:rPr>
        <w:t>履约保证金</w:t>
      </w:r>
      <w:r>
        <w:rPr>
          <w:rFonts w:hint="eastAsia" w:ascii="仿宋_GB2312" w:hAnsi="仿宋_GB2312" w:eastAsia="仿宋_GB2312" w:cs="仿宋_GB2312"/>
          <w:color w:val="auto"/>
          <w:sz w:val="32"/>
          <w:szCs w:val="32"/>
          <w:highlight w:val="none"/>
          <w:lang w:eastAsia="zh-CN"/>
        </w:rPr>
        <w:t>；</w:t>
      </w:r>
    </w:p>
    <w:p w14:paraId="6D90D4E0">
      <w:pPr>
        <w:pStyle w:val="2"/>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3.供应商</w:t>
      </w:r>
      <w:r>
        <w:rPr>
          <w:rFonts w:hint="eastAsia" w:ascii="仿宋_GB2312" w:hAnsi="仿宋_GB2312" w:eastAsia="仿宋_GB2312" w:cs="仿宋_GB2312"/>
          <w:color w:val="auto"/>
          <w:sz w:val="32"/>
          <w:szCs w:val="32"/>
          <w:highlight w:val="none"/>
          <w:lang w:eastAsia="zh-CN"/>
        </w:rPr>
        <w:t>累计三次交货不及时或质量出现问题，</w:t>
      </w:r>
      <w:r>
        <w:rPr>
          <w:rFonts w:hint="eastAsia" w:ascii="仿宋_GB2312" w:hAnsi="仿宋_GB2312" w:eastAsia="仿宋_GB2312" w:cs="仿宋_GB2312"/>
          <w:color w:val="auto"/>
          <w:sz w:val="32"/>
          <w:szCs w:val="32"/>
          <w:highlight w:val="none"/>
          <w:lang w:val="en-US" w:eastAsia="zh-CN"/>
        </w:rPr>
        <w:t>单次扣除20%</w:t>
      </w:r>
      <w:r>
        <w:rPr>
          <w:rFonts w:hint="eastAsia" w:ascii="仿宋_GB2312" w:hAnsi="仿宋_GB2312" w:eastAsia="仿宋_GB2312" w:cs="仿宋_GB2312"/>
          <w:color w:val="auto"/>
          <w:sz w:val="32"/>
          <w:szCs w:val="32"/>
          <w:highlight w:val="none"/>
        </w:rPr>
        <w:t>履约保证金</w:t>
      </w:r>
      <w:r>
        <w:rPr>
          <w:rFonts w:hint="eastAsia" w:ascii="仿宋_GB2312" w:hAnsi="仿宋_GB2312" w:eastAsia="仿宋_GB2312" w:cs="仿宋_GB2312"/>
          <w:color w:val="auto"/>
          <w:sz w:val="32"/>
          <w:szCs w:val="32"/>
          <w:highlight w:val="none"/>
          <w:lang w:eastAsia="zh-CN"/>
        </w:rPr>
        <w:t>；</w:t>
      </w:r>
    </w:p>
    <w:p w14:paraId="31B53613">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（五）★</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不得向采购人以外的单位或个人透露采购人非公开的业务信息及秘密，否则，采购人有权单方面终止合同，并保留追究法律责任的权利。（提供承诺函，格式自拟）</w:t>
      </w:r>
    </w:p>
    <w:p w14:paraId="21F5CE1F">
      <w:pPr>
        <w:spacing w:line="560" w:lineRule="exact"/>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六、验收及付款方式</w:t>
      </w:r>
    </w:p>
    <w:p w14:paraId="03C9521F">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w:t>
      </w:r>
      <w:r>
        <w:rPr>
          <w:rFonts w:hint="eastAsia" w:ascii="仿宋_GB2312" w:hAnsi="仿宋_GB2312" w:eastAsia="仿宋_GB2312" w:cs="仿宋_GB2312"/>
          <w:color w:val="auto"/>
          <w:sz w:val="32"/>
          <w:szCs w:val="32"/>
          <w:highlight w:val="none"/>
          <w:lang w:val="en-US" w:eastAsia="zh-CN"/>
        </w:rPr>
        <w:t>预付款</w:t>
      </w:r>
      <w:r>
        <w:rPr>
          <w:rFonts w:hint="eastAsia" w:ascii="仿宋_GB2312" w:hAnsi="仿宋_GB2312" w:eastAsia="仿宋_GB2312" w:cs="仿宋_GB2312"/>
          <w:color w:val="auto"/>
          <w:sz w:val="32"/>
          <w:szCs w:val="32"/>
          <w:highlight w:val="none"/>
        </w:rPr>
        <w:t>按本项目合同总金额中2026年度应付金额的30%</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12.375万元</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计算</w:t>
      </w:r>
      <w:r>
        <w:rPr>
          <w:rFonts w:hint="eastAsia" w:ascii="仿宋_GB2312" w:hAnsi="仿宋_GB2312" w:eastAsia="仿宋_GB2312" w:cs="仿宋_GB2312"/>
          <w:color w:val="auto"/>
          <w:sz w:val="32"/>
          <w:szCs w:val="32"/>
          <w:highlight w:val="none"/>
          <w:lang w:eastAsia="zh-CN"/>
        </w:rPr>
        <w:t>，先行抵扣预付款，直至所有预付款抵扣完毕</w:t>
      </w:r>
      <w:r>
        <w:rPr>
          <w:rFonts w:hint="eastAsia" w:ascii="仿宋_GB2312" w:hAnsi="仿宋_GB2312" w:eastAsia="仿宋_GB2312" w:cs="仿宋_GB2312"/>
          <w:color w:val="auto"/>
          <w:sz w:val="32"/>
          <w:szCs w:val="32"/>
          <w:highlight w:val="none"/>
          <w:lang w:val="en-US" w:eastAsia="zh-CN"/>
        </w:rPr>
        <w:t>再支付进度款</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每月 15 日前</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需提供上一个月的业务统计表格和采购人进行核对，经核对无误后，</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出具正式税务专票。</w:t>
      </w:r>
    </w:p>
    <w:p w14:paraId="79B978AA">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凭以下有效文件，由采购人原则上在收到</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提供的正式发票后 5 个工作日内，按财务规定办理采购货款的财政集中支付手续。</w:t>
      </w:r>
    </w:p>
    <w:p w14:paraId="5878BC28">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1.合同复印件；（首次支付提供）</w:t>
      </w:r>
    </w:p>
    <w:p w14:paraId="1D33B34B">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2.中标通知书；（首次支付提供）</w:t>
      </w:r>
    </w:p>
    <w:p w14:paraId="3F941E9D">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3.请款申请书；(加盖</w:t>
      </w:r>
      <w:r>
        <w:rPr>
          <w:rFonts w:hint="eastAsia" w:ascii="仿宋_GB2312" w:hAnsi="仿宋_GB2312" w:eastAsia="仿宋_GB2312" w:cs="仿宋_GB2312"/>
          <w:color w:val="auto"/>
          <w:sz w:val="32"/>
          <w:szCs w:val="32"/>
          <w:highlight w:val="none"/>
          <w:lang w:eastAsia="zh-CN"/>
        </w:rPr>
        <w:t>成交供应商</w:t>
      </w:r>
      <w:r>
        <w:rPr>
          <w:rFonts w:hint="eastAsia" w:ascii="仿宋_GB2312" w:hAnsi="仿宋_GB2312" w:eastAsia="仿宋_GB2312" w:cs="仿宋_GB2312"/>
          <w:color w:val="auto"/>
          <w:sz w:val="32"/>
          <w:szCs w:val="32"/>
          <w:highlight w:val="none"/>
        </w:rPr>
        <w:t>公章)</w:t>
      </w:r>
    </w:p>
    <w:p w14:paraId="2F6FC86D">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4.每月供货签单；（双方签章确认）</w:t>
      </w:r>
    </w:p>
    <w:p w14:paraId="730D5DAC">
      <w:pPr>
        <w:spacing w:line="56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5.合同支付记录表。</w:t>
      </w:r>
    </w:p>
    <w:p w14:paraId="1A8DD963">
      <w:pPr>
        <w:spacing w:line="560" w:lineRule="exact"/>
        <w:ind w:firstLine="640" w:firstLineChars="20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七、履约保证金</w:t>
      </w:r>
    </w:p>
    <w:p w14:paraId="69C6D70C">
      <w:pPr>
        <w:pStyle w:val="2"/>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（一）提交时间：签订合同后5个工作日内提供。</w:t>
      </w:r>
    </w:p>
    <w:p w14:paraId="20B99E00">
      <w:pPr>
        <w:pStyle w:val="2"/>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（二）收取比例：合同总价的5%。 </w:t>
      </w:r>
    </w:p>
    <w:p w14:paraId="696BFED4">
      <w:pPr>
        <w:pStyle w:val="2"/>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（三）方式：履约保证金以支票、汇票、本票或者金融机构、担保机构出具的保函等非现金形式向采购人提交履约保证金。 </w:t>
      </w:r>
    </w:p>
    <w:p w14:paraId="2F60DE45">
      <w:pPr>
        <w:pStyle w:val="2"/>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（四）若</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没有违约行为，履约保证金在整体服务验收合格后15个工作日内由采购人无息退还</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如因政府财政部门审批延误，采购人无按期归还，采购人不用承担违约责任。采购人逾期退还履约保证金的，除应当退还履约保证金的本金外，还应当按中国人民银行授权的全国银行间同业拆借中心在逾期当月公布的1年期贷款市场报价利率上浮20％后的利率支付超期资金占用费，但因</w:t>
      </w:r>
      <w:r>
        <w:rPr>
          <w:rFonts w:hint="eastAsia" w:ascii="仿宋_GB2312" w:hAnsi="仿宋_GB2312" w:eastAsia="仿宋_GB2312" w:cs="仿宋_GB2312"/>
          <w:color w:val="auto"/>
          <w:sz w:val="32"/>
          <w:szCs w:val="32"/>
          <w:highlight w:val="none"/>
          <w:lang w:eastAsia="zh-CN"/>
        </w:rPr>
        <w:t>供应商</w:t>
      </w:r>
      <w:r>
        <w:rPr>
          <w:rFonts w:hint="eastAsia" w:ascii="仿宋_GB2312" w:hAnsi="仿宋_GB2312" w:eastAsia="仿宋_GB2312" w:cs="仿宋_GB2312"/>
          <w:color w:val="auto"/>
          <w:sz w:val="32"/>
          <w:szCs w:val="32"/>
          <w:highlight w:val="none"/>
        </w:rPr>
        <w:t xml:space="preserve">自身原因导致无法及时退还的除外。 </w:t>
      </w:r>
    </w:p>
    <w:p w14:paraId="435E478B">
      <w:pPr>
        <w:spacing w:line="560" w:lineRule="exact"/>
        <w:ind w:firstLine="640"/>
        <w:rPr>
          <w:rFonts w:hint="eastAsia" w:ascii="仿宋_GB2312" w:hAnsi="仿宋_GB2312" w:eastAsia="仿宋_GB2312" w:cs="仿宋_GB2312"/>
          <w:color w:val="auto"/>
          <w:sz w:val="32"/>
          <w:szCs w:val="32"/>
          <w:highlight w:val="none"/>
        </w:rPr>
      </w:pPr>
    </w:p>
    <w:p w14:paraId="700440F5">
      <w:pPr>
        <w:jc w:val="center"/>
        <w:rPr>
          <w:b/>
          <w:color w:val="auto"/>
          <w:sz w:val="24"/>
          <w:highlight w:val="none"/>
        </w:rPr>
      </w:pPr>
      <w:r>
        <w:rPr>
          <w:rFonts w:hint="eastAsia"/>
          <w:b/>
          <w:color w:val="auto"/>
          <w:sz w:val="24"/>
          <w:highlight w:val="none"/>
        </w:rPr>
        <w:t>附件：</w:t>
      </w:r>
      <w:r>
        <w:rPr>
          <w:b/>
          <w:color w:val="auto"/>
          <w:sz w:val="24"/>
          <w:highlight w:val="none"/>
        </w:rPr>
        <w:t>异常低价审查</w:t>
      </w:r>
    </w:p>
    <w:p w14:paraId="344C0BDB">
      <w:pPr>
        <w:ind w:firstLine="420" w:firstLineChars="200"/>
        <w:rPr>
          <w:color w:val="auto"/>
          <w:highlight w:val="none"/>
        </w:rPr>
      </w:pPr>
    </w:p>
    <w:p w14:paraId="796D4C98">
      <w:pPr>
        <w:spacing w:line="360" w:lineRule="auto"/>
        <w:ind w:firstLine="420" w:firstLineChars="200"/>
        <w:rPr>
          <w:color w:val="auto"/>
          <w:highlight w:val="none"/>
        </w:rPr>
      </w:pPr>
      <w:r>
        <w:rPr>
          <w:rFonts w:hint="eastAsia"/>
          <w:color w:val="auto"/>
          <w:highlight w:val="none"/>
        </w:rPr>
        <w:t>根据财政部2026年1月14日发布的《关于推动解决政府采购异常低价问题的通知》规定，本项目将对投标人的异常低价进行审查。</w:t>
      </w:r>
    </w:p>
    <w:p w14:paraId="1D5427B4">
      <w:pPr>
        <w:spacing w:line="360" w:lineRule="auto"/>
        <w:ind w:firstLine="420" w:firstLineChars="200"/>
        <w:rPr>
          <w:color w:val="auto"/>
          <w:highlight w:val="none"/>
        </w:rPr>
      </w:pPr>
      <w:r>
        <w:rPr>
          <w:rFonts w:hint="eastAsia"/>
          <w:color w:val="auto"/>
          <w:highlight w:val="none"/>
        </w:rPr>
        <w:t>（一）如投标人报价中出现下列情形之一的，评审委员会应当启动异常低价投标（响应）审查程序：</w:t>
      </w:r>
    </w:p>
    <w:p w14:paraId="7F175034">
      <w:pPr>
        <w:spacing w:line="360" w:lineRule="auto"/>
        <w:rPr>
          <w:color w:val="auto"/>
          <w:highlight w:val="none"/>
        </w:rPr>
      </w:pPr>
      <w:r>
        <w:rPr>
          <w:rFonts w:hint="eastAsia"/>
          <w:color w:val="auto"/>
          <w:highlight w:val="none"/>
        </w:rPr>
        <w:t>1.投标（响应）报价低于全部通过符合性审查供应商投标（响应）报价平均值50%的，即投标（响应）报价&lt;全部通过符合性审查供应商投标（响应）报价平均值×50%；</w:t>
      </w:r>
    </w:p>
    <w:p w14:paraId="0C5BFDC6">
      <w:pPr>
        <w:spacing w:line="360" w:lineRule="auto"/>
        <w:rPr>
          <w:color w:val="auto"/>
          <w:highlight w:val="none"/>
        </w:rPr>
      </w:pPr>
      <w:r>
        <w:rPr>
          <w:rFonts w:hint="eastAsia"/>
          <w:color w:val="auto"/>
          <w:highlight w:val="none"/>
        </w:rPr>
        <w:t>2.投标（响应）报价低于通过符合性审查的次低报价供应商投标（响应）报价50%的，即投标（响应）报价&lt;通过符合性审查的次低报价供应商投标（响应）报价×50%；</w:t>
      </w:r>
    </w:p>
    <w:p w14:paraId="0EA52E08">
      <w:pPr>
        <w:spacing w:line="360" w:lineRule="auto"/>
        <w:rPr>
          <w:color w:val="auto"/>
          <w:highlight w:val="none"/>
        </w:rPr>
      </w:pPr>
      <w:r>
        <w:rPr>
          <w:rFonts w:hint="eastAsia"/>
          <w:color w:val="auto"/>
          <w:highlight w:val="none"/>
        </w:rPr>
        <w:t>3.投标（响应）报价低于采购项目最高限价45%的，即投标（响应）报价&lt;采购项目最高限价×45%；</w:t>
      </w:r>
    </w:p>
    <w:p w14:paraId="48114B50">
      <w:pPr>
        <w:spacing w:line="360" w:lineRule="auto"/>
        <w:rPr>
          <w:color w:val="auto"/>
          <w:highlight w:val="none"/>
        </w:rPr>
      </w:pPr>
      <w:r>
        <w:rPr>
          <w:rFonts w:hint="eastAsia"/>
          <w:color w:val="auto"/>
          <w:highlight w:val="none"/>
        </w:rPr>
        <w:t>4.评审委员会基于专业判断，认为供应商报价过低，有可能影响产品质量或者不能诚信履约的其他情形。</w:t>
      </w:r>
    </w:p>
    <w:p w14:paraId="4857351B">
      <w:pPr>
        <w:spacing w:line="360" w:lineRule="auto"/>
        <w:ind w:firstLine="420" w:firstLineChars="200"/>
        <w:rPr>
          <w:color w:val="auto"/>
          <w:highlight w:val="none"/>
        </w:rPr>
      </w:pPr>
      <w:r>
        <w:rPr>
          <w:rFonts w:hint="eastAsia"/>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5FD140C">
      <w:pPr>
        <w:spacing w:line="360" w:lineRule="auto"/>
        <w:ind w:firstLine="420" w:firstLineChars="200"/>
        <w:rPr>
          <w:color w:val="auto"/>
          <w:highlight w:val="none"/>
        </w:rPr>
      </w:pPr>
      <w:r>
        <w:rPr>
          <w:rFonts w:hint="eastAsia"/>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0CB06CE2">
      <w:pPr>
        <w:rPr>
          <w:highlight w:val="none"/>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37870ED-C3A6-4EF8-B561-5B592A8A69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0847A9C-7927-4BBA-8260-EF0D63BB9619}"/>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embedRegular r:id="rId3" w:fontKey="{DB1F6B25-02A8-4B33-8247-92A4594704C2}"/>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4" w:fontKey="{DA174B85-65A5-4608-96B2-9C29495676F0}"/>
  </w:font>
  <w:font w:name="方正楷体_GB2312">
    <w:altName w:val="宋体"/>
    <w:panose1 w:val="02000000000000000000"/>
    <w:charset w:val="86"/>
    <w:family w:val="auto"/>
    <w:pitch w:val="default"/>
    <w:sig w:usb0="00000000" w:usb1="00000000" w:usb2="00000012" w:usb3="00000000" w:csb0="00040001" w:csb1="00000000"/>
    <w:embedRegular r:id="rId5" w:fontKey="{C40920CB-B843-4106-AC22-76107D876F29}"/>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A22B6D"/>
    <w:rsid w:val="091D62EF"/>
    <w:rsid w:val="1BA552BF"/>
    <w:rsid w:val="21A22B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Plain Text"/>
    <w:basedOn w:val="1"/>
    <w:qFormat/>
    <w:uiPriority w:val="0"/>
    <w:rPr>
      <w:rFonts w:ascii="宋体" w:hAnsi="Courier New" w:cs="Tahoma"/>
      <w:szCs w:val="21"/>
    </w:rPr>
  </w:style>
  <w:style w:type="paragraph" w:customStyle="1" w:styleId="6">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6232</Words>
  <Characters>6433</Characters>
  <Lines>0</Lines>
  <Paragraphs>0</Paragraphs>
  <TotalTime>1</TotalTime>
  <ScaleCrop>false</ScaleCrop>
  <LinksUpToDate>false</LinksUpToDate>
  <CharactersWithSpaces>6459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2026-06-05T07:29:00Z</dcterms:created>
  <dc:creator>徐刚</dc:creator>
  <cp:lastModifiedBy>徐刚</cp:lastModifiedBy>
  <dcterms:modified xsi:type="dcterms:W3CDTF">2026-06-10T02:56:27Z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1ABE43631F9D4C0982BB9E4563D94868_11</vt:lpwstr>
  </property>
  <property fmtid="{D5CDD505-2E9C-101B-9397-08002B2CF9AE}" pid="4" name="KSOTemplateDocerSaveRecord">
    <vt:lpwstr>eyJoZGlkIjoiYTliNmY2YjQ0YjU1Mjg0YmJmZDkzOTQ2MWFjMDJlZTYiLCJ1c2VySWQiOiIzMjQ1MTU5MDQifQ==</vt:lpwstr>
  </property>
</Properties>
</file>