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0A89BE">
      <w:pPr>
        <w:pStyle w:val="9"/>
        <w:autoSpaceDE w:val="0"/>
        <w:autoSpaceDN w:val="0"/>
        <w:adjustRightInd w:val="0"/>
        <w:jc w:val="left"/>
        <w:rPr>
          <w:rFonts w:hint="default" w:ascii="宋体" w:hAnsi="宋体" w:eastAsia="宋体" w:cs="宋体"/>
          <w:b/>
          <w:bCs/>
          <w:color w:val="FF0000"/>
          <w:sz w:val="24"/>
          <w:szCs w:val="24"/>
          <w:highlight w:val="none"/>
          <w:lang w:val="en-US" w:eastAsia="zh-CN"/>
        </w:rPr>
      </w:pP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 xml:space="preserve">       </w:t>
      </w:r>
      <w:r>
        <w:rPr>
          <w:rFonts w:hint="eastAsia" w:hAnsi="宋体" w:eastAsia="宋体" w:cs="宋体"/>
          <w:b/>
          <w:bCs/>
          <w:color w:val="auto"/>
          <w:sz w:val="24"/>
          <w:szCs w:val="24"/>
          <w:highlight w:val="none"/>
          <w:lang w:val="en-US" w:eastAsia="zh-CN"/>
        </w:rPr>
        <w:t xml:space="preserve">   </w:t>
      </w:r>
      <w:r>
        <w:rPr>
          <w:rFonts w:hint="eastAsia" w:ascii="宋体" w:hAnsi="宋体" w:eastAsia="宋体" w:cs="Times New Roman"/>
          <w:b/>
          <w:sz w:val="28"/>
          <w:szCs w:val="32"/>
          <w:lang w:eastAsia="zh-CN"/>
        </w:rPr>
        <w:t>项目编号</w:t>
      </w:r>
      <w:r>
        <w:rPr>
          <w:rFonts w:hint="eastAsia" w:ascii="宋体" w:hAnsi="宋体" w:eastAsia="宋体" w:cs="Times New Roman"/>
          <w:b/>
          <w:sz w:val="28"/>
          <w:szCs w:val="32"/>
        </w:rPr>
        <w:t>：</w:t>
      </w:r>
      <w:r>
        <w:rPr>
          <w:rFonts w:hint="eastAsia" w:hAnsi="宋体" w:cs="Times New Roman"/>
          <w:b/>
          <w:sz w:val="28"/>
          <w:szCs w:val="32"/>
          <w:lang w:val="en-US" w:eastAsia="zh-CN"/>
        </w:rPr>
        <w:t>DLZC2026-G3-00833-ZSGS-0002</w:t>
      </w:r>
    </w:p>
    <w:p w14:paraId="61360812">
      <w:pPr>
        <w:rPr>
          <w:rFonts w:hint="eastAsia" w:ascii="宋体" w:hAnsi="宋体" w:eastAsia="宋体" w:cs="宋体"/>
          <w:color w:val="auto"/>
          <w:highlight w:val="none"/>
        </w:rPr>
      </w:pPr>
    </w:p>
    <w:p w14:paraId="1E08A704">
      <w:pPr>
        <w:pStyle w:val="9"/>
        <w:tabs>
          <w:tab w:val="left" w:pos="8340"/>
        </w:tabs>
        <w:autoSpaceDE w:val="0"/>
        <w:autoSpaceDN w:val="0"/>
        <w:adjustRightInd w:val="0"/>
        <w:jc w:val="left"/>
        <w:rPr>
          <w:rFonts w:hint="eastAsia" w:ascii="宋体" w:hAnsi="宋体" w:eastAsia="宋体" w:cs="宋体"/>
          <w:bCs/>
          <w:color w:val="auto"/>
          <w:sz w:val="48"/>
          <w:highlight w:val="none"/>
        </w:rPr>
      </w:pPr>
      <w:r>
        <w:rPr>
          <w:rFonts w:hint="eastAsia" w:ascii="宋体" w:hAnsi="宋体" w:eastAsia="宋体" w:cs="宋体"/>
          <w:bCs/>
          <w:color w:val="auto"/>
          <w:sz w:val="48"/>
          <w:highlight w:val="none"/>
        </w:rPr>
        <w:tab/>
      </w:r>
    </w:p>
    <w:p w14:paraId="3838C97F">
      <w:pPr>
        <w:pStyle w:val="9"/>
        <w:jc w:val="center"/>
        <w:rPr>
          <w:rFonts w:hint="eastAsia" w:ascii="宋体" w:hAnsi="宋体" w:eastAsia="宋体" w:cs="宋体"/>
          <w:b/>
          <w:color w:val="auto"/>
          <w:kern w:val="0"/>
          <w:sz w:val="56"/>
          <w:szCs w:val="52"/>
          <w:highlight w:val="none"/>
          <w:lang w:eastAsia="zh-CN"/>
        </w:rPr>
      </w:pPr>
      <w:r>
        <w:rPr>
          <w:rFonts w:hint="eastAsia" w:ascii="宋体" w:hAnsi="宋体" w:eastAsia="宋体" w:cs="宋体"/>
          <w:b/>
          <w:color w:val="auto"/>
          <w:kern w:val="0"/>
          <w:sz w:val="56"/>
          <w:szCs w:val="52"/>
          <w:highlight w:val="none"/>
          <w:lang w:eastAsia="zh-CN"/>
        </w:rPr>
        <w:t>剑川县生活垃圾填埋场渗滤液处理站市场化运营项目</w:t>
      </w:r>
    </w:p>
    <w:p w14:paraId="7E579ECF">
      <w:pPr>
        <w:rPr>
          <w:rFonts w:hint="eastAsia" w:ascii="宋体" w:hAnsi="宋体" w:eastAsia="宋体" w:cs="宋体"/>
          <w:b/>
          <w:color w:val="auto"/>
          <w:kern w:val="0"/>
          <w:sz w:val="56"/>
          <w:szCs w:val="52"/>
          <w:highlight w:val="none"/>
          <w:lang w:eastAsia="zh-CN"/>
        </w:rPr>
      </w:pPr>
    </w:p>
    <w:p w14:paraId="022D415E">
      <w:pPr>
        <w:rPr>
          <w:rFonts w:hint="eastAsia" w:ascii="宋体" w:hAnsi="宋体" w:eastAsia="宋体" w:cs="宋体"/>
          <w:b/>
          <w:color w:val="auto"/>
          <w:kern w:val="0"/>
          <w:sz w:val="56"/>
          <w:szCs w:val="52"/>
          <w:highlight w:val="none"/>
          <w:lang w:eastAsia="zh-CN"/>
        </w:rPr>
      </w:pPr>
    </w:p>
    <w:p w14:paraId="08E8CF5E">
      <w:pPr>
        <w:pStyle w:val="9"/>
        <w:autoSpaceDE w:val="0"/>
        <w:autoSpaceDN w:val="0"/>
        <w:adjustRightInd w:val="0"/>
        <w:spacing w:line="300" w:lineRule="auto"/>
        <w:jc w:val="center"/>
        <w:rPr>
          <w:rFonts w:hint="eastAsia" w:ascii="宋体" w:hAnsi="宋体" w:eastAsia="宋体" w:cs="宋体"/>
          <w:b/>
          <w:bCs/>
          <w:color w:val="auto"/>
          <w:kern w:val="0"/>
          <w:sz w:val="72"/>
          <w:szCs w:val="72"/>
          <w:highlight w:val="none"/>
        </w:rPr>
      </w:pPr>
      <w:r>
        <w:rPr>
          <w:rFonts w:hint="eastAsia" w:ascii="宋体" w:hAnsi="宋体" w:eastAsia="宋体" w:cs="宋体"/>
          <w:b/>
          <w:bCs/>
          <w:color w:val="auto"/>
          <w:kern w:val="0"/>
          <w:sz w:val="72"/>
          <w:szCs w:val="72"/>
          <w:highlight w:val="none"/>
        </w:rPr>
        <w:t>招</w:t>
      </w:r>
    </w:p>
    <w:p w14:paraId="3F700F66">
      <w:pPr>
        <w:pStyle w:val="9"/>
        <w:autoSpaceDE w:val="0"/>
        <w:autoSpaceDN w:val="0"/>
        <w:adjustRightInd w:val="0"/>
        <w:spacing w:line="300" w:lineRule="auto"/>
        <w:jc w:val="center"/>
        <w:rPr>
          <w:rFonts w:hint="eastAsia" w:ascii="宋体" w:hAnsi="宋体" w:eastAsia="宋体" w:cs="宋体"/>
          <w:b/>
          <w:bCs/>
          <w:color w:val="auto"/>
          <w:kern w:val="0"/>
          <w:sz w:val="72"/>
          <w:szCs w:val="72"/>
          <w:highlight w:val="none"/>
        </w:rPr>
      </w:pPr>
      <w:r>
        <w:rPr>
          <w:rFonts w:hint="eastAsia" w:ascii="宋体" w:hAnsi="宋体" w:eastAsia="宋体" w:cs="宋体"/>
          <w:b/>
          <w:bCs/>
          <w:color w:val="auto"/>
          <w:kern w:val="0"/>
          <w:sz w:val="72"/>
          <w:szCs w:val="72"/>
          <w:highlight w:val="none"/>
        </w:rPr>
        <w:t>标</w:t>
      </w:r>
    </w:p>
    <w:p w14:paraId="578C384B">
      <w:pPr>
        <w:pStyle w:val="9"/>
        <w:autoSpaceDE w:val="0"/>
        <w:autoSpaceDN w:val="0"/>
        <w:adjustRightInd w:val="0"/>
        <w:spacing w:line="300" w:lineRule="auto"/>
        <w:jc w:val="center"/>
        <w:rPr>
          <w:rFonts w:hint="eastAsia" w:ascii="宋体" w:hAnsi="宋体" w:eastAsia="宋体" w:cs="宋体"/>
          <w:b/>
          <w:bCs/>
          <w:color w:val="auto"/>
          <w:kern w:val="0"/>
          <w:sz w:val="72"/>
          <w:szCs w:val="72"/>
          <w:highlight w:val="none"/>
        </w:rPr>
      </w:pPr>
      <w:r>
        <w:rPr>
          <w:rFonts w:hint="eastAsia" w:ascii="宋体" w:hAnsi="宋体" w:eastAsia="宋体" w:cs="宋体"/>
          <w:b/>
          <w:bCs/>
          <w:color w:val="auto"/>
          <w:kern w:val="0"/>
          <w:sz w:val="72"/>
          <w:szCs w:val="72"/>
          <w:highlight w:val="none"/>
        </w:rPr>
        <w:t>文</w:t>
      </w:r>
    </w:p>
    <w:p w14:paraId="74A5B44F">
      <w:pPr>
        <w:pStyle w:val="9"/>
        <w:autoSpaceDE w:val="0"/>
        <w:autoSpaceDN w:val="0"/>
        <w:adjustRightInd w:val="0"/>
        <w:spacing w:line="300" w:lineRule="auto"/>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kern w:val="0"/>
          <w:sz w:val="72"/>
          <w:szCs w:val="72"/>
          <w:highlight w:val="none"/>
        </w:rPr>
        <w:t>件</w:t>
      </w:r>
    </w:p>
    <w:p w14:paraId="094C187D">
      <w:pPr>
        <w:pStyle w:val="9"/>
        <w:spacing w:line="360" w:lineRule="auto"/>
        <w:ind w:left="708" w:leftChars="337" w:firstLine="1"/>
        <w:jc w:val="left"/>
        <w:rPr>
          <w:rFonts w:hint="eastAsia" w:ascii="宋体" w:hAnsi="宋体" w:eastAsia="宋体" w:cs="宋体"/>
          <w:b/>
          <w:bCs/>
          <w:color w:val="auto"/>
          <w:sz w:val="28"/>
          <w:szCs w:val="28"/>
          <w:highlight w:val="none"/>
        </w:rPr>
      </w:pPr>
    </w:p>
    <w:p w14:paraId="5CFF8851">
      <w:pPr>
        <w:pStyle w:val="9"/>
        <w:spacing w:line="360" w:lineRule="auto"/>
        <w:ind w:left="708" w:leftChars="337" w:firstLine="1"/>
        <w:jc w:val="left"/>
        <w:rPr>
          <w:rFonts w:hint="eastAsia" w:ascii="宋体" w:hAnsi="宋体" w:eastAsia="宋体" w:cs="宋体"/>
          <w:b/>
          <w:bCs/>
          <w:color w:val="auto"/>
          <w:sz w:val="28"/>
          <w:szCs w:val="28"/>
          <w:highlight w:val="none"/>
        </w:rPr>
      </w:pPr>
    </w:p>
    <w:p w14:paraId="040A7DAB">
      <w:pPr>
        <w:pStyle w:val="9"/>
        <w:spacing w:line="360" w:lineRule="auto"/>
        <w:ind w:left="708" w:leftChars="337" w:firstLine="1"/>
        <w:jc w:val="left"/>
        <w:rPr>
          <w:rFonts w:hint="eastAsia" w:ascii="宋体" w:hAnsi="宋体" w:eastAsia="宋体" w:cs="宋体"/>
          <w:b/>
          <w:bCs/>
          <w:color w:val="auto"/>
          <w:sz w:val="28"/>
          <w:szCs w:val="28"/>
          <w:highlight w:val="none"/>
        </w:rPr>
      </w:pPr>
    </w:p>
    <w:p w14:paraId="1298546D">
      <w:pPr>
        <w:pStyle w:val="9"/>
        <w:spacing w:line="480" w:lineRule="auto"/>
        <w:jc w:val="left"/>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rPr>
        <w:t>采   购   人：</w:t>
      </w:r>
      <w:r>
        <w:rPr>
          <w:rFonts w:hint="eastAsia" w:ascii="宋体" w:hAnsi="宋体" w:eastAsia="宋体" w:cs="宋体"/>
          <w:b/>
          <w:bCs/>
          <w:color w:val="auto"/>
          <w:sz w:val="36"/>
          <w:szCs w:val="36"/>
          <w:highlight w:val="none"/>
          <w:lang w:val="en-US" w:eastAsia="zh-CN"/>
        </w:rPr>
        <w:t>剑川县住房和城乡建设局</w:t>
      </w:r>
    </w:p>
    <w:p w14:paraId="3528A2E3">
      <w:pPr>
        <w:pStyle w:val="9"/>
        <w:spacing w:line="480" w:lineRule="auto"/>
        <w:jc w:val="left"/>
        <w:rPr>
          <w:rFonts w:hint="eastAsia"/>
          <w:b/>
          <w:sz w:val="36"/>
          <w:szCs w:val="36"/>
          <w:lang w:val="en-US" w:eastAsia="zh-CN"/>
        </w:rPr>
      </w:pPr>
      <w:r>
        <w:rPr>
          <w:rFonts w:hint="eastAsia" w:ascii="宋体" w:hAnsi="宋体" w:eastAsia="宋体" w:cs="宋体"/>
          <w:b/>
          <w:bCs/>
          <w:color w:val="auto"/>
          <w:sz w:val="36"/>
          <w:szCs w:val="36"/>
          <w:highlight w:val="none"/>
        </w:rPr>
        <w:t>采购代理机构：</w:t>
      </w:r>
      <w:r>
        <w:rPr>
          <w:rFonts w:hint="eastAsia" w:ascii="宋体" w:hAnsi="宋体" w:eastAsia="宋体" w:cs="宋体"/>
          <w:b/>
          <w:bCs/>
          <w:color w:val="auto"/>
          <w:sz w:val="36"/>
          <w:szCs w:val="36"/>
          <w:highlight w:val="none"/>
          <w:lang w:val="en-US" w:eastAsia="zh-CN"/>
        </w:rPr>
        <w:t>剑川县众森工程咨询有限公司</w:t>
      </w:r>
    </w:p>
    <w:p w14:paraId="0E17826D">
      <w:pPr>
        <w:pStyle w:val="9"/>
        <w:spacing w:line="480" w:lineRule="auto"/>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日        期：二〇</w:t>
      </w:r>
      <w:r>
        <w:rPr>
          <w:rFonts w:hint="eastAsia" w:ascii="宋体" w:hAnsi="宋体" w:eastAsia="宋体" w:cs="宋体"/>
          <w:b/>
          <w:color w:val="auto"/>
          <w:sz w:val="36"/>
          <w:szCs w:val="36"/>
          <w:highlight w:val="none"/>
          <w:lang w:val="en-US" w:eastAsia="zh-CN"/>
        </w:rPr>
        <w:t>二六</w:t>
      </w:r>
      <w:r>
        <w:rPr>
          <w:rFonts w:hint="eastAsia" w:ascii="宋体" w:hAnsi="宋体" w:eastAsia="宋体" w:cs="宋体"/>
          <w:b/>
          <w:color w:val="auto"/>
          <w:sz w:val="36"/>
          <w:szCs w:val="36"/>
          <w:highlight w:val="none"/>
        </w:rPr>
        <w:t>年</w:t>
      </w:r>
      <w:r>
        <w:rPr>
          <w:rFonts w:hint="eastAsia" w:hAnsi="宋体" w:eastAsia="宋体" w:cs="宋体"/>
          <w:b/>
          <w:color w:val="auto"/>
          <w:sz w:val="36"/>
          <w:szCs w:val="36"/>
          <w:highlight w:val="none"/>
          <w:lang w:val="en-US" w:eastAsia="zh-CN"/>
        </w:rPr>
        <w:t>八</w:t>
      </w:r>
      <w:r>
        <w:rPr>
          <w:rFonts w:hint="eastAsia" w:ascii="宋体" w:hAnsi="宋体" w:eastAsia="宋体" w:cs="宋体"/>
          <w:b/>
          <w:color w:val="auto"/>
          <w:sz w:val="36"/>
          <w:szCs w:val="36"/>
          <w:highlight w:val="none"/>
        </w:rPr>
        <w:t>月</w:t>
      </w:r>
    </w:p>
    <w:p w14:paraId="342C83E5">
      <w:pPr>
        <w:pStyle w:val="9"/>
        <w:spacing w:line="480" w:lineRule="auto"/>
        <w:jc w:val="center"/>
        <w:rPr>
          <w:rFonts w:hint="eastAsia" w:ascii="宋体" w:hAnsi="宋体" w:eastAsia="宋体" w:cs="宋体"/>
          <w:b/>
          <w:bCs/>
          <w:color w:val="auto"/>
          <w:sz w:val="36"/>
          <w:szCs w:val="36"/>
          <w:highlight w:val="none"/>
        </w:rPr>
        <w:sectPr>
          <w:headerReference r:id="rId3" w:type="default"/>
          <w:footerReference r:id="rId4" w:type="even"/>
          <w:pgSz w:w="11907" w:h="16840"/>
          <w:pgMar w:top="1418" w:right="1134" w:bottom="1418" w:left="1701" w:header="1134" w:footer="851" w:gutter="0"/>
          <w:pgBorders>
            <w:top w:val="none" w:sz="0" w:space="0"/>
            <w:left w:val="none" w:sz="0" w:space="0"/>
            <w:bottom w:val="none" w:sz="0" w:space="0"/>
            <w:right w:val="none" w:sz="0" w:space="0"/>
          </w:pgBorders>
          <w:cols w:space="720" w:num="1"/>
          <w:docGrid w:linePitch="462" w:charSpace="0"/>
        </w:sectPr>
      </w:pPr>
    </w:p>
    <w:p w14:paraId="4DF53B4E">
      <w:pPr>
        <w:pStyle w:val="9"/>
        <w:spacing w:line="48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目录</w:t>
      </w:r>
    </w:p>
    <w:p w14:paraId="222A906E">
      <w:pPr>
        <w:pStyle w:val="12"/>
        <w:tabs>
          <w:tab w:val="right" w:leader="dot" w:pos="9072"/>
          <w:tab w:val="clear" w:pos="1050"/>
          <w:tab w:val="clear" w:pos="8937"/>
        </w:tabs>
        <w:rPr>
          <w:rFonts w:hint="eastAsia" w:ascii="宋体" w:hAnsi="宋体" w:eastAsia="宋体" w:cs="宋体"/>
          <w:b/>
          <w:bCs/>
          <w:sz w:val="24"/>
          <w:szCs w:val="24"/>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TOC \o "1-2" \h \u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_Toc25808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rPr>
        <w:t xml:space="preserve">第一章 </w:t>
      </w:r>
      <w:r>
        <w:rPr>
          <w:rFonts w:hint="eastAsia" w:ascii="宋体" w:hAnsi="宋体" w:eastAsia="宋体" w:cs="宋体"/>
          <w:b/>
          <w:bCs/>
          <w:sz w:val="24"/>
          <w:szCs w:val="24"/>
          <w:highlight w:val="none"/>
        </w:rPr>
        <w:t>招标公告</w:t>
      </w:r>
      <w:r>
        <w:rPr>
          <w:rFonts w:hint="eastAsia" w:ascii="宋体" w:hAnsi="宋体" w:eastAsia="宋体" w:cs="宋体"/>
          <w:b/>
          <w:bCs/>
          <w:sz w:val="24"/>
          <w:szCs w:val="24"/>
        </w:rPr>
        <w:tab/>
      </w:r>
      <w:r>
        <w:rPr>
          <w:rFonts w:hint="eastAsia" w:ascii="宋体" w:hAnsi="宋体" w:eastAsia="宋体" w:cs="宋体"/>
          <w:b/>
          <w:bCs/>
          <w:sz w:val="24"/>
          <w:szCs w:val="24"/>
          <w:lang w:val="en-US" w:eastAsia="zh-CN"/>
        </w:rPr>
        <w:t>2</w:t>
      </w:r>
      <w:r>
        <w:rPr>
          <w:rFonts w:hint="eastAsia" w:ascii="宋体" w:hAnsi="宋体" w:eastAsia="宋体" w:cs="宋体"/>
          <w:b/>
          <w:bCs/>
          <w:color w:val="auto"/>
          <w:sz w:val="24"/>
          <w:szCs w:val="24"/>
          <w:highlight w:val="none"/>
        </w:rPr>
        <w:fldChar w:fldCharType="end"/>
      </w:r>
    </w:p>
    <w:p w14:paraId="3D8FC425">
      <w:pPr>
        <w:pStyle w:val="12"/>
        <w:tabs>
          <w:tab w:val="right" w:leader="dot" w:pos="9072"/>
          <w:tab w:val="clear" w:pos="1050"/>
          <w:tab w:val="clear" w:pos="8937"/>
        </w:tabs>
        <w:rPr>
          <w:rFonts w:hint="eastAsia" w:ascii="宋体" w:hAnsi="宋体" w:eastAsia="宋体" w:cs="宋体"/>
          <w:b/>
          <w:bCs/>
          <w:sz w:val="24"/>
          <w:szCs w:val="24"/>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_Toc26683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rPr>
        <w:t xml:space="preserve">第二章 </w:t>
      </w:r>
      <w:r>
        <w:rPr>
          <w:rFonts w:hint="eastAsia" w:ascii="宋体" w:hAnsi="宋体" w:eastAsia="宋体" w:cs="宋体"/>
          <w:b/>
          <w:bCs/>
          <w:sz w:val="24"/>
          <w:szCs w:val="24"/>
          <w:highlight w:val="none"/>
        </w:rPr>
        <w:t>供应商须知</w:t>
      </w:r>
      <w:r>
        <w:rPr>
          <w:rFonts w:hint="eastAsia" w:ascii="宋体" w:hAnsi="宋体" w:eastAsia="宋体" w:cs="宋体"/>
          <w:b/>
          <w:bCs/>
          <w:sz w:val="24"/>
          <w:szCs w:val="24"/>
        </w:rPr>
        <w:tab/>
      </w:r>
      <w:r>
        <w:rPr>
          <w:rFonts w:hint="eastAsia" w:eastAsia="宋体" w:cs="宋体"/>
          <w:b/>
          <w:bCs/>
          <w:sz w:val="24"/>
          <w:szCs w:val="24"/>
          <w:lang w:val="en-US" w:eastAsia="zh-CN"/>
        </w:rPr>
        <w:t>7</w:t>
      </w:r>
      <w:r>
        <w:rPr>
          <w:rFonts w:hint="eastAsia" w:ascii="宋体" w:hAnsi="宋体" w:eastAsia="宋体" w:cs="宋体"/>
          <w:b/>
          <w:bCs/>
          <w:color w:val="auto"/>
          <w:sz w:val="24"/>
          <w:szCs w:val="24"/>
          <w:highlight w:val="none"/>
        </w:rPr>
        <w:fldChar w:fldCharType="end"/>
      </w:r>
    </w:p>
    <w:p w14:paraId="4D5ACAF3">
      <w:pPr>
        <w:pStyle w:val="13"/>
        <w:tabs>
          <w:tab w:val="right" w:leader="dot" w:pos="9072"/>
          <w:tab w:val="clear" w:pos="8937"/>
        </w:tabs>
        <w:rPr>
          <w:rFonts w:hint="eastAsia" w:ascii="宋体" w:hAnsi="宋体" w:eastAsia="宋体" w:cs="宋体"/>
          <w:b/>
          <w:bCs/>
          <w:sz w:val="24"/>
          <w:szCs w:val="24"/>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_Toc10419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供应商须知</w:t>
      </w:r>
      <w:r>
        <w:rPr>
          <w:rFonts w:hint="eastAsia" w:ascii="宋体" w:hAnsi="宋体" w:eastAsia="宋体" w:cs="宋体"/>
          <w:b/>
          <w:bCs/>
          <w:sz w:val="24"/>
          <w:szCs w:val="24"/>
          <w:highlight w:val="none"/>
          <w:lang w:eastAsia="zh-CN"/>
        </w:rPr>
        <w:t>前附表</w:t>
      </w:r>
      <w:r>
        <w:rPr>
          <w:rFonts w:hint="eastAsia" w:ascii="宋体" w:hAnsi="宋体" w:eastAsia="宋体" w:cs="宋体"/>
          <w:b/>
          <w:bCs/>
          <w:sz w:val="24"/>
          <w:szCs w:val="24"/>
        </w:rPr>
        <w:tab/>
      </w:r>
      <w:r>
        <w:rPr>
          <w:rFonts w:hint="eastAsia" w:ascii="宋体" w:hAnsi="宋体" w:eastAsia="宋体" w:cs="宋体"/>
          <w:b/>
          <w:bCs/>
          <w:sz w:val="24"/>
          <w:szCs w:val="24"/>
          <w:lang w:val="en-US" w:eastAsia="zh-CN"/>
        </w:rPr>
        <w:t>7</w:t>
      </w:r>
      <w:r>
        <w:rPr>
          <w:rFonts w:hint="eastAsia" w:ascii="宋体" w:hAnsi="宋体" w:eastAsia="宋体" w:cs="宋体"/>
          <w:b/>
          <w:bCs/>
          <w:color w:val="auto"/>
          <w:sz w:val="24"/>
          <w:szCs w:val="24"/>
          <w:highlight w:val="none"/>
        </w:rPr>
        <w:fldChar w:fldCharType="end"/>
      </w:r>
    </w:p>
    <w:p w14:paraId="60A8FB69">
      <w:pPr>
        <w:pStyle w:val="12"/>
        <w:tabs>
          <w:tab w:val="right" w:leader="dot" w:pos="9072"/>
          <w:tab w:val="clear" w:pos="1050"/>
          <w:tab w:val="clear" w:pos="8937"/>
        </w:tabs>
        <w:rPr>
          <w:rFonts w:hint="eastAsia" w:ascii="宋体" w:hAnsi="宋体" w:eastAsia="宋体" w:cs="宋体"/>
          <w:b/>
          <w:bCs/>
          <w:sz w:val="24"/>
          <w:szCs w:val="24"/>
          <w:lang w:val="en-US"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_Toc24973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rPr>
        <w:t xml:space="preserve">第三章 </w:t>
      </w:r>
      <w:r>
        <w:rPr>
          <w:rFonts w:hint="eastAsia" w:ascii="宋体" w:hAnsi="宋体" w:eastAsia="宋体" w:cs="宋体"/>
          <w:b/>
          <w:bCs/>
          <w:sz w:val="24"/>
          <w:szCs w:val="24"/>
          <w:highlight w:val="none"/>
        </w:rPr>
        <w:t>资格审查</w:t>
      </w:r>
      <w:r>
        <w:rPr>
          <w:rFonts w:hint="eastAsia" w:ascii="宋体" w:hAnsi="宋体" w:eastAsia="宋体" w:cs="宋体"/>
          <w:b/>
          <w:bCs/>
          <w:sz w:val="24"/>
          <w:szCs w:val="24"/>
        </w:rPr>
        <w:tab/>
      </w:r>
      <w:r>
        <w:rPr>
          <w:rFonts w:hint="eastAsia" w:ascii="宋体" w:hAnsi="宋体" w:eastAsia="宋体" w:cs="宋体"/>
          <w:b/>
          <w:bCs/>
          <w:sz w:val="24"/>
          <w:szCs w:val="24"/>
          <w:lang w:val="en-US" w:eastAsia="zh-CN"/>
        </w:rPr>
        <w:t>2</w:t>
      </w:r>
      <w:r>
        <w:rPr>
          <w:rFonts w:hint="eastAsia" w:ascii="宋体" w:hAnsi="宋体" w:eastAsia="宋体" w:cs="宋体"/>
          <w:b/>
          <w:bCs/>
          <w:color w:val="auto"/>
          <w:sz w:val="24"/>
          <w:szCs w:val="24"/>
          <w:highlight w:val="none"/>
        </w:rPr>
        <w:fldChar w:fldCharType="end"/>
      </w:r>
      <w:r>
        <w:rPr>
          <w:rFonts w:hint="eastAsia" w:eastAsia="宋体" w:cs="宋体"/>
          <w:b/>
          <w:bCs/>
          <w:color w:val="auto"/>
          <w:sz w:val="24"/>
          <w:szCs w:val="24"/>
          <w:highlight w:val="none"/>
          <w:lang w:val="en-US" w:eastAsia="zh-CN"/>
        </w:rPr>
        <w:t>1</w:t>
      </w:r>
    </w:p>
    <w:p w14:paraId="434A9533">
      <w:pPr>
        <w:pStyle w:val="13"/>
        <w:tabs>
          <w:tab w:val="right" w:leader="dot" w:pos="9072"/>
          <w:tab w:val="clear" w:pos="8937"/>
        </w:tabs>
        <w:rPr>
          <w:rFonts w:hint="eastAsia" w:ascii="宋体" w:hAnsi="宋体" w:eastAsia="宋体" w:cs="宋体"/>
          <w:b/>
          <w:bCs/>
          <w:sz w:val="24"/>
          <w:szCs w:val="24"/>
          <w:lang w:val="en-US"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_Toc21822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一、资格审查程序</w:t>
      </w:r>
      <w:r>
        <w:rPr>
          <w:rFonts w:hint="eastAsia" w:ascii="宋体" w:hAnsi="宋体" w:eastAsia="宋体" w:cs="宋体"/>
          <w:b/>
          <w:bCs/>
          <w:sz w:val="24"/>
          <w:szCs w:val="24"/>
        </w:rPr>
        <w:tab/>
      </w:r>
      <w:r>
        <w:rPr>
          <w:rFonts w:hint="eastAsia" w:ascii="宋体" w:hAnsi="宋体" w:eastAsia="宋体" w:cs="宋体"/>
          <w:b/>
          <w:bCs/>
          <w:sz w:val="24"/>
          <w:szCs w:val="24"/>
          <w:lang w:val="en-US" w:eastAsia="zh-CN"/>
        </w:rPr>
        <w:t>2</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lang w:val="en-US" w:eastAsia="zh-CN"/>
        </w:rPr>
        <w:t>1</w:t>
      </w:r>
    </w:p>
    <w:p w14:paraId="50502C0A">
      <w:pPr>
        <w:pStyle w:val="13"/>
        <w:tabs>
          <w:tab w:val="right" w:leader="dot" w:pos="9072"/>
          <w:tab w:val="clear" w:pos="8937"/>
        </w:tabs>
        <w:rPr>
          <w:rFonts w:hint="eastAsia" w:ascii="宋体" w:hAnsi="宋体" w:eastAsia="宋体" w:cs="宋体"/>
          <w:b/>
          <w:bCs/>
          <w:sz w:val="24"/>
          <w:szCs w:val="24"/>
          <w:lang w:val="en-US"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_Toc4699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rPr>
        <w:t xml:space="preserve">二、 </w:t>
      </w:r>
      <w:r>
        <w:rPr>
          <w:rFonts w:hint="eastAsia" w:ascii="宋体" w:hAnsi="宋体" w:eastAsia="宋体" w:cs="宋体"/>
          <w:b/>
          <w:bCs/>
          <w:sz w:val="24"/>
          <w:szCs w:val="24"/>
          <w:highlight w:val="none"/>
        </w:rPr>
        <w:t>资格审查要求</w:t>
      </w:r>
      <w:r>
        <w:rPr>
          <w:rFonts w:hint="eastAsia" w:ascii="宋体" w:hAnsi="宋体" w:eastAsia="宋体" w:cs="宋体"/>
          <w:b/>
          <w:bCs/>
          <w:sz w:val="24"/>
          <w:szCs w:val="24"/>
        </w:rPr>
        <w:tab/>
      </w:r>
      <w:r>
        <w:rPr>
          <w:rFonts w:hint="eastAsia" w:ascii="宋体" w:hAnsi="宋体" w:eastAsia="宋体" w:cs="宋体"/>
          <w:b/>
          <w:bCs/>
          <w:sz w:val="24"/>
          <w:szCs w:val="24"/>
          <w:lang w:val="en-US" w:eastAsia="zh-CN"/>
        </w:rPr>
        <w:t>2</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lang w:val="en-US" w:eastAsia="zh-CN"/>
        </w:rPr>
        <w:t>1</w:t>
      </w:r>
    </w:p>
    <w:p w14:paraId="605A6C95">
      <w:pPr>
        <w:pStyle w:val="12"/>
        <w:tabs>
          <w:tab w:val="right" w:leader="dot" w:pos="9072"/>
          <w:tab w:val="clear" w:pos="1050"/>
          <w:tab w:val="clear" w:pos="8937"/>
        </w:tabs>
        <w:rPr>
          <w:rFonts w:hint="eastAsia" w:ascii="宋体" w:hAnsi="宋体" w:eastAsia="宋体" w:cs="宋体"/>
          <w:b/>
          <w:bCs/>
          <w:sz w:val="24"/>
          <w:szCs w:val="24"/>
          <w:lang w:val="en-US"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_Toc31142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rPr>
        <w:t xml:space="preserve">第四章 </w:t>
      </w:r>
      <w:r>
        <w:rPr>
          <w:rFonts w:hint="eastAsia" w:ascii="宋体" w:hAnsi="宋体" w:eastAsia="宋体" w:cs="宋体"/>
          <w:b/>
          <w:bCs/>
          <w:sz w:val="24"/>
          <w:szCs w:val="24"/>
          <w:highlight w:val="none"/>
        </w:rPr>
        <w:t>评标程序、评标方法和评标标准</w:t>
      </w:r>
      <w:r>
        <w:rPr>
          <w:rFonts w:hint="eastAsia" w:ascii="宋体" w:hAnsi="宋体" w:eastAsia="宋体" w:cs="宋体"/>
          <w:b/>
          <w:bCs/>
          <w:sz w:val="24"/>
          <w:szCs w:val="24"/>
        </w:rPr>
        <w:tab/>
      </w:r>
      <w:r>
        <w:rPr>
          <w:rFonts w:hint="eastAsia" w:ascii="宋体" w:hAnsi="宋体" w:eastAsia="宋体" w:cs="宋体"/>
          <w:b/>
          <w:bCs/>
          <w:sz w:val="24"/>
          <w:szCs w:val="24"/>
          <w:lang w:val="en-US" w:eastAsia="zh-CN"/>
        </w:rPr>
        <w:t>2</w:t>
      </w:r>
      <w:r>
        <w:rPr>
          <w:rFonts w:hint="eastAsia" w:ascii="宋体" w:hAnsi="宋体" w:eastAsia="宋体" w:cs="宋体"/>
          <w:b/>
          <w:bCs/>
          <w:color w:val="auto"/>
          <w:sz w:val="24"/>
          <w:szCs w:val="24"/>
          <w:highlight w:val="none"/>
        </w:rPr>
        <w:fldChar w:fldCharType="end"/>
      </w:r>
      <w:r>
        <w:rPr>
          <w:rFonts w:hint="eastAsia" w:eastAsia="宋体" w:cs="宋体"/>
          <w:b/>
          <w:bCs/>
          <w:color w:val="auto"/>
          <w:sz w:val="24"/>
          <w:szCs w:val="24"/>
          <w:highlight w:val="none"/>
          <w:lang w:val="en-US" w:eastAsia="zh-CN"/>
        </w:rPr>
        <w:t>3</w:t>
      </w:r>
    </w:p>
    <w:p w14:paraId="7EBB3B4E">
      <w:pPr>
        <w:pStyle w:val="13"/>
        <w:tabs>
          <w:tab w:val="right" w:leader="dot" w:pos="9072"/>
          <w:tab w:val="clear" w:pos="8937"/>
        </w:tabs>
        <w:rPr>
          <w:rFonts w:hint="eastAsia" w:ascii="宋体" w:hAnsi="宋体" w:eastAsia="宋体" w:cs="宋体"/>
          <w:b/>
          <w:bCs/>
          <w:sz w:val="24"/>
          <w:szCs w:val="24"/>
          <w:lang w:val="en-US"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_Toc29268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一、评标方法</w:t>
      </w:r>
      <w:r>
        <w:rPr>
          <w:rFonts w:hint="eastAsia" w:ascii="宋体" w:hAnsi="宋体" w:eastAsia="宋体" w:cs="宋体"/>
          <w:b/>
          <w:bCs/>
          <w:sz w:val="24"/>
          <w:szCs w:val="24"/>
        </w:rPr>
        <w:tab/>
      </w:r>
      <w:r>
        <w:rPr>
          <w:rFonts w:hint="eastAsia" w:ascii="宋体" w:hAnsi="宋体" w:eastAsia="宋体" w:cs="宋体"/>
          <w:b/>
          <w:bCs/>
          <w:sz w:val="24"/>
          <w:szCs w:val="24"/>
          <w:lang w:val="en-US" w:eastAsia="zh-CN"/>
        </w:rPr>
        <w:t>2</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lang w:val="en-US" w:eastAsia="zh-CN"/>
        </w:rPr>
        <w:t>3</w:t>
      </w:r>
    </w:p>
    <w:p w14:paraId="4E8B5608">
      <w:pPr>
        <w:pStyle w:val="13"/>
        <w:tabs>
          <w:tab w:val="right" w:leader="dot" w:pos="9072"/>
          <w:tab w:val="clear" w:pos="8937"/>
        </w:tabs>
        <w:rPr>
          <w:rFonts w:hint="eastAsia" w:ascii="宋体" w:hAnsi="宋体" w:eastAsia="宋体" w:cs="宋体"/>
          <w:b/>
          <w:bCs/>
          <w:sz w:val="24"/>
          <w:szCs w:val="24"/>
          <w:lang w:val="en-US"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_Toc7498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二、评标标准</w:t>
      </w:r>
      <w:r>
        <w:rPr>
          <w:rFonts w:hint="eastAsia" w:ascii="宋体" w:hAnsi="宋体" w:eastAsia="宋体" w:cs="宋体"/>
          <w:b/>
          <w:bCs/>
          <w:sz w:val="24"/>
          <w:szCs w:val="24"/>
        </w:rPr>
        <w:tab/>
      </w:r>
      <w:r>
        <w:rPr>
          <w:rFonts w:hint="eastAsia" w:ascii="宋体" w:hAnsi="宋体" w:eastAsia="宋体" w:cs="宋体"/>
          <w:b/>
          <w:bCs/>
          <w:sz w:val="24"/>
          <w:szCs w:val="24"/>
          <w:lang w:val="en-US" w:eastAsia="zh-CN"/>
        </w:rPr>
        <w:t>2</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lang w:val="en-US" w:eastAsia="zh-CN"/>
        </w:rPr>
        <w:t>8</w:t>
      </w:r>
    </w:p>
    <w:p w14:paraId="0965761D">
      <w:pPr>
        <w:pStyle w:val="12"/>
        <w:tabs>
          <w:tab w:val="right" w:leader="dot" w:pos="9072"/>
          <w:tab w:val="clear" w:pos="1050"/>
          <w:tab w:val="clear" w:pos="8937"/>
        </w:tabs>
        <w:rPr>
          <w:rFonts w:hint="eastAsia" w:ascii="宋体" w:hAnsi="宋体" w:eastAsia="宋体" w:cs="宋体"/>
          <w:b/>
          <w:bCs/>
          <w:sz w:val="24"/>
          <w:szCs w:val="24"/>
          <w:lang w:val="en-US"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_Toc15194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rPr>
        <w:t xml:space="preserve">第五章 </w:t>
      </w:r>
      <w:r>
        <w:rPr>
          <w:rFonts w:hint="eastAsia" w:ascii="宋体" w:hAnsi="宋体" w:eastAsia="宋体" w:cs="宋体"/>
          <w:b/>
          <w:bCs/>
          <w:sz w:val="24"/>
          <w:szCs w:val="24"/>
          <w:highlight w:val="none"/>
        </w:rPr>
        <w:t>采购需求</w:t>
      </w:r>
      <w:r>
        <w:rPr>
          <w:rFonts w:hint="eastAsia" w:ascii="宋体" w:hAnsi="宋体" w:eastAsia="宋体" w:cs="宋体"/>
          <w:b/>
          <w:bCs/>
          <w:sz w:val="24"/>
          <w:szCs w:val="24"/>
        </w:rPr>
        <w:tab/>
      </w:r>
      <w:r>
        <w:rPr>
          <w:rFonts w:hint="eastAsia" w:eastAsia="宋体" w:cs="宋体"/>
          <w:b/>
          <w:bCs/>
          <w:sz w:val="24"/>
          <w:szCs w:val="24"/>
          <w:lang w:val="en-US" w:eastAsia="zh-CN"/>
        </w:rPr>
        <w:t>3</w:t>
      </w:r>
      <w:r>
        <w:rPr>
          <w:rFonts w:hint="eastAsia" w:ascii="宋体" w:hAnsi="宋体" w:eastAsia="宋体" w:cs="宋体"/>
          <w:b/>
          <w:bCs/>
          <w:color w:val="auto"/>
          <w:sz w:val="24"/>
          <w:szCs w:val="24"/>
          <w:highlight w:val="none"/>
        </w:rPr>
        <w:fldChar w:fldCharType="end"/>
      </w:r>
      <w:r>
        <w:rPr>
          <w:rFonts w:hint="eastAsia" w:eastAsia="宋体" w:cs="宋体"/>
          <w:b/>
          <w:bCs/>
          <w:color w:val="auto"/>
          <w:sz w:val="24"/>
          <w:szCs w:val="24"/>
          <w:highlight w:val="none"/>
          <w:lang w:val="en-US" w:eastAsia="zh-CN"/>
        </w:rPr>
        <w:t>3</w:t>
      </w:r>
    </w:p>
    <w:p w14:paraId="0EF26557">
      <w:pPr>
        <w:pStyle w:val="12"/>
        <w:tabs>
          <w:tab w:val="right" w:leader="dot" w:pos="9072"/>
          <w:tab w:val="clear" w:pos="1050"/>
          <w:tab w:val="clear" w:pos="8937"/>
        </w:tabs>
        <w:rPr>
          <w:rFonts w:hint="eastAsia" w:ascii="宋体" w:hAnsi="宋体" w:eastAsia="宋体" w:cs="宋体"/>
          <w:b/>
          <w:bCs/>
          <w:sz w:val="24"/>
          <w:szCs w:val="24"/>
          <w:lang w:val="en-US"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_Toc10879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rPr>
        <w:t xml:space="preserve">第六章 </w:t>
      </w:r>
      <w:r>
        <w:rPr>
          <w:rFonts w:hint="eastAsia" w:ascii="宋体" w:hAnsi="宋体" w:eastAsia="宋体" w:cs="宋体"/>
          <w:b/>
          <w:bCs/>
          <w:sz w:val="24"/>
          <w:szCs w:val="24"/>
          <w:highlight w:val="none"/>
        </w:rPr>
        <w:t>拟签订的合同文本</w:t>
      </w:r>
      <w:r>
        <w:rPr>
          <w:rFonts w:hint="eastAsia" w:ascii="宋体" w:hAnsi="宋体" w:eastAsia="宋体" w:cs="宋体"/>
          <w:b/>
          <w:bCs/>
          <w:sz w:val="24"/>
          <w:szCs w:val="24"/>
        </w:rPr>
        <w:tab/>
      </w:r>
      <w:r>
        <w:rPr>
          <w:rFonts w:hint="eastAsia" w:eastAsia="宋体" w:cs="宋体"/>
          <w:b/>
          <w:bCs/>
          <w:sz w:val="24"/>
          <w:szCs w:val="24"/>
          <w:lang w:val="en-US" w:eastAsia="zh-CN"/>
        </w:rPr>
        <w:t>4</w:t>
      </w:r>
      <w:r>
        <w:rPr>
          <w:rFonts w:hint="eastAsia" w:ascii="宋体" w:hAnsi="宋体" w:eastAsia="宋体" w:cs="宋体"/>
          <w:b/>
          <w:bCs/>
          <w:color w:val="auto"/>
          <w:sz w:val="24"/>
          <w:szCs w:val="24"/>
          <w:highlight w:val="none"/>
        </w:rPr>
        <w:fldChar w:fldCharType="end"/>
      </w:r>
      <w:r>
        <w:rPr>
          <w:rFonts w:hint="eastAsia" w:eastAsia="宋体" w:cs="宋体"/>
          <w:b/>
          <w:bCs/>
          <w:color w:val="auto"/>
          <w:sz w:val="24"/>
          <w:szCs w:val="24"/>
          <w:highlight w:val="none"/>
          <w:lang w:val="en-US" w:eastAsia="zh-CN"/>
        </w:rPr>
        <w:t>0</w:t>
      </w:r>
    </w:p>
    <w:p w14:paraId="2261A3CA">
      <w:pPr>
        <w:pStyle w:val="12"/>
        <w:tabs>
          <w:tab w:val="right" w:leader="dot" w:pos="9072"/>
          <w:tab w:val="clear" w:pos="1050"/>
          <w:tab w:val="clear" w:pos="8937"/>
        </w:tabs>
        <w:rPr>
          <w:rFonts w:hint="eastAsia" w:ascii="宋体" w:hAnsi="宋体" w:eastAsia="宋体" w:cs="宋体"/>
          <w:b/>
          <w:bCs/>
          <w:sz w:val="24"/>
          <w:szCs w:val="24"/>
          <w:lang w:val="en-US"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_Toc20097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rPr>
        <w:t xml:space="preserve">第七章 </w:t>
      </w:r>
      <w:r>
        <w:rPr>
          <w:rFonts w:hint="eastAsia" w:ascii="宋体" w:hAnsi="宋体" w:eastAsia="宋体" w:cs="宋体"/>
          <w:b/>
          <w:bCs/>
          <w:sz w:val="24"/>
          <w:szCs w:val="24"/>
          <w:highlight w:val="none"/>
        </w:rPr>
        <w:t>投标文件格式</w:t>
      </w:r>
      <w:r>
        <w:rPr>
          <w:rFonts w:hint="eastAsia" w:ascii="宋体" w:hAnsi="宋体" w:eastAsia="宋体" w:cs="宋体"/>
          <w:b/>
          <w:bCs/>
          <w:sz w:val="24"/>
          <w:szCs w:val="24"/>
        </w:rPr>
        <w:tab/>
      </w:r>
      <w:r>
        <w:rPr>
          <w:rFonts w:hint="eastAsia" w:eastAsia="宋体" w:cs="宋体"/>
          <w:b/>
          <w:bCs/>
          <w:sz w:val="24"/>
          <w:szCs w:val="24"/>
          <w:lang w:val="en-US" w:eastAsia="zh-CN"/>
        </w:rPr>
        <w:t>4</w:t>
      </w:r>
      <w:r>
        <w:rPr>
          <w:rFonts w:hint="eastAsia" w:ascii="宋体" w:hAnsi="宋体" w:eastAsia="宋体" w:cs="宋体"/>
          <w:b/>
          <w:bCs/>
          <w:color w:val="auto"/>
          <w:sz w:val="24"/>
          <w:szCs w:val="24"/>
          <w:highlight w:val="none"/>
        </w:rPr>
        <w:fldChar w:fldCharType="end"/>
      </w:r>
      <w:r>
        <w:rPr>
          <w:rFonts w:hint="eastAsia" w:eastAsia="宋体" w:cs="宋体"/>
          <w:b/>
          <w:bCs/>
          <w:color w:val="auto"/>
          <w:sz w:val="24"/>
          <w:szCs w:val="24"/>
          <w:highlight w:val="none"/>
          <w:lang w:val="en-US" w:eastAsia="zh-CN"/>
        </w:rPr>
        <w:t>7</w:t>
      </w:r>
    </w:p>
    <w:p w14:paraId="67907A1B">
      <w:pPr>
        <w:pStyle w:val="13"/>
        <w:tabs>
          <w:tab w:val="right" w:leader="dot" w:pos="9072"/>
          <w:tab w:val="clear" w:pos="8937"/>
        </w:tabs>
        <w:rPr>
          <w:rFonts w:hint="eastAsia" w:ascii="宋体" w:hAnsi="宋体" w:eastAsia="宋体" w:cs="宋体"/>
          <w:b/>
          <w:bCs/>
          <w:sz w:val="24"/>
          <w:szCs w:val="24"/>
          <w:lang w:val="en-US"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_Toc26070 </w:instrText>
      </w:r>
      <w:r>
        <w:rPr>
          <w:rFonts w:hint="eastAsia" w:ascii="宋体" w:hAnsi="宋体" w:eastAsia="宋体" w:cs="宋体"/>
          <w:b/>
          <w:bCs/>
          <w:sz w:val="24"/>
          <w:szCs w:val="24"/>
          <w:highlight w:val="none"/>
        </w:rPr>
        <w:fldChar w:fldCharType="separate"/>
      </w:r>
      <w:r>
        <w:rPr>
          <w:rFonts w:hint="eastAsia" w:ascii="宋体" w:hAnsi="宋体" w:eastAsia="宋体" w:cs="宋体"/>
          <w:b/>
          <w:bCs/>
          <w:kern w:val="0"/>
          <w:sz w:val="24"/>
          <w:szCs w:val="24"/>
        </w:rPr>
        <w:t xml:space="preserve">一、 </w:t>
      </w:r>
      <w:r>
        <w:rPr>
          <w:rFonts w:hint="eastAsia" w:ascii="宋体" w:hAnsi="宋体" w:eastAsia="宋体" w:cs="宋体"/>
          <w:b/>
          <w:bCs/>
          <w:spacing w:val="20"/>
          <w:sz w:val="24"/>
          <w:szCs w:val="24"/>
          <w:highlight w:val="none"/>
        </w:rPr>
        <w:t>资格证明文件格式</w:t>
      </w:r>
      <w:r>
        <w:rPr>
          <w:rFonts w:hint="eastAsia" w:ascii="宋体" w:hAnsi="宋体" w:eastAsia="宋体" w:cs="宋体"/>
          <w:b/>
          <w:bCs/>
          <w:sz w:val="24"/>
          <w:szCs w:val="24"/>
        </w:rPr>
        <w:tab/>
      </w:r>
      <w:r>
        <w:rPr>
          <w:rFonts w:hint="eastAsia" w:ascii="宋体" w:hAnsi="宋体" w:eastAsia="宋体" w:cs="宋体"/>
          <w:b/>
          <w:bCs/>
          <w:sz w:val="24"/>
          <w:szCs w:val="24"/>
          <w:lang w:val="en-US" w:eastAsia="zh-CN"/>
        </w:rPr>
        <w:t>4</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lang w:val="en-US" w:eastAsia="zh-CN"/>
        </w:rPr>
        <w:t>8</w:t>
      </w:r>
    </w:p>
    <w:p w14:paraId="497C2C43">
      <w:pPr>
        <w:pStyle w:val="13"/>
        <w:tabs>
          <w:tab w:val="right" w:leader="dot" w:pos="9072"/>
          <w:tab w:val="clear" w:pos="8937"/>
        </w:tabs>
        <w:rPr>
          <w:rFonts w:hint="eastAsia" w:ascii="宋体" w:hAnsi="宋体" w:eastAsia="宋体" w:cs="宋体"/>
          <w:b/>
          <w:bCs/>
          <w:sz w:val="24"/>
          <w:szCs w:val="24"/>
          <w:lang w:val="en-US"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_Toc20156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rPr>
        <w:t xml:space="preserve">二、 </w:t>
      </w:r>
      <w:r>
        <w:rPr>
          <w:rFonts w:hint="eastAsia" w:ascii="宋体" w:hAnsi="宋体" w:eastAsia="宋体" w:cs="宋体"/>
          <w:b/>
          <w:bCs/>
          <w:sz w:val="24"/>
          <w:szCs w:val="24"/>
          <w:highlight w:val="none"/>
        </w:rPr>
        <w:t>商务文件格式</w:t>
      </w:r>
      <w:r>
        <w:rPr>
          <w:rFonts w:hint="eastAsia" w:ascii="宋体" w:hAnsi="宋体" w:eastAsia="宋体" w:cs="宋体"/>
          <w:b/>
          <w:bCs/>
          <w:sz w:val="24"/>
          <w:szCs w:val="24"/>
        </w:rPr>
        <w:tab/>
      </w:r>
      <w:r>
        <w:rPr>
          <w:rFonts w:hint="eastAsia" w:ascii="宋体" w:hAnsi="宋体" w:eastAsia="宋体" w:cs="宋体"/>
          <w:b/>
          <w:bCs/>
          <w:sz w:val="24"/>
          <w:szCs w:val="24"/>
          <w:lang w:val="en-US" w:eastAsia="zh-CN"/>
        </w:rPr>
        <w:t>5</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lang w:val="en-US" w:eastAsia="zh-CN"/>
        </w:rPr>
        <w:t>3</w:t>
      </w:r>
    </w:p>
    <w:p w14:paraId="5AA2D0BC">
      <w:pPr>
        <w:pStyle w:val="13"/>
        <w:tabs>
          <w:tab w:val="right" w:leader="dot" w:pos="9072"/>
          <w:tab w:val="clear" w:pos="8937"/>
        </w:tabs>
        <w:rPr>
          <w:rFonts w:hint="eastAsia" w:ascii="宋体" w:hAnsi="宋体" w:eastAsia="宋体" w:cs="宋体"/>
          <w:b/>
          <w:bCs/>
          <w:sz w:val="24"/>
          <w:szCs w:val="24"/>
          <w:lang w:val="en-US"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_Toc7310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lang w:eastAsia="zh-CN"/>
        </w:rPr>
        <w:t>三</w:t>
      </w:r>
      <w:r>
        <w:rPr>
          <w:rFonts w:hint="eastAsia" w:ascii="宋体" w:hAnsi="宋体" w:eastAsia="宋体" w:cs="宋体"/>
          <w:b/>
          <w:bCs/>
          <w:sz w:val="24"/>
          <w:szCs w:val="24"/>
        </w:rPr>
        <w:t xml:space="preserve">、 </w:t>
      </w:r>
      <w:r>
        <w:rPr>
          <w:rFonts w:hint="eastAsia" w:ascii="宋体" w:hAnsi="宋体" w:eastAsia="宋体" w:cs="宋体"/>
          <w:b/>
          <w:bCs/>
          <w:sz w:val="24"/>
          <w:szCs w:val="24"/>
          <w:highlight w:val="none"/>
        </w:rPr>
        <w:t>技术文件格式</w:t>
      </w:r>
      <w:r>
        <w:rPr>
          <w:rFonts w:hint="eastAsia" w:ascii="宋体" w:hAnsi="宋体" w:eastAsia="宋体" w:cs="宋体"/>
          <w:b/>
          <w:bCs/>
          <w:sz w:val="24"/>
          <w:szCs w:val="24"/>
        </w:rPr>
        <w:tab/>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lang w:val="en-US" w:eastAsia="zh-CN"/>
        </w:rPr>
        <w:t>7</w:t>
      </w:r>
      <w:r>
        <w:rPr>
          <w:rFonts w:hint="eastAsia" w:ascii="宋体" w:hAnsi="宋体" w:cs="宋体"/>
          <w:b/>
          <w:bCs/>
          <w:color w:val="auto"/>
          <w:sz w:val="24"/>
          <w:szCs w:val="24"/>
          <w:highlight w:val="none"/>
          <w:lang w:val="en-US" w:eastAsia="zh-CN"/>
        </w:rPr>
        <w:t>3</w:t>
      </w:r>
    </w:p>
    <w:p w14:paraId="12830ACF">
      <w:pPr>
        <w:rPr>
          <w:rFonts w:hint="eastAsia" w:ascii="宋体" w:hAnsi="宋体" w:eastAsia="宋体" w:cs="宋体"/>
          <w:color w:val="auto"/>
          <w:highlight w:val="none"/>
        </w:rPr>
        <w:sectPr>
          <w:footerReference r:id="rId5" w:type="default"/>
          <w:pgSz w:w="11907" w:h="16840"/>
          <w:pgMar w:top="1418" w:right="1134" w:bottom="1418" w:left="1701" w:header="1134" w:footer="1134" w:gutter="0"/>
          <w:pgBorders>
            <w:top w:val="none" w:sz="0" w:space="0"/>
            <w:left w:val="none" w:sz="0" w:space="0"/>
            <w:bottom w:val="none" w:sz="0" w:space="0"/>
            <w:right w:val="none" w:sz="0" w:space="0"/>
          </w:pgBorders>
          <w:pgNumType w:fmt="decimal" w:start="1"/>
          <w:cols w:space="720" w:num="1"/>
          <w:docGrid w:linePitch="462" w:charSpace="0"/>
        </w:sectPr>
      </w:pPr>
      <w:r>
        <w:rPr>
          <w:rFonts w:hint="eastAsia" w:ascii="宋体" w:hAnsi="宋体" w:eastAsia="宋体" w:cs="宋体"/>
          <w:b/>
          <w:bCs/>
          <w:color w:val="auto"/>
          <w:sz w:val="24"/>
          <w:szCs w:val="24"/>
          <w:highlight w:val="none"/>
        </w:rPr>
        <w:fldChar w:fldCharType="end"/>
      </w:r>
    </w:p>
    <w:p w14:paraId="1605EAC2">
      <w:pPr>
        <w:numPr>
          <w:ilvl w:val="0"/>
          <w:numId w:val="1"/>
        </w:numPr>
        <w:spacing w:line="360" w:lineRule="auto"/>
        <w:jc w:val="center"/>
        <w:outlineLvl w:val="0"/>
        <w:rPr>
          <w:rFonts w:hint="eastAsia" w:ascii="宋体" w:hAnsi="宋体" w:eastAsia="宋体" w:cs="宋体"/>
          <w:b/>
          <w:color w:val="auto"/>
          <w:sz w:val="36"/>
          <w:szCs w:val="36"/>
          <w:highlight w:val="none"/>
        </w:rPr>
      </w:pPr>
      <w:bookmarkStart w:id="0" w:name="_Toc11311"/>
      <w:r>
        <w:rPr>
          <w:rFonts w:hint="eastAsia" w:ascii="宋体" w:hAnsi="宋体" w:eastAsia="宋体" w:cs="宋体"/>
          <w:b/>
          <w:color w:val="auto"/>
          <w:sz w:val="36"/>
          <w:szCs w:val="36"/>
          <w:highlight w:val="none"/>
        </w:rPr>
        <w:t xml:space="preserve">  </w:t>
      </w:r>
      <w:bookmarkStart w:id="1" w:name="_Toc25808"/>
      <w:r>
        <w:rPr>
          <w:rFonts w:hint="eastAsia" w:ascii="宋体" w:hAnsi="宋体" w:eastAsia="宋体" w:cs="宋体"/>
          <w:b/>
          <w:color w:val="auto"/>
          <w:sz w:val="36"/>
          <w:szCs w:val="36"/>
          <w:highlight w:val="none"/>
        </w:rPr>
        <w:t>招标公告</w:t>
      </w:r>
      <w:bookmarkEnd w:id="0"/>
      <w:bookmarkEnd w:id="1"/>
    </w:p>
    <w:p w14:paraId="618A6DA5">
      <w:pPr>
        <w:wordWrap w:val="0"/>
        <w:spacing w:line="600" w:lineRule="exact"/>
        <w:jc w:val="center"/>
        <w:rPr>
          <w:rFonts w:hint="eastAsia"/>
          <w:b/>
          <w:sz w:val="32"/>
          <w:szCs w:val="32"/>
          <w:lang w:val="en-US" w:eastAsia="zh-CN"/>
        </w:rPr>
      </w:pPr>
      <w:bookmarkStart w:id="2" w:name="_Toc353873938"/>
      <w:bookmarkStart w:id="3" w:name="_Toc305158854"/>
      <w:bookmarkStart w:id="4" w:name="_Toc265228423"/>
      <w:bookmarkStart w:id="5" w:name="_Toc127151777"/>
      <w:bookmarkStart w:id="6" w:name="_Toc264969275"/>
      <w:bookmarkStart w:id="7" w:name="_Toc195842950"/>
      <w:bookmarkStart w:id="8" w:name="_Toc512937850"/>
      <w:bookmarkStart w:id="9" w:name="_Toc127161488"/>
      <w:bookmarkStart w:id="10" w:name="_Toc305158928"/>
      <w:bookmarkStart w:id="11" w:name="_Toc150774783"/>
      <w:bookmarkStart w:id="12" w:name="_Toc5910"/>
      <w:bookmarkStart w:id="13" w:name="_Toc226965856"/>
      <w:bookmarkStart w:id="14" w:name="_Toc353825548"/>
      <w:r>
        <w:rPr>
          <w:rFonts w:hint="eastAsia"/>
          <w:b/>
          <w:sz w:val="32"/>
          <w:szCs w:val="32"/>
          <w:lang w:val="en-US" w:eastAsia="zh-CN"/>
        </w:rPr>
        <w:t>剑川县生活垃圾填埋场渗滤液处理站市场化运营项目</w:t>
      </w:r>
    </w:p>
    <w:p w14:paraId="7CA75676">
      <w:pPr>
        <w:jc w:val="center"/>
        <w:rPr>
          <w:rFonts w:hint="eastAsia" w:ascii="宋体" w:hAnsi="宋体" w:eastAsia="宋体" w:cs="宋体"/>
          <w:b/>
          <w:bCs/>
          <w:color w:val="auto"/>
          <w:sz w:val="32"/>
          <w:szCs w:val="40"/>
          <w:highlight w:val="none"/>
        </w:rPr>
      </w:pPr>
      <w:r>
        <w:rPr>
          <w:rFonts w:hint="eastAsia" w:ascii="宋体" w:hAnsi="宋体" w:eastAsia="宋体" w:cs="宋体"/>
          <w:b/>
          <w:bCs/>
          <w:color w:val="auto"/>
          <w:sz w:val="32"/>
          <w:szCs w:val="40"/>
          <w:highlight w:val="none"/>
        </w:rPr>
        <w:t>公开招标公告</w:t>
      </w:r>
    </w:p>
    <w:p w14:paraId="063E733E">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项目概况</w:t>
      </w:r>
    </w:p>
    <w:p w14:paraId="676CA4B1">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eastAsia="宋体" w:cs="宋体"/>
          <w:color w:val="auto"/>
          <w:sz w:val="24"/>
          <w:highlight w:val="none"/>
        </w:rPr>
      </w:pPr>
      <w:r>
        <w:rPr>
          <w:rFonts w:hint="eastAsia" w:ascii="宋体" w:hAnsi="宋体"/>
          <w:sz w:val="24"/>
          <w:szCs w:val="24"/>
          <w:u w:val="single"/>
          <w:lang w:eastAsia="zh-CN"/>
        </w:rPr>
        <w:t>剑川县生活垃圾填埋场渗滤液处理站市场化运营项目</w:t>
      </w:r>
      <w:r>
        <w:rPr>
          <w:rFonts w:hint="eastAsia" w:ascii="宋体" w:hAnsi="宋体" w:eastAsia="宋体" w:cs="宋体"/>
          <w:color w:val="auto"/>
          <w:sz w:val="24"/>
          <w:highlight w:val="none"/>
          <w:lang w:bidi="ar"/>
        </w:rPr>
        <w:t>的潜在供应商应在</w:t>
      </w:r>
      <w:r>
        <w:rPr>
          <w:rFonts w:hint="eastAsia" w:ascii="宋体" w:hAnsi="宋体" w:eastAsia="宋体" w:cs="宋体"/>
          <w:b/>
          <w:bCs/>
          <w:color w:val="auto"/>
          <w:sz w:val="24"/>
          <w:highlight w:val="none"/>
          <w:u w:val="single"/>
        </w:rPr>
        <w:t>政采云平台（https://www.zcygov.cn/）</w:t>
      </w:r>
      <w:r>
        <w:rPr>
          <w:rFonts w:hint="eastAsia" w:ascii="宋体" w:hAnsi="宋体" w:eastAsia="宋体" w:cs="宋体"/>
          <w:color w:val="auto"/>
          <w:sz w:val="24"/>
          <w:highlight w:val="none"/>
          <w:lang w:bidi="ar"/>
        </w:rPr>
        <w:t>获取招标文件，并</w:t>
      </w:r>
      <w:r>
        <w:rPr>
          <w:rFonts w:hint="eastAsia" w:ascii="宋体" w:hAnsi="宋体" w:eastAsia="宋体" w:cs="宋体"/>
          <w:color w:val="000000" w:themeColor="text1"/>
          <w:sz w:val="24"/>
          <w:highlight w:val="none"/>
          <w:lang w:bidi="ar"/>
          <w14:textFill>
            <w14:solidFill>
              <w14:schemeClr w14:val="tx1"/>
            </w14:solidFill>
          </w14:textFill>
        </w:rPr>
        <w:t>于</w:t>
      </w:r>
      <w:r>
        <w:rPr>
          <w:rFonts w:hint="eastAsia" w:ascii="宋体" w:hAnsi="宋体" w:eastAsia="宋体" w:cs="宋体"/>
          <w:b/>
          <w:bCs/>
          <w:color w:val="000000" w:themeColor="text1"/>
          <w:sz w:val="24"/>
          <w:highlight w:val="none"/>
          <w:u w:val="single"/>
          <w:lang w:eastAsia="zh-CN" w:bidi="ar"/>
          <w14:textFill>
            <w14:solidFill>
              <w14:schemeClr w14:val="tx1"/>
            </w14:solidFill>
          </w14:textFill>
        </w:rPr>
        <w:t>2026年</w:t>
      </w:r>
      <w:r>
        <w:rPr>
          <w:rFonts w:hint="eastAsia" w:ascii="宋体" w:hAnsi="宋体" w:eastAsia="宋体" w:cs="宋体"/>
          <w:b/>
          <w:bCs/>
          <w:color w:val="000000" w:themeColor="text1"/>
          <w:sz w:val="24"/>
          <w:highlight w:val="none"/>
          <w:u w:val="single"/>
          <w:lang w:val="en-US" w:eastAsia="zh-CN" w:bidi="ar"/>
          <w14:textFill>
            <w14:solidFill>
              <w14:schemeClr w14:val="tx1"/>
            </w14:solidFill>
          </w14:textFill>
        </w:rPr>
        <w:t>09</w:t>
      </w:r>
      <w:r>
        <w:rPr>
          <w:rFonts w:hint="eastAsia" w:ascii="宋体" w:hAnsi="宋体" w:eastAsia="宋体" w:cs="宋体"/>
          <w:b/>
          <w:bCs/>
          <w:color w:val="000000" w:themeColor="text1"/>
          <w:sz w:val="24"/>
          <w:highlight w:val="none"/>
          <w:u w:val="single"/>
          <w:lang w:eastAsia="zh-CN" w:bidi="ar"/>
          <w14:textFill>
            <w14:solidFill>
              <w14:schemeClr w14:val="tx1"/>
            </w14:solidFill>
          </w14:textFill>
        </w:rPr>
        <w:t>月</w:t>
      </w:r>
      <w:r>
        <w:rPr>
          <w:rFonts w:hint="eastAsia" w:ascii="宋体" w:hAnsi="宋体" w:eastAsia="宋体" w:cs="宋体"/>
          <w:b/>
          <w:bCs/>
          <w:color w:val="000000" w:themeColor="text1"/>
          <w:sz w:val="24"/>
          <w:highlight w:val="none"/>
          <w:u w:val="single"/>
          <w:lang w:val="en-US" w:eastAsia="zh-CN" w:bidi="ar"/>
          <w14:textFill>
            <w14:solidFill>
              <w14:schemeClr w14:val="tx1"/>
            </w14:solidFill>
          </w14:textFill>
        </w:rPr>
        <w:t>01</w:t>
      </w:r>
      <w:r>
        <w:rPr>
          <w:rFonts w:hint="eastAsia" w:ascii="宋体" w:hAnsi="宋体" w:eastAsia="宋体" w:cs="宋体"/>
          <w:b/>
          <w:bCs/>
          <w:color w:val="000000" w:themeColor="text1"/>
          <w:sz w:val="24"/>
          <w:highlight w:val="none"/>
          <w:u w:val="single"/>
          <w:lang w:eastAsia="zh-CN" w:bidi="ar"/>
          <w14:textFill>
            <w14:solidFill>
              <w14:schemeClr w14:val="tx1"/>
            </w14:solidFill>
          </w14:textFill>
        </w:rPr>
        <w:t>日</w:t>
      </w:r>
      <w:r>
        <w:rPr>
          <w:rFonts w:hint="eastAsia" w:ascii="宋体" w:hAnsi="宋体" w:eastAsia="宋体" w:cs="宋体"/>
          <w:b/>
          <w:bCs/>
          <w:color w:val="000000" w:themeColor="text1"/>
          <w:sz w:val="24"/>
          <w:highlight w:val="none"/>
          <w:u w:val="single"/>
          <w:lang w:val="en-US" w:eastAsia="zh-CN" w:bidi="ar"/>
          <w14:textFill>
            <w14:solidFill>
              <w14:schemeClr w14:val="tx1"/>
            </w14:solidFill>
          </w14:textFill>
        </w:rPr>
        <w:t>09</w:t>
      </w:r>
      <w:r>
        <w:rPr>
          <w:rFonts w:hint="eastAsia" w:ascii="宋体" w:hAnsi="宋体" w:eastAsia="宋体" w:cs="宋体"/>
          <w:b/>
          <w:bCs/>
          <w:color w:val="000000" w:themeColor="text1"/>
          <w:sz w:val="24"/>
          <w:highlight w:val="none"/>
          <w:u w:val="single"/>
          <w:lang w:bidi="ar"/>
          <w14:textFill>
            <w14:solidFill>
              <w14:schemeClr w14:val="tx1"/>
            </w14:solidFill>
          </w14:textFill>
        </w:rPr>
        <w:t>点30分</w:t>
      </w:r>
      <w:r>
        <w:rPr>
          <w:rFonts w:hint="eastAsia" w:ascii="宋体" w:hAnsi="宋体" w:eastAsia="宋体" w:cs="宋体"/>
          <w:bCs/>
          <w:color w:val="auto"/>
          <w:sz w:val="24"/>
          <w:highlight w:val="none"/>
          <w:u w:val="none"/>
          <w:lang w:bidi="ar"/>
        </w:rPr>
        <w:t>（</w:t>
      </w:r>
      <w:r>
        <w:rPr>
          <w:rFonts w:hint="eastAsia" w:ascii="宋体" w:hAnsi="宋体" w:eastAsia="宋体" w:cs="宋体"/>
          <w:bCs/>
          <w:color w:val="auto"/>
          <w:sz w:val="24"/>
          <w:highlight w:val="none"/>
          <w:lang w:bidi="ar"/>
        </w:rPr>
        <w:t>北京时间）前递交投标文件</w:t>
      </w:r>
      <w:r>
        <w:rPr>
          <w:rFonts w:hint="eastAsia" w:ascii="宋体" w:hAnsi="宋体" w:eastAsia="宋体" w:cs="宋体"/>
          <w:color w:val="auto"/>
          <w:sz w:val="24"/>
          <w:highlight w:val="none"/>
          <w:lang w:bidi="ar"/>
        </w:rPr>
        <w:t>。</w:t>
      </w:r>
    </w:p>
    <w:p w14:paraId="7B7D2674">
      <w:pPr>
        <w:numPr>
          <w:ilvl w:val="0"/>
          <w:numId w:val="2"/>
        </w:numPr>
        <w:spacing w:line="360" w:lineRule="auto"/>
        <w:ind w:left="0" w:firstLine="420"/>
        <w:jc w:val="left"/>
        <w:rPr>
          <w:rFonts w:hint="eastAsia" w:ascii="宋体" w:hAnsi="宋体" w:eastAsia="宋体" w:cs="宋体"/>
          <w:b/>
          <w:bCs/>
          <w:color w:val="auto"/>
          <w:sz w:val="24"/>
          <w:highlight w:val="none"/>
        </w:rPr>
      </w:pPr>
      <w:bookmarkStart w:id="15" w:name="_Toc28359079"/>
      <w:bookmarkStart w:id="16" w:name="_Toc35393621"/>
      <w:bookmarkStart w:id="17" w:name="_Toc28359002"/>
      <w:bookmarkStart w:id="18" w:name="_Toc35393790"/>
      <w:bookmarkStart w:id="19" w:name="_Hlk24379207"/>
      <w:r>
        <w:rPr>
          <w:rFonts w:hint="eastAsia" w:ascii="宋体" w:hAnsi="宋体" w:eastAsia="宋体" w:cs="宋体"/>
          <w:b/>
          <w:bCs/>
          <w:color w:val="auto"/>
          <w:sz w:val="24"/>
          <w:highlight w:val="none"/>
        </w:rPr>
        <w:t>项目基本情况</w:t>
      </w:r>
      <w:bookmarkEnd w:id="15"/>
      <w:bookmarkEnd w:id="16"/>
      <w:bookmarkEnd w:id="17"/>
      <w:bookmarkEnd w:id="18"/>
    </w:p>
    <w:p w14:paraId="5D84BED0">
      <w:pPr>
        <w:numPr>
          <w:ilvl w:val="1"/>
          <w:numId w:val="3"/>
        </w:numPr>
        <w:spacing w:line="360" w:lineRule="auto"/>
        <w:ind w:firstLine="480" w:firstLineChars="200"/>
        <w:jc w:val="lef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项目编号：</w:t>
      </w:r>
      <w:r>
        <w:rPr>
          <w:rFonts w:hint="eastAsia" w:ascii="宋体" w:hAnsi="宋体"/>
          <w:sz w:val="24"/>
          <w:szCs w:val="24"/>
          <w:lang w:val="en-US" w:eastAsia="zh-CN"/>
        </w:rPr>
        <w:t>DLZC2026-G3-00833-ZSGS-0002</w:t>
      </w:r>
    </w:p>
    <w:p w14:paraId="7A05A6B4">
      <w:pPr>
        <w:numPr>
          <w:ilvl w:val="1"/>
          <w:numId w:val="3"/>
        </w:numPr>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项目名称：</w:t>
      </w:r>
      <w:bookmarkEnd w:id="19"/>
      <w:r>
        <w:rPr>
          <w:rFonts w:hint="eastAsia" w:ascii="宋体" w:hAnsi="宋体"/>
          <w:sz w:val="24"/>
          <w:szCs w:val="24"/>
          <w:lang w:eastAsia="zh-CN"/>
        </w:rPr>
        <w:t>剑川县生活垃圾填埋场渗滤液处理站市场化运营项目</w:t>
      </w:r>
    </w:p>
    <w:p w14:paraId="6E9DBDF9">
      <w:pPr>
        <w:numPr>
          <w:ilvl w:val="1"/>
          <w:numId w:val="3"/>
        </w:numPr>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bCs/>
          <w:color w:val="auto"/>
          <w:sz w:val="24"/>
          <w:highlight w:val="none"/>
        </w:rPr>
        <w:t>项目预算金额：</w:t>
      </w:r>
      <w:r>
        <w:rPr>
          <w:rFonts w:hint="eastAsia" w:ascii="宋体" w:hAnsi="宋体" w:eastAsia="宋体" w:cs="宋体"/>
          <w:bCs/>
          <w:color w:val="auto"/>
          <w:sz w:val="24"/>
          <w:highlight w:val="none"/>
          <w:lang w:val="en-US" w:eastAsia="zh-CN"/>
        </w:rPr>
        <w:t>91.60</w:t>
      </w:r>
      <w:r>
        <w:rPr>
          <w:rFonts w:hint="eastAsia" w:ascii="宋体" w:hAnsi="宋体" w:eastAsia="宋体" w:cs="宋体"/>
          <w:bCs/>
          <w:color w:val="auto"/>
          <w:sz w:val="24"/>
          <w:highlight w:val="none"/>
        </w:rPr>
        <w:t>万元</w:t>
      </w:r>
      <w:r>
        <w:rPr>
          <w:rFonts w:hint="eastAsia" w:ascii="宋体" w:hAnsi="宋体" w:eastAsia="宋体" w:cs="宋体"/>
          <w:bCs/>
          <w:color w:val="auto"/>
          <w:sz w:val="24"/>
          <w:highlight w:val="none"/>
          <w:lang w:val="en-US" w:eastAsia="zh-CN"/>
        </w:rPr>
        <w:t>/年，一采三年。</w:t>
      </w:r>
    </w:p>
    <w:p w14:paraId="59A781E1">
      <w:pPr>
        <w:numPr>
          <w:ilvl w:val="1"/>
          <w:numId w:val="3"/>
        </w:numPr>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★项目最高限价</w:t>
      </w:r>
      <w:r>
        <w:rPr>
          <w:rFonts w:hint="eastAsia" w:ascii="宋体" w:hAnsi="宋体" w:eastAsia="宋体" w:cs="宋体"/>
          <w:bCs/>
          <w:color w:val="auto"/>
          <w:sz w:val="24"/>
          <w:highlight w:val="none"/>
          <w:lang w:val="en-US" w:eastAsia="zh-CN"/>
        </w:rPr>
        <w:t>：91.60</w:t>
      </w:r>
      <w:r>
        <w:rPr>
          <w:rFonts w:hint="eastAsia" w:ascii="宋体" w:hAnsi="宋体" w:eastAsia="宋体" w:cs="宋体"/>
          <w:bCs/>
          <w:color w:val="auto"/>
          <w:sz w:val="24"/>
          <w:highlight w:val="none"/>
        </w:rPr>
        <w:t>万元</w:t>
      </w:r>
      <w:r>
        <w:rPr>
          <w:rFonts w:hint="eastAsia" w:ascii="宋体" w:hAnsi="宋体" w:eastAsia="宋体" w:cs="宋体"/>
          <w:bCs/>
          <w:color w:val="auto"/>
          <w:sz w:val="24"/>
          <w:highlight w:val="none"/>
          <w:lang w:val="en-US" w:eastAsia="zh-CN"/>
        </w:rPr>
        <w:t>/年</w:t>
      </w:r>
    </w:p>
    <w:p w14:paraId="76060383">
      <w:pPr>
        <w:numPr>
          <w:ilvl w:val="1"/>
          <w:numId w:val="3"/>
        </w:numPr>
        <w:spacing w:line="360" w:lineRule="auto"/>
        <w:ind w:firstLine="480" w:firstLineChars="20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采购需求：</w:t>
      </w:r>
      <w:r>
        <w:rPr>
          <w:rFonts w:ascii="宋体" w:hAnsi="宋体" w:eastAsia="宋体" w:cs="宋体"/>
          <w:spacing w:val="-3"/>
          <w:sz w:val="24"/>
          <w:szCs w:val="24"/>
        </w:rPr>
        <w:t>本项目为</w:t>
      </w:r>
      <w:r>
        <w:rPr>
          <w:rFonts w:hint="eastAsia" w:ascii="宋体" w:hAnsi="宋体" w:eastAsia="宋体" w:cs="宋体"/>
          <w:spacing w:val="-3"/>
          <w:sz w:val="24"/>
          <w:szCs w:val="24"/>
        </w:rPr>
        <w:t>剑川县生活垃圾填埋场渗滤液处理站市场化运营</w:t>
      </w:r>
      <w:r>
        <w:rPr>
          <w:rFonts w:ascii="宋体" w:hAnsi="宋体" w:eastAsia="宋体" w:cs="宋体"/>
          <w:spacing w:val="-3"/>
          <w:sz w:val="24"/>
          <w:szCs w:val="24"/>
        </w:rPr>
        <w:t>内容主要包括但不限于完</w:t>
      </w:r>
      <w:r>
        <w:rPr>
          <w:rFonts w:ascii="宋体" w:hAnsi="宋体" w:eastAsia="宋体" w:cs="宋体"/>
          <w:sz w:val="24"/>
          <w:szCs w:val="24"/>
        </w:rPr>
        <w:t>成</w:t>
      </w:r>
      <w:r>
        <w:rPr>
          <w:rFonts w:hint="eastAsia" w:ascii="宋体" w:hAnsi="宋体" w:eastAsia="宋体" w:cs="宋体"/>
          <w:sz w:val="24"/>
          <w:szCs w:val="24"/>
          <w:lang w:val="en-US" w:eastAsia="zh-CN"/>
        </w:rPr>
        <w:t>渗滤液处理系统日常运营维护、运行操作并保证出水稳定达标排放、设备操作及保养、运营期内的设备大修及设备更新、药品药剂采购、水质分析化验、渗滤液处理站的安全环保管理等</w:t>
      </w:r>
      <w:r>
        <w:rPr>
          <w:rFonts w:hint="eastAsia" w:ascii="宋体" w:hAnsi="宋体" w:eastAsia="宋体" w:cs="宋体"/>
          <w:color w:val="auto"/>
          <w:kern w:val="2"/>
          <w:sz w:val="24"/>
          <w:szCs w:val="24"/>
          <w:lang w:val="en-US" w:eastAsia="zh-CN" w:bidi="ar-SA"/>
        </w:rPr>
        <w:t>满足采购人要求的所有内容</w:t>
      </w:r>
      <w:r>
        <w:rPr>
          <w:rFonts w:hint="eastAsia" w:ascii="宋体" w:hAnsi="宋体" w:eastAsia="宋体" w:cs="宋体"/>
          <w:sz w:val="24"/>
          <w:szCs w:val="24"/>
          <w:lang w:val="en-US" w:eastAsia="zh-CN"/>
        </w:rPr>
        <w:t>。</w:t>
      </w:r>
    </w:p>
    <w:p w14:paraId="0B0469DE">
      <w:pPr>
        <w:numPr>
          <w:ilvl w:val="1"/>
          <w:numId w:val="3"/>
        </w:numPr>
        <w:spacing w:line="360" w:lineRule="auto"/>
        <w:ind w:firstLine="480" w:firstLineChars="200"/>
        <w:jc w:val="left"/>
        <w:rPr>
          <w:rFonts w:hint="eastAsia" w:ascii="宋体" w:hAnsi="宋体" w:eastAsia="宋体" w:cs="宋体"/>
          <w:bCs/>
          <w:color w:val="auto"/>
          <w:sz w:val="24"/>
          <w:highlight w:val="none"/>
          <w:lang w:val="en-US" w:eastAsia="zh-CN"/>
        </w:rPr>
      </w:pPr>
      <w:r>
        <w:rPr>
          <w:rFonts w:hint="eastAsia" w:ascii="宋体" w:hAnsi="宋体" w:eastAsia="宋体" w:cs="宋体"/>
          <w:color w:val="auto"/>
          <w:sz w:val="24"/>
          <w:highlight w:val="none"/>
        </w:rPr>
        <w:t>★</w:t>
      </w:r>
      <w:r>
        <w:rPr>
          <w:rFonts w:hint="eastAsia" w:ascii="宋体" w:hAnsi="宋体" w:eastAsia="宋体" w:cs="宋体"/>
          <w:bCs/>
          <w:color w:val="auto"/>
          <w:sz w:val="24"/>
          <w:highlight w:val="none"/>
        </w:rPr>
        <w:t>合同履行期限：</w:t>
      </w:r>
    </w:p>
    <w:p w14:paraId="49806C64">
      <w:pPr>
        <w:numPr>
          <w:ilvl w:val="0"/>
          <w:numId w:val="0"/>
        </w:numPr>
        <w:spacing w:line="360" w:lineRule="auto"/>
        <w:ind w:leftChars="200" w:firstLine="456" w:firstLineChars="200"/>
        <w:jc w:val="left"/>
        <w:rPr>
          <w:rFonts w:ascii="宋体" w:hAnsi="宋体" w:eastAsia="宋体" w:cs="宋体"/>
          <w:color w:val="000000"/>
          <w:spacing w:val="-6"/>
          <w:sz w:val="24"/>
          <w:szCs w:val="24"/>
        </w:rPr>
      </w:pPr>
      <w:r>
        <w:rPr>
          <w:rFonts w:hint="eastAsia" w:ascii="宋体" w:hAnsi="宋体" w:eastAsia="宋体" w:cs="宋体"/>
          <w:spacing w:val="-6"/>
          <w:sz w:val="24"/>
          <w:szCs w:val="24"/>
          <w:lang w:val="en-US" w:eastAsia="zh-CN"/>
        </w:rPr>
        <w:t>项目服务期限为</w:t>
      </w:r>
      <w:r>
        <w:rPr>
          <w:rFonts w:ascii="Times New Roman" w:hAnsi="Times New Roman" w:eastAsia="Times New Roman" w:cs="Times New Roman"/>
          <w:spacing w:val="-6"/>
          <w:sz w:val="24"/>
          <w:szCs w:val="24"/>
        </w:rPr>
        <w:t>3</w:t>
      </w:r>
      <w:r>
        <w:rPr>
          <w:rFonts w:ascii="宋体" w:hAnsi="宋体" w:eastAsia="宋体" w:cs="宋体"/>
          <w:spacing w:val="-6"/>
          <w:sz w:val="24"/>
          <w:szCs w:val="24"/>
        </w:rPr>
        <w:t>年</w:t>
      </w:r>
      <w:r>
        <w:rPr>
          <w:rFonts w:hint="eastAsia" w:ascii="宋体" w:hAnsi="宋体" w:eastAsia="宋体" w:cs="宋体"/>
          <w:color w:val="000000"/>
          <w:spacing w:val="-6"/>
          <w:sz w:val="24"/>
          <w:szCs w:val="24"/>
          <w:lang w:val="en-US" w:eastAsia="zh-CN"/>
        </w:rPr>
        <w:t>，</w:t>
      </w:r>
      <w:r>
        <w:rPr>
          <w:rFonts w:ascii="宋体" w:hAnsi="宋体" w:eastAsia="宋体" w:cs="宋体"/>
          <w:color w:val="000000"/>
          <w:spacing w:val="-6"/>
          <w:sz w:val="24"/>
          <w:szCs w:val="24"/>
        </w:rPr>
        <w:t>合同一年一签。</w:t>
      </w:r>
    </w:p>
    <w:p w14:paraId="3B73B71A">
      <w:pPr>
        <w:numPr>
          <w:ilvl w:val="0"/>
          <w:numId w:val="0"/>
        </w:numPr>
        <w:spacing w:beforeAutospacing="0" w:line="324" w:lineRule="auto"/>
        <w:ind w:leftChars="228" w:right="99" w:rightChars="0" w:firstLine="456" w:firstLineChars="200"/>
        <w:rPr>
          <w:rFonts w:ascii="宋体" w:hAnsi="宋体" w:eastAsia="宋体" w:cs="宋体"/>
          <w:spacing w:val="-2"/>
          <w:sz w:val="24"/>
          <w:szCs w:val="24"/>
        </w:rPr>
      </w:pPr>
      <w:r>
        <w:rPr>
          <w:rFonts w:hint="eastAsia" w:ascii="宋体" w:hAnsi="宋体" w:eastAsia="宋体" w:cs="宋体"/>
          <w:spacing w:val="-6"/>
          <w:sz w:val="24"/>
          <w:szCs w:val="24"/>
          <w:lang w:val="en-US" w:eastAsia="zh-CN"/>
        </w:rPr>
        <w:t>一年</w:t>
      </w:r>
      <w:r>
        <w:rPr>
          <w:rFonts w:hint="eastAsia" w:ascii="宋体" w:hAnsi="宋体" w:eastAsia="宋体" w:cs="宋体"/>
          <w:spacing w:val="-6"/>
          <w:sz w:val="24"/>
          <w:szCs w:val="24"/>
        </w:rPr>
        <w:t>合同期满后采购人有权根据考核结果确定是否续签合同，若中标人服务质量与投标承诺内容不相符或达不到采购需求，</w:t>
      </w:r>
      <w:r>
        <w:rPr>
          <w:rFonts w:ascii="宋体" w:hAnsi="宋体" w:eastAsia="宋体" w:cs="宋体"/>
          <w:spacing w:val="-2"/>
          <w:sz w:val="24"/>
          <w:szCs w:val="24"/>
        </w:rPr>
        <w:t>采购人有权终止合</w:t>
      </w:r>
      <w:r>
        <w:rPr>
          <w:rFonts w:ascii="宋体" w:hAnsi="宋体" w:eastAsia="宋体" w:cs="宋体"/>
          <w:spacing w:val="-3"/>
          <w:sz w:val="24"/>
          <w:szCs w:val="24"/>
        </w:rPr>
        <w:t>同，相关责任和</w:t>
      </w:r>
      <w:r>
        <w:rPr>
          <w:rFonts w:ascii="宋体" w:hAnsi="宋体" w:eastAsia="宋体" w:cs="宋体"/>
          <w:spacing w:val="-2"/>
          <w:sz w:val="24"/>
          <w:szCs w:val="24"/>
        </w:rPr>
        <w:t>损失由中标人承担。</w:t>
      </w:r>
    </w:p>
    <w:p w14:paraId="2159A8C8">
      <w:pPr>
        <w:numPr>
          <w:ilvl w:val="1"/>
          <w:numId w:val="3"/>
        </w:numPr>
        <w:spacing w:line="360" w:lineRule="auto"/>
        <w:ind w:firstLine="482" w:firstLineChars="200"/>
        <w:jc w:val="left"/>
        <w:rPr>
          <w:rFonts w:ascii="宋体" w:hAnsi="宋体"/>
          <w:sz w:val="24"/>
          <w:szCs w:val="24"/>
        </w:rPr>
      </w:pPr>
      <w:r>
        <w:rPr>
          <w:rFonts w:hint="eastAsia" w:ascii="宋体" w:hAnsi="宋体"/>
          <w:b/>
          <w:bCs/>
          <w:sz w:val="24"/>
          <w:szCs w:val="24"/>
        </w:rPr>
        <w:t>项目地点</w:t>
      </w:r>
      <w:r>
        <w:rPr>
          <w:rFonts w:hint="eastAsia" w:ascii="宋体" w:hAnsi="宋体"/>
          <w:sz w:val="24"/>
          <w:szCs w:val="24"/>
        </w:rPr>
        <w:t>：</w:t>
      </w:r>
      <w:r>
        <w:rPr>
          <w:rFonts w:hint="eastAsia" w:ascii="宋体" w:hAnsi="宋体" w:eastAsia="宋体" w:cs="Times New Roman"/>
          <w:sz w:val="24"/>
          <w:szCs w:val="24"/>
          <w:lang w:val="en-US" w:eastAsia="zh-CN"/>
        </w:rPr>
        <w:t>剑川县区域内</w:t>
      </w:r>
      <w:r>
        <w:rPr>
          <w:rFonts w:hint="eastAsia" w:ascii="宋体" w:hAnsi="宋体"/>
          <w:sz w:val="24"/>
          <w:szCs w:val="24"/>
          <w:lang w:val="en-US" w:eastAsia="zh-CN"/>
        </w:rPr>
        <w:t>（采购人指定的地点）</w:t>
      </w:r>
      <w:r>
        <w:rPr>
          <w:rFonts w:hint="eastAsia" w:ascii="宋体" w:hAnsi="宋体"/>
          <w:sz w:val="24"/>
          <w:szCs w:val="24"/>
          <w:lang w:eastAsia="zh-CN"/>
        </w:rPr>
        <w:t>。</w:t>
      </w:r>
    </w:p>
    <w:p w14:paraId="4D88D65E">
      <w:pPr>
        <w:numPr>
          <w:ilvl w:val="1"/>
          <w:numId w:val="3"/>
        </w:numPr>
        <w:spacing w:line="360" w:lineRule="auto"/>
        <w:ind w:firstLine="480" w:firstLineChars="200"/>
        <w:jc w:val="left"/>
        <w:rPr>
          <w:rFonts w:hint="eastAsia" w:ascii="宋体" w:hAnsi="宋体" w:eastAsia="宋体" w:cs="宋体"/>
          <w:spacing w:val="-2"/>
          <w:sz w:val="24"/>
          <w:szCs w:val="24"/>
        </w:rPr>
      </w:pPr>
      <w:r>
        <w:rPr>
          <w:rFonts w:hint="eastAsia" w:ascii="宋体" w:hAnsi="宋体" w:eastAsia="宋体" w:cs="宋体"/>
          <w:color w:val="auto"/>
          <w:sz w:val="24"/>
          <w:highlight w:val="none"/>
        </w:rPr>
        <w:t>★</w:t>
      </w:r>
      <w:r>
        <w:rPr>
          <w:rFonts w:hint="eastAsia" w:ascii="宋体" w:hAnsi="宋体"/>
          <w:b/>
          <w:bCs/>
          <w:sz w:val="24"/>
          <w:szCs w:val="24"/>
        </w:rPr>
        <w:t>质量</w:t>
      </w:r>
      <w:r>
        <w:rPr>
          <w:rFonts w:hint="eastAsia" w:ascii="宋体" w:hAnsi="宋体"/>
          <w:b/>
          <w:bCs/>
          <w:sz w:val="24"/>
          <w:szCs w:val="24"/>
          <w:lang w:val="en-US" w:eastAsia="zh-CN"/>
        </w:rPr>
        <w:t>要求</w:t>
      </w:r>
      <w:r>
        <w:rPr>
          <w:rFonts w:hint="eastAsia" w:ascii="宋体" w:hAnsi="宋体"/>
          <w:b/>
          <w:bCs/>
          <w:sz w:val="24"/>
          <w:szCs w:val="24"/>
        </w:rPr>
        <w:t>：</w:t>
      </w:r>
      <w:r>
        <w:rPr>
          <w:rFonts w:hint="eastAsia" w:ascii="宋体" w:hAnsi="宋体" w:eastAsia="宋体" w:cs="宋体"/>
          <w:spacing w:val="-6"/>
          <w:sz w:val="24"/>
          <w:szCs w:val="24"/>
          <w:lang w:val="en-US" w:eastAsia="zh-CN"/>
        </w:rPr>
        <w:t>系统改造后以及运营服务期内，出水稳定达到(GB16889-2008)标准排放。</w:t>
      </w:r>
    </w:p>
    <w:p w14:paraId="142504E9">
      <w:pPr>
        <w:numPr>
          <w:ilvl w:val="1"/>
          <w:numId w:val="3"/>
        </w:num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★本项目是否接受联合体投标：</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是  </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否。</w:t>
      </w:r>
    </w:p>
    <w:p w14:paraId="2BE4BE19">
      <w:pPr>
        <w:numPr>
          <w:ilvl w:val="0"/>
          <w:numId w:val="3"/>
        </w:numPr>
        <w:spacing w:line="360" w:lineRule="auto"/>
        <w:ind w:left="0" w:firstLine="420"/>
        <w:jc w:val="left"/>
        <w:rPr>
          <w:rFonts w:hint="eastAsia" w:ascii="宋体" w:hAnsi="宋体" w:eastAsia="宋体" w:cs="宋体"/>
          <w:b/>
          <w:bCs/>
          <w:color w:val="auto"/>
          <w:sz w:val="24"/>
          <w:highlight w:val="none"/>
        </w:rPr>
      </w:pPr>
      <w:bookmarkStart w:id="20" w:name="_Toc28359003"/>
      <w:bookmarkStart w:id="21" w:name="_Toc35393622"/>
      <w:bookmarkStart w:id="22" w:name="_Toc35393791"/>
      <w:bookmarkStart w:id="23" w:name="_Toc28359080"/>
      <w:r>
        <w:rPr>
          <w:rFonts w:hint="eastAsia" w:ascii="宋体" w:hAnsi="宋体" w:eastAsia="宋体" w:cs="宋体"/>
          <w:color w:val="auto"/>
          <w:sz w:val="24"/>
          <w:highlight w:val="none"/>
        </w:rPr>
        <w:t>★</w:t>
      </w:r>
      <w:r>
        <w:rPr>
          <w:rFonts w:hint="eastAsia" w:ascii="宋体" w:hAnsi="宋体" w:eastAsia="宋体" w:cs="宋体"/>
          <w:b/>
          <w:bCs/>
          <w:color w:val="auto"/>
          <w:sz w:val="24"/>
          <w:highlight w:val="none"/>
        </w:rPr>
        <w:t>供应商的资格要求（须同时满足）</w:t>
      </w:r>
      <w:bookmarkEnd w:id="20"/>
      <w:bookmarkEnd w:id="21"/>
      <w:bookmarkEnd w:id="22"/>
      <w:bookmarkEnd w:id="23"/>
    </w:p>
    <w:p w14:paraId="0CD9552D">
      <w:pPr>
        <w:numPr>
          <w:ilvl w:val="0"/>
          <w:numId w:val="0"/>
        </w:numPr>
        <w:spacing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满足《中华人民共和国政府采购法》第二十二条规定</w:t>
      </w:r>
      <w:r>
        <w:rPr>
          <w:rFonts w:hint="eastAsia" w:ascii="宋体" w:hAnsi="宋体" w:cs="宋体"/>
          <w:color w:val="auto"/>
          <w:sz w:val="24"/>
          <w:highlight w:val="none"/>
          <w:lang w:eastAsia="zh-CN"/>
        </w:rPr>
        <w:t>。</w:t>
      </w:r>
    </w:p>
    <w:p w14:paraId="42F10AE5">
      <w:pPr>
        <w:numPr>
          <w:ilvl w:val="0"/>
          <w:numId w:val="0"/>
        </w:numPr>
        <w:spacing w:line="360" w:lineRule="auto"/>
        <w:ind w:firstLine="480" w:firstLineChars="200"/>
        <w:jc w:val="left"/>
        <w:rPr>
          <w:rFonts w:hint="eastAsia" w:ascii="宋体" w:hAnsi="宋体" w:eastAsia="宋体" w:cs="宋体"/>
          <w:color w:val="auto"/>
          <w:sz w:val="24"/>
          <w:highlight w:val="none"/>
        </w:rPr>
      </w:pPr>
      <w:bookmarkStart w:id="24" w:name="_Toc28359004"/>
      <w:bookmarkStart w:id="25" w:name="_Toc28359081"/>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落实政府采购政策需满足的资格要求：</w:t>
      </w:r>
      <w:r>
        <w:rPr>
          <w:rFonts w:hint="eastAsia" w:ascii="宋体" w:hAnsi="宋体" w:eastAsia="宋体" w:cs="宋体"/>
          <w:b/>
          <w:bCs/>
          <w:color w:val="auto"/>
          <w:sz w:val="24"/>
          <w:highlight w:val="none"/>
          <w:lang w:eastAsia="zh-CN"/>
        </w:rPr>
        <w:t>本项目为非专门面向中小</w:t>
      </w:r>
      <w:r>
        <w:rPr>
          <w:rFonts w:hint="eastAsia" w:ascii="宋体" w:hAnsi="宋体" w:eastAsia="宋体" w:cs="宋体"/>
          <w:b/>
          <w:bCs/>
          <w:color w:val="auto"/>
          <w:sz w:val="24"/>
          <w:highlight w:val="none"/>
          <w:lang w:val="en-US" w:eastAsia="zh-CN"/>
        </w:rPr>
        <w:t>微</w:t>
      </w:r>
      <w:r>
        <w:rPr>
          <w:rFonts w:hint="eastAsia" w:ascii="宋体" w:hAnsi="宋体" w:eastAsia="宋体" w:cs="宋体"/>
          <w:b/>
          <w:bCs/>
          <w:color w:val="auto"/>
          <w:sz w:val="24"/>
          <w:highlight w:val="none"/>
          <w:lang w:eastAsia="zh-CN"/>
        </w:rPr>
        <w:t>企业采购项目,小微企业价格扣除优惠比例：10%</w:t>
      </w:r>
      <w:r>
        <w:rPr>
          <w:rFonts w:hint="eastAsia" w:ascii="宋体" w:hAnsi="宋体" w:cs="宋体"/>
          <w:b/>
          <w:bCs/>
          <w:color w:val="auto"/>
          <w:sz w:val="24"/>
          <w:highlight w:val="none"/>
          <w:lang w:val="en-US" w:eastAsia="zh-CN"/>
        </w:rPr>
        <w:t>。</w:t>
      </w:r>
    </w:p>
    <w:p w14:paraId="14450A11">
      <w:pPr>
        <w:numPr>
          <w:ilvl w:val="0"/>
          <w:numId w:val="0"/>
        </w:num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本项目的特定资格要求：</w:t>
      </w:r>
    </w:p>
    <w:p w14:paraId="38968017">
      <w:pPr>
        <w:numPr>
          <w:ilvl w:val="2"/>
          <w:numId w:val="3"/>
        </w:num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其他特定资格要求：</w:t>
      </w:r>
    </w:p>
    <w:p w14:paraId="735825F7">
      <w:pPr>
        <w:numPr>
          <w:ilvl w:val="0"/>
          <w:numId w:val="0"/>
        </w:numPr>
        <w:spacing w:line="360" w:lineRule="auto"/>
        <w:ind w:leftChars="200"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①</w:t>
      </w:r>
      <w:r>
        <w:rPr>
          <w:rFonts w:hint="eastAsia" w:ascii="宋体" w:hAnsi="宋体" w:eastAsia="宋体" w:cs="宋体"/>
          <w:color w:val="auto"/>
          <w:sz w:val="24"/>
          <w:highlight w:val="none"/>
          <w:lang w:eastAsia="zh-CN"/>
        </w:rPr>
        <w:t>信用信息查询</w:t>
      </w:r>
    </w:p>
    <w:p w14:paraId="1E75361A">
      <w:pPr>
        <w:numPr>
          <w:ilvl w:val="0"/>
          <w:numId w:val="0"/>
        </w:numPr>
        <w:spacing w:line="360" w:lineRule="auto"/>
        <w:ind w:leftChars="200"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信用信息查询渠道及截止时间：采购代理机构将在通过“信用中国”网站（www.creditchina.gov.cn）、中国政府采购网（www.ccgp.gov.cn）渠道查询供应商接受资格审查时的信用记录。</w:t>
      </w:r>
    </w:p>
    <w:p w14:paraId="67EDA7FF">
      <w:pPr>
        <w:numPr>
          <w:ilvl w:val="0"/>
          <w:numId w:val="0"/>
        </w:numPr>
        <w:spacing w:line="360" w:lineRule="auto"/>
        <w:ind w:leftChars="200"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信用信息查询记录和证据留存的具体方式：采购代理机构在“信用中国”网站（www.creditchina.gov.cn）对供应商进行失信被执行人、重大税收违法失信主体和政府采购严重违法失信行为记录名单的信用信息查询；在中国政府采购网（www.ccgp.gov.cn）对供应商进行“政府采购严重违法失信行为信息记录”的信用信息查询。查询的供应商信用记录、查询结果经确认后将与采购文件一起存档。</w:t>
      </w:r>
    </w:p>
    <w:p w14:paraId="01787C9B">
      <w:pPr>
        <w:numPr>
          <w:ilvl w:val="0"/>
          <w:numId w:val="0"/>
        </w:numPr>
        <w:spacing w:line="360" w:lineRule="auto"/>
        <w:ind w:leftChars="200"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信用信息的使用规则：经查询列入失信被执行人名单或者重大税收违法失信主体或者政府采购严重违法失信行为记录名单的供应商将被拒绝参与政府采购活动。</w:t>
      </w:r>
    </w:p>
    <w:p w14:paraId="0C357A2E">
      <w:pPr>
        <w:numPr>
          <w:ilvl w:val="0"/>
          <w:numId w:val="0"/>
        </w:numPr>
        <w:spacing w:line="360" w:lineRule="auto"/>
        <w:ind w:leftChars="200"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②根据《中华人民共和国政府采购法实施条例》第十八条规定，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bookmarkEnd w:id="24"/>
    <w:bookmarkEnd w:id="25"/>
    <w:p w14:paraId="7C479AEE">
      <w:pPr>
        <w:numPr>
          <w:ilvl w:val="0"/>
          <w:numId w:val="3"/>
        </w:numPr>
        <w:spacing w:line="360" w:lineRule="auto"/>
        <w:ind w:left="0" w:firstLine="420"/>
        <w:jc w:val="left"/>
        <w:rPr>
          <w:rFonts w:hint="eastAsia" w:ascii="宋体" w:hAnsi="宋体" w:eastAsia="宋体" w:cs="宋体"/>
          <w:b/>
          <w:bCs/>
          <w:color w:val="auto"/>
          <w:sz w:val="24"/>
          <w:highlight w:val="none"/>
        </w:rPr>
      </w:pPr>
      <w:bookmarkStart w:id="26" w:name="_Toc35393792"/>
      <w:bookmarkStart w:id="27" w:name="_Toc35393623"/>
      <w:r>
        <w:rPr>
          <w:rFonts w:hint="eastAsia" w:ascii="宋体" w:hAnsi="宋体" w:eastAsia="宋体" w:cs="宋体"/>
          <w:b/>
          <w:bCs/>
          <w:color w:val="auto"/>
          <w:sz w:val="24"/>
          <w:highlight w:val="none"/>
        </w:rPr>
        <w:t>获取招标文件</w:t>
      </w:r>
      <w:bookmarkEnd w:id="26"/>
      <w:bookmarkEnd w:id="27"/>
    </w:p>
    <w:p w14:paraId="334C94C5">
      <w:pPr>
        <w:kinsoku w:val="0"/>
        <w:overflowPunct w:val="0"/>
        <w:autoSpaceDE w:val="0"/>
        <w:autoSpaceDN w:val="0"/>
        <w:spacing w:line="360" w:lineRule="auto"/>
        <w:ind w:firstLine="482" w:firstLineChars="200"/>
        <w:jc w:val="left"/>
        <w:rPr>
          <w:rFonts w:hint="eastAsia" w:ascii="宋体" w:hAnsi="宋体" w:eastAsia="宋体" w:cs="宋体"/>
          <w:b/>
          <w:bCs/>
          <w:color w:val="000000"/>
          <w:sz w:val="24"/>
          <w:szCs w:val="32"/>
          <w:highlight w:val="none"/>
        </w:rPr>
      </w:pPr>
      <w:bookmarkStart w:id="28" w:name="_Toc28359005"/>
      <w:bookmarkStart w:id="29" w:name="_Toc28359082"/>
      <w:bookmarkStart w:id="30" w:name="_Toc35393624"/>
      <w:bookmarkStart w:id="31" w:name="_Toc35393793"/>
      <w:r>
        <w:rPr>
          <w:rFonts w:hint="eastAsia" w:ascii="宋体" w:hAnsi="宋体" w:eastAsia="宋体" w:cs="宋体"/>
          <w:b/>
          <w:bCs/>
          <w:color w:val="000000"/>
          <w:sz w:val="24"/>
          <w:szCs w:val="32"/>
          <w:highlight w:val="none"/>
        </w:rPr>
        <w:t>时间：20</w:t>
      </w:r>
      <w:r>
        <w:rPr>
          <w:rFonts w:hint="eastAsia" w:ascii="宋体" w:hAnsi="宋体" w:eastAsia="宋体" w:cs="宋体"/>
          <w:b/>
          <w:bCs/>
          <w:color w:val="000000"/>
          <w:sz w:val="24"/>
          <w:szCs w:val="32"/>
          <w:highlight w:val="none"/>
          <w:lang w:val="en-US" w:eastAsia="zh-CN"/>
        </w:rPr>
        <w:t>26</w:t>
      </w:r>
      <w:r>
        <w:rPr>
          <w:rFonts w:hint="eastAsia" w:ascii="宋体" w:hAnsi="宋体" w:eastAsia="宋体" w:cs="宋体"/>
          <w:b/>
          <w:bCs/>
          <w:color w:val="000000"/>
          <w:sz w:val="24"/>
          <w:szCs w:val="32"/>
          <w:highlight w:val="none"/>
        </w:rPr>
        <w:t>年</w:t>
      </w:r>
      <w:r>
        <w:rPr>
          <w:rFonts w:hint="eastAsia" w:ascii="宋体" w:hAnsi="宋体" w:eastAsia="宋体" w:cs="宋体"/>
          <w:b/>
          <w:bCs/>
          <w:color w:val="000000"/>
          <w:sz w:val="24"/>
          <w:szCs w:val="32"/>
          <w:highlight w:val="none"/>
          <w:lang w:val="en-US" w:eastAsia="zh-CN"/>
        </w:rPr>
        <w:t>08</w:t>
      </w:r>
      <w:r>
        <w:rPr>
          <w:rFonts w:hint="eastAsia" w:ascii="宋体" w:hAnsi="宋体" w:eastAsia="宋体" w:cs="宋体"/>
          <w:b/>
          <w:bCs/>
          <w:color w:val="000000"/>
          <w:sz w:val="24"/>
          <w:szCs w:val="32"/>
          <w:highlight w:val="none"/>
        </w:rPr>
        <w:t>月</w:t>
      </w:r>
      <w:r>
        <w:rPr>
          <w:rFonts w:hint="eastAsia" w:ascii="宋体" w:hAnsi="宋体" w:eastAsia="宋体" w:cs="宋体"/>
          <w:b/>
          <w:bCs/>
          <w:color w:val="000000"/>
          <w:sz w:val="24"/>
          <w:szCs w:val="32"/>
          <w:highlight w:val="none"/>
          <w:lang w:val="en-US" w:eastAsia="zh-CN"/>
        </w:rPr>
        <w:t>10</w:t>
      </w:r>
      <w:r>
        <w:rPr>
          <w:rFonts w:hint="eastAsia" w:ascii="宋体" w:hAnsi="宋体" w:eastAsia="宋体" w:cs="宋体"/>
          <w:b/>
          <w:bCs/>
          <w:color w:val="000000"/>
          <w:sz w:val="24"/>
          <w:szCs w:val="32"/>
          <w:highlight w:val="none"/>
        </w:rPr>
        <w:t>日至20</w:t>
      </w:r>
      <w:r>
        <w:rPr>
          <w:rFonts w:hint="eastAsia" w:ascii="宋体" w:hAnsi="宋体" w:eastAsia="宋体" w:cs="宋体"/>
          <w:b/>
          <w:bCs/>
          <w:color w:val="000000"/>
          <w:sz w:val="24"/>
          <w:szCs w:val="32"/>
          <w:highlight w:val="none"/>
          <w:lang w:val="en-US" w:eastAsia="zh-CN"/>
        </w:rPr>
        <w:t>26</w:t>
      </w:r>
      <w:r>
        <w:rPr>
          <w:rFonts w:hint="eastAsia" w:ascii="宋体" w:hAnsi="宋体" w:eastAsia="宋体" w:cs="宋体"/>
          <w:b/>
          <w:bCs/>
          <w:color w:val="000000"/>
          <w:sz w:val="24"/>
          <w:szCs w:val="32"/>
          <w:highlight w:val="none"/>
        </w:rPr>
        <w:t>年</w:t>
      </w:r>
      <w:r>
        <w:rPr>
          <w:rFonts w:hint="eastAsia" w:ascii="宋体" w:hAnsi="宋体" w:eastAsia="宋体" w:cs="宋体"/>
          <w:b/>
          <w:bCs/>
          <w:color w:val="000000"/>
          <w:sz w:val="24"/>
          <w:szCs w:val="32"/>
          <w:highlight w:val="none"/>
          <w:lang w:val="en-US" w:eastAsia="zh-CN"/>
        </w:rPr>
        <w:t>08</w:t>
      </w:r>
      <w:r>
        <w:rPr>
          <w:rFonts w:hint="eastAsia" w:ascii="宋体" w:hAnsi="宋体" w:eastAsia="宋体" w:cs="宋体"/>
          <w:b/>
          <w:bCs/>
          <w:color w:val="000000"/>
          <w:sz w:val="24"/>
          <w:szCs w:val="32"/>
          <w:highlight w:val="none"/>
        </w:rPr>
        <w:t>月</w:t>
      </w:r>
      <w:r>
        <w:rPr>
          <w:rFonts w:hint="eastAsia" w:ascii="宋体" w:hAnsi="宋体" w:eastAsia="宋体" w:cs="宋体"/>
          <w:b/>
          <w:bCs/>
          <w:color w:val="000000"/>
          <w:sz w:val="24"/>
          <w:szCs w:val="32"/>
          <w:highlight w:val="none"/>
          <w:lang w:val="en-US" w:eastAsia="zh-CN"/>
        </w:rPr>
        <w:t>1</w:t>
      </w:r>
      <w:r>
        <w:rPr>
          <w:rFonts w:hint="eastAsia" w:ascii="宋体" w:hAnsi="宋体" w:cs="宋体"/>
          <w:b/>
          <w:bCs/>
          <w:color w:val="000000"/>
          <w:sz w:val="24"/>
          <w:szCs w:val="32"/>
          <w:highlight w:val="none"/>
          <w:lang w:val="en-US" w:eastAsia="zh-CN"/>
        </w:rPr>
        <w:t>7</w:t>
      </w:r>
      <w:r>
        <w:rPr>
          <w:rFonts w:hint="eastAsia" w:ascii="宋体" w:hAnsi="宋体" w:eastAsia="宋体" w:cs="宋体"/>
          <w:b/>
          <w:bCs/>
          <w:color w:val="000000"/>
          <w:sz w:val="24"/>
          <w:szCs w:val="32"/>
          <w:highlight w:val="none"/>
        </w:rPr>
        <w:t>日（23:59），具体以网上时间为准。（北京时间，法定节假日除外）</w:t>
      </w:r>
    </w:p>
    <w:p w14:paraId="4F274918">
      <w:pPr>
        <w:numPr>
          <w:ilvl w:val="0"/>
          <w:numId w:val="0"/>
        </w:numPr>
        <w:spacing w:line="360" w:lineRule="auto"/>
        <w:ind w:left="420" w:leftChars="0"/>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地点：政采云平台（https://www.zcygov.cn/）</w:t>
      </w:r>
    </w:p>
    <w:p w14:paraId="3901F2A4">
      <w:pPr>
        <w:numPr>
          <w:ilvl w:val="0"/>
          <w:numId w:val="0"/>
        </w:numPr>
        <w:spacing w:line="360" w:lineRule="auto"/>
        <w:ind w:left="420" w:leftChars="0"/>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方式：1.凡有意参加投标者，须注册政采云平台账号并登录办理CA数字证书，CA申领链接：http://yzt.ynsmartcert.cn/cms/yztdlzbhj.html 或者https://middle.zcygov.cn/ca/apply/edit?certType=3云南壹证通CA可支持线上、线下两种办理方式，并提供7*24小时全天候客户服务支持，客服热线0871-67276028。（紧急CA办理电话：19988166369）。政府采购云平台支持多家CA服务商，供应商可自行选择办理。</w:t>
      </w:r>
    </w:p>
    <w:p w14:paraId="5DC697E9">
      <w:pPr>
        <w:numPr>
          <w:ilvl w:val="0"/>
          <w:numId w:val="0"/>
        </w:numPr>
        <w:spacing w:line="360" w:lineRule="auto"/>
        <w:ind w:left="420" w:leftChars="0"/>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2.CA数字证书申领完成之后进入政府采购云平台，企业账号与CA数字证书进行绑定，凭企业CA数字证书进行项目报名及免费下载招标文件。</w:t>
      </w:r>
    </w:p>
    <w:p w14:paraId="39DAE558">
      <w:pPr>
        <w:numPr>
          <w:ilvl w:val="0"/>
          <w:numId w:val="0"/>
        </w:numPr>
        <w:spacing w:line="360" w:lineRule="auto"/>
        <w:ind w:left="420" w:leftChars="0"/>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3.按上述要求获取文件的供应商视为已合法获取本项目招标文件，具备本项目的投标资格。</w:t>
      </w:r>
    </w:p>
    <w:p w14:paraId="7DEE6B9D">
      <w:pPr>
        <w:numPr>
          <w:ilvl w:val="0"/>
          <w:numId w:val="0"/>
        </w:numPr>
        <w:spacing w:line="360" w:lineRule="auto"/>
        <w:ind w:left="420" w:leftChars="0"/>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4.如有问题可拨打政采云客户服务热线：95763进行咨询，CA数字证书问题可咨询24小时技术支持热线：0871-67276028（紧急办理可拨：19988166369）</w:t>
      </w:r>
    </w:p>
    <w:p w14:paraId="31919165">
      <w:pPr>
        <w:numPr>
          <w:ilvl w:val="0"/>
          <w:numId w:val="0"/>
        </w:numPr>
        <w:spacing w:line="360" w:lineRule="auto"/>
        <w:ind w:left="420" w:leftChars="0"/>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注：供应商如之前已在云南 CA在线数字证书办理网进行过注册并办理过企业CA数字证书的，直接绑定即可，无需重复办理（2022年1月1日前在云南省公共资源交易平台办理过云南CA证书的需到原办理点进行升级后方可使用）。外省供应商在政采云平台办理的其他CA可直接使用，无需重复办理。</w:t>
      </w:r>
    </w:p>
    <w:p w14:paraId="6EC7D9B7">
      <w:pPr>
        <w:numPr>
          <w:ilvl w:val="0"/>
          <w:numId w:val="3"/>
        </w:numPr>
        <w:spacing w:line="360" w:lineRule="auto"/>
        <w:ind w:left="0" w:firstLine="42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提交投标文件</w:t>
      </w:r>
      <w:bookmarkEnd w:id="28"/>
      <w:bookmarkEnd w:id="29"/>
      <w:r>
        <w:rPr>
          <w:rFonts w:hint="eastAsia" w:ascii="宋体" w:hAnsi="宋体" w:eastAsia="宋体" w:cs="宋体"/>
          <w:b/>
          <w:bCs/>
          <w:color w:val="auto"/>
          <w:sz w:val="24"/>
          <w:highlight w:val="none"/>
        </w:rPr>
        <w:t>截止时间、开标时间和地点</w:t>
      </w:r>
      <w:bookmarkEnd w:id="30"/>
      <w:bookmarkEnd w:id="31"/>
    </w:p>
    <w:p w14:paraId="3289CD70">
      <w:pPr>
        <w:wordWrap w:val="0"/>
        <w:autoSpaceDE w:val="0"/>
        <w:autoSpaceDN w:val="0"/>
        <w:spacing w:line="360" w:lineRule="auto"/>
        <w:ind w:firstLine="482" w:firstLineChars="200"/>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时间：</w:t>
      </w:r>
      <w:r>
        <w:rPr>
          <w:rFonts w:hint="eastAsia" w:ascii="宋体" w:hAnsi="宋体" w:eastAsia="宋体" w:cs="宋体"/>
          <w:b/>
          <w:bCs/>
          <w:color w:val="auto"/>
          <w:sz w:val="24"/>
          <w:szCs w:val="32"/>
          <w:highlight w:val="none"/>
          <w:lang w:eastAsia="zh-CN"/>
        </w:rPr>
        <w:t>2026年</w:t>
      </w:r>
      <w:r>
        <w:rPr>
          <w:rFonts w:hint="eastAsia" w:ascii="宋体" w:hAnsi="宋体" w:eastAsia="宋体" w:cs="宋体"/>
          <w:b/>
          <w:bCs/>
          <w:color w:val="auto"/>
          <w:sz w:val="24"/>
          <w:szCs w:val="32"/>
          <w:highlight w:val="none"/>
          <w:lang w:val="en-US" w:eastAsia="zh-CN"/>
        </w:rPr>
        <w:t>09</w:t>
      </w:r>
      <w:r>
        <w:rPr>
          <w:rFonts w:hint="eastAsia" w:ascii="宋体" w:hAnsi="宋体" w:eastAsia="宋体" w:cs="宋体"/>
          <w:b/>
          <w:bCs/>
          <w:color w:val="auto"/>
          <w:sz w:val="24"/>
          <w:szCs w:val="32"/>
          <w:highlight w:val="none"/>
          <w:lang w:eastAsia="zh-CN"/>
        </w:rPr>
        <w:t>月</w:t>
      </w:r>
      <w:r>
        <w:rPr>
          <w:rFonts w:hint="eastAsia" w:ascii="宋体" w:hAnsi="宋体" w:eastAsia="宋体" w:cs="宋体"/>
          <w:b/>
          <w:bCs/>
          <w:color w:val="auto"/>
          <w:sz w:val="24"/>
          <w:szCs w:val="32"/>
          <w:highlight w:val="none"/>
          <w:lang w:val="en-US" w:eastAsia="zh-CN"/>
        </w:rPr>
        <w:t>01</w:t>
      </w:r>
      <w:r>
        <w:rPr>
          <w:rFonts w:hint="eastAsia" w:ascii="宋体" w:hAnsi="宋体" w:eastAsia="宋体" w:cs="宋体"/>
          <w:b/>
          <w:bCs/>
          <w:color w:val="auto"/>
          <w:sz w:val="24"/>
          <w:szCs w:val="32"/>
          <w:highlight w:val="none"/>
          <w:lang w:eastAsia="zh-CN"/>
        </w:rPr>
        <w:t>日</w:t>
      </w:r>
      <w:r>
        <w:rPr>
          <w:rFonts w:hint="eastAsia" w:ascii="宋体" w:hAnsi="宋体" w:eastAsia="宋体" w:cs="宋体"/>
          <w:b/>
          <w:bCs/>
          <w:color w:val="auto"/>
          <w:sz w:val="24"/>
          <w:szCs w:val="32"/>
          <w:highlight w:val="none"/>
          <w:lang w:val="en-US" w:eastAsia="zh-CN"/>
        </w:rPr>
        <w:t>09</w:t>
      </w:r>
      <w:r>
        <w:rPr>
          <w:rFonts w:hint="eastAsia" w:ascii="宋体" w:hAnsi="宋体" w:eastAsia="宋体" w:cs="宋体"/>
          <w:b/>
          <w:bCs/>
          <w:color w:val="auto"/>
          <w:sz w:val="24"/>
          <w:szCs w:val="32"/>
          <w:highlight w:val="none"/>
        </w:rPr>
        <w:t>点30分（北京时间）</w:t>
      </w:r>
    </w:p>
    <w:p w14:paraId="5D0EC68B">
      <w:pPr>
        <w:wordWrap w:val="0"/>
        <w:autoSpaceDE w:val="0"/>
        <w:autoSpaceDN w:val="0"/>
        <w:spacing w:line="360" w:lineRule="auto"/>
        <w:ind w:firstLine="482" w:firstLineChars="200"/>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地点：政采云平台开标厅和</w:t>
      </w:r>
      <w:r>
        <w:rPr>
          <w:rFonts w:hint="eastAsia" w:ascii="宋体" w:hAnsi="宋体" w:eastAsia="宋体" w:cs="宋体"/>
          <w:b/>
          <w:bCs/>
          <w:color w:val="auto"/>
          <w:sz w:val="24"/>
          <w:szCs w:val="32"/>
          <w:highlight w:val="none"/>
          <w:lang w:val="en-US" w:eastAsia="zh-CN"/>
        </w:rPr>
        <w:t>剑川县金华镇锦绣家园1号楼三楼</w:t>
      </w:r>
      <w:r>
        <w:rPr>
          <w:rFonts w:hint="eastAsia" w:ascii="宋体" w:hAnsi="宋体" w:eastAsia="宋体" w:cs="宋体"/>
          <w:b/>
          <w:bCs/>
          <w:color w:val="auto"/>
          <w:sz w:val="24"/>
          <w:szCs w:val="32"/>
          <w:highlight w:val="none"/>
        </w:rPr>
        <w:t>电子开标厅</w:t>
      </w:r>
    </w:p>
    <w:p w14:paraId="227C3E22">
      <w:pPr>
        <w:numPr>
          <w:ilvl w:val="0"/>
          <w:numId w:val="3"/>
        </w:numPr>
        <w:spacing w:line="360" w:lineRule="auto"/>
        <w:ind w:left="0" w:firstLine="420"/>
        <w:jc w:val="left"/>
        <w:rPr>
          <w:rFonts w:hint="eastAsia" w:ascii="宋体" w:hAnsi="宋体" w:eastAsia="宋体" w:cs="宋体"/>
          <w:b/>
          <w:bCs/>
          <w:color w:val="auto"/>
          <w:sz w:val="24"/>
          <w:szCs w:val="32"/>
          <w:highlight w:val="none"/>
        </w:rPr>
      </w:pPr>
      <w:bookmarkStart w:id="32" w:name="_Toc28359007"/>
      <w:bookmarkStart w:id="33" w:name="_Toc28359084"/>
      <w:bookmarkStart w:id="34" w:name="_Toc35393625"/>
      <w:bookmarkStart w:id="35" w:name="_Toc35393794"/>
      <w:r>
        <w:rPr>
          <w:rFonts w:hint="eastAsia" w:ascii="宋体" w:hAnsi="宋体" w:eastAsia="宋体" w:cs="宋体"/>
          <w:b/>
          <w:bCs/>
          <w:color w:val="auto"/>
          <w:sz w:val="24"/>
          <w:szCs w:val="32"/>
          <w:highlight w:val="none"/>
        </w:rPr>
        <w:t>公告期限</w:t>
      </w:r>
      <w:bookmarkEnd w:id="32"/>
      <w:bookmarkEnd w:id="33"/>
      <w:bookmarkEnd w:id="34"/>
      <w:bookmarkEnd w:id="35"/>
    </w:p>
    <w:p w14:paraId="6D4AB1A4">
      <w:pPr>
        <w:wordWrap w:val="0"/>
        <w:autoSpaceDE w:val="0"/>
        <w:autoSpaceDN w:val="0"/>
        <w:spacing w:line="360" w:lineRule="auto"/>
        <w:ind w:firstLine="480" w:firstLineChars="20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自本公告发布之日起5个工作日</w:t>
      </w:r>
      <w:r>
        <w:rPr>
          <w:rFonts w:hint="eastAsia" w:ascii="宋体" w:hAnsi="宋体" w:eastAsia="宋体" w:cs="宋体"/>
          <w:color w:val="000000"/>
          <w:sz w:val="24"/>
          <w:szCs w:val="32"/>
          <w:highlight w:val="none"/>
          <w:lang w:eastAsia="zh-CN"/>
        </w:rPr>
        <w:t>（20</w:t>
      </w:r>
      <w:r>
        <w:rPr>
          <w:rFonts w:hint="eastAsia" w:ascii="宋体" w:hAnsi="宋体" w:eastAsia="宋体" w:cs="宋体"/>
          <w:color w:val="000000"/>
          <w:sz w:val="24"/>
          <w:szCs w:val="32"/>
          <w:highlight w:val="none"/>
          <w:lang w:val="en-US" w:eastAsia="zh-CN"/>
        </w:rPr>
        <w:t>26</w:t>
      </w:r>
      <w:r>
        <w:rPr>
          <w:rFonts w:hint="eastAsia" w:ascii="宋体" w:hAnsi="宋体" w:eastAsia="宋体" w:cs="宋体"/>
          <w:color w:val="000000"/>
          <w:sz w:val="24"/>
          <w:szCs w:val="32"/>
          <w:highlight w:val="none"/>
          <w:lang w:eastAsia="zh-CN"/>
        </w:rPr>
        <w:t>年</w:t>
      </w:r>
      <w:r>
        <w:rPr>
          <w:rFonts w:hint="eastAsia" w:ascii="宋体" w:hAnsi="宋体" w:eastAsia="宋体" w:cs="宋体"/>
          <w:color w:val="000000"/>
          <w:sz w:val="24"/>
          <w:szCs w:val="32"/>
          <w:highlight w:val="none"/>
          <w:lang w:val="en-US" w:eastAsia="zh-CN"/>
        </w:rPr>
        <w:t>8</w:t>
      </w:r>
      <w:r>
        <w:rPr>
          <w:rFonts w:hint="eastAsia" w:ascii="宋体" w:hAnsi="宋体" w:eastAsia="宋体" w:cs="宋体"/>
          <w:color w:val="000000"/>
          <w:sz w:val="24"/>
          <w:szCs w:val="32"/>
          <w:highlight w:val="none"/>
          <w:lang w:eastAsia="zh-CN"/>
        </w:rPr>
        <w:t>月</w:t>
      </w:r>
      <w:r>
        <w:rPr>
          <w:rFonts w:hint="eastAsia" w:ascii="宋体" w:hAnsi="宋体" w:eastAsia="宋体" w:cs="宋体"/>
          <w:color w:val="000000"/>
          <w:sz w:val="24"/>
          <w:szCs w:val="32"/>
          <w:highlight w:val="none"/>
          <w:lang w:val="en-US" w:eastAsia="zh-CN"/>
        </w:rPr>
        <w:t>10</w:t>
      </w:r>
      <w:r>
        <w:rPr>
          <w:rFonts w:hint="eastAsia" w:ascii="宋体" w:hAnsi="宋体" w:eastAsia="宋体" w:cs="宋体"/>
          <w:color w:val="000000"/>
          <w:sz w:val="24"/>
          <w:szCs w:val="32"/>
          <w:highlight w:val="none"/>
          <w:lang w:eastAsia="zh-CN"/>
        </w:rPr>
        <w:t>日至20</w:t>
      </w:r>
      <w:r>
        <w:rPr>
          <w:rFonts w:hint="eastAsia" w:ascii="宋体" w:hAnsi="宋体" w:eastAsia="宋体" w:cs="宋体"/>
          <w:color w:val="000000"/>
          <w:sz w:val="24"/>
          <w:szCs w:val="32"/>
          <w:highlight w:val="none"/>
          <w:lang w:val="en-US" w:eastAsia="zh-CN"/>
        </w:rPr>
        <w:t>26</w:t>
      </w:r>
      <w:r>
        <w:rPr>
          <w:rFonts w:hint="eastAsia" w:ascii="宋体" w:hAnsi="宋体" w:eastAsia="宋体" w:cs="宋体"/>
          <w:color w:val="000000"/>
          <w:sz w:val="24"/>
          <w:szCs w:val="32"/>
          <w:highlight w:val="none"/>
          <w:lang w:eastAsia="zh-CN"/>
        </w:rPr>
        <w:t>年</w:t>
      </w:r>
      <w:r>
        <w:rPr>
          <w:rFonts w:hint="eastAsia" w:ascii="宋体" w:hAnsi="宋体" w:eastAsia="宋体" w:cs="宋体"/>
          <w:color w:val="000000"/>
          <w:sz w:val="24"/>
          <w:szCs w:val="32"/>
          <w:highlight w:val="none"/>
          <w:lang w:val="en-US" w:eastAsia="zh-CN"/>
        </w:rPr>
        <w:t>8</w:t>
      </w:r>
      <w:r>
        <w:rPr>
          <w:rFonts w:hint="eastAsia" w:ascii="宋体" w:hAnsi="宋体" w:eastAsia="宋体" w:cs="宋体"/>
          <w:color w:val="000000"/>
          <w:sz w:val="24"/>
          <w:szCs w:val="32"/>
          <w:highlight w:val="none"/>
          <w:lang w:eastAsia="zh-CN"/>
        </w:rPr>
        <w:t>月</w:t>
      </w:r>
      <w:r>
        <w:rPr>
          <w:rFonts w:hint="eastAsia" w:ascii="宋体" w:hAnsi="宋体" w:eastAsia="宋体" w:cs="宋体"/>
          <w:color w:val="000000"/>
          <w:sz w:val="24"/>
          <w:szCs w:val="32"/>
          <w:highlight w:val="none"/>
          <w:lang w:val="en-US" w:eastAsia="zh-CN"/>
        </w:rPr>
        <w:t>1</w:t>
      </w:r>
      <w:r>
        <w:rPr>
          <w:rFonts w:hint="eastAsia" w:ascii="宋体" w:hAnsi="宋体" w:cs="宋体"/>
          <w:color w:val="000000"/>
          <w:sz w:val="24"/>
          <w:szCs w:val="32"/>
          <w:highlight w:val="none"/>
          <w:lang w:val="en-US" w:eastAsia="zh-CN"/>
        </w:rPr>
        <w:t>7</w:t>
      </w:r>
      <w:r>
        <w:rPr>
          <w:rFonts w:hint="eastAsia" w:ascii="宋体" w:hAnsi="宋体" w:eastAsia="宋体" w:cs="宋体"/>
          <w:color w:val="000000"/>
          <w:sz w:val="24"/>
          <w:szCs w:val="32"/>
          <w:highlight w:val="none"/>
          <w:lang w:eastAsia="zh-CN"/>
        </w:rPr>
        <w:t>日）</w:t>
      </w:r>
      <w:r>
        <w:rPr>
          <w:rFonts w:hint="eastAsia" w:ascii="宋体" w:hAnsi="宋体" w:eastAsia="宋体" w:cs="宋体"/>
          <w:color w:val="000000"/>
          <w:sz w:val="24"/>
          <w:szCs w:val="32"/>
          <w:highlight w:val="none"/>
        </w:rPr>
        <w:t>。</w:t>
      </w:r>
    </w:p>
    <w:p w14:paraId="326F454E">
      <w:pPr>
        <w:numPr>
          <w:ilvl w:val="0"/>
          <w:numId w:val="3"/>
        </w:numPr>
        <w:spacing w:line="360" w:lineRule="auto"/>
        <w:ind w:left="0" w:firstLine="420"/>
        <w:jc w:val="left"/>
        <w:rPr>
          <w:rFonts w:hint="eastAsia" w:ascii="宋体" w:hAnsi="宋体" w:eastAsia="宋体" w:cs="宋体"/>
          <w:b/>
          <w:bCs/>
          <w:color w:val="auto"/>
          <w:sz w:val="24"/>
          <w:highlight w:val="none"/>
          <w:u w:val="single"/>
        </w:rPr>
      </w:pPr>
      <w:bookmarkStart w:id="36" w:name="_Toc35393626"/>
      <w:bookmarkStart w:id="37" w:name="_Toc35393795"/>
      <w:r>
        <w:rPr>
          <w:rFonts w:hint="eastAsia" w:ascii="宋体" w:hAnsi="宋体" w:eastAsia="宋体" w:cs="宋体"/>
          <w:b/>
          <w:bCs/>
          <w:color w:val="auto"/>
          <w:sz w:val="24"/>
          <w:highlight w:val="none"/>
        </w:rPr>
        <w:t>其他补充事宜</w:t>
      </w:r>
      <w:bookmarkEnd w:id="36"/>
      <w:bookmarkEnd w:id="37"/>
    </w:p>
    <w:p w14:paraId="27781F6B">
      <w:pPr>
        <w:numPr>
          <w:ilvl w:val="1"/>
          <w:numId w:val="3"/>
        </w:numPr>
        <w:spacing w:line="360" w:lineRule="auto"/>
        <w:ind w:firstLine="480" w:firstLineChars="200"/>
        <w:jc w:val="left"/>
        <w:rPr>
          <w:rFonts w:hint="eastAsia" w:ascii="宋体" w:hAnsi="宋体" w:eastAsia="宋体" w:cs="宋体"/>
          <w:color w:val="auto"/>
          <w:sz w:val="24"/>
          <w:szCs w:val="32"/>
          <w:highlight w:val="none"/>
        </w:rPr>
      </w:pPr>
      <w:r>
        <w:rPr>
          <w:rFonts w:hint="eastAsia" w:ascii="宋体" w:hAnsi="宋体" w:eastAsia="宋体" w:cs="宋体"/>
          <w:color w:val="auto"/>
          <w:sz w:val="24"/>
          <w:highlight w:val="none"/>
        </w:rPr>
        <w:t>开</w:t>
      </w:r>
      <w:r>
        <w:rPr>
          <w:rFonts w:hint="eastAsia" w:ascii="宋体" w:hAnsi="宋体" w:eastAsia="宋体" w:cs="宋体"/>
          <w:color w:val="auto"/>
          <w:sz w:val="24"/>
          <w:szCs w:val="32"/>
          <w:highlight w:val="none"/>
        </w:rPr>
        <w:t>标方式：网上开标</w:t>
      </w:r>
    </w:p>
    <w:p w14:paraId="22FDDB91">
      <w:pPr>
        <w:numPr>
          <w:ilvl w:val="1"/>
          <w:numId w:val="3"/>
        </w:numPr>
        <w:spacing w:line="360" w:lineRule="auto"/>
        <w:ind w:firstLine="480" w:firstLineChars="200"/>
        <w:jc w:val="left"/>
        <w:rPr>
          <w:rFonts w:hint="eastAsia" w:ascii="宋体" w:hAnsi="宋体" w:eastAsia="宋体" w:cs="宋体"/>
          <w:b w:val="0"/>
          <w:bCs w:val="0"/>
          <w:color w:val="auto"/>
          <w:sz w:val="24"/>
          <w:highlight w:val="none"/>
        </w:rPr>
      </w:pPr>
      <w:r>
        <w:rPr>
          <w:rFonts w:hint="eastAsia" w:ascii="宋体" w:hAnsi="宋体" w:eastAsia="宋体" w:cs="宋体"/>
          <w:color w:val="auto"/>
          <w:sz w:val="24"/>
          <w:szCs w:val="32"/>
          <w:highlight w:val="none"/>
        </w:rPr>
        <w:t>是否需要缴纳投标保证金：</w:t>
      </w:r>
      <w:r>
        <w:rPr>
          <w:rFonts w:hint="eastAsia" w:ascii="宋体" w:hAnsi="宋体" w:eastAsia="宋体" w:cs="宋体"/>
          <w:b/>
          <w:bCs/>
          <w:color w:val="auto"/>
          <w:sz w:val="24"/>
          <w:szCs w:val="32"/>
          <w:highlight w:val="none"/>
          <w:lang w:val="en-US" w:eastAsia="zh-CN"/>
        </w:rPr>
        <w:t>否</w:t>
      </w:r>
    </w:p>
    <w:p w14:paraId="5343FAB8">
      <w:pPr>
        <w:numPr>
          <w:ilvl w:val="1"/>
          <w:numId w:val="3"/>
        </w:numPr>
        <w:spacing w:line="360" w:lineRule="auto"/>
        <w:ind w:firstLine="480" w:firstLineChars="200"/>
        <w:jc w:val="left"/>
        <w:rPr>
          <w:rFonts w:hint="eastAsia" w:ascii="宋体" w:hAnsi="宋体" w:eastAsia="宋体" w:cs="宋体"/>
          <w:b w:val="0"/>
          <w:bCs w:val="0"/>
          <w:color w:val="auto"/>
          <w:sz w:val="24"/>
          <w:highlight w:val="none"/>
        </w:rPr>
      </w:pPr>
      <w:r>
        <w:rPr>
          <w:rFonts w:hint="eastAsia" w:ascii="宋体" w:hAnsi="宋体" w:eastAsia="宋体" w:cs="宋体"/>
          <w:color w:val="auto"/>
          <w:sz w:val="24"/>
          <w:highlight w:val="none"/>
        </w:rPr>
        <w:t>投标有效期：</w:t>
      </w:r>
      <w:r>
        <w:rPr>
          <w:rFonts w:hint="eastAsia" w:ascii="宋体" w:hAnsi="宋体" w:eastAsia="宋体" w:cs="宋体"/>
          <w:b w:val="0"/>
          <w:bCs w:val="0"/>
          <w:color w:val="auto"/>
          <w:sz w:val="24"/>
          <w:highlight w:val="none"/>
        </w:rPr>
        <w:t>递交投标文件截止之日起90日历天</w:t>
      </w:r>
    </w:p>
    <w:p w14:paraId="16B7C9CE">
      <w:pPr>
        <w:numPr>
          <w:ilvl w:val="1"/>
          <w:numId w:val="3"/>
        </w:num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其他：</w:t>
      </w:r>
    </w:p>
    <w:p w14:paraId="48C583B8">
      <w:pPr>
        <w:numPr>
          <w:ilvl w:val="2"/>
          <w:numId w:val="3"/>
        </w:numPr>
        <w:kinsoku w:val="0"/>
        <w:overflowPunct w:val="0"/>
        <w:autoSpaceDE w:val="0"/>
        <w:autoSpaceDN w:val="0"/>
        <w:adjustRightInd w:val="0"/>
        <w:snapToGrid w:val="0"/>
        <w:spacing w:line="360" w:lineRule="auto"/>
        <w:ind w:firstLine="480" w:firstLineChars="200"/>
        <w:jc w:val="lef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本次招标公告、中标结果公告在云南省政府采购网（http://www.ccgp-yunnan.gov.cn/）、政采云平台（https://www.zcygov.cn/），公告内容和时间以云南省政府采购网发布的信息为准，采购人及代理公司对其他网站或媒体转载的公告及内容概不负责。</w:t>
      </w:r>
    </w:p>
    <w:p w14:paraId="2FC221B5">
      <w:pPr>
        <w:numPr>
          <w:ilvl w:val="2"/>
          <w:numId w:val="3"/>
        </w:numPr>
        <w:spacing w:line="360" w:lineRule="auto"/>
        <w:ind w:left="0" w:firstLine="42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本项目需要落实的政府采购政策：</w:t>
      </w:r>
      <w:r>
        <w:rPr>
          <w:rFonts w:hint="eastAsia" w:ascii="宋体" w:hAnsi="宋体" w:eastAsia="宋体" w:cs="宋体"/>
          <w:b/>
          <w:bCs/>
          <w:color w:val="auto"/>
          <w:sz w:val="24"/>
          <w:highlight w:val="none"/>
          <w:u w:val="single"/>
        </w:rPr>
        <w:t>本项目为非专门面向中小微企业采购。</w:t>
      </w:r>
    </w:p>
    <w:p w14:paraId="7D363CCF">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扶持中小企业政策：评审时</w:t>
      </w:r>
      <w:r>
        <w:rPr>
          <w:rFonts w:hint="eastAsia" w:ascii="宋体" w:hAnsi="宋体" w:eastAsia="宋体" w:cs="宋体"/>
          <w:color w:val="auto"/>
          <w:sz w:val="24"/>
          <w:highlight w:val="none"/>
          <w:lang w:eastAsia="zh-CN"/>
        </w:rPr>
        <w:t>对小</w:t>
      </w:r>
      <w:r>
        <w:rPr>
          <w:rFonts w:hint="eastAsia" w:ascii="宋体" w:hAnsi="宋体" w:eastAsia="宋体" w:cs="宋体"/>
          <w:color w:val="auto"/>
          <w:sz w:val="24"/>
          <w:highlight w:val="none"/>
        </w:rPr>
        <w:t>型、微型企业提供的产品（提供本企业制造的货物、承担的服务，或者提供其他中小企业制造的货物）价格给予相应的扣除。监狱企业、残疾人福利性单位视同小型和微型企业，其产品在评审时给予相同的价格扣除。执行政策文件：《中华人民共和国中小企业促进法》《政府采购促进中小企业发展管理办法》（财库〔2020〕46号）、《财政部司法部关于政府采购支持监狱企业发展有关问题的通知》（财库〔2014〕68号）、《财政部民政部中国残疾人联合会关于促进残疾人就业政府采购政策的通知》（财库〔2017〕141号）、《关于进一步加大政府采购支持中小企业力度的通知》（财库〔2022〕19号）、《云南省进一步帮扶中小微企业纾困发展工作方案》（云政办发〔2022〕42号）。</w:t>
      </w:r>
    </w:p>
    <w:p w14:paraId="1347DB27">
      <w:pPr>
        <w:numPr>
          <w:ilvl w:val="2"/>
          <w:numId w:val="3"/>
        </w:numPr>
        <w:spacing w:line="360" w:lineRule="auto"/>
        <w:ind w:firstLine="480" w:firstLineChars="20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本项目采用全流程电子化采购方式，请供应商认真学习云南省省级政府采购电子交易平台发布的相关操作手册（供应商可在交易平台下载相关手册），办理CA数字证书、进行云南省省级政府采购电子交易平台注册绑定，并认真核实CA数字证书确认是否符合本项目电子化采购流程要求。 </w:t>
      </w:r>
    </w:p>
    <w:p w14:paraId="6A3CE43C">
      <w:pPr>
        <w:spacing w:line="360" w:lineRule="auto"/>
        <w:ind w:firstLine="480" w:firstLineChars="2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CA数字证书服务热线 </w:t>
      </w:r>
    </w:p>
    <w:p w14:paraId="50CA0A3B">
      <w:pPr>
        <w:spacing w:line="360" w:lineRule="auto"/>
        <w:ind w:firstLine="480" w:firstLineChars="2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汇信CA：0571-88350735</w:t>
      </w:r>
    </w:p>
    <w:p w14:paraId="24D73E21">
      <w:pPr>
        <w:spacing w:line="360" w:lineRule="auto"/>
        <w:ind w:firstLine="480" w:firstLineChars="2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云南CA:4006727666</w:t>
      </w:r>
    </w:p>
    <w:p w14:paraId="56CE402F">
      <w:pPr>
        <w:spacing w:line="360" w:lineRule="auto"/>
        <w:ind w:firstLine="480" w:firstLineChars="2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云南壹证通：4000040628</w:t>
      </w:r>
    </w:p>
    <w:p w14:paraId="3A411C38">
      <w:pPr>
        <w:spacing w:line="360" w:lineRule="auto"/>
        <w:ind w:firstLine="480" w:firstLineChars="2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福建CA：0591-87760022</w:t>
      </w:r>
    </w:p>
    <w:p w14:paraId="1C5FC78F">
      <w:pPr>
        <w:numPr>
          <w:ilvl w:val="2"/>
          <w:numId w:val="3"/>
        </w:numPr>
        <w:spacing w:line="360" w:lineRule="auto"/>
        <w:ind w:firstLine="480" w:firstLineChars="20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办理CA 数字证书供应商登录云南省省级政府采购电子交易平台查阅操作指南—入驻与配置—CA管理。使用操作指南，按照程序要求办理。 </w:t>
      </w:r>
    </w:p>
    <w:p w14:paraId="6557626C">
      <w:pPr>
        <w:numPr>
          <w:ilvl w:val="2"/>
          <w:numId w:val="3"/>
        </w:numPr>
        <w:spacing w:line="360" w:lineRule="auto"/>
        <w:ind w:firstLine="480" w:firstLineChars="200"/>
        <w:jc w:val="left"/>
        <w:rPr>
          <w:rFonts w:hint="eastAsia" w:ascii="宋体" w:hAnsi="宋体" w:eastAsia="宋体" w:cs="宋体"/>
          <w:color w:val="auto"/>
          <w:sz w:val="24"/>
          <w:szCs w:val="32"/>
          <w:highlight w:val="none"/>
        </w:rPr>
      </w:pPr>
      <w:r>
        <w:rPr>
          <w:rFonts w:hint="eastAsia" w:ascii="宋体" w:hAnsi="宋体" w:eastAsia="宋体" w:cs="宋体"/>
          <w:color w:val="auto"/>
          <w:sz w:val="24"/>
          <w:highlight w:val="none"/>
          <w:lang w:bidi="ar"/>
        </w:rPr>
        <w:t>注册供应商登录云南省省级政府采购电子交易平台操作指南—入驻与配置—云南省供应商注册入驻与配置。注册入库操作流程指引进行自助注册绑定。</w:t>
      </w:r>
    </w:p>
    <w:p w14:paraId="3C187BF6">
      <w:pPr>
        <w:numPr>
          <w:ilvl w:val="2"/>
          <w:numId w:val="3"/>
        </w:numPr>
        <w:kinsoku w:val="0"/>
        <w:overflowPunct w:val="0"/>
        <w:autoSpaceDE w:val="0"/>
        <w:autoSpaceDN w:val="0"/>
        <w:spacing w:line="360" w:lineRule="auto"/>
        <w:ind w:firstLine="480" w:firstLineChars="200"/>
        <w:jc w:val="left"/>
        <w:rPr>
          <w:rFonts w:hint="eastAsia" w:ascii="宋体" w:hAnsi="宋体" w:eastAsia="宋体" w:cs="宋体"/>
          <w:color w:val="auto"/>
          <w:sz w:val="24"/>
          <w:highlight w:val="none"/>
          <w:lang w:bidi="ar"/>
        </w:rPr>
      </w:pPr>
      <w:r>
        <w:rPr>
          <w:rFonts w:hint="eastAsia" w:ascii="宋体" w:hAnsi="宋体" w:eastAsia="宋体" w:cs="宋体"/>
          <w:color w:val="auto"/>
          <w:sz w:val="24"/>
          <w:szCs w:val="32"/>
          <w:highlight w:val="none"/>
        </w:rPr>
        <w:t>驱动、客户端下载供应商登录云南省省级政府采购电子交易平台—我的工作台-CA管理—给当前账号绑定CA—选择对应CA—下载驱动—客户端&amp;驱动下载。下载相关驱动及客户端。相关驱动及客户端网址 （https://customer.zcygov.cn/CA-driver-download?utm=web-ca-front.3ddc8fbb.0.0.6389de80d15111ee8160d911f316cf0d）</w:t>
      </w:r>
    </w:p>
    <w:p w14:paraId="2557A598">
      <w:pPr>
        <w:numPr>
          <w:ilvl w:val="2"/>
          <w:numId w:val="3"/>
        </w:numPr>
        <w:kinsoku w:val="0"/>
        <w:overflowPunct w:val="0"/>
        <w:autoSpaceDE w:val="0"/>
        <w:autoSpaceDN w:val="0"/>
        <w:spacing w:line="360" w:lineRule="auto"/>
        <w:ind w:firstLine="480" w:firstLineChars="20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获取电子招标文件供应商使用账号密码或CA数字证书登录相关驱动及客户端获取电子招标文件。供应商如计划参与多个采购包的投标，在获取采购文件详情页面，在意向标段（包）栏目依次选择对应采购包，提交申请即可。未在规定期限内按上述操作获取文件的采购包，供应商无法提交相应包的电子投标文件。 </w:t>
      </w:r>
    </w:p>
    <w:p w14:paraId="6D1F04E3">
      <w:pPr>
        <w:numPr>
          <w:ilvl w:val="2"/>
          <w:numId w:val="3"/>
        </w:numPr>
        <w:kinsoku w:val="0"/>
        <w:overflowPunct w:val="0"/>
        <w:autoSpaceDE w:val="0"/>
        <w:autoSpaceDN w:val="0"/>
        <w:spacing w:line="360" w:lineRule="auto"/>
        <w:ind w:firstLine="480" w:firstLineChars="20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编制电子投标文件供应商应使用电子投标客户端编制电子投标文件并进行线上投标，供应商电子投标文件需要加密并加盖电子签章，如无法按照要求在电子投标文件中加盖电子签章和加密，请及时通过技术支持服务热线联系技术人员。 </w:t>
      </w:r>
    </w:p>
    <w:p w14:paraId="3970EA3D">
      <w:pPr>
        <w:numPr>
          <w:ilvl w:val="2"/>
          <w:numId w:val="3"/>
        </w:numPr>
        <w:kinsoku w:val="0"/>
        <w:overflowPunct w:val="0"/>
        <w:autoSpaceDE w:val="0"/>
        <w:autoSpaceDN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提交电子投标文件供应商应于投标截止时间前在政府采购电子交易平台提交电子投标文件，上传电子投标文件过程中请保持与互联网的连接畅通。 </w:t>
      </w:r>
    </w:p>
    <w:p w14:paraId="7BDA3BEF">
      <w:pPr>
        <w:numPr>
          <w:ilvl w:val="2"/>
          <w:numId w:val="3"/>
        </w:numPr>
        <w:kinsoku w:val="0"/>
        <w:overflowPunct w:val="0"/>
        <w:autoSpaceDE w:val="0"/>
        <w:autoSpaceDN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电子开标供应商在开标地点使用账号密码或CA数字证书登录云南省省级政府采购电子交易平台进行电子开标。</w:t>
      </w:r>
    </w:p>
    <w:p w14:paraId="1D8E8CAA">
      <w:pPr>
        <w:numPr>
          <w:ilvl w:val="0"/>
          <w:numId w:val="3"/>
        </w:numPr>
        <w:spacing w:line="360" w:lineRule="auto"/>
        <w:ind w:left="0" w:firstLine="420"/>
        <w:jc w:val="left"/>
        <w:rPr>
          <w:rFonts w:hint="eastAsia" w:ascii="宋体" w:hAnsi="宋体" w:eastAsia="宋体" w:cs="宋体"/>
          <w:color w:val="auto"/>
          <w:sz w:val="24"/>
          <w:highlight w:val="none"/>
        </w:rPr>
      </w:pPr>
      <w:bookmarkStart w:id="38" w:name="_Toc28359008"/>
      <w:bookmarkStart w:id="39" w:name="_Toc35393627"/>
      <w:bookmarkStart w:id="40" w:name="_Toc28359085"/>
      <w:bookmarkStart w:id="41" w:name="_Toc35393796"/>
      <w:r>
        <w:rPr>
          <w:rFonts w:hint="eastAsia" w:ascii="宋体" w:hAnsi="宋体" w:eastAsia="宋体" w:cs="宋体"/>
          <w:color w:val="auto"/>
          <w:sz w:val="24"/>
          <w:highlight w:val="none"/>
        </w:rPr>
        <w:t>对本次招标提出询问，请按以下方式联系。</w:t>
      </w:r>
      <w:bookmarkEnd w:id="38"/>
      <w:bookmarkEnd w:id="39"/>
      <w:bookmarkEnd w:id="40"/>
      <w:bookmarkEnd w:id="41"/>
    </w:p>
    <w:p w14:paraId="5D5294B8">
      <w:pPr>
        <w:numPr>
          <w:ilvl w:val="1"/>
          <w:numId w:val="3"/>
        </w:numPr>
        <w:spacing w:line="360" w:lineRule="auto"/>
        <w:ind w:firstLine="480" w:firstLineChars="200"/>
        <w:jc w:val="lef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采购人信息</w:t>
      </w:r>
    </w:p>
    <w:p w14:paraId="6BE451F4">
      <w:pPr>
        <w:spacing w:line="360" w:lineRule="auto"/>
        <w:ind w:firstLine="480" w:firstLineChars="200"/>
        <w:jc w:val="left"/>
        <w:rPr>
          <w:rFonts w:hint="eastAsia" w:ascii="宋体" w:hAnsi="宋体" w:eastAsia="宋体" w:cs="宋体"/>
          <w:color w:val="auto"/>
          <w:sz w:val="24"/>
          <w:szCs w:val="32"/>
          <w:highlight w:val="none"/>
          <w:lang w:val="en-US" w:eastAsia="zh-CN"/>
        </w:rPr>
      </w:pPr>
      <w:bookmarkStart w:id="42" w:name="_Toc28359009"/>
      <w:bookmarkStart w:id="43" w:name="_Toc28359086"/>
      <w:r>
        <w:rPr>
          <w:rFonts w:hint="eastAsia" w:ascii="宋体" w:hAnsi="宋体" w:eastAsia="宋体" w:cs="宋体"/>
          <w:color w:val="auto"/>
          <w:sz w:val="24"/>
          <w:szCs w:val="32"/>
          <w:highlight w:val="none"/>
        </w:rPr>
        <w:t>名    称：</w:t>
      </w:r>
      <w:r>
        <w:rPr>
          <w:rFonts w:hint="eastAsia" w:ascii="宋体" w:hAnsi="宋体" w:eastAsia="宋体" w:cs="宋体"/>
          <w:color w:val="auto"/>
          <w:sz w:val="24"/>
          <w:szCs w:val="32"/>
          <w:highlight w:val="none"/>
          <w:lang w:eastAsia="zh-CN"/>
        </w:rPr>
        <w:t>剑川县</w:t>
      </w:r>
      <w:r>
        <w:rPr>
          <w:rFonts w:hint="eastAsia" w:ascii="宋体" w:hAnsi="宋体" w:eastAsia="宋体" w:cs="宋体"/>
          <w:color w:val="auto"/>
          <w:sz w:val="24"/>
          <w:szCs w:val="32"/>
          <w:highlight w:val="none"/>
          <w:lang w:val="en-US" w:eastAsia="zh-CN"/>
        </w:rPr>
        <w:t>住房和城乡建设局</w:t>
      </w:r>
    </w:p>
    <w:p w14:paraId="3715C94D">
      <w:pPr>
        <w:spacing w:line="360" w:lineRule="auto"/>
        <w:ind w:firstLine="480" w:firstLineChars="200"/>
        <w:jc w:val="left"/>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地</w:t>
      </w:r>
      <w:r>
        <w:rPr>
          <w:rFonts w:hint="eastAsia" w:ascii="宋体" w:hAnsi="宋体" w:eastAsia="宋体" w:cs="宋体"/>
          <w:color w:val="auto"/>
          <w:sz w:val="24"/>
          <w:szCs w:val="32"/>
          <w:highlight w:val="none"/>
          <w:lang w:val="en-US" w:eastAsia="zh-CN"/>
        </w:rPr>
        <w:t xml:space="preserve">    </w:t>
      </w:r>
      <w:r>
        <w:rPr>
          <w:rFonts w:hint="eastAsia" w:ascii="宋体" w:hAnsi="宋体" w:eastAsia="宋体" w:cs="宋体"/>
          <w:color w:val="auto"/>
          <w:sz w:val="24"/>
          <w:szCs w:val="32"/>
          <w:highlight w:val="none"/>
        </w:rPr>
        <w:t>址：</w:t>
      </w:r>
      <w:r>
        <w:rPr>
          <w:rFonts w:ascii="宋体" w:hAnsi="宋体" w:eastAsia="宋体" w:cs="宋体"/>
          <w:spacing w:val="-1"/>
          <w:sz w:val="24"/>
          <w:szCs w:val="24"/>
        </w:rPr>
        <w:t>剑川县西双龙巷与剑阳街交叉口东北</w:t>
      </w:r>
      <w:r>
        <w:rPr>
          <w:rFonts w:ascii="宋体" w:hAnsi="宋体" w:eastAsia="宋体" w:cs="宋体"/>
          <w:spacing w:val="-48"/>
          <w:sz w:val="24"/>
          <w:szCs w:val="24"/>
        </w:rPr>
        <w:t xml:space="preserve"> </w:t>
      </w:r>
      <w:r>
        <w:rPr>
          <w:rFonts w:ascii="Times New Roman" w:hAnsi="Times New Roman" w:eastAsia="Times New Roman" w:cs="Times New Roman"/>
          <w:spacing w:val="-1"/>
          <w:sz w:val="24"/>
          <w:szCs w:val="24"/>
        </w:rPr>
        <w:t>60</w:t>
      </w:r>
      <w:r>
        <w:rPr>
          <w:rFonts w:ascii="宋体" w:hAnsi="宋体" w:eastAsia="宋体" w:cs="宋体"/>
          <w:spacing w:val="-1"/>
          <w:sz w:val="24"/>
          <w:szCs w:val="24"/>
        </w:rPr>
        <w:t>米</w:t>
      </w:r>
    </w:p>
    <w:p w14:paraId="01C2DC83">
      <w:pPr>
        <w:spacing w:line="360" w:lineRule="auto"/>
        <w:ind w:firstLine="480" w:firstLineChars="200"/>
        <w:jc w:val="lef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联系</w:t>
      </w:r>
      <w:r>
        <w:rPr>
          <w:rFonts w:hint="eastAsia" w:ascii="宋体" w:hAnsi="宋体" w:eastAsia="宋体" w:cs="宋体"/>
          <w:color w:val="auto"/>
          <w:sz w:val="24"/>
          <w:szCs w:val="32"/>
          <w:highlight w:val="none"/>
          <w:lang w:val="en-US" w:eastAsia="zh-CN"/>
        </w:rPr>
        <w:t>方式</w:t>
      </w:r>
      <w:r>
        <w:rPr>
          <w:rFonts w:hint="eastAsia" w:ascii="宋体" w:hAnsi="宋体" w:eastAsia="宋体" w:cs="宋体"/>
          <w:color w:val="auto"/>
          <w:sz w:val="24"/>
          <w:szCs w:val="32"/>
          <w:highlight w:val="none"/>
        </w:rPr>
        <w:t>：</w:t>
      </w:r>
      <w:r>
        <w:rPr>
          <w:rFonts w:hint="eastAsia" w:ascii="宋体" w:hAnsi="宋体" w:eastAsia="宋体" w:cs="宋体"/>
          <w:spacing w:val="-3"/>
          <w:sz w:val="24"/>
          <w:szCs w:val="24"/>
          <w:lang w:val="en-US" w:eastAsia="zh-CN"/>
        </w:rPr>
        <w:t>13987255451</w:t>
      </w:r>
    </w:p>
    <w:p w14:paraId="660DF053">
      <w:pPr>
        <w:numPr>
          <w:ilvl w:val="1"/>
          <w:numId w:val="3"/>
        </w:numPr>
        <w:spacing w:line="360" w:lineRule="auto"/>
        <w:ind w:firstLine="480" w:firstLineChars="200"/>
        <w:jc w:val="lef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采购代理机构信息</w:t>
      </w:r>
      <w:bookmarkEnd w:id="42"/>
      <w:bookmarkEnd w:id="43"/>
    </w:p>
    <w:p w14:paraId="7B917ADC">
      <w:pPr>
        <w:spacing w:line="360" w:lineRule="auto"/>
        <w:ind w:firstLine="480" w:firstLineChars="200"/>
        <w:jc w:val="left"/>
        <w:rPr>
          <w:rFonts w:hint="default"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名  称：剑川县众森工程咨询有限公司</w:t>
      </w:r>
    </w:p>
    <w:p w14:paraId="3464E3A6">
      <w:pPr>
        <w:spacing w:line="360" w:lineRule="auto"/>
        <w:ind w:firstLine="480" w:firstLineChars="200"/>
        <w:jc w:val="left"/>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地　址：</w:t>
      </w:r>
      <w:r>
        <w:rPr>
          <w:rFonts w:hint="eastAsia" w:ascii="宋体" w:hAnsi="宋体" w:eastAsia="宋体" w:cs="宋体"/>
          <w:spacing w:val="-1"/>
          <w:sz w:val="24"/>
          <w:szCs w:val="24"/>
          <w:lang w:val="en-US" w:eastAsia="zh-CN"/>
        </w:rPr>
        <w:t>剑川县金华镇文献街锦绣佳园1号楼4楼</w:t>
      </w:r>
    </w:p>
    <w:p w14:paraId="0C02D8B5">
      <w:pPr>
        <w:spacing w:line="360" w:lineRule="auto"/>
        <w:ind w:firstLine="480" w:firstLineChars="200"/>
        <w:jc w:val="left"/>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联系方式：</w:t>
      </w:r>
      <w:r>
        <w:rPr>
          <w:rFonts w:hint="eastAsia" w:ascii="宋体"/>
          <w:bCs/>
          <w:spacing w:val="10"/>
          <w:sz w:val="24"/>
          <w:szCs w:val="24"/>
          <w:lang w:val="en-US" w:eastAsia="zh-CN"/>
        </w:rPr>
        <w:t>15393949440、17387261854、15368311491</w:t>
      </w:r>
    </w:p>
    <w:p w14:paraId="5F9D1D19">
      <w:pPr>
        <w:spacing w:line="360" w:lineRule="auto"/>
        <w:ind w:firstLine="480" w:firstLineChars="200"/>
        <w:jc w:val="left"/>
        <w:rPr>
          <w:rFonts w:hint="eastAsia" w:ascii="宋体" w:hAnsi="宋体" w:eastAsia="宋体" w:cs="宋体"/>
          <w:color w:val="auto"/>
          <w:sz w:val="24"/>
          <w:szCs w:val="32"/>
          <w:highlight w:val="none"/>
          <w:lang w:val="en-US" w:eastAsia="zh-CN"/>
        </w:rPr>
      </w:pPr>
      <w:bookmarkStart w:id="44" w:name="_Toc12131"/>
      <w:r>
        <w:rPr>
          <w:rFonts w:hint="eastAsia" w:ascii="宋体" w:hAnsi="宋体" w:eastAsia="宋体" w:cs="宋体"/>
          <w:color w:val="auto"/>
          <w:sz w:val="24"/>
          <w:szCs w:val="32"/>
          <w:highlight w:val="none"/>
          <w:lang w:val="en-US" w:eastAsia="zh-CN"/>
        </w:rPr>
        <w:t>3、项目联系方式</w:t>
      </w:r>
      <w:bookmarkEnd w:id="44"/>
    </w:p>
    <w:p w14:paraId="24296A1F">
      <w:pPr>
        <w:spacing w:line="360" w:lineRule="auto"/>
        <w:ind w:firstLine="480" w:firstLineChars="200"/>
        <w:jc w:val="left"/>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联 系 人：</w:t>
      </w:r>
      <w:r>
        <w:rPr>
          <w:rFonts w:hint="eastAsia" w:ascii="宋体" w:hAnsi="宋体" w:eastAsia="宋体" w:cs="宋体"/>
          <w:spacing w:val="-3"/>
          <w:sz w:val="24"/>
          <w:szCs w:val="24"/>
          <w:lang w:val="en-US" w:eastAsia="zh-CN"/>
        </w:rPr>
        <w:t>李华峰（采购人）、</w:t>
      </w:r>
      <w:r>
        <w:rPr>
          <w:rFonts w:hint="eastAsia" w:ascii="宋体" w:cs="宋体"/>
          <w:bCs/>
          <w:spacing w:val="10"/>
          <w:sz w:val="24"/>
          <w:szCs w:val="24"/>
          <w:lang w:val="en-US" w:eastAsia="zh-CN"/>
        </w:rPr>
        <w:t>赵义秋、王镭、杨鼎润（采购代理机构）</w:t>
      </w:r>
    </w:p>
    <w:p w14:paraId="45947C25">
      <w:pPr>
        <w:spacing w:line="360" w:lineRule="auto"/>
        <w:ind w:firstLine="480" w:firstLineChars="200"/>
        <w:jc w:val="left"/>
        <w:rPr>
          <w:rFonts w:hint="eastAsia" w:ascii="宋体"/>
          <w:bCs/>
          <w:spacing w:val="10"/>
          <w:sz w:val="24"/>
          <w:szCs w:val="24"/>
          <w:lang w:val="en-US" w:eastAsia="zh-CN"/>
        </w:rPr>
      </w:pPr>
      <w:r>
        <w:rPr>
          <w:rFonts w:hint="eastAsia" w:ascii="宋体" w:hAnsi="宋体" w:eastAsia="宋体" w:cs="宋体"/>
          <w:color w:val="auto"/>
          <w:sz w:val="24"/>
          <w:szCs w:val="32"/>
          <w:highlight w:val="none"/>
          <w:lang w:val="en-US" w:eastAsia="zh-CN"/>
        </w:rPr>
        <w:t>联系电话：</w:t>
      </w:r>
      <w:r>
        <w:rPr>
          <w:rFonts w:hint="eastAsia" w:ascii="宋体"/>
          <w:bCs/>
          <w:spacing w:val="10"/>
          <w:sz w:val="24"/>
          <w:szCs w:val="24"/>
          <w:lang w:val="en-US" w:eastAsia="zh-CN"/>
        </w:rPr>
        <w:t>15393949440、17387261854、15368311491</w:t>
      </w:r>
    </w:p>
    <w:p w14:paraId="71BBB7D6">
      <w:pPr>
        <w:spacing w:line="360" w:lineRule="auto"/>
        <w:ind w:firstLine="480" w:firstLineChars="200"/>
        <w:jc w:val="left"/>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lang w:val="en-US" w:eastAsia="zh-CN"/>
        </w:rPr>
        <w:t>日期：2026年08月08日</w:t>
      </w:r>
    </w:p>
    <w:p w14:paraId="592F2DA1">
      <w:pPr>
        <w:spacing w:line="360" w:lineRule="auto"/>
        <w:ind w:firstLine="480" w:firstLineChars="200"/>
        <w:jc w:val="left"/>
        <w:rPr>
          <w:rFonts w:hint="eastAsia" w:ascii="宋体" w:hAnsi="宋体" w:eastAsia="宋体" w:cs="宋体"/>
          <w:color w:val="FF0000"/>
          <w:sz w:val="24"/>
          <w:szCs w:val="32"/>
          <w:highlight w:val="none"/>
          <w:lang w:val="en-US" w:eastAsia="zh-CN"/>
        </w:rPr>
      </w:pPr>
    </w:p>
    <w:p w14:paraId="4310DB8B">
      <w:pPr>
        <w:spacing w:line="360" w:lineRule="auto"/>
        <w:ind w:firstLine="480" w:firstLineChars="200"/>
        <w:jc w:val="left"/>
        <w:rPr>
          <w:rFonts w:hint="eastAsia" w:ascii="宋体" w:hAnsi="宋体" w:eastAsia="宋体" w:cs="宋体"/>
          <w:color w:val="FF0000"/>
          <w:sz w:val="24"/>
          <w:szCs w:val="32"/>
          <w:highlight w:val="none"/>
          <w:lang w:val="en-US" w:eastAsia="zh-CN"/>
        </w:rPr>
      </w:pPr>
    </w:p>
    <w:p w14:paraId="00D0143C">
      <w:pPr>
        <w:spacing w:line="360" w:lineRule="auto"/>
        <w:jc w:val="left"/>
        <w:rPr>
          <w:rFonts w:hint="eastAsia" w:ascii="宋体" w:hAnsi="宋体" w:eastAsia="宋体" w:cs="宋体"/>
          <w:color w:val="FF0000"/>
          <w:sz w:val="24"/>
          <w:szCs w:val="32"/>
          <w:highlight w:val="none"/>
          <w:lang w:val="en-US" w:eastAsia="zh-CN"/>
        </w:rPr>
      </w:pPr>
    </w:p>
    <w:p w14:paraId="2037B781">
      <w:pPr>
        <w:spacing w:line="360" w:lineRule="auto"/>
        <w:ind w:firstLine="480" w:firstLineChars="200"/>
        <w:jc w:val="left"/>
        <w:rPr>
          <w:rFonts w:hint="eastAsia" w:ascii="宋体" w:hAnsi="宋体" w:eastAsia="宋体" w:cs="宋体"/>
          <w:color w:val="FF0000"/>
          <w:sz w:val="24"/>
          <w:szCs w:val="32"/>
          <w:highlight w:val="none"/>
          <w:lang w:val="en-US" w:eastAsia="zh-CN"/>
        </w:rPr>
      </w:pPr>
    </w:p>
    <w:p w14:paraId="633EA662">
      <w:pPr>
        <w:spacing w:line="360" w:lineRule="auto"/>
        <w:ind w:firstLine="480" w:firstLineChars="200"/>
        <w:jc w:val="left"/>
        <w:rPr>
          <w:rFonts w:hint="eastAsia" w:ascii="宋体" w:hAnsi="宋体" w:eastAsia="宋体" w:cs="宋体"/>
          <w:color w:val="FF0000"/>
          <w:sz w:val="24"/>
          <w:szCs w:val="32"/>
          <w:highlight w:val="none"/>
          <w:lang w:val="en-US" w:eastAsia="zh-CN"/>
        </w:rPr>
      </w:pPr>
    </w:p>
    <w:p w14:paraId="57E8F223">
      <w:pPr>
        <w:spacing w:line="360" w:lineRule="auto"/>
        <w:ind w:firstLine="480" w:firstLineChars="200"/>
        <w:jc w:val="left"/>
        <w:rPr>
          <w:rFonts w:hint="eastAsia" w:ascii="宋体" w:hAnsi="宋体" w:eastAsia="宋体" w:cs="宋体"/>
          <w:color w:val="FF0000"/>
          <w:sz w:val="24"/>
          <w:szCs w:val="32"/>
          <w:highlight w:val="none"/>
          <w:lang w:val="en-US" w:eastAsia="zh-CN"/>
        </w:rPr>
      </w:pPr>
    </w:p>
    <w:p w14:paraId="05742E3E">
      <w:pPr>
        <w:spacing w:line="360" w:lineRule="auto"/>
        <w:ind w:firstLine="480" w:firstLineChars="200"/>
        <w:jc w:val="left"/>
        <w:rPr>
          <w:rFonts w:hint="eastAsia" w:ascii="宋体" w:hAnsi="宋体" w:eastAsia="宋体" w:cs="宋体"/>
          <w:color w:val="FF0000"/>
          <w:sz w:val="24"/>
          <w:szCs w:val="32"/>
          <w:highlight w:val="none"/>
          <w:lang w:val="en-US" w:eastAsia="zh-CN"/>
        </w:rPr>
      </w:pPr>
    </w:p>
    <w:p w14:paraId="2BDBFED7">
      <w:pPr>
        <w:spacing w:line="360" w:lineRule="auto"/>
        <w:ind w:firstLine="480" w:firstLineChars="200"/>
        <w:jc w:val="left"/>
        <w:rPr>
          <w:rFonts w:hint="eastAsia" w:ascii="宋体" w:hAnsi="宋体" w:eastAsia="宋体" w:cs="宋体"/>
          <w:color w:val="FF0000"/>
          <w:sz w:val="24"/>
          <w:szCs w:val="32"/>
          <w:highlight w:val="none"/>
          <w:lang w:val="en-US" w:eastAsia="zh-CN"/>
        </w:rPr>
      </w:pPr>
    </w:p>
    <w:p w14:paraId="592F7A73">
      <w:pPr>
        <w:spacing w:line="360" w:lineRule="auto"/>
        <w:ind w:firstLine="480" w:firstLineChars="200"/>
        <w:jc w:val="left"/>
        <w:rPr>
          <w:rFonts w:hint="eastAsia" w:ascii="宋体" w:hAnsi="宋体" w:eastAsia="宋体" w:cs="宋体"/>
          <w:color w:val="FF0000"/>
          <w:sz w:val="24"/>
          <w:szCs w:val="32"/>
          <w:highlight w:val="none"/>
          <w:lang w:val="en-US" w:eastAsia="zh-CN"/>
        </w:rPr>
      </w:pPr>
    </w:p>
    <w:p w14:paraId="1D95B032">
      <w:pPr>
        <w:spacing w:line="360" w:lineRule="auto"/>
        <w:ind w:firstLine="480" w:firstLineChars="200"/>
        <w:jc w:val="left"/>
        <w:rPr>
          <w:rFonts w:hint="eastAsia" w:ascii="宋体" w:hAnsi="宋体" w:eastAsia="宋体" w:cs="宋体"/>
          <w:color w:val="FF0000"/>
          <w:sz w:val="24"/>
          <w:szCs w:val="32"/>
          <w:highlight w:val="none"/>
          <w:lang w:val="en-US" w:eastAsia="zh-CN"/>
        </w:rPr>
      </w:pPr>
    </w:p>
    <w:p w14:paraId="5A1F9540">
      <w:pPr>
        <w:spacing w:line="360" w:lineRule="auto"/>
        <w:ind w:firstLine="480" w:firstLineChars="200"/>
        <w:jc w:val="left"/>
        <w:rPr>
          <w:rFonts w:hint="eastAsia" w:ascii="宋体" w:hAnsi="宋体" w:eastAsia="宋体" w:cs="宋体"/>
          <w:color w:val="FF0000"/>
          <w:sz w:val="24"/>
          <w:szCs w:val="32"/>
          <w:highlight w:val="none"/>
          <w:lang w:val="en-US" w:eastAsia="zh-CN"/>
        </w:rPr>
      </w:pPr>
    </w:p>
    <w:p w14:paraId="33437788">
      <w:pPr>
        <w:spacing w:line="360" w:lineRule="auto"/>
        <w:ind w:firstLine="480" w:firstLineChars="200"/>
        <w:jc w:val="left"/>
        <w:rPr>
          <w:rFonts w:hint="eastAsia" w:ascii="宋体" w:hAnsi="宋体" w:eastAsia="宋体" w:cs="宋体"/>
          <w:color w:val="FF0000"/>
          <w:sz w:val="24"/>
          <w:szCs w:val="32"/>
          <w:highlight w:val="none"/>
          <w:lang w:val="en-US" w:eastAsia="zh-CN"/>
        </w:rPr>
      </w:pPr>
    </w:p>
    <w:p w14:paraId="5496364C">
      <w:pPr>
        <w:spacing w:line="360" w:lineRule="auto"/>
        <w:ind w:firstLine="480" w:firstLineChars="200"/>
        <w:jc w:val="left"/>
        <w:rPr>
          <w:rFonts w:hint="eastAsia" w:ascii="宋体" w:hAnsi="宋体" w:eastAsia="宋体" w:cs="宋体"/>
          <w:color w:val="FF0000"/>
          <w:sz w:val="24"/>
          <w:szCs w:val="32"/>
          <w:highlight w:val="none"/>
          <w:lang w:val="en-US" w:eastAsia="zh-CN"/>
        </w:rPr>
      </w:pPr>
    </w:p>
    <w:p w14:paraId="5F0C6E32">
      <w:pPr>
        <w:spacing w:line="360" w:lineRule="auto"/>
        <w:ind w:firstLine="480" w:firstLineChars="200"/>
        <w:jc w:val="left"/>
        <w:rPr>
          <w:rFonts w:hint="eastAsia" w:ascii="宋体" w:hAnsi="宋体" w:eastAsia="宋体" w:cs="宋体"/>
          <w:color w:val="FF0000"/>
          <w:sz w:val="24"/>
          <w:szCs w:val="32"/>
          <w:highlight w:val="none"/>
          <w:lang w:val="en-US" w:eastAsia="zh-CN"/>
        </w:rPr>
      </w:pPr>
    </w:p>
    <w:p w14:paraId="4427FE81">
      <w:pPr>
        <w:spacing w:line="360" w:lineRule="auto"/>
        <w:ind w:firstLine="480" w:firstLineChars="200"/>
        <w:jc w:val="left"/>
        <w:rPr>
          <w:rFonts w:hint="eastAsia" w:ascii="宋体" w:hAnsi="宋体" w:eastAsia="宋体" w:cs="宋体"/>
          <w:color w:val="FF0000"/>
          <w:sz w:val="24"/>
          <w:szCs w:val="32"/>
          <w:highlight w:val="none"/>
          <w:lang w:val="en-US" w:eastAsia="zh-CN"/>
        </w:rPr>
      </w:pPr>
    </w:p>
    <w:p w14:paraId="02B474E8">
      <w:pPr>
        <w:spacing w:line="360" w:lineRule="auto"/>
        <w:ind w:firstLine="480" w:firstLineChars="200"/>
        <w:jc w:val="left"/>
        <w:rPr>
          <w:rFonts w:hint="eastAsia" w:ascii="宋体" w:hAnsi="宋体" w:eastAsia="宋体" w:cs="宋体"/>
          <w:color w:val="FF0000"/>
          <w:sz w:val="24"/>
          <w:szCs w:val="32"/>
          <w:highlight w:val="none"/>
          <w:lang w:val="en-US" w:eastAsia="zh-CN"/>
        </w:rPr>
      </w:pPr>
    </w:p>
    <w:p w14:paraId="417AC185">
      <w:pPr>
        <w:spacing w:line="360" w:lineRule="auto"/>
        <w:ind w:firstLine="480" w:firstLineChars="200"/>
        <w:jc w:val="left"/>
        <w:rPr>
          <w:rFonts w:hint="eastAsia" w:ascii="宋体" w:hAnsi="宋体" w:eastAsia="宋体" w:cs="宋体"/>
          <w:color w:val="FF0000"/>
          <w:sz w:val="24"/>
          <w:szCs w:val="32"/>
          <w:highlight w:val="none"/>
          <w:lang w:val="en-US" w:eastAsia="zh-CN"/>
        </w:rPr>
      </w:pPr>
    </w:p>
    <w:p w14:paraId="263CEFEE">
      <w:pPr>
        <w:spacing w:line="360" w:lineRule="auto"/>
        <w:ind w:firstLine="480" w:firstLineChars="200"/>
        <w:jc w:val="left"/>
        <w:rPr>
          <w:rFonts w:hint="eastAsia" w:ascii="宋体" w:hAnsi="宋体" w:eastAsia="宋体" w:cs="宋体"/>
          <w:color w:val="FF0000"/>
          <w:sz w:val="24"/>
          <w:szCs w:val="32"/>
          <w:highlight w:val="none"/>
          <w:lang w:val="en-US" w:eastAsia="zh-CN"/>
        </w:rPr>
      </w:pPr>
    </w:p>
    <w:p w14:paraId="1D6310FC">
      <w:pPr>
        <w:spacing w:line="360" w:lineRule="auto"/>
        <w:ind w:firstLine="480" w:firstLineChars="200"/>
        <w:jc w:val="left"/>
        <w:rPr>
          <w:rFonts w:hint="eastAsia" w:ascii="宋体" w:hAnsi="宋体" w:eastAsia="宋体" w:cs="宋体"/>
          <w:color w:val="FF0000"/>
          <w:sz w:val="24"/>
          <w:szCs w:val="32"/>
          <w:highlight w:val="none"/>
          <w:lang w:val="en-US" w:eastAsia="zh-CN"/>
        </w:rPr>
      </w:pPr>
    </w:p>
    <w:p w14:paraId="4FD05AEE">
      <w:pPr>
        <w:spacing w:line="360" w:lineRule="auto"/>
        <w:ind w:firstLine="480" w:firstLineChars="200"/>
        <w:jc w:val="left"/>
        <w:rPr>
          <w:rFonts w:hint="eastAsia" w:ascii="宋体" w:hAnsi="宋体" w:eastAsia="宋体" w:cs="宋体"/>
          <w:color w:val="FF0000"/>
          <w:sz w:val="24"/>
          <w:szCs w:val="32"/>
          <w:highlight w:val="none"/>
          <w:lang w:val="en-US" w:eastAsia="zh-CN"/>
        </w:rPr>
      </w:pPr>
    </w:p>
    <w:p w14:paraId="34E9AF83">
      <w:pPr>
        <w:spacing w:line="360" w:lineRule="auto"/>
        <w:ind w:firstLine="480" w:firstLineChars="200"/>
        <w:jc w:val="left"/>
        <w:rPr>
          <w:rFonts w:hint="eastAsia" w:ascii="宋体" w:hAnsi="宋体" w:eastAsia="宋体" w:cs="宋体"/>
          <w:color w:val="FF0000"/>
          <w:sz w:val="24"/>
          <w:szCs w:val="32"/>
          <w:highlight w:val="none"/>
          <w:lang w:val="en-US" w:eastAsia="zh-CN"/>
        </w:rPr>
      </w:pPr>
    </w:p>
    <w:p w14:paraId="5188AF7C">
      <w:pPr>
        <w:spacing w:line="360" w:lineRule="auto"/>
        <w:ind w:firstLine="480" w:firstLineChars="200"/>
        <w:jc w:val="left"/>
        <w:rPr>
          <w:rFonts w:hint="eastAsia" w:ascii="宋体" w:hAnsi="宋体" w:eastAsia="宋体" w:cs="宋体"/>
          <w:color w:val="FF0000"/>
          <w:sz w:val="24"/>
          <w:szCs w:val="32"/>
          <w:highlight w:val="none"/>
          <w:lang w:val="en-US" w:eastAsia="zh-CN"/>
        </w:rPr>
      </w:pPr>
    </w:p>
    <w:p w14:paraId="4A922D02">
      <w:pPr>
        <w:spacing w:line="360" w:lineRule="auto"/>
        <w:ind w:firstLine="480" w:firstLineChars="200"/>
        <w:jc w:val="left"/>
        <w:rPr>
          <w:rFonts w:hint="eastAsia" w:ascii="宋体" w:hAnsi="宋体" w:eastAsia="宋体" w:cs="宋体"/>
          <w:color w:val="FF0000"/>
          <w:sz w:val="24"/>
          <w:szCs w:val="32"/>
          <w:highlight w:val="none"/>
          <w:lang w:val="en-US" w:eastAsia="zh-CN"/>
        </w:rPr>
      </w:pPr>
    </w:p>
    <w:p w14:paraId="3B2DD0CD">
      <w:pPr>
        <w:spacing w:line="360" w:lineRule="auto"/>
        <w:ind w:firstLine="480" w:firstLineChars="200"/>
        <w:jc w:val="left"/>
        <w:rPr>
          <w:rFonts w:hint="eastAsia" w:ascii="宋体" w:hAnsi="宋体" w:eastAsia="宋体" w:cs="宋体"/>
          <w:color w:val="FF0000"/>
          <w:sz w:val="24"/>
          <w:szCs w:val="32"/>
          <w:highlight w:val="none"/>
          <w:lang w:val="en-US" w:eastAsia="zh-CN"/>
        </w:rPr>
      </w:pPr>
    </w:p>
    <w:p w14:paraId="0AB33EB4">
      <w:pPr>
        <w:spacing w:line="360" w:lineRule="auto"/>
        <w:ind w:firstLine="480" w:firstLineChars="200"/>
        <w:jc w:val="left"/>
        <w:rPr>
          <w:rFonts w:hint="eastAsia" w:ascii="宋体" w:hAnsi="宋体" w:eastAsia="宋体" w:cs="宋体"/>
          <w:color w:val="FF0000"/>
          <w:sz w:val="24"/>
          <w:szCs w:val="32"/>
          <w:highlight w:val="none"/>
          <w:lang w:val="en-US" w:eastAsia="zh-CN"/>
        </w:rPr>
      </w:pPr>
    </w:p>
    <w:p w14:paraId="43E7E274">
      <w:pPr>
        <w:numPr>
          <w:ilvl w:val="0"/>
          <w:numId w:val="1"/>
        </w:numPr>
        <w:spacing w:line="360" w:lineRule="auto"/>
        <w:jc w:val="center"/>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6"/>
          <w:szCs w:val="36"/>
          <w:highlight w:val="none"/>
        </w:rPr>
        <w:t xml:space="preserve">  </w:t>
      </w:r>
      <w:bookmarkStart w:id="45" w:name="_Toc26683"/>
      <w:r>
        <w:rPr>
          <w:rFonts w:hint="eastAsia" w:ascii="宋体" w:hAnsi="宋体" w:eastAsia="宋体" w:cs="宋体"/>
          <w:b/>
          <w:color w:val="auto"/>
          <w:sz w:val="36"/>
          <w:szCs w:val="36"/>
          <w:highlight w:val="none"/>
        </w:rPr>
        <w:t>供应商须知</w:t>
      </w:r>
      <w:bookmarkEnd w:id="2"/>
      <w:bookmarkEnd w:id="3"/>
      <w:bookmarkEnd w:id="4"/>
      <w:bookmarkEnd w:id="5"/>
      <w:bookmarkEnd w:id="6"/>
      <w:bookmarkEnd w:id="7"/>
      <w:bookmarkEnd w:id="8"/>
      <w:bookmarkEnd w:id="9"/>
      <w:bookmarkEnd w:id="10"/>
      <w:bookmarkEnd w:id="11"/>
      <w:bookmarkEnd w:id="12"/>
      <w:bookmarkEnd w:id="13"/>
      <w:bookmarkEnd w:id="14"/>
      <w:bookmarkEnd w:id="45"/>
    </w:p>
    <w:p w14:paraId="6AF1D94C">
      <w:pPr>
        <w:pStyle w:val="2"/>
        <w:bidi w:val="0"/>
        <w:rPr>
          <w:rFonts w:hint="eastAsia" w:ascii="宋体" w:hAnsi="宋体" w:eastAsia="宋体" w:cs="宋体"/>
          <w:color w:val="0000FF"/>
          <w:szCs w:val="32"/>
          <w:highlight w:val="none"/>
          <w:lang w:eastAsia="zh-CN"/>
        </w:rPr>
      </w:pPr>
      <w:bookmarkStart w:id="46" w:name="_Toc195842882"/>
      <w:bookmarkStart w:id="47" w:name="_Toc226337213"/>
      <w:bookmarkStart w:id="48" w:name="_Toc353873932"/>
      <w:bookmarkStart w:id="49" w:name="_Toc142311019"/>
      <w:bookmarkStart w:id="50" w:name="_Toc305158859"/>
      <w:bookmarkStart w:id="51" w:name="_Toc264969207"/>
      <w:bookmarkStart w:id="52" w:name="_Toc353825542"/>
      <w:bookmarkStart w:id="53" w:name="_Toc226965790"/>
      <w:bookmarkStart w:id="54" w:name="_Toc127151517"/>
      <w:bookmarkStart w:id="55" w:name="_Toc10419"/>
      <w:bookmarkStart w:id="56" w:name="_Toc353873662"/>
      <w:bookmarkStart w:id="57" w:name="_Toc265228355"/>
      <w:bookmarkStart w:id="58" w:name="_Toc150774722"/>
      <w:bookmarkStart w:id="59" w:name="_Toc305158785"/>
      <w:bookmarkStart w:id="60" w:name="_Toc150480755"/>
      <w:bookmarkStart w:id="61" w:name="_Toc151193761"/>
      <w:bookmarkStart w:id="62" w:name="_Toc150774724"/>
      <w:bookmarkStart w:id="63" w:name="_Toc127161433"/>
      <w:bookmarkStart w:id="64" w:name="_Toc151193907"/>
      <w:bookmarkStart w:id="65" w:name="_Toc151190146"/>
      <w:bookmarkStart w:id="66" w:name="_Toc142311021"/>
      <w:bookmarkStart w:id="67" w:name="_Toc195842884"/>
      <w:bookmarkStart w:id="68" w:name="_Toc226965792"/>
      <w:bookmarkStart w:id="69" w:name="_Toc164229360"/>
      <w:bookmarkStart w:id="70" w:name="_Toc164351613"/>
      <w:bookmarkStart w:id="71" w:name="_Toc226965709"/>
      <w:bookmarkStart w:id="72" w:name="_Toc150480757"/>
      <w:bookmarkStart w:id="73" w:name="_Toc127151720"/>
      <w:bookmarkStart w:id="74" w:name="_Toc151193689"/>
      <w:bookmarkStart w:id="75" w:name="_Toc150774619"/>
      <w:bookmarkStart w:id="76" w:name="_Toc151193833"/>
      <w:bookmarkStart w:id="77" w:name="_Toc127151519"/>
      <w:bookmarkStart w:id="78" w:name="_Toc164608788"/>
      <w:bookmarkStart w:id="79" w:name="_Toc150509270"/>
      <w:bookmarkStart w:id="80" w:name="_Toc520356144"/>
      <w:bookmarkStart w:id="81" w:name="_Toc226337215"/>
      <w:bookmarkStart w:id="82" w:name="_Toc149720812"/>
      <w:bookmarkStart w:id="83" w:name="_Toc164608633"/>
      <w:bookmarkStart w:id="84" w:name="_Toc226309763"/>
      <w:bookmarkStart w:id="85" w:name="_Toc164229214"/>
      <w:bookmarkStart w:id="86" w:name="_Toc151193617"/>
      <w:r>
        <w:rPr>
          <w:rFonts w:hint="eastAsia" w:ascii="宋体" w:hAnsi="宋体" w:eastAsia="宋体" w:cs="宋体"/>
          <w:lang w:eastAsia="zh-CN"/>
        </w:rPr>
        <w:t>供应商须知前附表</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
        <w:gridCol w:w="1087"/>
        <w:gridCol w:w="1417"/>
        <w:gridCol w:w="6"/>
        <w:gridCol w:w="7098"/>
        <w:gridCol w:w="6"/>
      </w:tblGrid>
      <w:tr w14:paraId="3955C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6" w:type="dxa"/>
          <w:trHeight w:val="594" w:hRule="atLeast"/>
          <w:jc w:val="center"/>
        </w:trPr>
        <w:tc>
          <w:tcPr>
            <w:tcW w:w="1087" w:type="dxa"/>
            <w:noWrap w:val="0"/>
            <w:vAlign w:val="center"/>
          </w:tcPr>
          <w:p w14:paraId="201C6D15">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条款号</w:t>
            </w:r>
          </w:p>
        </w:tc>
        <w:tc>
          <w:tcPr>
            <w:tcW w:w="1423" w:type="dxa"/>
            <w:gridSpan w:val="2"/>
            <w:noWrap w:val="0"/>
            <w:vAlign w:val="center"/>
          </w:tcPr>
          <w:p w14:paraId="510A138B">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条目</w:t>
            </w:r>
          </w:p>
        </w:tc>
        <w:tc>
          <w:tcPr>
            <w:tcW w:w="7104" w:type="dxa"/>
            <w:gridSpan w:val="2"/>
            <w:noWrap w:val="0"/>
            <w:vAlign w:val="center"/>
          </w:tcPr>
          <w:p w14:paraId="37FFABF8">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编列内容</w:t>
            </w:r>
          </w:p>
        </w:tc>
      </w:tr>
      <w:tr w14:paraId="4EB4F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6" w:type="dxa"/>
          <w:trHeight w:val="594" w:hRule="atLeast"/>
          <w:jc w:val="center"/>
        </w:trPr>
        <w:tc>
          <w:tcPr>
            <w:tcW w:w="1087" w:type="dxa"/>
            <w:noWrap w:val="0"/>
            <w:vAlign w:val="center"/>
          </w:tcPr>
          <w:p w14:paraId="46995B09">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w:t>
            </w:r>
          </w:p>
        </w:tc>
        <w:tc>
          <w:tcPr>
            <w:tcW w:w="1423" w:type="dxa"/>
            <w:gridSpan w:val="2"/>
            <w:noWrap w:val="0"/>
            <w:vAlign w:val="center"/>
          </w:tcPr>
          <w:p w14:paraId="4510EE30">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w:t>
            </w:r>
          </w:p>
        </w:tc>
        <w:tc>
          <w:tcPr>
            <w:tcW w:w="7104" w:type="dxa"/>
            <w:gridSpan w:val="2"/>
            <w:noWrap w:val="0"/>
            <w:vAlign w:val="center"/>
          </w:tcPr>
          <w:p w14:paraId="4C720EC5">
            <w:pPr>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名  称：剑川县</w:t>
            </w:r>
            <w:r>
              <w:rPr>
                <w:rFonts w:hint="eastAsia" w:ascii="宋体" w:hAnsi="宋体" w:eastAsia="宋体" w:cs="宋体"/>
                <w:color w:val="auto"/>
                <w:sz w:val="24"/>
                <w:highlight w:val="none"/>
                <w:lang w:val="en-US" w:eastAsia="zh-CN"/>
              </w:rPr>
              <w:t>住房和城乡建设局</w:t>
            </w:r>
          </w:p>
          <w:p w14:paraId="27E8E660">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地  址：</w:t>
            </w:r>
            <w:r>
              <w:rPr>
                <w:rFonts w:hint="eastAsia"/>
                <w:kern w:val="2"/>
                <w:sz w:val="24"/>
                <w:szCs w:val="24"/>
                <w:lang w:val="en-US" w:eastAsia="zh-CN"/>
              </w:rPr>
              <w:t>剑川县金华镇腾龙街西双龙巷118号</w:t>
            </w:r>
          </w:p>
          <w:p w14:paraId="232D7643">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联系人：</w:t>
            </w:r>
            <w:r>
              <w:rPr>
                <w:rFonts w:hint="eastAsia" w:ascii="宋体" w:hAnsi="宋体" w:eastAsia="宋体" w:cs="宋体"/>
                <w:spacing w:val="-3"/>
                <w:sz w:val="24"/>
                <w:szCs w:val="24"/>
                <w:lang w:val="en-US" w:eastAsia="zh-CN"/>
              </w:rPr>
              <w:t>李华峰</w:t>
            </w:r>
          </w:p>
          <w:p w14:paraId="70A0ECA1">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联系电话：</w:t>
            </w:r>
            <w:r>
              <w:rPr>
                <w:rFonts w:hint="eastAsia" w:ascii="宋体" w:hAnsi="宋体" w:eastAsia="宋体" w:cs="宋体"/>
                <w:spacing w:val="-3"/>
                <w:sz w:val="24"/>
                <w:szCs w:val="24"/>
                <w:lang w:val="en-US" w:eastAsia="zh-CN"/>
              </w:rPr>
              <w:t>13987255451</w:t>
            </w:r>
          </w:p>
        </w:tc>
      </w:tr>
      <w:tr w14:paraId="36D70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6" w:type="dxa"/>
          <w:trHeight w:val="594" w:hRule="atLeast"/>
          <w:jc w:val="center"/>
        </w:trPr>
        <w:tc>
          <w:tcPr>
            <w:tcW w:w="1087" w:type="dxa"/>
            <w:noWrap w:val="0"/>
            <w:vAlign w:val="center"/>
          </w:tcPr>
          <w:p w14:paraId="214AD5F5">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1.2</w:t>
            </w:r>
          </w:p>
        </w:tc>
        <w:tc>
          <w:tcPr>
            <w:tcW w:w="1423" w:type="dxa"/>
            <w:gridSpan w:val="2"/>
            <w:noWrap w:val="0"/>
            <w:vAlign w:val="center"/>
          </w:tcPr>
          <w:p w14:paraId="0E7F3B2B">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采购代理机构</w:t>
            </w:r>
          </w:p>
        </w:tc>
        <w:tc>
          <w:tcPr>
            <w:tcW w:w="7104" w:type="dxa"/>
            <w:gridSpan w:val="2"/>
            <w:noWrap w:val="0"/>
            <w:vAlign w:val="center"/>
          </w:tcPr>
          <w:p w14:paraId="4F04285A">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名  称：</w:t>
            </w:r>
            <w:r>
              <w:rPr>
                <w:rFonts w:hint="eastAsia"/>
                <w:kern w:val="2"/>
                <w:sz w:val="24"/>
                <w:szCs w:val="24"/>
                <w:lang w:val="en-US" w:eastAsia="zh-CN"/>
              </w:rPr>
              <w:t>剑川县众森工程咨询有限公司</w:t>
            </w:r>
          </w:p>
          <w:p w14:paraId="44E20BFD">
            <w:pPr>
              <w:spacing w:line="360" w:lineRule="auto"/>
              <w:rPr>
                <w:rFonts w:hint="eastAsia"/>
                <w:kern w:val="2"/>
                <w:sz w:val="24"/>
                <w:szCs w:val="24"/>
                <w:lang w:val="en-US" w:eastAsia="zh-CN"/>
              </w:rPr>
            </w:pPr>
            <w:r>
              <w:rPr>
                <w:rFonts w:hint="eastAsia" w:ascii="宋体" w:hAnsi="宋体" w:eastAsia="宋体" w:cs="宋体"/>
                <w:color w:val="auto"/>
                <w:sz w:val="24"/>
                <w:highlight w:val="none"/>
                <w:lang w:eastAsia="zh-CN"/>
              </w:rPr>
              <w:t>地　址：</w:t>
            </w:r>
            <w:r>
              <w:rPr>
                <w:rFonts w:hint="eastAsia"/>
                <w:kern w:val="2"/>
                <w:sz w:val="24"/>
                <w:szCs w:val="24"/>
                <w:lang w:val="en-US" w:eastAsia="zh-CN"/>
              </w:rPr>
              <w:t>剑川县金华镇锦绣家园1号楼4楼</w:t>
            </w:r>
          </w:p>
          <w:p w14:paraId="22097F97">
            <w:pPr>
              <w:spacing w:line="360" w:lineRule="auto"/>
              <w:rPr>
                <w:rFonts w:hint="default"/>
                <w:kern w:val="2"/>
                <w:sz w:val="24"/>
                <w:szCs w:val="24"/>
                <w:lang w:val="en-US" w:eastAsia="zh-CN"/>
              </w:rPr>
            </w:pPr>
            <w:r>
              <w:rPr>
                <w:rFonts w:hint="eastAsia" w:ascii="宋体" w:hAnsi="宋体" w:eastAsia="宋体" w:cs="宋体"/>
                <w:color w:val="auto"/>
                <w:sz w:val="24"/>
                <w:highlight w:val="none"/>
                <w:lang w:eastAsia="zh-CN"/>
              </w:rPr>
              <w:t>联系人：</w:t>
            </w:r>
            <w:r>
              <w:rPr>
                <w:rFonts w:hint="eastAsia" w:ascii="宋体" w:cs="宋体"/>
                <w:bCs/>
                <w:spacing w:val="10"/>
                <w:sz w:val="24"/>
                <w:szCs w:val="24"/>
                <w:lang w:val="en-US" w:eastAsia="zh-CN"/>
              </w:rPr>
              <w:t>赵义秋、王镭、杨鼎润</w:t>
            </w:r>
          </w:p>
          <w:p w14:paraId="71563FCC">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联系方式：</w:t>
            </w:r>
            <w:r>
              <w:rPr>
                <w:rFonts w:hint="eastAsia" w:ascii="Times New Roman" w:hAnsi="Times New Roman" w:eastAsia="宋体" w:cs="Times New Roman"/>
                <w:kern w:val="2"/>
                <w:sz w:val="24"/>
                <w:szCs w:val="24"/>
                <w:lang w:val="en-US" w:eastAsia="zh-CN"/>
              </w:rPr>
              <w:t>15393949440、17387261854、15368311491</w:t>
            </w:r>
          </w:p>
        </w:tc>
      </w:tr>
      <w:tr w14:paraId="0D4A0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6" w:type="dxa"/>
          <w:trHeight w:val="594" w:hRule="atLeast"/>
          <w:jc w:val="center"/>
        </w:trPr>
        <w:tc>
          <w:tcPr>
            <w:tcW w:w="1087" w:type="dxa"/>
            <w:noWrap w:val="0"/>
            <w:vAlign w:val="center"/>
          </w:tcPr>
          <w:p w14:paraId="05B04A77">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1.3</w:t>
            </w:r>
          </w:p>
        </w:tc>
        <w:tc>
          <w:tcPr>
            <w:tcW w:w="1423" w:type="dxa"/>
            <w:gridSpan w:val="2"/>
            <w:noWrap w:val="0"/>
            <w:vAlign w:val="center"/>
          </w:tcPr>
          <w:p w14:paraId="7266147A">
            <w:pPr>
              <w:spacing w:line="360" w:lineRule="auto"/>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项目名称及</w:t>
            </w:r>
            <w:r>
              <w:rPr>
                <w:rFonts w:hint="eastAsia" w:ascii="宋体" w:hAnsi="宋体" w:eastAsia="宋体" w:cs="宋体"/>
                <w:color w:val="auto"/>
                <w:sz w:val="24"/>
                <w:highlight w:val="none"/>
                <w:lang w:eastAsia="zh-CN"/>
              </w:rPr>
              <w:t>项目编号</w:t>
            </w:r>
          </w:p>
        </w:tc>
        <w:tc>
          <w:tcPr>
            <w:tcW w:w="7104" w:type="dxa"/>
            <w:gridSpan w:val="2"/>
            <w:noWrap w:val="0"/>
            <w:vAlign w:val="center"/>
          </w:tcPr>
          <w:p w14:paraId="611587F3">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项目</w:t>
            </w:r>
            <w:r>
              <w:rPr>
                <w:rFonts w:hint="eastAsia" w:ascii="宋体" w:hAnsi="宋体" w:eastAsia="宋体" w:cs="宋体"/>
                <w:color w:val="auto"/>
                <w:sz w:val="24"/>
                <w:highlight w:val="none"/>
              </w:rPr>
              <w:t>名称：</w:t>
            </w:r>
            <w:r>
              <w:rPr>
                <w:rFonts w:hint="eastAsia" w:ascii="Times New Roman" w:hAnsi="Times New Roman" w:eastAsia="宋体" w:cs="Times New Roman"/>
                <w:kern w:val="2"/>
                <w:sz w:val="24"/>
                <w:szCs w:val="24"/>
                <w:lang w:eastAsia="zh-CN"/>
              </w:rPr>
              <w:t>剑川县生活垃圾填埋场渗滤液处理站市场化运营项目</w:t>
            </w:r>
          </w:p>
          <w:p w14:paraId="58388E79">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000000"/>
                <w:sz w:val="24"/>
                <w:highlight w:val="none"/>
                <w:lang w:eastAsia="zh-CN"/>
              </w:rPr>
              <w:t>项目编号</w:t>
            </w:r>
            <w:r>
              <w:rPr>
                <w:rFonts w:hint="eastAsia" w:ascii="宋体" w:hAnsi="宋体" w:eastAsia="宋体" w:cs="宋体"/>
                <w:color w:val="000000"/>
                <w:sz w:val="24"/>
                <w:highlight w:val="none"/>
              </w:rPr>
              <w:t>：</w:t>
            </w:r>
            <w:r>
              <w:rPr>
                <w:rFonts w:hint="eastAsia" w:ascii="宋体" w:hAnsi="宋体"/>
                <w:sz w:val="24"/>
                <w:szCs w:val="24"/>
                <w:lang w:val="en-US" w:eastAsia="zh-CN"/>
              </w:rPr>
              <w:t>DLZC2026-G3-00833-ZSGS-0002</w:t>
            </w:r>
          </w:p>
        </w:tc>
      </w:tr>
      <w:tr w14:paraId="62BC7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6" w:type="dxa"/>
          <w:trHeight w:val="594" w:hRule="atLeast"/>
          <w:jc w:val="center"/>
        </w:trPr>
        <w:tc>
          <w:tcPr>
            <w:tcW w:w="1087" w:type="dxa"/>
            <w:noWrap w:val="0"/>
            <w:vAlign w:val="center"/>
          </w:tcPr>
          <w:p w14:paraId="2810D163">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1.4</w:t>
            </w:r>
          </w:p>
        </w:tc>
        <w:tc>
          <w:tcPr>
            <w:tcW w:w="1423" w:type="dxa"/>
            <w:gridSpan w:val="2"/>
            <w:noWrap w:val="0"/>
            <w:vAlign w:val="center"/>
          </w:tcPr>
          <w:p w14:paraId="4358F7C2">
            <w:pPr>
              <w:spacing w:line="360" w:lineRule="auto"/>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采购范围</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预算金额</w:t>
            </w:r>
            <w:r>
              <w:rPr>
                <w:rFonts w:hint="eastAsia" w:ascii="宋体" w:hAnsi="宋体" w:eastAsia="宋体" w:cs="宋体"/>
                <w:color w:val="auto"/>
                <w:sz w:val="24"/>
                <w:highlight w:val="none"/>
                <w:lang w:eastAsia="zh-CN"/>
              </w:rPr>
              <w:t>及资金来源</w:t>
            </w:r>
          </w:p>
        </w:tc>
        <w:tc>
          <w:tcPr>
            <w:tcW w:w="7104" w:type="dxa"/>
            <w:gridSpan w:val="2"/>
            <w:noWrap w:val="0"/>
            <w:vAlign w:val="center"/>
          </w:tcPr>
          <w:p w14:paraId="752B1706">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1、采购范围：</w:t>
            </w:r>
            <w:r>
              <w:rPr>
                <w:rFonts w:hint="eastAsia" w:ascii="宋体" w:hAnsi="宋体" w:eastAsia="宋体" w:cs="宋体"/>
                <w:b/>
                <w:bCs/>
                <w:color w:val="auto"/>
                <w:sz w:val="24"/>
                <w:highlight w:val="none"/>
              </w:rPr>
              <w:t>详见《第五章 采购</w:t>
            </w:r>
            <w:r>
              <w:rPr>
                <w:rFonts w:hint="eastAsia" w:ascii="宋体" w:hAnsi="宋体" w:eastAsia="宋体" w:cs="宋体"/>
                <w:b/>
                <w:bCs/>
                <w:color w:val="auto"/>
                <w:sz w:val="24"/>
                <w:highlight w:val="none"/>
                <w:lang w:val="en-US" w:eastAsia="zh-CN"/>
              </w:rPr>
              <w:t>需求</w:t>
            </w:r>
            <w:r>
              <w:rPr>
                <w:rFonts w:hint="eastAsia" w:ascii="宋体" w:hAnsi="宋体" w:eastAsia="宋体" w:cs="宋体"/>
                <w:b/>
                <w:bCs/>
                <w:color w:val="auto"/>
                <w:sz w:val="24"/>
                <w:highlight w:val="none"/>
              </w:rPr>
              <w:t>》</w:t>
            </w:r>
          </w:p>
          <w:p w14:paraId="5C6E04B3">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★2、采购预算价（最高限价）：</w:t>
            </w:r>
            <w:r>
              <w:rPr>
                <w:rFonts w:hint="eastAsia" w:ascii="宋体" w:hAnsi="宋体" w:eastAsia="宋体" w:cs="宋体"/>
                <w:b/>
                <w:color w:val="auto"/>
                <w:sz w:val="24"/>
                <w:highlight w:val="none"/>
              </w:rPr>
              <w:t>详见招标公告，投标报价不得高于采购预算价/最高限价，否则按无效投标处理</w:t>
            </w:r>
            <w:r>
              <w:rPr>
                <w:rFonts w:hint="eastAsia" w:ascii="宋体" w:hAnsi="宋体" w:eastAsia="宋体" w:cs="宋体"/>
                <w:color w:val="auto"/>
                <w:sz w:val="24"/>
                <w:highlight w:val="none"/>
              </w:rPr>
              <w:t>；</w:t>
            </w:r>
          </w:p>
          <w:p w14:paraId="24CDC6B3">
            <w:pPr>
              <w:spacing w:line="360" w:lineRule="auto"/>
              <w:rPr>
                <w:rFonts w:hint="eastAsia" w:ascii="宋体" w:hAnsi="宋体" w:eastAsia="宋体" w:cs="宋体"/>
                <w:color w:val="auto"/>
                <w:sz w:val="24"/>
                <w:highlight w:val="none"/>
              </w:rPr>
            </w:pPr>
            <w:r>
              <w:rPr>
                <w:rFonts w:hint="eastAsia" w:ascii="宋体" w:hAnsi="宋体" w:eastAsia="宋体" w:cs="宋体"/>
                <w:spacing w:val="-1"/>
                <w:sz w:val="24"/>
                <w:szCs w:val="24"/>
                <w:lang w:val="en-US" w:eastAsia="zh-CN"/>
              </w:rPr>
              <w:t>3.</w:t>
            </w:r>
            <w:r>
              <w:rPr>
                <w:rFonts w:ascii="宋体" w:hAnsi="宋体" w:eastAsia="宋体" w:cs="宋体"/>
                <w:spacing w:val="-1"/>
                <w:sz w:val="24"/>
                <w:szCs w:val="24"/>
              </w:rPr>
              <w:t>其他说明：本次采购中，供应商须</w:t>
            </w:r>
            <w:r>
              <w:rPr>
                <w:rFonts w:hint="eastAsia" w:ascii="宋体" w:hAnsi="宋体" w:eastAsia="宋体" w:cs="宋体"/>
                <w:spacing w:val="-1"/>
                <w:sz w:val="24"/>
                <w:szCs w:val="24"/>
                <w:lang w:val="en-US" w:eastAsia="zh-CN"/>
              </w:rPr>
              <w:t>应以年单价</w:t>
            </w:r>
            <w:r>
              <w:rPr>
                <w:rFonts w:ascii="宋体" w:hAnsi="宋体" w:eastAsia="宋体" w:cs="宋体"/>
                <w:spacing w:val="-1"/>
                <w:sz w:val="24"/>
                <w:szCs w:val="24"/>
              </w:rPr>
              <w:t>（元/</w:t>
            </w:r>
            <w:r>
              <w:rPr>
                <w:rFonts w:hint="eastAsia" w:ascii="宋体" w:hAnsi="宋体" w:eastAsia="宋体" w:cs="宋体"/>
                <w:spacing w:val="-1"/>
                <w:sz w:val="24"/>
                <w:szCs w:val="24"/>
                <w:lang w:val="en-US" w:eastAsia="zh-CN"/>
              </w:rPr>
              <w:t>年</w:t>
            </w:r>
            <w:r>
              <w:rPr>
                <w:rFonts w:ascii="宋体" w:hAnsi="宋体" w:eastAsia="宋体" w:cs="宋体"/>
                <w:spacing w:val="-1"/>
                <w:sz w:val="24"/>
                <w:szCs w:val="24"/>
              </w:rPr>
              <w:t>）进行报价，一旦中标，合同履行期间中标价不再做调整。</w:t>
            </w:r>
          </w:p>
          <w:p w14:paraId="15E226F1">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4、资金来源：</w:t>
            </w:r>
            <w:r>
              <w:rPr>
                <w:rFonts w:hint="eastAsia" w:ascii="宋体" w:hAnsi="宋体" w:eastAsia="宋体" w:cs="宋体"/>
                <w:b/>
                <w:bCs/>
                <w:color w:val="auto"/>
                <w:sz w:val="24"/>
                <w:highlight w:val="none"/>
                <w:lang w:val="en-US" w:eastAsia="zh-CN"/>
              </w:rPr>
              <w:t>财政性资金</w:t>
            </w:r>
          </w:p>
        </w:tc>
      </w:tr>
      <w:tr w14:paraId="1AF24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6" w:type="dxa"/>
          <w:trHeight w:val="594" w:hRule="atLeast"/>
          <w:jc w:val="center"/>
        </w:trPr>
        <w:tc>
          <w:tcPr>
            <w:tcW w:w="1087" w:type="dxa"/>
            <w:noWrap w:val="0"/>
            <w:vAlign w:val="center"/>
          </w:tcPr>
          <w:p w14:paraId="0FD96A36">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1.5</w:t>
            </w:r>
          </w:p>
        </w:tc>
        <w:tc>
          <w:tcPr>
            <w:tcW w:w="1423" w:type="dxa"/>
            <w:gridSpan w:val="2"/>
            <w:noWrap w:val="0"/>
            <w:vAlign w:val="center"/>
          </w:tcPr>
          <w:p w14:paraId="1BC7E1CF">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是否接受联合体投标</w:t>
            </w:r>
          </w:p>
        </w:tc>
        <w:tc>
          <w:tcPr>
            <w:tcW w:w="7104" w:type="dxa"/>
            <w:gridSpan w:val="2"/>
            <w:noWrap w:val="0"/>
            <w:vAlign w:val="center"/>
          </w:tcPr>
          <w:p w14:paraId="12CE6B16">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本项目不</w:t>
            </w:r>
            <w:r>
              <w:rPr>
                <w:rFonts w:hint="eastAsia" w:ascii="宋体" w:hAnsi="宋体" w:eastAsia="宋体" w:cs="宋体"/>
                <w:color w:val="auto"/>
                <w:sz w:val="24"/>
                <w:highlight w:val="none"/>
              </w:rPr>
              <w:t>接受</w:t>
            </w:r>
            <w:r>
              <w:rPr>
                <w:rFonts w:hint="eastAsia" w:ascii="宋体" w:hAnsi="宋体" w:eastAsia="宋体" w:cs="宋体"/>
                <w:color w:val="auto"/>
                <w:sz w:val="24"/>
                <w:highlight w:val="none"/>
                <w:lang w:val="en-US" w:eastAsia="zh-CN"/>
              </w:rPr>
              <w:t>联合体投标</w:t>
            </w:r>
          </w:p>
        </w:tc>
      </w:tr>
      <w:tr w14:paraId="6B5A4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6" w:type="dxa"/>
          <w:trHeight w:val="594" w:hRule="atLeast"/>
          <w:jc w:val="center"/>
        </w:trPr>
        <w:tc>
          <w:tcPr>
            <w:tcW w:w="1087" w:type="dxa"/>
            <w:noWrap w:val="0"/>
            <w:vAlign w:val="center"/>
          </w:tcPr>
          <w:p w14:paraId="6FA23421">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1.6</w:t>
            </w:r>
          </w:p>
        </w:tc>
        <w:tc>
          <w:tcPr>
            <w:tcW w:w="1423" w:type="dxa"/>
            <w:gridSpan w:val="2"/>
            <w:noWrap w:val="0"/>
            <w:vAlign w:val="center"/>
          </w:tcPr>
          <w:p w14:paraId="4BE430C7">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项目属性</w:t>
            </w:r>
          </w:p>
        </w:tc>
        <w:tc>
          <w:tcPr>
            <w:tcW w:w="7104" w:type="dxa"/>
            <w:gridSpan w:val="2"/>
            <w:noWrap w:val="0"/>
            <w:vAlign w:val="center"/>
          </w:tcPr>
          <w:p w14:paraId="662FD5B8">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项目属性：</w:t>
            </w:r>
          </w:p>
          <w:p w14:paraId="7DA88F3E">
            <w:pPr>
              <w:pStyle w:val="7"/>
              <w:rPr>
                <w:rFonts w:hint="eastAsia" w:ascii="宋体" w:hAnsi="宋体" w:eastAsia="宋体" w:cs="宋体"/>
                <w:color w:val="auto"/>
                <w:sz w:val="24"/>
                <w:highlight w:val="none"/>
                <w:lang w:val="en-US" w:eastAsia="zh-CN"/>
              </w:rPr>
            </w:pPr>
            <w:r>
              <w:rPr>
                <w:rFonts w:hint="eastAsia" w:ascii="宋体" w:hAnsi="宋体" w:eastAsia="宋体" w:cs="宋体"/>
                <w:color w:val="auto"/>
                <w:highlight w:val="none"/>
              </w:rPr>
              <w:t>☑</w:t>
            </w:r>
            <w:r>
              <w:rPr>
                <w:rFonts w:hint="eastAsia" w:eastAsia="宋体" w:cs="宋体"/>
                <w:color w:val="auto"/>
                <w:highlight w:val="none"/>
                <w:lang w:val="en-US" w:eastAsia="zh-CN"/>
              </w:rPr>
              <w:t>服务</w:t>
            </w:r>
          </w:p>
        </w:tc>
      </w:tr>
      <w:tr w14:paraId="5C501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6" w:type="dxa"/>
          <w:trHeight w:val="980" w:hRule="atLeast"/>
          <w:jc w:val="center"/>
        </w:trPr>
        <w:tc>
          <w:tcPr>
            <w:tcW w:w="1087" w:type="dxa"/>
            <w:noWrap w:val="0"/>
            <w:vAlign w:val="center"/>
          </w:tcPr>
          <w:p w14:paraId="2130BFFF">
            <w:pPr>
              <w:spacing w:line="360" w:lineRule="auto"/>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2</w:t>
            </w:r>
          </w:p>
        </w:tc>
        <w:tc>
          <w:tcPr>
            <w:tcW w:w="1423" w:type="dxa"/>
            <w:gridSpan w:val="2"/>
            <w:noWrap w:val="0"/>
            <w:vAlign w:val="center"/>
          </w:tcPr>
          <w:p w14:paraId="6AECD04E">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交货地点、</w:t>
            </w:r>
            <w:r>
              <w:rPr>
                <w:rFonts w:hint="eastAsia" w:ascii="宋体" w:hAnsi="宋体" w:eastAsia="宋体" w:cs="宋体"/>
                <w:color w:val="auto"/>
                <w:sz w:val="24"/>
                <w:highlight w:val="none"/>
                <w:lang w:val="en-US" w:eastAsia="zh-CN"/>
              </w:rPr>
              <w:t>合同履约期限</w:t>
            </w:r>
            <w:r>
              <w:rPr>
                <w:rFonts w:hint="eastAsia" w:ascii="宋体" w:hAnsi="宋体" w:eastAsia="宋体" w:cs="宋体"/>
                <w:color w:val="auto"/>
                <w:sz w:val="24"/>
                <w:highlight w:val="none"/>
              </w:rPr>
              <w:t>及</w:t>
            </w:r>
            <w:r>
              <w:rPr>
                <w:rFonts w:hint="eastAsia" w:ascii="宋体" w:hAnsi="宋体" w:eastAsia="宋体" w:cs="宋体"/>
                <w:color w:val="auto"/>
                <w:sz w:val="24"/>
                <w:highlight w:val="none"/>
                <w:lang w:eastAsia="zh-CN"/>
              </w:rPr>
              <w:t>质保期、质量要求</w:t>
            </w:r>
          </w:p>
        </w:tc>
        <w:tc>
          <w:tcPr>
            <w:tcW w:w="7104" w:type="dxa"/>
            <w:gridSpan w:val="2"/>
            <w:noWrap w:val="0"/>
            <w:vAlign w:val="center"/>
          </w:tcPr>
          <w:p w14:paraId="7E37919A">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交货地点：</w:t>
            </w:r>
            <w:r>
              <w:rPr>
                <w:rFonts w:hint="eastAsia" w:ascii="宋体" w:hAnsi="宋体" w:eastAsia="宋体" w:cs="宋体"/>
                <w:b/>
                <w:bCs/>
                <w:color w:val="auto"/>
                <w:sz w:val="24"/>
                <w:highlight w:val="none"/>
                <w:lang w:eastAsia="zh-CN"/>
              </w:rPr>
              <w:t>剑川县</w:t>
            </w:r>
            <w:r>
              <w:rPr>
                <w:rFonts w:hint="eastAsia" w:ascii="宋体" w:hAnsi="宋体" w:eastAsia="宋体" w:cs="宋体"/>
                <w:b/>
                <w:bCs/>
                <w:color w:val="auto"/>
                <w:sz w:val="24"/>
                <w:highlight w:val="none"/>
                <w:lang w:val="en-US" w:eastAsia="zh-CN"/>
              </w:rPr>
              <w:t>区域内</w:t>
            </w:r>
            <w:r>
              <w:rPr>
                <w:rFonts w:hint="eastAsia" w:ascii="宋体" w:hAnsi="宋体" w:eastAsia="宋体" w:cs="宋体"/>
                <w:b/>
                <w:bCs/>
                <w:color w:val="auto"/>
                <w:sz w:val="24"/>
                <w:highlight w:val="none"/>
              </w:rPr>
              <w:t>（采购人指定地点）</w:t>
            </w:r>
          </w:p>
          <w:p w14:paraId="66CFFB3B">
            <w:pPr>
              <w:spacing w:line="360" w:lineRule="auto"/>
              <w:rPr>
                <w:rFonts w:ascii="宋体" w:hAnsi="宋体" w:eastAsia="宋体" w:cs="宋体"/>
                <w:spacing w:val="-6"/>
                <w:sz w:val="24"/>
                <w:szCs w:val="24"/>
              </w:rPr>
            </w:pPr>
            <w:r>
              <w:rPr>
                <w:rFonts w:hint="eastAsia" w:ascii="宋体" w:hAnsi="宋体" w:eastAsia="宋体" w:cs="宋体"/>
                <w:b/>
                <w:color w:val="auto"/>
                <w:sz w:val="24"/>
                <w:highlight w:val="none"/>
              </w:rPr>
              <w:t>合同履行期限：</w:t>
            </w:r>
            <w:r>
              <w:rPr>
                <w:rFonts w:hint="eastAsia" w:ascii="宋体" w:hAnsi="宋体" w:eastAsia="宋体" w:cs="宋体"/>
                <w:spacing w:val="-6"/>
                <w:sz w:val="24"/>
                <w:szCs w:val="24"/>
                <w:lang w:val="en-US" w:eastAsia="zh-CN"/>
              </w:rPr>
              <w:t>项目服务期限为</w:t>
            </w:r>
            <w:r>
              <w:rPr>
                <w:rFonts w:ascii="宋体" w:hAnsi="宋体" w:eastAsia="宋体" w:cs="宋体"/>
                <w:spacing w:val="-50"/>
                <w:sz w:val="24"/>
                <w:szCs w:val="24"/>
              </w:rPr>
              <w:t xml:space="preserve"> </w:t>
            </w:r>
            <w:r>
              <w:rPr>
                <w:rFonts w:ascii="Times New Roman" w:hAnsi="Times New Roman" w:eastAsia="Times New Roman" w:cs="Times New Roman"/>
                <w:spacing w:val="-6"/>
                <w:sz w:val="24"/>
                <w:szCs w:val="24"/>
              </w:rPr>
              <w:t xml:space="preserve">3 </w:t>
            </w:r>
            <w:r>
              <w:rPr>
                <w:rFonts w:ascii="宋体" w:hAnsi="宋体" w:eastAsia="宋体" w:cs="宋体"/>
                <w:spacing w:val="-6"/>
                <w:sz w:val="24"/>
                <w:szCs w:val="24"/>
              </w:rPr>
              <w:t>年</w:t>
            </w:r>
            <w:r>
              <w:rPr>
                <w:rFonts w:hint="eastAsia" w:ascii="宋体" w:hAnsi="宋体" w:eastAsia="宋体" w:cs="宋体"/>
                <w:spacing w:val="-6"/>
                <w:sz w:val="24"/>
                <w:szCs w:val="24"/>
                <w:lang w:val="en-US" w:eastAsia="zh-CN"/>
              </w:rPr>
              <w:t>，</w:t>
            </w:r>
            <w:r>
              <w:rPr>
                <w:rFonts w:ascii="宋体" w:hAnsi="宋体" w:eastAsia="宋体" w:cs="宋体"/>
                <w:spacing w:val="-6"/>
                <w:sz w:val="24"/>
                <w:szCs w:val="24"/>
              </w:rPr>
              <w:t>合同一年一签。</w:t>
            </w:r>
          </w:p>
          <w:p w14:paraId="174225F5">
            <w:pPr>
              <w:spacing w:line="360" w:lineRule="auto"/>
              <w:rPr>
                <w:rFonts w:ascii="宋体" w:hAnsi="宋体" w:eastAsia="宋体" w:cs="宋体"/>
                <w:spacing w:val="-2"/>
                <w:sz w:val="24"/>
                <w:szCs w:val="24"/>
              </w:rPr>
            </w:pPr>
            <w:r>
              <w:rPr>
                <w:rFonts w:hint="eastAsia" w:ascii="宋体" w:hAnsi="宋体" w:eastAsia="宋体" w:cs="宋体"/>
                <w:spacing w:val="-6"/>
                <w:sz w:val="24"/>
                <w:szCs w:val="24"/>
                <w:lang w:val="en-US" w:eastAsia="zh-CN"/>
              </w:rPr>
              <w:t>一年</w:t>
            </w:r>
            <w:r>
              <w:rPr>
                <w:rFonts w:hint="eastAsia" w:ascii="宋体" w:hAnsi="宋体" w:eastAsia="宋体" w:cs="宋体"/>
                <w:spacing w:val="-6"/>
                <w:sz w:val="24"/>
                <w:szCs w:val="24"/>
              </w:rPr>
              <w:t>合同期满后采购人有权根据考核结果确定是否续签合同，若中标人服务质量与投标承诺内容不相符或达不到采购需求，</w:t>
            </w:r>
            <w:r>
              <w:rPr>
                <w:rFonts w:ascii="宋体" w:hAnsi="宋体" w:eastAsia="宋体" w:cs="宋体"/>
                <w:spacing w:val="-2"/>
                <w:sz w:val="24"/>
                <w:szCs w:val="24"/>
              </w:rPr>
              <w:t>采购人有权终止合</w:t>
            </w:r>
            <w:r>
              <w:rPr>
                <w:rFonts w:ascii="宋体" w:hAnsi="宋体" w:eastAsia="宋体" w:cs="宋体"/>
                <w:spacing w:val="-3"/>
                <w:sz w:val="24"/>
                <w:szCs w:val="24"/>
              </w:rPr>
              <w:t>同，相关责任和</w:t>
            </w:r>
            <w:r>
              <w:rPr>
                <w:rFonts w:ascii="宋体" w:hAnsi="宋体" w:eastAsia="宋体" w:cs="宋体"/>
                <w:spacing w:val="-2"/>
                <w:sz w:val="24"/>
                <w:szCs w:val="24"/>
              </w:rPr>
              <w:t>损失由中标人承担。</w:t>
            </w:r>
          </w:p>
          <w:p w14:paraId="76ABD6C8">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质量要求：</w:t>
            </w:r>
          </w:p>
          <w:p w14:paraId="5B790FC2">
            <w:pPr>
              <w:spacing w:line="360" w:lineRule="auto"/>
              <w:rPr>
                <w:rFonts w:hint="eastAsia" w:ascii="宋体" w:hAnsi="宋体" w:eastAsia="宋体" w:cs="宋体"/>
                <w:b/>
                <w:color w:val="auto"/>
                <w:sz w:val="24"/>
                <w:highlight w:val="none"/>
              </w:rPr>
            </w:pPr>
            <w:r>
              <w:rPr>
                <w:rFonts w:hint="eastAsia" w:ascii="宋体" w:hAnsi="宋体" w:eastAsia="宋体" w:cs="宋体"/>
                <w:spacing w:val="-6"/>
                <w:sz w:val="24"/>
                <w:szCs w:val="24"/>
                <w:lang w:val="en-US" w:eastAsia="zh-CN"/>
              </w:rPr>
              <w:t>系统改造后以及运营服务期内，出水稳定达到(GB16889-2008)标准排放。</w:t>
            </w:r>
          </w:p>
        </w:tc>
      </w:tr>
      <w:tr w14:paraId="29268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6" w:type="dxa"/>
          <w:trHeight w:val="594" w:hRule="atLeast"/>
          <w:jc w:val="center"/>
        </w:trPr>
        <w:tc>
          <w:tcPr>
            <w:tcW w:w="1087" w:type="dxa"/>
            <w:noWrap w:val="0"/>
            <w:vAlign w:val="center"/>
          </w:tcPr>
          <w:p w14:paraId="42973170">
            <w:pPr>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w:t>
            </w:r>
          </w:p>
        </w:tc>
        <w:tc>
          <w:tcPr>
            <w:tcW w:w="1423" w:type="dxa"/>
            <w:gridSpan w:val="2"/>
            <w:noWrap w:val="0"/>
            <w:vAlign w:val="center"/>
          </w:tcPr>
          <w:p w14:paraId="106124C9">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投标文件有效期</w:t>
            </w:r>
          </w:p>
        </w:tc>
        <w:tc>
          <w:tcPr>
            <w:tcW w:w="7104" w:type="dxa"/>
            <w:gridSpan w:val="2"/>
            <w:noWrap w:val="0"/>
            <w:vAlign w:val="center"/>
          </w:tcPr>
          <w:p w14:paraId="42FFABEF">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从提交投标文件截止之日起90日历天</w:t>
            </w:r>
          </w:p>
        </w:tc>
      </w:tr>
      <w:tr w14:paraId="0462C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6" w:type="dxa"/>
          <w:trHeight w:val="594" w:hRule="atLeast"/>
          <w:jc w:val="center"/>
        </w:trPr>
        <w:tc>
          <w:tcPr>
            <w:tcW w:w="1087" w:type="dxa"/>
            <w:noWrap w:val="0"/>
            <w:vAlign w:val="center"/>
          </w:tcPr>
          <w:p w14:paraId="2311CE0C">
            <w:pPr>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4</w:t>
            </w:r>
          </w:p>
        </w:tc>
        <w:tc>
          <w:tcPr>
            <w:tcW w:w="1423" w:type="dxa"/>
            <w:gridSpan w:val="2"/>
            <w:noWrap w:val="0"/>
            <w:vAlign w:val="center"/>
          </w:tcPr>
          <w:p w14:paraId="7B7389B6">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供应商资格要求</w:t>
            </w:r>
          </w:p>
        </w:tc>
        <w:tc>
          <w:tcPr>
            <w:tcW w:w="7104" w:type="dxa"/>
            <w:gridSpan w:val="2"/>
            <w:noWrap w:val="0"/>
            <w:vAlign w:val="center"/>
          </w:tcPr>
          <w:p w14:paraId="74ABC5F4">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详见</w:t>
            </w:r>
            <w:r>
              <w:rPr>
                <w:rFonts w:hint="eastAsia" w:ascii="宋体" w:hAnsi="宋体" w:eastAsia="宋体" w:cs="宋体"/>
                <w:b/>
                <w:bCs/>
                <w:color w:val="auto"/>
                <w:sz w:val="24"/>
                <w:highlight w:val="none"/>
              </w:rPr>
              <w:t>第一章“招标公告”</w:t>
            </w:r>
            <w:r>
              <w:rPr>
                <w:rFonts w:hint="eastAsia" w:ascii="宋体" w:hAnsi="宋体" w:eastAsia="宋体" w:cs="宋体"/>
                <w:color w:val="auto"/>
                <w:sz w:val="24"/>
                <w:highlight w:val="none"/>
              </w:rPr>
              <w:t>（供应商的资格要求）</w:t>
            </w:r>
          </w:p>
        </w:tc>
      </w:tr>
      <w:tr w14:paraId="107DE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20" w:hRule="atLeast"/>
          <w:jc w:val="center"/>
        </w:trPr>
        <w:tc>
          <w:tcPr>
            <w:tcW w:w="1093" w:type="dxa"/>
            <w:gridSpan w:val="2"/>
            <w:vMerge w:val="restart"/>
            <w:noWrap w:val="0"/>
            <w:vAlign w:val="center"/>
          </w:tcPr>
          <w:p w14:paraId="19D601C5">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5.2</w:t>
            </w:r>
          </w:p>
        </w:tc>
        <w:tc>
          <w:tcPr>
            <w:tcW w:w="1423" w:type="dxa"/>
            <w:gridSpan w:val="2"/>
            <w:noWrap w:val="0"/>
            <w:vAlign w:val="center"/>
          </w:tcPr>
          <w:p w14:paraId="0F7FD547">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现场考察</w:t>
            </w:r>
          </w:p>
        </w:tc>
        <w:tc>
          <w:tcPr>
            <w:tcW w:w="7098" w:type="dxa"/>
            <w:noWrap w:val="0"/>
            <w:vAlign w:val="center"/>
          </w:tcPr>
          <w:p w14:paraId="485EADB5">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☑不组织</w:t>
            </w:r>
          </w:p>
        </w:tc>
      </w:tr>
      <w:tr w14:paraId="04B32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20" w:hRule="atLeast"/>
          <w:jc w:val="center"/>
        </w:trPr>
        <w:tc>
          <w:tcPr>
            <w:tcW w:w="1093" w:type="dxa"/>
            <w:gridSpan w:val="2"/>
            <w:vMerge w:val="continue"/>
            <w:noWrap w:val="0"/>
            <w:vAlign w:val="center"/>
          </w:tcPr>
          <w:p w14:paraId="31B60FDC">
            <w:pPr>
              <w:jc w:val="center"/>
              <w:rPr>
                <w:rFonts w:hint="eastAsia" w:ascii="宋体" w:hAnsi="宋体" w:eastAsia="宋体" w:cs="宋体"/>
                <w:color w:val="auto"/>
                <w:sz w:val="24"/>
                <w:highlight w:val="none"/>
              </w:rPr>
            </w:pPr>
          </w:p>
        </w:tc>
        <w:tc>
          <w:tcPr>
            <w:tcW w:w="1423" w:type="dxa"/>
            <w:gridSpan w:val="2"/>
            <w:noWrap w:val="0"/>
            <w:vAlign w:val="center"/>
          </w:tcPr>
          <w:p w14:paraId="34E7BF89">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开标前答疑会</w:t>
            </w:r>
          </w:p>
        </w:tc>
        <w:tc>
          <w:tcPr>
            <w:tcW w:w="7098" w:type="dxa"/>
            <w:noWrap w:val="0"/>
            <w:vAlign w:val="center"/>
          </w:tcPr>
          <w:p w14:paraId="55F5D84A">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☑不召开</w:t>
            </w:r>
          </w:p>
        </w:tc>
      </w:tr>
      <w:tr w14:paraId="34DD3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6" w:type="dxa"/>
          <w:trHeight w:val="594" w:hRule="atLeast"/>
          <w:jc w:val="center"/>
        </w:trPr>
        <w:tc>
          <w:tcPr>
            <w:tcW w:w="1087" w:type="dxa"/>
            <w:noWrap w:val="0"/>
            <w:vAlign w:val="center"/>
          </w:tcPr>
          <w:p w14:paraId="4AAF799E">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1423" w:type="dxa"/>
            <w:gridSpan w:val="2"/>
            <w:noWrap w:val="0"/>
            <w:vAlign w:val="center"/>
          </w:tcPr>
          <w:p w14:paraId="2DB932FC">
            <w:pPr>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招标文件澄清截止时间</w:t>
            </w:r>
          </w:p>
        </w:tc>
        <w:tc>
          <w:tcPr>
            <w:tcW w:w="7104" w:type="dxa"/>
            <w:gridSpan w:val="2"/>
            <w:noWrap w:val="0"/>
            <w:vAlign w:val="center"/>
          </w:tcPr>
          <w:p w14:paraId="2C524FBB">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提交投标文件截止时间十五日前</w:t>
            </w:r>
          </w:p>
        </w:tc>
      </w:tr>
      <w:tr w14:paraId="4DFA2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6" w:type="dxa"/>
          <w:trHeight w:val="594" w:hRule="atLeast"/>
          <w:jc w:val="center"/>
        </w:trPr>
        <w:tc>
          <w:tcPr>
            <w:tcW w:w="1087" w:type="dxa"/>
            <w:noWrap w:val="0"/>
            <w:vAlign w:val="center"/>
          </w:tcPr>
          <w:p w14:paraId="52DBEEAA">
            <w:pPr>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9.5</w:t>
            </w:r>
          </w:p>
        </w:tc>
        <w:tc>
          <w:tcPr>
            <w:tcW w:w="1423" w:type="dxa"/>
            <w:gridSpan w:val="2"/>
            <w:noWrap w:val="0"/>
            <w:vAlign w:val="center"/>
          </w:tcPr>
          <w:p w14:paraId="47B99A72">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构成投标文件的其他资料</w:t>
            </w:r>
          </w:p>
        </w:tc>
        <w:tc>
          <w:tcPr>
            <w:tcW w:w="7104" w:type="dxa"/>
            <w:gridSpan w:val="2"/>
            <w:noWrap w:val="0"/>
            <w:vAlign w:val="center"/>
          </w:tcPr>
          <w:p w14:paraId="0CE717DF">
            <w:pPr>
              <w:autoSpaceDE w:val="0"/>
              <w:autoSpaceDN w:val="0"/>
              <w:snapToGrid w:val="0"/>
              <w:textAlignment w:val="bottom"/>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第五章</w:t>
            </w:r>
            <w:r>
              <w:rPr>
                <w:rFonts w:hint="eastAsia" w:ascii="宋体" w:hAnsi="宋体" w:eastAsia="宋体" w:cs="宋体"/>
                <w:bCs/>
                <w:color w:val="auto"/>
                <w:sz w:val="24"/>
                <w:highlight w:val="none"/>
                <w:lang w:val="en-US" w:eastAsia="zh-CN"/>
              </w:rPr>
              <w:t xml:space="preserve"> 采购需求</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中要求提供的其他资料；</w:t>
            </w:r>
          </w:p>
          <w:p w14:paraId="7206DC9C">
            <w:pPr>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2、招标文件中所涉及的相关资料及证明文件或供应商认为必须提供的其他相关资料。</w:t>
            </w:r>
          </w:p>
        </w:tc>
      </w:tr>
      <w:tr w14:paraId="49038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6" w:type="dxa"/>
          <w:trHeight w:val="672" w:hRule="atLeast"/>
          <w:jc w:val="center"/>
        </w:trPr>
        <w:tc>
          <w:tcPr>
            <w:tcW w:w="1087" w:type="dxa"/>
            <w:noWrap w:val="0"/>
            <w:vAlign w:val="center"/>
          </w:tcPr>
          <w:p w14:paraId="05597907">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w:t>
            </w:r>
          </w:p>
        </w:tc>
        <w:tc>
          <w:tcPr>
            <w:tcW w:w="1423" w:type="dxa"/>
            <w:gridSpan w:val="2"/>
            <w:noWrap w:val="0"/>
            <w:vAlign w:val="center"/>
          </w:tcPr>
          <w:p w14:paraId="2FE0FBED">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投标保证金</w:t>
            </w:r>
          </w:p>
        </w:tc>
        <w:tc>
          <w:tcPr>
            <w:tcW w:w="7104" w:type="dxa"/>
            <w:gridSpan w:val="2"/>
            <w:noWrap w:val="0"/>
            <w:vAlign w:val="center"/>
          </w:tcPr>
          <w:p w14:paraId="5A17AB84">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是否递交投标保证金</w:t>
            </w:r>
            <w:r>
              <w:rPr>
                <w:rFonts w:hint="eastAsia" w:ascii="宋体" w:hAnsi="宋体" w:eastAsia="宋体" w:cs="宋体"/>
                <w:color w:val="auto"/>
                <w:sz w:val="24"/>
                <w:highlight w:val="none"/>
              </w:rPr>
              <w:t>：</w:t>
            </w:r>
          </w:p>
          <w:p w14:paraId="7E29BEF2">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是</w:t>
            </w:r>
            <w:r>
              <w:rPr>
                <w:rFonts w:hint="eastAsia" w:ascii="宋体" w:hAnsi="宋体" w:eastAsia="宋体" w:cs="宋体"/>
                <w:color w:val="auto"/>
                <w:sz w:val="24"/>
                <w:highlight w:val="none"/>
              </w:rPr>
              <w:t>：</w:t>
            </w:r>
          </w:p>
          <w:p w14:paraId="6074ABFB">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否</w:t>
            </w:r>
            <w:r>
              <w:rPr>
                <w:rFonts w:hint="eastAsia" w:ascii="宋体" w:hAnsi="宋体" w:eastAsia="宋体" w:cs="宋体"/>
                <w:color w:val="auto"/>
                <w:sz w:val="24"/>
                <w:highlight w:val="none"/>
              </w:rPr>
              <w:t>：</w:t>
            </w:r>
          </w:p>
        </w:tc>
      </w:tr>
      <w:tr w14:paraId="3A956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6" w:type="dxa"/>
          <w:trHeight w:val="672" w:hRule="atLeast"/>
          <w:jc w:val="center"/>
        </w:trPr>
        <w:tc>
          <w:tcPr>
            <w:tcW w:w="1087" w:type="dxa"/>
            <w:noWrap w:val="0"/>
            <w:vAlign w:val="center"/>
          </w:tcPr>
          <w:p w14:paraId="45446368">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11.6.2</w:t>
            </w:r>
          </w:p>
        </w:tc>
        <w:tc>
          <w:tcPr>
            <w:tcW w:w="1423" w:type="dxa"/>
            <w:gridSpan w:val="2"/>
            <w:noWrap w:val="0"/>
            <w:vAlign w:val="center"/>
          </w:tcPr>
          <w:p w14:paraId="5A22C5BD">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不予退还投标保证金规定的其他情形</w:t>
            </w:r>
          </w:p>
        </w:tc>
        <w:tc>
          <w:tcPr>
            <w:tcW w:w="7104" w:type="dxa"/>
            <w:gridSpan w:val="2"/>
            <w:noWrap w:val="0"/>
            <w:vAlign w:val="center"/>
          </w:tcPr>
          <w:p w14:paraId="081CF292">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下列任何情况发生，投标保证金不予退还：</w:t>
            </w:r>
          </w:p>
          <w:p w14:paraId="2533E8E6">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（一）投标人在提交投标文件截止时间后撤回投标文件的；</w:t>
            </w:r>
          </w:p>
          <w:p w14:paraId="1FB3D81F">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（二）投标人在投标文件中提供虚假材料的；</w:t>
            </w:r>
          </w:p>
          <w:p w14:paraId="177C4894">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（三）除因不可抗力或招标文件认可的情形以外，中标人不与采购人签订合同的；</w:t>
            </w:r>
          </w:p>
          <w:p w14:paraId="4DF071DB">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（四）投标人与采购人、其他投标人或者采购代理机构恶意串通的；</w:t>
            </w:r>
          </w:p>
          <w:p w14:paraId="6D0C6FDB">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（五）法律法规及招标文件规定的其他情形。</w:t>
            </w:r>
          </w:p>
        </w:tc>
      </w:tr>
      <w:tr w14:paraId="249BD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6" w:type="dxa"/>
          <w:trHeight w:val="1386" w:hRule="atLeast"/>
          <w:jc w:val="center"/>
        </w:trPr>
        <w:tc>
          <w:tcPr>
            <w:tcW w:w="1087" w:type="dxa"/>
            <w:noWrap w:val="0"/>
            <w:vAlign w:val="center"/>
          </w:tcPr>
          <w:p w14:paraId="5FFA1E83">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12.1</w:t>
            </w:r>
          </w:p>
        </w:tc>
        <w:tc>
          <w:tcPr>
            <w:tcW w:w="1423" w:type="dxa"/>
            <w:gridSpan w:val="2"/>
            <w:noWrap w:val="0"/>
            <w:vAlign w:val="center"/>
          </w:tcPr>
          <w:p w14:paraId="19DF3B6A">
            <w:pPr>
              <w:jc w:val="cente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投标有效期</w:t>
            </w:r>
          </w:p>
        </w:tc>
        <w:tc>
          <w:tcPr>
            <w:tcW w:w="7104" w:type="dxa"/>
            <w:gridSpan w:val="2"/>
            <w:noWrap w:val="0"/>
            <w:vAlign w:val="center"/>
          </w:tcPr>
          <w:p w14:paraId="18C4B2DA">
            <w:pPr>
              <w:spacing w:line="360" w:lineRule="auto"/>
              <w:rPr>
                <w:rFonts w:hint="eastAsia" w:ascii="宋体" w:hAnsi="宋体" w:eastAsia="宋体" w:cs="宋体"/>
                <w:b w:val="0"/>
                <w:bCs w:val="0"/>
                <w:color w:val="00B0F0"/>
                <w:sz w:val="24"/>
                <w:highlight w:val="none"/>
                <w:lang w:val="en-US" w:eastAsia="zh-CN"/>
              </w:rPr>
            </w:pPr>
            <w:r>
              <w:rPr>
                <w:rFonts w:hint="eastAsia" w:ascii="宋体" w:hAnsi="宋体" w:eastAsia="宋体" w:cs="宋体"/>
                <w:b w:val="0"/>
                <w:bCs w:val="0"/>
                <w:color w:val="auto"/>
                <w:sz w:val="24"/>
                <w:highlight w:val="none"/>
                <w:lang w:val="en-US" w:eastAsia="zh-CN"/>
              </w:rPr>
              <w:t>递交投标文件截止之日起</w:t>
            </w:r>
            <w:r>
              <w:rPr>
                <w:rFonts w:hint="eastAsia" w:ascii="宋体" w:hAnsi="宋体" w:eastAsia="宋体" w:cs="宋体"/>
                <w:b w:val="0"/>
                <w:bCs w:val="0"/>
                <w:color w:val="auto"/>
                <w:sz w:val="24"/>
                <w:highlight w:val="none"/>
              </w:rPr>
              <w:t>90日历天</w:t>
            </w:r>
          </w:p>
        </w:tc>
      </w:tr>
      <w:tr w14:paraId="1B348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6" w:type="dxa"/>
          <w:trHeight w:val="1386" w:hRule="atLeast"/>
          <w:jc w:val="center"/>
        </w:trPr>
        <w:tc>
          <w:tcPr>
            <w:tcW w:w="1087" w:type="dxa"/>
            <w:noWrap w:val="0"/>
            <w:vAlign w:val="center"/>
          </w:tcPr>
          <w:p w14:paraId="20043460">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13.2</w:t>
            </w:r>
          </w:p>
        </w:tc>
        <w:tc>
          <w:tcPr>
            <w:tcW w:w="1423" w:type="dxa"/>
            <w:gridSpan w:val="2"/>
            <w:noWrap w:val="0"/>
            <w:vAlign w:val="center"/>
          </w:tcPr>
          <w:p w14:paraId="5155BA4D">
            <w:pPr>
              <w:jc w:val="center"/>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签字、盖章</w:t>
            </w:r>
          </w:p>
        </w:tc>
        <w:tc>
          <w:tcPr>
            <w:tcW w:w="7104" w:type="dxa"/>
            <w:gridSpan w:val="2"/>
            <w:noWrap w:val="0"/>
            <w:vAlign w:val="center"/>
          </w:tcPr>
          <w:p w14:paraId="14D78099">
            <w:pPr>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投标文件全部采用电子文档，投标文件所附证书证件均为原件的扫描件，上传的投标文件必须使用“政采云投标客户端”制作，并按照“第七章 投标文件的格式”进行单位和个人数字证书电子签章及电子签名。在需要电子签章的地方进行电子签章及电子签名，无需逐页电子签章及电子签名。</w:t>
            </w:r>
          </w:p>
        </w:tc>
      </w:tr>
      <w:tr w14:paraId="206CD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6" w:type="dxa"/>
          <w:trHeight w:val="1386" w:hRule="atLeast"/>
          <w:jc w:val="center"/>
        </w:trPr>
        <w:tc>
          <w:tcPr>
            <w:tcW w:w="1087" w:type="dxa"/>
            <w:noWrap w:val="0"/>
            <w:vAlign w:val="center"/>
          </w:tcPr>
          <w:p w14:paraId="2891AC22">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19.1</w:t>
            </w:r>
          </w:p>
        </w:tc>
        <w:tc>
          <w:tcPr>
            <w:tcW w:w="1423" w:type="dxa"/>
            <w:gridSpan w:val="2"/>
            <w:noWrap w:val="0"/>
            <w:vAlign w:val="center"/>
          </w:tcPr>
          <w:p w14:paraId="3B208988">
            <w:pPr>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color w:val="auto"/>
                <w:sz w:val="24"/>
                <w:highlight w:val="none"/>
              </w:rPr>
              <w:t>评标委员会</w:t>
            </w:r>
          </w:p>
        </w:tc>
        <w:tc>
          <w:tcPr>
            <w:tcW w:w="7104" w:type="dxa"/>
            <w:gridSpan w:val="2"/>
            <w:noWrap w:val="0"/>
            <w:vAlign w:val="center"/>
          </w:tcPr>
          <w:p w14:paraId="2CB9542B">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评标委员会由采购人代表和评审专家组成，成员人数为</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人以上单数，其中评审专家不得少于成员总数的三分之二。</w:t>
            </w:r>
          </w:p>
          <w:p w14:paraId="70162E22">
            <w:pPr>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color w:val="auto"/>
                <w:sz w:val="24"/>
                <w:highlight w:val="none"/>
              </w:rPr>
              <w:t>评标委员会应当推选组长，但采购人代表不得担任组长。</w:t>
            </w:r>
          </w:p>
        </w:tc>
      </w:tr>
      <w:tr w14:paraId="19464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1535" w:hRule="atLeast"/>
          <w:jc w:val="center"/>
        </w:trPr>
        <w:tc>
          <w:tcPr>
            <w:tcW w:w="1093" w:type="dxa"/>
            <w:gridSpan w:val="2"/>
            <w:noWrap w:val="0"/>
            <w:vAlign w:val="center"/>
          </w:tcPr>
          <w:p w14:paraId="1900BB90">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21.1</w:t>
            </w:r>
          </w:p>
        </w:tc>
        <w:tc>
          <w:tcPr>
            <w:tcW w:w="1417" w:type="dxa"/>
            <w:noWrap w:val="0"/>
            <w:vAlign w:val="center"/>
          </w:tcPr>
          <w:p w14:paraId="58FF1C76">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确定中标人</w:t>
            </w:r>
          </w:p>
        </w:tc>
        <w:tc>
          <w:tcPr>
            <w:tcW w:w="7104" w:type="dxa"/>
            <w:gridSpan w:val="2"/>
            <w:noWrap w:val="0"/>
            <w:vAlign w:val="center"/>
          </w:tcPr>
          <w:p w14:paraId="78CDB2B2">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中标候选人并列的，采购人是否委托评标委员会确定中标人：</w:t>
            </w:r>
          </w:p>
          <w:p w14:paraId="36FFDECC">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☑否</w:t>
            </w:r>
          </w:p>
          <w:p w14:paraId="708915EE">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中标候选人并列的，按照以下方式确定中标人： </w:t>
            </w:r>
          </w:p>
          <w:p w14:paraId="1897098E">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☑得分且投标报价均相同的，以技术部分得分高者为中标人</w:t>
            </w:r>
            <w:r>
              <w:rPr>
                <w:rFonts w:hint="eastAsia" w:ascii="宋体" w:hAnsi="宋体" w:eastAsia="宋体" w:cs="宋体"/>
                <w:color w:val="auto"/>
                <w:sz w:val="24"/>
                <w:highlight w:val="none"/>
                <w:lang w:eastAsia="zh-CN"/>
              </w:rPr>
              <w:t>。</w:t>
            </w:r>
          </w:p>
        </w:tc>
      </w:tr>
      <w:tr w14:paraId="36377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443" w:hRule="atLeast"/>
          <w:jc w:val="center"/>
        </w:trPr>
        <w:tc>
          <w:tcPr>
            <w:tcW w:w="1093" w:type="dxa"/>
            <w:gridSpan w:val="2"/>
            <w:noWrap w:val="0"/>
            <w:vAlign w:val="center"/>
          </w:tcPr>
          <w:p w14:paraId="7B245AB3">
            <w:pPr>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24.4</w:t>
            </w:r>
          </w:p>
        </w:tc>
        <w:tc>
          <w:tcPr>
            <w:tcW w:w="1417" w:type="dxa"/>
            <w:noWrap w:val="0"/>
            <w:vAlign w:val="center"/>
          </w:tcPr>
          <w:p w14:paraId="62D219B4">
            <w:pPr>
              <w:spacing w:line="360" w:lineRule="auto"/>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分包</w:t>
            </w:r>
          </w:p>
        </w:tc>
        <w:tc>
          <w:tcPr>
            <w:tcW w:w="7104" w:type="dxa"/>
            <w:gridSpan w:val="2"/>
            <w:noWrap w:val="0"/>
            <w:vAlign w:val="center"/>
          </w:tcPr>
          <w:p w14:paraId="0161804D">
            <w:pPr>
              <w:spacing w:line="360" w:lineRule="auto"/>
              <w:jc w:val="both"/>
              <w:rPr>
                <w:rFonts w:hint="eastAsia" w:ascii="宋体" w:hAnsi="宋体" w:eastAsia="宋体" w:cs="宋体"/>
                <w:color w:val="auto"/>
                <w:sz w:val="24"/>
                <w:highlight w:val="none"/>
              </w:rPr>
            </w:pPr>
            <w:r>
              <w:rPr>
                <w:rFonts w:hint="eastAsia" w:ascii="Times New Roman" w:hAnsi="Times New Roman" w:eastAsia="宋体" w:cs="Times New Roman"/>
                <w:b/>
                <w:bCs/>
                <w:sz w:val="24"/>
                <w:szCs w:val="24"/>
              </w:rPr>
              <w:t>本项目不允许分包</w:t>
            </w:r>
          </w:p>
        </w:tc>
      </w:tr>
      <w:tr w14:paraId="4CA8F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6" w:type="dxa"/>
          <w:trHeight w:val="1386" w:hRule="atLeast"/>
          <w:jc w:val="center"/>
        </w:trPr>
        <w:tc>
          <w:tcPr>
            <w:tcW w:w="1087" w:type="dxa"/>
            <w:noWrap w:val="0"/>
            <w:vAlign w:val="center"/>
          </w:tcPr>
          <w:p w14:paraId="57630511">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24.6</w:t>
            </w:r>
          </w:p>
        </w:tc>
        <w:tc>
          <w:tcPr>
            <w:tcW w:w="1423" w:type="dxa"/>
            <w:gridSpan w:val="2"/>
            <w:noWrap w:val="0"/>
            <w:vAlign w:val="center"/>
          </w:tcPr>
          <w:p w14:paraId="0D304A33">
            <w:pPr>
              <w:spacing w:line="360" w:lineRule="auto"/>
              <w:jc w:val="center"/>
              <w:rPr>
                <w:rFonts w:hint="eastAsia" w:ascii="宋体" w:hAnsi="宋体" w:eastAsia="宋体" w:cs="宋体"/>
                <w:b w:val="0"/>
                <w:bCs w:val="0"/>
                <w:color w:val="auto"/>
                <w:sz w:val="24"/>
                <w:highlight w:val="none"/>
                <w:lang w:val="en-US" w:eastAsia="zh-CN"/>
              </w:rPr>
            </w:pPr>
            <w:r>
              <w:rPr>
                <w:rFonts w:hint="eastAsia" w:ascii="宋体" w:hAnsi="宋体" w:eastAsia="宋体" w:cs="宋体"/>
                <w:color w:val="auto"/>
                <w:sz w:val="24"/>
                <w:highlight w:val="none"/>
              </w:rPr>
              <w:t>合同签订方式及付款方式</w:t>
            </w:r>
          </w:p>
        </w:tc>
        <w:tc>
          <w:tcPr>
            <w:tcW w:w="7104" w:type="dxa"/>
            <w:gridSpan w:val="2"/>
            <w:noWrap w:val="0"/>
            <w:vAlign w:val="center"/>
          </w:tcPr>
          <w:p w14:paraId="4E993D4B">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合同签订方式：中标供应商与采购人</w:t>
            </w:r>
            <w:r>
              <w:rPr>
                <w:rFonts w:hint="eastAsia" w:ascii="宋体" w:hAnsi="宋体" w:eastAsia="宋体" w:cs="宋体"/>
                <w:color w:val="auto"/>
                <w:sz w:val="24"/>
                <w:highlight w:val="none"/>
                <w:lang w:eastAsia="zh-CN"/>
              </w:rPr>
              <w:t>签订</w:t>
            </w:r>
            <w:r>
              <w:rPr>
                <w:rFonts w:hint="eastAsia" w:ascii="宋体" w:hAnsi="宋体" w:eastAsia="宋体" w:cs="宋体"/>
                <w:color w:val="auto"/>
                <w:sz w:val="24"/>
                <w:highlight w:val="none"/>
              </w:rPr>
              <w:t>合同。</w:t>
            </w:r>
          </w:p>
          <w:p w14:paraId="5CDBD70E">
            <w:pPr>
              <w:widowControl w:val="0"/>
              <w:wordWrap w:val="0"/>
              <w:spacing w:line="360" w:lineRule="auto"/>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付款方式：</w:t>
            </w:r>
          </w:p>
          <w:p w14:paraId="11439997">
            <w:pPr>
              <w:widowControl w:val="0"/>
              <w:wordWrap w:val="0"/>
              <w:spacing w:line="360" w:lineRule="auto"/>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1、运营服务费按季度结算。</w:t>
            </w:r>
          </w:p>
          <w:p w14:paraId="4B5B9D0F">
            <w:pPr>
              <w:spacing w:line="360" w:lineRule="auto"/>
              <w:rPr>
                <w:rFonts w:hint="eastAsia" w:ascii="宋体" w:hAnsi="宋体" w:eastAsia="宋体" w:cs="宋体"/>
                <w:b w:val="0"/>
                <w:bCs w:val="0"/>
                <w:color w:val="auto"/>
                <w:sz w:val="24"/>
                <w:highlight w:val="none"/>
                <w:lang w:val="en-US" w:eastAsia="zh-CN"/>
              </w:rPr>
            </w:pPr>
            <w:r>
              <w:rPr>
                <w:rFonts w:hint="eastAsia" w:ascii="Times New Roman" w:hAnsi="Times New Roman" w:eastAsia="宋体" w:cs="Times New Roman"/>
                <w:sz w:val="24"/>
                <w:szCs w:val="24"/>
                <w:lang w:val="en-US" w:eastAsia="zh-CN"/>
              </w:rPr>
              <w:t>2、乙方应在每个季度结束后5个工作日内(遇节假日顺延至下一个工作日)向甲方提交上季度付费申请以及运营服务费发票，甲方在收到该资料后，7个工作日内完成支付。如因乙方开票迟延导致甲方付款迟延的，由乙方承担迟延责任。</w:t>
            </w:r>
          </w:p>
        </w:tc>
      </w:tr>
      <w:tr w14:paraId="28EF9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6" w:type="dxa"/>
          <w:trHeight w:val="1386" w:hRule="atLeast"/>
          <w:jc w:val="center"/>
        </w:trPr>
        <w:tc>
          <w:tcPr>
            <w:tcW w:w="1087" w:type="dxa"/>
            <w:noWrap w:val="0"/>
            <w:vAlign w:val="center"/>
          </w:tcPr>
          <w:p w14:paraId="18585438">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24.7</w:t>
            </w:r>
          </w:p>
        </w:tc>
        <w:tc>
          <w:tcPr>
            <w:tcW w:w="1423" w:type="dxa"/>
            <w:gridSpan w:val="2"/>
            <w:noWrap w:val="0"/>
            <w:vAlign w:val="center"/>
          </w:tcPr>
          <w:p w14:paraId="48124C63">
            <w:pPr>
              <w:spacing w:line="4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追加合同金额</w:t>
            </w:r>
          </w:p>
        </w:tc>
        <w:tc>
          <w:tcPr>
            <w:tcW w:w="7104" w:type="dxa"/>
            <w:gridSpan w:val="2"/>
            <w:noWrap w:val="0"/>
            <w:vAlign w:val="center"/>
          </w:tcPr>
          <w:p w14:paraId="087B2583">
            <w:pPr>
              <w:pStyle w:val="15"/>
              <w:spacing w:line="420" w:lineRule="exact"/>
              <w:ind w:left="0" w:lef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Cs w:val="24"/>
                <w:highlight w:val="none"/>
              </w:rPr>
              <w:t>政府采购合同履行中，采购人需追加与合同标的相同的服务的，在不改变合同其他条款的前提下，可以与中标供应商签订补充合同，但所有补充合同的采购金额变更不得超过原合同采购金额的10%，其中金额增加需办理合同追加手续。</w:t>
            </w:r>
          </w:p>
        </w:tc>
      </w:tr>
      <w:tr w14:paraId="59857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6" w:type="dxa"/>
          <w:trHeight w:val="1386" w:hRule="atLeast"/>
          <w:jc w:val="center"/>
        </w:trPr>
        <w:tc>
          <w:tcPr>
            <w:tcW w:w="1087" w:type="dxa"/>
            <w:noWrap w:val="0"/>
            <w:vAlign w:val="center"/>
          </w:tcPr>
          <w:p w14:paraId="1F42F3C5">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28.1</w:t>
            </w:r>
          </w:p>
        </w:tc>
        <w:tc>
          <w:tcPr>
            <w:tcW w:w="1423" w:type="dxa"/>
            <w:gridSpan w:val="2"/>
            <w:noWrap w:val="0"/>
            <w:vAlign w:val="center"/>
          </w:tcPr>
          <w:p w14:paraId="6637FF85">
            <w:pPr>
              <w:spacing w:line="42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代理服务费</w:t>
            </w:r>
          </w:p>
        </w:tc>
        <w:tc>
          <w:tcPr>
            <w:tcW w:w="7104" w:type="dxa"/>
            <w:gridSpan w:val="2"/>
            <w:noWrap w:val="0"/>
            <w:vAlign w:val="center"/>
          </w:tcPr>
          <w:p w14:paraId="76265FAF">
            <w:pPr>
              <w:pStyle w:val="15"/>
              <w:spacing w:line="420" w:lineRule="exact"/>
              <w:ind w:left="0" w:leftChars="0" w:firstLine="0" w:firstLineChars="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收费对象：</w:t>
            </w:r>
          </w:p>
          <w:p w14:paraId="47C6C5AA">
            <w:pPr>
              <w:pStyle w:val="15"/>
              <w:spacing w:line="420" w:lineRule="exact"/>
              <w:ind w:left="0" w:leftChars="0" w:firstLine="0" w:firstLineChars="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☑中标人</w:t>
            </w:r>
          </w:p>
          <w:p w14:paraId="568A1029">
            <w:pPr>
              <w:pStyle w:val="15"/>
              <w:spacing w:line="420" w:lineRule="exact"/>
              <w:ind w:left="0" w:leftChars="0" w:firstLine="0" w:firstLineChars="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收费标准：中标人在领取《中标通知书》时应向采购代理机构交纳本采购项目的中标服务费，中标供应商根据《国家发展改革委关于进一步放开建设项目专业服务价格的通知》（发改价格〔2015〕299号）文件规定，参照《云南省建设工程招标投标行业协会关于印发〈云南省建设工程及政府采购代理服务收费参考意见〉的通知》（云建招协〔2026〕11号）文件中</w:t>
            </w:r>
            <w:r>
              <w:rPr>
                <w:rFonts w:hint="eastAsia" w:ascii="宋体" w:hAnsi="宋体" w:eastAsia="宋体" w:cs="宋体"/>
                <w:b/>
                <w:bCs/>
                <w:color w:val="auto"/>
                <w:szCs w:val="24"/>
                <w:highlight w:val="none"/>
                <w:lang w:val="en-US" w:eastAsia="zh-CN"/>
              </w:rPr>
              <w:t>服务</w:t>
            </w:r>
            <w:r>
              <w:rPr>
                <w:rFonts w:hint="eastAsia" w:ascii="宋体" w:hAnsi="宋体" w:eastAsia="宋体" w:cs="宋体"/>
                <w:b/>
                <w:bCs/>
                <w:color w:val="auto"/>
                <w:szCs w:val="24"/>
                <w:highlight w:val="none"/>
              </w:rPr>
              <w:t>类</w:t>
            </w:r>
            <w:r>
              <w:rPr>
                <w:rFonts w:hint="eastAsia" w:ascii="宋体" w:hAnsi="宋体" w:eastAsia="宋体" w:cs="宋体"/>
                <w:color w:val="auto"/>
                <w:szCs w:val="24"/>
                <w:highlight w:val="none"/>
              </w:rPr>
              <w:t>收费</w:t>
            </w:r>
            <w:r>
              <w:rPr>
                <w:rFonts w:hint="eastAsia" w:ascii="宋体" w:hAnsi="宋体" w:eastAsia="宋体" w:cs="宋体"/>
                <w:color w:val="auto"/>
                <w:szCs w:val="24"/>
                <w:highlight w:val="none"/>
                <w:lang w:val="en-US" w:eastAsia="zh-CN"/>
              </w:rPr>
              <w:t>标准</w:t>
            </w:r>
            <w:r>
              <w:rPr>
                <w:rFonts w:hint="eastAsia" w:ascii="宋体" w:hAnsi="宋体" w:eastAsia="宋体" w:cs="宋体"/>
                <w:color w:val="auto"/>
                <w:szCs w:val="24"/>
                <w:highlight w:val="none"/>
              </w:rPr>
              <w:t>计算后由中标人向采购代理机构交纳。</w:t>
            </w:r>
          </w:p>
          <w:p w14:paraId="39392005">
            <w:pPr>
              <w:pStyle w:val="15"/>
              <w:spacing w:line="420" w:lineRule="exact"/>
              <w:ind w:left="0" w:leftChars="0" w:firstLine="0" w:firstLineChars="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代理机构的开户银行及账号：</w:t>
            </w:r>
          </w:p>
          <w:p w14:paraId="3A5DC5A0">
            <w:pPr>
              <w:pStyle w:val="15"/>
              <w:spacing w:line="420" w:lineRule="exact"/>
              <w:ind w:left="0" w:leftChars="0" w:firstLine="0" w:firstLineChars="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开户银行：</w:t>
            </w:r>
            <w:r>
              <w:rPr>
                <w:rFonts w:hint="eastAsia" w:ascii="Times New Roman" w:hAnsi="Times New Roman"/>
                <w:kern w:val="2"/>
                <w:sz w:val="24"/>
                <w:szCs w:val="24"/>
              </w:rPr>
              <w:t>中国农业银行股份有限公司剑川县支行</w:t>
            </w:r>
          </w:p>
          <w:p w14:paraId="63F7E8D0">
            <w:pPr>
              <w:pStyle w:val="15"/>
              <w:spacing w:line="420" w:lineRule="exact"/>
              <w:ind w:left="0" w:leftChars="0" w:firstLine="0" w:firstLineChars="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账号：</w:t>
            </w:r>
            <w:r>
              <w:rPr>
                <w:rFonts w:hint="eastAsia" w:ascii="Times New Roman" w:hAnsi="Times New Roman"/>
                <w:kern w:val="2"/>
                <w:sz w:val="24"/>
                <w:szCs w:val="24"/>
              </w:rPr>
              <w:t>2</w:t>
            </w:r>
            <w:r>
              <w:rPr>
                <w:rFonts w:hint="eastAsia" w:ascii="Times New Roman" w:hAnsi="Times New Roman" w:eastAsia="宋体" w:cs="Times New Roman"/>
                <w:kern w:val="2"/>
                <w:sz w:val="24"/>
                <w:szCs w:val="24"/>
              </w:rPr>
              <w:t>4319801040016781</w:t>
            </w:r>
          </w:p>
          <w:p w14:paraId="7F80BE9C">
            <w:pPr>
              <w:pStyle w:val="15"/>
              <w:spacing w:line="420" w:lineRule="exact"/>
              <w:ind w:left="0" w:leftChars="0" w:firstLine="0" w:firstLineChars="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单位名称：</w:t>
            </w:r>
            <w:r>
              <w:rPr>
                <w:rFonts w:hint="eastAsia" w:ascii="Times New Roman" w:hAnsi="Times New Roman"/>
                <w:kern w:val="2"/>
                <w:sz w:val="24"/>
                <w:szCs w:val="24"/>
                <w:lang w:val="en-US" w:eastAsia="zh-CN"/>
              </w:rPr>
              <w:t>剑川县众森工程咨询有限公司</w:t>
            </w:r>
          </w:p>
        </w:tc>
      </w:tr>
      <w:tr w14:paraId="31987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6" w:type="dxa"/>
          <w:trHeight w:val="444" w:hRule="atLeast"/>
          <w:jc w:val="center"/>
        </w:trPr>
        <w:tc>
          <w:tcPr>
            <w:tcW w:w="1087" w:type="dxa"/>
            <w:noWrap w:val="0"/>
            <w:vAlign w:val="center"/>
          </w:tcPr>
          <w:p w14:paraId="22495393">
            <w:pPr>
              <w:kinsoku w:val="0"/>
              <w:autoSpaceDE w:val="0"/>
              <w:autoSpaceDN w:val="0"/>
              <w:adjustRightInd w:val="0"/>
              <w:snapToGrid w:val="0"/>
              <w:spacing w:line="380" w:lineRule="exact"/>
              <w:jc w:val="center"/>
              <w:textAlignment w:val="baseline"/>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pacing w:val="12"/>
                <w:sz w:val="24"/>
                <w:highlight w:val="none"/>
                <w:lang w:val="en-US" w:eastAsia="zh-CN"/>
              </w:rPr>
              <w:t>30</w:t>
            </w:r>
          </w:p>
        </w:tc>
        <w:tc>
          <w:tcPr>
            <w:tcW w:w="8527" w:type="dxa"/>
            <w:gridSpan w:val="4"/>
            <w:noWrap w:val="0"/>
            <w:vAlign w:val="center"/>
          </w:tcPr>
          <w:p w14:paraId="3EED7DF6">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其他需要补充的内容</w:t>
            </w:r>
          </w:p>
        </w:tc>
      </w:tr>
      <w:tr w14:paraId="7A90B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6" w:type="dxa"/>
          <w:trHeight w:val="426" w:hRule="atLeast"/>
          <w:jc w:val="center"/>
        </w:trPr>
        <w:tc>
          <w:tcPr>
            <w:tcW w:w="1087" w:type="dxa"/>
            <w:noWrap w:val="0"/>
            <w:vAlign w:val="center"/>
          </w:tcPr>
          <w:p w14:paraId="7061C851">
            <w:pPr>
              <w:kinsoku w:val="0"/>
              <w:autoSpaceDE w:val="0"/>
              <w:autoSpaceDN w:val="0"/>
              <w:adjustRightInd w:val="0"/>
              <w:snapToGrid w:val="0"/>
              <w:spacing w:line="380" w:lineRule="exact"/>
              <w:jc w:val="center"/>
              <w:textAlignment w:val="baseline"/>
              <w:rPr>
                <w:rFonts w:hint="eastAsia" w:ascii="宋体" w:hAnsi="宋体" w:eastAsia="宋体" w:cs="宋体"/>
                <w:color w:val="auto"/>
                <w:spacing w:val="12"/>
                <w:sz w:val="24"/>
                <w:highlight w:val="none"/>
                <w:lang w:val="en-US" w:eastAsia="zh-CN"/>
              </w:rPr>
            </w:pPr>
            <w:r>
              <w:rPr>
                <w:rFonts w:hint="eastAsia" w:ascii="宋体" w:hAnsi="宋体" w:eastAsia="宋体" w:cs="宋体"/>
                <w:color w:val="auto"/>
                <w:spacing w:val="12"/>
                <w:sz w:val="24"/>
                <w:highlight w:val="none"/>
                <w:lang w:val="en-US" w:eastAsia="zh-CN"/>
              </w:rPr>
              <w:t>30.1</w:t>
            </w:r>
          </w:p>
        </w:tc>
        <w:tc>
          <w:tcPr>
            <w:tcW w:w="8527" w:type="dxa"/>
            <w:gridSpan w:val="4"/>
            <w:noWrap w:val="0"/>
            <w:vAlign w:val="center"/>
          </w:tcPr>
          <w:p w14:paraId="5E6F9C8A">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信用信息查询</w:t>
            </w:r>
            <w:r>
              <w:rPr>
                <w:rFonts w:hint="eastAsia" w:ascii="宋体" w:hAnsi="宋体" w:eastAsia="宋体" w:cs="宋体"/>
                <w:color w:val="auto"/>
                <w:sz w:val="24"/>
                <w:highlight w:val="none"/>
                <w:lang w:eastAsia="zh-CN"/>
              </w:rPr>
              <w:t>：</w:t>
            </w:r>
          </w:p>
          <w:p w14:paraId="46B6DACE">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（1）信用信息查询渠道及截止时间：采购代理机构将在通过“信用中国”网站（www.creditchina.gov.cn）、中国政府采购网（www.ccgp.gov.cn）渠道查询供应商接受资格审查时的信用记录。</w:t>
            </w:r>
          </w:p>
          <w:p w14:paraId="605DCB95">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信用信息查询记录和证据留存的具体方式：采购代理机构在“信用中国”网站（www.creditchina.gov.cn）对供应商进行失信被执行人、重大税收违法失信主体和政府采购严重违法失信行为记录名单的信用信息查询；在中国政府采购网（www.ccgp.gov.cn）对供应商进行“政府采购严重违法失信行为信息记录”的信用信息查询。查询的供应商信用记录、查询结果经确认后将与采购文件一起存档。</w:t>
            </w:r>
          </w:p>
          <w:p w14:paraId="17C4E569">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（3）信用信息的使用规则：经查询列入失信被执行人名单或者重大税收违法失信主体或者政府采购严重违法失信行为记录名单的供应商将被拒绝参与政府采购活动。</w:t>
            </w:r>
          </w:p>
        </w:tc>
      </w:tr>
      <w:tr w14:paraId="5AC76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6" w:type="dxa"/>
          <w:trHeight w:val="426" w:hRule="atLeast"/>
          <w:jc w:val="center"/>
        </w:trPr>
        <w:tc>
          <w:tcPr>
            <w:tcW w:w="1087" w:type="dxa"/>
            <w:noWrap w:val="0"/>
            <w:vAlign w:val="center"/>
          </w:tcPr>
          <w:p w14:paraId="1AAF894D">
            <w:pPr>
              <w:kinsoku w:val="0"/>
              <w:autoSpaceDE w:val="0"/>
              <w:autoSpaceDN w:val="0"/>
              <w:adjustRightInd w:val="0"/>
              <w:snapToGrid w:val="0"/>
              <w:spacing w:line="380" w:lineRule="exact"/>
              <w:jc w:val="center"/>
              <w:textAlignment w:val="baseline"/>
              <w:rPr>
                <w:rFonts w:hint="eastAsia" w:ascii="宋体" w:hAnsi="宋体" w:eastAsia="宋体" w:cs="宋体"/>
                <w:color w:val="auto"/>
                <w:spacing w:val="12"/>
                <w:sz w:val="24"/>
                <w:highlight w:val="none"/>
                <w:lang w:val="en-US" w:eastAsia="zh-CN"/>
              </w:rPr>
            </w:pPr>
            <w:r>
              <w:rPr>
                <w:rFonts w:hint="eastAsia" w:ascii="宋体" w:hAnsi="宋体" w:eastAsia="宋体" w:cs="宋体"/>
                <w:color w:val="auto"/>
                <w:spacing w:val="12"/>
                <w:sz w:val="24"/>
                <w:highlight w:val="none"/>
                <w:lang w:val="en-US" w:eastAsia="zh-CN"/>
              </w:rPr>
              <w:t>30.2</w:t>
            </w:r>
          </w:p>
        </w:tc>
        <w:tc>
          <w:tcPr>
            <w:tcW w:w="8527" w:type="dxa"/>
            <w:gridSpan w:val="4"/>
            <w:noWrap w:val="0"/>
            <w:vAlign w:val="center"/>
          </w:tcPr>
          <w:p w14:paraId="166C76D6">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中小企业合同融资</w:t>
            </w:r>
            <w:r>
              <w:rPr>
                <w:rFonts w:hint="eastAsia" w:ascii="宋体" w:hAnsi="宋体" w:eastAsia="宋体" w:cs="宋体"/>
                <w:color w:val="auto"/>
                <w:sz w:val="24"/>
                <w:szCs w:val="24"/>
                <w:highlight w:val="none"/>
                <w:lang w:eastAsia="zh-CN"/>
              </w:rPr>
              <w:t>：</w:t>
            </w:r>
          </w:p>
          <w:p w14:paraId="25E68EAB">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为支持和促进中小企业发展，进一步发挥政府采购政策功能，大理州财政局与中国人民银行大理州中心支行共同出台了《大理州支持中小微企业政府采购合同质押融资试行方案》（大财采〔2023〕5号）。中标（成交）中小企业若有融资意向，请登录“云南省政府采购网（大理分网）－政策法规栏目”下查看融资政策文件及操作手册，登录“中征应收账款融资服务平台”按照操作手册流程登记融资意向或查看各相关银行服务方案。</w:t>
            </w:r>
          </w:p>
          <w:p w14:paraId="26833CE4">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“云南省政府采购网（大理分网）－政策法规栏目”网址：http://zs.yngp.com/login.do?method=beginlogin&amp;districts=532900 </w:t>
            </w:r>
          </w:p>
          <w:p w14:paraId="6F1E0F9A">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“中征应收账款融资服务平台”网址：https://www.crcrfsp.com</w:t>
            </w:r>
          </w:p>
        </w:tc>
      </w:tr>
      <w:tr w14:paraId="7FB85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6" w:type="dxa"/>
          <w:trHeight w:val="426" w:hRule="atLeast"/>
          <w:jc w:val="center"/>
        </w:trPr>
        <w:tc>
          <w:tcPr>
            <w:tcW w:w="1087" w:type="dxa"/>
            <w:noWrap w:val="0"/>
            <w:vAlign w:val="center"/>
          </w:tcPr>
          <w:p w14:paraId="0A84DB59">
            <w:pPr>
              <w:kinsoku w:val="0"/>
              <w:autoSpaceDE w:val="0"/>
              <w:autoSpaceDN w:val="0"/>
              <w:adjustRightInd w:val="0"/>
              <w:snapToGrid w:val="0"/>
              <w:spacing w:line="380" w:lineRule="exact"/>
              <w:jc w:val="center"/>
              <w:textAlignment w:val="baseline"/>
              <w:rPr>
                <w:rFonts w:hint="eastAsia" w:ascii="宋体" w:hAnsi="宋体" w:eastAsia="宋体" w:cs="宋体"/>
                <w:color w:val="auto"/>
                <w:spacing w:val="12"/>
                <w:sz w:val="24"/>
                <w:highlight w:val="none"/>
                <w:lang w:val="en-US" w:eastAsia="zh-CN"/>
              </w:rPr>
            </w:pPr>
            <w:r>
              <w:rPr>
                <w:rFonts w:hint="eastAsia" w:ascii="宋体" w:hAnsi="宋体" w:eastAsia="宋体" w:cs="宋体"/>
                <w:color w:val="auto"/>
                <w:spacing w:val="12"/>
                <w:sz w:val="24"/>
                <w:highlight w:val="none"/>
                <w:lang w:val="en-US" w:eastAsia="zh-CN"/>
              </w:rPr>
              <w:t>30.3</w:t>
            </w:r>
          </w:p>
        </w:tc>
        <w:tc>
          <w:tcPr>
            <w:tcW w:w="8527" w:type="dxa"/>
            <w:gridSpan w:val="4"/>
            <w:noWrap w:val="0"/>
            <w:vAlign w:val="center"/>
          </w:tcPr>
          <w:p w14:paraId="3742186B">
            <w:pPr>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履约保证金</w:t>
            </w:r>
            <w:r>
              <w:rPr>
                <w:rFonts w:hint="eastAsia" w:ascii="宋体" w:hAnsi="宋体" w:eastAsia="宋体" w:cs="宋体"/>
                <w:b/>
                <w:bCs/>
                <w:color w:val="auto"/>
                <w:sz w:val="24"/>
                <w:highlight w:val="none"/>
                <w:lang w:eastAsia="zh-CN"/>
              </w:rPr>
              <w:t>：</w:t>
            </w:r>
          </w:p>
          <w:p w14:paraId="259810F1">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（1）履约保证金递交的形式及时间：支票、汇票、本票、转账、保函、</w:t>
            </w:r>
            <w:r>
              <w:rPr>
                <w:rFonts w:hint="eastAsia" w:ascii="宋体" w:hAnsi="宋体" w:eastAsia="宋体" w:cs="宋体"/>
                <w:color w:val="auto"/>
                <w:sz w:val="24"/>
                <w:highlight w:val="none"/>
                <w:lang w:val="en-US" w:eastAsia="zh-CN"/>
              </w:rPr>
              <w:t>保险</w:t>
            </w:r>
            <w:r>
              <w:rPr>
                <w:rFonts w:hint="eastAsia" w:ascii="宋体" w:hAnsi="宋体" w:eastAsia="宋体" w:cs="宋体"/>
                <w:color w:val="auto"/>
                <w:sz w:val="24"/>
                <w:highlight w:val="none"/>
                <w:lang w:eastAsia="zh-CN"/>
              </w:rPr>
              <w:t>等非现金形式提交。</w:t>
            </w:r>
          </w:p>
          <w:p w14:paraId="1A889834">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（2）履约保证金金额：合同</w:t>
            </w:r>
            <w:r>
              <w:rPr>
                <w:rFonts w:hint="eastAsia" w:ascii="宋体" w:hAnsi="宋体" w:eastAsia="宋体" w:cs="宋体"/>
                <w:color w:val="auto"/>
                <w:sz w:val="24"/>
                <w:highlight w:val="none"/>
                <w:lang w:val="en-US" w:eastAsia="zh-CN"/>
              </w:rPr>
              <w:t>总</w:t>
            </w:r>
            <w:r>
              <w:rPr>
                <w:rFonts w:hint="eastAsia" w:ascii="宋体" w:hAnsi="宋体" w:eastAsia="宋体" w:cs="宋体"/>
                <w:color w:val="auto"/>
                <w:sz w:val="24"/>
                <w:highlight w:val="none"/>
                <w:lang w:eastAsia="zh-CN"/>
              </w:rPr>
              <w:t>金额的</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eastAsia="zh-CN"/>
              </w:rPr>
              <w:t>%。</w:t>
            </w:r>
          </w:p>
          <w:p w14:paraId="40E2CE80">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（3）履约保证金提交时间：合同签订</w:t>
            </w:r>
            <w:r>
              <w:rPr>
                <w:rFonts w:hint="eastAsia" w:ascii="宋体" w:hAnsi="宋体" w:eastAsia="宋体" w:cs="宋体"/>
                <w:color w:val="auto"/>
                <w:sz w:val="24"/>
                <w:highlight w:val="none"/>
                <w:lang w:val="en-US" w:eastAsia="zh-CN"/>
              </w:rPr>
              <w:t>后</w:t>
            </w:r>
            <w:r>
              <w:rPr>
                <w:rFonts w:hint="eastAsia" w:ascii="宋体" w:hAnsi="宋体" w:eastAsia="宋体" w:cs="宋体"/>
                <w:color w:val="auto"/>
                <w:sz w:val="24"/>
                <w:highlight w:val="none"/>
                <w:lang w:eastAsia="zh-CN"/>
              </w:rPr>
              <w:t>5个工作日内提交至采购人指定账户。</w:t>
            </w:r>
          </w:p>
          <w:p w14:paraId="515668F8">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（4）中标供应商未按本条款规定缴纳履约保证金逾期或拒绝缴纳的，则被视为放弃中标。</w:t>
            </w:r>
          </w:p>
          <w:p w14:paraId="5EDF9420">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（5）履约保证金的退还：验收合格后原路一次性退还；逾期不缴视为放弃中标；验收不合格、拒不履约全额没收。</w:t>
            </w:r>
          </w:p>
          <w:p w14:paraId="09988AB3">
            <w:pPr>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履约保证金不予退还的情形：</w:t>
            </w:r>
          </w:p>
          <w:p w14:paraId="3F1AE585">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eastAsia="zh-CN"/>
              </w:rPr>
              <w:t>）不履行与采购人订立的采购合同的；</w:t>
            </w:r>
          </w:p>
          <w:p w14:paraId="3356A2AA">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）给采购人造成的损失超过履约保证金数额的，还应当对超过部分予以赔偿；</w:t>
            </w:r>
          </w:p>
          <w:p w14:paraId="06E36263">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）未按要求提交履约保证金的，应当对采购人的损失承担赔偿责任。</w:t>
            </w:r>
          </w:p>
        </w:tc>
      </w:tr>
      <w:tr w14:paraId="36D5B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6" w:type="dxa"/>
          <w:trHeight w:val="426" w:hRule="atLeast"/>
          <w:jc w:val="center"/>
        </w:trPr>
        <w:tc>
          <w:tcPr>
            <w:tcW w:w="1087" w:type="dxa"/>
            <w:noWrap w:val="0"/>
            <w:vAlign w:val="center"/>
          </w:tcPr>
          <w:p w14:paraId="02A7051E">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pacing w:val="12"/>
                <w:sz w:val="24"/>
                <w:highlight w:val="none"/>
                <w:lang w:val="en-US" w:eastAsia="zh-CN"/>
              </w:rPr>
              <w:t>30.4</w:t>
            </w:r>
          </w:p>
        </w:tc>
        <w:tc>
          <w:tcPr>
            <w:tcW w:w="8527" w:type="dxa"/>
            <w:gridSpan w:val="4"/>
            <w:noWrap w:val="0"/>
            <w:vAlign w:val="center"/>
          </w:tcPr>
          <w:p w14:paraId="7B6F5DF8">
            <w:pPr>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采购代理机构将依托电子交易平台发起开始解密指令，供应商的法定代表人或其委托代理人须携带加密时所用的CA锁按平台提示和采购文件的规定登录到“政采云”平台电子开标大厅签到并在发起解密指令之时起</w:t>
            </w:r>
            <w:r>
              <w:rPr>
                <w:rFonts w:hint="eastAsia" w:ascii="宋体" w:hAnsi="宋体" w:eastAsia="宋体" w:cs="宋体"/>
                <w:b/>
                <w:bCs/>
                <w:color w:val="auto"/>
                <w:sz w:val="24"/>
                <w:highlight w:val="none"/>
              </w:rPr>
              <w:t>60</w:t>
            </w:r>
            <w:r>
              <w:rPr>
                <w:rFonts w:hint="eastAsia" w:ascii="宋体" w:hAnsi="宋体" w:eastAsia="宋体" w:cs="宋体"/>
                <w:color w:val="auto"/>
                <w:sz w:val="24"/>
                <w:highlight w:val="none"/>
              </w:rPr>
              <w:t>分钟内完成对电子投标文件在线解密。响应文件未按时解密的，视为响应文件无效。</w:t>
            </w:r>
            <w:r>
              <w:rPr>
                <w:rFonts w:hint="eastAsia" w:ascii="宋体" w:hAnsi="宋体" w:eastAsia="宋体" w:cs="宋体"/>
                <w:b/>
                <w:bCs/>
                <w:color w:val="auto"/>
                <w:sz w:val="24"/>
                <w:highlight w:val="none"/>
              </w:rPr>
              <w:t>解密方式：远程解密</w:t>
            </w:r>
          </w:p>
        </w:tc>
      </w:tr>
      <w:tr w14:paraId="5CF7E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6" w:type="dxa"/>
          <w:trHeight w:val="426" w:hRule="atLeast"/>
          <w:jc w:val="center"/>
        </w:trPr>
        <w:tc>
          <w:tcPr>
            <w:tcW w:w="1087" w:type="dxa"/>
            <w:noWrap w:val="0"/>
            <w:vAlign w:val="center"/>
          </w:tcPr>
          <w:p w14:paraId="5841107A">
            <w:pPr>
              <w:jc w:val="center"/>
              <w:rPr>
                <w:rFonts w:hint="eastAsia" w:ascii="宋体" w:hAnsi="宋体" w:eastAsia="宋体" w:cs="宋体"/>
                <w:color w:val="auto"/>
                <w:sz w:val="24"/>
                <w:highlight w:val="none"/>
                <w:lang w:val="en-US"/>
              </w:rPr>
            </w:pPr>
            <w:r>
              <w:rPr>
                <w:rFonts w:hint="eastAsia" w:ascii="宋体" w:hAnsi="宋体" w:eastAsia="宋体" w:cs="宋体"/>
                <w:color w:val="auto"/>
                <w:spacing w:val="12"/>
                <w:sz w:val="24"/>
                <w:highlight w:val="none"/>
                <w:lang w:val="en-US" w:eastAsia="zh-CN"/>
              </w:rPr>
              <w:t>30.5</w:t>
            </w:r>
          </w:p>
        </w:tc>
        <w:tc>
          <w:tcPr>
            <w:tcW w:w="8527" w:type="dxa"/>
            <w:gridSpan w:val="4"/>
            <w:noWrap w:val="0"/>
            <w:vAlign w:val="center"/>
          </w:tcPr>
          <w:p w14:paraId="7674CA4A">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招标文件中描述供应商的“公章”是指根据我国对公章的管理规定，用供应商法定主体行为名称制作的印章（含电子印章），除本招标文件有特殊规定外，供应商的财务章、部门章、分公司章、工会章、合同章、竞标专用章、业务专用章及银行的转账章、现金收讫章、现金付讫章等其他形式印章均不能代替公章。</w:t>
            </w:r>
          </w:p>
          <w:p w14:paraId="16964503">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本招标文件中描述供应商的“签</w:t>
            </w:r>
            <w:r>
              <w:rPr>
                <w:rFonts w:hint="eastAsia" w:ascii="宋体" w:hAnsi="宋体" w:eastAsia="宋体" w:cs="宋体"/>
                <w:color w:val="auto"/>
                <w:sz w:val="24"/>
                <w:highlight w:val="none"/>
                <w:lang w:val="en-US" w:eastAsia="zh-CN"/>
              </w:rPr>
              <w:t>字</w:t>
            </w:r>
            <w:r>
              <w:rPr>
                <w:rFonts w:hint="eastAsia" w:ascii="宋体" w:hAnsi="宋体" w:eastAsia="宋体" w:cs="宋体"/>
                <w:color w:val="auto"/>
                <w:sz w:val="24"/>
                <w:highlight w:val="none"/>
              </w:rPr>
              <w:t>”是指供应商的法定代表人或者委托代理人在文件规定签署处签名（含电子签名）的行为。</w:t>
            </w:r>
          </w:p>
        </w:tc>
      </w:tr>
      <w:tr w14:paraId="447D7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6" w:type="dxa"/>
          <w:trHeight w:val="426" w:hRule="atLeast"/>
          <w:jc w:val="center"/>
        </w:trPr>
        <w:tc>
          <w:tcPr>
            <w:tcW w:w="1087" w:type="dxa"/>
            <w:noWrap w:val="0"/>
            <w:vAlign w:val="center"/>
          </w:tcPr>
          <w:p w14:paraId="564CF53B">
            <w:pPr>
              <w:jc w:val="center"/>
              <w:rPr>
                <w:rFonts w:hint="eastAsia" w:ascii="宋体" w:hAnsi="宋体" w:eastAsia="宋体" w:cs="宋体"/>
                <w:color w:val="auto"/>
                <w:spacing w:val="12"/>
                <w:sz w:val="24"/>
                <w:highlight w:val="none"/>
                <w:lang w:val="en-US" w:eastAsia="zh-CN"/>
              </w:rPr>
            </w:pPr>
            <w:r>
              <w:rPr>
                <w:rFonts w:hint="eastAsia" w:ascii="宋体" w:hAnsi="宋体" w:eastAsia="宋体" w:cs="宋体"/>
                <w:color w:val="auto"/>
                <w:spacing w:val="12"/>
                <w:sz w:val="24"/>
                <w:highlight w:val="none"/>
                <w:lang w:val="en-US" w:eastAsia="zh-CN"/>
              </w:rPr>
              <w:t>30.7</w:t>
            </w:r>
          </w:p>
        </w:tc>
        <w:tc>
          <w:tcPr>
            <w:tcW w:w="8527" w:type="dxa"/>
            <w:gridSpan w:val="4"/>
            <w:noWrap w:val="0"/>
            <w:vAlign w:val="center"/>
          </w:tcPr>
          <w:p w14:paraId="1F21D7BB">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根据《政府采购货物和服务招标投标管理办法》（</w:t>
            </w:r>
            <w:r>
              <w:rPr>
                <w:rFonts w:hint="eastAsia" w:ascii="宋体" w:hAnsi="宋体" w:eastAsia="宋体" w:cs="宋体"/>
                <w:color w:val="auto"/>
                <w:sz w:val="24"/>
                <w:highlight w:val="none"/>
                <w:lang w:val="en-US" w:eastAsia="zh-CN"/>
              </w:rPr>
              <w:t>财政部令第87号）第三十一条：</w:t>
            </w:r>
          </w:p>
          <w:p w14:paraId="0D5CBA80">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tc>
      </w:tr>
      <w:tr w14:paraId="71FA2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6" w:type="dxa"/>
          <w:trHeight w:val="426" w:hRule="atLeast"/>
          <w:jc w:val="center"/>
        </w:trPr>
        <w:tc>
          <w:tcPr>
            <w:tcW w:w="1087" w:type="dxa"/>
            <w:noWrap w:val="0"/>
            <w:vAlign w:val="center"/>
          </w:tcPr>
          <w:p w14:paraId="1F865847">
            <w:pPr>
              <w:jc w:val="center"/>
              <w:rPr>
                <w:rFonts w:hint="eastAsia" w:ascii="宋体" w:hAnsi="宋体" w:eastAsia="宋体" w:cs="宋体"/>
                <w:color w:val="auto"/>
                <w:spacing w:val="12"/>
                <w:sz w:val="24"/>
                <w:highlight w:val="none"/>
                <w:lang w:val="en-US" w:eastAsia="zh-CN"/>
              </w:rPr>
            </w:pPr>
            <w:r>
              <w:rPr>
                <w:rFonts w:hint="eastAsia" w:ascii="宋体" w:hAnsi="宋体" w:eastAsia="宋体" w:cs="宋体"/>
                <w:color w:val="auto"/>
                <w:spacing w:val="12"/>
                <w:sz w:val="24"/>
                <w:highlight w:val="none"/>
                <w:lang w:val="en-US" w:eastAsia="zh-CN"/>
              </w:rPr>
              <w:t>30.8</w:t>
            </w:r>
          </w:p>
        </w:tc>
        <w:tc>
          <w:tcPr>
            <w:tcW w:w="8527" w:type="dxa"/>
            <w:gridSpan w:val="4"/>
            <w:noWrap w:val="0"/>
            <w:vAlign w:val="top"/>
          </w:tcPr>
          <w:p w14:paraId="4A1EA664">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接收询问和质疑的联系部门、联系电话和通讯地址：</w:t>
            </w:r>
          </w:p>
          <w:p w14:paraId="0F026BA2">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接收质疑函的方式：质疑函采取现场书面递交形式。由法定代表人持本人身份证原件或授权委托代理人持本人身份证原件及授权委托书原件，同时携带质疑函（原件）和加盖单位公章的相关依据和证明材料，送至采购代理机构。</w:t>
            </w:r>
          </w:p>
          <w:p w14:paraId="25FD8E76">
            <w:pPr>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联系部门：剑川县众森工程咨询有限公司</w:t>
            </w:r>
          </w:p>
          <w:p w14:paraId="381873C3">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联系电话：15393949440、17387261854、15368311491。</w:t>
            </w:r>
          </w:p>
          <w:p w14:paraId="53EDA362">
            <w:pPr>
              <w:spacing w:line="360" w:lineRule="auto"/>
              <w:rPr>
                <w:rFonts w:hint="eastAsia" w:ascii="宋体" w:hAnsi="宋体" w:eastAsia="宋体" w:cs="宋体"/>
                <w:color w:val="auto"/>
                <w:lang w:eastAsia="zh-CN"/>
              </w:rPr>
            </w:pPr>
            <w:r>
              <w:rPr>
                <w:rFonts w:hint="eastAsia" w:ascii="宋体" w:hAnsi="宋体" w:eastAsia="宋体" w:cs="宋体"/>
                <w:color w:val="auto"/>
                <w:sz w:val="24"/>
                <w:highlight w:val="none"/>
                <w:lang w:val="en-US" w:eastAsia="zh-CN"/>
              </w:rPr>
              <w:t>通讯地址：</w:t>
            </w:r>
            <w:r>
              <w:rPr>
                <w:rFonts w:hint="eastAsia"/>
                <w:kern w:val="2"/>
                <w:sz w:val="24"/>
                <w:szCs w:val="24"/>
                <w:lang w:val="en-US" w:eastAsia="zh-CN"/>
              </w:rPr>
              <w:t>剑川县金华镇锦绣家园1号楼四楼</w:t>
            </w:r>
            <w:r>
              <w:rPr>
                <w:rFonts w:hint="eastAsia" w:ascii="宋体" w:hAnsi="宋体" w:eastAsia="宋体" w:cs="宋体"/>
                <w:color w:val="auto"/>
                <w:sz w:val="24"/>
                <w:highlight w:val="none"/>
                <w:lang w:val="en-US" w:eastAsia="zh-CN"/>
              </w:rPr>
              <w:t>。</w:t>
            </w:r>
          </w:p>
        </w:tc>
      </w:tr>
      <w:tr w14:paraId="5EA24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1969" w:hRule="atLeast"/>
          <w:jc w:val="center"/>
        </w:trPr>
        <w:tc>
          <w:tcPr>
            <w:tcW w:w="1093" w:type="dxa"/>
            <w:gridSpan w:val="2"/>
            <w:noWrap w:val="0"/>
            <w:vAlign w:val="center"/>
          </w:tcPr>
          <w:p w14:paraId="065375BA">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30.9</w:t>
            </w:r>
          </w:p>
        </w:tc>
        <w:tc>
          <w:tcPr>
            <w:tcW w:w="1417" w:type="dxa"/>
            <w:noWrap w:val="0"/>
            <w:vAlign w:val="center"/>
          </w:tcPr>
          <w:p w14:paraId="421F94DA">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标的所属行业</w:t>
            </w:r>
          </w:p>
        </w:tc>
        <w:tc>
          <w:tcPr>
            <w:tcW w:w="7104" w:type="dxa"/>
            <w:gridSpan w:val="2"/>
            <w:noWrap w:val="0"/>
            <w:vAlign w:val="center"/>
          </w:tcPr>
          <w:p w14:paraId="7B37F27D">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标的名称：</w:t>
            </w:r>
            <w:r>
              <w:rPr>
                <w:rFonts w:hint="eastAsia" w:ascii="Times New Roman" w:hAnsi="Times New Roman" w:eastAsia="宋体" w:cs="Times New Roman"/>
                <w:kern w:val="2"/>
                <w:sz w:val="24"/>
                <w:szCs w:val="24"/>
                <w:lang w:eastAsia="zh-CN"/>
              </w:rPr>
              <w:t>剑川县生活垃圾填埋场渗滤液处理站市场化运营项目</w:t>
            </w:r>
            <w:r>
              <w:rPr>
                <w:rFonts w:hint="eastAsia" w:ascii="宋体" w:hAnsi="宋体" w:eastAsia="宋体" w:cs="宋体"/>
                <w:color w:val="auto"/>
                <w:sz w:val="24"/>
                <w:highlight w:val="none"/>
              </w:rPr>
              <w:t>；</w:t>
            </w:r>
          </w:p>
          <w:p w14:paraId="321552CF">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本项目对应的中小企业划分标准所属行业为：</w:t>
            </w:r>
            <w:r>
              <w:rPr>
                <w:rFonts w:hint="eastAsia" w:ascii="宋体" w:hAnsi="宋体" w:eastAsia="宋体" w:cs="宋体"/>
                <w:b/>
                <w:bCs/>
                <w:color w:val="auto"/>
                <w:sz w:val="24"/>
                <w:highlight w:val="none"/>
              </w:rPr>
              <w:t>其他未列明行业</w:t>
            </w:r>
            <w:r>
              <w:rPr>
                <w:rFonts w:hint="eastAsia" w:ascii="宋体" w:hAnsi="宋体" w:eastAsia="宋体" w:cs="宋体"/>
                <w:b/>
                <w:bCs/>
                <w:color w:val="auto"/>
                <w:sz w:val="24"/>
                <w:highlight w:val="none"/>
                <w:lang w:eastAsia="zh-CN"/>
              </w:rPr>
              <w:t>。</w:t>
            </w:r>
          </w:p>
          <w:p w14:paraId="4B0AFD0E">
            <w:pPr>
              <w:spacing w:line="360" w:lineRule="auto"/>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rPr>
              <w:t>划分标准：</w:t>
            </w:r>
            <w:r>
              <w:rPr>
                <w:rFonts w:hint="eastAsia" w:ascii="宋体" w:hAnsi="宋体" w:eastAsia="宋体" w:cs="宋体"/>
                <w:b/>
                <w:bCs/>
                <w:color w:val="auto"/>
                <w:sz w:val="24"/>
                <w:highlight w:val="none"/>
              </w:rPr>
              <w:t>《关于印发中小企业划型标准规定的通知》（工信部联企业〔2011〕300号）</w:t>
            </w:r>
            <w:r>
              <w:rPr>
                <w:rFonts w:hint="eastAsia" w:ascii="宋体" w:hAnsi="宋体" w:eastAsia="宋体" w:cs="宋体"/>
                <w:color w:val="auto"/>
                <w:sz w:val="24"/>
                <w:highlight w:val="none"/>
              </w:rPr>
              <w:t>。</w:t>
            </w:r>
          </w:p>
        </w:tc>
      </w:tr>
    </w:tbl>
    <w:p w14:paraId="7EC04F23">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br w:type="page"/>
      </w:r>
    </w:p>
    <w:p w14:paraId="3E48AFD7">
      <w:pPr>
        <w:spacing w:line="360" w:lineRule="auto"/>
        <w:jc w:val="center"/>
        <w:outlineLvl w:val="0"/>
        <w:rPr>
          <w:rStyle w:val="20"/>
          <w:rFonts w:hint="eastAsia" w:ascii="宋体" w:hAnsi="宋体" w:eastAsia="宋体" w:cs="宋体"/>
        </w:rPr>
      </w:pPr>
      <w:r>
        <w:rPr>
          <w:rStyle w:val="20"/>
          <w:rFonts w:hint="eastAsia" w:ascii="宋体" w:hAnsi="宋体" w:eastAsia="宋体" w:cs="宋体"/>
        </w:rPr>
        <w:t>供应商须知</w:t>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p>
    <w:p w14:paraId="760E6929">
      <w:pPr>
        <w:tabs>
          <w:tab w:val="center" w:pos="4592"/>
          <w:tab w:val="left" w:pos="7860"/>
        </w:tabs>
        <w:spacing w:line="360" w:lineRule="auto"/>
        <w:jc w:val="center"/>
        <w:rPr>
          <w:rFonts w:hint="eastAsia" w:ascii="宋体" w:hAnsi="宋体" w:eastAsia="宋体" w:cs="宋体"/>
          <w:b/>
          <w:bCs/>
          <w:color w:val="auto"/>
          <w:sz w:val="28"/>
          <w:highlight w:val="none"/>
        </w:rPr>
      </w:pPr>
      <w:bookmarkStart w:id="87" w:name="_Toc226965708"/>
      <w:bookmarkStart w:id="88" w:name="_Toc150480756"/>
      <w:bookmarkStart w:id="89" w:name="_Toc226309762"/>
      <w:bookmarkStart w:id="90" w:name="_Toc151193906"/>
      <w:bookmarkStart w:id="91" w:name="_Toc151193760"/>
      <w:bookmarkStart w:id="92" w:name="_Toc151193616"/>
      <w:bookmarkStart w:id="93" w:name="_Toc195842883"/>
      <w:bookmarkStart w:id="94" w:name="_Toc265228356"/>
      <w:bookmarkStart w:id="95" w:name="_Toc305158786"/>
      <w:bookmarkStart w:id="96" w:name="_Toc151193832"/>
      <w:bookmarkStart w:id="97" w:name="_Toc305158860"/>
      <w:bookmarkStart w:id="98" w:name="_Toc151190145"/>
      <w:bookmarkStart w:id="99" w:name="_Toc150774723"/>
      <w:bookmarkStart w:id="100" w:name="_Toc226965791"/>
      <w:bookmarkStart w:id="101" w:name="_Toc142311020"/>
      <w:bookmarkStart w:id="102" w:name="_Toc150509269"/>
      <w:bookmarkStart w:id="103" w:name="_Toc151193688"/>
      <w:bookmarkStart w:id="104" w:name="_Toc520356143"/>
      <w:bookmarkStart w:id="105" w:name="_Toc150774618"/>
      <w:bookmarkStart w:id="106" w:name="_Toc226337214"/>
      <w:bookmarkStart w:id="107" w:name="_Toc127151518"/>
      <w:bookmarkStart w:id="108" w:name="_Toc264969208"/>
      <w:r>
        <w:rPr>
          <w:rFonts w:hint="eastAsia" w:ascii="宋体" w:hAnsi="宋体" w:eastAsia="宋体" w:cs="宋体"/>
          <w:b/>
          <w:bCs/>
          <w:color w:val="auto"/>
          <w:sz w:val="28"/>
          <w:highlight w:val="none"/>
        </w:rPr>
        <w:t>一 说  明</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p w14:paraId="71C3DC9E">
      <w:pPr>
        <w:numPr>
          <w:ilvl w:val="0"/>
          <w:numId w:val="0"/>
        </w:numPr>
        <w:tabs>
          <w:tab w:val="left" w:pos="360"/>
        </w:tabs>
        <w:snapToGrid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1、项目基本内容</w:t>
      </w:r>
    </w:p>
    <w:p w14:paraId="0C786554">
      <w:pPr>
        <w:numPr>
          <w:ilvl w:val="0"/>
          <w:numId w:val="0"/>
        </w:numPr>
        <w:tabs>
          <w:tab w:val="left" w:pos="360"/>
        </w:tabs>
        <w:snapToGrid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1.1</w:t>
      </w:r>
      <w:r>
        <w:rPr>
          <w:rFonts w:hint="eastAsia" w:ascii="宋体" w:hAnsi="宋体" w:eastAsia="宋体" w:cs="宋体"/>
          <w:b w:val="0"/>
          <w:bCs w:val="0"/>
          <w:sz w:val="24"/>
          <w:szCs w:val="24"/>
        </w:rPr>
        <w:t>采购人</w:t>
      </w:r>
      <w:r>
        <w:rPr>
          <w:rFonts w:hint="eastAsia" w:ascii="宋体" w:hAnsi="宋体" w:eastAsia="宋体" w:cs="宋体"/>
          <w:b w:val="0"/>
          <w:bCs w:val="0"/>
          <w:sz w:val="24"/>
          <w:szCs w:val="24"/>
          <w:lang w:eastAsia="zh-CN"/>
        </w:rPr>
        <w:t>：</w:t>
      </w:r>
      <w:r>
        <w:rPr>
          <w:rFonts w:hint="eastAsia" w:ascii="宋体" w:hAnsi="宋体" w:eastAsia="宋体" w:cs="宋体"/>
          <w:b w:val="0"/>
          <w:bCs w:val="0"/>
          <w:color w:val="auto"/>
          <w:sz w:val="24"/>
          <w:highlight w:val="none"/>
          <w:lang w:eastAsia="zh-CN"/>
        </w:rPr>
        <w:t>见供应商须知前附表</w:t>
      </w:r>
    </w:p>
    <w:p w14:paraId="05A1B32A">
      <w:pPr>
        <w:numPr>
          <w:ilvl w:val="0"/>
          <w:numId w:val="0"/>
        </w:numPr>
        <w:tabs>
          <w:tab w:val="left" w:pos="360"/>
        </w:tabs>
        <w:snapToGrid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1.2</w:t>
      </w:r>
      <w:r>
        <w:rPr>
          <w:rFonts w:hint="eastAsia" w:ascii="宋体" w:hAnsi="宋体" w:eastAsia="宋体" w:cs="宋体"/>
          <w:b w:val="0"/>
          <w:bCs w:val="0"/>
          <w:sz w:val="24"/>
          <w:szCs w:val="24"/>
        </w:rPr>
        <w:t>采购代理机构</w:t>
      </w:r>
      <w:r>
        <w:rPr>
          <w:rFonts w:hint="eastAsia" w:ascii="宋体" w:hAnsi="宋体" w:eastAsia="宋体" w:cs="宋体"/>
          <w:b w:val="0"/>
          <w:bCs w:val="0"/>
          <w:sz w:val="24"/>
          <w:szCs w:val="24"/>
          <w:lang w:eastAsia="zh-CN"/>
        </w:rPr>
        <w:t>：</w:t>
      </w:r>
      <w:r>
        <w:rPr>
          <w:rFonts w:hint="eastAsia" w:ascii="宋体" w:hAnsi="宋体" w:eastAsia="宋体" w:cs="宋体"/>
          <w:b w:val="0"/>
          <w:bCs w:val="0"/>
          <w:color w:val="auto"/>
          <w:sz w:val="24"/>
          <w:highlight w:val="none"/>
          <w:lang w:eastAsia="zh-CN"/>
        </w:rPr>
        <w:t>见供应商须知前附表</w:t>
      </w:r>
    </w:p>
    <w:p w14:paraId="769DE164">
      <w:pPr>
        <w:numPr>
          <w:ilvl w:val="0"/>
          <w:numId w:val="0"/>
        </w:numPr>
        <w:tabs>
          <w:tab w:val="left" w:pos="360"/>
        </w:tabs>
        <w:snapToGrid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1.3</w:t>
      </w:r>
      <w:r>
        <w:rPr>
          <w:rFonts w:hint="eastAsia" w:ascii="宋体" w:hAnsi="宋体" w:eastAsia="宋体" w:cs="宋体"/>
          <w:b w:val="0"/>
          <w:bCs w:val="0"/>
          <w:sz w:val="24"/>
          <w:szCs w:val="24"/>
        </w:rPr>
        <w:t>项目名称及</w:t>
      </w:r>
      <w:r>
        <w:rPr>
          <w:rFonts w:hint="eastAsia" w:ascii="宋体" w:hAnsi="宋体" w:cs="宋体"/>
          <w:b w:val="0"/>
          <w:bCs w:val="0"/>
          <w:sz w:val="24"/>
          <w:szCs w:val="24"/>
          <w:lang w:val="en-US" w:eastAsia="zh-CN"/>
        </w:rPr>
        <w:t>项目</w:t>
      </w:r>
      <w:r>
        <w:rPr>
          <w:rFonts w:hint="eastAsia" w:ascii="宋体" w:hAnsi="宋体" w:eastAsia="宋体" w:cs="宋体"/>
          <w:b w:val="0"/>
          <w:bCs w:val="0"/>
          <w:sz w:val="24"/>
          <w:szCs w:val="24"/>
        </w:rPr>
        <w:t>编号</w:t>
      </w:r>
      <w:r>
        <w:rPr>
          <w:rFonts w:hint="eastAsia" w:ascii="宋体" w:hAnsi="宋体" w:eastAsia="宋体" w:cs="宋体"/>
          <w:b w:val="0"/>
          <w:bCs w:val="0"/>
          <w:sz w:val="24"/>
          <w:szCs w:val="24"/>
          <w:lang w:eastAsia="zh-CN"/>
        </w:rPr>
        <w:t>：</w:t>
      </w:r>
      <w:r>
        <w:rPr>
          <w:rFonts w:hint="eastAsia" w:ascii="宋体" w:hAnsi="宋体" w:eastAsia="宋体" w:cs="宋体"/>
          <w:b w:val="0"/>
          <w:bCs w:val="0"/>
          <w:color w:val="auto"/>
          <w:sz w:val="24"/>
          <w:highlight w:val="none"/>
          <w:lang w:eastAsia="zh-CN"/>
        </w:rPr>
        <w:t>见供应商须知前附表</w:t>
      </w:r>
    </w:p>
    <w:p w14:paraId="66125296">
      <w:pPr>
        <w:numPr>
          <w:ilvl w:val="0"/>
          <w:numId w:val="0"/>
        </w:numPr>
        <w:tabs>
          <w:tab w:val="left" w:pos="360"/>
        </w:tabs>
        <w:snapToGrid w:val="0"/>
        <w:spacing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sz w:val="24"/>
          <w:szCs w:val="24"/>
          <w:lang w:val="en-US" w:eastAsia="zh-CN"/>
        </w:rPr>
        <w:t>1.4</w:t>
      </w:r>
      <w:r>
        <w:rPr>
          <w:rFonts w:hint="eastAsia" w:ascii="宋体" w:hAnsi="宋体" w:eastAsia="宋体" w:cs="宋体"/>
          <w:b w:val="0"/>
          <w:bCs w:val="0"/>
          <w:color w:val="auto"/>
          <w:sz w:val="24"/>
          <w:highlight w:val="none"/>
          <w:lang w:eastAsia="zh-CN"/>
        </w:rPr>
        <w:t>采购范围、预算金额及资金来源</w:t>
      </w:r>
      <w:r>
        <w:rPr>
          <w:rFonts w:hint="eastAsia" w:ascii="宋体" w:hAnsi="宋体" w:eastAsia="宋体" w:cs="宋体"/>
          <w:b w:val="0"/>
          <w:bCs w:val="0"/>
          <w:sz w:val="24"/>
          <w:szCs w:val="24"/>
          <w:lang w:eastAsia="zh-CN"/>
        </w:rPr>
        <w:t>：</w:t>
      </w:r>
      <w:r>
        <w:rPr>
          <w:rFonts w:hint="eastAsia" w:ascii="宋体" w:hAnsi="宋体" w:eastAsia="宋体" w:cs="宋体"/>
          <w:b w:val="0"/>
          <w:bCs w:val="0"/>
          <w:color w:val="auto"/>
          <w:sz w:val="24"/>
          <w:highlight w:val="none"/>
          <w:lang w:eastAsia="zh-CN"/>
        </w:rPr>
        <w:t>见供应商须知前附表</w:t>
      </w:r>
    </w:p>
    <w:p w14:paraId="23C5B79E">
      <w:pPr>
        <w:numPr>
          <w:ilvl w:val="0"/>
          <w:numId w:val="0"/>
        </w:numPr>
        <w:tabs>
          <w:tab w:val="left" w:pos="360"/>
        </w:tabs>
        <w:snapToGrid w:val="0"/>
        <w:spacing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val="en-US" w:eastAsia="zh-CN"/>
        </w:rPr>
        <w:t>1.5</w:t>
      </w:r>
      <w:r>
        <w:rPr>
          <w:rFonts w:hint="eastAsia" w:ascii="宋体" w:hAnsi="宋体" w:eastAsia="宋体" w:cs="宋体"/>
          <w:b w:val="0"/>
          <w:bCs w:val="0"/>
          <w:color w:val="auto"/>
          <w:sz w:val="24"/>
          <w:highlight w:val="none"/>
        </w:rPr>
        <w:t>是否接受联合体投标</w:t>
      </w:r>
      <w:r>
        <w:rPr>
          <w:rFonts w:hint="eastAsia" w:ascii="宋体" w:hAnsi="宋体" w:eastAsia="宋体" w:cs="宋体"/>
          <w:b w:val="0"/>
          <w:bCs w:val="0"/>
          <w:color w:val="auto"/>
          <w:sz w:val="24"/>
          <w:highlight w:val="none"/>
          <w:lang w:eastAsia="zh-CN"/>
        </w:rPr>
        <w:t>：见供应商须知前附表</w:t>
      </w:r>
    </w:p>
    <w:p w14:paraId="44287466">
      <w:pPr>
        <w:numPr>
          <w:ilvl w:val="0"/>
          <w:numId w:val="0"/>
        </w:numPr>
        <w:tabs>
          <w:tab w:val="left" w:pos="360"/>
        </w:tabs>
        <w:snapToGrid w:val="0"/>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1.6</w:t>
      </w:r>
      <w:r>
        <w:rPr>
          <w:rFonts w:hint="eastAsia" w:ascii="宋体" w:hAnsi="宋体" w:eastAsia="宋体" w:cs="宋体"/>
          <w:b w:val="0"/>
          <w:bCs w:val="0"/>
          <w:color w:val="auto"/>
          <w:sz w:val="24"/>
          <w:highlight w:val="none"/>
        </w:rPr>
        <w:t>项目属性</w:t>
      </w:r>
      <w:r>
        <w:rPr>
          <w:rFonts w:hint="eastAsia" w:ascii="宋体" w:hAnsi="宋体" w:eastAsia="宋体" w:cs="宋体"/>
          <w:b w:val="0"/>
          <w:bCs w:val="0"/>
          <w:color w:val="auto"/>
          <w:sz w:val="24"/>
          <w:highlight w:val="none"/>
          <w:lang w:eastAsia="zh-CN"/>
        </w:rPr>
        <w:t>：见供应商须知前</w:t>
      </w:r>
      <w:bookmarkStart w:id="841" w:name="_GoBack"/>
      <w:bookmarkEnd w:id="841"/>
      <w:r>
        <w:rPr>
          <w:rFonts w:hint="eastAsia" w:ascii="宋体" w:hAnsi="宋体" w:eastAsia="宋体" w:cs="宋体"/>
          <w:b w:val="0"/>
          <w:bCs w:val="0"/>
          <w:color w:val="auto"/>
          <w:sz w:val="24"/>
          <w:highlight w:val="none"/>
          <w:lang w:eastAsia="zh-CN"/>
        </w:rPr>
        <w:t>附表</w:t>
      </w:r>
    </w:p>
    <w:p w14:paraId="6DEBD08F">
      <w:pPr>
        <w:numPr>
          <w:ilvl w:val="0"/>
          <w:numId w:val="0"/>
        </w:numPr>
        <w:tabs>
          <w:tab w:val="left" w:pos="360"/>
        </w:tabs>
        <w:snapToGrid w:val="0"/>
        <w:spacing w:line="360" w:lineRule="auto"/>
        <w:ind w:leftChars="0"/>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val="en-US" w:eastAsia="zh-CN"/>
        </w:rPr>
        <w:t>2、</w:t>
      </w:r>
      <w:r>
        <w:rPr>
          <w:rFonts w:hint="eastAsia" w:ascii="宋体" w:hAnsi="宋体" w:eastAsia="宋体" w:cs="宋体"/>
          <w:b w:val="0"/>
          <w:bCs w:val="0"/>
          <w:color w:val="auto"/>
          <w:sz w:val="24"/>
          <w:highlight w:val="none"/>
          <w:lang w:eastAsia="zh-CN"/>
        </w:rPr>
        <w:t>合同履</w:t>
      </w:r>
      <w:r>
        <w:rPr>
          <w:rFonts w:hint="eastAsia" w:ascii="宋体" w:hAnsi="宋体" w:cs="宋体"/>
          <w:b w:val="0"/>
          <w:bCs w:val="0"/>
          <w:color w:val="auto"/>
          <w:sz w:val="24"/>
          <w:highlight w:val="none"/>
          <w:lang w:val="en-US" w:eastAsia="zh-CN"/>
        </w:rPr>
        <w:t>行</w:t>
      </w:r>
      <w:r>
        <w:rPr>
          <w:rFonts w:hint="eastAsia" w:ascii="宋体" w:hAnsi="宋体" w:eastAsia="宋体" w:cs="宋体"/>
          <w:b w:val="0"/>
          <w:bCs w:val="0"/>
          <w:color w:val="auto"/>
          <w:sz w:val="24"/>
          <w:highlight w:val="none"/>
          <w:lang w:eastAsia="zh-CN"/>
        </w:rPr>
        <w:t>期限、质量要求：见供应商须知前附表</w:t>
      </w:r>
    </w:p>
    <w:p w14:paraId="64961EC8">
      <w:pPr>
        <w:numPr>
          <w:ilvl w:val="0"/>
          <w:numId w:val="0"/>
        </w:numPr>
        <w:tabs>
          <w:tab w:val="left" w:pos="360"/>
        </w:tabs>
        <w:snapToGrid w:val="0"/>
        <w:spacing w:line="360" w:lineRule="auto"/>
        <w:ind w:leftChars="0"/>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val="en-US" w:eastAsia="zh-CN"/>
        </w:rPr>
        <w:t>3、投标文件有效期</w:t>
      </w:r>
      <w:r>
        <w:rPr>
          <w:rFonts w:hint="eastAsia" w:ascii="宋体" w:hAnsi="宋体" w:eastAsia="宋体" w:cs="宋体"/>
          <w:b w:val="0"/>
          <w:bCs w:val="0"/>
          <w:color w:val="auto"/>
          <w:sz w:val="24"/>
          <w:highlight w:val="none"/>
          <w:lang w:val="en-US" w:eastAsia="zh-CN"/>
        </w:rPr>
        <w:tab/>
      </w:r>
      <w:r>
        <w:rPr>
          <w:rFonts w:hint="eastAsia" w:ascii="宋体" w:hAnsi="宋体" w:eastAsia="宋体" w:cs="宋体"/>
          <w:b w:val="0"/>
          <w:bCs w:val="0"/>
          <w:color w:val="auto"/>
          <w:sz w:val="24"/>
          <w:highlight w:val="none"/>
          <w:lang w:val="en-US" w:eastAsia="zh-CN"/>
        </w:rPr>
        <w:t>：</w:t>
      </w:r>
      <w:r>
        <w:rPr>
          <w:rFonts w:hint="eastAsia" w:ascii="宋体" w:hAnsi="宋体" w:eastAsia="宋体" w:cs="宋体"/>
          <w:b w:val="0"/>
          <w:bCs w:val="0"/>
          <w:color w:val="auto"/>
          <w:sz w:val="24"/>
          <w:highlight w:val="none"/>
          <w:lang w:eastAsia="zh-CN"/>
        </w:rPr>
        <w:t>见供应商须知前附表</w:t>
      </w:r>
    </w:p>
    <w:p w14:paraId="77214AA8">
      <w:pPr>
        <w:numPr>
          <w:ilvl w:val="0"/>
          <w:numId w:val="0"/>
        </w:numPr>
        <w:tabs>
          <w:tab w:val="left" w:pos="360"/>
        </w:tabs>
        <w:snapToGrid w:val="0"/>
        <w:spacing w:line="360" w:lineRule="auto"/>
        <w:ind w:leftChars="0"/>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val="en-US" w:eastAsia="zh-CN"/>
        </w:rPr>
        <w:t>4、</w:t>
      </w:r>
      <w:r>
        <w:rPr>
          <w:rFonts w:hint="eastAsia" w:ascii="宋体" w:hAnsi="宋体" w:eastAsia="宋体" w:cs="宋体"/>
          <w:b w:val="0"/>
          <w:bCs w:val="0"/>
          <w:color w:val="auto"/>
          <w:sz w:val="24"/>
          <w:highlight w:val="none"/>
          <w:lang w:eastAsia="zh-CN"/>
        </w:rPr>
        <w:t>供应商资格要求：见供应商须知前附表</w:t>
      </w:r>
    </w:p>
    <w:p w14:paraId="27EB4029">
      <w:pPr>
        <w:spacing w:line="360" w:lineRule="auto"/>
        <w:jc w:val="left"/>
        <w:rPr>
          <w:rFonts w:hint="eastAsia" w:ascii="宋体" w:hAnsi="宋体" w:eastAsia="宋体" w:cs="宋体"/>
          <w:b/>
          <w:sz w:val="24"/>
          <w:szCs w:val="24"/>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sz w:val="24"/>
          <w:szCs w:val="24"/>
        </w:rPr>
        <w:t>投标费用</w:t>
      </w:r>
    </w:p>
    <w:p w14:paraId="7115C1BB">
      <w:pPr>
        <w:pStyle w:val="9"/>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5.1不论投标结果如何，投标人均应自行承担与准备和参加投标活动有关的全部费用以及</w:t>
      </w:r>
      <w:r>
        <w:rPr>
          <w:rFonts w:hint="eastAsia" w:ascii="宋体" w:hAnsi="宋体" w:eastAsia="宋体" w:cs="宋体"/>
          <w:sz w:val="24"/>
          <w:szCs w:val="24"/>
          <w:lang w:val="en-US" w:eastAsia="zh-CN"/>
        </w:rPr>
        <w:t>招标文件</w:t>
      </w:r>
      <w:r>
        <w:rPr>
          <w:rFonts w:hint="eastAsia" w:ascii="宋体" w:hAnsi="宋体" w:eastAsia="宋体" w:cs="宋体"/>
          <w:sz w:val="24"/>
          <w:szCs w:val="24"/>
        </w:rPr>
        <w:t>中所包含的费用。</w:t>
      </w:r>
    </w:p>
    <w:p w14:paraId="7DEE7F73">
      <w:pPr>
        <w:pStyle w:val="9"/>
        <w:spacing w:line="360" w:lineRule="auto"/>
        <w:ind w:firstLine="482" w:firstLineChars="200"/>
        <w:rPr>
          <w:rFonts w:hint="eastAsia" w:ascii="宋体" w:hAnsi="宋体" w:eastAsia="宋体" w:cs="宋体"/>
          <w:sz w:val="24"/>
          <w:szCs w:val="24"/>
        </w:rPr>
      </w:pPr>
      <w:r>
        <w:rPr>
          <w:rFonts w:hint="eastAsia" w:ascii="宋体" w:hAnsi="宋体" w:eastAsia="宋体" w:cs="宋体"/>
          <w:b/>
          <w:bCs/>
          <w:sz w:val="24"/>
          <w:szCs w:val="24"/>
        </w:rPr>
        <w:t>5.2本项目采购人将不统一组织现场踏勘。若投标人认为必要时，可与采购人联系进行考察，但由此产生的费用和风险由投标人自行承担</w:t>
      </w:r>
      <w:r>
        <w:rPr>
          <w:rFonts w:hint="eastAsia" w:ascii="宋体" w:hAnsi="宋体" w:eastAsia="宋体" w:cs="宋体"/>
          <w:b/>
          <w:bCs/>
          <w:sz w:val="24"/>
          <w:szCs w:val="24"/>
          <w:lang w:eastAsia="zh-CN"/>
        </w:rPr>
        <w:t>：</w:t>
      </w:r>
      <w:r>
        <w:rPr>
          <w:rFonts w:hint="eastAsia" w:ascii="宋体" w:hAnsi="宋体" w:eastAsia="宋体" w:cs="宋体"/>
          <w:b/>
          <w:bCs/>
          <w:color w:val="auto"/>
          <w:sz w:val="24"/>
          <w:highlight w:val="none"/>
          <w:lang w:eastAsia="zh-CN"/>
        </w:rPr>
        <w:t>见供应商须知前附表</w:t>
      </w:r>
      <w:r>
        <w:rPr>
          <w:rFonts w:hint="eastAsia" w:ascii="宋体" w:hAnsi="宋体" w:eastAsia="宋体" w:cs="宋体"/>
          <w:b/>
          <w:bCs/>
          <w:sz w:val="24"/>
          <w:szCs w:val="24"/>
        </w:rPr>
        <w:t>。</w:t>
      </w:r>
    </w:p>
    <w:p w14:paraId="33129043">
      <w:pPr>
        <w:numPr>
          <w:ilvl w:val="0"/>
          <w:numId w:val="0"/>
        </w:numPr>
        <w:tabs>
          <w:tab w:val="left" w:pos="360"/>
        </w:tabs>
        <w:snapToGrid w:val="0"/>
        <w:spacing w:line="360" w:lineRule="auto"/>
        <w:ind w:leftChars="0"/>
        <w:rPr>
          <w:rFonts w:hint="eastAsia" w:ascii="宋体" w:hAnsi="宋体" w:eastAsia="宋体" w:cs="宋体"/>
          <w:color w:val="auto"/>
          <w:sz w:val="24"/>
          <w:highlight w:val="none"/>
          <w:lang w:val="en-US" w:eastAsia="zh-CN"/>
        </w:rPr>
      </w:pPr>
    </w:p>
    <w:p w14:paraId="7649976F">
      <w:pPr>
        <w:spacing w:line="360" w:lineRule="auto"/>
        <w:jc w:val="center"/>
        <w:rPr>
          <w:rFonts w:hint="eastAsia" w:ascii="宋体" w:hAnsi="宋体" w:eastAsia="宋体" w:cs="宋体"/>
          <w:b/>
          <w:bCs/>
          <w:color w:val="auto"/>
          <w:sz w:val="28"/>
          <w:highlight w:val="none"/>
        </w:rPr>
      </w:pPr>
      <w:bookmarkStart w:id="109" w:name="_1.8_计量单位"/>
      <w:bookmarkEnd w:id="109"/>
      <w:bookmarkStart w:id="110" w:name="_Toc150774727"/>
      <w:bookmarkStart w:id="111" w:name="_Toc150774622"/>
      <w:bookmarkStart w:id="112" w:name="_Toc142311024"/>
      <w:bookmarkStart w:id="113" w:name="_Toc151190149"/>
      <w:bookmarkStart w:id="114" w:name="_Toc226309766"/>
      <w:bookmarkStart w:id="115" w:name="_Toc305158790"/>
      <w:bookmarkStart w:id="116" w:name="_Toc151193836"/>
      <w:bookmarkStart w:id="117" w:name="_Toc195842887"/>
      <w:bookmarkStart w:id="118" w:name="_Toc151193910"/>
      <w:bookmarkStart w:id="119" w:name="_Toc226337218"/>
      <w:bookmarkStart w:id="120" w:name="_Toc520356146"/>
      <w:bookmarkStart w:id="121" w:name="_Toc226965795"/>
      <w:bookmarkStart w:id="122" w:name="_Toc264969212"/>
      <w:bookmarkStart w:id="123" w:name="_Toc151193620"/>
      <w:bookmarkStart w:id="124" w:name="_Toc150480760"/>
      <w:bookmarkStart w:id="125" w:name="_Toc127151522"/>
      <w:bookmarkStart w:id="126" w:name="_Toc150509273"/>
      <w:bookmarkStart w:id="127" w:name="_Toc226965712"/>
      <w:bookmarkStart w:id="128" w:name="_Toc265228360"/>
      <w:bookmarkStart w:id="129" w:name="_Toc151193692"/>
      <w:bookmarkStart w:id="130" w:name="_Toc305158864"/>
      <w:bookmarkStart w:id="131" w:name="_Toc151193764"/>
      <w:r>
        <w:rPr>
          <w:rFonts w:hint="eastAsia" w:ascii="宋体" w:hAnsi="宋体" w:eastAsia="宋体" w:cs="宋体"/>
          <w:b/>
          <w:bCs/>
          <w:color w:val="auto"/>
          <w:sz w:val="28"/>
          <w:highlight w:val="none"/>
        </w:rPr>
        <w:t>二   招标文件</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p w14:paraId="7E0EBDA2">
      <w:pPr>
        <w:numPr>
          <w:ilvl w:val="0"/>
          <w:numId w:val="0"/>
        </w:numPr>
        <w:tabs>
          <w:tab w:val="left" w:pos="360"/>
        </w:tabs>
        <w:snapToGrid w:val="0"/>
        <w:spacing w:line="360" w:lineRule="auto"/>
        <w:ind w:leftChars="0"/>
        <w:rPr>
          <w:rFonts w:hint="eastAsia" w:ascii="宋体" w:hAnsi="宋体" w:eastAsia="宋体" w:cs="宋体"/>
          <w:b/>
          <w:bCs/>
          <w:color w:val="auto"/>
          <w:sz w:val="24"/>
          <w:highlight w:val="none"/>
        </w:rPr>
      </w:pPr>
      <w:bookmarkStart w:id="132" w:name="_Toc265228361"/>
      <w:bookmarkStart w:id="133" w:name="_Toc150480761"/>
      <w:bookmarkStart w:id="134" w:name="_Toc226965796"/>
      <w:bookmarkStart w:id="135" w:name="_Toc226337219"/>
      <w:bookmarkStart w:id="136" w:name="_Toc164229218"/>
      <w:bookmarkStart w:id="137" w:name="_Toc226965713"/>
      <w:bookmarkStart w:id="138" w:name="_Toc151193621"/>
      <w:bookmarkStart w:id="139" w:name="_Toc150774623"/>
      <w:bookmarkStart w:id="140" w:name="_Toc149720816"/>
      <w:bookmarkStart w:id="141" w:name="_Toc520356147"/>
      <w:bookmarkStart w:id="142" w:name="_Toc151193765"/>
      <w:bookmarkStart w:id="143" w:name="_Toc151193693"/>
      <w:bookmarkStart w:id="144" w:name="_Toc151193911"/>
      <w:bookmarkStart w:id="145" w:name="_Toc305158791"/>
      <w:bookmarkStart w:id="146" w:name="_Toc142311025"/>
      <w:bookmarkStart w:id="147" w:name="_Toc164608637"/>
      <w:bookmarkStart w:id="148" w:name="_Toc164229364"/>
      <w:bookmarkStart w:id="149" w:name="_Toc127151724"/>
      <w:bookmarkStart w:id="150" w:name="_Toc151193837"/>
      <w:bookmarkStart w:id="151" w:name="_Toc164608792"/>
      <w:bookmarkStart w:id="152" w:name="_Toc150774728"/>
      <w:bookmarkStart w:id="153" w:name="_Toc150509274"/>
      <w:bookmarkStart w:id="154" w:name="_Toc127161437"/>
      <w:bookmarkStart w:id="155" w:name="_Toc164351617"/>
      <w:bookmarkStart w:id="156" w:name="_Toc151190150"/>
      <w:bookmarkStart w:id="157" w:name="_Toc305158865"/>
      <w:bookmarkStart w:id="158" w:name="_Toc264969213"/>
      <w:bookmarkStart w:id="159" w:name="_Toc195842888"/>
      <w:bookmarkStart w:id="160" w:name="_Toc127151523"/>
      <w:bookmarkStart w:id="161" w:name="_Toc226309767"/>
      <w:r>
        <w:rPr>
          <w:rFonts w:hint="eastAsia" w:ascii="宋体" w:hAnsi="宋体" w:eastAsia="宋体" w:cs="宋体"/>
          <w:b/>
          <w:bCs/>
          <w:color w:val="auto"/>
          <w:sz w:val="24"/>
          <w:highlight w:val="none"/>
          <w:lang w:val="en-US" w:eastAsia="zh-CN"/>
        </w:rPr>
        <w:t>6、</w:t>
      </w:r>
      <w:r>
        <w:rPr>
          <w:rFonts w:hint="eastAsia" w:ascii="宋体" w:hAnsi="宋体" w:eastAsia="宋体" w:cs="宋体"/>
          <w:b/>
          <w:bCs/>
          <w:color w:val="auto"/>
          <w:sz w:val="24"/>
          <w:highlight w:val="none"/>
        </w:rPr>
        <w:t>招标文件构</w:t>
      </w:r>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Pr>
          <w:rFonts w:hint="eastAsia" w:ascii="宋体" w:hAnsi="宋体" w:eastAsia="宋体" w:cs="宋体"/>
          <w:b/>
          <w:bCs/>
          <w:color w:val="auto"/>
          <w:sz w:val="24"/>
          <w:highlight w:val="none"/>
        </w:rPr>
        <w:t>成</w:t>
      </w:r>
    </w:p>
    <w:p w14:paraId="0A71FB41">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6.1</w:t>
      </w:r>
      <w:r>
        <w:rPr>
          <w:rFonts w:hint="eastAsia" w:ascii="宋体" w:hAnsi="宋体" w:eastAsia="宋体" w:cs="宋体"/>
          <w:color w:val="auto"/>
          <w:sz w:val="24"/>
          <w:highlight w:val="none"/>
        </w:rPr>
        <w:t>招标文件包括以下部分：</w:t>
      </w:r>
    </w:p>
    <w:p w14:paraId="3B868DF7">
      <w:pPr>
        <w:numPr>
          <w:ilvl w:val="0"/>
          <w:numId w:val="0"/>
        </w:numPr>
        <w:tabs>
          <w:tab w:val="left" w:pos="1980"/>
          <w:tab w:val="left" w:pos="2520"/>
        </w:tabs>
        <w:snapToGrid w:val="0"/>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第一章</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招标公告</w:t>
      </w:r>
    </w:p>
    <w:p w14:paraId="4EF077B4">
      <w:pPr>
        <w:numPr>
          <w:ilvl w:val="0"/>
          <w:numId w:val="0"/>
        </w:numPr>
        <w:tabs>
          <w:tab w:val="left" w:pos="1980"/>
          <w:tab w:val="left" w:pos="2520"/>
        </w:tabs>
        <w:snapToGrid w:val="0"/>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第二章</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供应商须知</w:t>
      </w:r>
    </w:p>
    <w:p w14:paraId="22D0FABF">
      <w:pPr>
        <w:numPr>
          <w:ilvl w:val="0"/>
          <w:numId w:val="0"/>
        </w:numPr>
        <w:tabs>
          <w:tab w:val="left" w:pos="1980"/>
          <w:tab w:val="left" w:pos="2520"/>
        </w:tabs>
        <w:snapToGrid w:val="0"/>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第三章</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资格审查</w:t>
      </w:r>
    </w:p>
    <w:p w14:paraId="5DD2147C">
      <w:pPr>
        <w:numPr>
          <w:ilvl w:val="0"/>
          <w:numId w:val="0"/>
        </w:numPr>
        <w:tabs>
          <w:tab w:val="left" w:pos="1980"/>
          <w:tab w:val="left" w:pos="2520"/>
        </w:tabs>
        <w:snapToGrid w:val="0"/>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第四章</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评标程序、评标方法和评标标准</w:t>
      </w:r>
    </w:p>
    <w:p w14:paraId="57D67893">
      <w:pPr>
        <w:numPr>
          <w:ilvl w:val="0"/>
          <w:numId w:val="0"/>
        </w:numPr>
        <w:tabs>
          <w:tab w:val="left" w:pos="1980"/>
          <w:tab w:val="left" w:pos="2520"/>
        </w:tabs>
        <w:snapToGrid w:val="0"/>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第五章</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采购需求</w:t>
      </w:r>
    </w:p>
    <w:p w14:paraId="1C7990C7">
      <w:pPr>
        <w:numPr>
          <w:ilvl w:val="0"/>
          <w:numId w:val="0"/>
        </w:numPr>
        <w:tabs>
          <w:tab w:val="left" w:pos="1980"/>
          <w:tab w:val="left" w:pos="2520"/>
        </w:tabs>
        <w:snapToGrid w:val="0"/>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第六章</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拟签订的合同文本</w:t>
      </w:r>
    </w:p>
    <w:p w14:paraId="7C4DCC23">
      <w:pPr>
        <w:numPr>
          <w:ilvl w:val="0"/>
          <w:numId w:val="0"/>
        </w:numPr>
        <w:tabs>
          <w:tab w:val="left" w:pos="1980"/>
          <w:tab w:val="left" w:pos="2520"/>
        </w:tabs>
        <w:snapToGrid w:val="0"/>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第七章</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投标文件格式</w:t>
      </w:r>
    </w:p>
    <w:p w14:paraId="53601694">
      <w:pPr>
        <w:numPr>
          <w:ilvl w:val="0"/>
          <w:numId w:val="0"/>
        </w:numPr>
        <w:tabs>
          <w:tab w:val="left" w:pos="360"/>
        </w:tabs>
        <w:snapToGrid w:val="0"/>
        <w:spacing w:line="360" w:lineRule="auto"/>
        <w:ind w:leftChars="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7、</w:t>
      </w:r>
      <w:r>
        <w:rPr>
          <w:rFonts w:hint="eastAsia" w:ascii="宋体" w:hAnsi="宋体" w:eastAsia="宋体" w:cs="宋体"/>
          <w:b/>
          <w:bCs/>
          <w:color w:val="auto"/>
          <w:sz w:val="24"/>
          <w:highlight w:val="none"/>
        </w:rPr>
        <w:t>对招标文件的澄清或修改</w:t>
      </w:r>
    </w:p>
    <w:p w14:paraId="73110029">
      <w:pPr>
        <w:numPr>
          <w:ilvl w:val="0"/>
          <w:numId w:val="0"/>
        </w:numPr>
        <w:tabs>
          <w:tab w:val="left" w:pos="1080"/>
          <w:tab w:val="left" w:pos="1561"/>
          <w:tab w:val="left" w:pos="2014"/>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7.1</w:t>
      </w:r>
      <w:r>
        <w:rPr>
          <w:rFonts w:hint="eastAsia" w:ascii="宋体" w:hAnsi="宋体" w:eastAsia="宋体" w:cs="宋体"/>
          <w:color w:val="auto"/>
          <w:sz w:val="24"/>
          <w:highlight w:val="none"/>
        </w:rPr>
        <w:t>采购人或采购代理机构对已发出的招标文件进行必要澄清或者修改的，将在原公告发布媒体上发布更正公告，并以书面形式通知所有获取招标文件的潜在供应商。</w:t>
      </w:r>
    </w:p>
    <w:p w14:paraId="585DFB8B">
      <w:pPr>
        <w:numPr>
          <w:ilvl w:val="0"/>
          <w:numId w:val="0"/>
        </w:numPr>
        <w:tabs>
          <w:tab w:val="left" w:pos="1080"/>
          <w:tab w:val="left" w:pos="1561"/>
          <w:tab w:val="left" w:pos="2014"/>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7.2</w:t>
      </w:r>
      <w:r>
        <w:rPr>
          <w:rFonts w:hint="eastAsia" w:ascii="宋体" w:hAnsi="宋体" w:eastAsia="宋体" w:cs="宋体"/>
          <w:color w:val="auto"/>
          <w:sz w:val="24"/>
          <w:highlight w:val="none"/>
        </w:rPr>
        <w:t>上述书面通知，按照获取招标文件的潜在供应商提供的联系方式发出，因提供的信息有误导致通知延迟或无法通知的，采购人或采购代理机构不承担责任。</w:t>
      </w:r>
    </w:p>
    <w:p w14:paraId="012F43AF">
      <w:pPr>
        <w:numPr>
          <w:ilvl w:val="0"/>
          <w:numId w:val="0"/>
        </w:numPr>
        <w:tabs>
          <w:tab w:val="left" w:pos="1080"/>
          <w:tab w:val="left" w:pos="1561"/>
          <w:tab w:val="left" w:pos="2014"/>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7.3</w:t>
      </w:r>
      <w:r>
        <w:rPr>
          <w:rFonts w:hint="eastAsia" w:ascii="宋体" w:hAnsi="宋体" w:eastAsia="宋体" w:cs="宋体"/>
          <w:color w:val="auto"/>
          <w:sz w:val="24"/>
          <w:highlight w:val="none"/>
        </w:rPr>
        <w:t>澄清或者修改的内容为招标文件的组成部分，并对所有获取招标文件的潜在供应商具有约束力。澄清或者修改的内容可能影响投标文件编制的，将在投标截止时间至少15日前，以书面形式通知所有获取招标文件的潜在供应商；不足15日的，将顺延提交投标文件的截止时间和开标时间。</w:t>
      </w:r>
    </w:p>
    <w:p w14:paraId="4D79F871">
      <w:pPr>
        <w:spacing w:line="360" w:lineRule="auto"/>
        <w:jc w:val="center"/>
        <w:rPr>
          <w:rFonts w:hint="eastAsia" w:ascii="宋体" w:hAnsi="宋体" w:eastAsia="宋体" w:cs="宋体"/>
          <w:b/>
          <w:bCs/>
          <w:color w:val="auto"/>
          <w:sz w:val="28"/>
          <w:highlight w:val="none"/>
        </w:rPr>
      </w:pPr>
      <w:bookmarkStart w:id="162" w:name="_Toc516367020"/>
      <w:bookmarkStart w:id="163" w:name="_Toc264969216"/>
      <w:bookmarkStart w:id="164" w:name="_Toc151193624"/>
      <w:bookmarkStart w:id="165" w:name="_Toc150774626"/>
      <w:bookmarkStart w:id="166" w:name="_Toc305158794"/>
      <w:bookmarkStart w:id="167" w:name="_Toc305158868"/>
      <w:bookmarkStart w:id="168" w:name="_Toc150774731"/>
      <w:bookmarkStart w:id="169" w:name="_Toc151193768"/>
      <w:bookmarkStart w:id="170" w:name="_Toc150480764"/>
      <w:bookmarkStart w:id="171" w:name="_Toc226309770"/>
      <w:bookmarkStart w:id="172" w:name="_Toc226965799"/>
      <w:bookmarkStart w:id="173" w:name="_Toc520356150"/>
      <w:bookmarkStart w:id="174" w:name="_Toc195842891"/>
      <w:bookmarkStart w:id="175" w:name="_Toc151193840"/>
      <w:bookmarkStart w:id="176" w:name="_Toc127151526"/>
      <w:bookmarkStart w:id="177" w:name="_Toc226965716"/>
      <w:bookmarkStart w:id="178" w:name="_Toc150509277"/>
      <w:bookmarkStart w:id="179" w:name="_Toc151190153"/>
      <w:bookmarkStart w:id="180" w:name="_Toc151193914"/>
      <w:bookmarkStart w:id="181" w:name="_Toc226337222"/>
      <w:bookmarkStart w:id="182" w:name="_Toc142311028"/>
      <w:bookmarkStart w:id="183" w:name="_Toc151193696"/>
      <w:bookmarkStart w:id="184" w:name="_Toc265228364"/>
      <w:r>
        <w:rPr>
          <w:rFonts w:hint="eastAsia" w:ascii="宋体" w:hAnsi="宋体" w:eastAsia="宋体" w:cs="宋体"/>
          <w:b/>
          <w:bCs/>
          <w:color w:val="auto"/>
          <w:sz w:val="28"/>
          <w:highlight w:val="none"/>
        </w:rPr>
        <w:t>三   投标文件</w:t>
      </w:r>
      <w:bookmarkEnd w:id="162"/>
      <w:r>
        <w:rPr>
          <w:rFonts w:hint="eastAsia" w:ascii="宋体" w:hAnsi="宋体" w:eastAsia="宋体" w:cs="宋体"/>
          <w:b/>
          <w:bCs/>
          <w:color w:val="auto"/>
          <w:sz w:val="28"/>
          <w:highlight w:val="none"/>
        </w:rPr>
        <w:t>的编制</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14:paraId="7597D3E2">
      <w:pPr>
        <w:numPr>
          <w:ilvl w:val="0"/>
          <w:numId w:val="0"/>
        </w:numPr>
        <w:tabs>
          <w:tab w:val="left" w:pos="360"/>
        </w:tabs>
        <w:snapToGrid w:val="0"/>
        <w:spacing w:line="360" w:lineRule="auto"/>
        <w:ind w:leftChars="0"/>
        <w:rPr>
          <w:rFonts w:hint="eastAsia" w:ascii="宋体" w:hAnsi="宋体" w:eastAsia="宋体" w:cs="宋体"/>
          <w:b/>
          <w:bCs/>
          <w:color w:val="auto"/>
          <w:sz w:val="24"/>
          <w:highlight w:val="none"/>
        </w:rPr>
      </w:pPr>
      <w:bookmarkStart w:id="185" w:name="_Toc151193625"/>
      <w:bookmarkStart w:id="186" w:name="_Toc305158869"/>
      <w:bookmarkStart w:id="187" w:name="_Toc265228365"/>
      <w:bookmarkStart w:id="188" w:name="_Toc164229222"/>
      <w:bookmarkStart w:id="189" w:name="_Toc151190154"/>
      <w:bookmarkStart w:id="190" w:name="_Toc226965717"/>
      <w:bookmarkStart w:id="191" w:name="_Toc149720820"/>
      <w:bookmarkStart w:id="192" w:name="_Toc520356151"/>
      <w:bookmarkStart w:id="193" w:name="_Toc127151728"/>
      <w:bookmarkStart w:id="194" w:name="_Toc305158795"/>
      <w:bookmarkStart w:id="195" w:name="_Toc150480765"/>
      <w:bookmarkStart w:id="196" w:name="_Toc226337223"/>
      <w:bookmarkStart w:id="197" w:name="_Toc226309771"/>
      <w:bookmarkStart w:id="198" w:name="_Toc142311029"/>
      <w:bookmarkStart w:id="199" w:name="_Toc226965800"/>
      <w:bookmarkStart w:id="200" w:name="_Toc127151527"/>
      <w:bookmarkStart w:id="201" w:name="_Toc151193841"/>
      <w:bookmarkStart w:id="202" w:name="_Toc127161441"/>
      <w:bookmarkStart w:id="203" w:name="_Toc164229368"/>
      <w:bookmarkStart w:id="204" w:name="_Toc150509278"/>
      <w:bookmarkStart w:id="205" w:name="_Toc516367021"/>
      <w:bookmarkStart w:id="206" w:name="_Toc151193915"/>
      <w:bookmarkStart w:id="207" w:name="_Toc151193697"/>
      <w:bookmarkStart w:id="208" w:name="_Toc264969217"/>
      <w:bookmarkStart w:id="209" w:name="_Toc164351621"/>
      <w:bookmarkStart w:id="210" w:name="_Toc151193769"/>
      <w:bookmarkStart w:id="211" w:name="_Toc164608641"/>
      <w:bookmarkStart w:id="212" w:name="_Toc195842892"/>
      <w:bookmarkStart w:id="213" w:name="_Toc150774732"/>
      <w:bookmarkStart w:id="214" w:name="_Toc164608796"/>
      <w:bookmarkStart w:id="215" w:name="_Toc150774627"/>
      <w:r>
        <w:rPr>
          <w:rFonts w:hint="eastAsia" w:ascii="宋体" w:hAnsi="宋体" w:eastAsia="宋体" w:cs="宋体"/>
          <w:b/>
          <w:bCs/>
          <w:color w:val="auto"/>
          <w:sz w:val="24"/>
          <w:highlight w:val="none"/>
          <w:lang w:val="en-US" w:eastAsia="zh-CN"/>
        </w:rPr>
        <w:t>8、</w:t>
      </w:r>
      <w:r>
        <w:rPr>
          <w:rFonts w:hint="eastAsia" w:ascii="宋体" w:hAnsi="宋体" w:eastAsia="宋体" w:cs="宋体"/>
          <w:b/>
          <w:bCs/>
          <w:color w:val="auto"/>
          <w:sz w:val="24"/>
          <w:highlight w:val="none"/>
        </w:rPr>
        <w:t>投标范围、投标文件中计量单位的使用</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r>
        <w:rPr>
          <w:rFonts w:hint="eastAsia" w:ascii="宋体" w:hAnsi="宋体" w:eastAsia="宋体" w:cs="宋体"/>
          <w:b/>
          <w:bCs/>
          <w:color w:val="auto"/>
          <w:sz w:val="24"/>
          <w:highlight w:val="none"/>
        </w:rPr>
        <w:t>及投标语言</w:t>
      </w:r>
    </w:p>
    <w:p w14:paraId="51DB9F47">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8.1</w:t>
      </w:r>
      <w:r>
        <w:rPr>
          <w:rFonts w:hint="eastAsia" w:ascii="宋体" w:hAnsi="宋体" w:eastAsia="宋体" w:cs="宋体"/>
          <w:color w:val="auto"/>
          <w:sz w:val="24"/>
          <w:highlight w:val="none"/>
        </w:rPr>
        <w:t>本项目共分为1个标段。供应商应当对所投采购包对应《第五章</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采购需求》所列的全部内容进行投标，不得将一个采购包中的内容拆分投标，否则其对该采购包的投标将被认定为</w:t>
      </w:r>
      <w:r>
        <w:rPr>
          <w:rFonts w:hint="eastAsia" w:ascii="宋体" w:hAnsi="宋体" w:eastAsia="宋体" w:cs="宋体"/>
          <w:b/>
          <w:color w:val="auto"/>
          <w:sz w:val="24"/>
          <w:highlight w:val="none"/>
        </w:rPr>
        <w:t>无效投标</w:t>
      </w:r>
      <w:r>
        <w:rPr>
          <w:rFonts w:hint="eastAsia" w:ascii="宋体" w:hAnsi="宋体" w:eastAsia="宋体" w:cs="宋体"/>
          <w:color w:val="auto"/>
          <w:sz w:val="24"/>
          <w:highlight w:val="none"/>
        </w:rPr>
        <w:t>。</w:t>
      </w:r>
    </w:p>
    <w:p w14:paraId="3EAD8A97">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8.2</w:t>
      </w:r>
      <w:r>
        <w:rPr>
          <w:rFonts w:hint="eastAsia" w:ascii="宋体" w:hAnsi="宋体" w:eastAsia="宋体" w:cs="宋体"/>
          <w:color w:val="auto"/>
          <w:sz w:val="24"/>
          <w:highlight w:val="none"/>
        </w:rPr>
        <w:t>除招标文件有特殊要求外，本项目投标所使用的计量单位，应采用中华人民共和国法定计量单位。</w:t>
      </w:r>
    </w:p>
    <w:p w14:paraId="0B5C0112">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8.3</w:t>
      </w:r>
      <w:r>
        <w:rPr>
          <w:rFonts w:hint="eastAsia" w:ascii="宋体" w:hAnsi="宋体" w:eastAsia="宋体" w:cs="宋体"/>
          <w:color w:val="auto"/>
          <w:sz w:val="24"/>
          <w:highlight w:val="none"/>
        </w:rPr>
        <w:t>除专用术语外，投标文件及来往函电均应使用中文书写。必要时专用术语应附有中文解释。供应商提交的支持资料和已印制的文献可以用外文，但相应内容应附有中文翻译本，在解释投标文件时以中文翻译本为准。未附中文翻译本或翻译本中文内容明显与外文内容不一致的，其不利后果由供应商自行承担。</w:t>
      </w:r>
    </w:p>
    <w:p w14:paraId="0EB5A8F7">
      <w:pPr>
        <w:numPr>
          <w:ilvl w:val="0"/>
          <w:numId w:val="0"/>
        </w:numPr>
        <w:tabs>
          <w:tab w:val="left" w:pos="360"/>
        </w:tabs>
        <w:snapToGrid w:val="0"/>
        <w:spacing w:line="360" w:lineRule="auto"/>
        <w:ind w:leftChars="0"/>
        <w:rPr>
          <w:rFonts w:hint="eastAsia" w:ascii="宋体" w:hAnsi="宋体" w:eastAsia="宋体" w:cs="宋体"/>
          <w:b/>
          <w:bCs/>
          <w:color w:val="auto"/>
          <w:sz w:val="24"/>
          <w:highlight w:val="none"/>
        </w:rPr>
      </w:pPr>
      <w:bookmarkStart w:id="216" w:name="_Toc516367022"/>
      <w:bookmarkStart w:id="217" w:name="_Ref467306195"/>
      <w:bookmarkStart w:id="218" w:name="_Ref467306676"/>
      <w:bookmarkStart w:id="219" w:name="_Toc151193626"/>
      <w:bookmarkStart w:id="220" w:name="_Toc195842893"/>
      <w:bookmarkStart w:id="221" w:name="_Toc305158796"/>
      <w:bookmarkStart w:id="222" w:name="_Toc164608642"/>
      <w:bookmarkStart w:id="223" w:name="_Toc149720821"/>
      <w:bookmarkStart w:id="224" w:name="_Toc151190155"/>
      <w:bookmarkStart w:id="225" w:name="_Toc164608797"/>
      <w:bookmarkStart w:id="226" w:name="_Toc150774628"/>
      <w:bookmarkStart w:id="227" w:name="_Toc150480766"/>
      <w:bookmarkStart w:id="228" w:name="_Toc164351622"/>
      <w:bookmarkStart w:id="229" w:name="_Toc151193698"/>
      <w:bookmarkStart w:id="230" w:name="_Toc520356152"/>
      <w:bookmarkStart w:id="231" w:name="_Toc151193770"/>
      <w:bookmarkStart w:id="232" w:name="_Toc127161442"/>
      <w:bookmarkStart w:id="233" w:name="_Toc142311030"/>
      <w:bookmarkStart w:id="234" w:name="_Toc265228366"/>
      <w:bookmarkStart w:id="235" w:name="_Toc264969218"/>
      <w:bookmarkStart w:id="236" w:name="_Toc127151729"/>
      <w:bookmarkStart w:id="237" w:name="_Toc150509279"/>
      <w:bookmarkStart w:id="238" w:name="_Toc226309772"/>
      <w:bookmarkStart w:id="239" w:name="_Toc151193842"/>
      <w:bookmarkStart w:id="240" w:name="_Toc164229223"/>
      <w:bookmarkStart w:id="241" w:name="_Toc226965801"/>
      <w:bookmarkStart w:id="242" w:name="_Toc150774733"/>
      <w:bookmarkStart w:id="243" w:name="_Toc151193916"/>
      <w:bookmarkStart w:id="244" w:name="_Toc226337224"/>
      <w:bookmarkStart w:id="245" w:name="_Toc226965718"/>
      <w:bookmarkStart w:id="246" w:name="_Toc164229369"/>
      <w:bookmarkStart w:id="247" w:name="_Toc127151528"/>
      <w:bookmarkStart w:id="248" w:name="_Toc305158870"/>
      <w:r>
        <w:rPr>
          <w:rFonts w:hint="eastAsia" w:ascii="宋体" w:hAnsi="宋体" w:eastAsia="宋体" w:cs="宋体"/>
          <w:b/>
          <w:bCs/>
          <w:color w:val="auto"/>
          <w:sz w:val="24"/>
          <w:highlight w:val="none"/>
          <w:lang w:val="en-US" w:eastAsia="zh-CN"/>
        </w:rPr>
        <w:t>9、</w:t>
      </w:r>
      <w:r>
        <w:rPr>
          <w:rFonts w:hint="eastAsia" w:ascii="宋体" w:hAnsi="宋体" w:eastAsia="宋体" w:cs="宋体"/>
          <w:b/>
          <w:bCs/>
          <w:color w:val="auto"/>
          <w:sz w:val="24"/>
          <w:highlight w:val="none"/>
        </w:rPr>
        <w:t>投标文件</w:t>
      </w:r>
      <w:bookmarkEnd w:id="216"/>
      <w:bookmarkEnd w:id="217"/>
      <w:bookmarkEnd w:id="218"/>
      <w:r>
        <w:rPr>
          <w:rFonts w:hint="eastAsia" w:ascii="宋体" w:hAnsi="宋体" w:eastAsia="宋体" w:cs="宋体"/>
          <w:b/>
          <w:bCs/>
          <w:color w:val="auto"/>
          <w:sz w:val="24"/>
          <w:highlight w:val="none"/>
        </w:rPr>
        <w:t>构成</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p w14:paraId="0CFF212D">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rPr>
      </w:pPr>
      <w:bookmarkStart w:id="249" w:name="_Ref467052588"/>
      <w:r>
        <w:rPr>
          <w:rFonts w:hint="eastAsia" w:ascii="宋体" w:hAnsi="宋体" w:eastAsia="宋体" w:cs="宋体"/>
          <w:color w:val="auto"/>
          <w:sz w:val="24"/>
          <w:highlight w:val="none"/>
          <w:lang w:val="en-US" w:eastAsia="zh-CN"/>
        </w:rPr>
        <w:t>9.1</w:t>
      </w:r>
      <w:r>
        <w:rPr>
          <w:rFonts w:hint="eastAsia" w:ascii="宋体" w:hAnsi="宋体" w:eastAsia="宋体" w:cs="宋体"/>
          <w:color w:val="auto"/>
          <w:sz w:val="24"/>
          <w:highlight w:val="none"/>
        </w:rPr>
        <w:t>供应商应当按照招标文件的要求编制投标文件。投标文件应由《资格证明文件》《商务文件》《技术文件》三部分构成。投标文件的部分格式要求，见第七章《投标文件格式》。</w:t>
      </w:r>
    </w:p>
    <w:p w14:paraId="7D2756F7">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val="en-US" w:eastAsia="zh-CN"/>
        </w:rPr>
        <w:t>9.2</w:t>
      </w:r>
      <w:r>
        <w:rPr>
          <w:rFonts w:hint="eastAsia" w:ascii="宋体" w:hAnsi="宋体" w:eastAsia="宋体" w:cs="宋体"/>
          <w:color w:val="auto"/>
          <w:kern w:val="0"/>
          <w:sz w:val="24"/>
          <w:highlight w:val="none"/>
        </w:rPr>
        <w:t>对于招标文件中标记了实质性</w:t>
      </w:r>
      <w:r>
        <w:rPr>
          <w:rFonts w:hint="eastAsia" w:ascii="宋体" w:hAnsi="宋体" w:eastAsia="宋体" w:cs="宋体"/>
          <w:color w:val="auto"/>
          <w:kern w:val="0"/>
          <w:sz w:val="24"/>
          <w:highlight w:val="none"/>
          <w:lang w:val="en-US" w:eastAsia="zh-CN"/>
        </w:rPr>
        <w:t>要求</w:t>
      </w:r>
      <w:r>
        <w:rPr>
          <w:rFonts w:hint="eastAsia" w:ascii="宋体" w:hAnsi="宋体" w:eastAsia="宋体" w:cs="宋体"/>
          <w:color w:val="auto"/>
          <w:kern w:val="0"/>
          <w:sz w:val="24"/>
          <w:highlight w:val="none"/>
        </w:rPr>
        <w:t>的（文件中标注</w:t>
      </w:r>
      <w:r>
        <w:rPr>
          <w:rFonts w:hint="eastAsia" w:ascii="宋体" w:hAnsi="宋体" w:eastAsia="宋体" w:cs="宋体"/>
          <w:color w:val="auto"/>
          <w:sz w:val="24"/>
          <w:highlight w:val="none"/>
        </w:rPr>
        <w:t>★的为实质性响应要求和条件</w:t>
      </w:r>
      <w:r>
        <w:rPr>
          <w:rFonts w:hint="eastAsia" w:ascii="宋体" w:hAnsi="宋体" w:eastAsia="宋体" w:cs="宋体"/>
          <w:color w:val="auto"/>
          <w:kern w:val="0"/>
          <w:sz w:val="24"/>
          <w:highlight w:val="none"/>
        </w:rPr>
        <w:t>），</w:t>
      </w:r>
      <w:r>
        <w:rPr>
          <w:rFonts w:hint="eastAsia" w:ascii="宋体" w:hAnsi="宋体" w:eastAsia="宋体" w:cs="宋体"/>
          <w:color w:val="auto"/>
          <w:sz w:val="24"/>
          <w:highlight w:val="none"/>
        </w:rPr>
        <w:t>供应商不得改变格式中给定的文字所表达的含义，不得自行添加相矛盾的内容，不得对应当填写的空格不填写或不实质性响应，</w:t>
      </w:r>
      <w:r>
        <w:rPr>
          <w:rFonts w:hint="eastAsia" w:ascii="宋体" w:hAnsi="宋体" w:eastAsia="宋体" w:cs="宋体"/>
          <w:color w:val="auto"/>
          <w:kern w:val="0"/>
          <w:sz w:val="24"/>
          <w:highlight w:val="none"/>
        </w:rPr>
        <w:t>否则</w:t>
      </w:r>
      <w:r>
        <w:rPr>
          <w:rFonts w:hint="eastAsia" w:ascii="宋体" w:hAnsi="宋体" w:eastAsia="宋体" w:cs="宋体"/>
          <w:b/>
          <w:color w:val="auto"/>
          <w:kern w:val="0"/>
          <w:sz w:val="24"/>
          <w:highlight w:val="none"/>
        </w:rPr>
        <w:t>投标无效</w:t>
      </w:r>
      <w:r>
        <w:rPr>
          <w:rFonts w:hint="eastAsia" w:ascii="宋体" w:hAnsi="宋体" w:eastAsia="宋体" w:cs="宋体"/>
          <w:color w:val="auto"/>
          <w:kern w:val="0"/>
          <w:sz w:val="24"/>
          <w:highlight w:val="none"/>
        </w:rPr>
        <w:t>。未标记实质性</w:t>
      </w:r>
      <w:r>
        <w:rPr>
          <w:rFonts w:hint="eastAsia" w:ascii="宋体" w:hAnsi="宋体" w:eastAsia="宋体" w:cs="宋体"/>
          <w:color w:val="auto"/>
          <w:kern w:val="0"/>
          <w:sz w:val="24"/>
          <w:highlight w:val="none"/>
          <w:lang w:val="en-US" w:eastAsia="zh-CN"/>
        </w:rPr>
        <w:t>要求</w:t>
      </w:r>
      <w:r>
        <w:rPr>
          <w:rFonts w:hint="eastAsia" w:ascii="宋体" w:hAnsi="宋体" w:eastAsia="宋体" w:cs="宋体"/>
          <w:color w:val="auto"/>
          <w:kern w:val="0"/>
          <w:sz w:val="24"/>
          <w:highlight w:val="none"/>
        </w:rPr>
        <w:t>和招标文件未提供格式的内容，可由供应商自行编写。</w:t>
      </w:r>
    </w:p>
    <w:p w14:paraId="40FB5EEF">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9.3</w:t>
      </w:r>
      <w:r>
        <w:rPr>
          <w:rFonts w:hint="eastAsia" w:ascii="宋体" w:hAnsi="宋体" w:eastAsia="宋体" w:cs="宋体"/>
          <w:color w:val="auto"/>
          <w:sz w:val="24"/>
          <w:highlight w:val="none"/>
        </w:rPr>
        <w:t>第四章《评标程序、评标方法和评标标准》中涉及的证明文件。</w:t>
      </w:r>
    </w:p>
    <w:p w14:paraId="268F687B">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9.4</w:t>
      </w:r>
      <w:r>
        <w:rPr>
          <w:rFonts w:hint="eastAsia" w:ascii="宋体" w:hAnsi="宋体" w:eastAsia="宋体" w:cs="宋体"/>
          <w:color w:val="auto"/>
          <w:sz w:val="24"/>
          <w:highlight w:val="none"/>
        </w:rPr>
        <w:t>对照《第五章</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采购需求》，说明所提供货物和服务已对《第五章</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采购需求》做出了响应，或申明与《第五章</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采购需求》的偏差和例外。如《第五章</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采购需求》中要求提供证明文件的，供应商应当按具体要求提供证明文件。</w:t>
      </w:r>
    </w:p>
    <w:p w14:paraId="405736CA">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9.5</w:t>
      </w:r>
      <w:bookmarkEnd w:id="249"/>
      <w:r>
        <w:rPr>
          <w:rFonts w:hint="eastAsia" w:ascii="宋体" w:hAnsi="宋体" w:eastAsia="宋体" w:cs="宋体"/>
          <w:color w:val="auto"/>
          <w:sz w:val="24"/>
          <w:highlight w:val="none"/>
        </w:rPr>
        <w:t>构成投标文件的其他资料</w:t>
      </w:r>
      <w:r>
        <w:rPr>
          <w:rFonts w:hint="eastAsia" w:ascii="宋体" w:hAnsi="宋体" w:eastAsia="宋体" w:cs="宋体"/>
          <w:color w:val="auto"/>
          <w:sz w:val="24"/>
          <w:highlight w:val="none"/>
          <w:lang w:eastAsia="zh-CN"/>
        </w:rPr>
        <w:t>：</w:t>
      </w:r>
      <w:r>
        <w:rPr>
          <w:rFonts w:hint="eastAsia" w:ascii="宋体" w:hAnsi="宋体" w:eastAsia="宋体" w:cs="宋体"/>
          <w:b/>
          <w:bCs/>
          <w:color w:val="auto"/>
          <w:sz w:val="24"/>
          <w:highlight w:val="none"/>
          <w:lang w:eastAsia="zh-CN"/>
        </w:rPr>
        <w:t>见供应商须知前附表</w:t>
      </w:r>
    </w:p>
    <w:p w14:paraId="1E591BF6">
      <w:pPr>
        <w:numPr>
          <w:ilvl w:val="0"/>
          <w:numId w:val="0"/>
        </w:numPr>
        <w:tabs>
          <w:tab w:val="left" w:pos="360"/>
        </w:tabs>
        <w:snapToGrid w:val="0"/>
        <w:spacing w:line="360" w:lineRule="auto"/>
        <w:ind w:leftChars="0"/>
        <w:rPr>
          <w:rFonts w:hint="eastAsia" w:ascii="宋体" w:hAnsi="宋体" w:eastAsia="宋体" w:cs="宋体"/>
          <w:b/>
          <w:bCs/>
          <w:color w:val="auto"/>
          <w:sz w:val="24"/>
          <w:highlight w:val="none"/>
        </w:rPr>
      </w:pPr>
      <w:bookmarkStart w:id="250" w:name="_Toc151193772"/>
      <w:bookmarkStart w:id="251" w:name="_Toc164229371"/>
      <w:bookmarkStart w:id="252" w:name="_Toc151193700"/>
      <w:bookmarkStart w:id="253" w:name="_Toc164608644"/>
      <w:bookmarkStart w:id="254" w:name="_Toc164608799"/>
      <w:bookmarkStart w:id="255" w:name="_Toc151193628"/>
      <w:bookmarkStart w:id="256" w:name="_Toc127151731"/>
      <w:bookmarkStart w:id="257" w:name="_Toc164229225"/>
      <w:bookmarkStart w:id="258" w:name="_Toc150774735"/>
      <w:bookmarkStart w:id="259" w:name="_Toc149720823"/>
      <w:bookmarkStart w:id="260" w:name="_Toc127151530"/>
      <w:bookmarkStart w:id="261" w:name="_Toc151193918"/>
      <w:bookmarkStart w:id="262" w:name="_Toc520356155"/>
      <w:bookmarkStart w:id="263" w:name="_Toc142311032"/>
      <w:bookmarkStart w:id="264" w:name="_Toc150480768"/>
      <w:bookmarkStart w:id="265" w:name="_Toc195842895"/>
      <w:bookmarkStart w:id="266" w:name="_Toc127161444"/>
      <w:bookmarkStart w:id="267" w:name="_Toc150509281"/>
      <w:bookmarkStart w:id="268" w:name="_Toc150774630"/>
      <w:bookmarkStart w:id="269" w:name="_Toc151193844"/>
      <w:bookmarkStart w:id="270" w:name="_Toc164351624"/>
      <w:bookmarkStart w:id="271" w:name="_Toc151190157"/>
      <w:r>
        <w:rPr>
          <w:rFonts w:hint="eastAsia" w:ascii="宋体" w:hAnsi="宋体" w:eastAsia="宋体" w:cs="宋体"/>
          <w:b/>
          <w:bCs/>
          <w:color w:val="auto"/>
          <w:sz w:val="24"/>
          <w:highlight w:val="none"/>
          <w:lang w:val="en-US" w:eastAsia="zh-CN"/>
        </w:rPr>
        <w:t>10、</w:t>
      </w:r>
      <w:r>
        <w:rPr>
          <w:rFonts w:hint="eastAsia" w:ascii="宋体" w:hAnsi="宋体" w:eastAsia="宋体" w:cs="宋体"/>
          <w:b/>
          <w:bCs/>
          <w:color w:val="auto"/>
          <w:sz w:val="24"/>
          <w:highlight w:val="none"/>
        </w:rPr>
        <w:t>投标报价</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14:paraId="52F73FF6">
      <w:pPr>
        <w:numPr>
          <w:ilvl w:val="0"/>
          <w:numId w:val="0"/>
        </w:numPr>
        <w:tabs>
          <w:tab w:val="left" w:pos="1080"/>
          <w:tab w:val="left" w:pos="2014"/>
        </w:tabs>
        <w:snapToGrid w:val="0"/>
        <w:spacing w:line="360" w:lineRule="auto"/>
        <w:ind w:left="357" w:leftChars="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10.1</w:t>
      </w:r>
      <w:r>
        <w:rPr>
          <w:rFonts w:hint="eastAsia" w:ascii="宋体" w:hAnsi="宋体" w:eastAsia="宋体" w:cs="宋体"/>
          <w:color w:val="auto"/>
          <w:sz w:val="24"/>
          <w:highlight w:val="none"/>
        </w:rPr>
        <w:t>所有投标均以人民币报价。</w:t>
      </w:r>
    </w:p>
    <w:p w14:paraId="7791714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供应商的报价应包括为完成本项目所发生的一切费用和税费，采购人将不再支付报价以外的任何费用。供应商的报价应包括但不限于下列内容，</w:t>
      </w:r>
      <w:r>
        <w:rPr>
          <w:rFonts w:hint="eastAsia" w:ascii="宋体" w:hAnsi="宋体" w:eastAsia="宋体" w:cs="宋体"/>
          <w:color w:val="auto"/>
          <w:sz w:val="24"/>
          <w:highlight w:val="none"/>
          <w:lang w:val="en-US" w:eastAsia="zh-CN"/>
        </w:rPr>
        <w:t>招标文件</w:t>
      </w:r>
      <w:r>
        <w:rPr>
          <w:rFonts w:hint="eastAsia" w:ascii="宋体" w:hAnsi="宋体" w:eastAsia="宋体" w:cs="宋体"/>
          <w:color w:val="auto"/>
          <w:sz w:val="24"/>
          <w:highlight w:val="none"/>
        </w:rPr>
        <w:t>中有特殊规定的，从其规定。</w:t>
      </w:r>
    </w:p>
    <w:p w14:paraId="226B1788">
      <w:pPr>
        <w:wordWrap w:val="0"/>
        <w:spacing w:line="360" w:lineRule="auto"/>
        <w:ind w:firstLine="480" w:firstLineChars="200"/>
        <w:rPr>
          <w:rFonts w:hint="eastAsia" w:ascii="宋体" w:hAnsi="宋体" w:eastAsia="宋体" w:cs="宋体"/>
          <w:color w:val="auto"/>
          <w:sz w:val="24"/>
          <w:highlight w:val="none"/>
        </w:rPr>
      </w:pPr>
      <w:r>
        <w:rPr>
          <w:rFonts w:hint="eastAsia" w:ascii="宋体" w:hAnsi="宋体" w:cs="宋体"/>
          <w:sz w:val="24"/>
          <w:szCs w:val="24"/>
          <w:lang w:val="en-US" w:eastAsia="zh-CN"/>
        </w:rPr>
        <w:t>10.1.1</w:t>
      </w:r>
      <w:r>
        <w:rPr>
          <w:rFonts w:hint="eastAsia" w:ascii="宋体" w:hAnsi="宋体" w:cs="宋体"/>
          <w:sz w:val="24"/>
          <w:szCs w:val="24"/>
        </w:rPr>
        <w:t>供应商的报价应依据</w:t>
      </w:r>
      <w:r>
        <w:rPr>
          <w:rFonts w:hint="eastAsia" w:ascii="宋体" w:hAnsi="宋体" w:cs="宋体"/>
          <w:sz w:val="24"/>
          <w:szCs w:val="24"/>
          <w:lang w:val="en-US" w:eastAsia="zh-CN"/>
        </w:rPr>
        <w:t>招标</w:t>
      </w:r>
      <w:r>
        <w:rPr>
          <w:rFonts w:hint="eastAsia" w:ascii="宋体" w:hAnsi="宋体" w:cs="宋体"/>
          <w:sz w:val="24"/>
          <w:szCs w:val="24"/>
        </w:rPr>
        <w:t>文件的要求及有关资料，执行国家规定的现行技术、经济标准、定额及规范，由供应商自行测算出现行市场的各类价格。</w:t>
      </w:r>
      <w:r>
        <w:rPr>
          <w:rFonts w:hint="eastAsia" w:ascii="宋体" w:hAnsi="宋体" w:eastAsia="宋体" w:cs="宋体"/>
          <w:color w:val="auto"/>
          <w:sz w:val="24"/>
          <w:highlight w:val="none"/>
        </w:rPr>
        <w:t>报价为人民币含税价（元），</w:t>
      </w:r>
      <w:r>
        <w:rPr>
          <w:rFonts w:hint="eastAsia" w:ascii="宋体" w:hAnsi="宋体" w:cs="宋体"/>
          <w:sz w:val="24"/>
          <w:szCs w:val="24"/>
        </w:rPr>
        <w:t>报价包括但不仅限于完成项目的直接成本、售后服务费用、人员工资、社保费及必要的保险费用、各项税金等所有费用的总和、市场价格的变化、利润及税金</w:t>
      </w:r>
      <w:r>
        <w:rPr>
          <w:rFonts w:hint="eastAsia" w:ascii="宋体" w:hAnsi="宋体" w:cs="宋体"/>
          <w:sz w:val="24"/>
          <w:szCs w:val="24"/>
          <w:lang w:eastAsia="zh-CN"/>
        </w:rPr>
        <w:t>、</w:t>
      </w:r>
      <w:r>
        <w:rPr>
          <w:rFonts w:hint="eastAsia" w:ascii="宋体" w:hAnsi="宋体" w:cs="宋体"/>
          <w:sz w:val="24"/>
          <w:szCs w:val="24"/>
          <w:lang w:val="en-US" w:eastAsia="zh-CN"/>
        </w:rPr>
        <w:t>中标服务费</w:t>
      </w:r>
      <w:r>
        <w:rPr>
          <w:rFonts w:hint="eastAsia" w:ascii="宋体" w:hAnsi="宋体" w:cs="宋体"/>
          <w:sz w:val="24"/>
          <w:szCs w:val="24"/>
        </w:rPr>
        <w:t>等费用</w:t>
      </w:r>
      <w:r>
        <w:rPr>
          <w:rFonts w:hint="eastAsia" w:ascii="宋体" w:hAnsi="宋体" w:cs="宋体"/>
          <w:sz w:val="24"/>
          <w:szCs w:val="24"/>
          <w:lang w:eastAsia="zh-CN"/>
        </w:rPr>
        <w:t>。</w:t>
      </w:r>
      <w:r>
        <w:rPr>
          <w:rFonts w:hint="eastAsia" w:ascii="宋体" w:hAnsi="宋体" w:cs="宋体"/>
          <w:sz w:val="24"/>
          <w:szCs w:val="24"/>
        </w:rPr>
        <w:t>该报价</w:t>
      </w:r>
      <w:r>
        <w:rPr>
          <w:rFonts w:hint="eastAsia" w:ascii="宋体" w:hAnsi="宋体" w:cs="宋体"/>
          <w:sz w:val="24"/>
          <w:szCs w:val="24"/>
          <w:lang w:val="en-US" w:eastAsia="zh-CN"/>
        </w:rPr>
        <w:t>应</w:t>
      </w:r>
      <w:r>
        <w:rPr>
          <w:rFonts w:hint="eastAsia" w:ascii="宋体" w:hAnsi="宋体" w:eastAsia="宋体" w:cs="宋体"/>
          <w:color w:val="auto"/>
          <w:sz w:val="24"/>
          <w:highlight w:val="none"/>
        </w:rPr>
        <w:t>考虑市场风险、政策性风险、汇率风险等因素</w:t>
      </w:r>
      <w:r>
        <w:rPr>
          <w:rFonts w:hint="eastAsia" w:ascii="宋体" w:hAnsi="宋体" w:cs="宋体"/>
          <w:sz w:val="24"/>
          <w:szCs w:val="24"/>
        </w:rPr>
        <w:t>符合国内行情并能保证供应商完成履行合同所需的一切工作。合同一旦签订，此合同价格在合同执行期间将不因工作量及市场设备材料价格的变化而调整。</w:t>
      </w:r>
    </w:p>
    <w:p w14:paraId="220591BD">
      <w:pPr>
        <w:numPr>
          <w:ilvl w:val="0"/>
          <w:numId w:val="0"/>
        </w:num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10.1.2</w:t>
      </w:r>
      <w:r>
        <w:rPr>
          <w:rFonts w:hint="eastAsia" w:ascii="宋体" w:hAnsi="宋体" w:eastAsia="宋体" w:cs="宋体"/>
          <w:color w:val="auto"/>
          <w:sz w:val="24"/>
          <w:highlight w:val="none"/>
        </w:rPr>
        <w:t>供应商应依据招标文件的要求及有关资料，按国家或行业现行技术经济标准及规范，自行测算出满足招标要求的报价。投标报价能保证供应商完成履行合同所需的全部工作费用。</w:t>
      </w:r>
    </w:p>
    <w:p w14:paraId="441665A9">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10.2</w:t>
      </w:r>
      <w:r>
        <w:rPr>
          <w:rFonts w:hint="eastAsia" w:ascii="宋体" w:hAnsi="宋体" w:eastAsia="宋体" w:cs="宋体"/>
          <w:color w:val="auto"/>
          <w:sz w:val="24"/>
          <w:highlight w:val="none"/>
        </w:rPr>
        <w:t>采购人不得向供应商索要或者接受其给予的赠品、回扣或者与采购无关的其他商品、服务。</w:t>
      </w:r>
    </w:p>
    <w:p w14:paraId="1DBEC5C5">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10.3</w:t>
      </w:r>
      <w:r>
        <w:rPr>
          <w:rFonts w:hint="eastAsia" w:ascii="宋体" w:hAnsi="宋体" w:eastAsia="宋体" w:cs="宋体"/>
          <w:color w:val="auto"/>
          <w:sz w:val="24"/>
          <w:highlight w:val="none"/>
        </w:rPr>
        <w:t>供应商不能提供任何有选择性或可调整的报价（招标文件另有规定的除外），否则其</w:t>
      </w:r>
      <w:r>
        <w:rPr>
          <w:rFonts w:hint="eastAsia" w:ascii="宋体" w:hAnsi="宋体" w:eastAsia="宋体" w:cs="宋体"/>
          <w:b/>
          <w:color w:val="auto"/>
          <w:sz w:val="24"/>
          <w:highlight w:val="none"/>
        </w:rPr>
        <w:t>投标无效</w:t>
      </w:r>
      <w:r>
        <w:rPr>
          <w:rFonts w:hint="eastAsia" w:ascii="宋体" w:hAnsi="宋体" w:eastAsia="宋体" w:cs="宋体"/>
          <w:color w:val="auto"/>
          <w:sz w:val="24"/>
          <w:highlight w:val="none"/>
        </w:rPr>
        <w:t>。</w:t>
      </w:r>
    </w:p>
    <w:p w14:paraId="361B258C">
      <w:pPr>
        <w:numPr>
          <w:ilvl w:val="0"/>
          <w:numId w:val="4"/>
        </w:numPr>
        <w:tabs>
          <w:tab w:val="left" w:pos="360"/>
        </w:tabs>
        <w:snapToGrid w:val="0"/>
        <w:spacing w:line="360" w:lineRule="auto"/>
        <w:ind w:leftChars="0"/>
        <w:rPr>
          <w:rFonts w:hint="eastAsia" w:ascii="宋体" w:hAnsi="宋体" w:eastAsia="宋体" w:cs="宋体"/>
          <w:b/>
          <w:bCs/>
          <w:color w:val="auto"/>
          <w:sz w:val="24"/>
          <w:highlight w:val="none"/>
        </w:rPr>
      </w:pPr>
      <w:bookmarkStart w:id="272" w:name="_Toc150774631"/>
      <w:bookmarkStart w:id="273" w:name="_Toc151193773"/>
      <w:bookmarkStart w:id="274" w:name="_Toc226309775"/>
      <w:bookmarkStart w:id="275" w:name="_Toc150509282"/>
      <w:bookmarkStart w:id="276" w:name="_Toc149720824"/>
      <w:bookmarkStart w:id="277" w:name="_Toc305158799"/>
      <w:bookmarkStart w:id="278" w:name="_Toc265228369"/>
      <w:bookmarkStart w:id="279" w:name="_Toc195842896"/>
      <w:bookmarkStart w:id="280" w:name="_Toc226965804"/>
      <w:bookmarkStart w:id="281" w:name="_Toc142311033"/>
      <w:bookmarkStart w:id="282" w:name="_Toc151193919"/>
      <w:bookmarkStart w:id="283" w:name="_Toc520356156"/>
      <w:bookmarkStart w:id="284" w:name="_Toc226337227"/>
      <w:bookmarkStart w:id="285" w:name="_Toc305158873"/>
      <w:bookmarkStart w:id="286" w:name="_Toc151190158"/>
      <w:bookmarkStart w:id="287" w:name="_Toc150774736"/>
      <w:bookmarkStart w:id="288" w:name="_Toc151193845"/>
      <w:bookmarkStart w:id="289" w:name="_Toc164608800"/>
      <w:bookmarkStart w:id="290" w:name="_Toc226965721"/>
      <w:bookmarkStart w:id="291" w:name="_Toc151193701"/>
      <w:bookmarkStart w:id="292" w:name="_Ref467306513"/>
      <w:bookmarkStart w:id="293" w:name="_Toc150480769"/>
      <w:bookmarkStart w:id="294" w:name="_Toc164229372"/>
      <w:bookmarkStart w:id="295" w:name="_Toc127151531"/>
      <w:bookmarkStart w:id="296" w:name="_Toc151193629"/>
      <w:bookmarkStart w:id="297" w:name="_Toc127161445"/>
      <w:bookmarkStart w:id="298" w:name="_Toc264969221"/>
      <w:bookmarkStart w:id="299" w:name="_Toc164608645"/>
      <w:bookmarkStart w:id="300" w:name="_Toc164229226"/>
      <w:bookmarkStart w:id="301" w:name="_Toc127151732"/>
      <w:bookmarkStart w:id="302" w:name="_Toc164351625"/>
      <w:r>
        <w:rPr>
          <w:rFonts w:hint="eastAsia" w:ascii="宋体" w:hAnsi="宋体" w:eastAsia="宋体" w:cs="宋体"/>
          <w:b/>
          <w:bCs/>
          <w:color w:val="auto"/>
          <w:sz w:val="24"/>
          <w:highlight w:val="none"/>
        </w:rPr>
        <w:t>投标保证金</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Start w:id="303" w:name="_Ref467306302"/>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lang w:val="en-US" w:eastAsia="zh-CN"/>
        </w:rPr>
        <w:t>注：本项目不要求缴纳投标保证金</w:t>
      </w:r>
      <w:r>
        <w:rPr>
          <w:rFonts w:hint="eastAsia" w:ascii="宋体" w:hAnsi="宋体" w:eastAsia="宋体" w:cs="宋体"/>
          <w:b/>
          <w:bCs/>
          <w:color w:val="auto"/>
          <w:sz w:val="24"/>
          <w:highlight w:val="none"/>
          <w:lang w:eastAsia="zh-CN"/>
        </w:rPr>
        <w:t>）</w:t>
      </w:r>
    </w:p>
    <w:p w14:paraId="620F1E27">
      <w:pPr>
        <w:numPr>
          <w:ilvl w:val="0"/>
          <w:numId w:val="0"/>
        </w:numPr>
        <w:tabs>
          <w:tab w:val="left" w:pos="360"/>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11.1</w:t>
      </w:r>
      <w:r>
        <w:rPr>
          <w:rFonts w:hint="eastAsia" w:ascii="宋体" w:hAnsi="宋体" w:eastAsia="宋体" w:cs="宋体"/>
          <w:color w:val="auto"/>
          <w:sz w:val="24"/>
          <w:highlight w:val="none"/>
        </w:rPr>
        <w:t>供应商应按</w:t>
      </w:r>
      <w:r>
        <w:rPr>
          <w:rFonts w:hint="eastAsia" w:ascii="宋体" w:hAnsi="宋体" w:eastAsia="宋体" w:cs="宋体"/>
          <w:color w:val="auto"/>
          <w:sz w:val="24"/>
          <w:highlight w:val="none"/>
          <w:lang w:eastAsia="zh-CN"/>
        </w:rPr>
        <w:t>供应商须知前附表</w:t>
      </w:r>
      <w:r>
        <w:rPr>
          <w:rFonts w:hint="eastAsia" w:ascii="宋体" w:hAnsi="宋体" w:eastAsia="宋体" w:cs="宋体"/>
          <w:color w:val="auto"/>
          <w:sz w:val="24"/>
          <w:highlight w:val="none"/>
        </w:rPr>
        <w:t>中规定的金额及要求缴纳投标保证金</w:t>
      </w:r>
      <w:bookmarkEnd w:id="303"/>
      <w:r>
        <w:rPr>
          <w:rFonts w:hint="eastAsia" w:ascii="宋体" w:hAnsi="宋体" w:eastAsia="宋体" w:cs="宋体"/>
          <w:color w:val="auto"/>
          <w:sz w:val="24"/>
          <w:highlight w:val="none"/>
        </w:rPr>
        <w:t>。</w:t>
      </w:r>
    </w:p>
    <w:p w14:paraId="4C4BE2FB">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11.2</w:t>
      </w:r>
      <w:r>
        <w:rPr>
          <w:rFonts w:hint="eastAsia" w:ascii="宋体" w:hAnsi="宋体" w:eastAsia="宋体" w:cs="宋体"/>
          <w:color w:val="auto"/>
          <w:sz w:val="24"/>
          <w:highlight w:val="none"/>
        </w:rPr>
        <w:t>交纳投标保证金可采用的形式：</w:t>
      </w:r>
      <w:r>
        <w:rPr>
          <w:rFonts w:hint="eastAsia" w:ascii="宋体" w:hAnsi="宋体" w:eastAsia="宋体" w:cs="宋体"/>
          <w:color w:val="auto"/>
          <w:sz w:val="24"/>
          <w:highlight w:val="none"/>
          <w:lang w:val="en-US" w:eastAsia="zh-CN"/>
        </w:rPr>
        <w:t>见</w:t>
      </w:r>
      <w:r>
        <w:rPr>
          <w:rFonts w:hint="eastAsia" w:ascii="宋体" w:hAnsi="宋体" w:eastAsia="宋体" w:cs="宋体"/>
          <w:color w:val="auto"/>
          <w:sz w:val="24"/>
          <w:highlight w:val="none"/>
          <w:lang w:eastAsia="zh-CN"/>
        </w:rPr>
        <w:t>供应商须知前附表</w:t>
      </w:r>
      <w:r>
        <w:rPr>
          <w:rFonts w:hint="eastAsia" w:ascii="宋体" w:hAnsi="宋体" w:eastAsia="宋体" w:cs="宋体"/>
          <w:color w:val="auto"/>
          <w:sz w:val="24"/>
          <w:highlight w:val="none"/>
        </w:rPr>
        <w:t>。</w:t>
      </w:r>
    </w:p>
    <w:p w14:paraId="069B53A7">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11.3</w:t>
      </w:r>
      <w:r>
        <w:rPr>
          <w:rFonts w:hint="eastAsia" w:ascii="宋体" w:hAnsi="宋体" w:eastAsia="宋体" w:cs="宋体"/>
          <w:color w:val="auto"/>
          <w:sz w:val="24"/>
          <w:highlight w:val="none"/>
        </w:rPr>
        <w:t>投标保证金到账（保函提交）截止时间同投标截止时间。以支票、汇票、本票、网上银行支付等形式提交投标保证金的，应在投标截止时间前到账；以金融机构、担保机构出具的保函等形式提交投标保证金的</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应满足</w:t>
      </w:r>
      <w:r>
        <w:rPr>
          <w:rFonts w:hint="eastAsia" w:ascii="宋体" w:hAnsi="宋体" w:eastAsia="宋体" w:cs="宋体"/>
          <w:color w:val="auto"/>
          <w:sz w:val="24"/>
          <w:highlight w:val="none"/>
          <w:lang w:eastAsia="zh-CN"/>
        </w:rPr>
        <w:t>供应商须知前附表</w:t>
      </w:r>
      <w:r>
        <w:rPr>
          <w:rFonts w:hint="eastAsia" w:ascii="宋体" w:hAnsi="宋体" w:eastAsia="宋体" w:cs="宋体"/>
          <w:color w:val="auto"/>
          <w:sz w:val="24"/>
          <w:highlight w:val="none"/>
          <w:lang w:val="en-US" w:eastAsia="zh-CN"/>
        </w:rPr>
        <w:t>要求</w:t>
      </w:r>
      <w:r>
        <w:rPr>
          <w:rFonts w:hint="eastAsia" w:ascii="宋体" w:hAnsi="宋体" w:eastAsia="宋体" w:cs="宋体"/>
          <w:color w:val="auto"/>
          <w:sz w:val="24"/>
          <w:highlight w:val="none"/>
        </w:rPr>
        <w:t>。由于到账时间晚于投标截止时间的，或者票据错误、印鉴不清等原因导致不能到账的，</w:t>
      </w:r>
      <w:r>
        <w:rPr>
          <w:rFonts w:hint="eastAsia" w:ascii="宋体" w:hAnsi="宋体" w:eastAsia="宋体" w:cs="宋体"/>
          <w:b w:val="0"/>
          <w:bCs w:val="0"/>
          <w:color w:val="auto"/>
          <w:sz w:val="24"/>
          <w:highlight w:val="none"/>
        </w:rPr>
        <w:t>其投标无效。</w:t>
      </w:r>
    </w:p>
    <w:p w14:paraId="62A82B9C">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11.4</w:t>
      </w:r>
      <w:r>
        <w:rPr>
          <w:rFonts w:hint="eastAsia" w:ascii="宋体" w:hAnsi="宋体" w:eastAsia="宋体" w:cs="宋体"/>
          <w:color w:val="auto"/>
          <w:sz w:val="24"/>
          <w:highlight w:val="none"/>
        </w:rPr>
        <w:t>投标保证金有效期同投标有效期。</w:t>
      </w:r>
    </w:p>
    <w:p w14:paraId="31561863">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11.5</w:t>
      </w:r>
      <w:r>
        <w:rPr>
          <w:rFonts w:hint="eastAsia" w:ascii="宋体" w:hAnsi="宋体" w:eastAsia="宋体" w:cs="宋体"/>
          <w:color w:val="auto"/>
          <w:sz w:val="24"/>
          <w:highlight w:val="none"/>
        </w:rPr>
        <w:t>采购人、采购代理机构将及时退还供应商的投标保证金，采用银行保函、担保机构担保函等形式递交的投标保证金，经供应商同意后采购人、采购代理机构可以不再退还，但因供应商自身原因导致无法及时退还的除外：</w:t>
      </w:r>
    </w:p>
    <w:p w14:paraId="7BF8C54E">
      <w:pPr>
        <w:numPr>
          <w:ilvl w:val="0"/>
          <w:numId w:val="0"/>
        </w:numPr>
        <w:snapToGrid w:val="0"/>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11.5.1</w:t>
      </w:r>
      <w:r>
        <w:rPr>
          <w:rFonts w:hint="eastAsia" w:ascii="宋体" w:hAnsi="宋体" w:eastAsia="宋体" w:cs="宋体"/>
          <w:color w:val="auto"/>
          <w:sz w:val="24"/>
          <w:highlight w:val="none"/>
        </w:rPr>
        <w:t>供应商在投标截止时间前撤回已提交的投标文件的，自收到供应商书面撤回通知之日起5个工作日内退还已收取的投标保证金；</w:t>
      </w:r>
    </w:p>
    <w:p w14:paraId="1A1EB92F">
      <w:pPr>
        <w:numPr>
          <w:ilvl w:val="0"/>
          <w:numId w:val="0"/>
        </w:numPr>
        <w:snapToGrid w:val="0"/>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11.5.2</w:t>
      </w:r>
      <w:r>
        <w:rPr>
          <w:rFonts w:hint="eastAsia" w:ascii="宋体" w:hAnsi="宋体" w:eastAsia="宋体" w:cs="宋体"/>
          <w:color w:val="auto"/>
          <w:sz w:val="24"/>
          <w:highlight w:val="none"/>
        </w:rPr>
        <w:t>中标人的投标保证金，自采购合同签订之日起5个工作日内退还中标人；</w:t>
      </w:r>
    </w:p>
    <w:p w14:paraId="44CD279A">
      <w:pPr>
        <w:numPr>
          <w:ilvl w:val="0"/>
          <w:numId w:val="0"/>
        </w:numPr>
        <w:snapToGrid w:val="0"/>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11.5.3</w:t>
      </w:r>
      <w:r>
        <w:rPr>
          <w:rFonts w:hint="eastAsia" w:ascii="宋体" w:hAnsi="宋体" w:eastAsia="宋体" w:cs="宋体"/>
          <w:color w:val="auto"/>
          <w:sz w:val="24"/>
          <w:highlight w:val="none"/>
        </w:rPr>
        <w:t>未中标供应商的投标保证金，自中标通知书发出之日起5个工作日内退还未中标人；</w:t>
      </w:r>
    </w:p>
    <w:p w14:paraId="649C4DB4">
      <w:pPr>
        <w:numPr>
          <w:ilvl w:val="0"/>
          <w:numId w:val="0"/>
        </w:numPr>
        <w:snapToGrid w:val="0"/>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11.5.4</w:t>
      </w:r>
      <w:r>
        <w:rPr>
          <w:rFonts w:hint="eastAsia" w:ascii="宋体" w:hAnsi="宋体" w:eastAsia="宋体" w:cs="宋体"/>
          <w:color w:val="auto"/>
          <w:sz w:val="24"/>
          <w:highlight w:val="none"/>
        </w:rPr>
        <w:t>终止招标项目已经收取投标保证金的，自终止采购活动后5个工作日内退还已收取的投标保证金及其在银行产生的孳息。</w:t>
      </w:r>
    </w:p>
    <w:p w14:paraId="43DF7FF7">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11.6</w:t>
      </w:r>
      <w:r>
        <w:rPr>
          <w:rFonts w:hint="eastAsia" w:ascii="宋体" w:hAnsi="宋体" w:eastAsia="宋体" w:cs="宋体"/>
          <w:color w:val="auto"/>
          <w:sz w:val="24"/>
          <w:highlight w:val="none"/>
        </w:rPr>
        <w:t>有下列情形之一的，采购人或采购代理机构可以不予退还投标保证金：</w:t>
      </w:r>
    </w:p>
    <w:p w14:paraId="0B8AD20A">
      <w:pPr>
        <w:numPr>
          <w:ilvl w:val="0"/>
          <w:numId w:val="0"/>
        </w:numPr>
        <w:snapToGrid w:val="0"/>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11.6.1</w:t>
      </w:r>
      <w:r>
        <w:rPr>
          <w:rFonts w:hint="eastAsia" w:ascii="宋体" w:hAnsi="宋体" w:eastAsia="宋体" w:cs="宋体"/>
          <w:color w:val="auto"/>
          <w:sz w:val="24"/>
          <w:highlight w:val="none"/>
        </w:rPr>
        <w:t>投标有效期内供应商撤销投标文件的；</w:t>
      </w:r>
    </w:p>
    <w:p w14:paraId="589BE4CB">
      <w:pPr>
        <w:numPr>
          <w:ilvl w:val="0"/>
          <w:numId w:val="0"/>
        </w:numPr>
        <w:tabs>
          <w:tab w:val="left" w:pos="900"/>
          <w:tab w:val="left" w:pos="1080"/>
          <w:tab w:val="left" w:pos="2014"/>
        </w:tabs>
        <w:snapToGrid w:val="0"/>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11.6.2</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供应商须知前附表</w:t>
      </w:r>
      <w:r>
        <w:rPr>
          <w:rFonts w:hint="eastAsia" w:ascii="宋体" w:hAnsi="宋体" w:eastAsia="宋体" w:cs="宋体"/>
          <w:color w:val="auto"/>
          <w:sz w:val="24"/>
          <w:highlight w:val="none"/>
        </w:rPr>
        <w:t>》中规定的其他情形。</w:t>
      </w:r>
    </w:p>
    <w:p w14:paraId="44DE72E9">
      <w:pPr>
        <w:numPr>
          <w:ilvl w:val="0"/>
          <w:numId w:val="4"/>
        </w:numPr>
        <w:tabs>
          <w:tab w:val="left" w:pos="360"/>
        </w:tabs>
        <w:snapToGrid w:val="0"/>
        <w:spacing w:line="360" w:lineRule="auto"/>
        <w:ind w:left="0" w:leftChars="0" w:firstLine="0" w:firstLineChars="0"/>
        <w:rPr>
          <w:rFonts w:hint="eastAsia" w:ascii="宋体" w:hAnsi="宋体" w:eastAsia="宋体" w:cs="宋体"/>
          <w:b/>
          <w:bCs/>
          <w:color w:val="auto"/>
          <w:sz w:val="24"/>
          <w:highlight w:val="none"/>
        </w:rPr>
      </w:pPr>
      <w:bookmarkStart w:id="304" w:name="_Toc151193702"/>
      <w:bookmarkStart w:id="305" w:name="_Toc226965805"/>
      <w:bookmarkStart w:id="306" w:name="_Toc226965722"/>
      <w:bookmarkStart w:id="307" w:name="_Toc150774632"/>
      <w:bookmarkStart w:id="308" w:name="_Toc164608801"/>
      <w:bookmarkStart w:id="309" w:name="_Toc164608646"/>
      <w:bookmarkStart w:id="310" w:name="_Toc150480770"/>
      <w:bookmarkStart w:id="311" w:name="_Toc149720825"/>
      <w:bookmarkStart w:id="312" w:name="_Toc264969222"/>
      <w:bookmarkStart w:id="313" w:name="_Toc195842897"/>
      <w:bookmarkStart w:id="314" w:name="_Toc150774737"/>
      <w:bookmarkStart w:id="315" w:name="_Toc151190159"/>
      <w:bookmarkStart w:id="316" w:name="_Toc127151733"/>
      <w:bookmarkStart w:id="317" w:name="_Toc226309776"/>
      <w:bookmarkStart w:id="318" w:name="_Toc150509283"/>
      <w:bookmarkStart w:id="319" w:name="_Toc127151532"/>
      <w:bookmarkStart w:id="320" w:name="_Toc164229373"/>
      <w:bookmarkStart w:id="321" w:name="_Toc226337228"/>
      <w:bookmarkStart w:id="322" w:name="_Toc127161446"/>
      <w:bookmarkStart w:id="323" w:name="_Toc305158874"/>
      <w:bookmarkStart w:id="324" w:name="_Toc265228370"/>
      <w:bookmarkStart w:id="325" w:name="_Toc151193846"/>
      <w:bookmarkStart w:id="326" w:name="_Toc151193920"/>
      <w:bookmarkStart w:id="327" w:name="_Toc151193630"/>
      <w:bookmarkStart w:id="328" w:name="_Toc305158800"/>
      <w:bookmarkStart w:id="329" w:name="_Toc151193774"/>
      <w:bookmarkStart w:id="330" w:name="_Toc164351626"/>
      <w:bookmarkStart w:id="331" w:name="_Toc142311034"/>
      <w:bookmarkStart w:id="332" w:name="_Toc164229227"/>
      <w:bookmarkStart w:id="333" w:name="_Toc520356157"/>
      <w:r>
        <w:rPr>
          <w:rFonts w:hint="eastAsia" w:ascii="宋体" w:hAnsi="宋体" w:eastAsia="宋体" w:cs="宋体"/>
          <w:b/>
          <w:bCs/>
          <w:color w:val="auto"/>
          <w:sz w:val="24"/>
          <w:highlight w:val="none"/>
        </w:rPr>
        <w:t>投标有效期</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14:paraId="0DCF68BD">
      <w:pPr>
        <w:numPr>
          <w:ilvl w:val="0"/>
          <w:numId w:val="0"/>
        </w:numPr>
        <w:tabs>
          <w:tab w:val="left" w:pos="360"/>
        </w:tabs>
        <w:snapToGrid w:val="0"/>
        <w:spacing w:line="360" w:lineRule="auto"/>
        <w:ind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12.1</w:t>
      </w:r>
      <w:r>
        <w:rPr>
          <w:rFonts w:hint="eastAsia" w:ascii="宋体" w:hAnsi="宋体" w:eastAsia="宋体" w:cs="宋体"/>
          <w:color w:val="auto"/>
          <w:sz w:val="24"/>
          <w:highlight w:val="none"/>
        </w:rPr>
        <w:t>投标文件应在本招标文件《</w:t>
      </w:r>
      <w:r>
        <w:rPr>
          <w:rFonts w:hint="eastAsia" w:ascii="宋体" w:hAnsi="宋体" w:eastAsia="宋体" w:cs="宋体"/>
          <w:color w:val="auto"/>
          <w:sz w:val="24"/>
          <w:highlight w:val="none"/>
          <w:lang w:eastAsia="zh-CN"/>
        </w:rPr>
        <w:t>供应商须知前附表</w:t>
      </w:r>
      <w:r>
        <w:rPr>
          <w:rFonts w:hint="eastAsia" w:ascii="宋体" w:hAnsi="宋体" w:eastAsia="宋体" w:cs="宋体"/>
          <w:color w:val="auto"/>
          <w:sz w:val="24"/>
          <w:highlight w:val="none"/>
        </w:rPr>
        <w:t>》中规定的投标有效期内保持有效，投标有效期少于招标文件规定期限的，其</w:t>
      </w:r>
      <w:r>
        <w:rPr>
          <w:rFonts w:hint="eastAsia" w:ascii="宋体" w:hAnsi="宋体" w:eastAsia="宋体" w:cs="宋体"/>
          <w:b/>
          <w:color w:val="auto"/>
          <w:sz w:val="24"/>
          <w:highlight w:val="none"/>
        </w:rPr>
        <w:t>投标无效</w:t>
      </w:r>
      <w:r>
        <w:rPr>
          <w:rFonts w:hint="eastAsia" w:ascii="宋体" w:hAnsi="宋体" w:eastAsia="宋体" w:cs="宋体"/>
          <w:color w:val="auto"/>
          <w:sz w:val="24"/>
          <w:highlight w:val="none"/>
        </w:rPr>
        <w:t>。</w:t>
      </w:r>
    </w:p>
    <w:p w14:paraId="4FAD61F2">
      <w:pPr>
        <w:numPr>
          <w:ilvl w:val="0"/>
          <w:numId w:val="0"/>
        </w:numPr>
        <w:tabs>
          <w:tab w:val="left" w:pos="360"/>
        </w:tabs>
        <w:snapToGrid w:val="0"/>
        <w:spacing w:line="360" w:lineRule="auto"/>
        <w:ind w:leftChars="0"/>
        <w:rPr>
          <w:rFonts w:hint="eastAsia" w:ascii="宋体" w:hAnsi="宋体" w:eastAsia="宋体" w:cs="宋体"/>
          <w:b/>
          <w:bCs/>
          <w:color w:val="auto"/>
          <w:sz w:val="24"/>
          <w:highlight w:val="none"/>
        </w:rPr>
      </w:pPr>
      <w:bookmarkStart w:id="334" w:name="_Toc151193775"/>
      <w:bookmarkStart w:id="335" w:name="_Toc305158875"/>
      <w:bookmarkStart w:id="336" w:name="_Toc150774633"/>
      <w:bookmarkStart w:id="337" w:name="_Toc265228371"/>
      <w:bookmarkStart w:id="338" w:name="_Toc164229228"/>
      <w:bookmarkStart w:id="339" w:name="_Toc164229374"/>
      <w:bookmarkStart w:id="340" w:name="_Toc150774738"/>
      <w:bookmarkStart w:id="341" w:name="_Toc151193847"/>
      <w:bookmarkStart w:id="342" w:name="_Toc127151734"/>
      <w:bookmarkStart w:id="343" w:name="_Toc226965806"/>
      <w:bookmarkStart w:id="344" w:name="_Toc264969223"/>
      <w:bookmarkStart w:id="345" w:name="_Toc150480771"/>
      <w:bookmarkStart w:id="346" w:name="_Toc127151533"/>
      <w:bookmarkStart w:id="347" w:name="_Toc142311035"/>
      <w:bookmarkStart w:id="348" w:name="_Toc151193921"/>
      <w:bookmarkStart w:id="349" w:name="_Toc164351627"/>
      <w:bookmarkStart w:id="350" w:name="_Toc226309777"/>
      <w:bookmarkStart w:id="351" w:name="_Toc164608802"/>
      <w:bookmarkStart w:id="352" w:name="_Toc151193703"/>
      <w:bookmarkStart w:id="353" w:name="_Toc305158801"/>
      <w:bookmarkStart w:id="354" w:name="_Toc151190160"/>
      <w:bookmarkStart w:id="355" w:name="_Toc127161447"/>
      <w:bookmarkStart w:id="356" w:name="_Toc150509284"/>
      <w:bookmarkStart w:id="357" w:name="_Toc149720826"/>
      <w:bookmarkStart w:id="358" w:name="_Toc226337229"/>
      <w:bookmarkStart w:id="359" w:name="_Toc164608647"/>
      <w:bookmarkStart w:id="360" w:name="_Toc195842898"/>
      <w:bookmarkStart w:id="361" w:name="_Toc226965723"/>
      <w:bookmarkStart w:id="362" w:name="_Toc151193631"/>
      <w:bookmarkStart w:id="363" w:name="_Toc520356158"/>
      <w:r>
        <w:rPr>
          <w:rFonts w:hint="eastAsia" w:ascii="宋体" w:hAnsi="宋体" w:eastAsia="宋体" w:cs="宋体"/>
          <w:b/>
          <w:bCs/>
          <w:color w:val="auto"/>
          <w:sz w:val="24"/>
          <w:highlight w:val="none"/>
          <w:lang w:val="en-US" w:eastAsia="zh-CN"/>
        </w:rPr>
        <w:t>13、</w:t>
      </w:r>
      <w:r>
        <w:rPr>
          <w:rFonts w:hint="eastAsia" w:ascii="宋体" w:hAnsi="宋体" w:eastAsia="宋体" w:cs="宋体"/>
          <w:b/>
          <w:bCs/>
          <w:color w:val="auto"/>
          <w:sz w:val="24"/>
          <w:highlight w:val="none"/>
        </w:rPr>
        <w:t>投标文件的签署</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r>
        <w:rPr>
          <w:rFonts w:hint="eastAsia" w:ascii="宋体" w:hAnsi="宋体" w:eastAsia="宋体" w:cs="宋体"/>
          <w:b/>
          <w:bCs/>
          <w:color w:val="auto"/>
          <w:sz w:val="24"/>
          <w:highlight w:val="none"/>
        </w:rPr>
        <w:t>、盖章</w:t>
      </w:r>
    </w:p>
    <w:p w14:paraId="61C0743B">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rPr>
      </w:pPr>
      <w:bookmarkStart w:id="364" w:name="_Toc226309778"/>
      <w:bookmarkStart w:id="365" w:name="_Toc150774634"/>
      <w:bookmarkStart w:id="366" w:name="_Toc264969224"/>
      <w:bookmarkStart w:id="367" w:name="_Toc195842899"/>
      <w:bookmarkStart w:id="368" w:name="_Toc150774739"/>
      <w:bookmarkStart w:id="369" w:name="_Toc151193704"/>
      <w:bookmarkStart w:id="370" w:name="_Toc226965807"/>
      <w:bookmarkStart w:id="371" w:name="_Toc520356159"/>
      <w:bookmarkStart w:id="372" w:name="_Toc142311036"/>
      <w:bookmarkStart w:id="373" w:name="_Toc265228372"/>
      <w:bookmarkStart w:id="374" w:name="_Toc127151534"/>
      <w:bookmarkStart w:id="375" w:name="_Toc305158802"/>
      <w:bookmarkStart w:id="376" w:name="_Toc226965724"/>
      <w:bookmarkStart w:id="377" w:name="_Toc150509285"/>
      <w:bookmarkStart w:id="378" w:name="_Toc150480772"/>
      <w:bookmarkStart w:id="379" w:name="_Toc151190161"/>
      <w:bookmarkStart w:id="380" w:name="_Toc151193848"/>
      <w:bookmarkStart w:id="381" w:name="_Toc305158876"/>
      <w:bookmarkStart w:id="382" w:name="_Toc226337230"/>
      <w:bookmarkStart w:id="383" w:name="_Toc151193776"/>
      <w:bookmarkStart w:id="384" w:name="_Toc151193632"/>
      <w:bookmarkStart w:id="385" w:name="_Toc151193922"/>
      <w:r>
        <w:rPr>
          <w:rFonts w:hint="eastAsia" w:ascii="宋体" w:hAnsi="宋体" w:eastAsia="宋体" w:cs="宋体"/>
          <w:color w:val="auto"/>
          <w:sz w:val="24"/>
          <w:highlight w:val="none"/>
          <w:lang w:val="en-US" w:eastAsia="zh-CN"/>
        </w:rPr>
        <w:t>13.1</w:t>
      </w:r>
      <w:r>
        <w:rPr>
          <w:rFonts w:hint="eastAsia" w:ascii="宋体" w:hAnsi="宋体" w:eastAsia="宋体" w:cs="宋体"/>
          <w:color w:val="auto"/>
          <w:sz w:val="24"/>
          <w:highlight w:val="none"/>
        </w:rPr>
        <w:t>招标文件要求签字的内容（如授权委托书等），可以使用电子签章或使用原件的电子件（电子件指扫描件、照片等形式电子文件）；</w:t>
      </w:r>
    </w:p>
    <w:p w14:paraId="69392730">
      <w:pPr>
        <w:numPr>
          <w:ilvl w:val="0"/>
          <w:numId w:val="0"/>
        </w:numPr>
        <w:tabs>
          <w:tab w:val="left" w:pos="1080"/>
          <w:tab w:val="left" w:pos="2014"/>
        </w:tabs>
        <w:snapToGrid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13.2</w:t>
      </w:r>
      <w:r>
        <w:rPr>
          <w:rFonts w:hint="eastAsia" w:ascii="宋体" w:hAnsi="宋体" w:eastAsia="宋体" w:cs="宋体"/>
          <w:b/>
          <w:bCs/>
          <w:color w:val="auto"/>
          <w:sz w:val="24"/>
          <w:highlight w:val="none"/>
        </w:rPr>
        <w:t>招标文件要求盖章的内容，一般通过投标文件编制工具加盖电子签章，具体详见供应商须知前附表。</w:t>
      </w:r>
    </w:p>
    <w:p w14:paraId="68A8E494">
      <w:pPr>
        <w:spacing w:line="360" w:lineRule="auto"/>
        <w:jc w:val="center"/>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四   投标文件的提交</w:t>
      </w:r>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p w14:paraId="17E588FD">
      <w:pPr>
        <w:numPr>
          <w:ilvl w:val="0"/>
          <w:numId w:val="0"/>
        </w:numPr>
        <w:tabs>
          <w:tab w:val="left" w:pos="360"/>
        </w:tabs>
        <w:snapToGrid w:val="0"/>
        <w:spacing w:line="360" w:lineRule="auto"/>
        <w:ind w:leftChars="0"/>
        <w:rPr>
          <w:rFonts w:hint="eastAsia" w:ascii="宋体" w:hAnsi="宋体" w:eastAsia="宋体" w:cs="宋体"/>
          <w:b/>
          <w:bCs/>
          <w:color w:val="auto"/>
          <w:sz w:val="24"/>
          <w:highlight w:val="none"/>
        </w:rPr>
      </w:pPr>
      <w:bookmarkStart w:id="386" w:name="_Toc305158877"/>
      <w:bookmarkStart w:id="387" w:name="_Toc127151535"/>
      <w:bookmarkStart w:id="388" w:name="_Toc151193705"/>
      <w:bookmarkStart w:id="389" w:name="_Toc151190162"/>
      <w:bookmarkStart w:id="390" w:name="_Toc164229376"/>
      <w:bookmarkStart w:id="391" w:name="_Toc226337231"/>
      <w:bookmarkStart w:id="392" w:name="_Toc164229230"/>
      <w:bookmarkStart w:id="393" w:name="_Toc265228373"/>
      <w:bookmarkStart w:id="394" w:name="_Toc264969225"/>
      <w:bookmarkStart w:id="395" w:name="_Toc151193849"/>
      <w:bookmarkStart w:id="396" w:name="_Toc520356160"/>
      <w:bookmarkStart w:id="397" w:name="_Toc150509286"/>
      <w:bookmarkStart w:id="398" w:name="_Toc164608649"/>
      <w:bookmarkStart w:id="399" w:name="_Toc164351629"/>
      <w:bookmarkStart w:id="400" w:name="_Toc127151736"/>
      <w:bookmarkStart w:id="401" w:name="_Toc164608804"/>
      <w:bookmarkStart w:id="402" w:name="_Toc127161449"/>
      <w:bookmarkStart w:id="403" w:name="_Toc149720828"/>
      <w:bookmarkStart w:id="404" w:name="_Toc226965808"/>
      <w:bookmarkStart w:id="405" w:name="_Toc226309779"/>
      <w:bookmarkStart w:id="406" w:name="_Toc150774635"/>
      <w:bookmarkStart w:id="407" w:name="_Toc151193777"/>
      <w:bookmarkStart w:id="408" w:name="_Toc142311037"/>
      <w:bookmarkStart w:id="409" w:name="_Toc150480773"/>
      <w:bookmarkStart w:id="410" w:name="_Toc150774740"/>
      <w:bookmarkStart w:id="411" w:name="_Toc151193633"/>
      <w:bookmarkStart w:id="412" w:name="_Toc305158803"/>
      <w:bookmarkStart w:id="413" w:name="_Toc151193923"/>
      <w:bookmarkStart w:id="414" w:name="_Toc195842900"/>
      <w:bookmarkStart w:id="415" w:name="_Toc226965725"/>
      <w:r>
        <w:rPr>
          <w:rFonts w:hint="eastAsia" w:ascii="宋体" w:hAnsi="宋体" w:eastAsia="宋体" w:cs="宋体"/>
          <w:b/>
          <w:bCs/>
          <w:color w:val="auto"/>
          <w:sz w:val="24"/>
          <w:highlight w:val="none"/>
          <w:lang w:val="en-US" w:eastAsia="zh-CN"/>
        </w:rPr>
        <w:t>14、</w:t>
      </w:r>
      <w:r>
        <w:rPr>
          <w:rFonts w:hint="eastAsia" w:ascii="宋体" w:hAnsi="宋体" w:eastAsia="宋体" w:cs="宋体"/>
          <w:b/>
          <w:bCs/>
          <w:color w:val="auto"/>
          <w:sz w:val="24"/>
          <w:highlight w:val="none"/>
        </w:rPr>
        <w:t>投标文件的</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Pr>
          <w:rFonts w:hint="eastAsia" w:ascii="宋体" w:hAnsi="宋体" w:eastAsia="宋体" w:cs="宋体"/>
          <w:b/>
          <w:bCs/>
          <w:color w:val="auto"/>
          <w:sz w:val="24"/>
          <w:highlight w:val="none"/>
        </w:rPr>
        <w:t>提交</w:t>
      </w:r>
    </w:p>
    <w:p w14:paraId="0B5BE6A7">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14.1</w:t>
      </w:r>
      <w:r>
        <w:rPr>
          <w:rFonts w:hint="eastAsia" w:ascii="宋体" w:hAnsi="宋体" w:eastAsia="宋体" w:cs="宋体"/>
          <w:color w:val="auto"/>
          <w:sz w:val="24"/>
          <w:highlight w:val="none"/>
        </w:rPr>
        <w:t>本项目使用云南省政府采购电子交易平台。供应商根据招标文件及电子交易平台供应商操作手册要求编制、生成并提交电子投标文件。</w:t>
      </w:r>
    </w:p>
    <w:p w14:paraId="30EF2939">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14.2</w:t>
      </w:r>
      <w:r>
        <w:rPr>
          <w:rFonts w:hint="eastAsia" w:ascii="宋体" w:hAnsi="宋体" w:eastAsia="宋体" w:cs="宋体"/>
          <w:color w:val="auto"/>
          <w:sz w:val="24"/>
          <w:highlight w:val="none"/>
        </w:rPr>
        <w:t>采购人及采购代理机构拒绝接受通过电子交易平台以外任何形式提交的投标文件，投标保证金除外。</w:t>
      </w:r>
    </w:p>
    <w:p w14:paraId="369620E2">
      <w:pPr>
        <w:numPr>
          <w:ilvl w:val="0"/>
          <w:numId w:val="0"/>
        </w:numPr>
        <w:tabs>
          <w:tab w:val="left" w:pos="360"/>
        </w:tabs>
        <w:snapToGrid w:val="0"/>
        <w:spacing w:line="360" w:lineRule="auto"/>
        <w:ind w:leftChars="0"/>
        <w:rPr>
          <w:rFonts w:hint="eastAsia" w:ascii="宋体" w:hAnsi="宋体" w:eastAsia="宋体" w:cs="宋体"/>
          <w:b/>
          <w:bCs/>
          <w:color w:val="auto"/>
          <w:sz w:val="24"/>
          <w:highlight w:val="none"/>
        </w:rPr>
      </w:pPr>
      <w:bookmarkStart w:id="416" w:name="_Toc226309780"/>
      <w:bookmarkStart w:id="417" w:name="_Toc164608650"/>
      <w:bookmarkStart w:id="418" w:name="_Toc127161450"/>
      <w:bookmarkStart w:id="419" w:name="_Toc127151536"/>
      <w:bookmarkStart w:id="420" w:name="_Toc142311038"/>
      <w:bookmarkStart w:id="421" w:name="_Toc151193924"/>
      <w:bookmarkStart w:id="422" w:name="_Toc164229231"/>
      <w:bookmarkStart w:id="423" w:name="_Toc151190163"/>
      <w:bookmarkStart w:id="424" w:name="_Toc164351630"/>
      <w:bookmarkStart w:id="425" w:name="_Toc151193634"/>
      <w:bookmarkStart w:id="426" w:name="_Toc151193778"/>
      <w:bookmarkStart w:id="427" w:name="_Toc265228374"/>
      <w:bookmarkStart w:id="428" w:name="_Toc264969226"/>
      <w:bookmarkStart w:id="429" w:name="_Toc195842901"/>
      <w:bookmarkStart w:id="430" w:name="_Toc150774636"/>
      <w:bookmarkStart w:id="431" w:name="_Toc127151737"/>
      <w:bookmarkStart w:id="432" w:name="_Toc150480774"/>
      <w:bookmarkStart w:id="433" w:name="_Toc226965726"/>
      <w:bookmarkStart w:id="434" w:name="_Toc164608805"/>
      <w:bookmarkStart w:id="435" w:name="_Toc305158878"/>
      <w:bookmarkStart w:id="436" w:name="_Toc520356161"/>
      <w:bookmarkStart w:id="437" w:name="_Toc150774741"/>
      <w:bookmarkStart w:id="438" w:name="_Toc151193706"/>
      <w:bookmarkStart w:id="439" w:name="_Toc226965809"/>
      <w:bookmarkStart w:id="440" w:name="_Toc164229377"/>
      <w:bookmarkStart w:id="441" w:name="_Toc305158804"/>
      <w:bookmarkStart w:id="442" w:name="_Toc151193850"/>
      <w:bookmarkStart w:id="443" w:name="_Toc150509287"/>
      <w:bookmarkStart w:id="444" w:name="_Toc149720829"/>
      <w:bookmarkStart w:id="445" w:name="_Toc226337232"/>
      <w:r>
        <w:rPr>
          <w:rFonts w:hint="eastAsia" w:ascii="宋体" w:hAnsi="宋体" w:eastAsia="宋体" w:cs="宋体"/>
          <w:b/>
          <w:bCs/>
          <w:color w:val="auto"/>
          <w:sz w:val="24"/>
          <w:highlight w:val="none"/>
          <w:lang w:val="en-US" w:eastAsia="zh-CN"/>
        </w:rPr>
        <w:t>15、</w:t>
      </w:r>
      <w:r>
        <w:rPr>
          <w:rFonts w:hint="eastAsia" w:ascii="宋体" w:hAnsi="宋体" w:eastAsia="宋体" w:cs="宋体"/>
          <w:b/>
          <w:bCs/>
          <w:color w:val="auto"/>
          <w:sz w:val="24"/>
          <w:highlight w:val="none"/>
        </w:rPr>
        <w:t>投标截止</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r>
        <w:rPr>
          <w:rFonts w:hint="eastAsia" w:ascii="宋体" w:hAnsi="宋体" w:eastAsia="宋体" w:cs="宋体"/>
          <w:b/>
          <w:bCs/>
          <w:color w:val="auto"/>
          <w:sz w:val="24"/>
          <w:highlight w:val="none"/>
        </w:rPr>
        <w:t>时间</w:t>
      </w:r>
    </w:p>
    <w:p w14:paraId="6680BC6E">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15.1</w:t>
      </w:r>
      <w:r>
        <w:rPr>
          <w:rFonts w:hint="eastAsia" w:ascii="宋体" w:hAnsi="宋体" w:eastAsia="宋体" w:cs="宋体"/>
          <w:color w:val="auto"/>
          <w:sz w:val="24"/>
          <w:highlight w:val="none"/>
        </w:rPr>
        <w:t>供应商应在招标文件要求提交投标文件截止时间前，将电子投标文件提交至电子交易平台。</w:t>
      </w:r>
    </w:p>
    <w:p w14:paraId="4366D5D3">
      <w:pPr>
        <w:numPr>
          <w:ilvl w:val="0"/>
          <w:numId w:val="0"/>
        </w:numPr>
        <w:tabs>
          <w:tab w:val="left" w:pos="360"/>
        </w:tabs>
        <w:snapToGrid w:val="0"/>
        <w:spacing w:line="360" w:lineRule="auto"/>
        <w:ind w:leftChars="0"/>
        <w:rPr>
          <w:rFonts w:hint="eastAsia" w:ascii="宋体" w:hAnsi="宋体" w:eastAsia="宋体" w:cs="宋体"/>
          <w:b/>
          <w:bCs/>
          <w:color w:val="auto"/>
          <w:sz w:val="24"/>
          <w:highlight w:val="none"/>
        </w:rPr>
      </w:pPr>
      <w:bookmarkStart w:id="446" w:name="_Toc151193707"/>
      <w:bookmarkStart w:id="447" w:name="_Toc127151738"/>
      <w:bookmarkStart w:id="448" w:name="_Toc164229232"/>
      <w:bookmarkStart w:id="449" w:name="_Toc226965810"/>
      <w:bookmarkStart w:id="450" w:name="_Toc150480775"/>
      <w:bookmarkStart w:id="451" w:name="_Toc226337233"/>
      <w:bookmarkStart w:id="452" w:name="_Toc151193851"/>
      <w:bookmarkStart w:id="453" w:name="_Toc264969227"/>
      <w:bookmarkStart w:id="454" w:name="_Toc127161451"/>
      <w:bookmarkStart w:id="455" w:name="_Toc151193635"/>
      <w:bookmarkStart w:id="456" w:name="_Toc195842902"/>
      <w:bookmarkStart w:id="457" w:name="_Toc150509288"/>
      <w:bookmarkStart w:id="458" w:name="_Toc149720830"/>
      <w:bookmarkStart w:id="459" w:name="_Toc226309781"/>
      <w:bookmarkStart w:id="460" w:name="_Toc226965727"/>
      <w:bookmarkStart w:id="461" w:name="_Toc151190164"/>
      <w:bookmarkStart w:id="462" w:name="_Toc150774637"/>
      <w:bookmarkStart w:id="463" w:name="_Toc150774742"/>
      <w:bookmarkStart w:id="464" w:name="_Toc305158879"/>
      <w:bookmarkStart w:id="465" w:name="_Toc305158805"/>
      <w:bookmarkStart w:id="466" w:name="_Toc164608806"/>
      <w:bookmarkStart w:id="467" w:name="_Toc164608651"/>
      <w:bookmarkStart w:id="468" w:name="_Toc265228375"/>
      <w:bookmarkStart w:id="469" w:name="_Toc151193779"/>
      <w:bookmarkStart w:id="470" w:name="_Toc164351631"/>
      <w:bookmarkStart w:id="471" w:name="_Toc127151537"/>
      <w:bookmarkStart w:id="472" w:name="_Toc142311039"/>
      <w:bookmarkStart w:id="473" w:name="_Toc164229378"/>
      <w:bookmarkStart w:id="474" w:name="_Toc151193925"/>
      <w:bookmarkStart w:id="475" w:name="_Toc520356162"/>
      <w:r>
        <w:rPr>
          <w:rFonts w:hint="eastAsia" w:ascii="宋体" w:hAnsi="宋体" w:eastAsia="宋体" w:cs="宋体"/>
          <w:b/>
          <w:bCs/>
          <w:color w:val="auto"/>
          <w:sz w:val="24"/>
          <w:highlight w:val="none"/>
          <w:lang w:val="en-US" w:eastAsia="zh-CN"/>
        </w:rPr>
        <w:t>16、</w:t>
      </w:r>
      <w:r>
        <w:rPr>
          <w:rFonts w:hint="eastAsia" w:ascii="宋体" w:hAnsi="宋体" w:eastAsia="宋体" w:cs="宋体"/>
          <w:b/>
          <w:bCs/>
          <w:color w:val="auto"/>
          <w:sz w:val="24"/>
          <w:highlight w:val="none"/>
        </w:rPr>
        <w:t>投标文件的修改与撤回</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p w14:paraId="23D30A67">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16.1</w:t>
      </w:r>
      <w:r>
        <w:rPr>
          <w:rFonts w:hint="eastAsia" w:ascii="宋体" w:hAnsi="宋体" w:eastAsia="宋体" w:cs="宋体"/>
          <w:color w:val="auto"/>
          <w:sz w:val="24"/>
          <w:highlight w:val="none"/>
        </w:rPr>
        <w:t>投标截止时间前，供应商可以通过电子交易平台对所提交的投标文件进行补充、修改或者撤回。投标保证金的补充、修改或者撤回无需通过电子交易平台，但应就其补充、修改或者撤回通知采购人或采购代理机构。</w:t>
      </w:r>
    </w:p>
    <w:p w14:paraId="25034382">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16.2</w:t>
      </w:r>
      <w:r>
        <w:rPr>
          <w:rFonts w:hint="eastAsia" w:ascii="宋体" w:hAnsi="宋体" w:eastAsia="宋体" w:cs="宋体"/>
          <w:color w:val="auto"/>
          <w:sz w:val="24"/>
          <w:highlight w:val="none"/>
        </w:rPr>
        <w:t>供应商对投标文件的补充、修改的内容应当按照招标文件要求签署、盖章，作为投标文件的组成部分。</w:t>
      </w:r>
    </w:p>
    <w:p w14:paraId="065C5303">
      <w:pPr>
        <w:spacing w:line="360" w:lineRule="auto"/>
        <w:jc w:val="center"/>
        <w:rPr>
          <w:rFonts w:hint="eastAsia" w:ascii="宋体" w:hAnsi="宋体" w:eastAsia="宋体" w:cs="宋体"/>
          <w:b/>
          <w:bCs/>
          <w:color w:val="auto"/>
          <w:sz w:val="28"/>
          <w:highlight w:val="none"/>
        </w:rPr>
      </w:pPr>
      <w:bookmarkStart w:id="476" w:name="_Toc150774743"/>
      <w:bookmarkStart w:id="477" w:name="_Toc150509289"/>
      <w:bookmarkStart w:id="478" w:name="_Toc226965811"/>
      <w:bookmarkStart w:id="479" w:name="_Toc150480776"/>
      <w:bookmarkStart w:id="480" w:name="_Toc226337234"/>
      <w:bookmarkStart w:id="481" w:name="_Toc127151538"/>
      <w:bookmarkStart w:id="482" w:name="_Toc151193636"/>
      <w:bookmarkStart w:id="483" w:name="_Toc142311040"/>
      <w:bookmarkStart w:id="484" w:name="_Toc151193780"/>
      <w:bookmarkStart w:id="485" w:name="_Toc151193852"/>
      <w:bookmarkStart w:id="486" w:name="_Toc151193926"/>
      <w:bookmarkStart w:id="487" w:name="_Toc151193708"/>
      <w:bookmarkStart w:id="488" w:name="_Toc264969228"/>
      <w:bookmarkStart w:id="489" w:name="_Toc226965728"/>
      <w:bookmarkStart w:id="490" w:name="_Toc265228376"/>
      <w:bookmarkStart w:id="491" w:name="_Toc305158880"/>
      <w:bookmarkStart w:id="492" w:name="_Toc151190165"/>
      <w:bookmarkStart w:id="493" w:name="_Toc520356163"/>
      <w:bookmarkStart w:id="494" w:name="_Toc226309782"/>
      <w:bookmarkStart w:id="495" w:name="_Toc195842903"/>
      <w:bookmarkStart w:id="496" w:name="_Toc305158806"/>
      <w:bookmarkStart w:id="497" w:name="_Toc150774638"/>
      <w:r>
        <w:rPr>
          <w:rFonts w:hint="eastAsia" w:ascii="宋体" w:hAnsi="宋体" w:eastAsia="宋体" w:cs="宋体"/>
          <w:b/>
          <w:bCs/>
          <w:color w:val="auto"/>
          <w:sz w:val="28"/>
          <w:highlight w:val="none"/>
        </w:rPr>
        <w:t>五   开标、资格审查及评标</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p>
    <w:p w14:paraId="1A852339">
      <w:pPr>
        <w:numPr>
          <w:ilvl w:val="0"/>
          <w:numId w:val="0"/>
        </w:numPr>
        <w:tabs>
          <w:tab w:val="left" w:pos="360"/>
        </w:tabs>
        <w:snapToGrid w:val="0"/>
        <w:spacing w:line="360" w:lineRule="auto"/>
        <w:ind w:leftChars="0"/>
        <w:rPr>
          <w:rFonts w:hint="eastAsia" w:ascii="宋体" w:hAnsi="宋体" w:eastAsia="宋体" w:cs="宋体"/>
          <w:b/>
          <w:bCs/>
          <w:color w:val="auto"/>
          <w:sz w:val="24"/>
          <w:highlight w:val="none"/>
        </w:rPr>
      </w:pPr>
      <w:bookmarkStart w:id="498" w:name="_Toc151190166"/>
      <w:bookmarkStart w:id="499" w:name="_Toc150774639"/>
      <w:bookmarkStart w:id="500" w:name="_Toc151193853"/>
      <w:bookmarkStart w:id="501" w:name="_Toc151193637"/>
      <w:bookmarkStart w:id="502" w:name="_Toc226965729"/>
      <w:bookmarkStart w:id="503" w:name="_Toc265228377"/>
      <w:bookmarkStart w:id="504" w:name="_Toc164608653"/>
      <w:bookmarkStart w:id="505" w:name="_Toc226309783"/>
      <w:bookmarkStart w:id="506" w:name="_Toc142311041"/>
      <w:bookmarkStart w:id="507" w:name="_Toc149720832"/>
      <w:bookmarkStart w:id="508" w:name="_Toc150774744"/>
      <w:bookmarkStart w:id="509" w:name="_Toc264969229"/>
      <w:bookmarkStart w:id="510" w:name="_Toc305158807"/>
      <w:bookmarkStart w:id="511" w:name="_Toc127151740"/>
      <w:bookmarkStart w:id="512" w:name="_Toc164229234"/>
      <w:bookmarkStart w:id="513" w:name="_Toc164608808"/>
      <w:bookmarkStart w:id="514" w:name="_Toc305158881"/>
      <w:bookmarkStart w:id="515" w:name="_Toc127151539"/>
      <w:bookmarkStart w:id="516" w:name="_Toc151193709"/>
      <w:bookmarkStart w:id="517" w:name="_Toc151193781"/>
      <w:bookmarkStart w:id="518" w:name="_Toc226337235"/>
      <w:bookmarkStart w:id="519" w:name="_Toc151193927"/>
      <w:bookmarkStart w:id="520" w:name="_Toc164351633"/>
      <w:bookmarkStart w:id="521" w:name="_Toc164229380"/>
      <w:bookmarkStart w:id="522" w:name="_Toc226965812"/>
      <w:bookmarkStart w:id="523" w:name="_Toc150480777"/>
      <w:bookmarkStart w:id="524" w:name="_Toc150509290"/>
      <w:bookmarkStart w:id="525" w:name="_Toc127161453"/>
      <w:bookmarkStart w:id="526" w:name="_Toc520356164"/>
      <w:bookmarkStart w:id="527" w:name="_Toc195842904"/>
      <w:r>
        <w:rPr>
          <w:rFonts w:hint="eastAsia" w:ascii="宋体" w:hAnsi="宋体" w:eastAsia="宋体" w:cs="宋体"/>
          <w:b/>
          <w:bCs/>
          <w:color w:val="auto"/>
          <w:sz w:val="24"/>
          <w:highlight w:val="none"/>
          <w:lang w:val="en-US" w:eastAsia="zh-CN"/>
        </w:rPr>
        <w:t>17、</w:t>
      </w:r>
      <w:r>
        <w:rPr>
          <w:rFonts w:hint="eastAsia" w:ascii="宋体" w:hAnsi="宋体" w:eastAsia="宋体" w:cs="宋体"/>
          <w:b/>
          <w:bCs/>
          <w:color w:val="auto"/>
          <w:sz w:val="24"/>
          <w:highlight w:val="none"/>
        </w:rPr>
        <w:t>开标</w:t>
      </w:r>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14:paraId="12446464">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17.1</w:t>
      </w:r>
      <w:r>
        <w:rPr>
          <w:rFonts w:hint="eastAsia" w:ascii="宋体" w:hAnsi="宋体" w:eastAsia="宋体" w:cs="宋体"/>
          <w:color w:val="auto"/>
          <w:sz w:val="24"/>
          <w:highlight w:val="none"/>
        </w:rPr>
        <w:t>采购人或采购代理机构将按照招标文件的规定，在投标截止时间的同一时间和招标文件预先确定的地点组织开标。</w:t>
      </w:r>
    </w:p>
    <w:p w14:paraId="5A554A21">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17.2</w:t>
      </w:r>
      <w:r>
        <w:rPr>
          <w:rFonts w:hint="eastAsia" w:ascii="宋体" w:hAnsi="宋体" w:eastAsia="宋体" w:cs="宋体"/>
          <w:color w:val="auto"/>
          <w:sz w:val="24"/>
          <w:highlight w:val="none"/>
        </w:rPr>
        <w:t>本项目开标使用云南省政府采购电子交易平台。供应商应在规定的时间内对投标文件进行解密，因非系统原因导致的解密失败，视为</w:t>
      </w:r>
      <w:r>
        <w:rPr>
          <w:rFonts w:hint="eastAsia" w:ascii="宋体" w:hAnsi="宋体" w:eastAsia="宋体" w:cs="宋体"/>
          <w:b/>
          <w:color w:val="auto"/>
          <w:sz w:val="24"/>
          <w:highlight w:val="none"/>
        </w:rPr>
        <w:t>投标无效</w:t>
      </w:r>
      <w:r>
        <w:rPr>
          <w:rFonts w:hint="eastAsia" w:ascii="宋体" w:hAnsi="宋体" w:eastAsia="宋体" w:cs="宋体"/>
          <w:color w:val="auto"/>
          <w:sz w:val="24"/>
          <w:highlight w:val="none"/>
        </w:rPr>
        <w:t>。</w:t>
      </w:r>
    </w:p>
    <w:p w14:paraId="6FBFDC1D">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rPr>
      </w:pPr>
      <w:bookmarkStart w:id="528" w:name="_Toc520356165"/>
      <w:r>
        <w:rPr>
          <w:rFonts w:hint="eastAsia" w:ascii="宋体" w:hAnsi="宋体" w:eastAsia="宋体" w:cs="宋体"/>
          <w:color w:val="auto"/>
          <w:sz w:val="24"/>
          <w:highlight w:val="none"/>
          <w:lang w:val="en-US" w:eastAsia="zh-CN"/>
        </w:rPr>
        <w:t>17.3</w:t>
      </w:r>
      <w:r>
        <w:rPr>
          <w:rFonts w:hint="eastAsia" w:ascii="宋体" w:hAnsi="宋体" w:eastAsia="宋体" w:cs="宋体"/>
          <w:color w:val="auto"/>
          <w:sz w:val="24"/>
          <w:highlight w:val="none"/>
        </w:rPr>
        <w:t>开标过程将使用电子交易平台宣布供应商名称、投标价格和招标文件规定的需要宣布的其他内容并进行记录，并由参加开标的各供应商确认。供应商未在规定时间内提出异议或确认一览表的，视同认可开标结果。</w:t>
      </w:r>
    </w:p>
    <w:p w14:paraId="6153C3BA">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17.4</w:t>
      </w:r>
      <w:r>
        <w:rPr>
          <w:rFonts w:hint="eastAsia" w:ascii="宋体" w:hAnsi="宋体" w:eastAsia="宋体" w:cs="宋体"/>
          <w:color w:val="auto"/>
          <w:sz w:val="24"/>
          <w:highlight w:val="none"/>
        </w:rPr>
        <w:t>供应商对开标过程和开标记录有疑义，以及认为采购人、采购代理机构相关工作人员有需要回避的情形的，应</w:t>
      </w:r>
      <w:r>
        <w:rPr>
          <w:rFonts w:hint="eastAsia" w:ascii="宋体" w:hAnsi="宋体" w:eastAsia="宋体" w:cs="宋体"/>
          <w:color w:val="auto"/>
          <w:sz w:val="24"/>
          <w:highlight w:val="none"/>
          <w:lang w:eastAsia="zh-CN"/>
        </w:rPr>
        <w:t>在</w:t>
      </w:r>
      <w:r>
        <w:rPr>
          <w:rFonts w:hint="eastAsia" w:ascii="宋体" w:hAnsi="宋体" w:eastAsia="宋体" w:cs="宋体"/>
          <w:color w:val="auto"/>
          <w:sz w:val="24"/>
          <w:highlight w:val="none"/>
          <w:lang w:val="en-US" w:eastAsia="zh-CN"/>
        </w:rPr>
        <w:t>开标过程中</w:t>
      </w:r>
      <w:r>
        <w:rPr>
          <w:rFonts w:hint="eastAsia" w:ascii="宋体" w:hAnsi="宋体" w:eastAsia="宋体" w:cs="宋体"/>
          <w:color w:val="auto"/>
          <w:sz w:val="24"/>
          <w:highlight w:val="none"/>
        </w:rPr>
        <w:t>提出询问或者回避申请。采购人、采购代理机构对供应商提出的询问或者回避申请将及时处理。</w:t>
      </w:r>
    </w:p>
    <w:p w14:paraId="5D35D7EA">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17.5</w:t>
      </w:r>
      <w:r>
        <w:rPr>
          <w:rFonts w:hint="eastAsia" w:ascii="宋体" w:hAnsi="宋体" w:eastAsia="宋体" w:cs="宋体"/>
          <w:color w:val="auto"/>
          <w:sz w:val="24"/>
          <w:highlight w:val="none"/>
        </w:rPr>
        <w:t>供应商不足3家的，不予开标。</w:t>
      </w:r>
    </w:p>
    <w:p w14:paraId="650DAEEB">
      <w:pPr>
        <w:numPr>
          <w:ilvl w:val="0"/>
          <w:numId w:val="0"/>
        </w:numPr>
        <w:tabs>
          <w:tab w:val="left" w:pos="360"/>
        </w:tabs>
        <w:snapToGrid w:val="0"/>
        <w:spacing w:line="360" w:lineRule="auto"/>
        <w:ind w:leftChars="0"/>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18、</w:t>
      </w:r>
      <w:r>
        <w:rPr>
          <w:rFonts w:hint="eastAsia" w:ascii="宋体" w:hAnsi="宋体" w:eastAsia="宋体" w:cs="宋体"/>
          <w:b/>
          <w:bCs/>
          <w:color w:val="auto"/>
          <w:sz w:val="24"/>
          <w:highlight w:val="none"/>
        </w:rPr>
        <w:t>资格审查</w:t>
      </w:r>
    </w:p>
    <w:p w14:paraId="7E3CCDD5">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18.1</w:t>
      </w:r>
      <w:r>
        <w:rPr>
          <w:rFonts w:hint="eastAsia" w:ascii="宋体" w:hAnsi="宋体" w:eastAsia="宋体" w:cs="宋体"/>
          <w:color w:val="auto"/>
          <w:sz w:val="24"/>
          <w:highlight w:val="none"/>
        </w:rPr>
        <w:t>见</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第三章</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资格审查》。</w:t>
      </w:r>
    </w:p>
    <w:bookmarkEnd w:id="528"/>
    <w:p w14:paraId="22BC09D2">
      <w:pPr>
        <w:numPr>
          <w:ilvl w:val="0"/>
          <w:numId w:val="0"/>
        </w:numPr>
        <w:tabs>
          <w:tab w:val="left" w:pos="360"/>
        </w:tabs>
        <w:snapToGrid w:val="0"/>
        <w:spacing w:line="360" w:lineRule="auto"/>
        <w:ind w:leftChars="0"/>
        <w:rPr>
          <w:rFonts w:hint="eastAsia" w:ascii="宋体" w:hAnsi="宋体" w:eastAsia="宋体" w:cs="宋体"/>
          <w:b/>
          <w:bCs/>
          <w:color w:val="auto"/>
          <w:sz w:val="24"/>
          <w:highlight w:val="none"/>
        </w:rPr>
      </w:pPr>
      <w:bookmarkStart w:id="529" w:name="_Toc142311042"/>
      <w:bookmarkStart w:id="530" w:name="_Toc127151540"/>
      <w:bookmarkStart w:id="531" w:name="_Toc305158808"/>
      <w:bookmarkStart w:id="532" w:name="_Toc151193928"/>
      <w:bookmarkStart w:id="533" w:name="_Toc151193710"/>
      <w:bookmarkStart w:id="534" w:name="_Toc127161454"/>
      <w:bookmarkStart w:id="535" w:name="_Toc127151741"/>
      <w:bookmarkStart w:id="536" w:name="_Toc151193638"/>
      <w:bookmarkStart w:id="537" w:name="_Toc164608809"/>
      <w:bookmarkStart w:id="538" w:name="_Toc226965813"/>
      <w:bookmarkStart w:id="539" w:name="_Toc264969230"/>
      <w:bookmarkStart w:id="540" w:name="_Toc164351634"/>
      <w:bookmarkStart w:id="541" w:name="_Toc151193854"/>
      <w:bookmarkStart w:id="542" w:name="_Toc150480778"/>
      <w:bookmarkStart w:id="543" w:name="_Toc226337236"/>
      <w:bookmarkStart w:id="544" w:name="_Toc195842905"/>
      <w:bookmarkStart w:id="545" w:name="_Toc164608654"/>
      <w:bookmarkStart w:id="546" w:name="_Toc305158882"/>
      <w:bookmarkStart w:id="547" w:name="_Toc226965730"/>
      <w:bookmarkStart w:id="548" w:name="_Toc265228378"/>
      <w:bookmarkStart w:id="549" w:name="_Toc151190167"/>
      <w:bookmarkStart w:id="550" w:name="_Toc164229381"/>
      <w:bookmarkStart w:id="551" w:name="_Toc226309784"/>
      <w:bookmarkStart w:id="552" w:name="_Toc149720833"/>
      <w:bookmarkStart w:id="553" w:name="_Toc150774745"/>
      <w:bookmarkStart w:id="554" w:name="_Toc150509291"/>
      <w:bookmarkStart w:id="555" w:name="_Toc164229235"/>
      <w:bookmarkStart w:id="556" w:name="_Toc151193782"/>
      <w:bookmarkStart w:id="557" w:name="_Toc150774640"/>
      <w:r>
        <w:rPr>
          <w:rFonts w:hint="eastAsia" w:ascii="宋体" w:hAnsi="宋体" w:eastAsia="宋体" w:cs="宋体"/>
          <w:b/>
          <w:bCs/>
          <w:color w:val="auto"/>
          <w:sz w:val="24"/>
          <w:highlight w:val="none"/>
          <w:lang w:val="en-US" w:eastAsia="zh-CN"/>
        </w:rPr>
        <w:t>19、</w:t>
      </w:r>
      <w:r>
        <w:rPr>
          <w:rFonts w:hint="eastAsia" w:ascii="宋体" w:hAnsi="宋体" w:eastAsia="宋体" w:cs="宋体"/>
          <w:b/>
          <w:bCs/>
          <w:color w:val="auto"/>
          <w:sz w:val="24"/>
          <w:highlight w:val="none"/>
        </w:rPr>
        <w:t>评标委员会</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p w14:paraId="24A8C4B9">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19.1</w:t>
      </w:r>
      <w:r>
        <w:rPr>
          <w:rFonts w:hint="eastAsia" w:ascii="宋体" w:hAnsi="宋体" w:eastAsia="宋体" w:cs="宋体"/>
          <w:color w:val="auto"/>
          <w:sz w:val="24"/>
          <w:highlight w:val="none"/>
        </w:rPr>
        <w:t>评标委员会根据政府采购有关规定和本次采购项目的特点进行组建，并负责具体评标事务，独立履行职责。</w:t>
      </w:r>
      <w:bookmarkStart w:id="558" w:name="_Toc520356166"/>
    </w:p>
    <w:p w14:paraId="155DCEF8">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19.2</w:t>
      </w:r>
      <w:r>
        <w:rPr>
          <w:rFonts w:hint="eastAsia" w:ascii="宋体" w:hAnsi="宋体" w:eastAsia="宋体" w:cs="宋体"/>
          <w:color w:val="auto"/>
          <w:sz w:val="24"/>
          <w:highlight w:val="none"/>
        </w:rPr>
        <w:t>评审专家须符合《财政部关于在政府采购活动中查询及使用信用记录有关问题的通知》（财库〔2016〕125号）、云南省财政厅关于印发《云南省政府采购评审专家管理办法》的通知（云财规〔2023〕23号）的规定。依法自行选定评审专家的，采购人和采购代理机构将查询有关信用记录，对具有行贿、受贿、欺诈等不良信用记录的人员，拒绝其参与政府采购活动。</w:t>
      </w:r>
      <w:bookmarkEnd w:id="558"/>
      <w:bookmarkStart w:id="559" w:name="_Toc520356169"/>
    </w:p>
    <w:p w14:paraId="6F9E7BCF">
      <w:pPr>
        <w:numPr>
          <w:ilvl w:val="0"/>
          <w:numId w:val="0"/>
        </w:numPr>
        <w:tabs>
          <w:tab w:val="left" w:pos="360"/>
        </w:tabs>
        <w:snapToGrid w:val="0"/>
        <w:spacing w:line="360" w:lineRule="auto"/>
        <w:ind w:leftChars="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20、</w:t>
      </w:r>
      <w:r>
        <w:rPr>
          <w:rFonts w:hint="eastAsia" w:ascii="宋体" w:hAnsi="宋体" w:eastAsia="宋体" w:cs="宋体"/>
          <w:b/>
          <w:bCs/>
          <w:color w:val="auto"/>
          <w:sz w:val="24"/>
          <w:highlight w:val="none"/>
        </w:rPr>
        <w:t>评标程序、评标方法和评标标准</w:t>
      </w:r>
    </w:p>
    <w:p w14:paraId="49D56069">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20.1</w:t>
      </w:r>
      <w:r>
        <w:rPr>
          <w:rFonts w:hint="eastAsia" w:ascii="宋体" w:hAnsi="宋体" w:eastAsia="宋体" w:cs="宋体"/>
          <w:color w:val="auto"/>
          <w:sz w:val="24"/>
          <w:highlight w:val="none"/>
        </w:rPr>
        <w:t>见第四章《评标程序、评标方法和评标标准》。</w:t>
      </w:r>
    </w:p>
    <w:p w14:paraId="7E53E461">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20.2投标人不存在下列任一情形：</w:t>
      </w:r>
    </w:p>
    <w:p w14:paraId="4780DC24">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（1）不同投标人的投标文件由同一单位或者个人编制；</w:t>
      </w:r>
    </w:p>
    <w:p w14:paraId="5BFD9B00">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（2）不同投标人委托同一单位或者个人办理投标事宜；</w:t>
      </w:r>
    </w:p>
    <w:p w14:paraId="0E5A09FF">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（3）不同投标人的投标文件载明的项目管理成员或者联系人员为同一人；</w:t>
      </w:r>
    </w:p>
    <w:p w14:paraId="11ADC43E">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（4）不同投标人的投标文件异常一致或者投标报价呈规律性差异；</w:t>
      </w:r>
    </w:p>
    <w:p w14:paraId="52679C8F">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（5）不同投标人的投标文件相互混装；</w:t>
      </w:r>
    </w:p>
    <w:p w14:paraId="51118DF6">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（6）不同投标人使用同一电脑（机器特征值一致：如MAC地址等）或使用同一电子密钥，编制或上传电子投标文件。</w:t>
      </w:r>
    </w:p>
    <w:p w14:paraId="4C54B000">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（7）不存在法律、法规和招标文件规定的其他无效投标情形。</w:t>
      </w:r>
    </w:p>
    <w:p w14:paraId="723149D3">
      <w:pPr>
        <w:spacing w:line="360" w:lineRule="auto"/>
        <w:jc w:val="center"/>
        <w:rPr>
          <w:rFonts w:hint="eastAsia" w:ascii="宋体" w:hAnsi="宋体" w:eastAsia="宋体" w:cs="宋体"/>
          <w:b/>
          <w:bCs/>
          <w:color w:val="auto"/>
          <w:sz w:val="28"/>
          <w:highlight w:val="none"/>
        </w:rPr>
      </w:pPr>
      <w:bookmarkStart w:id="560" w:name="_Toc151190172"/>
      <w:bookmarkStart w:id="561" w:name="_Toc127151545"/>
      <w:bookmarkStart w:id="562" w:name="_Toc151193715"/>
      <w:bookmarkStart w:id="563" w:name="_Toc151193859"/>
      <w:bookmarkStart w:id="564" w:name="_Toc150774750"/>
      <w:bookmarkStart w:id="565" w:name="_Toc226309789"/>
      <w:bookmarkStart w:id="566" w:name="_Toc151193933"/>
      <w:bookmarkStart w:id="567" w:name="_Toc150480783"/>
      <w:bookmarkStart w:id="568" w:name="_Toc305158887"/>
      <w:bookmarkStart w:id="569" w:name="_Toc142311047"/>
      <w:bookmarkStart w:id="570" w:name="_Toc305158813"/>
      <w:bookmarkStart w:id="571" w:name="_Toc150774645"/>
      <w:bookmarkStart w:id="572" w:name="_Toc264969235"/>
      <w:bookmarkStart w:id="573" w:name="_Toc226965818"/>
      <w:bookmarkStart w:id="574" w:name="_Toc151193787"/>
      <w:bookmarkStart w:id="575" w:name="_Toc226965735"/>
      <w:bookmarkStart w:id="576" w:name="_Toc226337241"/>
      <w:bookmarkStart w:id="577" w:name="_Toc150509296"/>
      <w:bookmarkStart w:id="578" w:name="_Toc265228383"/>
      <w:bookmarkStart w:id="579" w:name="_Toc151193643"/>
      <w:bookmarkStart w:id="580" w:name="_Toc195842910"/>
      <w:r>
        <w:rPr>
          <w:rFonts w:hint="eastAsia" w:ascii="宋体" w:hAnsi="宋体" w:eastAsia="宋体" w:cs="宋体"/>
          <w:b/>
          <w:bCs/>
          <w:color w:val="auto"/>
          <w:sz w:val="28"/>
          <w:highlight w:val="none"/>
        </w:rPr>
        <w:t xml:space="preserve">六   </w:t>
      </w:r>
      <w:bookmarkEnd w:id="559"/>
      <w:r>
        <w:rPr>
          <w:rFonts w:hint="eastAsia" w:ascii="宋体" w:hAnsi="宋体" w:eastAsia="宋体" w:cs="宋体"/>
          <w:b/>
          <w:bCs/>
          <w:color w:val="auto"/>
          <w:sz w:val="28"/>
          <w:highlight w:val="none"/>
        </w:rPr>
        <w:t>确定中标</w:t>
      </w:r>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Start w:id="581" w:name="_Toc305158815"/>
      <w:bookmarkStart w:id="582" w:name="_Toc150774647"/>
      <w:bookmarkStart w:id="583" w:name="_Toc127161461"/>
      <w:bookmarkStart w:id="584" w:name="_Toc164608816"/>
      <w:bookmarkStart w:id="585" w:name="_Toc150509298"/>
      <w:bookmarkStart w:id="586" w:name="_Toc226965737"/>
      <w:bookmarkStart w:id="587" w:name="_Toc150480785"/>
      <w:bookmarkStart w:id="588" w:name="_Toc226309791"/>
      <w:bookmarkStart w:id="589" w:name="_Toc151193717"/>
      <w:bookmarkStart w:id="590" w:name="_Toc151193789"/>
      <w:bookmarkStart w:id="591" w:name="_Toc265228385"/>
      <w:bookmarkStart w:id="592" w:name="_Toc226965820"/>
      <w:bookmarkStart w:id="593" w:name="_Toc164229242"/>
      <w:bookmarkStart w:id="594" w:name="_Toc151193935"/>
      <w:bookmarkStart w:id="595" w:name="_Toc305158889"/>
      <w:bookmarkStart w:id="596" w:name="_Toc226337243"/>
      <w:bookmarkStart w:id="597" w:name="_Toc151190174"/>
      <w:bookmarkStart w:id="598" w:name="_Toc195842912"/>
      <w:bookmarkStart w:id="599" w:name="_Toc151193861"/>
      <w:bookmarkStart w:id="600" w:name="_Toc149720840"/>
      <w:bookmarkStart w:id="601" w:name="_Toc127151748"/>
      <w:bookmarkStart w:id="602" w:name="_Toc127151547"/>
      <w:bookmarkStart w:id="603" w:name="_Toc164608661"/>
      <w:bookmarkStart w:id="604" w:name="_Toc264969237"/>
      <w:bookmarkStart w:id="605" w:name="_Toc142311049"/>
      <w:bookmarkStart w:id="606" w:name="_Toc164351641"/>
      <w:bookmarkStart w:id="607" w:name="_Toc151193645"/>
      <w:bookmarkStart w:id="608" w:name="_Toc150774752"/>
      <w:bookmarkStart w:id="609" w:name="_Toc164229388"/>
    </w:p>
    <w:p w14:paraId="27C798CA">
      <w:pPr>
        <w:numPr>
          <w:ilvl w:val="0"/>
          <w:numId w:val="0"/>
        </w:numPr>
        <w:tabs>
          <w:tab w:val="left" w:pos="360"/>
        </w:tabs>
        <w:snapToGrid w:val="0"/>
        <w:spacing w:line="360" w:lineRule="auto"/>
        <w:ind w:leftChars="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21、</w:t>
      </w:r>
      <w:r>
        <w:rPr>
          <w:rFonts w:hint="eastAsia" w:ascii="宋体" w:hAnsi="宋体" w:eastAsia="宋体" w:cs="宋体"/>
          <w:b/>
          <w:bCs/>
          <w:color w:val="auto"/>
          <w:sz w:val="24"/>
          <w:highlight w:val="none"/>
        </w:rPr>
        <w:t>确定中标人</w:t>
      </w:r>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p>
    <w:p w14:paraId="1AAEB60F">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21.1</w:t>
      </w:r>
      <w:r>
        <w:rPr>
          <w:rFonts w:hint="eastAsia" w:ascii="宋体" w:hAnsi="宋体" w:eastAsia="宋体" w:cs="宋体"/>
          <w:color w:val="auto"/>
          <w:sz w:val="24"/>
          <w:highlight w:val="none"/>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w:t>
      </w:r>
      <w:r>
        <w:rPr>
          <w:rFonts w:hint="eastAsia" w:ascii="宋体" w:hAnsi="宋体" w:eastAsia="宋体" w:cs="宋体"/>
          <w:color w:val="auto"/>
          <w:sz w:val="24"/>
          <w:highlight w:val="none"/>
          <w:lang w:eastAsia="zh-CN"/>
        </w:rPr>
        <w:t>供应商须知前附表</w:t>
      </w:r>
      <w:r>
        <w:rPr>
          <w:rFonts w:hint="eastAsia" w:ascii="宋体" w:hAnsi="宋体" w:eastAsia="宋体" w:cs="宋体"/>
          <w:color w:val="auto"/>
          <w:sz w:val="24"/>
          <w:highlight w:val="none"/>
        </w:rPr>
        <w:t>。中标候选人并列的，按照</w:t>
      </w:r>
      <w:r>
        <w:rPr>
          <w:rFonts w:hint="eastAsia" w:ascii="宋体" w:hAnsi="宋体" w:eastAsia="宋体" w:cs="宋体"/>
          <w:color w:val="auto"/>
          <w:sz w:val="24"/>
          <w:highlight w:val="none"/>
          <w:lang w:eastAsia="zh-CN"/>
        </w:rPr>
        <w:t>供应商须知前附表</w:t>
      </w:r>
      <w:r>
        <w:rPr>
          <w:rFonts w:hint="eastAsia" w:ascii="宋体" w:hAnsi="宋体" w:eastAsia="宋体" w:cs="宋体"/>
          <w:color w:val="auto"/>
          <w:sz w:val="24"/>
          <w:highlight w:val="none"/>
        </w:rPr>
        <w:t>要求确定中标人。</w:t>
      </w:r>
    </w:p>
    <w:p w14:paraId="4916BF88">
      <w:pPr>
        <w:numPr>
          <w:ilvl w:val="0"/>
          <w:numId w:val="0"/>
        </w:numPr>
        <w:tabs>
          <w:tab w:val="left" w:pos="360"/>
        </w:tabs>
        <w:snapToGrid w:val="0"/>
        <w:spacing w:line="360" w:lineRule="auto"/>
        <w:ind w:leftChars="0"/>
        <w:rPr>
          <w:rFonts w:hint="eastAsia" w:ascii="宋体" w:hAnsi="宋体" w:eastAsia="宋体" w:cs="宋体"/>
          <w:b/>
          <w:bCs/>
          <w:color w:val="auto"/>
          <w:sz w:val="24"/>
          <w:highlight w:val="none"/>
        </w:rPr>
      </w:pPr>
      <w:bookmarkStart w:id="610" w:name="_Toc305158891"/>
      <w:bookmarkStart w:id="611" w:name="_Toc305158817"/>
      <w:bookmarkStart w:id="612" w:name="_Toc226965822"/>
      <w:bookmarkStart w:id="613" w:name="_Toc265228387"/>
      <w:bookmarkStart w:id="614" w:name="_Toc264969239"/>
      <w:bookmarkStart w:id="615" w:name="_Toc164351643"/>
      <w:bookmarkStart w:id="616" w:name="_Toc151193863"/>
      <w:bookmarkStart w:id="617" w:name="_Toc127151549"/>
      <w:bookmarkStart w:id="618" w:name="_Toc150774649"/>
      <w:bookmarkStart w:id="619" w:name="_Toc226965739"/>
      <w:bookmarkStart w:id="620" w:name="_Toc149720842"/>
      <w:bookmarkStart w:id="621" w:name="_Toc151190176"/>
      <w:bookmarkStart w:id="622" w:name="_Toc150480787"/>
      <w:bookmarkStart w:id="623" w:name="_Toc127151750"/>
      <w:bookmarkStart w:id="624" w:name="_Toc164608663"/>
      <w:bookmarkStart w:id="625" w:name="_Toc151193647"/>
      <w:bookmarkStart w:id="626" w:name="_Toc127161463"/>
      <w:bookmarkStart w:id="627" w:name="_Toc151193791"/>
      <w:bookmarkStart w:id="628" w:name="_Toc226309793"/>
      <w:bookmarkStart w:id="629" w:name="_Toc164229390"/>
      <w:bookmarkStart w:id="630" w:name="_Toc150774754"/>
      <w:bookmarkStart w:id="631" w:name="_Toc151193937"/>
      <w:bookmarkStart w:id="632" w:name="_Toc195842914"/>
      <w:bookmarkStart w:id="633" w:name="_Toc142311051"/>
      <w:bookmarkStart w:id="634" w:name="_Toc164229244"/>
      <w:bookmarkStart w:id="635" w:name="_Toc226337245"/>
      <w:bookmarkStart w:id="636" w:name="_Toc164608818"/>
      <w:bookmarkStart w:id="637" w:name="_Toc150509300"/>
      <w:bookmarkStart w:id="638" w:name="_Toc151193719"/>
      <w:bookmarkStart w:id="639" w:name="_Ref467307090"/>
      <w:bookmarkStart w:id="640" w:name="_Ref467306425"/>
      <w:bookmarkStart w:id="641" w:name="_Toc520356176"/>
      <w:r>
        <w:rPr>
          <w:rFonts w:hint="eastAsia" w:ascii="宋体" w:hAnsi="宋体" w:eastAsia="宋体" w:cs="宋体"/>
          <w:b/>
          <w:bCs/>
          <w:color w:val="auto"/>
          <w:sz w:val="24"/>
          <w:highlight w:val="none"/>
          <w:lang w:val="en-US" w:eastAsia="zh-CN"/>
        </w:rPr>
        <w:t>22、</w:t>
      </w:r>
      <w:r>
        <w:rPr>
          <w:rFonts w:hint="eastAsia" w:ascii="宋体" w:hAnsi="宋体" w:eastAsia="宋体" w:cs="宋体"/>
          <w:b/>
          <w:bCs/>
          <w:color w:val="auto"/>
          <w:sz w:val="24"/>
          <w:highlight w:val="none"/>
        </w:rPr>
        <w:t>中标公告与中标通知书</w:t>
      </w:r>
      <w:bookmarkEnd w:id="610"/>
      <w:bookmarkEnd w:id="611"/>
    </w:p>
    <w:p w14:paraId="58314BD4">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22.1</w:t>
      </w:r>
      <w:r>
        <w:rPr>
          <w:rFonts w:hint="eastAsia" w:ascii="宋体" w:hAnsi="宋体" w:eastAsia="宋体" w:cs="宋体"/>
          <w:color w:val="auto"/>
          <w:sz w:val="24"/>
          <w:highlight w:val="none"/>
        </w:rPr>
        <w:t>采购人或采购代理机构自中标人确定之日起2个工作日内，</w:t>
      </w:r>
      <w:r>
        <w:rPr>
          <w:rFonts w:hint="eastAsia" w:ascii="宋体" w:hAnsi="宋体" w:eastAsia="宋体" w:cs="宋体"/>
          <w:color w:val="auto"/>
          <w:kern w:val="0"/>
          <w:sz w:val="24"/>
          <w:highlight w:val="none"/>
        </w:rPr>
        <w:t>在云南省政府采购网公告中标结果</w:t>
      </w:r>
      <w:r>
        <w:rPr>
          <w:rFonts w:hint="eastAsia" w:ascii="宋体" w:hAnsi="宋体" w:eastAsia="宋体" w:cs="宋体"/>
          <w:color w:val="auto"/>
          <w:sz w:val="24"/>
          <w:highlight w:val="none"/>
        </w:rPr>
        <w:t>，同时向中标人发出中标通知书，中标公告期限为1个工作日。</w:t>
      </w:r>
    </w:p>
    <w:p w14:paraId="68F86D64">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22.2</w:t>
      </w:r>
      <w:r>
        <w:rPr>
          <w:rFonts w:hint="eastAsia" w:ascii="宋体" w:hAnsi="宋体" w:eastAsia="宋体" w:cs="宋体"/>
          <w:color w:val="auto"/>
          <w:sz w:val="24"/>
          <w:highlight w:val="none"/>
        </w:rPr>
        <w:t>中标通知书对采购人和中标供应商均具有法律效力。中标通知书发出后，采购人改变中标结果的，或者中标供应商放弃中标项目的，应当依法承担法律责任。</w:t>
      </w:r>
    </w:p>
    <w:p w14:paraId="4AA923AB">
      <w:pPr>
        <w:numPr>
          <w:ilvl w:val="0"/>
          <w:numId w:val="0"/>
        </w:numPr>
        <w:tabs>
          <w:tab w:val="left" w:pos="360"/>
        </w:tabs>
        <w:snapToGrid w:val="0"/>
        <w:spacing w:line="360" w:lineRule="auto"/>
        <w:ind w:leftChars="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23、</w:t>
      </w:r>
      <w:r>
        <w:rPr>
          <w:rFonts w:hint="eastAsia" w:ascii="宋体" w:hAnsi="宋体" w:eastAsia="宋体" w:cs="宋体"/>
          <w:b/>
          <w:bCs/>
          <w:color w:val="auto"/>
          <w:sz w:val="24"/>
          <w:highlight w:val="none"/>
        </w:rPr>
        <w:t>废标</w:t>
      </w:r>
    </w:p>
    <w:p w14:paraId="032AF2A6">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23.1</w:t>
      </w:r>
      <w:r>
        <w:rPr>
          <w:rFonts w:hint="eastAsia" w:ascii="宋体" w:hAnsi="宋体" w:eastAsia="宋体" w:cs="宋体"/>
          <w:color w:val="auto"/>
          <w:sz w:val="24"/>
          <w:highlight w:val="none"/>
        </w:rPr>
        <w:t>在招标采购中，出现下列情形之一的，应予废标：</w:t>
      </w:r>
    </w:p>
    <w:p w14:paraId="4600CEF6">
      <w:pPr>
        <w:numPr>
          <w:ilvl w:val="0"/>
          <w:numId w:val="0"/>
        </w:numPr>
        <w:snapToGrid w:val="0"/>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23.1.1</w:t>
      </w:r>
      <w:r>
        <w:rPr>
          <w:rFonts w:hint="eastAsia" w:ascii="宋体" w:hAnsi="宋体" w:eastAsia="宋体" w:cs="宋体"/>
          <w:color w:val="auto"/>
          <w:sz w:val="24"/>
          <w:highlight w:val="none"/>
        </w:rPr>
        <w:t>符合专业条件的供应商或者对招标文件做实质响应的供应商不足三家的；</w:t>
      </w:r>
    </w:p>
    <w:p w14:paraId="02B5C069">
      <w:pPr>
        <w:numPr>
          <w:ilvl w:val="0"/>
          <w:numId w:val="0"/>
        </w:numPr>
        <w:snapToGrid w:val="0"/>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23.1.2</w:t>
      </w:r>
      <w:r>
        <w:rPr>
          <w:rFonts w:hint="eastAsia" w:ascii="宋体" w:hAnsi="宋体" w:eastAsia="宋体" w:cs="宋体"/>
          <w:color w:val="auto"/>
          <w:sz w:val="24"/>
          <w:highlight w:val="none"/>
        </w:rPr>
        <w:t>出现影响采购公正的违法、违规行为的；</w:t>
      </w:r>
    </w:p>
    <w:p w14:paraId="730C602E">
      <w:pPr>
        <w:numPr>
          <w:ilvl w:val="0"/>
          <w:numId w:val="0"/>
        </w:numPr>
        <w:snapToGrid w:val="0"/>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23.1.3</w:t>
      </w:r>
      <w:r>
        <w:rPr>
          <w:rFonts w:hint="eastAsia" w:ascii="宋体" w:hAnsi="宋体" w:eastAsia="宋体" w:cs="宋体"/>
          <w:color w:val="auto"/>
          <w:sz w:val="24"/>
          <w:highlight w:val="none"/>
        </w:rPr>
        <w:t>因重大变故，采购任务取消的。</w:t>
      </w:r>
    </w:p>
    <w:p w14:paraId="15370603">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23.2</w:t>
      </w:r>
      <w:r>
        <w:rPr>
          <w:rFonts w:hint="eastAsia" w:ascii="宋体" w:hAnsi="宋体" w:eastAsia="宋体" w:cs="宋体"/>
          <w:color w:val="auto"/>
          <w:sz w:val="24"/>
          <w:highlight w:val="none"/>
        </w:rPr>
        <w:t>废标后，采购人将废标理由书面通知所有供应商。</w:t>
      </w:r>
    </w:p>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p w14:paraId="733B3D02">
      <w:pPr>
        <w:numPr>
          <w:ilvl w:val="0"/>
          <w:numId w:val="0"/>
        </w:numPr>
        <w:tabs>
          <w:tab w:val="left" w:pos="360"/>
        </w:tabs>
        <w:snapToGrid w:val="0"/>
        <w:spacing w:line="360" w:lineRule="auto"/>
        <w:ind w:leftChars="0"/>
        <w:rPr>
          <w:rFonts w:hint="eastAsia" w:ascii="宋体" w:hAnsi="宋体" w:eastAsia="宋体" w:cs="宋体"/>
          <w:b/>
          <w:bCs/>
          <w:color w:val="auto"/>
          <w:sz w:val="24"/>
          <w:highlight w:val="none"/>
        </w:rPr>
      </w:pPr>
      <w:bookmarkStart w:id="642" w:name="_Toc164229245"/>
      <w:bookmarkStart w:id="643" w:name="_Toc226965740"/>
      <w:bookmarkStart w:id="644" w:name="_Toc150480788"/>
      <w:bookmarkStart w:id="645" w:name="_Toc164351644"/>
      <w:bookmarkStart w:id="646" w:name="_Toc305158892"/>
      <w:bookmarkStart w:id="647" w:name="_Toc226309794"/>
      <w:bookmarkStart w:id="648" w:name="_Toc151193648"/>
      <w:bookmarkStart w:id="649" w:name="_Toc520356175"/>
      <w:bookmarkStart w:id="650" w:name="_Toc164229391"/>
      <w:bookmarkStart w:id="651" w:name="_Toc265228388"/>
      <w:bookmarkStart w:id="652" w:name="_Toc151193864"/>
      <w:bookmarkStart w:id="653" w:name="_Toc127151550"/>
      <w:bookmarkStart w:id="654" w:name="_Toc164608819"/>
      <w:bookmarkStart w:id="655" w:name="_Toc127161464"/>
      <w:bookmarkStart w:id="656" w:name="_Toc195842915"/>
      <w:bookmarkStart w:id="657" w:name="_Toc149720843"/>
      <w:bookmarkStart w:id="658" w:name="_Ref467306377"/>
      <w:bookmarkStart w:id="659" w:name="_Toc164608664"/>
      <w:bookmarkStart w:id="660" w:name="_Toc264969240"/>
      <w:bookmarkStart w:id="661" w:name="_Toc151193938"/>
      <w:bookmarkStart w:id="662" w:name="_Toc127151751"/>
      <w:bookmarkStart w:id="663" w:name="_Toc151193720"/>
      <w:bookmarkStart w:id="664" w:name="_Toc226337246"/>
      <w:bookmarkStart w:id="665" w:name="_Toc150774755"/>
      <w:bookmarkStart w:id="666" w:name="_Toc142311052"/>
      <w:bookmarkStart w:id="667" w:name="_Ref467307204"/>
      <w:bookmarkStart w:id="668" w:name="_Toc150509301"/>
      <w:bookmarkStart w:id="669" w:name="_Toc305158818"/>
      <w:bookmarkStart w:id="670" w:name="_Toc151190177"/>
      <w:bookmarkStart w:id="671" w:name="_Ref467307062"/>
      <w:bookmarkStart w:id="672" w:name="_Toc150774650"/>
      <w:bookmarkStart w:id="673" w:name="_Ref467306978"/>
      <w:bookmarkStart w:id="674" w:name="_Toc226965823"/>
      <w:bookmarkStart w:id="675" w:name="_Toc151193792"/>
      <w:r>
        <w:rPr>
          <w:rFonts w:hint="eastAsia" w:ascii="宋体" w:hAnsi="宋体" w:eastAsia="宋体" w:cs="宋体"/>
          <w:b/>
          <w:bCs/>
          <w:color w:val="auto"/>
          <w:sz w:val="24"/>
          <w:highlight w:val="none"/>
          <w:lang w:val="en-US" w:eastAsia="zh-CN"/>
        </w:rPr>
        <w:t>24、</w:t>
      </w:r>
      <w:r>
        <w:rPr>
          <w:rFonts w:hint="eastAsia" w:ascii="宋体" w:hAnsi="宋体" w:eastAsia="宋体" w:cs="宋体"/>
          <w:b/>
          <w:bCs/>
          <w:color w:val="auto"/>
          <w:sz w:val="24"/>
          <w:highlight w:val="none"/>
        </w:rPr>
        <w:t>签订合同</w:t>
      </w:r>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p w14:paraId="142D5C3E">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24.1</w:t>
      </w:r>
      <w:r>
        <w:rPr>
          <w:rFonts w:hint="eastAsia" w:ascii="宋体" w:hAnsi="宋体" w:eastAsia="宋体" w:cs="宋体"/>
          <w:color w:val="auto"/>
          <w:sz w:val="24"/>
          <w:highlight w:val="none"/>
        </w:rPr>
        <w:t>采购人应按照有关规定，在中标通知书发出之日起30日内与中标、成交供应商签订合同，在合同签订之日起的2个工作日内进行合同公告、7个工作日内报同级财政部门备案，所签订的合同不得对招标文件确定的事项和中标人投标文件作实质性修改。</w:t>
      </w:r>
    </w:p>
    <w:p w14:paraId="2C008BC4">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24.2</w:t>
      </w:r>
      <w:r>
        <w:rPr>
          <w:rFonts w:hint="eastAsia" w:ascii="宋体" w:hAnsi="宋体" w:eastAsia="宋体" w:cs="宋体"/>
          <w:color w:val="auto"/>
          <w:sz w:val="24"/>
          <w:highlight w:val="none"/>
        </w:rPr>
        <w:t>中标人拒绝与采购人签订合同的，采购人可以按照评标报告推荐的中标候选人名单排序，确定下一候选人为中标人，也可以重新开展政府采购活动。</w:t>
      </w:r>
    </w:p>
    <w:p w14:paraId="00DEE391">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24.3</w:t>
      </w:r>
      <w:r>
        <w:rPr>
          <w:rFonts w:hint="eastAsia" w:ascii="宋体" w:hAnsi="宋体" w:eastAsia="宋体" w:cs="宋体"/>
          <w:color w:val="auto"/>
          <w:sz w:val="24"/>
          <w:highlight w:val="none"/>
        </w:rPr>
        <w:t>联合体中标的，联合体各方应当共同与采购人签订合同，就采购合同约定的事项向采购人承担连带责任。</w:t>
      </w:r>
    </w:p>
    <w:p w14:paraId="1DBCD340">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24.4分包：详见供应商须知前附表</w:t>
      </w:r>
    </w:p>
    <w:bookmarkEnd w:id="639"/>
    <w:bookmarkEnd w:id="640"/>
    <w:bookmarkEnd w:id="641"/>
    <w:p w14:paraId="0CA9FFD7">
      <w:pPr>
        <w:numPr>
          <w:ilvl w:val="0"/>
          <w:numId w:val="0"/>
        </w:numPr>
        <w:tabs>
          <w:tab w:val="left" w:pos="360"/>
        </w:tabs>
        <w:snapToGrid w:val="0"/>
        <w:spacing w:line="360" w:lineRule="auto"/>
        <w:ind w:leftChars="0"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24.5</w:t>
      </w:r>
      <w:r>
        <w:rPr>
          <w:rFonts w:hint="eastAsia" w:ascii="宋体" w:hAnsi="宋体" w:eastAsia="宋体" w:cs="宋体"/>
          <w:color w:val="auto"/>
          <w:sz w:val="24"/>
          <w:highlight w:val="none"/>
        </w:rPr>
        <w:t>合同签订方式及付款方式</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详见供应商须知前附表</w:t>
      </w:r>
    </w:p>
    <w:p w14:paraId="58A0FEB0">
      <w:pPr>
        <w:numPr>
          <w:ilvl w:val="0"/>
          <w:numId w:val="0"/>
        </w:numPr>
        <w:tabs>
          <w:tab w:val="left" w:pos="360"/>
        </w:tabs>
        <w:snapToGrid w:val="0"/>
        <w:spacing w:line="360" w:lineRule="auto"/>
        <w:ind w:leftChars="0"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24.6</w:t>
      </w:r>
      <w:r>
        <w:rPr>
          <w:rFonts w:hint="eastAsia" w:ascii="宋体" w:hAnsi="宋体" w:eastAsia="宋体" w:cs="宋体"/>
          <w:color w:val="auto"/>
          <w:sz w:val="24"/>
          <w:highlight w:val="none"/>
        </w:rPr>
        <w:t>追加合同金额</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详见供应商须知前附表</w:t>
      </w:r>
    </w:p>
    <w:p w14:paraId="060B1F4E">
      <w:pPr>
        <w:numPr>
          <w:ilvl w:val="0"/>
          <w:numId w:val="0"/>
        </w:numPr>
        <w:tabs>
          <w:tab w:val="left" w:pos="360"/>
        </w:tabs>
        <w:snapToGrid w:val="0"/>
        <w:spacing w:line="360" w:lineRule="auto"/>
        <w:ind w:leftChars="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25、</w:t>
      </w:r>
      <w:r>
        <w:rPr>
          <w:rFonts w:hint="eastAsia" w:ascii="宋体" w:hAnsi="宋体" w:eastAsia="宋体" w:cs="宋体"/>
          <w:b/>
          <w:bCs/>
          <w:color w:val="auto"/>
          <w:sz w:val="24"/>
          <w:highlight w:val="none"/>
        </w:rPr>
        <w:t>询问与</w:t>
      </w:r>
      <w:r>
        <w:rPr>
          <w:rFonts w:hint="eastAsia" w:ascii="宋体" w:hAnsi="宋体" w:eastAsia="宋体" w:cs="宋体"/>
          <w:b/>
          <w:bCs/>
          <w:color w:val="auto"/>
          <w:sz w:val="24"/>
          <w:highlight w:val="none"/>
          <w:lang w:eastAsia="zh-CN"/>
        </w:rPr>
        <w:t>答复</w:t>
      </w:r>
    </w:p>
    <w:p w14:paraId="2AC19464">
      <w:pPr>
        <w:numPr>
          <w:ilvl w:val="0"/>
          <w:numId w:val="0"/>
        </w:numPr>
        <w:tabs>
          <w:tab w:val="left" w:pos="1080"/>
          <w:tab w:val="left" w:pos="2014"/>
        </w:tabs>
        <w:snapToGrid w:val="0"/>
        <w:spacing w:line="360" w:lineRule="auto"/>
        <w:ind w:left="357" w:leftChars="0"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25.1</w:t>
      </w:r>
      <w:r>
        <w:rPr>
          <w:rFonts w:hint="eastAsia" w:ascii="宋体" w:hAnsi="宋体" w:eastAsia="宋体" w:cs="宋体"/>
          <w:color w:val="auto"/>
          <w:sz w:val="24"/>
          <w:highlight w:val="none"/>
        </w:rPr>
        <w:t>凡对本次招标采购活动事项有疑问的，可以向采购代理机构提出询问，采购代理机构将及时作出答复，但答复的内容不得涉及商业秘密。</w:t>
      </w:r>
    </w:p>
    <w:p w14:paraId="065D6877">
      <w:pPr>
        <w:numPr>
          <w:ilvl w:val="0"/>
          <w:numId w:val="0"/>
        </w:numPr>
        <w:tabs>
          <w:tab w:val="left" w:pos="1080"/>
          <w:tab w:val="left" w:pos="2014"/>
        </w:tabs>
        <w:snapToGrid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26、</w:t>
      </w:r>
      <w:r>
        <w:rPr>
          <w:rFonts w:hint="eastAsia" w:ascii="宋体" w:hAnsi="宋体" w:eastAsia="宋体" w:cs="宋体"/>
          <w:b/>
          <w:bCs/>
          <w:color w:val="auto"/>
          <w:sz w:val="24"/>
          <w:highlight w:val="none"/>
        </w:rPr>
        <w:t>质疑</w:t>
      </w:r>
    </w:p>
    <w:p w14:paraId="7C36758D">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26.1</w:t>
      </w:r>
      <w:r>
        <w:rPr>
          <w:rFonts w:hint="eastAsia" w:ascii="宋体" w:hAnsi="宋体" w:eastAsia="宋体" w:cs="宋体"/>
          <w:color w:val="auto"/>
          <w:sz w:val="24"/>
          <w:highlight w:val="none"/>
        </w:rPr>
        <w:t xml:space="preserve"> 供应商认为采购文件、采购过程、中标或者成交结果使自己的权益受到损害的，可以在知道或者应知其权益受到损害之日起7个工作日内，以书面形式向采购人、采购代理机构提出质疑。质疑内容不得含有虚假、恶意成分。当事人对自己提出的主张，有责任提供证据，提出质疑时应同时提交相关证据材料和注明事实的确切来源。</w:t>
      </w:r>
    </w:p>
    <w:p w14:paraId="4F50953E">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提出质疑的供应商（以下简称质疑供应商）应当是参与所质疑项目采购活动的供应商。</w:t>
      </w:r>
    </w:p>
    <w:p w14:paraId="0FA1D744">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潜在供应商已依法获取采购文件的，可以对该文件提出质疑。对采购文件提出质疑的，应当在获取采购文件或者采购公告期限届满之日（报名结束之日）起7个工作日内提出。</w:t>
      </w:r>
    </w:p>
    <w:p w14:paraId="7D3DCE04">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投标人知其权益受到损害之日，是指：</w:t>
      </w:r>
    </w:p>
    <w:p w14:paraId="467E19DE">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（一）对可以质疑的采购文件提出质疑的，为收到采购文件之日或者采购文件公告期限届满之日；</w:t>
      </w:r>
    </w:p>
    <w:p w14:paraId="5DBE4822">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（二）对采购过程提出质疑的，为各采购程序环节结束之日；</w:t>
      </w:r>
    </w:p>
    <w:p w14:paraId="29487184">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（三）对中标结果提出质疑的，为中标结果公告期限届满之日。（中标公告发布之日起七个工作日内）</w:t>
      </w:r>
    </w:p>
    <w:p w14:paraId="21D9B113">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受理质疑部门：</w:t>
      </w:r>
    </w:p>
    <w:p w14:paraId="7DDC743D">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采购人：</w:t>
      </w:r>
      <w:r>
        <w:rPr>
          <w:rFonts w:hint="eastAsia" w:ascii="宋体" w:hAnsi="宋体" w:eastAsia="宋体" w:cs="宋体"/>
          <w:color w:val="auto"/>
          <w:sz w:val="24"/>
          <w:highlight w:val="none"/>
          <w:lang w:eastAsia="zh-CN"/>
        </w:rPr>
        <w:t>剑川县</w:t>
      </w:r>
      <w:r>
        <w:rPr>
          <w:rFonts w:hint="eastAsia" w:ascii="宋体" w:hAnsi="宋体" w:eastAsia="宋体" w:cs="宋体"/>
          <w:color w:val="auto"/>
          <w:sz w:val="24"/>
          <w:highlight w:val="none"/>
          <w:lang w:val="en-US" w:eastAsia="zh-CN"/>
        </w:rPr>
        <w:t>住房和城乡建设局</w:t>
      </w:r>
    </w:p>
    <w:p w14:paraId="136E6A11">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pacing w:val="-1"/>
          <w:sz w:val="24"/>
          <w:szCs w:val="24"/>
          <w:lang w:val="en-US" w:eastAsia="zh-CN"/>
        </w:rPr>
      </w:pPr>
      <w:r>
        <w:rPr>
          <w:rFonts w:hint="eastAsia" w:ascii="宋体" w:hAnsi="宋体" w:eastAsia="宋体" w:cs="宋体"/>
          <w:color w:val="auto"/>
          <w:sz w:val="24"/>
          <w:highlight w:val="none"/>
        </w:rPr>
        <w:t>采购代理机构：</w:t>
      </w:r>
      <w:r>
        <w:rPr>
          <w:rFonts w:hint="eastAsia" w:ascii="宋体" w:hAnsi="宋体" w:eastAsia="宋体" w:cs="宋体"/>
          <w:spacing w:val="-1"/>
          <w:sz w:val="24"/>
          <w:szCs w:val="24"/>
          <w:lang w:val="en-US" w:eastAsia="zh-CN"/>
        </w:rPr>
        <w:t>剑川县众森工程咨询有限公司</w:t>
      </w:r>
    </w:p>
    <w:p w14:paraId="68345A0F">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公司地址：</w:t>
      </w:r>
      <w:r>
        <w:rPr>
          <w:rFonts w:hint="eastAsia" w:ascii="宋体" w:hAnsi="宋体" w:eastAsia="宋体" w:cs="宋体"/>
          <w:spacing w:val="-1"/>
          <w:sz w:val="24"/>
          <w:szCs w:val="24"/>
          <w:lang w:val="en-US" w:eastAsia="zh-CN"/>
        </w:rPr>
        <w:t>剑川县金华镇文献街锦绣佳园1号楼4楼</w:t>
      </w:r>
    </w:p>
    <w:p w14:paraId="41482247">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cs="宋体"/>
          <w:bCs/>
          <w:spacing w:val="10"/>
          <w:sz w:val="24"/>
          <w:szCs w:val="24"/>
          <w:lang w:val="en-US" w:eastAsia="zh-CN"/>
        </w:rPr>
      </w:pPr>
      <w:r>
        <w:rPr>
          <w:rFonts w:hint="eastAsia" w:ascii="宋体" w:hAnsi="宋体" w:eastAsia="宋体" w:cs="宋体"/>
          <w:color w:val="auto"/>
          <w:sz w:val="24"/>
          <w:highlight w:val="none"/>
        </w:rPr>
        <w:t>联系人：</w:t>
      </w:r>
      <w:r>
        <w:rPr>
          <w:rFonts w:hint="eastAsia" w:ascii="宋体" w:cs="宋体"/>
          <w:bCs/>
          <w:spacing w:val="10"/>
          <w:sz w:val="24"/>
          <w:szCs w:val="24"/>
          <w:lang w:val="en-US" w:eastAsia="zh-CN"/>
        </w:rPr>
        <w:t>赵义秋、王镭、杨鼎润</w:t>
      </w:r>
    </w:p>
    <w:p w14:paraId="38A37515">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电话：</w:t>
      </w:r>
      <w:r>
        <w:rPr>
          <w:rFonts w:hint="eastAsia" w:ascii="宋体"/>
          <w:bCs/>
          <w:spacing w:val="10"/>
          <w:sz w:val="24"/>
          <w:szCs w:val="24"/>
          <w:lang w:val="en-US" w:eastAsia="zh-CN"/>
        </w:rPr>
        <w:t>15393949440、17387261854、15368311491</w:t>
      </w:r>
    </w:p>
    <w:p w14:paraId="5CDB5FF7">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26.2</w:t>
      </w:r>
      <w:r>
        <w:rPr>
          <w:rFonts w:hint="eastAsia" w:ascii="宋体" w:hAnsi="宋体" w:eastAsia="宋体" w:cs="宋体"/>
          <w:color w:val="auto"/>
          <w:sz w:val="24"/>
          <w:highlight w:val="none"/>
        </w:rPr>
        <w:t>供应商必须在法定质疑期内一次性提出针对同一采购程序环节的质疑，否则不予受理。</w:t>
      </w:r>
    </w:p>
    <w:p w14:paraId="604D393C">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26.3</w:t>
      </w:r>
      <w:r>
        <w:rPr>
          <w:rFonts w:hint="eastAsia" w:ascii="宋体" w:hAnsi="宋体" w:eastAsia="宋体" w:cs="宋体"/>
          <w:color w:val="auto"/>
          <w:sz w:val="24"/>
          <w:highlight w:val="none"/>
        </w:rPr>
        <w:t>提出质疑的供应商应当是参与所质疑项目采购活动的供应商。</w:t>
      </w:r>
    </w:p>
    <w:p w14:paraId="6879A583">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26.4</w:t>
      </w:r>
      <w:r>
        <w:rPr>
          <w:rFonts w:hint="eastAsia" w:ascii="宋体" w:hAnsi="宋体" w:eastAsia="宋体" w:cs="宋体"/>
          <w:color w:val="auto"/>
          <w:sz w:val="24"/>
          <w:highlight w:val="none"/>
        </w:rPr>
        <w:t>投标人提供的质疑书应符合中华人民共和国财政部令第94号《政府采购质疑和投诉办法》的规定。</w:t>
      </w:r>
    </w:p>
    <w:p w14:paraId="5BCEF2DF">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投标人提供的质疑书（如材料中有外文资料应同时附上中文译本）应当包括以下主要内容：</w:t>
      </w:r>
    </w:p>
    <w:p w14:paraId="6A807FA5">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（一）供应商的姓名或者名称、地址、邮编、联系人及联系电话；</w:t>
      </w:r>
    </w:p>
    <w:p w14:paraId="739697F8">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（二）质疑项目的名称、编号；</w:t>
      </w:r>
    </w:p>
    <w:p w14:paraId="78515909">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（三）具体、明确的质疑事项和与质疑事项相关的请求；</w:t>
      </w:r>
    </w:p>
    <w:p w14:paraId="4165E419">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（四）事实依据；</w:t>
      </w:r>
    </w:p>
    <w:p w14:paraId="524B62B8">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（五）必要的法律依据；</w:t>
      </w:r>
    </w:p>
    <w:p w14:paraId="48E77E88">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（六）提出质疑的日期。</w:t>
      </w:r>
    </w:p>
    <w:p w14:paraId="57733A2A">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质疑书实行实名制，供应商为自然人的，应当由本人签字；供应商为法人或者其他组织的，应当由法定代表人、主要负责人，或者其授权代表签字或者盖章，并加盖公章。</w:t>
      </w:r>
    </w:p>
    <w:p w14:paraId="4431543E">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26.5</w:t>
      </w:r>
      <w:r>
        <w:rPr>
          <w:rFonts w:hint="eastAsia" w:ascii="宋体" w:hAnsi="宋体" w:eastAsia="宋体" w:cs="宋体"/>
          <w:color w:val="auto"/>
          <w:sz w:val="24"/>
          <w:highlight w:val="none"/>
        </w:rPr>
        <w:t>采购人、采购代理机构不得拒收质疑供应商在法定质疑期内发出的质疑函，应当在收到质疑函后7个工作日内作出答复，并以书面形式通知质疑供应商和其他有关供应商。质疑答复的内容不得涉及商业秘密。</w:t>
      </w:r>
    </w:p>
    <w:p w14:paraId="2CE27F58">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rPr>
      </w:pPr>
      <w:bookmarkStart w:id="676" w:name="_Toc475291682"/>
      <w:bookmarkStart w:id="677" w:name="_Toc476856065"/>
      <w:bookmarkStart w:id="678" w:name="_Toc476848360"/>
      <w:bookmarkStart w:id="679" w:name="_Toc480665479"/>
      <w:r>
        <w:rPr>
          <w:rFonts w:hint="eastAsia" w:ascii="宋体" w:hAnsi="宋体" w:eastAsia="宋体" w:cs="宋体"/>
          <w:color w:val="auto"/>
          <w:sz w:val="24"/>
          <w:highlight w:val="none"/>
          <w:lang w:val="en-US" w:eastAsia="zh-CN"/>
        </w:rPr>
        <w:t>26.6</w:t>
      </w:r>
      <w:r>
        <w:rPr>
          <w:rFonts w:hint="eastAsia" w:ascii="宋体" w:hAnsi="宋体" w:eastAsia="宋体" w:cs="宋体"/>
          <w:color w:val="auto"/>
          <w:sz w:val="24"/>
          <w:highlight w:val="none"/>
        </w:rPr>
        <w:t>参与政府采购活动的投标人对评审过程或者结果提出质疑的，采购人或采购代理机构可以组织原评审委员会协助处理质疑事项，并依据评审委员会出具的意见进行答复。质疑答复导致中标或成交结果改变的，采购人或采购代理机构应当将相关情况报财政部门备案。</w:t>
      </w:r>
      <w:bookmarkEnd w:id="676"/>
      <w:bookmarkEnd w:id="677"/>
      <w:bookmarkEnd w:id="678"/>
      <w:bookmarkEnd w:id="679"/>
    </w:p>
    <w:p w14:paraId="344BACC4">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4"/>
          <w:highlight w:val="none"/>
        </w:rPr>
      </w:pPr>
      <w:bookmarkStart w:id="680" w:name="_Toc476848361"/>
      <w:bookmarkStart w:id="681" w:name="_Toc475291683"/>
      <w:bookmarkStart w:id="682" w:name="_Toc476856066"/>
      <w:bookmarkStart w:id="683" w:name="_Toc321836357"/>
      <w:bookmarkStart w:id="684" w:name="_Toc480665480"/>
      <w:r>
        <w:rPr>
          <w:rFonts w:hint="eastAsia" w:ascii="宋体" w:hAnsi="宋体" w:eastAsia="宋体" w:cs="宋体"/>
          <w:b/>
          <w:bCs/>
          <w:color w:val="auto"/>
          <w:sz w:val="24"/>
          <w:highlight w:val="none"/>
          <w:lang w:val="en-US" w:eastAsia="zh-CN"/>
        </w:rPr>
        <w:t>27、</w:t>
      </w:r>
      <w:r>
        <w:rPr>
          <w:rFonts w:hint="eastAsia" w:ascii="宋体" w:hAnsi="宋体" w:eastAsia="宋体" w:cs="宋体"/>
          <w:b/>
          <w:bCs/>
          <w:color w:val="auto"/>
          <w:sz w:val="24"/>
          <w:highlight w:val="none"/>
        </w:rPr>
        <w:t>投诉</w:t>
      </w:r>
      <w:bookmarkEnd w:id="680"/>
      <w:bookmarkEnd w:id="681"/>
      <w:bookmarkEnd w:id="682"/>
      <w:bookmarkEnd w:id="683"/>
      <w:bookmarkEnd w:id="684"/>
    </w:p>
    <w:p w14:paraId="0FA3ABE6">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B0F0"/>
          <w:sz w:val="24"/>
          <w:highlight w:val="none"/>
        </w:rPr>
      </w:pPr>
      <w:r>
        <w:rPr>
          <w:rFonts w:hint="eastAsia" w:ascii="宋体" w:hAnsi="宋体" w:eastAsia="宋体" w:cs="宋体"/>
          <w:color w:val="auto"/>
          <w:sz w:val="24"/>
          <w:highlight w:val="none"/>
        </w:rPr>
        <w:t>投诉必须首先经过质疑程序。质疑人对采购人、采购代理机构的答复不满意，或者采购人、采购代理机构未在规定的时间内作出答复的，可以在答复期满后十五个工作日内书面向同级财政部门提出投诉（</w:t>
      </w:r>
      <w:r>
        <w:rPr>
          <w:rFonts w:hint="eastAsia" w:ascii="宋体" w:hAnsi="宋体" w:eastAsia="宋体" w:cs="宋体"/>
          <w:color w:val="auto"/>
          <w:sz w:val="24"/>
          <w:highlight w:val="none"/>
          <w:lang w:eastAsia="zh-CN"/>
        </w:rPr>
        <w:t>剑川县</w:t>
      </w:r>
      <w:r>
        <w:rPr>
          <w:rFonts w:hint="eastAsia" w:ascii="宋体" w:hAnsi="宋体" w:eastAsia="宋体" w:cs="宋体"/>
          <w:color w:val="auto"/>
          <w:sz w:val="24"/>
          <w:highlight w:val="none"/>
        </w:rPr>
        <w:t>财政局采购管理股</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电话：</w:t>
      </w:r>
      <w:r>
        <w:rPr>
          <w:rFonts w:hint="eastAsia" w:ascii="宋体" w:hAnsi="宋体" w:eastAsia="宋体" w:cs="宋体"/>
          <w:color w:val="auto"/>
          <w:sz w:val="24"/>
          <w:highlight w:val="none"/>
        </w:rPr>
        <w:t>0872-</w:t>
      </w:r>
      <w:r>
        <w:rPr>
          <w:rFonts w:hint="eastAsia" w:ascii="宋体" w:hAnsi="宋体" w:eastAsia="宋体" w:cs="宋体"/>
          <w:color w:val="auto"/>
          <w:sz w:val="24"/>
          <w:highlight w:val="none"/>
          <w:lang w:val="en-US" w:eastAsia="zh-CN"/>
        </w:rPr>
        <w:t>4521230</w:t>
      </w:r>
      <w:r>
        <w:rPr>
          <w:rFonts w:hint="eastAsia" w:ascii="宋体" w:hAnsi="宋体" w:eastAsia="宋体" w:cs="宋体"/>
          <w:color w:val="auto"/>
          <w:sz w:val="24"/>
          <w:highlight w:val="none"/>
        </w:rPr>
        <w:t>）。</w:t>
      </w:r>
    </w:p>
    <w:p w14:paraId="6A0D90BA">
      <w:pPr>
        <w:numPr>
          <w:ilvl w:val="0"/>
          <w:numId w:val="0"/>
        </w:numPr>
        <w:tabs>
          <w:tab w:val="left" w:pos="360"/>
        </w:tabs>
        <w:snapToGrid w:val="0"/>
        <w:spacing w:line="360" w:lineRule="auto"/>
        <w:ind w:leftChars="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w:t>
      </w:r>
      <w:r>
        <w:rPr>
          <w:rFonts w:hint="eastAsia" w:ascii="宋体" w:hAnsi="宋体" w:eastAsia="宋体" w:cs="宋体"/>
          <w:b/>
          <w:bCs/>
          <w:color w:val="auto"/>
          <w:sz w:val="24"/>
          <w:highlight w:val="none"/>
        </w:rPr>
        <w:t>中标服务费</w:t>
      </w:r>
    </w:p>
    <w:p w14:paraId="4F813A4B">
      <w:pPr>
        <w:numPr>
          <w:ilvl w:val="0"/>
          <w:numId w:val="0"/>
        </w:numPr>
        <w:tabs>
          <w:tab w:val="left" w:pos="1080"/>
          <w:tab w:val="left" w:pos="2014"/>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28.1</w:t>
      </w:r>
      <w:r>
        <w:rPr>
          <w:rFonts w:hint="eastAsia" w:ascii="宋体" w:hAnsi="宋体" w:eastAsia="宋体" w:cs="宋体"/>
          <w:color w:val="auto"/>
          <w:sz w:val="24"/>
          <w:highlight w:val="none"/>
        </w:rPr>
        <w:t>收费对象、收费标准及缴纳时间见《</w:t>
      </w:r>
      <w:r>
        <w:rPr>
          <w:rFonts w:hint="eastAsia" w:ascii="宋体" w:hAnsi="宋体" w:eastAsia="宋体" w:cs="宋体"/>
          <w:color w:val="auto"/>
          <w:sz w:val="24"/>
          <w:highlight w:val="none"/>
          <w:lang w:eastAsia="zh-CN"/>
        </w:rPr>
        <w:t>供应商须知前附表</w:t>
      </w:r>
      <w:r>
        <w:rPr>
          <w:rFonts w:hint="eastAsia" w:ascii="宋体" w:hAnsi="宋体" w:eastAsia="宋体" w:cs="宋体"/>
          <w:color w:val="auto"/>
          <w:sz w:val="24"/>
          <w:highlight w:val="none"/>
        </w:rPr>
        <w:t>》。本项目中标服务费由中标人支付的，中标人须一次性向采购代理机构缴纳中标服务费。</w:t>
      </w:r>
    </w:p>
    <w:p w14:paraId="063991FA">
      <w:pPr>
        <w:numPr>
          <w:ilvl w:val="0"/>
          <w:numId w:val="5"/>
        </w:numPr>
        <w:tabs>
          <w:tab w:val="left" w:pos="900"/>
          <w:tab w:val="left" w:pos="1080"/>
          <w:tab w:val="left" w:pos="1589"/>
        </w:tabs>
        <w:snapToGrid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招标文件内容若低于现行相关规章等国家法律法规、强制规范要求的，按国家法律法规及强制标准执行。</w:t>
      </w:r>
    </w:p>
    <w:p w14:paraId="32C070AB">
      <w:pPr>
        <w:numPr>
          <w:ilvl w:val="0"/>
          <w:numId w:val="5"/>
        </w:numPr>
        <w:tabs>
          <w:tab w:val="left" w:pos="900"/>
          <w:tab w:val="left" w:pos="1080"/>
          <w:tab w:val="left" w:pos="1589"/>
        </w:tabs>
        <w:snapToGrid w:val="0"/>
        <w:spacing w:line="360" w:lineRule="auto"/>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其他需要补充的内容</w:t>
      </w:r>
      <w:r>
        <w:rPr>
          <w:rFonts w:hint="eastAsia" w:ascii="宋体" w:hAnsi="宋体" w:eastAsia="宋体" w:cs="宋体"/>
          <w:b/>
          <w:bCs/>
          <w:color w:val="auto"/>
          <w:sz w:val="24"/>
          <w:highlight w:val="none"/>
          <w:lang w:eastAsia="zh-CN"/>
        </w:rPr>
        <w:t>：</w:t>
      </w:r>
      <w:r>
        <w:rPr>
          <w:rFonts w:hint="eastAsia" w:ascii="宋体" w:hAnsi="宋体" w:eastAsia="宋体" w:cs="宋体"/>
          <w:color w:val="auto"/>
          <w:sz w:val="24"/>
          <w:highlight w:val="none"/>
        </w:rPr>
        <w:t>见</w:t>
      </w:r>
      <w:r>
        <w:rPr>
          <w:rFonts w:hint="eastAsia" w:ascii="宋体" w:hAnsi="宋体" w:eastAsia="宋体" w:cs="宋体"/>
          <w:color w:val="auto"/>
          <w:sz w:val="24"/>
          <w:highlight w:val="none"/>
          <w:lang w:eastAsia="zh-CN"/>
        </w:rPr>
        <w:t>供应商须知前附表。</w:t>
      </w:r>
    </w:p>
    <w:p w14:paraId="19B59517">
      <w:pPr>
        <w:tabs>
          <w:tab w:val="left" w:pos="900"/>
          <w:tab w:val="left" w:pos="1080"/>
          <w:tab w:val="left" w:pos="1589"/>
        </w:tabs>
        <w:snapToGrid w:val="0"/>
        <w:spacing w:line="360" w:lineRule="auto"/>
        <w:rPr>
          <w:rFonts w:hint="eastAsia" w:ascii="宋体" w:hAnsi="宋体" w:eastAsia="宋体" w:cs="宋体"/>
          <w:color w:val="auto"/>
          <w:sz w:val="24"/>
          <w:highlight w:val="none"/>
        </w:rPr>
      </w:pPr>
    </w:p>
    <w:p w14:paraId="23EF57D6">
      <w:pPr>
        <w:numPr>
          <w:ilvl w:val="0"/>
          <w:numId w:val="1"/>
        </w:numPr>
        <w:spacing w:line="360" w:lineRule="auto"/>
        <w:jc w:val="center"/>
        <w:outlineLvl w:val="0"/>
        <w:rPr>
          <w:rFonts w:hint="eastAsia" w:ascii="宋体" w:hAnsi="宋体" w:eastAsia="宋体" w:cs="宋体"/>
          <w:b/>
          <w:color w:val="auto"/>
          <w:sz w:val="36"/>
          <w:szCs w:val="36"/>
          <w:highlight w:val="none"/>
        </w:rPr>
      </w:pPr>
      <w:bookmarkStart w:id="685" w:name="_Toc305158822"/>
      <w:bookmarkStart w:id="686" w:name="_Toc264969244"/>
      <w:bookmarkStart w:id="687" w:name="_Toc353873934"/>
      <w:bookmarkStart w:id="688" w:name="_Toc150480792"/>
      <w:bookmarkStart w:id="689" w:name="_Toc127151554"/>
      <w:bookmarkStart w:id="690" w:name="_Toc226965827"/>
      <w:bookmarkStart w:id="691" w:name="_Toc265228392"/>
      <w:bookmarkStart w:id="692" w:name="_Toc353825544"/>
      <w:bookmarkStart w:id="693" w:name="_Toc353873664"/>
      <w:bookmarkStart w:id="694" w:name="_Toc150774759"/>
      <w:bookmarkStart w:id="695" w:name="_Toc305158896"/>
      <w:bookmarkStart w:id="696" w:name="_Toc226337250"/>
      <w:bookmarkStart w:id="697" w:name="_Toc142311056"/>
      <w:bookmarkStart w:id="698" w:name="_Toc31161"/>
      <w:r>
        <w:rPr>
          <w:rFonts w:hint="eastAsia" w:ascii="宋体" w:hAnsi="宋体" w:eastAsia="宋体" w:cs="宋体"/>
          <w:b/>
          <w:color w:val="auto"/>
          <w:sz w:val="36"/>
          <w:szCs w:val="36"/>
          <w:highlight w:val="none"/>
        </w:rPr>
        <w:t xml:space="preserve">  </w:t>
      </w:r>
      <w:bookmarkEnd w:id="685"/>
      <w:bookmarkEnd w:id="686"/>
      <w:bookmarkEnd w:id="687"/>
      <w:bookmarkEnd w:id="688"/>
      <w:bookmarkEnd w:id="689"/>
      <w:bookmarkEnd w:id="690"/>
      <w:bookmarkEnd w:id="691"/>
      <w:bookmarkEnd w:id="692"/>
      <w:bookmarkEnd w:id="693"/>
      <w:bookmarkEnd w:id="694"/>
      <w:bookmarkEnd w:id="695"/>
      <w:bookmarkEnd w:id="696"/>
      <w:bookmarkEnd w:id="697"/>
      <w:bookmarkStart w:id="699" w:name="_Toc24973"/>
      <w:r>
        <w:rPr>
          <w:rFonts w:hint="eastAsia" w:ascii="宋体" w:hAnsi="宋体" w:eastAsia="宋体" w:cs="宋体"/>
          <w:b/>
          <w:color w:val="auto"/>
          <w:sz w:val="36"/>
          <w:szCs w:val="36"/>
          <w:highlight w:val="none"/>
        </w:rPr>
        <w:t>资格审查</w:t>
      </w:r>
      <w:bookmarkEnd w:id="698"/>
      <w:bookmarkEnd w:id="699"/>
      <w:bookmarkStart w:id="700" w:name="_Toc487900382"/>
    </w:p>
    <w:p w14:paraId="5900281C">
      <w:pPr>
        <w:tabs>
          <w:tab w:val="left" w:pos="360"/>
          <w:tab w:val="left" w:pos="900"/>
        </w:tabs>
        <w:snapToGrid w:val="0"/>
        <w:spacing w:line="360" w:lineRule="auto"/>
        <w:jc w:val="center"/>
        <w:outlineLvl w:val="1"/>
        <w:rPr>
          <w:rFonts w:hint="eastAsia" w:ascii="宋体" w:hAnsi="宋体" w:eastAsia="宋体" w:cs="宋体"/>
          <w:b/>
          <w:color w:val="auto"/>
          <w:sz w:val="24"/>
          <w:highlight w:val="none"/>
        </w:rPr>
      </w:pPr>
      <w:bookmarkStart w:id="701" w:name="_Toc99301422"/>
      <w:bookmarkStart w:id="702" w:name="_Toc21822"/>
      <w:r>
        <w:rPr>
          <w:rFonts w:hint="eastAsia" w:ascii="宋体" w:hAnsi="宋体" w:eastAsia="宋体" w:cs="宋体"/>
          <w:b/>
          <w:color w:val="auto"/>
          <w:sz w:val="24"/>
          <w:highlight w:val="none"/>
        </w:rPr>
        <w:t>一、资格审查程序</w:t>
      </w:r>
      <w:bookmarkEnd w:id="701"/>
      <w:bookmarkEnd w:id="702"/>
    </w:p>
    <w:p w14:paraId="757CE206">
      <w:pPr>
        <w:numPr>
          <w:ilvl w:val="0"/>
          <w:numId w:val="6"/>
        </w:numPr>
        <w:tabs>
          <w:tab w:val="left" w:pos="426"/>
          <w:tab w:val="left" w:pos="851"/>
          <w:tab w:val="clear" w:pos="900"/>
        </w:tabs>
        <w:snapToGrid w:val="0"/>
        <w:spacing w:line="360" w:lineRule="auto"/>
        <w:ind w:left="426" w:hanging="426"/>
        <w:rPr>
          <w:rFonts w:hint="eastAsia" w:ascii="宋体" w:hAnsi="宋体" w:eastAsia="宋体" w:cs="宋体"/>
          <w:color w:val="auto"/>
          <w:sz w:val="24"/>
          <w:highlight w:val="none"/>
        </w:rPr>
      </w:pPr>
      <w:r>
        <w:rPr>
          <w:rFonts w:hint="eastAsia" w:ascii="宋体" w:hAnsi="宋体" w:eastAsia="宋体" w:cs="宋体"/>
          <w:color w:val="auto"/>
          <w:sz w:val="24"/>
          <w:highlight w:val="none"/>
        </w:rPr>
        <w:t>开标结束后，采购人或采购代理机构将根据《资格审查要求》中的规定，对供应商进行资格审查，并形成资格审查结果。</w:t>
      </w:r>
    </w:p>
    <w:p w14:paraId="2801120A">
      <w:pPr>
        <w:numPr>
          <w:ilvl w:val="0"/>
          <w:numId w:val="6"/>
        </w:numPr>
        <w:tabs>
          <w:tab w:val="left" w:pos="426"/>
          <w:tab w:val="left" w:pos="851"/>
          <w:tab w:val="clear" w:pos="900"/>
        </w:tabs>
        <w:snapToGrid w:val="0"/>
        <w:spacing w:line="360" w:lineRule="auto"/>
        <w:ind w:left="426" w:hanging="426"/>
        <w:rPr>
          <w:rFonts w:hint="eastAsia" w:ascii="宋体" w:hAnsi="宋体" w:eastAsia="宋体" w:cs="宋体"/>
          <w:color w:val="auto"/>
          <w:sz w:val="24"/>
          <w:highlight w:val="none"/>
        </w:rPr>
      </w:pPr>
      <w:r>
        <w:rPr>
          <w:rFonts w:hint="eastAsia" w:ascii="宋体" w:hAnsi="宋体" w:eastAsia="宋体" w:cs="宋体"/>
          <w:color w:val="auto"/>
          <w:sz w:val="24"/>
          <w:highlight w:val="none"/>
        </w:rPr>
        <w:t>《资格审查要求》中除招标文件另有规定外，均为实质性</w:t>
      </w:r>
      <w:r>
        <w:rPr>
          <w:rFonts w:hint="eastAsia" w:ascii="宋体" w:hAnsi="宋体" w:eastAsia="宋体" w:cs="宋体"/>
          <w:color w:val="auto"/>
          <w:sz w:val="24"/>
          <w:highlight w:val="none"/>
          <w:lang w:val="en-US" w:eastAsia="zh-CN"/>
        </w:rPr>
        <w:t>要求</w:t>
      </w:r>
      <w:r>
        <w:rPr>
          <w:rFonts w:hint="eastAsia" w:ascii="宋体" w:hAnsi="宋体" w:eastAsia="宋体" w:cs="宋体"/>
          <w:color w:val="auto"/>
          <w:sz w:val="24"/>
          <w:highlight w:val="none"/>
        </w:rPr>
        <w:t>。</w:t>
      </w:r>
    </w:p>
    <w:p w14:paraId="382606AF">
      <w:pPr>
        <w:numPr>
          <w:ilvl w:val="0"/>
          <w:numId w:val="6"/>
        </w:numPr>
        <w:tabs>
          <w:tab w:val="left" w:pos="426"/>
          <w:tab w:val="left" w:pos="851"/>
          <w:tab w:val="clear" w:pos="900"/>
        </w:tabs>
        <w:snapToGrid w:val="0"/>
        <w:spacing w:line="360" w:lineRule="auto"/>
        <w:ind w:left="426" w:hanging="426"/>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供应商《资格证明文件》有任何一项不符合《资格审查要求》的，资格审查不合格，其</w:t>
      </w:r>
      <w:r>
        <w:rPr>
          <w:rFonts w:hint="eastAsia" w:ascii="宋体" w:hAnsi="宋体" w:eastAsia="宋体" w:cs="宋体"/>
          <w:b/>
          <w:color w:val="auto"/>
          <w:sz w:val="24"/>
          <w:highlight w:val="none"/>
        </w:rPr>
        <w:t>投标无效</w:t>
      </w:r>
      <w:r>
        <w:rPr>
          <w:rFonts w:hint="eastAsia" w:ascii="宋体" w:hAnsi="宋体" w:eastAsia="宋体" w:cs="宋体"/>
          <w:color w:val="auto"/>
          <w:sz w:val="24"/>
          <w:highlight w:val="none"/>
        </w:rPr>
        <w:t>。</w:t>
      </w:r>
    </w:p>
    <w:p w14:paraId="4CC38A03">
      <w:pPr>
        <w:numPr>
          <w:ilvl w:val="0"/>
          <w:numId w:val="6"/>
        </w:numPr>
        <w:tabs>
          <w:tab w:val="left" w:pos="426"/>
          <w:tab w:val="left" w:pos="851"/>
          <w:tab w:val="clear" w:pos="900"/>
        </w:tabs>
        <w:snapToGrid w:val="0"/>
        <w:spacing w:line="360" w:lineRule="auto"/>
        <w:ind w:left="426" w:hanging="426"/>
        <w:rPr>
          <w:rFonts w:hint="eastAsia" w:ascii="宋体" w:hAnsi="宋体" w:eastAsia="宋体" w:cs="宋体"/>
          <w:color w:val="auto"/>
          <w:sz w:val="24"/>
          <w:highlight w:val="none"/>
        </w:rPr>
      </w:pPr>
      <w:r>
        <w:rPr>
          <w:rFonts w:hint="eastAsia" w:ascii="宋体" w:hAnsi="宋体" w:eastAsia="宋体" w:cs="宋体"/>
          <w:color w:val="auto"/>
          <w:sz w:val="24"/>
          <w:highlight w:val="none"/>
        </w:rPr>
        <w:t>资格审查合格的供应商不足3家的，不进行评标。</w:t>
      </w:r>
    </w:p>
    <w:p w14:paraId="7B08F303">
      <w:pPr>
        <w:numPr>
          <w:ilvl w:val="0"/>
          <w:numId w:val="7"/>
        </w:numPr>
        <w:tabs>
          <w:tab w:val="left" w:pos="360"/>
          <w:tab w:val="left" w:pos="900"/>
        </w:tabs>
        <w:snapToGrid w:val="0"/>
        <w:spacing w:line="360" w:lineRule="auto"/>
        <w:jc w:val="center"/>
        <w:outlineLvl w:val="1"/>
        <w:rPr>
          <w:rFonts w:hint="eastAsia" w:ascii="宋体" w:hAnsi="宋体" w:eastAsia="宋体" w:cs="宋体"/>
          <w:b/>
          <w:color w:val="auto"/>
          <w:sz w:val="24"/>
          <w:highlight w:val="none"/>
        </w:rPr>
      </w:pPr>
      <w:bookmarkStart w:id="703" w:name="_Toc4699"/>
      <w:r>
        <w:rPr>
          <w:rFonts w:hint="eastAsia" w:ascii="宋体" w:hAnsi="宋体" w:eastAsia="宋体" w:cs="宋体"/>
          <w:b/>
          <w:color w:val="auto"/>
          <w:sz w:val="24"/>
          <w:highlight w:val="none"/>
        </w:rPr>
        <w:t>资格审查要求</w:t>
      </w:r>
      <w:bookmarkEnd w:id="703"/>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1"/>
        <w:gridCol w:w="624"/>
        <w:gridCol w:w="8422"/>
      </w:tblGrid>
      <w:tr w14:paraId="6A248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581" w:type="dxa"/>
            <w:vMerge w:val="restart"/>
            <w:noWrap/>
            <w:vAlign w:val="center"/>
          </w:tcPr>
          <w:p w14:paraId="794A0C79">
            <w:pPr>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t>资格评审标准</w:t>
            </w:r>
          </w:p>
        </w:tc>
        <w:tc>
          <w:tcPr>
            <w:tcW w:w="9046" w:type="dxa"/>
            <w:gridSpan w:val="2"/>
            <w:noWrap/>
            <w:vAlign w:val="center"/>
          </w:tcPr>
          <w:p w14:paraId="6A988561">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 审 内 容 及 标 准</w:t>
            </w:r>
          </w:p>
        </w:tc>
      </w:tr>
      <w:tr w14:paraId="1CCBF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581" w:type="dxa"/>
            <w:vMerge w:val="continue"/>
            <w:noWrap/>
            <w:vAlign w:val="center"/>
          </w:tcPr>
          <w:p w14:paraId="414FFA6F">
            <w:pPr>
              <w:jc w:val="center"/>
              <w:rPr>
                <w:rFonts w:hint="eastAsia" w:ascii="宋体" w:hAnsi="宋体" w:eastAsia="宋体" w:cs="宋体"/>
                <w:b/>
                <w:color w:val="auto"/>
                <w:sz w:val="24"/>
                <w:highlight w:val="none"/>
              </w:rPr>
            </w:pPr>
          </w:p>
        </w:tc>
        <w:tc>
          <w:tcPr>
            <w:tcW w:w="624" w:type="dxa"/>
            <w:noWrap/>
            <w:vAlign w:val="center"/>
          </w:tcPr>
          <w:p w14:paraId="3E7DE657">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w:t>
            </w:r>
          </w:p>
        </w:tc>
        <w:tc>
          <w:tcPr>
            <w:tcW w:w="8422" w:type="dxa"/>
            <w:noWrap/>
            <w:vAlign w:val="center"/>
          </w:tcPr>
          <w:p w14:paraId="3FFAE54D">
            <w:pPr>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供应商应具备《中华人民共和国政府采购法》第二十二条规定的条件，并提供下列材料：</w:t>
            </w:r>
          </w:p>
        </w:tc>
      </w:tr>
      <w:tr w14:paraId="429C0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581" w:type="dxa"/>
            <w:vMerge w:val="continue"/>
            <w:noWrap/>
            <w:vAlign w:val="center"/>
          </w:tcPr>
          <w:p w14:paraId="69043125">
            <w:pPr>
              <w:jc w:val="center"/>
              <w:rPr>
                <w:rFonts w:hint="eastAsia" w:ascii="宋体" w:hAnsi="宋体" w:eastAsia="宋体" w:cs="宋体"/>
                <w:color w:val="auto"/>
                <w:sz w:val="24"/>
                <w:highlight w:val="none"/>
              </w:rPr>
            </w:pPr>
          </w:p>
        </w:tc>
        <w:tc>
          <w:tcPr>
            <w:tcW w:w="624" w:type="dxa"/>
            <w:noWrap/>
            <w:vAlign w:val="center"/>
          </w:tcPr>
          <w:p w14:paraId="7EAFEFF9">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1.1</w:t>
            </w:r>
          </w:p>
        </w:tc>
        <w:tc>
          <w:tcPr>
            <w:tcW w:w="8422" w:type="dxa"/>
            <w:noWrap/>
            <w:vAlign w:val="center"/>
          </w:tcPr>
          <w:p w14:paraId="019ED9BF">
            <w:pPr>
              <w:jc w:val="left"/>
              <w:rPr>
                <w:rFonts w:hint="eastAsia" w:ascii="宋体" w:hAnsi="宋体" w:eastAsia="宋体" w:cs="宋体"/>
                <w:bCs/>
                <w:color w:val="auto"/>
                <w:sz w:val="24"/>
                <w:highlight w:val="none"/>
              </w:rPr>
            </w:pPr>
            <w:r>
              <w:rPr>
                <w:rFonts w:hint="eastAsia" w:ascii="宋体" w:hAnsi="宋体" w:eastAsia="宋体" w:cs="宋体"/>
                <w:color w:val="auto"/>
                <w:sz w:val="24"/>
                <w:highlight w:val="none"/>
              </w:rPr>
              <w:t>供应商必须是具有独立承担民事责任能力的法人或其他组织，自然人的身份证明；①提供营业执照、税务登记证、组织机构代码证或三证合一营业执照，②或法人登记证书副本或其他具备独立承担民事责任能力的证明材料，③自然人身份参与投标的，需提供有效身份证（扫描件加盖电子签章）。</w:t>
            </w:r>
            <w:r>
              <w:rPr>
                <w:rFonts w:hint="eastAsia" w:ascii="宋体" w:hAnsi="宋体" w:eastAsia="宋体" w:cs="宋体"/>
                <w:b/>
                <w:bCs/>
                <w:color w:val="auto"/>
                <w:sz w:val="24"/>
                <w:highlight w:val="none"/>
              </w:rPr>
              <w:t>注：供应商可根据自身情况提供上述任意一种证明材料。</w:t>
            </w:r>
          </w:p>
        </w:tc>
      </w:tr>
      <w:tr w14:paraId="71B21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581" w:type="dxa"/>
            <w:vMerge w:val="continue"/>
            <w:noWrap/>
            <w:vAlign w:val="center"/>
          </w:tcPr>
          <w:p w14:paraId="721936D8">
            <w:pPr>
              <w:jc w:val="center"/>
              <w:rPr>
                <w:rFonts w:hint="eastAsia" w:ascii="宋体" w:hAnsi="宋体" w:eastAsia="宋体" w:cs="宋体"/>
                <w:color w:val="auto"/>
                <w:sz w:val="24"/>
                <w:highlight w:val="none"/>
              </w:rPr>
            </w:pPr>
          </w:p>
        </w:tc>
        <w:tc>
          <w:tcPr>
            <w:tcW w:w="624" w:type="dxa"/>
            <w:noWrap/>
            <w:vAlign w:val="center"/>
          </w:tcPr>
          <w:p w14:paraId="7634E906">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1.2</w:t>
            </w:r>
          </w:p>
        </w:tc>
        <w:tc>
          <w:tcPr>
            <w:tcW w:w="8422" w:type="dxa"/>
            <w:noWrap/>
            <w:vAlign w:val="center"/>
          </w:tcPr>
          <w:p w14:paraId="7407B2F0">
            <w:pPr>
              <w:jc w:val="left"/>
              <w:rPr>
                <w:rFonts w:hint="eastAsia" w:ascii="宋体" w:hAnsi="宋体" w:eastAsia="宋体" w:cs="宋体"/>
                <w:bCs/>
                <w:color w:val="auto"/>
                <w:sz w:val="24"/>
                <w:highlight w:val="none"/>
              </w:rPr>
            </w:pPr>
            <w:r>
              <w:rPr>
                <w:rFonts w:hint="eastAsia" w:ascii="宋体" w:hAnsi="宋体" w:eastAsia="宋体" w:cs="宋体"/>
                <w:color w:val="auto"/>
                <w:sz w:val="24"/>
                <w:highlight w:val="none"/>
              </w:rPr>
              <w:t>供应商具有良好的商业信誉和健全的财务会计制度：①提供近年（指20</w:t>
            </w:r>
            <w:r>
              <w:rPr>
                <w:rFonts w:hint="eastAsia" w:ascii="宋体" w:hAnsi="宋体" w:eastAsia="宋体" w:cs="宋体"/>
                <w:color w:val="auto"/>
                <w:sz w:val="24"/>
                <w:highlight w:val="none"/>
                <w:lang w:val="en-US" w:eastAsia="zh-CN"/>
              </w:rPr>
              <w:t>23</w:t>
            </w:r>
            <w:r>
              <w:rPr>
                <w:rFonts w:hint="eastAsia" w:ascii="宋体" w:hAnsi="宋体" w:eastAsia="宋体" w:cs="宋体"/>
                <w:color w:val="auto"/>
                <w:sz w:val="24"/>
                <w:highlight w:val="none"/>
              </w:rPr>
              <w:t>年至今任意一年）的财务报表</w:t>
            </w:r>
            <w:r>
              <w:rPr>
                <w:rFonts w:hint="eastAsia" w:ascii="宋体" w:hAnsi="宋体" w:eastAsia="宋体" w:cs="宋体"/>
                <w:b/>
                <w:bCs/>
                <w:color w:val="auto"/>
                <w:sz w:val="24"/>
                <w:highlight w:val="none"/>
              </w:rPr>
              <w:t>或</w:t>
            </w:r>
            <w:r>
              <w:rPr>
                <w:rFonts w:hint="eastAsia" w:ascii="宋体" w:hAnsi="宋体" w:eastAsia="宋体" w:cs="宋体"/>
                <w:color w:val="auto"/>
                <w:sz w:val="24"/>
                <w:highlight w:val="none"/>
              </w:rPr>
              <w:t>经会计师事务所（审计机构）审计的财务会计报告；②</w:t>
            </w:r>
            <w:r>
              <w:rPr>
                <w:rFonts w:hint="eastAsia" w:ascii="宋体" w:hAnsi="宋体" w:eastAsia="宋体" w:cs="宋体"/>
                <w:b/>
                <w:bCs/>
                <w:color w:val="auto"/>
                <w:sz w:val="24"/>
                <w:highlight w:val="none"/>
              </w:rPr>
              <w:t>或</w:t>
            </w:r>
            <w:r>
              <w:rPr>
                <w:rFonts w:hint="eastAsia" w:ascii="宋体" w:hAnsi="宋体" w:eastAsia="宋体" w:cs="宋体"/>
                <w:color w:val="auto"/>
                <w:sz w:val="24"/>
                <w:highlight w:val="none"/>
              </w:rPr>
              <w:t>可提供自投标文件提交截止时间前三个月内开户银行出具的资信证明</w:t>
            </w:r>
            <w:r>
              <w:rPr>
                <w:rFonts w:hint="eastAsia" w:ascii="宋体" w:hAnsi="宋体" w:eastAsia="宋体" w:cs="宋体"/>
                <w:b/>
                <w:bCs/>
                <w:color w:val="auto"/>
                <w:sz w:val="24"/>
                <w:highlight w:val="none"/>
              </w:rPr>
              <w:t>或</w:t>
            </w:r>
            <w:r>
              <w:rPr>
                <w:rFonts w:hint="eastAsia" w:ascii="宋体" w:hAnsi="宋体" w:eastAsia="宋体" w:cs="宋体"/>
                <w:color w:val="auto"/>
                <w:sz w:val="24"/>
                <w:highlight w:val="none"/>
              </w:rPr>
              <w:t>资金存款证明；③新成立的企业提供成立至今的财务报表（扫描件加盖电子签章）；④</w:t>
            </w:r>
            <w:r>
              <w:rPr>
                <w:rFonts w:hint="eastAsia" w:ascii="宋体" w:hAnsi="宋体" w:eastAsia="宋体" w:cs="宋体"/>
                <w:b/>
                <w:bCs/>
                <w:color w:val="auto"/>
                <w:sz w:val="24"/>
                <w:highlight w:val="none"/>
              </w:rPr>
              <w:t>或</w:t>
            </w:r>
            <w:r>
              <w:rPr>
                <w:rFonts w:hint="eastAsia" w:ascii="宋体" w:hAnsi="宋体" w:eastAsia="宋体" w:cs="宋体"/>
                <w:color w:val="auto"/>
                <w:sz w:val="24"/>
                <w:highlight w:val="none"/>
              </w:rPr>
              <w:t>提供具有良好的商业信誉和健全的财务会计制度的承诺函。</w:t>
            </w:r>
            <w:r>
              <w:rPr>
                <w:rFonts w:hint="eastAsia" w:ascii="宋体" w:hAnsi="宋体" w:eastAsia="宋体" w:cs="宋体"/>
                <w:b/>
                <w:bCs/>
                <w:color w:val="auto"/>
                <w:sz w:val="24"/>
                <w:highlight w:val="none"/>
              </w:rPr>
              <w:t>注：供应商可根据自身情况提供上述任意一种证明材料。</w:t>
            </w:r>
          </w:p>
        </w:tc>
      </w:tr>
      <w:tr w14:paraId="199DE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1" w:hRule="atLeast"/>
          <w:jc w:val="center"/>
        </w:trPr>
        <w:tc>
          <w:tcPr>
            <w:tcW w:w="581" w:type="dxa"/>
            <w:vMerge w:val="continue"/>
            <w:noWrap/>
            <w:vAlign w:val="center"/>
          </w:tcPr>
          <w:p w14:paraId="6DEE85F6">
            <w:pPr>
              <w:rPr>
                <w:rFonts w:hint="eastAsia" w:ascii="宋体" w:hAnsi="宋体" w:eastAsia="宋体" w:cs="宋体"/>
                <w:color w:val="auto"/>
                <w:sz w:val="24"/>
                <w:highlight w:val="none"/>
              </w:rPr>
            </w:pPr>
          </w:p>
        </w:tc>
        <w:tc>
          <w:tcPr>
            <w:tcW w:w="624" w:type="dxa"/>
            <w:noWrap/>
            <w:vAlign w:val="center"/>
          </w:tcPr>
          <w:p w14:paraId="5F1695C7">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1.3</w:t>
            </w:r>
          </w:p>
        </w:tc>
        <w:tc>
          <w:tcPr>
            <w:tcW w:w="8422" w:type="dxa"/>
            <w:noWrap/>
            <w:vAlign w:val="center"/>
          </w:tcPr>
          <w:p w14:paraId="64A601A3">
            <w:pPr>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供应商须提供缴税所属时间在20</w:t>
            </w:r>
            <w:r>
              <w:rPr>
                <w:rFonts w:hint="eastAsia" w:ascii="宋体" w:hAnsi="宋体" w:eastAsia="宋体" w:cs="宋体"/>
                <w:bCs/>
                <w:color w:val="auto"/>
                <w:sz w:val="24"/>
                <w:highlight w:val="none"/>
                <w:lang w:val="en-US" w:eastAsia="zh-CN"/>
              </w:rPr>
              <w:t>25</w:t>
            </w: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月至本项目投标文件提交截止时间前任意</w:t>
            </w: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个月的税务局税收通用缴款书或银行电子缴税（费）凭证或税务局出具纳税情况的相关证明，依法免税的，应提供依法免税的相关证明文件（扫描件加盖电子签章）；（若新成立的公司，成立未满6个月的提供成立以来的相关证明材料，成立不足3个月的企业无需提供以上材料）；</w:t>
            </w:r>
          </w:p>
        </w:tc>
      </w:tr>
      <w:tr w14:paraId="3DCEF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0" w:hRule="atLeast"/>
          <w:jc w:val="center"/>
        </w:trPr>
        <w:tc>
          <w:tcPr>
            <w:tcW w:w="581" w:type="dxa"/>
            <w:vMerge w:val="continue"/>
            <w:noWrap/>
            <w:vAlign w:val="center"/>
          </w:tcPr>
          <w:p w14:paraId="3B5E00DA">
            <w:pPr>
              <w:rPr>
                <w:rFonts w:hint="eastAsia" w:ascii="宋体" w:hAnsi="宋体" w:eastAsia="宋体" w:cs="宋体"/>
                <w:color w:val="auto"/>
                <w:sz w:val="24"/>
                <w:highlight w:val="none"/>
              </w:rPr>
            </w:pPr>
          </w:p>
        </w:tc>
        <w:tc>
          <w:tcPr>
            <w:tcW w:w="624" w:type="dxa"/>
            <w:noWrap/>
            <w:vAlign w:val="center"/>
          </w:tcPr>
          <w:p w14:paraId="6D39C902">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1.4</w:t>
            </w:r>
          </w:p>
        </w:tc>
        <w:tc>
          <w:tcPr>
            <w:tcW w:w="8422" w:type="dxa"/>
            <w:noWrap/>
            <w:vAlign w:val="center"/>
          </w:tcPr>
          <w:p w14:paraId="0A63AA3E">
            <w:pPr>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供应商须提供缴费所属时间在20</w:t>
            </w:r>
            <w:r>
              <w:rPr>
                <w:rFonts w:hint="eastAsia" w:ascii="宋体" w:hAnsi="宋体" w:eastAsia="宋体" w:cs="宋体"/>
                <w:bCs/>
                <w:color w:val="auto"/>
                <w:sz w:val="24"/>
                <w:highlight w:val="none"/>
                <w:lang w:val="en-US" w:eastAsia="zh-CN"/>
              </w:rPr>
              <w:t>25</w:t>
            </w: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月至本项目投标文件提交截止时间前任意</w:t>
            </w: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个月的社会保险费缴款书或银行电子缴税（费）凭证或社保管理部门出具的有效的缴款证明，依法免缴的，应提供依法免缴的相关证明文件（扫描件加盖电子签章）；（若新成立的公司，成立未满6个月的提供成立以来的相关证明材料，成立不足3个月的企业无需提供以上材料）；</w:t>
            </w:r>
          </w:p>
        </w:tc>
      </w:tr>
      <w:tr w14:paraId="7C890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581" w:type="dxa"/>
            <w:vMerge w:val="continue"/>
            <w:noWrap/>
            <w:vAlign w:val="center"/>
          </w:tcPr>
          <w:p w14:paraId="0167969C">
            <w:pPr>
              <w:rPr>
                <w:rFonts w:hint="eastAsia" w:ascii="宋体" w:hAnsi="宋体" w:eastAsia="宋体" w:cs="宋体"/>
                <w:color w:val="auto"/>
                <w:sz w:val="24"/>
                <w:highlight w:val="none"/>
              </w:rPr>
            </w:pPr>
          </w:p>
        </w:tc>
        <w:tc>
          <w:tcPr>
            <w:tcW w:w="624" w:type="dxa"/>
            <w:noWrap/>
            <w:vAlign w:val="center"/>
          </w:tcPr>
          <w:p w14:paraId="29F8F721">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1.5</w:t>
            </w:r>
          </w:p>
        </w:tc>
        <w:tc>
          <w:tcPr>
            <w:tcW w:w="8422" w:type="dxa"/>
            <w:noWrap/>
            <w:vAlign w:val="center"/>
          </w:tcPr>
          <w:p w14:paraId="061B912D">
            <w:pPr>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供应商必须提供参加政府采购活动前</w:t>
            </w:r>
            <w:r>
              <w:rPr>
                <w:rFonts w:hint="eastAsia" w:ascii="宋体" w:hAnsi="宋体" w:cs="宋体"/>
                <w:bCs/>
                <w:color w:val="auto"/>
                <w:sz w:val="24"/>
                <w:highlight w:val="none"/>
                <w:lang w:val="en-US" w:eastAsia="zh-CN"/>
              </w:rPr>
              <w:t>三</w:t>
            </w:r>
            <w:r>
              <w:rPr>
                <w:rFonts w:hint="eastAsia" w:ascii="宋体" w:hAnsi="宋体" w:eastAsia="宋体" w:cs="宋体"/>
                <w:bCs/>
                <w:color w:val="auto"/>
                <w:sz w:val="24"/>
                <w:highlight w:val="none"/>
              </w:rPr>
              <w:t>年内在经营活动中没有重大违法记录的书面声明（重大违法记录，是指供应商因违法经营受到刑事处罚或者责令停产停业、吊销许可证或者执照、较大数额罚款等行政处罚）。</w:t>
            </w:r>
          </w:p>
        </w:tc>
      </w:tr>
      <w:tr w14:paraId="15F04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581" w:type="dxa"/>
            <w:vMerge w:val="continue"/>
            <w:noWrap/>
            <w:vAlign w:val="center"/>
          </w:tcPr>
          <w:p w14:paraId="6A22A514">
            <w:pPr>
              <w:rPr>
                <w:rFonts w:hint="eastAsia" w:ascii="宋体" w:hAnsi="宋体" w:eastAsia="宋体" w:cs="宋体"/>
                <w:color w:val="auto"/>
                <w:sz w:val="24"/>
                <w:highlight w:val="none"/>
              </w:rPr>
            </w:pPr>
          </w:p>
        </w:tc>
        <w:tc>
          <w:tcPr>
            <w:tcW w:w="624" w:type="dxa"/>
            <w:noWrap/>
            <w:vAlign w:val="center"/>
          </w:tcPr>
          <w:p w14:paraId="0EE19FD4">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1.6</w:t>
            </w:r>
          </w:p>
        </w:tc>
        <w:tc>
          <w:tcPr>
            <w:tcW w:w="8422" w:type="dxa"/>
            <w:noWrap/>
            <w:vAlign w:val="center"/>
          </w:tcPr>
          <w:p w14:paraId="25618141">
            <w:pPr>
              <w:jc w:val="both"/>
              <w:rPr>
                <w:rFonts w:hint="eastAsia" w:ascii="宋体" w:hAnsi="宋体" w:eastAsia="宋体" w:cs="宋体"/>
                <w:color w:val="auto"/>
                <w:sz w:val="24"/>
                <w:highlight w:val="none"/>
                <w:lang w:eastAsia="zh-CN"/>
              </w:rPr>
            </w:pPr>
            <w:r>
              <w:rPr>
                <w:rFonts w:hint="eastAsia" w:ascii="宋体" w:hAnsi="宋体" w:eastAsia="宋体" w:cs="宋体"/>
                <w:bCs/>
                <w:color w:val="auto"/>
                <w:sz w:val="24"/>
                <w:highlight w:val="none"/>
              </w:rPr>
              <w:t>供应商具有履行合同所必需的设备和专业技术能力</w:t>
            </w:r>
            <w:r>
              <w:rPr>
                <w:rFonts w:hint="eastAsia" w:ascii="宋体" w:hAnsi="宋体" w:eastAsia="宋体" w:cs="宋体"/>
                <w:bCs/>
                <w:color w:val="auto"/>
                <w:sz w:val="24"/>
                <w:highlight w:val="none"/>
                <w:lang w:eastAsia="zh-CN"/>
              </w:rPr>
              <w:t>。</w:t>
            </w:r>
          </w:p>
        </w:tc>
      </w:tr>
      <w:tr w14:paraId="3987D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581" w:type="dxa"/>
            <w:vMerge w:val="continue"/>
            <w:noWrap/>
            <w:vAlign w:val="center"/>
          </w:tcPr>
          <w:p w14:paraId="446951B1">
            <w:pPr>
              <w:rPr>
                <w:rFonts w:hint="eastAsia" w:ascii="宋体" w:hAnsi="宋体" w:eastAsia="宋体" w:cs="宋体"/>
                <w:color w:val="auto"/>
                <w:sz w:val="24"/>
                <w:highlight w:val="none"/>
              </w:rPr>
            </w:pPr>
          </w:p>
        </w:tc>
        <w:tc>
          <w:tcPr>
            <w:tcW w:w="624" w:type="dxa"/>
            <w:noWrap/>
            <w:vAlign w:val="center"/>
          </w:tcPr>
          <w:p w14:paraId="5930897E">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w:t>
            </w:r>
          </w:p>
        </w:tc>
        <w:tc>
          <w:tcPr>
            <w:tcW w:w="8422" w:type="dxa"/>
            <w:noWrap/>
            <w:vAlign w:val="center"/>
          </w:tcPr>
          <w:p w14:paraId="400402F0">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落实政府采购政策的要求：</w:t>
            </w:r>
            <w:r>
              <w:rPr>
                <w:rFonts w:hint="eastAsia" w:ascii="宋体" w:hAnsi="宋体" w:eastAsia="宋体" w:cs="宋体"/>
                <w:b w:val="0"/>
                <w:bCs w:val="0"/>
                <w:color w:val="auto"/>
                <w:sz w:val="24"/>
                <w:highlight w:val="none"/>
                <w:lang w:eastAsia="zh-CN"/>
              </w:rPr>
              <w:t>本项目为非专门面向中小</w:t>
            </w:r>
            <w:r>
              <w:rPr>
                <w:rFonts w:hint="eastAsia" w:ascii="宋体" w:hAnsi="宋体" w:eastAsia="宋体" w:cs="宋体"/>
                <w:b w:val="0"/>
                <w:bCs w:val="0"/>
                <w:color w:val="auto"/>
                <w:sz w:val="24"/>
                <w:highlight w:val="none"/>
                <w:lang w:val="en-US" w:eastAsia="zh-CN"/>
              </w:rPr>
              <w:t>微</w:t>
            </w:r>
            <w:r>
              <w:rPr>
                <w:rFonts w:hint="eastAsia" w:ascii="宋体" w:hAnsi="宋体" w:eastAsia="宋体" w:cs="宋体"/>
                <w:b w:val="0"/>
                <w:bCs w:val="0"/>
                <w:color w:val="auto"/>
                <w:sz w:val="24"/>
                <w:highlight w:val="none"/>
                <w:lang w:eastAsia="zh-CN"/>
              </w:rPr>
              <w:t>企业采购项目,小微企业价格扣除优惠比例：10%。</w:t>
            </w:r>
          </w:p>
        </w:tc>
      </w:tr>
      <w:tr w14:paraId="18DF2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581" w:type="dxa"/>
            <w:vMerge w:val="continue"/>
            <w:noWrap/>
            <w:vAlign w:val="center"/>
          </w:tcPr>
          <w:p w14:paraId="147B7DD7">
            <w:pPr>
              <w:rPr>
                <w:rFonts w:hint="eastAsia" w:ascii="宋体" w:hAnsi="宋体" w:eastAsia="宋体" w:cs="宋体"/>
                <w:color w:val="auto"/>
                <w:sz w:val="24"/>
                <w:highlight w:val="none"/>
              </w:rPr>
            </w:pPr>
          </w:p>
        </w:tc>
        <w:tc>
          <w:tcPr>
            <w:tcW w:w="624" w:type="dxa"/>
            <w:noWrap/>
            <w:vAlign w:val="center"/>
          </w:tcPr>
          <w:p w14:paraId="2C204F7B">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w:t>
            </w:r>
          </w:p>
        </w:tc>
        <w:tc>
          <w:tcPr>
            <w:tcW w:w="8422" w:type="dxa"/>
            <w:noWrap/>
            <w:vAlign w:val="center"/>
          </w:tcPr>
          <w:p w14:paraId="26351D42">
            <w:pPr>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供应商应符合采购人根据采购项目的特殊要求规定的特定条件：</w:t>
            </w:r>
          </w:p>
        </w:tc>
      </w:tr>
      <w:tr w14:paraId="62842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jc w:val="center"/>
        </w:trPr>
        <w:tc>
          <w:tcPr>
            <w:tcW w:w="581" w:type="dxa"/>
            <w:vMerge w:val="continue"/>
            <w:noWrap/>
            <w:vAlign w:val="center"/>
          </w:tcPr>
          <w:p w14:paraId="0EE66604">
            <w:pPr>
              <w:rPr>
                <w:rFonts w:hint="eastAsia" w:ascii="宋体" w:hAnsi="宋体" w:eastAsia="宋体" w:cs="宋体"/>
                <w:color w:val="auto"/>
                <w:sz w:val="24"/>
                <w:highlight w:val="none"/>
              </w:rPr>
            </w:pPr>
          </w:p>
        </w:tc>
        <w:tc>
          <w:tcPr>
            <w:tcW w:w="624" w:type="dxa"/>
            <w:noWrap/>
            <w:vAlign w:val="center"/>
          </w:tcPr>
          <w:p w14:paraId="666EC7A3">
            <w:pPr>
              <w:jc w:val="center"/>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3.1</w:t>
            </w:r>
          </w:p>
        </w:tc>
        <w:tc>
          <w:tcPr>
            <w:tcW w:w="8422" w:type="dxa"/>
            <w:noWrap/>
            <w:vAlign w:val="center"/>
          </w:tcPr>
          <w:p w14:paraId="57E2546A">
            <w:pPr>
              <w:jc w:val="lef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信用信息查询：</w:t>
            </w:r>
          </w:p>
          <w:p w14:paraId="1CC45CBA">
            <w:pPr>
              <w:jc w:val="lef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（1）信用信息查询渠道及截止时间：采购代理机构将在通过“信用中国”网站（www.creditchina.gov.cn）、中国政府采购网（www.ccgp.gov.cn）渠道查询供应商接受资格审查时的信用记录。</w:t>
            </w:r>
          </w:p>
          <w:p w14:paraId="25CBD924">
            <w:pPr>
              <w:jc w:val="lef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2）信用信息查询记录和证据留存的具体方式：采购代理机构在“信用中国”网站（www.creditchina.gov.cn）对供应商进行失信被执行人、重大税收违法失信主体和政府采购严重违法失信行为记录名单的信用信息查询；在中国政府采购网（www.ccgp.gov.cn）对供应商进行“政府采购严重违法失信行为信息记录”的信用信息查询。查询的供应商信用记录、查询结果经确认后将与采购文件一起存档。</w:t>
            </w:r>
          </w:p>
          <w:p w14:paraId="6128F748">
            <w:pPr>
              <w:jc w:val="lef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（3）信用信息的使用规则：经查询列入失信被执行人名单或者重大税收违法失信主体或者政府采购严重违法失信行为记录名单的供应商将被拒绝参与政府采购活动。</w:t>
            </w:r>
          </w:p>
        </w:tc>
      </w:tr>
      <w:tr w14:paraId="778D7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jc w:val="center"/>
        </w:trPr>
        <w:tc>
          <w:tcPr>
            <w:tcW w:w="581" w:type="dxa"/>
            <w:vMerge w:val="continue"/>
            <w:noWrap/>
            <w:vAlign w:val="center"/>
          </w:tcPr>
          <w:p w14:paraId="10DD75CE">
            <w:pPr>
              <w:rPr>
                <w:rFonts w:hint="eastAsia" w:ascii="宋体" w:hAnsi="宋体" w:eastAsia="宋体" w:cs="宋体"/>
                <w:color w:val="auto"/>
                <w:sz w:val="24"/>
                <w:highlight w:val="none"/>
              </w:rPr>
            </w:pPr>
          </w:p>
        </w:tc>
        <w:tc>
          <w:tcPr>
            <w:tcW w:w="624" w:type="dxa"/>
            <w:noWrap/>
            <w:vAlign w:val="center"/>
          </w:tcPr>
          <w:p w14:paraId="65137746">
            <w:pPr>
              <w:jc w:val="center"/>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3.2</w:t>
            </w:r>
          </w:p>
        </w:tc>
        <w:tc>
          <w:tcPr>
            <w:tcW w:w="8422" w:type="dxa"/>
            <w:noWrap/>
            <w:vAlign w:val="center"/>
          </w:tcPr>
          <w:p w14:paraId="3E7A7181">
            <w:pPr>
              <w:numPr>
                <w:ilvl w:val="0"/>
                <w:numId w:val="0"/>
              </w:numPr>
              <w:spacing w:line="360" w:lineRule="auto"/>
              <w:jc w:val="left"/>
              <w:rPr>
                <w:rFonts w:hint="eastAsia" w:ascii="宋体" w:hAnsi="宋体" w:eastAsia="宋体" w:cs="宋体"/>
                <w:bCs/>
                <w:color w:val="auto"/>
                <w:sz w:val="24"/>
                <w:highlight w:val="yellow"/>
                <w:lang w:eastAsia="zh-CN"/>
              </w:rPr>
            </w:pPr>
            <w:r>
              <w:rPr>
                <w:rFonts w:hint="eastAsia" w:ascii="宋体" w:hAnsi="宋体" w:eastAsia="宋体" w:cs="宋体"/>
                <w:color w:val="auto"/>
                <w:sz w:val="24"/>
                <w:highlight w:val="none"/>
                <w:lang w:eastAsia="zh-CN"/>
              </w:rPr>
              <w:t>根据《中华人民共和国政府采购法实施条例》第十八条规定，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tc>
      </w:tr>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700"/>
    </w:tbl>
    <w:p w14:paraId="3C59E335">
      <w:pPr>
        <w:numPr>
          <w:ilvl w:val="0"/>
          <w:numId w:val="1"/>
        </w:numPr>
        <w:spacing w:line="360" w:lineRule="auto"/>
        <w:jc w:val="center"/>
        <w:outlineLvl w:val="0"/>
        <w:rPr>
          <w:rFonts w:hint="eastAsia" w:ascii="宋体" w:hAnsi="宋体" w:eastAsia="宋体" w:cs="宋体"/>
          <w:b/>
          <w:color w:val="auto"/>
          <w:sz w:val="36"/>
          <w:szCs w:val="36"/>
          <w:highlight w:val="none"/>
        </w:rPr>
      </w:pPr>
      <w:bookmarkStart w:id="704" w:name="_Toc353825550"/>
      <w:bookmarkStart w:id="705" w:name="_Toc353873940"/>
      <w:bookmarkStart w:id="706" w:name="_Toc127151779"/>
      <w:bookmarkStart w:id="707" w:name="_Toc226965858"/>
      <w:bookmarkStart w:id="708" w:name="_Toc127161490"/>
      <w:r>
        <w:rPr>
          <w:rFonts w:hint="eastAsia" w:ascii="宋体" w:hAnsi="宋体" w:eastAsia="宋体" w:cs="宋体"/>
          <w:color w:val="auto"/>
          <w:sz w:val="24"/>
          <w:highlight w:val="none"/>
        </w:rPr>
        <w:br w:type="page"/>
      </w:r>
      <w:bookmarkStart w:id="709" w:name="_Toc1658"/>
      <w:r>
        <w:rPr>
          <w:rFonts w:hint="eastAsia" w:ascii="宋体" w:hAnsi="宋体" w:eastAsia="宋体" w:cs="宋体"/>
          <w:b/>
          <w:color w:val="auto"/>
          <w:sz w:val="36"/>
          <w:szCs w:val="36"/>
          <w:highlight w:val="none"/>
        </w:rPr>
        <w:t xml:space="preserve">  </w:t>
      </w:r>
      <w:bookmarkEnd w:id="704"/>
      <w:bookmarkEnd w:id="705"/>
      <w:bookmarkEnd w:id="706"/>
      <w:bookmarkEnd w:id="707"/>
      <w:bookmarkEnd w:id="708"/>
      <w:bookmarkStart w:id="710" w:name="_Hlt164229061"/>
      <w:bookmarkEnd w:id="710"/>
      <w:bookmarkStart w:id="711" w:name="_Toc31142"/>
      <w:r>
        <w:rPr>
          <w:rFonts w:hint="eastAsia" w:ascii="宋体" w:hAnsi="宋体" w:eastAsia="宋体" w:cs="宋体"/>
          <w:b/>
          <w:color w:val="auto"/>
          <w:sz w:val="36"/>
          <w:szCs w:val="36"/>
          <w:highlight w:val="none"/>
        </w:rPr>
        <w:t>评标程序、评标方法和评标标准</w:t>
      </w:r>
      <w:bookmarkEnd w:id="709"/>
      <w:bookmarkEnd w:id="711"/>
    </w:p>
    <w:p w14:paraId="31F0F5A7">
      <w:pPr>
        <w:tabs>
          <w:tab w:val="left" w:pos="360"/>
          <w:tab w:val="left" w:pos="900"/>
        </w:tabs>
        <w:snapToGrid w:val="0"/>
        <w:spacing w:line="360" w:lineRule="auto"/>
        <w:jc w:val="center"/>
        <w:outlineLvl w:val="1"/>
        <w:rPr>
          <w:rFonts w:hint="eastAsia" w:ascii="宋体" w:hAnsi="宋体" w:eastAsia="宋体" w:cs="宋体"/>
          <w:b/>
          <w:color w:val="auto"/>
          <w:highlight w:val="none"/>
        </w:rPr>
      </w:pPr>
      <w:bookmarkStart w:id="712" w:name="_Toc29268"/>
      <w:r>
        <w:rPr>
          <w:rFonts w:hint="eastAsia" w:ascii="宋体" w:hAnsi="宋体" w:eastAsia="宋体" w:cs="宋体"/>
          <w:b/>
          <w:color w:val="auto"/>
          <w:sz w:val="24"/>
          <w:highlight w:val="none"/>
        </w:rPr>
        <w:t>一、评标方法</w:t>
      </w:r>
      <w:bookmarkEnd w:id="712"/>
    </w:p>
    <w:p w14:paraId="71F2F06F">
      <w:pPr>
        <w:numPr>
          <w:ilvl w:val="0"/>
          <w:numId w:val="0"/>
        </w:numPr>
        <w:tabs>
          <w:tab w:val="left" w:pos="360"/>
        </w:tabs>
        <w:snapToGrid w:val="0"/>
        <w:spacing w:line="360" w:lineRule="auto"/>
        <w:ind w:leftChars="0"/>
        <w:rPr>
          <w:rFonts w:hint="eastAsia" w:ascii="宋体" w:hAnsi="宋体" w:eastAsia="宋体" w:cs="宋体"/>
          <w:b/>
          <w:bCs/>
          <w:color w:val="auto"/>
          <w:sz w:val="24"/>
          <w:highlight w:val="none"/>
        </w:rPr>
      </w:pPr>
      <w:bookmarkStart w:id="713" w:name="_Toc226965814"/>
      <w:bookmarkStart w:id="714" w:name="_Toc151193711"/>
      <w:bookmarkStart w:id="715" w:name="_Toc226965731"/>
      <w:bookmarkStart w:id="716" w:name="_Toc150509292"/>
      <w:bookmarkStart w:id="717" w:name="_Toc164351635"/>
      <w:bookmarkStart w:id="718" w:name="_Toc305158883"/>
      <w:bookmarkStart w:id="719" w:name="_Toc164608655"/>
      <w:bookmarkStart w:id="720" w:name="_Toc150774641"/>
      <w:bookmarkStart w:id="721" w:name="_Toc151193929"/>
      <w:bookmarkStart w:id="722" w:name="_Toc127151742"/>
      <w:bookmarkStart w:id="723" w:name="_Toc164229382"/>
      <w:bookmarkStart w:id="724" w:name="_Toc151193855"/>
      <w:bookmarkStart w:id="725" w:name="_Toc127151541"/>
      <w:bookmarkStart w:id="726" w:name="_Toc151190168"/>
      <w:bookmarkStart w:id="727" w:name="_Toc226337237"/>
      <w:bookmarkStart w:id="728" w:name="_Toc149720834"/>
      <w:bookmarkStart w:id="729" w:name="_Toc164229236"/>
      <w:bookmarkStart w:id="730" w:name="_Toc164608810"/>
      <w:bookmarkStart w:id="731" w:name="_Toc305158809"/>
      <w:bookmarkStart w:id="732" w:name="_Toc142311043"/>
      <w:bookmarkStart w:id="733" w:name="_Toc265228379"/>
      <w:bookmarkStart w:id="734" w:name="_Toc226309785"/>
      <w:bookmarkStart w:id="735" w:name="_Toc150774746"/>
      <w:bookmarkStart w:id="736" w:name="_Toc150480779"/>
      <w:bookmarkStart w:id="737" w:name="_Toc151193783"/>
      <w:bookmarkStart w:id="738" w:name="_Toc264969231"/>
      <w:bookmarkStart w:id="739" w:name="_Toc195842906"/>
      <w:bookmarkStart w:id="740" w:name="_Toc151193639"/>
      <w:bookmarkStart w:id="741" w:name="_Toc127161455"/>
      <w:bookmarkStart w:id="742" w:name="_Toc353825551"/>
      <w:bookmarkStart w:id="743" w:name="_Toc353873941"/>
      <w:bookmarkStart w:id="744" w:name="_Toc353873935"/>
      <w:bookmarkStart w:id="745" w:name="_Toc142311057"/>
      <w:bookmarkStart w:id="746" w:name="_Toc265228393"/>
      <w:bookmarkStart w:id="747" w:name="_Toc305158823"/>
      <w:bookmarkStart w:id="748" w:name="_Toc195842920"/>
      <w:bookmarkStart w:id="749" w:name="_Toc353873665"/>
      <w:bookmarkStart w:id="750" w:name="_Toc150480793"/>
      <w:bookmarkStart w:id="751" w:name="_Toc150774760"/>
      <w:bookmarkStart w:id="752" w:name="_Toc127151555"/>
      <w:bookmarkStart w:id="753" w:name="_Toc305158897"/>
      <w:bookmarkStart w:id="754" w:name="_Toc226337251"/>
      <w:bookmarkStart w:id="755" w:name="_Toc226965828"/>
      <w:bookmarkStart w:id="756" w:name="_Toc353825545"/>
      <w:bookmarkStart w:id="757" w:name="_Toc264969245"/>
      <w:r>
        <w:rPr>
          <w:rFonts w:hint="eastAsia" w:ascii="宋体" w:hAnsi="宋体" w:eastAsia="宋体" w:cs="宋体"/>
          <w:b/>
          <w:bCs/>
          <w:color w:val="auto"/>
          <w:sz w:val="24"/>
          <w:highlight w:val="none"/>
          <w:lang w:val="en-US" w:eastAsia="zh-CN"/>
        </w:rPr>
        <w:t>1、</w:t>
      </w:r>
      <w:r>
        <w:rPr>
          <w:rFonts w:hint="eastAsia" w:ascii="宋体" w:hAnsi="宋体" w:eastAsia="宋体" w:cs="宋体"/>
          <w:b/>
          <w:bCs/>
          <w:color w:val="auto"/>
          <w:sz w:val="24"/>
          <w:highlight w:val="none"/>
        </w:rPr>
        <w:t>投标文件的符合性审查</w:t>
      </w:r>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p>
    <w:p w14:paraId="5CD2F5BA">
      <w:pPr>
        <w:numPr>
          <w:ilvl w:val="0"/>
          <w:numId w:val="0"/>
        </w:numPr>
        <w:tabs>
          <w:tab w:val="left" w:pos="1080"/>
          <w:tab w:val="left" w:pos="1589"/>
        </w:tabs>
        <w:snapToGrid w:val="0"/>
        <w:spacing w:line="360" w:lineRule="auto"/>
        <w:ind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1.1</w:t>
      </w:r>
      <w:r>
        <w:rPr>
          <w:rFonts w:hint="eastAsia" w:ascii="宋体" w:hAnsi="宋体" w:eastAsia="宋体" w:cs="宋体"/>
          <w:color w:val="auto"/>
          <w:sz w:val="24"/>
          <w:highlight w:val="none"/>
        </w:rPr>
        <w:t>评标委员会对资格审查合格的供应商的投标文件进行符合性审查，以确定其是否满足招标文件的实质性要求。</w:t>
      </w:r>
      <w:bookmarkStart w:id="758" w:name="_Toc520356167"/>
    </w:p>
    <w:p w14:paraId="08134481">
      <w:pPr>
        <w:numPr>
          <w:ilvl w:val="0"/>
          <w:numId w:val="0"/>
        </w:numPr>
        <w:tabs>
          <w:tab w:val="left" w:pos="1080"/>
          <w:tab w:val="left" w:pos="1589"/>
        </w:tabs>
        <w:snapToGrid w:val="0"/>
        <w:spacing w:line="360" w:lineRule="auto"/>
        <w:ind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1.2</w:t>
      </w:r>
      <w:r>
        <w:rPr>
          <w:rFonts w:hint="eastAsia" w:ascii="宋体" w:hAnsi="宋体" w:eastAsia="宋体" w:cs="宋体"/>
          <w:color w:val="auto"/>
          <w:sz w:val="24"/>
          <w:highlight w:val="none"/>
        </w:rPr>
        <w:t>评标委员会根据《符合性审查要求》中规定的审查因素和审查内容，对供应商的投标文件是否实质上响应招标文件进行符合性审查，并形成符合性审查评审结果。供应商《商务技术文件》有任何一项不符合《符合性审查要求》</w:t>
      </w:r>
      <w:bookmarkEnd w:id="758"/>
      <w:r>
        <w:rPr>
          <w:rFonts w:hint="eastAsia" w:ascii="宋体" w:hAnsi="宋体" w:eastAsia="宋体" w:cs="宋体"/>
          <w:color w:val="auto"/>
          <w:sz w:val="24"/>
          <w:highlight w:val="none"/>
        </w:rPr>
        <w:t>要求的，</w:t>
      </w:r>
      <w:r>
        <w:rPr>
          <w:rFonts w:hint="eastAsia" w:ascii="宋体" w:hAnsi="宋体" w:eastAsia="宋体" w:cs="宋体"/>
          <w:b/>
          <w:color w:val="auto"/>
          <w:sz w:val="24"/>
          <w:highlight w:val="none"/>
        </w:rPr>
        <w:t>投标无效</w:t>
      </w:r>
      <w:r>
        <w:rPr>
          <w:rFonts w:hint="eastAsia" w:ascii="宋体" w:hAnsi="宋体" w:eastAsia="宋体" w:cs="宋体"/>
          <w:color w:val="auto"/>
          <w:sz w:val="24"/>
          <w:highlight w:val="none"/>
        </w:rPr>
        <w:t>。</w:t>
      </w:r>
    </w:p>
    <w:p w14:paraId="61482578">
      <w:pPr>
        <w:numPr>
          <w:ilvl w:val="0"/>
          <w:numId w:val="0"/>
        </w:numPr>
        <w:tabs>
          <w:tab w:val="left" w:pos="1080"/>
          <w:tab w:val="left" w:pos="1589"/>
        </w:tabs>
        <w:snapToGrid w:val="0"/>
        <w:spacing w:line="360" w:lineRule="auto"/>
        <w:ind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1.3</w:t>
      </w:r>
      <w:r>
        <w:rPr>
          <w:rFonts w:hint="eastAsia" w:ascii="宋体" w:hAnsi="宋体" w:eastAsia="宋体" w:cs="宋体"/>
          <w:color w:val="auto"/>
          <w:sz w:val="24"/>
          <w:highlight w:val="none"/>
        </w:rPr>
        <w:t>评标委员会认为供应商的报价明显低于其他通过符合性审查的供应商的报价，有可能影响产品质量或者不能诚信履约的，应当要求其在评标合理的时间内提供书面说明，必要时提交相关证明材料；供应商不能证明其报价合理性的，评标委员会应当将其作为无效投标处理。</w:t>
      </w:r>
    </w:p>
    <w:p w14:paraId="09E0ACD6">
      <w:pPr>
        <w:tabs>
          <w:tab w:val="left" w:pos="900"/>
          <w:tab w:val="left" w:pos="1080"/>
          <w:tab w:val="left" w:pos="1589"/>
        </w:tabs>
        <w:snapToGrid w:val="0"/>
        <w:spacing w:line="360" w:lineRule="auto"/>
        <w:ind w:leftChars="-170" w:hanging="357" w:hangingChars="148"/>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符合性审查要求</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3"/>
        <w:gridCol w:w="2196"/>
        <w:gridCol w:w="6334"/>
      </w:tblGrid>
      <w:tr w14:paraId="1B033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exact"/>
          <w:tblHeader/>
          <w:jc w:val="center"/>
        </w:trPr>
        <w:tc>
          <w:tcPr>
            <w:tcW w:w="1093" w:type="dxa"/>
            <w:noWrap w:val="0"/>
            <w:vAlign w:val="center"/>
          </w:tcPr>
          <w:p w14:paraId="482509A4">
            <w:pPr>
              <w:spacing w:before="100" w:beforeAutospacing="1" w:after="100" w:afterAutospacing="1"/>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条款</w:t>
            </w:r>
          </w:p>
        </w:tc>
        <w:tc>
          <w:tcPr>
            <w:tcW w:w="2196" w:type="dxa"/>
            <w:noWrap w:val="0"/>
            <w:vAlign w:val="center"/>
          </w:tcPr>
          <w:p w14:paraId="43E533D0">
            <w:pPr>
              <w:spacing w:before="100" w:beforeAutospacing="1" w:after="100" w:afterAutospacing="1"/>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 审 内 容</w:t>
            </w:r>
          </w:p>
        </w:tc>
        <w:tc>
          <w:tcPr>
            <w:tcW w:w="6334" w:type="dxa"/>
            <w:noWrap w:val="0"/>
            <w:vAlign w:val="center"/>
          </w:tcPr>
          <w:p w14:paraId="73D30E2B">
            <w:pPr>
              <w:spacing w:before="100" w:beforeAutospacing="1" w:after="100" w:afterAutospacing="1"/>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 审 标 准</w:t>
            </w:r>
          </w:p>
        </w:tc>
      </w:tr>
      <w:tr w14:paraId="723D8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93" w:type="dxa"/>
            <w:vMerge w:val="restart"/>
            <w:noWrap w:val="0"/>
            <w:vAlign w:val="center"/>
          </w:tcPr>
          <w:p w14:paraId="0E904273">
            <w:pPr>
              <w:spacing w:before="100" w:beforeAutospacing="1" w:after="100" w:afterAutospacing="1"/>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符合性评审标准</w:t>
            </w:r>
          </w:p>
        </w:tc>
        <w:tc>
          <w:tcPr>
            <w:tcW w:w="2196" w:type="dxa"/>
            <w:noWrap w:val="0"/>
            <w:vAlign w:val="center"/>
          </w:tcPr>
          <w:p w14:paraId="1661CB9A">
            <w:pPr>
              <w:spacing w:before="100" w:beforeAutospacing="1" w:after="100" w:afterAutospacing="1"/>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开标一览表</w:t>
            </w:r>
          </w:p>
        </w:tc>
        <w:tc>
          <w:tcPr>
            <w:tcW w:w="6334" w:type="dxa"/>
            <w:noWrap w:val="0"/>
            <w:vAlign w:val="center"/>
          </w:tcPr>
          <w:p w14:paraId="5D8B111D">
            <w:pPr>
              <w:spacing w:before="100" w:beforeAutospacing="1" w:after="100" w:afterAutospacing="1"/>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符合</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第七章</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投标文件格式</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中规定的格式及内容。</w:t>
            </w:r>
          </w:p>
        </w:tc>
      </w:tr>
      <w:tr w14:paraId="7FBEE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1093" w:type="dxa"/>
            <w:vMerge w:val="continue"/>
            <w:noWrap w:val="0"/>
            <w:vAlign w:val="center"/>
          </w:tcPr>
          <w:p w14:paraId="5730DFEE">
            <w:pPr>
              <w:spacing w:before="100" w:beforeAutospacing="1" w:after="100" w:afterAutospacing="1"/>
              <w:rPr>
                <w:rFonts w:hint="eastAsia" w:ascii="宋体" w:hAnsi="宋体" w:eastAsia="宋体" w:cs="宋体"/>
                <w:color w:val="auto"/>
                <w:sz w:val="24"/>
                <w:highlight w:val="none"/>
              </w:rPr>
            </w:pPr>
          </w:p>
        </w:tc>
        <w:tc>
          <w:tcPr>
            <w:tcW w:w="2196" w:type="dxa"/>
            <w:noWrap w:val="0"/>
            <w:vAlign w:val="center"/>
          </w:tcPr>
          <w:p w14:paraId="732AB33F">
            <w:pPr>
              <w:spacing w:before="100" w:beforeAutospacing="1" w:after="100" w:afterAutospacing="1"/>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投标函</w:t>
            </w:r>
          </w:p>
        </w:tc>
        <w:tc>
          <w:tcPr>
            <w:tcW w:w="6334" w:type="dxa"/>
            <w:noWrap w:val="0"/>
            <w:vAlign w:val="center"/>
          </w:tcPr>
          <w:p w14:paraId="3F9DD50B">
            <w:pPr>
              <w:spacing w:line="32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符合</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第七章</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投标文件格式</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中规定的格式及内容。</w:t>
            </w:r>
          </w:p>
        </w:tc>
      </w:tr>
      <w:tr w14:paraId="54E10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93" w:type="dxa"/>
            <w:vMerge w:val="continue"/>
            <w:noWrap w:val="0"/>
            <w:vAlign w:val="center"/>
          </w:tcPr>
          <w:p w14:paraId="480277CB">
            <w:pPr>
              <w:spacing w:before="100" w:beforeAutospacing="1" w:after="100" w:afterAutospacing="1"/>
              <w:rPr>
                <w:rFonts w:hint="eastAsia" w:ascii="宋体" w:hAnsi="宋体" w:eastAsia="宋体" w:cs="宋体"/>
                <w:color w:val="auto"/>
                <w:sz w:val="24"/>
                <w:highlight w:val="none"/>
              </w:rPr>
            </w:pPr>
          </w:p>
        </w:tc>
        <w:tc>
          <w:tcPr>
            <w:tcW w:w="2196" w:type="dxa"/>
            <w:noWrap w:val="0"/>
            <w:vAlign w:val="center"/>
          </w:tcPr>
          <w:p w14:paraId="77785FAB">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法定代表人身份证明书</w:t>
            </w:r>
          </w:p>
        </w:tc>
        <w:tc>
          <w:tcPr>
            <w:tcW w:w="6334" w:type="dxa"/>
            <w:noWrap w:val="0"/>
            <w:vAlign w:val="center"/>
          </w:tcPr>
          <w:p w14:paraId="4C4B6B6D">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符合</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第七章</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投标文件格式</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中规定的格式及内容。</w:t>
            </w:r>
          </w:p>
        </w:tc>
      </w:tr>
      <w:tr w14:paraId="66904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1093" w:type="dxa"/>
            <w:vMerge w:val="continue"/>
            <w:noWrap w:val="0"/>
            <w:vAlign w:val="center"/>
          </w:tcPr>
          <w:p w14:paraId="59C1288E">
            <w:pPr>
              <w:spacing w:before="100" w:beforeAutospacing="1" w:after="100" w:afterAutospacing="1"/>
              <w:rPr>
                <w:rFonts w:hint="eastAsia" w:ascii="宋体" w:hAnsi="宋体" w:eastAsia="宋体" w:cs="宋体"/>
                <w:color w:val="auto"/>
                <w:sz w:val="24"/>
                <w:highlight w:val="none"/>
              </w:rPr>
            </w:pPr>
          </w:p>
        </w:tc>
        <w:tc>
          <w:tcPr>
            <w:tcW w:w="2196" w:type="dxa"/>
            <w:noWrap w:val="0"/>
            <w:vAlign w:val="center"/>
          </w:tcPr>
          <w:p w14:paraId="55DC4425">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法定代表人授权委托书</w:t>
            </w:r>
          </w:p>
        </w:tc>
        <w:tc>
          <w:tcPr>
            <w:tcW w:w="6334" w:type="dxa"/>
            <w:noWrap w:val="0"/>
            <w:vAlign w:val="center"/>
          </w:tcPr>
          <w:p w14:paraId="74294702">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符合</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第七章</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投标文件格式</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中规定的格式及内容。</w:t>
            </w:r>
          </w:p>
        </w:tc>
      </w:tr>
      <w:tr w14:paraId="45289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exact"/>
          <w:jc w:val="center"/>
        </w:trPr>
        <w:tc>
          <w:tcPr>
            <w:tcW w:w="1093" w:type="dxa"/>
            <w:vMerge w:val="continue"/>
            <w:noWrap w:val="0"/>
            <w:vAlign w:val="center"/>
          </w:tcPr>
          <w:p w14:paraId="4A6CAE9B">
            <w:pPr>
              <w:spacing w:before="100" w:beforeAutospacing="1" w:after="100" w:afterAutospacing="1"/>
              <w:rPr>
                <w:rFonts w:hint="eastAsia" w:ascii="宋体" w:hAnsi="宋体" w:eastAsia="宋体" w:cs="宋体"/>
                <w:color w:val="auto"/>
                <w:sz w:val="24"/>
                <w:highlight w:val="none"/>
              </w:rPr>
            </w:pPr>
          </w:p>
        </w:tc>
        <w:tc>
          <w:tcPr>
            <w:tcW w:w="2196" w:type="dxa"/>
            <w:noWrap w:val="0"/>
            <w:vAlign w:val="center"/>
          </w:tcPr>
          <w:p w14:paraId="254514FD">
            <w:pPr>
              <w:spacing w:before="100" w:beforeAutospacing="1" w:after="100" w:afterAutospacing="1"/>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投标报价</w:t>
            </w:r>
          </w:p>
        </w:tc>
        <w:tc>
          <w:tcPr>
            <w:tcW w:w="6334" w:type="dxa"/>
            <w:noWrap w:val="0"/>
            <w:vAlign w:val="center"/>
          </w:tcPr>
          <w:p w14:paraId="39A428EE">
            <w:pPr>
              <w:spacing w:before="100" w:beforeAutospacing="1" w:after="100" w:afterAutospacing="1"/>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报价完整且仅有一个报价方案</w:t>
            </w:r>
            <w:r>
              <w:rPr>
                <w:rFonts w:hint="eastAsia" w:ascii="宋体" w:hAnsi="宋体" w:eastAsia="宋体" w:cs="宋体"/>
                <w:color w:val="auto"/>
                <w:sz w:val="24"/>
                <w:highlight w:val="none"/>
                <w:lang w:eastAsia="zh-CN"/>
              </w:rPr>
              <w:t>。</w:t>
            </w:r>
          </w:p>
        </w:tc>
      </w:tr>
      <w:tr w14:paraId="45556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exact"/>
          <w:jc w:val="center"/>
        </w:trPr>
        <w:tc>
          <w:tcPr>
            <w:tcW w:w="1093" w:type="dxa"/>
            <w:vMerge w:val="continue"/>
            <w:noWrap w:val="0"/>
            <w:vAlign w:val="center"/>
          </w:tcPr>
          <w:p w14:paraId="2A0EAF62">
            <w:pPr>
              <w:spacing w:before="100" w:beforeAutospacing="1" w:after="100" w:afterAutospacing="1"/>
              <w:rPr>
                <w:rFonts w:hint="eastAsia" w:ascii="宋体" w:hAnsi="宋体" w:eastAsia="宋体" w:cs="宋体"/>
                <w:color w:val="auto"/>
                <w:sz w:val="24"/>
                <w:highlight w:val="none"/>
              </w:rPr>
            </w:pPr>
          </w:p>
        </w:tc>
        <w:tc>
          <w:tcPr>
            <w:tcW w:w="2196" w:type="dxa"/>
            <w:noWrap w:val="0"/>
            <w:vAlign w:val="center"/>
          </w:tcPr>
          <w:p w14:paraId="3EBB0864">
            <w:pPr>
              <w:spacing w:before="100" w:beforeAutospacing="1" w:after="100" w:afterAutospacing="1"/>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无效投标</w:t>
            </w:r>
          </w:p>
        </w:tc>
        <w:tc>
          <w:tcPr>
            <w:tcW w:w="6334" w:type="dxa"/>
            <w:noWrap w:val="0"/>
            <w:vAlign w:val="center"/>
          </w:tcPr>
          <w:p w14:paraId="7C400482">
            <w:pPr>
              <w:spacing w:before="100" w:beforeAutospacing="1" w:after="100" w:afterAutospacing="1"/>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符合</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第二章</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供应商须知</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第</w:t>
            </w:r>
            <w:r>
              <w:rPr>
                <w:rFonts w:hint="eastAsia" w:ascii="宋体" w:hAnsi="宋体" w:eastAsia="宋体" w:cs="宋体"/>
                <w:color w:val="auto"/>
                <w:sz w:val="24"/>
                <w:highlight w:val="none"/>
                <w:lang w:val="en-US" w:eastAsia="zh-CN"/>
              </w:rPr>
              <w:t>20.2</w:t>
            </w:r>
            <w:r>
              <w:rPr>
                <w:rFonts w:hint="eastAsia" w:ascii="宋体" w:hAnsi="宋体" w:eastAsia="宋体" w:cs="宋体"/>
                <w:color w:val="auto"/>
                <w:sz w:val="24"/>
                <w:highlight w:val="none"/>
              </w:rPr>
              <w:t>项规</w:t>
            </w:r>
            <w:r>
              <w:rPr>
                <w:rFonts w:hint="eastAsia" w:ascii="宋体" w:hAnsi="宋体" w:eastAsia="宋体" w:cs="宋体"/>
                <w:color w:val="auto"/>
                <w:sz w:val="24"/>
                <w:highlight w:val="none"/>
                <w:lang w:eastAsia="zh-CN"/>
              </w:rPr>
              <w:t>定。</w:t>
            </w:r>
          </w:p>
        </w:tc>
      </w:tr>
      <w:tr w14:paraId="58E51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exact"/>
          <w:jc w:val="center"/>
        </w:trPr>
        <w:tc>
          <w:tcPr>
            <w:tcW w:w="1093" w:type="dxa"/>
            <w:vMerge w:val="continue"/>
            <w:noWrap w:val="0"/>
            <w:vAlign w:val="center"/>
          </w:tcPr>
          <w:p w14:paraId="099DD45C">
            <w:pPr>
              <w:spacing w:before="100" w:beforeAutospacing="1" w:after="100" w:afterAutospacing="1"/>
              <w:rPr>
                <w:rFonts w:hint="eastAsia" w:ascii="宋体" w:hAnsi="宋体" w:eastAsia="宋体" w:cs="宋体"/>
                <w:color w:val="auto"/>
                <w:sz w:val="24"/>
                <w:highlight w:val="none"/>
              </w:rPr>
            </w:pPr>
          </w:p>
        </w:tc>
        <w:tc>
          <w:tcPr>
            <w:tcW w:w="2196" w:type="dxa"/>
            <w:noWrap w:val="0"/>
            <w:vAlign w:val="center"/>
          </w:tcPr>
          <w:p w14:paraId="7CBC9F51">
            <w:pPr>
              <w:spacing w:before="100" w:beforeAutospacing="1" w:after="100" w:afterAutospacing="1"/>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响应文件格式</w:t>
            </w:r>
          </w:p>
        </w:tc>
        <w:tc>
          <w:tcPr>
            <w:tcW w:w="6334" w:type="dxa"/>
            <w:noWrap w:val="0"/>
            <w:vAlign w:val="center"/>
          </w:tcPr>
          <w:p w14:paraId="7C9A8215">
            <w:pPr>
              <w:spacing w:before="100" w:beforeAutospacing="1" w:after="100" w:afterAutospacing="1"/>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符合</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第七章</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投标文件格式</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中规定的格式及内容。</w:t>
            </w:r>
          </w:p>
        </w:tc>
      </w:tr>
      <w:tr w14:paraId="2A1E2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093" w:type="dxa"/>
            <w:vMerge w:val="continue"/>
            <w:noWrap w:val="0"/>
            <w:vAlign w:val="center"/>
          </w:tcPr>
          <w:p w14:paraId="50666E2F">
            <w:pPr>
              <w:spacing w:before="100" w:beforeAutospacing="1" w:after="100" w:afterAutospacing="1"/>
              <w:rPr>
                <w:rFonts w:hint="eastAsia" w:ascii="宋体" w:hAnsi="宋体" w:eastAsia="宋体" w:cs="宋体"/>
                <w:color w:val="auto"/>
                <w:sz w:val="24"/>
                <w:highlight w:val="none"/>
              </w:rPr>
            </w:pPr>
          </w:p>
        </w:tc>
        <w:tc>
          <w:tcPr>
            <w:tcW w:w="2196" w:type="dxa"/>
            <w:vMerge w:val="restart"/>
            <w:noWrap w:val="0"/>
            <w:vAlign w:val="center"/>
          </w:tcPr>
          <w:p w14:paraId="4B86B527">
            <w:pPr>
              <w:spacing w:before="100" w:beforeAutospacing="1" w:after="100" w:afterAutospacing="1"/>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其他实质性条件</w:t>
            </w:r>
          </w:p>
        </w:tc>
        <w:tc>
          <w:tcPr>
            <w:tcW w:w="6334" w:type="dxa"/>
            <w:noWrap w:val="0"/>
            <w:vAlign w:val="center"/>
          </w:tcPr>
          <w:p w14:paraId="7A736CE5">
            <w:pPr>
              <w:spacing w:before="100" w:beforeAutospacing="1" w:after="100" w:afterAutospacing="1"/>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1、关键内容字迹潦草、表达不清要求填写而导致非唯一理解的，未按</w:t>
            </w:r>
            <w:r>
              <w:rPr>
                <w:rFonts w:hint="eastAsia" w:ascii="宋体" w:hAnsi="宋体" w:eastAsia="宋体" w:cs="宋体"/>
                <w:color w:val="auto"/>
                <w:sz w:val="24"/>
                <w:highlight w:val="none"/>
                <w:lang w:val="en-US" w:eastAsia="zh-CN"/>
              </w:rPr>
              <w:t>招标文件签字或盖章的；</w:t>
            </w:r>
          </w:p>
        </w:tc>
      </w:tr>
      <w:tr w14:paraId="63417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exact"/>
          <w:jc w:val="center"/>
        </w:trPr>
        <w:tc>
          <w:tcPr>
            <w:tcW w:w="1093" w:type="dxa"/>
            <w:vMerge w:val="continue"/>
            <w:noWrap w:val="0"/>
            <w:vAlign w:val="center"/>
          </w:tcPr>
          <w:p w14:paraId="145A0877">
            <w:pPr>
              <w:spacing w:before="100" w:beforeAutospacing="1" w:after="100" w:afterAutospacing="1"/>
              <w:rPr>
                <w:rFonts w:hint="eastAsia" w:ascii="宋体" w:hAnsi="宋体" w:eastAsia="宋体" w:cs="宋体"/>
                <w:color w:val="auto"/>
                <w:sz w:val="24"/>
                <w:highlight w:val="none"/>
              </w:rPr>
            </w:pPr>
          </w:p>
        </w:tc>
        <w:tc>
          <w:tcPr>
            <w:tcW w:w="2196" w:type="dxa"/>
            <w:vMerge w:val="continue"/>
            <w:noWrap w:val="0"/>
            <w:vAlign w:val="center"/>
          </w:tcPr>
          <w:p w14:paraId="741B54D2">
            <w:pPr>
              <w:spacing w:before="100" w:beforeAutospacing="1" w:after="100" w:afterAutospacing="1"/>
              <w:jc w:val="center"/>
              <w:rPr>
                <w:rFonts w:hint="eastAsia" w:ascii="宋体" w:hAnsi="宋体" w:eastAsia="宋体" w:cs="宋体"/>
                <w:color w:val="auto"/>
                <w:sz w:val="24"/>
                <w:highlight w:val="none"/>
              </w:rPr>
            </w:pPr>
          </w:p>
        </w:tc>
        <w:tc>
          <w:tcPr>
            <w:tcW w:w="6334" w:type="dxa"/>
            <w:noWrap w:val="0"/>
            <w:vAlign w:val="center"/>
          </w:tcPr>
          <w:p w14:paraId="0B251F04">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2、投标文件如果出现计算或表达上的错误，供应商不接受按招标文件</w:t>
            </w:r>
            <w:r>
              <w:rPr>
                <w:rFonts w:hint="eastAsia" w:ascii="宋体" w:hAnsi="宋体" w:eastAsia="宋体" w:cs="宋体"/>
                <w:color w:val="auto"/>
                <w:sz w:val="24"/>
                <w:highlight w:val="none"/>
                <w:lang w:val="en-US" w:eastAsia="zh-CN"/>
              </w:rPr>
              <w:t>本</w:t>
            </w:r>
            <w:r>
              <w:rPr>
                <w:rFonts w:hint="eastAsia" w:ascii="宋体" w:hAnsi="宋体" w:eastAsia="宋体" w:cs="宋体"/>
                <w:color w:val="auto"/>
                <w:sz w:val="24"/>
                <w:highlight w:val="none"/>
              </w:rPr>
              <w:t>章有关事项的澄清或者说明的原则进行修正的；</w:t>
            </w:r>
          </w:p>
        </w:tc>
      </w:tr>
      <w:tr w14:paraId="5104C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exact"/>
          <w:jc w:val="center"/>
        </w:trPr>
        <w:tc>
          <w:tcPr>
            <w:tcW w:w="1093" w:type="dxa"/>
            <w:vMerge w:val="continue"/>
            <w:noWrap w:val="0"/>
            <w:vAlign w:val="center"/>
          </w:tcPr>
          <w:p w14:paraId="510DBA05">
            <w:pPr>
              <w:spacing w:before="100" w:beforeAutospacing="1" w:after="100" w:afterAutospacing="1"/>
              <w:rPr>
                <w:rFonts w:hint="eastAsia" w:ascii="宋体" w:hAnsi="宋体" w:eastAsia="宋体" w:cs="宋体"/>
                <w:color w:val="auto"/>
                <w:sz w:val="24"/>
                <w:highlight w:val="none"/>
              </w:rPr>
            </w:pPr>
          </w:p>
        </w:tc>
        <w:tc>
          <w:tcPr>
            <w:tcW w:w="2196" w:type="dxa"/>
            <w:vMerge w:val="continue"/>
            <w:noWrap w:val="0"/>
            <w:vAlign w:val="center"/>
          </w:tcPr>
          <w:p w14:paraId="287594C5">
            <w:pPr>
              <w:spacing w:before="100" w:beforeAutospacing="1" w:after="100" w:afterAutospacing="1"/>
              <w:jc w:val="center"/>
              <w:rPr>
                <w:rFonts w:hint="eastAsia" w:ascii="宋体" w:hAnsi="宋体" w:eastAsia="宋体" w:cs="宋体"/>
                <w:color w:val="auto"/>
                <w:sz w:val="24"/>
                <w:highlight w:val="none"/>
              </w:rPr>
            </w:pPr>
          </w:p>
        </w:tc>
        <w:tc>
          <w:tcPr>
            <w:tcW w:w="6334" w:type="dxa"/>
            <w:noWrap w:val="0"/>
            <w:vAlign w:val="center"/>
          </w:tcPr>
          <w:p w14:paraId="403C84D9">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3、未响应招标文件中其他规定的实质性内容的。</w:t>
            </w:r>
          </w:p>
        </w:tc>
      </w:tr>
    </w:tbl>
    <w:p w14:paraId="2D4ECB75">
      <w:pPr>
        <w:numPr>
          <w:ilvl w:val="0"/>
          <w:numId w:val="0"/>
        </w:numPr>
        <w:tabs>
          <w:tab w:val="left" w:pos="360"/>
        </w:tabs>
        <w:snapToGrid w:val="0"/>
        <w:spacing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br w:type="page"/>
      </w:r>
      <w:bookmarkEnd w:id="742"/>
      <w:bookmarkEnd w:id="743"/>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eastAsia="zh-CN"/>
        </w:rPr>
        <w:t xml:space="preserve"> </w:t>
      </w:r>
      <w:r>
        <w:rPr>
          <w:rFonts w:hint="eastAsia" w:ascii="宋体" w:hAnsi="宋体" w:eastAsia="宋体" w:cs="宋体"/>
          <w:b/>
          <w:bCs/>
          <w:color w:val="auto"/>
          <w:sz w:val="24"/>
          <w:szCs w:val="24"/>
          <w:highlight w:val="none"/>
        </w:rPr>
        <w:t>投标文件有关事项的澄清或者说明</w:t>
      </w:r>
    </w:p>
    <w:p w14:paraId="47343238">
      <w:pPr>
        <w:keepNext w:val="0"/>
        <w:keepLines w:val="0"/>
        <w:pageBreakBefore w:val="0"/>
        <w:widowControl w:val="0"/>
        <w:numPr>
          <w:ilvl w:val="0"/>
          <w:numId w:val="0"/>
        </w:numPr>
        <w:tabs>
          <w:tab w:val="left" w:pos="108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w:t>
      </w:r>
      <w:r>
        <w:rPr>
          <w:rFonts w:hint="eastAsia" w:ascii="宋体" w:hAnsi="宋体" w:eastAsia="宋体" w:cs="宋体"/>
          <w:color w:val="auto"/>
          <w:sz w:val="24"/>
          <w:szCs w:val="24"/>
          <w:highlight w:val="none"/>
        </w:rPr>
        <w:t>评标过程中，评标委员会将以书面形式要求供应商对其投标文件中含义不明确、同类问题表述不一致或者有明显文字和计算错误的内容，作出必要的澄清、说明或者补正。供应商的澄清、说明或者补正应当采用书面形式，并加盖公章，或者由法定代表人（若供应商为事业单位或其他组织或分支机构，可为单位负责人）或其授权的代表签字。供应商的澄清、说明或者补正不得超出投标文件的范围或者改变投标文件的实质性内容。澄清文件将作为投标文件内容的一部分。</w:t>
      </w:r>
    </w:p>
    <w:p w14:paraId="0D47DE16">
      <w:pPr>
        <w:keepNext w:val="0"/>
        <w:keepLines w:val="0"/>
        <w:pageBreakBefore w:val="0"/>
        <w:widowControl w:val="0"/>
        <w:numPr>
          <w:ilvl w:val="0"/>
          <w:numId w:val="0"/>
        </w:numPr>
        <w:tabs>
          <w:tab w:val="left" w:pos="108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异常低价处理</w:t>
      </w:r>
    </w:p>
    <w:p w14:paraId="11991D6B">
      <w:pPr>
        <w:keepNext w:val="0"/>
        <w:keepLines w:val="0"/>
        <w:pageBreakBefore w:val="0"/>
        <w:widowControl w:val="0"/>
        <w:numPr>
          <w:ilvl w:val="0"/>
          <w:numId w:val="0"/>
        </w:numPr>
        <w:tabs>
          <w:tab w:val="left" w:pos="108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2.2.1</w:t>
      </w:r>
      <w:r>
        <w:rPr>
          <w:rFonts w:hint="eastAsia" w:ascii="宋体" w:hAnsi="宋体" w:eastAsia="宋体" w:cs="宋体"/>
          <w:color w:val="auto"/>
          <w:sz w:val="24"/>
          <w:szCs w:val="24"/>
          <w:highlight w:val="none"/>
        </w:rPr>
        <w:t>评标委员会认为</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的报价明显低于其他通过符合性审查</w:t>
      </w:r>
      <w:r>
        <w:rPr>
          <w:rFonts w:hint="eastAsia" w:ascii="宋体" w:hAnsi="宋体" w:eastAsia="宋体" w:cs="宋体"/>
          <w:color w:val="auto"/>
          <w:sz w:val="24"/>
          <w:szCs w:val="24"/>
          <w:highlight w:val="none"/>
          <w:lang w:eastAsia="zh-CN"/>
        </w:rPr>
        <w:t>的投标供应商</w:t>
      </w:r>
      <w:r>
        <w:rPr>
          <w:rFonts w:hint="eastAsia" w:ascii="宋体" w:hAnsi="宋体" w:eastAsia="宋体" w:cs="宋体"/>
          <w:color w:val="auto"/>
          <w:sz w:val="24"/>
          <w:szCs w:val="24"/>
          <w:highlight w:val="none"/>
        </w:rPr>
        <w:t>的报价，有可能影响产品质量或者不能诚信履约的，应当要求其在评标合理的时间内提供书面说明，必要时提交相关证明材料</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不能证明其报价合理性的，评标委员会应当将其作为</w:t>
      </w:r>
      <w:r>
        <w:rPr>
          <w:rFonts w:hint="eastAsia" w:ascii="宋体" w:hAnsi="宋体" w:eastAsia="宋体" w:cs="宋体"/>
          <w:b/>
          <w:bCs/>
          <w:color w:val="auto"/>
          <w:sz w:val="24"/>
          <w:szCs w:val="24"/>
          <w:highlight w:val="none"/>
        </w:rPr>
        <w:t>无效投标处理</w:t>
      </w:r>
      <w:r>
        <w:rPr>
          <w:rFonts w:hint="eastAsia" w:ascii="宋体" w:hAnsi="宋体" w:eastAsia="宋体" w:cs="宋体"/>
          <w:color w:val="auto"/>
          <w:sz w:val="24"/>
          <w:szCs w:val="24"/>
          <w:highlight w:val="none"/>
        </w:rPr>
        <w:t>。</w:t>
      </w:r>
    </w:p>
    <w:p w14:paraId="1599ACAC">
      <w:pPr>
        <w:keepNext w:val="0"/>
        <w:keepLines w:val="0"/>
        <w:pageBreakBefore w:val="0"/>
        <w:widowControl w:val="0"/>
        <w:numPr>
          <w:ilvl w:val="0"/>
          <w:numId w:val="0"/>
        </w:numPr>
        <w:tabs>
          <w:tab w:val="left" w:pos="108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2.2.2</w:t>
      </w:r>
      <w:r>
        <w:rPr>
          <w:rFonts w:hint="eastAsia" w:ascii="宋体" w:hAnsi="宋体" w:eastAsia="宋体" w:cs="宋体"/>
          <w:color w:val="auto"/>
          <w:sz w:val="24"/>
          <w:szCs w:val="24"/>
          <w:highlight w:val="none"/>
        </w:rPr>
        <w:t>评标委员会在评审中出现下列情形之一的，评标委员会应当启动异常低价投标（响应）审查程序：</w:t>
      </w:r>
    </w:p>
    <w:p w14:paraId="6A29830B">
      <w:pPr>
        <w:keepNext w:val="0"/>
        <w:keepLines w:val="0"/>
        <w:pageBreakBefore w:val="0"/>
        <w:widowControl w:val="0"/>
        <w:numPr>
          <w:ilvl w:val="0"/>
          <w:numId w:val="0"/>
        </w:numPr>
        <w:tabs>
          <w:tab w:val="left" w:pos="420"/>
          <w:tab w:val="left" w:pos="108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2.2.2.1</w:t>
      </w:r>
      <w:r>
        <w:rPr>
          <w:rFonts w:hint="eastAsia" w:ascii="宋体" w:hAnsi="宋体" w:eastAsia="宋体" w:cs="宋体"/>
          <w:color w:val="auto"/>
          <w:sz w:val="24"/>
          <w:szCs w:val="24"/>
          <w:highlight w:val="none"/>
        </w:rPr>
        <w:t>投标（响应）报价低于全部通过符合性审查</w:t>
      </w:r>
      <w:r>
        <w:rPr>
          <w:rFonts w:hint="eastAsia" w:ascii="宋体" w:hAnsi="宋体" w:eastAsia="宋体" w:cs="宋体"/>
          <w:color w:val="auto"/>
          <w:sz w:val="24"/>
          <w:szCs w:val="24"/>
          <w:highlight w:val="none"/>
          <w:lang w:eastAsia="zh-CN"/>
        </w:rPr>
        <w:t>的供应商</w:t>
      </w:r>
      <w:r>
        <w:rPr>
          <w:rFonts w:hint="eastAsia" w:ascii="宋体" w:hAnsi="宋体" w:eastAsia="宋体" w:cs="宋体"/>
          <w:color w:val="auto"/>
          <w:sz w:val="24"/>
          <w:szCs w:val="24"/>
          <w:highlight w:val="none"/>
        </w:rPr>
        <w:t>投标（响应）报价平均值50%的，即投标（响应）报价</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全部通过符合性审查</w:t>
      </w:r>
      <w:r>
        <w:rPr>
          <w:rFonts w:hint="eastAsia" w:ascii="宋体" w:hAnsi="宋体" w:eastAsia="宋体" w:cs="宋体"/>
          <w:color w:val="auto"/>
          <w:sz w:val="24"/>
          <w:szCs w:val="24"/>
          <w:highlight w:val="none"/>
          <w:lang w:eastAsia="zh-CN"/>
        </w:rPr>
        <w:t>的供应商</w:t>
      </w:r>
      <w:r>
        <w:rPr>
          <w:rFonts w:hint="eastAsia" w:ascii="宋体" w:hAnsi="宋体" w:eastAsia="宋体" w:cs="宋体"/>
          <w:color w:val="auto"/>
          <w:sz w:val="24"/>
          <w:szCs w:val="24"/>
          <w:highlight w:val="none"/>
        </w:rPr>
        <w:t>投标（响应）报价平均值×50%；</w:t>
      </w:r>
    </w:p>
    <w:p w14:paraId="16C7B09B">
      <w:pPr>
        <w:keepNext w:val="0"/>
        <w:keepLines w:val="0"/>
        <w:pageBreakBefore w:val="0"/>
        <w:widowControl w:val="0"/>
        <w:numPr>
          <w:ilvl w:val="0"/>
          <w:numId w:val="0"/>
        </w:numPr>
        <w:tabs>
          <w:tab w:val="left" w:pos="420"/>
          <w:tab w:val="left" w:pos="108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2.2.2.2</w:t>
      </w:r>
      <w:r>
        <w:rPr>
          <w:rFonts w:hint="eastAsia" w:ascii="宋体" w:hAnsi="宋体" w:eastAsia="宋体" w:cs="宋体"/>
          <w:color w:val="auto"/>
          <w:sz w:val="24"/>
          <w:szCs w:val="24"/>
          <w:highlight w:val="none"/>
        </w:rPr>
        <w:t>投标（响应）报价低于通过符合性审查的次低报价供应商</w:t>
      </w:r>
      <w:r>
        <w:rPr>
          <w:rFonts w:hint="eastAsia" w:ascii="宋体" w:hAnsi="宋体" w:eastAsia="宋体" w:cs="宋体"/>
          <w:color w:val="auto"/>
          <w:sz w:val="24"/>
          <w:szCs w:val="24"/>
          <w:highlight w:val="none"/>
          <w:lang w:eastAsia="zh-CN"/>
        </w:rPr>
        <w:t>的投标</w:t>
      </w:r>
      <w:r>
        <w:rPr>
          <w:rFonts w:hint="eastAsia" w:ascii="宋体" w:hAnsi="宋体" w:eastAsia="宋体" w:cs="宋体"/>
          <w:color w:val="auto"/>
          <w:sz w:val="24"/>
          <w:szCs w:val="24"/>
          <w:highlight w:val="none"/>
        </w:rPr>
        <w:t>（响应）报价50%的，即投标（响应）报价</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通过符合性审查的次低报价供应商</w:t>
      </w:r>
      <w:r>
        <w:rPr>
          <w:rFonts w:hint="eastAsia" w:ascii="宋体" w:hAnsi="宋体" w:eastAsia="宋体" w:cs="宋体"/>
          <w:color w:val="auto"/>
          <w:sz w:val="24"/>
          <w:szCs w:val="24"/>
          <w:highlight w:val="none"/>
          <w:lang w:eastAsia="zh-CN"/>
        </w:rPr>
        <w:t>的投标</w:t>
      </w:r>
      <w:r>
        <w:rPr>
          <w:rFonts w:hint="eastAsia" w:ascii="宋体" w:hAnsi="宋体" w:eastAsia="宋体" w:cs="宋体"/>
          <w:color w:val="auto"/>
          <w:sz w:val="24"/>
          <w:szCs w:val="24"/>
          <w:highlight w:val="none"/>
        </w:rPr>
        <w:t>（响应）报价×50%；</w:t>
      </w:r>
    </w:p>
    <w:p w14:paraId="3471AE0D">
      <w:pPr>
        <w:keepNext w:val="0"/>
        <w:keepLines w:val="0"/>
        <w:pageBreakBefore w:val="0"/>
        <w:widowControl w:val="0"/>
        <w:numPr>
          <w:ilvl w:val="0"/>
          <w:numId w:val="0"/>
        </w:numPr>
        <w:tabs>
          <w:tab w:val="left" w:pos="420"/>
          <w:tab w:val="left" w:pos="108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2.2.2.3</w:t>
      </w:r>
      <w:r>
        <w:rPr>
          <w:rFonts w:hint="eastAsia" w:ascii="宋体" w:hAnsi="宋体" w:eastAsia="宋体" w:cs="宋体"/>
          <w:color w:val="auto"/>
          <w:sz w:val="24"/>
          <w:szCs w:val="24"/>
          <w:highlight w:val="none"/>
        </w:rPr>
        <w:t>投标（响应）报价低于采购项目最高限价</w:t>
      </w:r>
      <w:r>
        <w:rPr>
          <w:rFonts w:hint="eastAsia" w:ascii="宋体" w:hAnsi="宋体" w:eastAsia="宋体" w:cs="宋体"/>
          <w:color w:val="auto"/>
          <w:sz w:val="24"/>
          <w:szCs w:val="24"/>
          <w:highlight w:val="none"/>
          <w:lang w:eastAsia="zh-CN"/>
        </w:rPr>
        <w:t>45</w:t>
      </w:r>
      <w:r>
        <w:rPr>
          <w:rFonts w:hint="eastAsia" w:ascii="宋体" w:hAnsi="宋体" w:eastAsia="宋体" w:cs="宋体"/>
          <w:color w:val="auto"/>
          <w:sz w:val="24"/>
          <w:szCs w:val="24"/>
          <w:highlight w:val="none"/>
        </w:rPr>
        <w:t>%的，即投标（响应）报价</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采购项目最高限价×45%；</w:t>
      </w:r>
    </w:p>
    <w:p w14:paraId="54DC4AAD">
      <w:pPr>
        <w:keepNext w:val="0"/>
        <w:keepLines w:val="0"/>
        <w:pageBreakBefore w:val="0"/>
        <w:widowControl w:val="0"/>
        <w:numPr>
          <w:ilvl w:val="0"/>
          <w:numId w:val="0"/>
        </w:numPr>
        <w:tabs>
          <w:tab w:val="left" w:pos="420"/>
          <w:tab w:val="left" w:pos="108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2.2.2.4</w:t>
      </w:r>
      <w:r>
        <w:rPr>
          <w:rFonts w:hint="eastAsia" w:ascii="宋体" w:hAnsi="宋体" w:eastAsia="宋体" w:cs="宋体"/>
          <w:color w:val="auto"/>
          <w:sz w:val="24"/>
          <w:szCs w:val="24"/>
          <w:highlight w:val="none"/>
        </w:rPr>
        <w:t>评标委员会基于专业判断，认为供应商报价过低，有可能影响产品质量或者不能诚信履约的其他情形。</w:t>
      </w:r>
    </w:p>
    <w:p w14:paraId="32D0B0E7">
      <w:pPr>
        <w:keepNext w:val="0"/>
        <w:keepLines w:val="0"/>
        <w:pageBreakBefore w:val="0"/>
        <w:widowControl w:val="0"/>
        <w:numPr>
          <w:ilvl w:val="0"/>
          <w:numId w:val="0"/>
        </w:numPr>
        <w:tabs>
          <w:tab w:val="left" w:pos="420"/>
          <w:tab w:val="left" w:pos="108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2.2.2.5</w:t>
      </w:r>
      <w:r>
        <w:rPr>
          <w:rFonts w:hint="eastAsia" w:ascii="宋体" w:hAnsi="宋体" w:eastAsia="宋体" w:cs="宋体"/>
          <w:color w:val="auto"/>
          <w:sz w:val="24"/>
          <w:szCs w:val="24"/>
          <w:highlight w:val="none"/>
        </w:rPr>
        <w:t>相关法律法规对供应商报价有规定的，从其规定。</w:t>
      </w:r>
    </w:p>
    <w:p w14:paraId="28E0F868">
      <w:pPr>
        <w:keepNext w:val="0"/>
        <w:keepLines w:val="0"/>
        <w:pageBreakBefore w:val="0"/>
        <w:widowControl w:val="0"/>
        <w:numPr>
          <w:ilvl w:val="0"/>
          <w:numId w:val="0"/>
        </w:numPr>
        <w:tabs>
          <w:tab w:val="left" w:pos="108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2.2.3</w:t>
      </w:r>
      <w:r>
        <w:rPr>
          <w:rFonts w:hint="eastAsia" w:ascii="宋体" w:hAnsi="宋体" w:eastAsia="宋体" w:cs="宋体"/>
          <w:color w:val="auto"/>
          <w:sz w:val="24"/>
          <w:szCs w:val="24"/>
          <w:highlight w:val="none"/>
        </w:rPr>
        <w:t>评标委员会启动异常低价投标（响应）审查后，属于前述第</w:t>
      </w:r>
      <w:r>
        <w:rPr>
          <w:rFonts w:hint="eastAsia" w:ascii="宋体" w:hAnsi="宋体" w:eastAsia="宋体" w:cs="宋体"/>
          <w:color w:val="auto"/>
          <w:sz w:val="24"/>
          <w:szCs w:val="24"/>
          <w:highlight w:val="none"/>
          <w:lang w:val="en-US" w:eastAsia="zh-CN"/>
        </w:rPr>
        <w:t>2.2.2.1</w:t>
      </w:r>
      <w:r>
        <w:rPr>
          <w:rFonts w:hint="eastAsia" w:ascii="宋体" w:hAnsi="宋体" w:eastAsia="宋体" w:cs="宋体"/>
          <w:color w:val="auto"/>
          <w:sz w:val="24"/>
          <w:szCs w:val="24"/>
          <w:highlight w:val="none"/>
        </w:rPr>
        <w:t>项至第</w:t>
      </w:r>
      <w:r>
        <w:rPr>
          <w:rFonts w:hint="eastAsia" w:ascii="宋体" w:hAnsi="宋体" w:eastAsia="宋体" w:cs="宋体"/>
          <w:color w:val="auto"/>
          <w:sz w:val="24"/>
          <w:szCs w:val="24"/>
          <w:highlight w:val="none"/>
          <w:lang w:val="en-US" w:eastAsia="zh-CN"/>
        </w:rPr>
        <w:t>2.2.2.4</w:t>
      </w:r>
      <w:r>
        <w:rPr>
          <w:rFonts w:hint="eastAsia" w:ascii="宋体" w:hAnsi="宋体" w:eastAsia="宋体" w:cs="宋体"/>
          <w:color w:val="auto"/>
          <w:sz w:val="24"/>
          <w:szCs w:val="24"/>
          <w:highlight w:val="none"/>
        </w:rPr>
        <w:t>项情形的，应当要求相关供应商在评审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b/>
          <w:bCs/>
          <w:color w:val="auto"/>
          <w:sz w:val="24"/>
          <w:szCs w:val="24"/>
          <w:highlight w:val="none"/>
        </w:rPr>
        <w:t>以政采云公布时间为准</w:t>
      </w:r>
      <w:r>
        <w:rPr>
          <w:rFonts w:hint="eastAsia" w:ascii="宋体" w:hAnsi="宋体" w:eastAsia="宋体" w:cs="宋体"/>
          <w:color w:val="auto"/>
          <w:sz w:val="24"/>
          <w:szCs w:val="24"/>
          <w:highlight w:val="none"/>
        </w:rPr>
        <w:t>）。其中，属于第</w:t>
      </w:r>
      <w:r>
        <w:rPr>
          <w:rFonts w:hint="eastAsia" w:ascii="宋体" w:hAnsi="宋体" w:eastAsia="宋体" w:cs="宋体"/>
          <w:color w:val="auto"/>
          <w:sz w:val="24"/>
          <w:szCs w:val="24"/>
          <w:highlight w:val="none"/>
          <w:lang w:val="en-US" w:eastAsia="zh-CN"/>
        </w:rPr>
        <w:t>2.2.2.3</w:t>
      </w:r>
      <w:r>
        <w:rPr>
          <w:rFonts w:hint="eastAsia" w:ascii="宋体" w:hAnsi="宋体" w:eastAsia="宋体" w:cs="宋体"/>
          <w:color w:val="auto"/>
          <w:sz w:val="24"/>
          <w:szCs w:val="24"/>
          <w:highlight w:val="none"/>
        </w:rPr>
        <w:t>项情形，</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已随投标（响应）文件一并提交相关书面说明及必要的证明材料的，可不再重复提交。</w:t>
      </w:r>
    </w:p>
    <w:p w14:paraId="2DDCA383">
      <w:pPr>
        <w:keepNext w:val="0"/>
        <w:keepLines w:val="0"/>
        <w:pageBreakBefore w:val="0"/>
        <w:widowControl w:val="0"/>
        <w:numPr>
          <w:ilvl w:val="0"/>
          <w:numId w:val="0"/>
        </w:numPr>
        <w:tabs>
          <w:tab w:val="left" w:pos="108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2.2.4</w:t>
      </w:r>
      <w:r>
        <w:rPr>
          <w:rFonts w:hint="eastAsia" w:ascii="宋体" w:hAnsi="宋体" w:eastAsia="宋体" w:cs="宋体"/>
          <w:color w:val="auto"/>
          <w:sz w:val="24"/>
          <w:szCs w:val="24"/>
          <w:highlight w:val="none"/>
          <w:lang w:eastAsia="zh-CN"/>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6EA1979B">
      <w:pPr>
        <w:keepNext w:val="0"/>
        <w:keepLines w:val="0"/>
        <w:pageBreakBefore w:val="0"/>
        <w:widowControl w:val="0"/>
        <w:numPr>
          <w:ilvl w:val="0"/>
          <w:numId w:val="0"/>
        </w:numPr>
        <w:tabs>
          <w:tab w:val="left" w:pos="108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2.2.5</w:t>
      </w:r>
      <w:r>
        <w:rPr>
          <w:rFonts w:hint="eastAsia" w:ascii="宋体" w:hAnsi="宋体" w:eastAsia="宋体" w:cs="宋体"/>
          <w:color w:val="auto"/>
          <w:sz w:val="24"/>
          <w:szCs w:val="24"/>
          <w:highlight w:val="none"/>
          <w:lang w:eastAsia="zh-CN"/>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38E1F772">
      <w:pPr>
        <w:keepNext w:val="0"/>
        <w:keepLines w:val="0"/>
        <w:pageBreakBefore w:val="0"/>
        <w:widowControl w:val="0"/>
        <w:numPr>
          <w:ilvl w:val="0"/>
          <w:numId w:val="0"/>
        </w:numPr>
        <w:tabs>
          <w:tab w:val="left" w:pos="108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2.2.6</w:t>
      </w:r>
      <w:r>
        <w:rPr>
          <w:rFonts w:hint="eastAsia" w:ascii="宋体" w:hAnsi="宋体" w:eastAsia="宋体" w:cs="宋体"/>
          <w:color w:val="auto"/>
          <w:sz w:val="24"/>
          <w:szCs w:val="24"/>
          <w:highlight w:val="none"/>
          <w:lang w:eastAsia="zh-CN"/>
        </w:rPr>
        <w:t>异常低价投标（响应）审查的启动原因、审查意见和审查结果应当在评审报告中记录，并随供应商提供的相关书面说明及证明材料，以及评标委员会有关互联网浏览、查询历史一并归档。</w:t>
      </w:r>
    </w:p>
    <w:p w14:paraId="77F61C72">
      <w:pPr>
        <w:keepNext w:val="0"/>
        <w:keepLines w:val="0"/>
        <w:pageBreakBefore w:val="0"/>
        <w:widowControl w:val="0"/>
        <w:numPr>
          <w:ilvl w:val="0"/>
          <w:numId w:val="0"/>
        </w:numPr>
        <w:tabs>
          <w:tab w:val="left" w:pos="108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rPr>
        <w:t>投标报价须包含招标文件全部内容，如分项报价表有缺漏视为已含在其他各项报价中，将不对投标总价进行调整。评标委员会有权要求供应商在评标合理的时间内对此进行书面确认，供应商不确认的，视为将一个采购包中的内容拆分投标，其</w:t>
      </w:r>
      <w:r>
        <w:rPr>
          <w:rFonts w:hint="eastAsia" w:ascii="宋体" w:hAnsi="宋体" w:eastAsia="宋体" w:cs="宋体"/>
          <w:b/>
          <w:color w:val="auto"/>
          <w:sz w:val="24"/>
          <w:szCs w:val="24"/>
          <w:highlight w:val="none"/>
        </w:rPr>
        <w:t>投标无效</w:t>
      </w:r>
      <w:r>
        <w:rPr>
          <w:rFonts w:hint="eastAsia" w:ascii="宋体" w:hAnsi="宋体" w:eastAsia="宋体" w:cs="宋体"/>
          <w:color w:val="auto"/>
          <w:sz w:val="24"/>
          <w:szCs w:val="24"/>
          <w:highlight w:val="none"/>
        </w:rPr>
        <w:t>。</w:t>
      </w:r>
    </w:p>
    <w:p w14:paraId="5DE0BCDC">
      <w:pPr>
        <w:keepNext w:val="0"/>
        <w:keepLines w:val="0"/>
        <w:pageBreakBefore w:val="0"/>
        <w:widowControl w:val="0"/>
        <w:numPr>
          <w:ilvl w:val="0"/>
          <w:numId w:val="0"/>
        </w:numPr>
        <w:tabs>
          <w:tab w:val="left" w:pos="108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2.4</w:t>
      </w:r>
      <w:r>
        <w:rPr>
          <w:rFonts w:hint="eastAsia" w:ascii="宋体" w:hAnsi="宋体" w:eastAsia="宋体" w:cs="宋体"/>
          <w:color w:val="auto"/>
          <w:sz w:val="24"/>
          <w:szCs w:val="24"/>
          <w:highlight w:val="none"/>
        </w:rPr>
        <w:t>投标文件报价出现前后不一致的，按照下列规定修正：</w:t>
      </w:r>
    </w:p>
    <w:p w14:paraId="5D5895D4">
      <w:pPr>
        <w:keepNext w:val="0"/>
        <w:keepLines w:val="0"/>
        <w:pageBreakBefore w:val="0"/>
        <w:widowControl w:val="0"/>
        <w:numPr>
          <w:ilvl w:val="0"/>
          <w:numId w:val="0"/>
        </w:numPr>
        <w:tabs>
          <w:tab w:val="left" w:pos="1080"/>
          <w:tab w:val="left" w:pos="1589"/>
          <w:tab w:val="left" w:pos="2035"/>
          <w:tab w:val="left" w:pos="21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2.4.1</w:t>
      </w:r>
      <w:r>
        <w:rPr>
          <w:rFonts w:hint="eastAsia" w:ascii="宋体" w:hAnsi="宋体" w:eastAsia="宋体" w:cs="宋体"/>
          <w:color w:val="auto"/>
          <w:sz w:val="24"/>
          <w:szCs w:val="24"/>
          <w:highlight w:val="none"/>
        </w:rPr>
        <w:t>招标文件对于报价修正是否另有规定：</w:t>
      </w:r>
    </w:p>
    <w:p w14:paraId="27269E5C">
      <w:pPr>
        <w:keepNext w:val="0"/>
        <w:keepLines w:val="0"/>
        <w:pageBreakBefore w:val="0"/>
        <w:widowControl w:val="0"/>
        <w:tabs>
          <w:tab w:val="left" w:pos="1080"/>
          <w:tab w:val="left" w:pos="1589"/>
          <w:tab w:val="left" w:pos="2035"/>
          <w:tab w:val="left" w:pos="2114"/>
        </w:tabs>
        <w:kinsoku/>
        <w:wordWrap/>
        <w:overflowPunct/>
        <w:topLinePunct w:val="0"/>
        <w:autoSpaceDE/>
        <w:autoSpaceDN/>
        <w:bidi w:val="0"/>
        <w:adjustRightInd/>
        <w:snapToGrid w:val="0"/>
        <w:spacing w:line="360" w:lineRule="auto"/>
        <w:ind w:left="2035"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□有，具体规定为：______________</w:t>
      </w:r>
    </w:p>
    <w:p w14:paraId="3A2273B8">
      <w:pPr>
        <w:keepNext w:val="0"/>
        <w:keepLines w:val="0"/>
        <w:pageBreakBefore w:val="0"/>
        <w:widowControl w:val="0"/>
        <w:tabs>
          <w:tab w:val="left" w:pos="1080"/>
          <w:tab w:val="left" w:pos="1589"/>
          <w:tab w:val="left" w:pos="2035"/>
          <w:tab w:val="left" w:pos="2114"/>
        </w:tabs>
        <w:kinsoku/>
        <w:wordWrap/>
        <w:overflowPunct/>
        <w:topLinePunct w:val="0"/>
        <w:autoSpaceDE/>
        <w:autoSpaceDN/>
        <w:bidi w:val="0"/>
        <w:adjustRightInd/>
        <w:snapToGrid w:val="0"/>
        <w:spacing w:line="360" w:lineRule="auto"/>
        <w:ind w:left="2035"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☑无，按下述2.4.2-2.4.6项规定修正。</w:t>
      </w:r>
    </w:p>
    <w:p w14:paraId="3F20286B">
      <w:pPr>
        <w:keepNext w:val="0"/>
        <w:keepLines w:val="0"/>
        <w:pageBreakBefore w:val="0"/>
        <w:widowControl w:val="0"/>
        <w:numPr>
          <w:ilvl w:val="0"/>
          <w:numId w:val="0"/>
        </w:numPr>
        <w:tabs>
          <w:tab w:val="left" w:pos="2035"/>
          <w:tab w:val="left" w:pos="2114"/>
          <w:tab w:val="left" w:pos="2977"/>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2.4.2</w:t>
      </w:r>
      <w:r>
        <w:rPr>
          <w:rFonts w:hint="eastAsia" w:ascii="宋体" w:hAnsi="宋体" w:eastAsia="宋体" w:cs="宋体"/>
          <w:color w:val="auto"/>
          <w:sz w:val="24"/>
          <w:szCs w:val="24"/>
          <w:highlight w:val="none"/>
        </w:rPr>
        <w:t>投标文件中开标一览表（报价表）内容与投标文件中相应内容不一致的，以开标一览表（报价表）为准；</w:t>
      </w:r>
    </w:p>
    <w:p w14:paraId="63ED3E11">
      <w:pPr>
        <w:keepNext w:val="0"/>
        <w:keepLines w:val="0"/>
        <w:pageBreakBefore w:val="0"/>
        <w:widowControl w:val="0"/>
        <w:numPr>
          <w:ilvl w:val="0"/>
          <w:numId w:val="0"/>
        </w:numPr>
        <w:tabs>
          <w:tab w:val="left" w:pos="2035"/>
          <w:tab w:val="left" w:pos="2114"/>
          <w:tab w:val="left" w:pos="2977"/>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2.4.3</w:t>
      </w:r>
      <w:r>
        <w:rPr>
          <w:rFonts w:hint="eastAsia" w:ascii="宋体" w:hAnsi="宋体" w:eastAsia="宋体" w:cs="宋体"/>
          <w:color w:val="auto"/>
          <w:sz w:val="24"/>
          <w:szCs w:val="24"/>
          <w:highlight w:val="none"/>
        </w:rPr>
        <w:t>大写金额和小写金额不一致的，以大写金额为准；</w:t>
      </w:r>
    </w:p>
    <w:p w14:paraId="75F8184D">
      <w:pPr>
        <w:keepNext w:val="0"/>
        <w:keepLines w:val="0"/>
        <w:pageBreakBefore w:val="0"/>
        <w:widowControl w:val="0"/>
        <w:numPr>
          <w:ilvl w:val="0"/>
          <w:numId w:val="0"/>
        </w:numPr>
        <w:tabs>
          <w:tab w:val="left" w:pos="2035"/>
          <w:tab w:val="left" w:pos="2114"/>
          <w:tab w:val="left" w:pos="2977"/>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2.4.4</w:t>
      </w:r>
      <w:r>
        <w:rPr>
          <w:rFonts w:hint="eastAsia" w:ascii="宋体" w:hAnsi="宋体" w:eastAsia="宋体" w:cs="宋体"/>
          <w:color w:val="auto"/>
          <w:sz w:val="24"/>
          <w:szCs w:val="24"/>
          <w:highlight w:val="none"/>
        </w:rPr>
        <w:t>单价金额小数点或者百分比有明显错位的，以开标一览表的总价为准，并修改单价；</w:t>
      </w:r>
    </w:p>
    <w:p w14:paraId="4D77B80B">
      <w:pPr>
        <w:keepNext w:val="0"/>
        <w:keepLines w:val="0"/>
        <w:pageBreakBefore w:val="0"/>
        <w:widowControl w:val="0"/>
        <w:numPr>
          <w:ilvl w:val="0"/>
          <w:numId w:val="0"/>
        </w:numPr>
        <w:tabs>
          <w:tab w:val="left" w:pos="2035"/>
          <w:tab w:val="left" w:pos="2114"/>
          <w:tab w:val="left" w:pos="2977"/>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2.4.5</w:t>
      </w:r>
      <w:r>
        <w:rPr>
          <w:rFonts w:hint="eastAsia" w:ascii="宋体" w:hAnsi="宋体" w:eastAsia="宋体" w:cs="宋体"/>
          <w:color w:val="auto"/>
          <w:sz w:val="24"/>
          <w:szCs w:val="24"/>
          <w:highlight w:val="none"/>
        </w:rPr>
        <w:t>总价金额与按单价汇总金额不一致的，以单价金额计算结果为准。</w:t>
      </w:r>
    </w:p>
    <w:p w14:paraId="690034CE">
      <w:pPr>
        <w:keepNext w:val="0"/>
        <w:keepLines w:val="0"/>
        <w:pageBreakBefore w:val="0"/>
        <w:widowControl w:val="0"/>
        <w:numPr>
          <w:ilvl w:val="0"/>
          <w:numId w:val="0"/>
        </w:numPr>
        <w:tabs>
          <w:tab w:val="left" w:pos="1080"/>
          <w:tab w:val="left" w:pos="1589"/>
          <w:tab w:val="left" w:pos="2035"/>
          <w:tab w:val="left" w:pos="21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2.4.6</w:t>
      </w:r>
      <w:r>
        <w:rPr>
          <w:rFonts w:hint="eastAsia" w:ascii="宋体" w:hAnsi="宋体" w:eastAsia="宋体" w:cs="宋体"/>
          <w:color w:val="auto"/>
          <w:sz w:val="24"/>
          <w:szCs w:val="24"/>
          <w:highlight w:val="none"/>
        </w:rPr>
        <w:t>同时出现两种以上不一致的，按照前款规定的顺序修正。修正后的报价经供应商书面确认后产生约束力，供应商不确认的，其</w:t>
      </w:r>
      <w:r>
        <w:rPr>
          <w:rFonts w:hint="eastAsia" w:ascii="宋体" w:hAnsi="宋体" w:eastAsia="宋体" w:cs="宋体"/>
          <w:b/>
          <w:color w:val="auto"/>
          <w:sz w:val="24"/>
          <w:szCs w:val="24"/>
          <w:highlight w:val="none"/>
        </w:rPr>
        <w:t>投标无效</w:t>
      </w:r>
      <w:r>
        <w:rPr>
          <w:rFonts w:hint="eastAsia" w:ascii="宋体" w:hAnsi="宋体" w:eastAsia="宋体" w:cs="宋体"/>
          <w:color w:val="auto"/>
          <w:sz w:val="24"/>
          <w:szCs w:val="24"/>
          <w:highlight w:val="none"/>
        </w:rPr>
        <w:t>。</w:t>
      </w:r>
    </w:p>
    <w:p w14:paraId="2E6929D7">
      <w:pPr>
        <w:keepNext w:val="0"/>
        <w:keepLines w:val="0"/>
        <w:pageBreakBefore w:val="0"/>
        <w:widowControl w:val="0"/>
        <w:numPr>
          <w:ilvl w:val="0"/>
          <w:numId w:val="0"/>
        </w:numPr>
        <w:tabs>
          <w:tab w:val="left" w:pos="108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落实政府采购政策的价格调整：符合</w:t>
      </w:r>
      <w:r>
        <w:rPr>
          <w:rFonts w:hint="eastAsia" w:ascii="宋体" w:hAnsi="宋体" w:eastAsia="宋体" w:cs="宋体"/>
          <w:color w:val="auto"/>
          <w:sz w:val="24"/>
          <w:szCs w:val="24"/>
          <w:highlight w:val="none"/>
          <w:lang w:val="en-US" w:eastAsia="zh-CN"/>
        </w:rPr>
        <w:t>招标文件</w:t>
      </w:r>
      <w:r>
        <w:rPr>
          <w:rFonts w:hint="eastAsia" w:ascii="宋体" w:hAnsi="宋体" w:eastAsia="宋体" w:cs="宋体"/>
          <w:color w:val="auto"/>
          <w:sz w:val="24"/>
          <w:szCs w:val="24"/>
          <w:highlight w:val="none"/>
        </w:rPr>
        <w:t>政府采购政策</w:t>
      </w:r>
      <w:r>
        <w:rPr>
          <w:rFonts w:hint="eastAsia" w:ascii="宋体" w:hAnsi="宋体" w:eastAsia="宋体" w:cs="宋体"/>
          <w:color w:val="auto"/>
          <w:sz w:val="24"/>
          <w:szCs w:val="24"/>
          <w:highlight w:val="none"/>
          <w:lang w:val="en-US" w:eastAsia="zh-CN"/>
        </w:rPr>
        <w:t>中</w:t>
      </w:r>
      <w:r>
        <w:rPr>
          <w:rFonts w:hint="eastAsia" w:ascii="宋体" w:hAnsi="宋体" w:eastAsia="宋体" w:cs="宋体"/>
          <w:color w:val="auto"/>
          <w:sz w:val="24"/>
          <w:szCs w:val="24"/>
          <w:highlight w:val="none"/>
        </w:rPr>
        <w:t>规定情形的，可以享受中小企业扶持政策，用扣除后的价格参加评审；否则，评标时价格不予扣除。</w:t>
      </w:r>
    </w:p>
    <w:p w14:paraId="24F22829">
      <w:pPr>
        <w:keepNext w:val="0"/>
        <w:keepLines w:val="0"/>
        <w:pageBreakBefore w:val="0"/>
        <w:widowControl w:val="0"/>
        <w:numPr>
          <w:ilvl w:val="0"/>
          <w:numId w:val="0"/>
        </w:numPr>
        <w:tabs>
          <w:tab w:val="left" w:pos="108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2.5.1</w:t>
      </w:r>
      <w:r>
        <w:rPr>
          <w:rFonts w:hint="eastAsia" w:ascii="宋体" w:hAnsi="宋体" w:eastAsia="宋体" w:cs="宋体"/>
          <w:color w:val="auto"/>
          <w:sz w:val="24"/>
          <w:szCs w:val="24"/>
          <w:highlight w:val="none"/>
        </w:rPr>
        <w:t>对于未预留份额专门面向中小企业采购的采购项目，以及预留份额项目中的非预留部分采购包，对小</w:t>
      </w:r>
      <w:r>
        <w:rPr>
          <w:rFonts w:hint="eastAsia" w:ascii="宋体" w:hAnsi="宋体" w:eastAsia="宋体" w:cs="宋体"/>
          <w:color w:val="auto"/>
          <w:sz w:val="24"/>
          <w:szCs w:val="24"/>
          <w:highlight w:val="none"/>
          <w:lang w:val="en-US" w:eastAsia="zh-CN"/>
        </w:rPr>
        <w:t>型、</w:t>
      </w:r>
      <w:r>
        <w:rPr>
          <w:rFonts w:hint="eastAsia" w:ascii="宋体" w:hAnsi="宋体" w:eastAsia="宋体" w:cs="宋体"/>
          <w:color w:val="auto"/>
          <w:sz w:val="24"/>
          <w:szCs w:val="24"/>
          <w:highlight w:val="none"/>
        </w:rPr>
        <w:t>微</w:t>
      </w:r>
      <w:r>
        <w:rPr>
          <w:rFonts w:hint="eastAsia" w:ascii="宋体" w:hAnsi="宋体" w:eastAsia="宋体" w:cs="宋体"/>
          <w:color w:val="auto"/>
          <w:sz w:val="24"/>
          <w:szCs w:val="24"/>
          <w:highlight w:val="none"/>
          <w:lang w:val="en-US" w:eastAsia="zh-CN"/>
        </w:rPr>
        <w:t>型</w:t>
      </w:r>
      <w:r>
        <w:rPr>
          <w:rFonts w:hint="eastAsia" w:ascii="宋体" w:hAnsi="宋体" w:eastAsia="宋体" w:cs="宋体"/>
          <w:color w:val="auto"/>
          <w:sz w:val="24"/>
          <w:szCs w:val="24"/>
          <w:highlight w:val="none"/>
        </w:rPr>
        <w:t>企业报价给予</w:t>
      </w:r>
      <w:r>
        <w:rPr>
          <w:rFonts w:hint="eastAsia" w:ascii="宋体" w:hAnsi="宋体" w:eastAsia="宋体" w:cs="宋体"/>
          <w:b/>
          <w:bCs/>
          <w:color w:val="auto"/>
          <w:sz w:val="24"/>
          <w:szCs w:val="24"/>
          <w:highlight w:val="none"/>
        </w:rPr>
        <w:t>10%</w:t>
      </w:r>
      <w:r>
        <w:rPr>
          <w:rFonts w:hint="eastAsia" w:ascii="宋体" w:hAnsi="宋体" w:eastAsia="宋体" w:cs="宋体"/>
          <w:color w:val="auto"/>
          <w:sz w:val="24"/>
          <w:szCs w:val="24"/>
          <w:highlight w:val="none"/>
        </w:rPr>
        <w:t>的扣除，用扣除后的价格参加评审。</w:t>
      </w:r>
    </w:p>
    <w:p w14:paraId="11627D85">
      <w:pPr>
        <w:keepNext w:val="0"/>
        <w:keepLines w:val="0"/>
        <w:pageBreakBefore w:val="0"/>
        <w:widowControl w:val="0"/>
        <w:numPr>
          <w:ilvl w:val="0"/>
          <w:numId w:val="0"/>
        </w:numPr>
        <w:tabs>
          <w:tab w:val="left" w:pos="1080"/>
          <w:tab w:val="left" w:pos="1589"/>
          <w:tab w:val="left" w:pos="2035"/>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2.5.2</w:t>
      </w:r>
      <w:r>
        <w:rPr>
          <w:rFonts w:hint="eastAsia" w:ascii="宋体" w:hAnsi="宋体" w:eastAsia="宋体" w:cs="宋体"/>
          <w:color w:val="auto"/>
          <w:sz w:val="24"/>
          <w:szCs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Pr>
          <w:rFonts w:hint="eastAsia" w:ascii="宋体" w:hAnsi="宋体" w:eastAsia="宋体" w:cs="宋体"/>
          <w:b w:val="0"/>
          <w:bCs w:val="0"/>
          <w:color w:val="auto"/>
          <w:sz w:val="24"/>
          <w:szCs w:val="24"/>
          <w:highlight w:val="none"/>
        </w:rPr>
        <w:t>4%的</w:t>
      </w:r>
      <w:r>
        <w:rPr>
          <w:rFonts w:hint="eastAsia" w:ascii="宋体" w:hAnsi="宋体" w:eastAsia="宋体" w:cs="宋体"/>
          <w:color w:val="auto"/>
          <w:sz w:val="24"/>
          <w:szCs w:val="24"/>
          <w:highlight w:val="none"/>
        </w:rPr>
        <w:t>扣除，用扣除后的价格参加评审。</w:t>
      </w:r>
    </w:p>
    <w:p w14:paraId="18E23E2F">
      <w:pPr>
        <w:keepNext w:val="0"/>
        <w:keepLines w:val="0"/>
        <w:pageBreakBefore w:val="0"/>
        <w:widowControl w:val="0"/>
        <w:numPr>
          <w:ilvl w:val="0"/>
          <w:numId w:val="0"/>
        </w:numPr>
        <w:tabs>
          <w:tab w:val="left" w:pos="1080"/>
          <w:tab w:val="left" w:pos="1589"/>
          <w:tab w:val="left" w:pos="2035"/>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2.5.3</w:t>
      </w:r>
      <w:r>
        <w:rPr>
          <w:rFonts w:hint="eastAsia" w:ascii="宋体" w:hAnsi="宋体" w:eastAsia="宋体" w:cs="宋体"/>
          <w:color w:val="auto"/>
          <w:sz w:val="24"/>
          <w:szCs w:val="24"/>
          <w:highlight w:val="none"/>
        </w:rPr>
        <w:t>组成联合体或者接受分包的小微企业与联合体内其他企业、分包企业之间存在直接控股、管理关系的，不享受价格扣除优惠政策。</w:t>
      </w:r>
    </w:p>
    <w:p w14:paraId="4B498CFD">
      <w:pPr>
        <w:keepNext w:val="0"/>
        <w:keepLines w:val="0"/>
        <w:pageBreakBefore w:val="0"/>
        <w:widowControl w:val="0"/>
        <w:numPr>
          <w:ilvl w:val="0"/>
          <w:numId w:val="0"/>
        </w:numPr>
        <w:tabs>
          <w:tab w:val="left" w:pos="1080"/>
          <w:tab w:val="left" w:pos="1589"/>
          <w:tab w:val="left" w:pos="2035"/>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2.5.4</w:t>
      </w:r>
      <w:r>
        <w:rPr>
          <w:rFonts w:hint="eastAsia" w:ascii="宋体" w:hAnsi="宋体" w:eastAsia="宋体" w:cs="宋体"/>
          <w:color w:val="auto"/>
          <w:sz w:val="24"/>
          <w:szCs w:val="24"/>
          <w:highlight w:val="none"/>
        </w:rPr>
        <w:t>价格扣除比例对小型企业和微型企业同等对待，不作区分。</w:t>
      </w:r>
    </w:p>
    <w:p w14:paraId="096A44B5">
      <w:pPr>
        <w:keepNext w:val="0"/>
        <w:keepLines w:val="0"/>
        <w:pageBreakBefore w:val="0"/>
        <w:widowControl w:val="0"/>
        <w:numPr>
          <w:ilvl w:val="0"/>
          <w:numId w:val="0"/>
        </w:numPr>
        <w:tabs>
          <w:tab w:val="left" w:pos="1080"/>
          <w:tab w:val="left" w:pos="1589"/>
          <w:tab w:val="left" w:pos="2035"/>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2.5.5</w:t>
      </w:r>
      <w:r>
        <w:rPr>
          <w:rFonts w:hint="eastAsia" w:ascii="宋体" w:hAnsi="宋体" w:eastAsia="宋体" w:cs="宋体"/>
          <w:color w:val="auto"/>
          <w:sz w:val="24"/>
          <w:szCs w:val="24"/>
          <w:highlight w:val="none"/>
        </w:rPr>
        <w:t>中小企业参加政府采购活动，应当按照招标文件给定的格式出具《中小企业声明函》，否则不得享受相关中小企业扶持政策。</w:t>
      </w:r>
    </w:p>
    <w:p w14:paraId="61A35227">
      <w:pPr>
        <w:keepNext w:val="0"/>
        <w:keepLines w:val="0"/>
        <w:pageBreakBefore w:val="0"/>
        <w:widowControl w:val="0"/>
        <w:numPr>
          <w:ilvl w:val="0"/>
          <w:numId w:val="0"/>
        </w:numPr>
        <w:tabs>
          <w:tab w:val="left" w:pos="1080"/>
          <w:tab w:val="left" w:pos="1589"/>
          <w:tab w:val="left" w:pos="2035"/>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2.5.6</w:t>
      </w:r>
      <w:r>
        <w:rPr>
          <w:rFonts w:hint="eastAsia" w:ascii="宋体" w:hAnsi="宋体" w:eastAsia="宋体" w:cs="宋体"/>
          <w:color w:val="auto"/>
          <w:sz w:val="24"/>
          <w:szCs w:val="24"/>
          <w:highlight w:val="none"/>
        </w:rPr>
        <w:t>监狱企业提供了由省级以上监狱管理局、戒毒管理局（含新疆生产建设兵团）出具的属于监狱企业的证明文件的，视同小微企业。</w:t>
      </w:r>
    </w:p>
    <w:p w14:paraId="31761D15">
      <w:pPr>
        <w:keepNext w:val="0"/>
        <w:keepLines w:val="0"/>
        <w:pageBreakBefore w:val="0"/>
        <w:widowControl w:val="0"/>
        <w:numPr>
          <w:ilvl w:val="0"/>
          <w:numId w:val="0"/>
        </w:numPr>
        <w:tabs>
          <w:tab w:val="left" w:pos="1080"/>
          <w:tab w:val="left" w:pos="1589"/>
          <w:tab w:val="left" w:pos="2035"/>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2.5.7</w:t>
      </w:r>
      <w:r>
        <w:rPr>
          <w:rFonts w:hint="eastAsia" w:ascii="宋体" w:hAnsi="宋体" w:eastAsia="宋体" w:cs="宋体"/>
          <w:color w:val="auto"/>
          <w:sz w:val="24"/>
          <w:szCs w:val="24"/>
          <w:highlight w:val="none"/>
        </w:rPr>
        <w:t>残疾人福利性单位按招标文件要求提供了《残疾人福利性单位声明函》的，视同小微企业。</w:t>
      </w:r>
    </w:p>
    <w:p w14:paraId="403A2F36">
      <w:pPr>
        <w:keepNext w:val="0"/>
        <w:keepLines w:val="0"/>
        <w:pageBreakBefore w:val="0"/>
        <w:widowControl w:val="0"/>
        <w:numPr>
          <w:ilvl w:val="0"/>
          <w:numId w:val="0"/>
        </w:numPr>
        <w:tabs>
          <w:tab w:val="left" w:pos="1080"/>
          <w:tab w:val="left" w:pos="1589"/>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2.5.8</w:t>
      </w:r>
      <w:r>
        <w:rPr>
          <w:rFonts w:hint="eastAsia" w:ascii="宋体" w:hAnsi="宋体" w:eastAsia="宋体" w:cs="宋体"/>
          <w:color w:val="auto"/>
          <w:sz w:val="24"/>
          <w:szCs w:val="24"/>
          <w:highlight w:val="none"/>
        </w:rPr>
        <w:t>若供应商同时属于小型或微型企业、监狱企业、残疾人福利性单位中的两种及以上，将不重复享受小微企业价格扣减的优惠政策。</w:t>
      </w:r>
    </w:p>
    <w:p w14:paraId="5E6A3231">
      <w:pPr>
        <w:numPr>
          <w:ilvl w:val="0"/>
          <w:numId w:val="0"/>
        </w:numPr>
        <w:tabs>
          <w:tab w:val="left" w:pos="360"/>
        </w:tabs>
        <w:snapToGrid w:val="0"/>
        <w:spacing w:line="360" w:lineRule="auto"/>
        <w:ind w:leftChars="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投标文件的比较和评价</w:t>
      </w:r>
    </w:p>
    <w:p w14:paraId="50DE6981">
      <w:pPr>
        <w:keepNext w:val="0"/>
        <w:keepLines w:val="0"/>
        <w:pageBreakBefore w:val="0"/>
        <w:widowControl w:val="0"/>
        <w:numPr>
          <w:ilvl w:val="0"/>
          <w:numId w:val="0"/>
        </w:numPr>
        <w:tabs>
          <w:tab w:val="left" w:pos="108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rPr>
        <w:t>评标委员会将按照招标文件中规定的评标方法和标准，对符合性审查合格的投标文件进行商务和技术评估，综合比较与评价；未通过符合性审查的投标文件不得进入比较与评价。</w:t>
      </w:r>
    </w:p>
    <w:p w14:paraId="1A3B8C0E">
      <w:pPr>
        <w:keepNext w:val="0"/>
        <w:keepLines w:val="0"/>
        <w:pageBreakBefore w:val="0"/>
        <w:widowControl w:val="0"/>
        <w:numPr>
          <w:ilvl w:val="0"/>
          <w:numId w:val="0"/>
        </w:numPr>
        <w:tabs>
          <w:tab w:val="left" w:pos="108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w:t>
      </w:r>
      <w:r>
        <w:rPr>
          <w:rFonts w:hint="eastAsia" w:ascii="宋体" w:hAnsi="宋体" w:eastAsia="宋体" w:cs="宋体"/>
          <w:color w:val="auto"/>
          <w:sz w:val="24"/>
          <w:szCs w:val="24"/>
          <w:highlight w:val="none"/>
        </w:rPr>
        <w:t>评标方法和评标标准</w:t>
      </w:r>
    </w:p>
    <w:p w14:paraId="01C0CA60">
      <w:pPr>
        <w:keepNext w:val="0"/>
        <w:keepLines w:val="0"/>
        <w:pageBreakBefore w:val="0"/>
        <w:widowControl w:val="0"/>
        <w:numPr>
          <w:ilvl w:val="0"/>
          <w:numId w:val="0"/>
        </w:numPr>
        <w:tabs>
          <w:tab w:val="left" w:pos="1080"/>
          <w:tab w:val="left" w:pos="1589"/>
          <w:tab w:val="left" w:pos="2035"/>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3.2.1</w:t>
      </w:r>
      <w:r>
        <w:rPr>
          <w:rFonts w:hint="eastAsia" w:ascii="宋体" w:hAnsi="宋体" w:eastAsia="宋体" w:cs="宋体"/>
          <w:color w:val="auto"/>
          <w:sz w:val="24"/>
          <w:szCs w:val="24"/>
          <w:highlight w:val="none"/>
        </w:rPr>
        <w:t>本项目采用的评标方法为：</w:t>
      </w:r>
    </w:p>
    <w:p w14:paraId="7BC62BD3">
      <w:pPr>
        <w:keepNext w:val="0"/>
        <w:keepLines w:val="0"/>
        <w:pageBreakBefore w:val="0"/>
        <w:widowControl w:val="0"/>
        <w:tabs>
          <w:tab w:val="left" w:pos="900"/>
          <w:tab w:val="left" w:pos="1589"/>
          <w:tab w:val="left" w:pos="170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☑综合评分法，指投标文件满足招标文件全部实质性要求，且按照评审因素的量化指标评审得分最高的供应商为中标候选人的评标方法，见《评标标准》，招标文件中没有规定的评标标准不得作为评审的依据。</w:t>
      </w:r>
    </w:p>
    <w:p w14:paraId="2B8CB9F5">
      <w:pPr>
        <w:keepNext w:val="0"/>
        <w:keepLines w:val="0"/>
        <w:pageBreakBefore w:val="0"/>
        <w:widowControl w:val="0"/>
        <w:tabs>
          <w:tab w:val="left" w:pos="900"/>
          <w:tab w:val="left" w:pos="1589"/>
          <w:tab w:val="left" w:pos="170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□最低评标价法，指投标文件满足招标文件全部实质性要求，且投标报价最低的供应商为中标候选人的评标方法。</w:t>
      </w:r>
    </w:p>
    <w:p w14:paraId="0CF0E0CE">
      <w:pPr>
        <w:numPr>
          <w:ilvl w:val="0"/>
          <w:numId w:val="0"/>
        </w:numPr>
        <w:tabs>
          <w:tab w:val="left" w:pos="360"/>
        </w:tabs>
        <w:snapToGrid w:val="0"/>
        <w:spacing w:line="360" w:lineRule="auto"/>
        <w:ind w:leftChars="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确定</w:t>
      </w:r>
      <w:bookmarkStart w:id="759" w:name="_Toc150774751"/>
      <w:bookmarkStart w:id="760" w:name="_Toc164608815"/>
      <w:bookmarkStart w:id="761" w:name="_Toc226965819"/>
      <w:bookmarkStart w:id="762" w:name="_Toc164608660"/>
      <w:bookmarkStart w:id="763" w:name="_Toc305158888"/>
      <w:bookmarkStart w:id="764" w:name="_Toc150480784"/>
      <w:bookmarkStart w:id="765" w:name="_Toc151193934"/>
      <w:bookmarkStart w:id="766" w:name="_Toc226965736"/>
      <w:bookmarkStart w:id="767" w:name="_Toc520356170"/>
      <w:bookmarkStart w:id="768" w:name="_Toc127161460"/>
      <w:bookmarkStart w:id="769" w:name="_Toc226309790"/>
      <w:bookmarkStart w:id="770" w:name="_Toc164351640"/>
      <w:bookmarkStart w:id="771" w:name="_Toc265228384"/>
      <w:bookmarkStart w:id="772" w:name="_Toc127151546"/>
      <w:bookmarkStart w:id="773" w:name="_Ref467307010"/>
      <w:bookmarkStart w:id="774" w:name="_Toc149720839"/>
      <w:bookmarkStart w:id="775" w:name="_Toc151193716"/>
      <w:bookmarkStart w:id="776" w:name="_Toc151193644"/>
      <w:bookmarkStart w:id="777" w:name="_Toc151190173"/>
      <w:bookmarkStart w:id="778" w:name="_Toc226337242"/>
      <w:bookmarkStart w:id="779" w:name="_Toc142311048"/>
      <w:bookmarkStart w:id="780" w:name="_Toc150509297"/>
      <w:bookmarkStart w:id="781" w:name="_Toc305158814"/>
      <w:bookmarkStart w:id="782" w:name="_Toc164229387"/>
      <w:bookmarkStart w:id="783" w:name="_Toc195842911"/>
      <w:bookmarkStart w:id="784" w:name="_Toc127151747"/>
      <w:bookmarkStart w:id="785" w:name="_Toc151193860"/>
      <w:bookmarkStart w:id="786" w:name="_Toc151193788"/>
      <w:bookmarkStart w:id="787" w:name="_Toc264969236"/>
      <w:bookmarkStart w:id="788" w:name="_Toc164229241"/>
      <w:bookmarkStart w:id="789" w:name="_Toc150774646"/>
      <w:r>
        <w:rPr>
          <w:rFonts w:hint="eastAsia" w:ascii="宋体" w:hAnsi="宋体" w:eastAsia="宋体" w:cs="宋体"/>
          <w:b/>
          <w:bCs/>
          <w:color w:val="auto"/>
          <w:sz w:val="24"/>
          <w:szCs w:val="24"/>
          <w:highlight w:val="none"/>
        </w:rPr>
        <w:t>中标候选人名单</w:t>
      </w:r>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p>
    <w:p w14:paraId="0A007574">
      <w:pPr>
        <w:keepNext w:val="0"/>
        <w:keepLines w:val="0"/>
        <w:pageBreakBefore w:val="0"/>
        <w:widowControl w:val="0"/>
        <w:numPr>
          <w:ilvl w:val="0"/>
          <w:numId w:val="0"/>
        </w:numPr>
        <w:tabs>
          <w:tab w:val="left" w:pos="108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w:t>
      </w:r>
      <w:r>
        <w:rPr>
          <w:rFonts w:hint="eastAsia" w:ascii="宋体" w:hAnsi="宋体" w:eastAsia="宋体" w:cs="宋体"/>
          <w:color w:val="auto"/>
          <w:sz w:val="24"/>
          <w:szCs w:val="24"/>
          <w:highlight w:val="none"/>
        </w:rPr>
        <w:t>评委应首先对各供应商投标文件进行评审，写出书面意见并按招标文件规定分值评分，并由各评委自主评分并签字确认。各评委的评分应在评标委员会内进行公示，并进行汇总。</w:t>
      </w:r>
    </w:p>
    <w:p w14:paraId="6674AADA">
      <w:pPr>
        <w:keepNext w:val="0"/>
        <w:keepLines w:val="0"/>
        <w:pageBreakBefore w:val="0"/>
        <w:widowControl w:val="0"/>
        <w:numPr>
          <w:ilvl w:val="0"/>
          <w:numId w:val="0"/>
        </w:numPr>
        <w:tabs>
          <w:tab w:val="left" w:pos="1080"/>
        </w:tabs>
        <w:kinsoku/>
        <w:wordWrap/>
        <w:overflowPunct/>
        <w:topLinePunct w:val="0"/>
        <w:autoSpaceDE/>
        <w:autoSpaceDN/>
        <w:bidi w:val="0"/>
        <w:adjustRightInd/>
        <w:snapToGrid w:val="0"/>
        <w:spacing w:line="360" w:lineRule="auto"/>
        <w:ind w:left="357"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4.2</w:t>
      </w:r>
      <w:r>
        <w:rPr>
          <w:rFonts w:hint="eastAsia" w:ascii="宋体" w:hAnsi="宋体" w:eastAsia="宋体" w:cs="宋体"/>
          <w:color w:val="auto"/>
          <w:sz w:val="24"/>
          <w:szCs w:val="24"/>
          <w:highlight w:val="none"/>
        </w:rPr>
        <w:t>采用综合评分法时，评标结果按评审后得分由高到低顺序排列。得分相同的，按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第二章 供应商须知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要求确定</w:t>
      </w:r>
      <w:r>
        <w:rPr>
          <w:rFonts w:hint="eastAsia" w:ascii="宋体" w:hAnsi="宋体" w:eastAsia="宋体" w:cs="宋体"/>
          <w:color w:val="auto"/>
          <w:sz w:val="24"/>
          <w:szCs w:val="24"/>
          <w:highlight w:val="none"/>
        </w:rPr>
        <w:t>。投标文件满足招标文件全部实质性要求，且按照评审因素的量化指标评审得分最高的供应商为排名第一的中标候选人。评分分值计算保留小数点后两位，第三位四舍五入。</w:t>
      </w:r>
    </w:p>
    <w:p w14:paraId="481E3700">
      <w:pPr>
        <w:keepNext w:val="0"/>
        <w:keepLines w:val="0"/>
        <w:pageBreakBefore w:val="0"/>
        <w:widowControl w:val="0"/>
        <w:numPr>
          <w:ilvl w:val="0"/>
          <w:numId w:val="0"/>
        </w:numPr>
        <w:tabs>
          <w:tab w:val="left" w:pos="1080"/>
        </w:tabs>
        <w:kinsoku/>
        <w:wordWrap/>
        <w:overflowPunct/>
        <w:topLinePunct w:val="0"/>
        <w:autoSpaceDE/>
        <w:autoSpaceDN/>
        <w:bidi w:val="0"/>
        <w:adjustRightInd/>
        <w:snapToGrid w:val="0"/>
        <w:spacing w:line="360" w:lineRule="auto"/>
        <w:ind w:left="357"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4.3</w:t>
      </w:r>
      <w:r>
        <w:rPr>
          <w:rFonts w:hint="eastAsia" w:ascii="宋体" w:hAnsi="宋体" w:eastAsia="宋体" w:cs="宋体"/>
          <w:color w:val="auto"/>
          <w:sz w:val="24"/>
          <w:szCs w:val="24"/>
          <w:highlight w:val="none"/>
        </w:rPr>
        <w:t>评标委员会要对评分汇总情况进行复核，特别是对排名第一的、报价最低的、投标或响应文件被认定为无效的情形进行重点复核。</w:t>
      </w:r>
    </w:p>
    <w:p w14:paraId="4DDAFB30">
      <w:pPr>
        <w:keepNext w:val="0"/>
        <w:keepLines w:val="0"/>
        <w:pageBreakBefore w:val="0"/>
        <w:widowControl w:val="0"/>
        <w:numPr>
          <w:ilvl w:val="0"/>
          <w:numId w:val="0"/>
        </w:numPr>
        <w:tabs>
          <w:tab w:val="left" w:pos="1080"/>
        </w:tabs>
        <w:kinsoku/>
        <w:wordWrap/>
        <w:overflowPunct/>
        <w:topLinePunct w:val="0"/>
        <w:autoSpaceDE/>
        <w:autoSpaceDN/>
        <w:bidi w:val="0"/>
        <w:adjustRightInd/>
        <w:snapToGrid w:val="0"/>
        <w:spacing w:line="360" w:lineRule="auto"/>
        <w:ind w:left="357"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4.4</w:t>
      </w:r>
      <w:r>
        <w:rPr>
          <w:rFonts w:hint="eastAsia" w:ascii="宋体" w:hAnsi="宋体" w:eastAsia="宋体" w:cs="宋体"/>
          <w:color w:val="auto"/>
          <w:sz w:val="24"/>
          <w:szCs w:val="24"/>
          <w:highlight w:val="none"/>
        </w:rPr>
        <w:t>评标委员会根据评审情况建议推荐中标人名单并提出书面评标报告。本项目评标报告由评标委员会全体成员签字。对评标结论持有异议的评标委员会成员可以以书面方式阐述其不同意见和理由。评标委员会成员拒绝在评标报告上签字且不陈述其不同意见和理由的，视为同意评标结论。</w:t>
      </w:r>
    </w:p>
    <w:p w14:paraId="01F05156">
      <w:pPr>
        <w:numPr>
          <w:ilvl w:val="0"/>
          <w:numId w:val="0"/>
        </w:numPr>
        <w:tabs>
          <w:tab w:val="left" w:pos="360"/>
        </w:tabs>
        <w:snapToGrid w:val="0"/>
        <w:spacing w:line="360" w:lineRule="auto"/>
        <w:ind w:leftChars="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报告违法行为</w:t>
      </w:r>
    </w:p>
    <w:p w14:paraId="10651A3C">
      <w:pPr>
        <w:keepNext w:val="0"/>
        <w:keepLines w:val="0"/>
        <w:pageBreakBefore w:val="0"/>
        <w:widowControl w:val="0"/>
        <w:numPr>
          <w:ilvl w:val="0"/>
          <w:numId w:val="0"/>
        </w:numPr>
        <w:tabs>
          <w:tab w:val="left" w:pos="108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5.1</w:t>
      </w:r>
      <w:r>
        <w:rPr>
          <w:rFonts w:hint="eastAsia" w:ascii="宋体" w:hAnsi="宋体" w:eastAsia="宋体" w:cs="宋体"/>
          <w:color w:val="auto"/>
          <w:sz w:val="24"/>
          <w:szCs w:val="24"/>
          <w:highlight w:val="none"/>
        </w:rPr>
        <w:t>评标委员会在评标过程中发现供应商有行贿、提供虚假材料或者串通等违法行为时，有向采购人、采购代理机构或者有关部门报告的职责。</w:t>
      </w:r>
    </w:p>
    <w:p w14:paraId="374974D7">
      <w:pPr>
        <w:numPr>
          <w:ilvl w:val="0"/>
          <w:numId w:val="0"/>
        </w:numPr>
        <w:tabs>
          <w:tab w:val="left" w:pos="1080"/>
        </w:tabs>
        <w:snapToGrid w:val="0"/>
        <w:spacing w:line="360" w:lineRule="auto"/>
        <w:ind w:left="357" w:leftChars="0"/>
        <w:rPr>
          <w:rFonts w:hint="eastAsia" w:ascii="宋体" w:hAnsi="宋体" w:eastAsia="宋体" w:cs="宋体"/>
          <w:color w:val="auto"/>
          <w:sz w:val="24"/>
          <w:highlight w:val="none"/>
        </w:rPr>
      </w:pPr>
    </w:p>
    <w:p w14:paraId="687B6082">
      <w:pPr>
        <w:widowControl/>
        <w:jc w:val="center"/>
        <w:outlineLvl w:val="1"/>
        <w:rPr>
          <w:rFonts w:hint="eastAsia" w:ascii="宋体" w:hAnsi="宋体" w:eastAsia="宋体" w:cs="宋体"/>
          <w:b/>
          <w:color w:val="auto"/>
          <w:highlight w:val="none"/>
        </w:rPr>
      </w:pPr>
      <w:r>
        <w:rPr>
          <w:rFonts w:hint="eastAsia" w:ascii="宋体" w:hAnsi="宋体" w:eastAsia="宋体" w:cs="宋体"/>
          <w:b/>
          <w:color w:val="auto"/>
          <w:sz w:val="24"/>
          <w:highlight w:val="none"/>
        </w:rPr>
        <w:br w:type="page"/>
      </w:r>
      <w:bookmarkStart w:id="790" w:name="_Toc7498"/>
      <w:r>
        <w:rPr>
          <w:rFonts w:hint="eastAsia" w:ascii="宋体" w:hAnsi="宋体" w:eastAsia="宋体" w:cs="宋体"/>
          <w:b/>
          <w:color w:val="auto"/>
          <w:sz w:val="24"/>
          <w:highlight w:val="none"/>
        </w:rPr>
        <w:t>二、评标标准</w:t>
      </w:r>
      <w:bookmarkEnd w:id="790"/>
    </w:p>
    <w:p w14:paraId="5476BB26">
      <w:pPr>
        <w:tabs>
          <w:tab w:val="left" w:pos="360"/>
          <w:tab w:val="left" w:pos="1080"/>
        </w:tabs>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评标总得分=A＋B＋C</w:t>
      </w:r>
    </w:p>
    <w:p w14:paraId="400EFF75">
      <w:pPr>
        <w:tabs>
          <w:tab w:val="left" w:pos="360"/>
          <w:tab w:val="left" w:pos="1080"/>
        </w:tabs>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A.B、C分别为各项评分因素的汇总得分；</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4"/>
        <w:gridCol w:w="1435"/>
        <w:gridCol w:w="7430"/>
      </w:tblGrid>
      <w:tr w14:paraId="4665F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54" w:type="dxa"/>
            <w:noWrap w:val="0"/>
            <w:vAlign w:val="center"/>
          </w:tcPr>
          <w:p w14:paraId="09D2392A">
            <w:pPr>
              <w:spacing w:line="276" w:lineRule="auto"/>
              <w:ind w:right="6"/>
              <w:jc w:val="center"/>
              <w:rPr>
                <w:rFonts w:hint="eastAsia" w:ascii="宋体" w:hAnsi="宋体" w:eastAsia="宋体" w:cs="宋体"/>
                <w:b/>
                <w:color w:val="auto"/>
                <w:spacing w:val="4"/>
                <w:sz w:val="24"/>
                <w:highlight w:val="none"/>
              </w:rPr>
            </w:pPr>
            <w:r>
              <w:rPr>
                <w:rFonts w:hint="eastAsia" w:ascii="宋体" w:hAnsi="宋体" w:eastAsia="宋体" w:cs="宋体"/>
                <w:b/>
                <w:color w:val="auto"/>
                <w:spacing w:val="4"/>
                <w:sz w:val="24"/>
                <w:highlight w:val="none"/>
              </w:rPr>
              <w:t>序号</w:t>
            </w:r>
          </w:p>
        </w:tc>
        <w:tc>
          <w:tcPr>
            <w:tcW w:w="1435" w:type="dxa"/>
            <w:noWrap w:val="0"/>
            <w:vAlign w:val="center"/>
          </w:tcPr>
          <w:p w14:paraId="615966E3">
            <w:pPr>
              <w:spacing w:line="276" w:lineRule="auto"/>
              <w:ind w:right="6"/>
              <w:jc w:val="center"/>
              <w:rPr>
                <w:rFonts w:hint="eastAsia" w:ascii="宋体" w:hAnsi="宋体" w:eastAsia="宋体" w:cs="宋体"/>
                <w:b/>
                <w:color w:val="auto"/>
                <w:spacing w:val="4"/>
                <w:sz w:val="24"/>
                <w:highlight w:val="none"/>
              </w:rPr>
            </w:pPr>
            <w:r>
              <w:rPr>
                <w:rFonts w:hint="eastAsia" w:ascii="宋体" w:hAnsi="宋体" w:eastAsia="宋体" w:cs="宋体"/>
                <w:b/>
                <w:color w:val="auto"/>
                <w:spacing w:val="4"/>
                <w:sz w:val="24"/>
                <w:highlight w:val="none"/>
              </w:rPr>
              <w:t>评审项目</w:t>
            </w:r>
          </w:p>
        </w:tc>
        <w:tc>
          <w:tcPr>
            <w:tcW w:w="7430" w:type="dxa"/>
            <w:noWrap w:val="0"/>
            <w:vAlign w:val="center"/>
          </w:tcPr>
          <w:p w14:paraId="27828A0F">
            <w:pPr>
              <w:spacing w:line="276" w:lineRule="auto"/>
              <w:ind w:right="6"/>
              <w:jc w:val="center"/>
              <w:rPr>
                <w:rFonts w:hint="eastAsia" w:ascii="宋体" w:hAnsi="宋体" w:eastAsia="宋体" w:cs="宋体"/>
                <w:b/>
                <w:color w:val="auto"/>
                <w:spacing w:val="4"/>
                <w:sz w:val="24"/>
                <w:highlight w:val="none"/>
              </w:rPr>
            </w:pPr>
            <w:r>
              <w:rPr>
                <w:rFonts w:hint="eastAsia" w:ascii="宋体" w:hAnsi="宋体" w:eastAsia="宋体" w:cs="宋体"/>
                <w:b/>
                <w:color w:val="auto"/>
                <w:spacing w:val="4"/>
                <w:sz w:val="24"/>
                <w:highlight w:val="none"/>
              </w:rPr>
              <w:t>评分标准</w:t>
            </w:r>
          </w:p>
        </w:tc>
      </w:tr>
      <w:tr w14:paraId="0534B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54" w:type="dxa"/>
            <w:noWrap w:val="0"/>
            <w:vAlign w:val="center"/>
          </w:tcPr>
          <w:p w14:paraId="4F8E338A">
            <w:pPr>
              <w:spacing w:line="276" w:lineRule="auto"/>
              <w:ind w:right="6"/>
              <w:jc w:val="center"/>
              <w:rPr>
                <w:rFonts w:hint="eastAsia" w:ascii="宋体" w:hAnsi="宋体" w:eastAsia="宋体" w:cs="宋体"/>
                <w:b/>
                <w:color w:val="auto"/>
                <w:spacing w:val="4"/>
                <w:sz w:val="24"/>
                <w:highlight w:val="none"/>
              </w:rPr>
            </w:pPr>
          </w:p>
        </w:tc>
        <w:tc>
          <w:tcPr>
            <w:tcW w:w="1435" w:type="dxa"/>
            <w:noWrap w:val="0"/>
            <w:vAlign w:val="center"/>
          </w:tcPr>
          <w:p w14:paraId="138577E1">
            <w:pPr>
              <w:spacing w:line="276" w:lineRule="auto"/>
              <w:ind w:right="6"/>
              <w:jc w:val="center"/>
              <w:rPr>
                <w:rFonts w:hint="default" w:ascii="宋体" w:hAnsi="宋体" w:eastAsia="宋体" w:cs="宋体"/>
                <w:b/>
                <w:color w:val="auto"/>
                <w:spacing w:val="4"/>
                <w:sz w:val="24"/>
                <w:highlight w:val="none"/>
                <w:lang w:val="en-US" w:eastAsia="zh-CN"/>
              </w:rPr>
            </w:pPr>
            <w:r>
              <w:rPr>
                <w:rFonts w:hint="eastAsia" w:ascii="宋体" w:hAnsi="宋体" w:eastAsia="宋体" w:cs="宋体"/>
                <w:b/>
                <w:color w:val="auto"/>
                <w:spacing w:val="4"/>
                <w:sz w:val="24"/>
                <w:highlight w:val="none"/>
                <w:lang w:val="en-US" w:eastAsia="zh-CN"/>
              </w:rPr>
              <w:t>权重构成</w:t>
            </w:r>
          </w:p>
        </w:tc>
        <w:tc>
          <w:tcPr>
            <w:tcW w:w="7430" w:type="dxa"/>
            <w:noWrap w:val="0"/>
            <w:vAlign w:val="center"/>
          </w:tcPr>
          <w:p w14:paraId="25BAFCBB">
            <w:pPr>
              <w:wordWrap w:val="0"/>
              <w:autoSpaceDE w:val="0"/>
              <w:autoSpaceDN w:val="0"/>
              <w:spacing w:line="360" w:lineRule="auto"/>
              <w:contextualSpacing/>
              <w:rPr>
                <w:rFonts w:hint="eastAsia" w:ascii="宋体" w:hAnsi="宋体" w:eastAsia="宋体" w:cs="宋体"/>
                <w:sz w:val="24"/>
                <w:szCs w:val="24"/>
                <w:lang w:eastAsia="zh-CN"/>
              </w:rPr>
            </w:pPr>
            <w:r>
              <w:rPr>
                <w:rFonts w:hint="eastAsia" w:ascii="宋体" w:hAnsi="宋体" w:cs="宋体"/>
                <w:sz w:val="24"/>
                <w:szCs w:val="24"/>
              </w:rPr>
              <w:t>报价</w:t>
            </w:r>
            <w:r>
              <w:rPr>
                <w:rFonts w:hint="eastAsia" w:ascii="宋体" w:hAnsi="宋体" w:cs="宋体"/>
                <w:sz w:val="24"/>
                <w:szCs w:val="24"/>
                <w:lang w:val="en-US" w:eastAsia="zh-CN"/>
              </w:rPr>
              <w:t>部分</w:t>
            </w:r>
            <w:r>
              <w:rPr>
                <w:rFonts w:hint="eastAsia" w:ascii="宋体" w:hAnsi="宋体" w:cs="宋体"/>
                <w:sz w:val="24"/>
                <w:szCs w:val="24"/>
              </w:rPr>
              <w:t>：</w:t>
            </w:r>
            <w:r>
              <w:rPr>
                <w:rFonts w:hint="eastAsia" w:ascii="宋体" w:hAnsi="宋体" w:cs="宋体"/>
                <w:sz w:val="24"/>
                <w:szCs w:val="24"/>
                <w:lang w:val="en-US" w:eastAsia="zh-CN"/>
              </w:rPr>
              <w:t>15</w:t>
            </w:r>
            <w:r>
              <w:rPr>
                <w:rFonts w:hint="eastAsia" w:ascii="宋体" w:hAnsi="宋体" w:cs="宋体"/>
                <w:sz w:val="24"/>
                <w:szCs w:val="24"/>
              </w:rPr>
              <w:t>分</w:t>
            </w:r>
            <w:r>
              <w:rPr>
                <w:rFonts w:hint="eastAsia" w:ascii="宋体" w:hAnsi="宋体" w:cs="宋体"/>
                <w:sz w:val="24"/>
                <w:szCs w:val="24"/>
                <w:lang w:eastAsia="zh-CN"/>
              </w:rPr>
              <w:t>（</w:t>
            </w:r>
            <w:r>
              <w:rPr>
                <w:rFonts w:hint="eastAsia" w:ascii="宋体" w:hAnsi="宋体" w:cs="宋体"/>
                <w:sz w:val="24"/>
                <w:szCs w:val="24"/>
                <w:lang w:val="en-US" w:eastAsia="zh-CN"/>
              </w:rPr>
              <w:t>满分</w:t>
            </w:r>
            <w:r>
              <w:rPr>
                <w:rFonts w:hint="eastAsia" w:ascii="宋体" w:hAnsi="宋体" w:cs="宋体"/>
                <w:sz w:val="24"/>
                <w:szCs w:val="24"/>
                <w:lang w:eastAsia="zh-CN"/>
              </w:rPr>
              <w:t>）</w:t>
            </w:r>
          </w:p>
          <w:p w14:paraId="7EC393DF">
            <w:pPr>
              <w:wordWrap w:val="0"/>
              <w:autoSpaceDE w:val="0"/>
              <w:autoSpaceDN w:val="0"/>
              <w:spacing w:line="360" w:lineRule="auto"/>
              <w:contextualSpacing/>
              <w:rPr>
                <w:rFonts w:ascii="宋体" w:hAnsi="宋体" w:cs="宋体"/>
                <w:sz w:val="24"/>
                <w:szCs w:val="24"/>
              </w:rPr>
            </w:pPr>
            <w:r>
              <w:rPr>
                <w:rFonts w:hint="eastAsia" w:ascii="宋体" w:hAnsi="宋体" w:cs="宋体"/>
                <w:sz w:val="24"/>
                <w:szCs w:val="24"/>
              </w:rPr>
              <w:t>技术部分：</w:t>
            </w:r>
            <w:r>
              <w:rPr>
                <w:rFonts w:hint="eastAsia" w:ascii="宋体" w:hAnsi="宋体" w:cs="宋体"/>
                <w:sz w:val="24"/>
                <w:szCs w:val="24"/>
                <w:lang w:val="en-US" w:eastAsia="zh-CN"/>
              </w:rPr>
              <w:t>7</w:t>
            </w:r>
            <w:r>
              <w:rPr>
                <w:rFonts w:hint="eastAsia" w:ascii="宋体" w:hAnsi="宋体" w:cs="宋体"/>
                <w:sz w:val="24"/>
                <w:szCs w:val="24"/>
              </w:rPr>
              <w:t>0分</w:t>
            </w:r>
            <w:r>
              <w:rPr>
                <w:rFonts w:hint="eastAsia" w:ascii="宋体" w:hAnsi="宋体" w:cs="宋体"/>
                <w:sz w:val="24"/>
                <w:szCs w:val="24"/>
                <w:lang w:eastAsia="zh-CN"/>
              </w:rPr>
              <w:t>（</w:t>
            </w:r>
            <w:r>
              <w:rPr>
                <w:rFonts w:hint="eastAsia" w:ascii="宋体" w:hAnsi="宋体" w:cs="宋体"/>
                <w:sz w:val="24"/>
                <w:szCs w:val="24"/>
                <w:lang w:val="en-US" w:eastAsia="zh-CN"/>
              </w:rPr>
              <w:t>满分</w:t>
            </w:r>
            <w:r>
              <w:rPr>
                <w:rFonts w:hint="eastAsia" w:ascii="宋体" w:hAnsi="宋体" w:cs="宋体"/>
                <w:sz w:val="24"/>
                <w:szCs w:val="24"/>
                <w:lang w:eastAsia="zh-CN"/>
              </w:rPr>
              <w:t>）</w:t>
            </w:r>
          </w:p>
          <w:p w14:paraId="16FE79F3">
            <w:pPr>
              <w:spacing w:line="276" w:lineRule="auto"/>
              <w:ind w:right="6"/>
              <w:jc w:val="both"/>
              <w:rPr>
                <w:rFonts w:hint="eastAsia" w:ascii="宋体" w:hAnsi="宋体" w:eastAsia="宋体" w:cs="宋体"/>
                <w:b/>
                <w:color w:val="auto"/>
                <w:spacing w:val="4"/>
                <w:sz w:val="24"/>
                <w:highlight w:val="none"/>
              </w:rPr>
            </w:pPr>
            <w:r>
              <w:rPr>
                <w:rFonts w:hint="eastAsia" w:ascii="宋体" w:hAnsi="宋体" w:cs="宋体"/>
                <w:sz w:val="24"/>
                <w:szCs w:val="24"/>
              </w:rPr>
              <w:t>商务部分：15分</w:t>
            </w:r>
            <w:r>
              <w:rPr>
                <w:rFonts w:hint="eastAsia" w:ascii="宋体" w:hAnsi="宋体" w:cs="宋体"/>
                <w:sz w:val="24"/>
                <w:szCs w:val="24"/>
                <w:lang w:eastAsia="zh-CN"/>
              </w:rPr>
              <w:t>（</w:t>
            </w:r>
            <w:r>
              <w:rPr>
                <w:rFonts w:hint="eastAsia" w:ascii="宋体" w:hAnsi="宋体" w:cs="宋体"/>
                <w:sz w:val="24"/>
                <w:szCs w:val="24"/>
                <w:lang w:val="en-US" w:eastAsia="zh-CN"/>
              </w:rPr>
              <w:t>满分</w:t>
            </w:r>
            <w:r>
              <w:rPr>
                <w:rFonts w:hint="eastAsia" w:ascii="宋体" w:hAnsi="宋体" w:cs="宋体"/>
                <w:sz w:val="24"/>
                <w:szCs w:val="24"/>
                <w:lang w:eastAsia="zh-CN"/>
              </w:rPr>
              <w:t>）</w:t>
            </w:r>
          </w:p>
        </w:tc>
      </w:tr>
      <w:tr w14:paraId="3AC0C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54" w:type="dxa"/>
            <w:noWrap w:val="0"/>
            <w:vAlign w:val="center"/>
          </w:tcPr>
          <w:p w14:paraId="41EEEDA3">
            <w:pPr>
              <w:spacing w:line="276" w:lineRule="auto"/>
              <w:ind w:right="6"/>
              <w:jc w:val="center"/>
              <w:rPr>
                <w:rFonts w:hint="eastAsia" w:ascii="宋体" w:hAnsi="宋体" w:eastAsia="宋体" w:cs="宋体"/>
                <w:b/>
                <w:color w:val="auto"/>
                <w:spacing w:val="4"/>
                <w:sz w:val="24"/>
                <w:highlight w:val="none"/>
              </w:rPr>
            </w:pPr>
            <w:r>
              <w:rPr>
                <w:rFonts w:hint="eastAsia" w:ascii="宋体" w:hAnsi="宋体" w:eastAsia="宋体" w:cs="宋体"/>
                <w:b/>
                <w:color w:val="auto"/>
                <w:spacing w:val="4"/>
                <w:sz w:val="24"/>
                <w:highlight w:val="none"/>
              </w:rPr>
              <w:t>A</w:t>
            </w:r>
          </w:p>
        </w:tc>
        <w:tc>
          <w:tcPr>
            <w:tcW w:w="1435" w:type="dxa"/>
            <w:noWrap w:val="0"/>
            <w:vAlign w:val="center"/>
          </w:tcPr>
          <w:p w14:paraId="1565424A">
            <w:pPr>
              <w:spacing w:line="276" w:lineRule="auto"/>
              <w:ind w:right="6"/>
              <w:jc w:val="center"/>
              <w:rPr>
                <w:rFonts w:hint="eastAsia" w:ascii="宋体" w:hAnsi="宋体" w:eastAsia="宋体" w:cs="宋体"/>
                <w:color w:val="auto"/>
                <w:spacing w:val="4"/>
                <w:sz w:val="24"/>
                <w:highlight w:val="none"/>
              </w:rPr>
            </w:pPr>
            <w:r>
              <w:rPr>
                <w:rFonts w:hint="eastAsia" w:ascii="宋体" w:hAnsi="宋体" w:eastAsia="宋体" w:cs="宋体"/>
                <w:b/>
                <w:bCs/>
                <w:color w:val="auto"/>
                <w:spacing w:val="4"/>
                <w:sz w:val="24"/>
                <w:highlight w:val="none"/>
              </w:rPr>
              <w:t>报价部分（满分</w:t>
            </w:r>
            <w:r>
              <w:rPr>
                <w:rFonts w:hint="eastAsia" w:ascii="宋体" w:hAnsi="宋体" w:eastAsia="宋体" w:cs="宋体"/>
                <w:b/>
                <w:bCs/>
                <w:color w:val="auto"/>
                <w:spacing w:val="4"/>
                <w:sz w:val="24"/>
                <w:highlight w:val="none"/>
                <w:lang w:val="en-US" w:eastAsia="zh-CN"/>
              </w:rPr>
              <w:t>15</w:t>
            </w:r>
            <w:r>
              <w:rPr>
                <w:rFonts w:hint="eastAsia" w:ascii="宋体" w:hAnsi="宋体" w:eastAsia="宋体" w:cs="宋体"/>
                <w:b/>
                <w:bCs/>
                <w:color w:val="auto"/>
                <w:spacing w:val="4"/>
                <w:sz w:val="24"/>
                <w:highlight w:val="none"/>
              </w:rPr>
              <w:t>分）</w:t>
            </w:r>
          </w:p>
        </w:tc>
        <w:tc>
          <w:tcPr>
            <w:tcW w:w="7430" w:type="dxa"/>
            <w:noWrap w:val="0"/>
            <w:vAlign w:val="center"/>
          </w:tcPr>
          <w:p w14:paraId="5A66D4FF">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投标报价的评分方法：报价得分按照低价优先法计算，即满足招标文件要求且投标报价最低的供应商报价为评标基准价，其价格分为满分。</w:t>
            </w:r>
          </w:p>
          <w:p w14:paraId="625E72AD">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其他供应商的价格分统一按照下列公式计算：</w:t>
            </w:r>
          </w:p>
          <w:p w14:paraId="77F34743">
            <w:pPr>
              <w:spacing w:line="360" w:lineRule="auto"/>
              <w:rPr>
                <w:rFonts w:hint="eastAsia" w:ascii="宋体" w:hAnsi="宋体" w:eastAsia="宋体" w:cs="宋体"/>
                <w:color w:val="auto"/>
                <w:sz w:val="24"/>
                <w:szCs w:val="32"/>
                <w:highlight w:val="none"/>
              </w:rPr>
            </w:pPr>
            <w:r>
              <w:rPr>
                <w:rFonts w:hint="eastAsia" w:ascii="宋体" w:hAnsi="宋体" w:eastAsia="宋体" w:cs="宋体"/>
                <w:b/>
                <w:bCs/>
                <w:color w:val="auto"/>
                <w:sz w:val="24"/>
                <w:highlight w:val="none"/>
              </w:rPr>
              <w:t>投标报价得分=（评标基准价/投标报价）×</w:t>
            </w:r>
            <w:r>
              <w:rPr>
                <w:rFonts w:hint="eastAsia" w:ascii="宋体" w:hAnsi="宋体" w:eastAsia="宋体" w:cs="宋体"/>
                <w:b/>
                <w:bCs/>
                <w:color w:val="auto"/>
                <w:sz w:val="24"/>
                <w:highlight w:val="none"/>
                <w:lang w:val="en-US" w:eastAsia="zh-CN"/>
              </w:rPr>
              <w:t>15</w:t>
            </w:r>
            <w:r>
              <w:rPr>
                <w:rFonts w:hint="eastAsia" w:ascii="宋体" w:hAnsi="宋体" w:eastAsia="宋体" w:cs="宋体"/>
                <w:b/>
                <w:bCs/>
                <w:color w:val="auto"/>
                <w:sz w:val="24"/>
                <w:highlight w:val="none"/>
              </w:rPr>
              <w:t>，保留小数2位；</w:t>
            </w:r>
          </w:p>
          <w:p w14:paraId="55C86EE4">
            <w:pPr>
              <w:pStyle w:val="21"/>
              <w:spacing w:line="360" w:lineRule="auto"/>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注：1、监狱企业、残疾人福利性单位视同小型、微型企业。</w:t>
            </w:r>
          </w:p>
          <w:p w14:paraId="04410936">
            <w:pPr>
              <w:pStyle w:val="21"/>
              <w:spacing w:line="360" w:lineRule="auto"/>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2、评标基准价为进入综合评分（即通过资格评审和符合性评审）的投标价格小型、微型企业的价格扣除后，所有扣除后价格最低的有效投标报价，其价格为满分。根据财库【2020】46号、财库【2014】68号和云财采【2022】9号的规定：满足“格式6中：中小企业声明函”所列条件的供应商，其价格给予10%的扣除，用扣除后的价格参与评审。即：评标价=投标报价×（1-10%）（不重复享受政策）。</w:t>
            </w:r>
          </w:p>
          <w:p w14:paraId="39AC265F">
            <w:pPr>
              <w:pStyle w:val="21"/>
              <w:spacing w:line="360" w:lineRule="auto"/>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3、评标委员会根据供应商提供的中小企业声明函的承诺，认定其是否属于小型和微型企业并享受小微企业优惠政策。供应商对其承诺的企业规模真实性自行负责。</w:t>
            </w:r>
          </w:p>
          <w:p w14:paraId="581C7E4A">
            <w:pPr>
              <w:pStyle w:val="21"/>
              <w:spacing w:line="360" w:lineRule="auto"/>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4、享受价格扣除政策的小型、微型企业必须同时满足以下两个条件：</w:t>
            </w:r>
          </w:p>
          <w:p w14:paraId="00C89E13">
            <w:pPr>
              <w:pStyle w:val="21"/>
              <w:spacing w:line="360" w:lineRule="auto"/>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（1）符合小型、微型企业划分标准（按照“关于印发中小企业划型标准规定的通知”（工信部联企业</w:t>
            </w:r>
            <w:r>
              <w:rPr>
                <w:rFonts w:hint="eastAsia" w:ascii="宋体" w:hAnsi="宋体" w:eastAsia="宋体" w:cs="宋体"/>
                <w:color w:val="auto"/>
                <w:highlight w:val="none"/>
                <w:lang w:eastAsia="zh-CN"/>
              </w:rPr>
              <w:t>〔2011〕300号</w:t>
            </w:r>
            <w:r>
              <w:rPr>
                <w:rFonts w:hint="eastAsia" w:ascii="宋体" w:hAnsi="宋体" w:eastAsia="宋体" w:cs="宋体"/>
                <w:color w:val="auto"/>
                <w:highlight w:val="none"/>
              </w:rPr>
              <w:t>）的规定划分）</w:t>
            </w:r>
          </w:p>
          <w:p w14:paraId="4FC072CB">
            <w:pPr>
              <w:pStyle w:val="21"/>
              <w:spacing w:line="360" w:lineRule="auto"/>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（2）提供本企业生产的产品或者提供其他小型、微型企业生产的产品</w:t>
            </w:r>
          </w:p>
          <w:p w14:paraId="0B36F45B">
            <w:pPr>
              <w:pStyle w:val="21"/>
              <w:spacing w:line="360" w:lineRule="auto"/>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5、根据关于促进残疾人就业政府采购政策的通知（财库</w:t>
            </w:r>
            <w:r>
              <w:rPr>
                <w:rFonts w:hint="eastAsia" w:ascii="宋体" w:hAnsi="宋体" w:eastAsia="宋体" w:cs="宋体"/>
                <w:color w:val="auto"/>
                <w:highlight w:val="none"/>
                <w:lang w:eastAsia="zh-CN"/>
              </w:rPr>
              <w:t>〔2017〕141号</w:t>
            </w:r>
            <w:r>
              <w:rPr>
                <w:rFonts w:hint="eastAsia" w:ascii="宋体" w:hAnsi="宋体" w:eastAsia="宋体" w:cs="宋体"/>
                <w:color w:val="auto"/>
                <w:highlight w:val="none"/>
              </w:rPr>
              <w:t>）的规定，残疾人福利性单位优惠政策，残疾人福利性单位参与本项目投标时，提供残疾人福利性单位声明函并对声明的真实性负责，视同小型、微型企业享受价格扣除等优惠政策。</w:t>
            </w:r>
          </w:p>
          <w:p w14:paraId="28D02DAA">
            <w:pPr>
              <w:pStyle w:val="21"/>
              <w:spacing w:line="360" w:lineRule="auto"/>
              <w:ind w:firstLine="0" w:firstLineChars="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、对环境标志产品及节能产品的评审：</w:t>
            </w:r>
            <w:r>
              <w:rPr>
                <w:rFonts w:hint="eastAsia" w:ascii="宋体" w:hAnsi="宋体" w:eastAsia="宋体" w:cs="宋体"/>
                <w:color w:val="auto"/>
                <w:highlight w:val="none"/>
              </w:rPr>
              <w:sym w:font="Wingdings" w:char="00FE"/>
            </w:r>
            <w:r>
              <w:rPr>
                <w:rFonts w:hint="eastAsia" w:ascii="宋体" w:hAnsi="宋体" w:eastAsia="宋体" w:cs="宋体"/>
                <w:color w:val="auto"/>
                <w:highlight w:val="none"/>
              </w:rPr>
              <w:t xml:space="preserve">不适用  </w:t>
            </w: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适用</w:t>
            </w:r>
          </w:p>
          <w:p w14:paraId="507F90BA">
            <w:pPr>
              <w:pStyle w:val="21"/>
              <w:spacing w:line="360" w:lineRule="auto"/>
              <w:ind w:firstLine="0" w:firstLineChars="0"/>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7</w:t>
            </w:r>
            <w:r>
              <w:rPr>
                <w:rFonts w:hint="eastAsia" w:ascii="宋体" w:hAnsi="宋体" w:eastAsia="宋体" w:cs="宋体"/>
                <w:b/>
                <w:bCs/>
                <w:color w:val="auto"/>
                <w:highlight w:val="none"/>
              </w:rPr>
              <w:t>、各投标单位不得恶意低价竞争。</w:t>
            </w:r>
          </w:p>
        </w:tc>
      </w:tr>
      <w:tr w14:paraId="55F85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jc w:val="center"/>
        </w:trPr>
        <w:tc>
          <w:tcPr>
            <w:tcW w:w="754" w:type="dxa"/>
            <w:noWrap w:val="0"/>
            <w:vAlign w:val="center"/>
          </w:tcPr>
          <w:p w14:paraId="52084ABA">
            <w:pPr>
              <w:spacing w:line="276" w:lineRule="auto"/>
              <w:jc w:val="center"/>
              <w:rPr>
                <w:rFonts w:hint="eastAsia" w:ascii="宋体" w:hAnsi="宋体" w:eastAsia="宋体" w:cs="宋体"/>
                <w:b/>
                <w:color w:val="auto"/>
                <w:spacing w:val="4"/>
                <w:sz w:val="24"/>
                <w:highlight w:val="none"/>
              </w:rPr>
            </w:pPr>
            <w:r>
              <w:rPr>
                <w:rFonts w:hint="eastAsia" w:ascii="宋体" w:hAnsi="宋体" w:eastAsia="宋体" w:cs="宋体"/>
                <w:b/>
                <w:color w:val="auto"/>
                <w:sz w:val="24"/>
                <w:highlight w:val="none"/>
              </w:rPr>
              <w:t>B</w:t>
            </w:r>
          </w:p>
        </w:tc>
        <w:tc>
          <w:tcPr>
            <w:tcW w:w="8865" w:type="dxa"/>
            <w:gridSpan w:val="2"/>
            <w:noWrap w:val="0"/>
            <w:vAlign w:val="center"/>
          </w:tcPr>
          <w:p w14:paraId="3363227E">
            <w:pPr>
              <w:spacing w:line="276" w:lineRule="auto"/>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技术</w:t>
            </w:r>
            <w:r>
              <w:rPr>
                <w:rFonts w:hint="eastAsia" w:ascii="宋体" w:hAnsi="宋体" w:eastAsia="宋体" w:cs="宋体"/>
                <w:b/>
                <w:color w:val="auto"/>
                <w:sz w:val="24"/>
                <w:highlight w:val="none"/>
                <w:lang w:val="en-US" w:eastAsia="zh-CN"/>
              </w:rPr>
              <w:t>部分</w:t>
            </w:r>
            <w:r>
              <w:rPr>
                <w:rFonts w:hint="eastAsia" w:ascii="宋体" w:hAnsi="宋体" w:eastAsia="宋体" w:cs="宋体"/>
                <w:b/>
                <w:color w:val="auto"/>
                <w:sz w:val="24"/>
                <w:highlight w:val="none"/>
              </w:rPr>
              <w:t>评审（满分</w:t>
            </w:r>
            <w:r>
              <w:rPr>
                <w:rFonts w:hint="eastAsia" w:ascii="宋体" w:hAnsi="宋体" w:eastAsia="宋体" w:cs="宋体"/>
                <w:b/>
                <w:bCs/>
                <w:color w:val="auto"/>
                <w:sz w:val="24"/>
                <w:highlight w:val="none"/>
                <w:lang w:val="en-US" w:eastAsia="zh-CN"/>
              </w:rPr>
              <w:t>70</w:t>
            </w:r>
            <w:r>
              <w:rPr>
                <w:rFonts w:hint="eastAsia" w:ascii="宋体" w:hAnsi="宋体" w:eastAsia="宋体" w:cs="宋体"/>
                <w:b/>
                <w:color w:val="auto"/>
                <w:sz w:val="24"/>
                <w:highlight w:val="none"/>
              </w:rPr>
              <w:t>分）</w:t>
            </w:r>
          </w:p>
        </w:tc>
      </w:tr>
      <w:tr w14:paraId="6CAF9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8" w:hRule="atLeast"/>
          <w:jc w:val="center"/>
        </w:trPr>
        <w:tc>
          <w:tcPr>
            <w:tcW w:w="754" w:type="dxa"/>
            <w:noWrap w:val="0"/>
            <w:vAlign w:val="center"/>
          </w:tcPr>
          <w:p w14:paraId="31CFD8DF">
            <w:pPr>
              <w:spacing w:line="276"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w:t>
            </w:r>
          </w:p>
        </w:tc>
        <w:tc>
          <w:tcPr>
            <w:tcW w:w="1435" w:type="dxa"/>
            <w:noWrap w:val="0"/>
            <w:vAlign w:val="center"/>
          </w:tcPr>
          <w:p w14:paraId="5936AA9B">
            <w:pPr>
              <w:spacing w:line="276" w:lineRule="auto"/>
              <w:jc w:val="both"/>
              <w:rPr>
                <w:rFonts w:hint="eastAsia" w:ascii="宋体" w:hAnsi="宋体" w:eastAsia="宋体" w:cs="宋体"/>
                <w:b/>
                <w:color w:val="auto"/>
                <w:sz w:val="24"/>
                <w:highlight w:val="none"/>
              </w:rPr>
            </w:pPr>
            <w:r>
              <w:rPr>
                <w:rFonts w:hint="eastAsia"/>
                <w:b/>
                <w:bCs/>
                <w:sz w:val="24"/>
                <w:szCs w:val="24"/>
                <w:lang w:val="en-US" w:eastAsia="zh-CN"/>
              </w:rPr>
              <w:t>项目理解（满分10分）</w:t>
            </w:r>
          </w:p>
        </w:tc>
        <w:tc>
          <w:tcPr>
            <w:tcW w:w="7430" w:type="dxa"/>
            <w:noWrap w:val="0"/>
            <w:vAlign w:val="top"/>
          </w:tcPr>
          <w:p w14:paraId="3CF4B274">
            <w:pPr>
              <w:pStyle w:val="9"/>
              <w:keepNext w:val="0"/>
              <w:keepLines w:val="0"/>
              <w:pageBreakBefore w:val="0"/>
              <w:widowControl/>
              <w:kinsoku/>
              <w:overflowPunct/>
              <w:topLinePunct w:val="0"/>
              <w:autoSpaceDE/>
              <w:autoSpaceDN/>
              <w:bidi w:val="0"/>
              <w:adjustRightInd/>
              <w:snapToGrid/>
              <w:spacing w:line="400" w:lineRule="exact"/>
              <w:ind w:firstLine="480" w:firstLineChars="200"/>
              <w:textAlignment w:val="auto"/>
              <w:rPr>
                <w:rFonts w:hint="eastAsia" w:ascii="宋体" w:hAnsi="宋体" w:eastAsia="宋体" w:cs="黑体"/>
                <w:bCs/>
                <w:kern w:val="2"/>
                <w:sz w:val="24"/>
                <w:szCs w:val="24"/>
                <w:lang w:val="en-US" w:eastAsia="zh-CN" w:bidi="ar-SA"/>
              </w:rPr>
            </w:pPr>
            <w:r>
              <w:rPr>
                <w:rFonts w:hint="eastAsia" w:ascii="宋体" w:hAnsi="宋体" w:eastAsia="宋体" w:cs="黑体"/>
                <w:bCs/>
                <w:kern w:val="2"/>
                <w:sz w:val="24"/>
                <w:szCs w:val="24"/>
                <w:lang w:val="en-US" w:eastAsia="zh-CN" w:bidi="ar-SA"/>
              </w:rPr>
              <w:t>需对内容作出全面响应，具体包括但不限于：①项目背景分析；②项目需求理解；③项目实现目标；④项目实施思路等内容。</w:t>
            </w:r>
          </w:p>
          <w:p w14:paraId="4C1B0E12">
            <w:pPr>
              <w:pStyle w:val="9"/>
              <w:keepNext w:val="0"/>
              <w:keepLines w:val="0"/>
              <w:pageBreakBefore w:val="0"/>
              <w:widowControl/>
              <w:kinsoku/>
              <w:overflowPunct/>
              <w:topLinePunct w:val="0"/>
              <w:autoSpaceDE/>
              <w:autoSpaceDN/>
              <w:bidi w:val="0"/>
              <w:adjustRightInd/>
              <w:snapToGrid/>
              <w:spacing w:line="400" w:lineRule="exact"/>
              <w:ind w:firstLine="480" w:firstLineChars="200"/>
              <w:textAlignment w:val="auto"/>
              <w:rPr>
                <w:rFonts w:hint="default" w:ascii="宋体" w:hAnsi="宋体" w:eastAsia="宋体" w:cs="黑体"/>
                <w:bCs/>
                <w:kern w:val="2"/>
                <w:sz w:val="24"/>
                <w:szCs w:val="24"/>
                <w:lang w:val="en-US" w:eastAsia="zh-CN" w:bidi="ar-SA"/>
              </w:rPr>
            </w:pPr>
            <w:r>
              <w:rPr>
                <w:rFonts w:hint="eastAsia" w:ascii="宋体" w:hAnsi="宋体" w:eastAsia="宋体" w:cs="黑体"/>
                <w:bCs/>
                <w:kern w:val="2"/>
                <w:sz w:val="24"/>
                <w:szCs w:val="24"/>
                <w:lang w:val="zh-CN" w:eastAsia="zh-CN" w:bidi="ar-SA"/>
              </w:rPr>
              <w:t>（</w:t>
            </w:r>
            <w:r>
              <w:rPr>
                <w:rFonts w:hint="eastAsia" w:ascii="宋体" w:hAnsi="宋体" w:eastAsia="宋体" w:cs="黑体"/>
                <w:bCs/>
                <w:kern w:val="2"/>
                <w:sz w:val="24"/>
                <w:szCs w:val="24"/>
                <w:lang w:val="en-US" w:eastAsia="zh-CN" w:bidi="ar-SA"/>
              </w:rPr>
              <w:t>1</w:t>
            </w:r>
            <w:r>
              <w:rPr>
                <w:rFonts w:hint="eastAsia" w:ascii="宋体" w:hAnsi="宋体" w:eastAsia="宋体" w:cs="黑体"/>
                <w:bCs/>
                <w:kern w:val="2"/>
                <w:sz w:val="24"/>
                <w:szCs w:val="24"/>
                <w:lang w:val="zh-CN" w:eastAsia="zh-CN" w:bidi="ar-SA"/>
              </w:rPr>
              <w:t>）</w:t>
            </w:r>
            <w:r>
              <w:rPr>
                <w:rFonts w:hint="eastAsia" w:ascii="宋体" w:hAnsi="宋体" w:eastAsia="宋体" w:cs="黑体"/>
                <w:bCs/>
                <w:kern w:val="2"/>
                <w:sz w:val="24"/>
                <w:szCs w:val="24"/>
                <w:lang w:val="en-US" w:eastAsia="zh-CN" w:bidi="ar-SA"/>
              </w:rPr>
              <w:t>每有一项内容进行了详细阐述且贴合项目需求，内容详实，有相应保障措施，能有效保证项目实施的，得2.5分。</w:t>
            </w:r>
          </w:p>
          <w:p w14:paraId="26985A5F">
            <w:pPr>
              <w:pStyle w:val="9"/>
              <w:keepNext w:val="0"/>
              <w:keepLines w:val="0"/>
              <w:pageBreakBefore w:val="0"/>
              <w:widowControl/>
              <w:kinsoku/>
              <w:overflowPunct/>
              <w:topLinePunct w:val="0"/>
              <w:autoSpaceDE/>
              <w:autoSpaceDN/>
              <w:bidi w:val="0"/>
              <w:adjustRightInd/>
              <w:snapToGrid/>
              <w:spacing w:line="400" w:lineRule="exact"/>
              <w:ind w:firstLine="480" w:firstLineChars="200"/>
              <w:textAlignment w:val="auto"/>
              <w:rPr>
                <w:rFonts w:hint="default" w:ascii="宋体" w:hAnsi="宋体" w:eastAsia="宋体" w:cs="黑体"/>
                <w:bCs/>
                <w:kern w:val="2"/>
                <w:sz w:val="24"/>
                <w:szCs w:val="24"/>
                <w:lang w:val="en-US" w:eastAsia="zh-CN" w:bidi="ar-SA"/>
              </w:rPr>
            </w:pPr>
            <w:r>
              <w:rPr>
                <w:rFonts w:hint="eastAsia" w:ascii="宋体" w:hAnsi="宋体" w:eastAsia="宋体" w:cs="黑体"/>
                <w:bCs/>
                <w:kern w:val="2"/>
                <w:sz w:val="24"/>
                <w:szCs w:val="24"/>
                <w:lang w:val="zh-CN" w:eastAsia="zh-CN" w:bidi="ar-SA"/>
              </w:rPr>
              <w:t>（</w:t>
            </w:r>
            <w:r>
              <w:rPr>
                <w:rFonts w:hint="eastAsia" w:ascii="宋体" w:hAnsi="宋体" w:eastAsia="宋体" w:cs="黑体"/>
                <w:bCs/>
                <w:kern w:val="2"/>
                <w:sz w:val="24"/>
                <w:szCs w:val="24"/>
                <w:lang w:val="en-US" w:eastAsia="zh-CN" w:bidi="ar-SA"/>
              </w:rPr>
              <w:t>2</w:t>
            </w:r>
            <w:r>
              <w:rPr>
                <w:rFonts w:hint="eastAsia" w:ascii="宋体" w:hAnsi="宋体" w:eastAsia="宋体" w:cs="黑体"/>
                <w:bCs/>
                <w:kern w:val="2"/>
                <w:sz w:val="24"/>
                <w:szCs w:val="24"/>
                <w:lang w:val="zh-CN" w:eastAsia="zh-CN" w:bidi="ar-SA"/>
              </w:rPr>
              <w:t>）</w:t>
            </w:r>
            <w:r>
              <w:rPr>
                <w:rFonts w:hint="eastAsia" w:ascii="宋体" w:hAnsi="宋体" w:eastAsia="宋体" w:cs="黑体"/>
                <w:bCs/>
                <w:kern w:val="2"/>
                <w:sz w:val="24"/>
                <w:szCs w:val="24"/>
                <w:lang w:val="en-US" w:eastAsia="zh-CN" w:bidi="ar-SA"/>
              </w:rPr>
              <w:t>每有一项内容虽然进行了阐述但并未完全贴合项目需求，能保证项目实施的，得2分。</w:t>
            </w:r>
          </w:p>
          <w:p w14:paraId="3593C2A6">
            <w:pPr>
              <w:pStyle w:val="9"/>
              <w:keepNext w:val="0"/>
              <w:keepLines w:val="0"/>
              <w:pageBreakBefore w:val="0"/>
              <w:widowControl/>
              <w:kinsoku/>
              <w:overflowPunct/>
              <w:topLinePunct w:val="0"/>
              <w:autoSpaceDE/>
              <w:autoSpaceDN/>
              <w:bidi w:val="0"/>
              <w:adjustRightInd/>
              <w:snapToGrid/>
              <w:spacing w:line="400" w:lineRule="exact"/>
              <w:ind w:firstLine="480" w:firstLineChars="200"/>
              <w:textAlignment w:val="auto"/>
              <w:rPr>
                <w:rFonts w:hint="eastAsia" w:ascii="宋体" w:hAnsi="宋体" w:eastAsia="宋体" w:cs="黑体"/>
                <w:bCs/>
                <w:kern w:val="2"/>
                <w:sz w:val="24"/>
                <w:szCs w:val="24"/>
                <w:lang w:val="en-US" w:eastAsia="zh-CN" w:bidi="ar-SA"/>
              </w:rPr>
            </w:pPr>
            <w:r>
              <w:rPr>
                <w:rFonts w:hint="eastAsia" w:ascii="宋体" w:hAnsi="宋体" w:eastAsia="宋体" w:cs="黑体"/>
                <w:bCs/>
                <w:kern w:val="2"/>
                <w:sz w:val="24"/>
                <w:szCs w:val="24"/>
                <w:lang w:val="zh-CN" w:eastAsia="zh-CN" w:bidi="ar-SA"/>
              </w:rPr>
              <w:t>（</w:t>
            </w:r>
            <w:r>
              <w:rPr>
                <w:rFonts w:hint="eastAsia" w:ascii="宋体" w:hAnsi="宋体" w:eastAsia="宋体" w:cs="黑体"/>
                <w:bCs/>
                <w:kern w:val="2"/>
                <w:sz w:val="24"/>
                <w:szCs w:val="24"/>
                <w:lang w:val="en-US" w:eastAsia="zh-CN" w:bidi="ar-SA"/>
              </w:rPr>
              <w:t>3</w:t>
            </w:r>
            <w:r>
              <w:rPr>
                <w:rFonts w:hint="eastAsia" w:ascii="宋体" w:hAnsi="宋体" w:eastAsia="宋体" w:cs="黑体"/>
                <w:bCs/>
                <w:kern w:val="2"/>
                <w:sz w:val="24"/>
                <w:szCs w:val="24"/>
                <w:lang w:val="zh-CN" w:eastAsia="zh-CN" w:bidi="ar-SA"/>
              </w:rPr>
              <w:t>）</w:t>
            </w:r>
            <w:r>
              <w:rPr>
                <w:rFonts w:hint="eastAsia" w:ascii="宋体" w:hAnsi="宋体" w:eastAsia="宋体" w:cs="黑体"/>
                <w:bCs/>
                <w:kern w:val="2"/>
                <w:sz w:val="24"/>
                <w:szCs w:val="24"/>
                <w:lang w:val="en-US" w:eastAsia="zh-CN" w:bidi="ar-SA"/>
              </w:rPr>
              <w:t>每有一项内容简单，缺乏针对性，难以保证项目高质量实施的，得1分。</w:t>
            </w:r>
          </w:p>
          <w:p w14:paraId="37379482">
            <w:pPr>
              <w:pStyle w:val="9"/>
              <w:keepNext w:val="0"/>
              <w:keepLines w:val="0"/>
              <w:pageBreakBefore w:val="0"/>
              <w:widowControl/>
              <w:kinsoku/>
              <w:overflowPunct/>
              <w:topLinePunct w:val="0"/>
              <w:autoSpaceDE/>
              <w:autoSpaceDN/>
              <w:bidi w:val="0"/>
              <w:adjustRightInd/>
              <w:snapToGrid/>
              <w:spacing w:line="400" w:lineRule="exact"/>
              <w:ind w:firstLine="480" w:firstLineChars="200"/>
              <w:textAlignment w:val="auto"/>
              <w:rPr>
                <w:rFonts w:hint="eastAsia" w:ascii="宋体" w:hAnsi="宋体" w:eastAsia="宋体" w:cs="黑体"/>
                <w:bCs/>
                <w:kern w:val="2"/>
                <w:sz w:val="24"/>
                <w:szCs w:val="24"/>
                <w:lang w:val="en-US" w:eastAsia="zh-CN" w:bidi="ar-SA"/>
              </w:rPr>
            </w:pPr>
            <w:r>
              <w:rPr>
                <w:rFonts w:hint="eastAsia" w:ascii="宋体" w:hAnsi="宋体" w:eastAsia="宋体" w:cs="黑体"/>
                <w:bCs/>
                <w:kern w:val="2"/>
                <w:sz w:val="24"/>
                <w:szCs w:val="24"/>
                <w:lang w:val="en-US" w:eastAsia="zh-CN" w:bidi="ar-SA"/>
              </w:rPr>
              <w:t>（4）每有一项内容未提供，该项不得分。</w:t>
            </w:r>
          </w:p>
          <w:p w14:paraId="15E8958A">
            <w:pPr>
              <w:numPr>
                <w:ilvl w:val="0"/>
                <w:numId w:val="0"/>
              </w:numPr>
              <w:jc w:val="both"/>
              <w:rPr>
                <w:rFonts w:hint="eastAsia" w:ascii="宋体" w:hAnsi="宋体" w:eastAsia="宋体" w:cs="宋体"/>
                <w:bCs/>
                <w:color w:val="auto"/>
                <w:sz w:val="24"/>
                <w:highlight w:val="none"/>
              </w:rPr>
            </w:pPr>
            <w:r>
              <w:rPr>
                <w:rFonts w:hint="eastAsia" w:ascii="宋体" w:hAnsi="宋体" w:eastAsia="宋体" w:cs="黑体"/>
                <w:bCs/>
                <w:kern w:val="2"/>
                <w:sz w:val="24"/>
                <w:szCs w:val="24"/>
                <w:lang w:val="en-US" w:eastAsia="zh-CN" w:bidi="ar-SA"/>
              </w:rPr>
              <w:t>注：以上内容累计计分，满分10分。</w:t>
            </w:r>
          </w:p>
        </w:tc>
      </w:tr>
      <w:tr w14:paraId="12C00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jc w:val="center"/>
        </w:trPr>
        <w:tc>
          <w:tcPr>
            <w:tcW w:w="754" w:type="dxa"/>
            <w:noWrap w:val="0"/>
            <w:vAlign w:val="center"/>
          </w:tcPr>
          <w:p w14:paraId="289607E2">
            <w:pPr>
              <w:spacing w:line="276" w:lineRule="auto"/>
              <w:jc w:val="cente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2</w:t>
            </w:r>
          </w:p>
        </w:tc>
        <w:tc>
          <w:tcPr>
            <w:tcW w:w="1435" w:type="dxa"/>
            <w:noWrap w:val="0"/>
            <w:vAlign w:val="center"/>
          </w:tcPr>
          <w:p w14:paraId="08FD82CB">
            <w:pPr>
              <w:wordWrap w:val="0"/>
              <w:spacing w:line="360" w:lineRule="auto"/>
              <w:contextualSpacing/>
              <w:rPr>
                <w:b/>
                <w:bCs/>
                <w:sz w:val="24"/>
                <w:szCs w:val="24"/>
              </w:rPr>
            </w:pPr>
            <w:r>
              <w:rPr>
                <w:rFonts w:hint="eastAsia" w:ascii="宋体" w:hAnsi="宋体" w:eastAsia="宋体" w:cs="黑体"/>
                <w:b/>
                <w:bCs/>
                <w:sz w:val="24"/>
                <w:szCs w:val="24"/>
                <w:lang w:val="en-US" w:eastAsia="zh-CN"/>
              </w:rPr>
              <w:t>运营管理</w:t>
            </w:r>
            <w:r>
              <w:rPr>
                <w:rFonts w:hint="eastAsia" w:ascii="宋体" w:hAnsi="宋体" w:eastAsia="宋体" w:cs="黑体"/>
                <w:b/>
                <w:bCs/>
                <w:sz w:val="24"/>
                <w:szCs w:val="24"/>
              </w:rPr>
              <w:t>实施方案</w:t>
            </w:r>
            <w:r>
              <w:rPr>
                <w:rFonts w:hint="eastAsia"/>
                <w:b/>
                <w:bCs/>
                <w:sz w:val="24"/>
                <w:szCs w:val="24"/>
              </w:rPr>
              <w:t>(满分</w:t>
            </w:r>
            <w:r>
              <w:rPr>
                <w:rFonts w:hint="eastAsia"/>
                <w:b/>
                <w:bCs/>
                <w:sz w:val="24"/>
                <w:szCs w:val="24"/>
                <w:lang w:val="en-US" w:eastAsia="zh-CN"/>
              </w:rPr>
              <w:t>2</w:t>
            </w:r>
            <w:r>
              <w:rPr>
                <w:rFonts w:hint="eastAsia"/>
                <w:b/>
                <w:bCs/>
                <w:sz w:val="24"/>
                <w:szCs w:val="24"/>
              </w:rPr>
              <w:t>5分)</w:t>
            </w:r>
          </w:p>
          <w:p w14:paraId="6A457F76">
            <w:pPr>
              <w:jc w:val="center"/>
              <w:rPr>
                <w:rFonts w:hint="eastAsia" w:ascii="宋体" w:hAnsi="宋体" w:eastAsia="宋体" w:cs="宋体"/>
                <w:b/>
                <w:color w:val="auto"/>
                <w:sz w:val="24"/>
                <w:highlight w:val="none"/>
              </w:rPr>
            </w:pPr>
          </w:p>
        </w:tc>
        <w:tc>
          <w:tcPr>
            <w:tcW w:w="7430" w:type="dxa"/>
            <w:noWrap w:val="0"/>
            <w:vAlign w:val="center"/>
          </w:tcPr>
          <w:p w14:paraId="5E571D5E">
            <w:pPr>
              <w:pStyle w:val="9"/>
              <w:keepNext w:val="0"/>
              <w:keepLines w:val="0"/>
              <w:pageBreakBefore w:val="0"/>
              <w:widowControl/>
              <w:kinsoku/>
              <w:overflowPunct/>
              <w:topLinePunct w:val="0"/>
              <w:autoSpaceDE/>
              <w:autoSpaceDN/>
              <w:bidi w:val="0"/>
              <w:adjustRightInd/>
              <w:snapToGrid/>
              <w:spacing w:line="400" w:lineRule="exact"/>
              <w:ind w:firstLine="480" w:firstLineChars="200"/>
              <w:textAlignment w:val="auto"/>
              <w:rPr>
                <w:rFonts w:hint="eastAsia" w:ascii="宋体" w:hAnsi="宋体" w:eastAsia="宋体" w:cs="黑体"/>
                <w:bCs/>
                <w:kern w:val="2"/>
                <w:sz w:val="24"/>
                <w:szCs w:val="24"/>
                <w:lang w:val="en-US" w:eastAsia="zh-CN" w:bidi="ar-SA"/>
              </w:rPr>
            </w:pPr>
            <w:r>
              <w:rPr>
                <w:rFonts w:hint="eastAsia" w:ascii="宋体" w:hAnsi="宋体" w:eastAsia="宋体" w:cs="黑体"/>
                <w:bCs/>
                <w:kern w:val="2"/>
                <w:sz w:val="24"/>
                <w:szCs w:val="24"/>
                <w:lang w:val="en-US" w:eastAsia="zh-CN" w:bidi="ar-SA"/>
              </w:rPr>
              <w:t>包括但不限于：渗滤液处理系统日常运营维护、运行操作并保证出水稳定达标排放、设备操作及保养、运营期内的设备大修及设备更新、药品药剂采购、水质分析化验、渗滤液处理站的安全环保管理。</w:t>
            </w:r>
          </w:p>
          <w:p w14:paraId="35987852">
            <w:pPr>
              <w:pStyle w:val="9"/>
              <w:keepNext w:val="0"/>
              <w:keepLines w:val="0"/>
              <w:pageBreakBefore w:val="0"/>
              <w:widowControl/>
              <w:kinsoku/>
              <w:overflowPunct/>
              <w:topLinePunct w:val="0"/>
              <w:autoSpaceDE/>
              <w:autoSpaceDN/>
              <w:bidi w:val="0"/>
              <w:adjustRightInd/>
              <w:snapToGrid/>
              <w:spacing w:line="400" w:lineRule="exact"/>
              <w:ind w:firstLine="480" w:firstLineChars="200"/>
              <w:textAlignment w:val="auto"/>
              <w:rPr>
                <w:rFonts w:hint="eastAsia" w:ascii="宋体" w:hAnsi="宋体" w:eastAsia="宋体" w:cs="黑体"/>
                <w:bCs/>
                <w:kern w:val="2"/>
                <w:sz w:val="24"/>
                <w:szCs w:val="24"/>
                <w:lang w:val="en-US" w:eastAsia="zh-CN" w:bidi="ar-SA"/>
              </w:rPr>
            </w:pPr>
            <w:r>
              <w:rPr>
                <w:rFonts w:hint="eastAsia" w:ascii="宋体" w:hAnsi="宋体" w:eastAsia="宋体" w:cs="黑体"/>
                <w:bCs/>
                <w:kern w:val="2"/>
                <w:sz w:val="24"/>
                <w:szCs w:val="24"/>
                <w:lang w:val="en-US" w:eastAsia="zh-CN" w:bidi="ar-SA"/>
              </w:rPr>
              <w:t xml:space="preserve">（1）运营管理实施方案详细、全面、科学、合理，可行性较强的，得25分； </w:t>
            </w:r>
          </w:p>
          <w:p w14:paraId="65375BCC">
            <w:pPr>
              <w:pStyle w:val="9"/>
              <w:keepNext w:val="0"/>
              <w:keepLines w:val="0"/>
              <w:pageBreakBefore w:val="0"/>
              <w:widowControl/>
              <w:kinsoku/>
              <w:overflowPunct/>
              <w:topLinePunct w:val="0"/>
              <w:autoSpaceDE/>
              <w:autoSpaceDN/>
              <w:bidi w:val="0"/>
              <w:adjustRightInd/>
              <w:snapToGrid/>
              <w:spacing w:line="400" w:lineRule="exact"/>
              <w:ind w:firstLine="480" w:firstLineChars="200"/>
              <w:textAlignment w:val="auto"/>
              <w:rPr>
                <w:rFonts w:hint="eastAsia" w:ascii="宋体" w:hAnsi="宋体" w:eastAsia="宋体" w:cs="黑体"/>
                <w:bCs/>
                <w:kern w:val="2"/>
                <w:sz w:val="24"/>
                <w:szCs w:val="24"/>
                <w:lang w:val="en-US" w:eastAsia="zh-CN" w:bidi="ar-SA"/>
              </w:rPr>
            </w:pPr>
            <w:r>
              <w:rPr>
                <w:rFonts w:hint="eastAsia" w:ascii="宋体" w:hAnsi="宋体" w:eastAsia="宋体" w:cs="黑体"/>
                <w:bCs/>
                <w:kern w:val="2"/>
                <w:sz w:val="24"/>
                <w:szCs w:val="24"/>
                <w:lang w:val="en-US" w:eastAsia="zh-CN" w:bidi="ar-SA"/>
              </w:rPr>
              <w:t xml:space="preserve">（2）运营管理实施方案全面、相对科学、基本合理，可行性一般的，得20分； </w:t>
            </w:r>
          </w:p>
          <w:p w14:paraId="44EDE539">
            <w:pPr>
              <w:pStyle w:val="9"/>
              <w:keepNext w:val="0"/>
              <w:keepLines w:val="0"/>
              <w:pageBreakBefore w:val="0"/>
              <w:widowControl/>
              <w:kinsoku/>
              <w:overflowPunct/>
              <w:topLinePunct w:val="0"/>
              <w:autoSpaceDE/>
              <w:autoSpaceDN/>
              <w:bidi w:val="0"/>
              <w:adjustRightInd/>
              <w:snapToGrid/>
              <w:spacing w:line="400" w:lineRule="exact"/>
              <w:ind w:firstLine="480" w:firstLineChars="200"/>
              <w:textAlignment w:val="auto"/>
              <w:rPr>
                <w:rFonts w:hint="eastAsia" w:ascii="宋体" w:hAnsi="宋体" w:eastAsia="宋体" w:cs="黑体"/>
                <w:bCs/>
                <w:kern w:val="2"/>
                <w:sz w:val="24"/>
                <w:szCs w:val="24"/>
                <w:lang w:val="en-US" w:eastAsia="zh-CN" w:bidi="ar-SA"/>
              </w:rPr>
            </w:pPr>
            <w:r>
              <w:rPr>
                <w:rFonts w:hint="eastAsia" w:ascii="宋体" w:hAnsi="宋体" w:eastAsia="宋体" w:cs="黑体"/>
                <w:bCs/>
                <w:kern w:val="2"/>
                <w:sz w:val="24"/>
                <w:szCs w:val="24"/>
                <w:lang w:val="en-US" w:eastAsia="zh-CN" w:bidi="ar-SA"/>
              </w:rPr>
              <w:t>（3）运营管理实施方案简单、不全面，合理性、可行性较差的，得10分；</w:t>
            </w:r>
          </w:p>
          <w:p w14:paraId="678A0F32">
            <w:pPr>
              <w:pStyle w:val="9"/>
              <w:keepNext w:val="0"/>
              <w:keepLines w:val="0"/>
              <w:pageBreakBefore w:val="0"/>
              <w:widowControl/>
              <w:kinsoku/>
              <w:overflowPunct/>
              <w:topLinePunct w:val="0"/>
              <w:autoSpaceDE/>
              <w:autoSpaceDN/>
              <w:bidi w:val="0"/>
              <w:adjustRightInd/>
              <w:snapToGrid/>
              <w:spacing w:line="400" w:lineRule="exact"/>
              <w:ind w:firstLine="480" w:firstLineChars="200"/>
              <w:textAlignment w:val="auto"/>
              <w:rPr>
                <w:rFonts w:hint="eastAsia" w:ascii="宋体" w:hAnsi="宋体" w:eastAsia="宋体" w:cs="宋体"/>
                <w:b/>
                <w:color w:val="auto"/>
                <w:sz w:val="24"/>
                <w:highlight w:val="green"/>
              </w:rPr>
            </w:pPr>
            <w:r>
              <w:rPr>
                <w:rFonts w:hint="eastAsia" w:ascii="宋体" w:hAnsi="宋体" w:eastAsia="宋体" w:cs="黑体"/>
                <w:bCs/>
                <w:kern w:val="2"/>
                <w:sz w:val="24"/>
                <w:szCs w:val="24"/>
                <w:lang w:val="en-US" w:eastAsia="zh-CN" w:bidi="ar-SA"/>
              </w:rPr>
              <w:t>（4）无实施方案的，得0分。</w:t>
            </w:r>
            <w:r>
              <w:rPr>
                <w:rFonts w:hint="eastAsia" w:ascii="宋体" w:hAnsi="宋体" w:eastAsia="宋体" w:cs="宋体"/>
                <w:b/>
                <w:bCs/>
                <w:color w:val="auto"/>
                <w:kern w:val="2"/>
                <w:sz w:val="24"/>
                <w:szCs w:val="24"/>
                <w:highlight w:val="none"/>
                <w:lang w:val="en-US" w:eastAsia="zh-CN" w:bidi="ar-SA"/>
              </w:rPr>
              <w:t xml:space="preserve"> </w:t>
            </w:r>
          </w:p>
        </w:tc>
      </w:tr>
      <w:tr w14:paraId="2F711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jc w:val="center"/>
        </w:trPr>
        <w:tc>
          <w:tcPr>
            <w:tcW w:w="754" w:type="dxa"/>
            <w:noWrap w:val="0"/>
            <w:vAlign w:val="center"/>
          </w:tcPr>
          <w:p w14:paraId="5CCBC1CF">
            <w:pPr>
              <w:spacing w:line="276" w:lineRule="auto"/>
              <w:jc w:val="cente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3</w:t>
            </w:r>
          </w:p>
        </w:tc>
        <w:tc>
          <w:tcPr>
            <w:tcW w:w="1435" w:type="dxa"/>
            <w:noWrap w:val="0"/>
            <w:vAlign w:val="center"/>
          </w:tcPr>
          <w:p w14:paraId="3AD7E71C">
            <w:pPr>
              <w:jc w:val="both"/>
              <w:rPr>
                <w:rFonts w:hint="eastAsia" w:ascii="宋体" w:hAnsi="宋体" w:eastAsia="宋体" w:cs="宋体"/>
                <w:b/>
                <w:color w:val="auto"/>
                <w:sz w:val="24"/>
                <w:highlight w:val="none"/>
              </w:rPr>
            </w:pPr>
            <w:r>
              <w:rPr>
                <w:rFonts w:hint="eastAsia" w:ascii="宋体" w:hAnsi="宋体" w:cs="黑体"/>
                <w:b/>
                <w:bCs/>
                <w:sz w:val="24"/>
                <w:szCs w:val="24"/>
              </w:rPr>
              <w:t>项目组织与进度控制(满分10分)</w:t>
            </w:r>
          </w:p>
        </w:tc>
        <w:tc>
          <w:tcPr>
            <w:tcW w:w="7430" w:type="dxa"/>
            <w:noWrap w:val="0"/>
            <w:vAlign w:val="center"/>
          </w:tcPr>
          <w:p w14:paraId="7C34F52F">
            <w:pPr>
              <w:pStyle w:val="22"/>
              <w:wordWrap w:val="0"/>
              <w:spacing w:line="360" w:lineRule="auto"/>
              <w:ind w:firstLine="480" w:firstLineChars="200"/>
              <w:contextualSpacing/>
              <w:rPr>
                <w:rFonts w:hint="eastAsia" w:ascii="宋体" w:hAnsi="宋体" w:cs="黑体"/>
                <w:bCs/>
                <w:sz w:val="24"/>
                <w:szCs w:val="24"/>
              </w:rPr>
            </w:pPr>
            <w:r>
              <w:rPr>
                <w:rFonts w:hint="eastAsia" w:ascii="宋体" w:hAnsi="宋体" w:eastAsia="宋体" w:cs="宋体"/>
                <w:color w:val="auto"/>
                <w:kern w:val="2"/>
                <w:sz w:val="24"/>
                <w:szCs w:val="24"/>
                <w:highlight w:val="none"/>
                <w:lang w:val="en-US" w:eastAsia="zh-CN" w:bidi="ar-SA"/>
              </w:rPr>
              <w:t xml:space="preserve"> </w:t>
            </w:r>
            <w:r>
              <w:rPr>
                <w:rFonts w:hint="eastAsia" w:ascii="宋体" w:hAnsi="宋体" w:cs="黑体"/>
                <w:bCs/>
                <w:sz w:val="24"/>
                <w:szCs w:val="24"/>
              </w:rPr>
              <w:t>包括但不限于：①组织合理，责任、目标明确；②进度安排合理可行，计划科学；③充分考虑项目实施过程中可能面临的困难；④保证措施与手段健全；⑤投入设备合理(项目所需硬件、仪器设备)等内容。</w:t>
            </w:r>
          </w:p>
          <w:p w14:paraId="71DD06D4">
            <w:pPr>
              <w:pStyle w:val="22"/>
              <w:wordWrap w:val="0"/>
              <w:spacing w:line="360" w:lineRule="auto"/>
              <w:ind w:firstLine="480" w:firstLineChars="200"/>
              <w:contextualSpacing/>
              <w:rPr>
                <w:rFonts w:hint="eastAsia" w:ascii="宋体" w:hAnsi="宋体" w:cs="黑体"/>
                <w:bCs/>
                <w:sz w:val="24"/>
                <w:szCs w:val="24"/>
              </w:rPr>
            </w:pPr>
            <w:r>
              <w:rPr>
                <w:rFonts w:hint="eastAsia" w:ascii="宋体" w:hAnsi="宋体" w:cs="黑体"/>
                <w:bCs/>
                <w:sz w:val="24"/>
                <w:szCs w:val="24"/>
              </w:rPr>
              <w:t>(1)每有一项内容进行了详细阐述且贴合项目需求，能有效保证项目实施的，得2分。</w:t>
            </w:r>
          </w:p>
          <w:p w14:paraId="3798C88C">
            <w:pPr>
              <w:pStyle w:val="22"/>
              <w:wordWrap w:val="0"/>
              <w:spacing w:line="360" w:lineRule="auto"/>
              <w:ind w:firstLine="480" w:firstLineChars="200"/>
              <w:contextualSpacing/>
              <w:rPr>
                <w:rFonts w:hint="eastAsia" w:ascii="宋体" w:hAnsi="宋体" w:cs="黑体"/>
                <w:bCs/>
                <w:sz w:val="24"/>
                <w:szCs w:val="24"/>
              </w:rPr>
            </w:pPr>
            <w:r>
              <w:rPr>
                <w:rFonts w:hint="eastAsia" w:ascii="宋体" w:hAnsi="宋体" w:cs="黑体"/>
                <w:bCs/>
                <w:sz w:val="24"/>
                <w:szCs w:val="24"/>
              </w:rPr>
              <w:t>(2)每有一项内容虽然进行了阐述但并未完全贴合项目需求，能保证项目实施的，得1分。</w:t>
            </w:r>
          </w:p>
          <w:p w14:paraId="5274C761">
            <w:pPr>
              <w:pStyle w:val="22"/>
              <w:wordWrap w:val="0"/>
              <w:spacing w:line="360" w:lineRule="auto"/>
              <w:ind w:firstLine="480" w:firstLineChars="200"/>
              <w:contextualSpacing/>
              <w:rPr>
                <w:rFonts w:hint="eastAsia" w:ascii="宋体" w:hAnsi="宋体" w:cs="黑体"/>
                <w:bCs/>
                <w:sz w:val="24"/>
                <w:szCs w:val="24"/>
              </w:rPr>
            </w:pPr>
            <w:r>
              <w:rPr>
                <w:rFonts w:hint="eastAsia" w:ascii="宋体" w:hAnsi="宋体" w:cs="黑体"/>
                <w:bCs/>
                <w:sz w:val="24"/>
                <w:szCs w:val="24"/>
              </w:rPr>
              <w:t>(3)每有一项内容虽进行阐述但内容简略的，难以保障项目有效实施的，得0.5分。</w:t>
            </w:r>
          </w:p>
          <w:p w14:paraId="58FAB54A">
            <w:pPr>
              <w:pStyle w:val="22"/>
              <w:wordWrap w:val="0"/>
              <w:spacing w:line="360" w:lineRule="auto"/>
              <w:ind w:firstLine="480" w:firstLineChars="200"/>
              <w:contextualSpacing/>
              <w:rPr>
                <w:rFonts w:hint="eastAsia" w:ascii="宋体" w:hAnsi="宋体" w:cs="黑体"/>
                <w:bCs/>
                <w:sz w:val="24"/>
                <w:szCs w:val="24"/>
              </w:rPr>
            </w:pPr>
            <w:r>
              <w:rPr>
                <w:rFonts w:hint="eastAsia" w:ascii="宋体" w:hAnsi="宋体" w:cs="黑体"/>
                <w:bCs/>
                <w:sz w:val="24"/>
                <w:szCs w:val="24"/>
              </w:rPr>
              <w:t>(4)每有一项内容未进行阐述的，该项不得分。</w:t>
            </w:r>
          </w:p>
          <w:p w14:paraId="394C872D">
            <w:pPr>
              <w:keepNext w:val="0"/>
              <w:keepLines w:val="0"/>
              <w:pageBreakBefore w:val="0"/>
              <w:widowControl/>
              <w:shd w:val="clear" w:color="auto" w:fill="auto"/>
              <w:kinsoku w:val="0"/>
              <w:wordWrap/>
              <w:overflowPunct/>
              <w:topLinePunct w:val="0"/>
              <w:bidi w:val="0"/>
              <w:snapToGrid w:val="0"/>
              <w:spacing w:line="500" w:lineRule="exact"/>
              <w:ind w:firstLine="0" w:firstLineChars="0"/>
              <w:textAlignment w:val="baseline"/>
              <w:rPr>
                <w:rFonts w:hint="eastAsia" w:ascii="宋体" w:hAnsi="宋体" w:eastAsia="宋体" w:cs="宋体"/>
                <w:b/>
                <w:bCs/>
                <w:color w:val="auto"/>
                <w:kern w:val="2"/>
                <w:sz w:val="24"/>
                <w:szCs w:val="24"/>
                <w:highlight w:val="none"/>
                <w:lang w:val="en-US" w:eastAsia="zh-CN" w:bidi="ar-SA"/>
              </w:rPr>
            </w:pPr>
            <w:r>
              <w:rPr>
                <w:rFonts w:hint="eastAsia" w:ascii="宋体" w:hAnsi="宋体" w:cs="黑体"/>
                <w:bCs/>
                <w:sz w:val="24"/>
                <w:szCs w:val="24"/>
              </w:rPr>
              <w:t>注：以上内容累计计分，满分10分。</w:t>
            </w:r>
          </w:p>
        </w:tc>
      </w:tr>
      <w:tr w14:paraId="14281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jc w:val="center"/>
        </w:trPr>
        <w:tc>
          <w:tcPr>
            <w:tcW w:w="754" w:type="dxa"/>
            <w:noWrap w:val="0"/>
            <w:vAlign w:val="center"/>
          </w:tcPr>
          <w:p w14:paraId="6418BE40">
            <w:pPr>
              <w:spacing w:line="276" w:lineRule="auto"/>
              <w:jc w:val="center"/>
              <w:rPr>
                <w:rFonts w:hint="default"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4</w:t>
            </w:r>
          </w:p>
        </w:tc>
        <w:tc>
          <w:tcPr>
            <w:tcW w:w="1435" w:type="dxa"/>
            <w:noWrap w:val="0"/>
            <w:vAlign w:val="center"/>
          </w:tcPr>
          <w:p w14:paraId="12405D88">
            <w:pPr>
              <w:jc w:val="both"/>
              <w:rPr>
                <w:rFonts w:hint="eastAsia" w:ascii="宋体" w:hAnsi="宋体" w:cs="黑体"/>
                <w:b/>
                <w:bCs/>
                <w:sz w:val="24"/>
                <w:szCs w:val="24"/>
              </w:rPr>
            </w:pPr>
            <w:r>
              <w:rPr>
                <w:rFonts w:hint="eastAsia" w:ascii="宋体" w:hAnsi="宋体" w:cs="宋体"/>
                <w:b/>
                <w:sz w:val="24"/>
                <w:szCs w:val="24"/>
              </w:rPr>
              <w:t>服务质量承诺及保障措施(满分10分</w:t>
            </w:r>
            <w:r>
              <w:rPr>
                <w:rFonts w:hint="eastAsia" w:ascii="宋体" w:hAnsi="宋体" w:cs="宋体"/>
                <w:b/>
                <w:sz w:val="24"/>
                <w:szCs w:val="24"/>
                <w:lang w:val="zh-CN"/>
              </w:rPr>
              <w:t>）</w:t>
            </w:r>
          </w:p>
        </w:tc>
        <w:tc>
          <w:tcPr>
            <w:tcW w:w="7430" w:type="dxa"/>
            <w:noWrap w:val="0"/>
            <w:vAlign w:val="center"/>
          </w:tcPr>
          <w:p w14:paraId="6169B7EE">
            <w:pPr>
              <w:wordWrap w:val="0"/>
              <w:spacing w:line="360" w:lineRule="auto"/>
              <w:ind w:firstLine="480" w:firstLineChars="200"/>
              <w:rPr>
                <w:rFonts w:hint="eastAsia" w:ascii="宋体" w:hAnsi="宋体" w:cs="宋体"/>
                <w:sz w:val="24"/>
                <w:szCs w:val="24"/>
              </w:rPr>
            </w:pPr>
            <w:r>
              <w:rPr>
                <w:rFonts w:hint="eastAsia" w:ascii="宋体" w:hAnsi="宋体" w:cs="宋体"/>
                <w:sz w:val="24"/>
                <w:szCs w:val="24"/>
              </w:rPr>
              <w:t>包括但不限于：①服务质量承诺及保障措施、②服务计划质量承诺及保障措施、③实施人员管理质量承诺及保障措施、④现场实施服务质量承诺及保障措施、⑤突发事件应急质量承诺及保障措施等内容。</w:t>
            </w:r>
          </w:p>
          <w:p w14:paraId="77989507">
            <w:pPr>
              <w:wordWrap w:val="0"/>
              <w:spacing w:line="360" w:lineRule="auto"/>
              <w:ind w:firstLine="480" w:firstLineChars="200"/>
              <w:rPr>
                <w:rFonts w:hint="eastAsia" w:ascii="宋体" w:hAnsi="宋体" w:cs="宋体"/>
                <w:sz w:val="24"/>
                <w:szCs w:val="24"/>
              </w:rPr>
            </w:pPr>
            <w:r>
              <w:rPr>
                <w:rFonts w:hint="eastAsia" w:ascii="宋体" w:hAnsi="宋体" w:cs="宋体"/>
                <w:sz w:val="24"/>
                <w:szCs w:val="24"/>
              </w:rPr>
              <w:t>(1)每有一项内容进行了详细阐述且贴合项目需求，能有效保证项目实施的，得2分。</w:t>
            </w:r>
          </w:p>
          <w:p w14:paraId="4F95ACC3">
            <w:pPr>
              <w:wordWrap w:val="0"/>
              <w:spacing w:line="360" w:lineRule="auto"/>
              <w:ind w:firstLine="480" w:firstLineChars="200"/>
              <w:rPr>
                <w:rFonts w:hint="eastAsia" w:ascii="宋体" w:hAnsi="宋体" w:cs="宋体"/>
                <w:sz w:val="24"/>
                <w:szCs w:val="24"/>
              </w:rPr>
            </w:pPr>
            <w:r>
              <w:rPr>
                <w:rFonts w:hint="eastAsia" w:ascii="宋体" w:hAnsi="宋体" w:cs="宋体"/>
                <w:sz w:val="24"/>
                <w:szCs w:val="24"/>
              </w:rPr>
              <w:t>(2)每有一项内容虽然进行了阐述但并未完全贴合项目需求，能保证项目实施的，得1分。</w:t>
            </w:r>
          </w:p>
          <w:p w14:paraId="41E3F9EF">
            <w:pPr>
              <w:wordWrap w:val="0"/>
              <w:spacing w:line="360" w:lineRule="auto"/>
              <w:ind w:firstLine="480" w:firstLineChars="200"/>
              <w:rPr>
                <w:rFonts w:hint="eastAsia" w:ascii="宋体" w:hAnsi="宋体" w:cs="宋体"/>
                <w:sz w:val="24"/>
                <w:szCs w:val="24"/>
              </w:rPr>
            </w:pPr>
            <w:r>
              <w:rPr>
                <w:rFonts w:hint="eastAsia" w:ascii="宋体" w:hAnsi="宋体" w:cs="宋体"/>
                <w:sz w:val="24"/>
                <w:szCs w:val="24"/>
              </w:rPr>
              <w:t>(3)每有一项内容虽进行阐述但内容简略的，难以保障项目有效实施的，得0.5分。</w:t>
            </w:r>
          </w:p>
          <w:p w14:paraId="685FA428">
            <w:pPr>
              <w:wordWrap w:val="0"/>
              <w:spacing w:line="360" w:lineRule="auto"/>
              <w:ind w:firstLine="480" w:firstLineChars="200"/>
              <w:rPr>
                <w:rFonts w:hint="eastAsia" w:ascii="宋体" w:hAnsi="宋体" w:cs="宋体"/>
                <w:sz w:val="24"/>
                <w:szCs w:val="24"/>
              </w:rPr>
            </w:pPr>
            <w:r>
              <w:rPr>
                <w:rFonts w:hint="eastAsia" w:ascii="宋体" w:hAnsi="宋体" w:cs="宋体"/>
                <w:sz w:val="24"/>
                <w:szCs w:val="24"/>
              </w:rPr>
              <w:t>(4)每有一项内容未进行阐述的，该项不得分。</w:t>
            </w:r>
          </w:p>
          <w:p w14:paraId="522B983E">
            <w:pPr>
              <w:keepNext w:val="0"/>
              <w:keepLines w:val="0"/>
              <w:pageBreakBefore w:val="0"/>
              <w:widowControl/>
              <w:shd w:val="clear" w:color="auto" w:fill="auto"/>
              <w:kinsoku w:val="0"/>
              <w:wordWrap/>
              <w:overflowPunct/>
              <w:topLinePunct w:val="0"/>
              <w:bidi w:val="0"/>
              <w:snapToGrid w:val="0"/>
              <w:spacing w:line="500" w:lineRule="exact"/>
              <w:ind w:firstLine="0" w:firstLineChars="0"/>
              <w:textAlignment w:val="baseline"/>
              <w:rPr>
                <w:rFonts w:hint="eastAsia" w:ascii="宋体" w:hAnsi="宋体" w:cs="黑体"/>
                <w:bCs/>
                <w:sz w:val="24"/>
                <w:szCs w:val="24"/>
              </w:rPr>
            </w:pPr>
            <w:r>
              <w:rPr>
                <w:rFonts w:hint="eastAsia" w:ascii="宋体" w:hAnsi="宋体" w:cs="宋体"/>
                <w:sz w:val="24"/>
                <w:szCs w:val="24"/>
              </w:rPr>
              <w:t>注：以上内容累计计分，满分10分。</w:t>
            </w:r>
          </w:p>
        </w:tc>
      </w:tr>
      <w:tr w14:paraId="680C0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jc w:val="center"/>
        </w:trPr>
        <w:tc>
          <w:tcPr>
            <w:tcW w:w="754" w:type="dxa"/>
            <w:noWrap w:val="0"/>
            <w:vAlign w:val="center"/>
          </w:tcPr>
          <w:p w14:paraId="1DD08CCE">
            <w:pPr>
              <w:spacing w:line="276" w:lineRule="auto"/>
              <w:jc w:val="center"/>
              <w:rPr>
                <w:rFonts w:hint="default"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5</w:t>
            </w:r>
          </w:p>
        </w:tc>
        <w:tc>
          <w:tcPr>
            <w:tcW w:w="1435" w:type="dxa"/>
            <w:noWrap w:val="0"/>
            <w:vAlign w:val="center"/>
          </w:tcPr>
          <w:p w14:paraId="70745F3C">
            <w:pPr>
              <w:jc w:val="both"/>
              <w:rPr>
                <w:rFonts w:hint="eastAsia" w:ascii="宋体" w:hAnsi="宋体" w:cs="黑体"/>
                <w:b/>
                <w:bCs/>
                <w:sz w:val="24"/>
                <w:szCs w:val="24"/>
              </w:rPr>
            </w:pPr>
            <w:r>
              <w:rPr>
                <w:rFonts w:hint="eastAsia" w:ascii="宋体" w:hAnsi="宋体" w:cs="宋体"/>
                <w:b/>
                <w:sz w:val="24"/>
                <w:szCs w:val="24"/>
                <w:lang w:val="zh-CN"/>
              </w:rPr>
              <w:t>违约责任承诺及处罚措施(满分10分)</w:t>
            </w:r>
          </w:p>
        </w:tc>
        <w:tc>
          <w:tcPr>
            <w:tcW w:w="7430" w:type="dxa"/>
            <w:noWrap w:val="0"/>
            <w:vAlign w:val="center"/>
          </w:tcPr>
          <w:p w14:paraId="117CB07D">
            <w:pPr>
              <w:pStyle w:val="22"/>
              <w:wordWrap w:val="0"/>
              <w:spacing w:line="360" w:lineRule="auto"/>
              <w:ind w:firstLine="480" w:firstLineChars="200"/>
              <w:contextualSpacing/>
              <w:rPr>
                <w:rFonts w:hint="eastAsia" w:ascii="宋体" w:hAnsi="宋体" w:cs="宋体"/>
                <w:sz w:val="24"/>
                <w:szCs w:val="24"/>
              </w:rPr>
            </w:pPr>
            <w:r>
              <w:rPr>
                <w:rFonts w:hint="eastAsia" w:ascii="宋体" w:hAnsi="宋体" w:cs="宋体"/>
                <w:sz w:val="24"/>
                <w:szCs w:val="24"/>
              </w:rPr>
              <w:t>包括但不限于：①服务质量违约责任承诺及处罚措施、②服务人员违约责任承诺及处罚措施、③服务计划违约责任承诺及处罚措施、④现场服务违约责任承诺及处罚措施、⑤信息保密违约责任承诺及处罚措施等内容。</w:t>
            </w:r>
          </w:p>
          <w:p w14:paraId="38F20C94">
            <w:pPr>
              <w:pStyle w:val="22"/>
              <w:wordWrap w:val="0"/>
              <w:spacing w:line="360" w:lineRule="auto"/>
              <w:ind w:firstLine="480" w:firstLineChars="200"/>
              <w:contextualSpacing/>
              <w:rPr>
                <w:rFonts w:hint="eastAsia" w:ascii="宋体" w:hAnsi="宋体" w:cs="宋体"/>
                <w:sz w:val="24"/>
                <w:szCs w:val="24"/>
              </w:rPr>
            </w:pPr>
            <w:r>
              <w:rPr>
                <w:rFonts w:hint="eastAsia" w:ascii="宋体" w:hAnsi="宋体" w:cs="宋体"/>
                <w:sz w:val="24"/>
                <w:szCs w:val="24"/>
              </w:rPr>
              <w:t>(1)每有一项内容进行了详细阐述且贴合项目需求，能有效保证项目实施的，得2分。</w:t>
            </w:r>
          </w:p>
          <w:p w14:paraId="1424D9A5">
            <w:pPr>
              <w:pStyle w:val="22"/>
              <w:wordWrap w:val="0"/>
              <w:spacing w:line="360" w:lineRule="auto"/>
              <w:ind w:firstLine="480" w:firstLineChars="200"/>
              <w:contextualSpacing/>
              <w:rPr>
                <w:rFonts w:hint="eastAsia" w:ascii="宋体" w:hAnsi="宋体" w:cs="宋体"/>
                <w:sz w:val="24"/>
                <w:szCs w:val="24"/>
              </w:rPr>
            </w:pPr>
            <w:r>
              <w:rPr>
                <w:rFonts w:hint="eastAsia" w:ascii="宋体" w:hAnsi="宋体" w:cs="宋体"/>
                <w:sz w:val="24"/>
                <w:szCs w:val="24"/>
              </w:rPr>
              <w:t>(2)每有一项内容虽然进行了阐述但并未完全贴合项目需求，能保证项目实施的，得1分。</w:t>
            </w:r>
          </w:p>
          <w:p w14:paraId="79EC0F08">
            <w:pPr>
              <w:pStyle w:val="22"/>
              <w:wordWrap w:val="0"/>
              <w:spacing w:line="360" w:lineRule="auto"/>
              <w:ind w:firstLine="480" w:firstLineChars="200"/>
              <w:contextualSpacing/>
              <w:rPr>
                <w:rFonts w:hint="eastAsia" w:ascii="宋体" w:hAnsi="宋体" w:cs="宋体"/>
                <w:sz w:val="24"/>
                <w:szCs w:val="24"/>
              </w:rPr>
            </w:pPr>
            <w:r>
              <w:rPr>
                <w:rFonts w:hint="eastAsia" w:ascii="宋体" w:hAnsi="宋体" w:cs="宋体"/>
                <w:sz w:val="24"/>
                <w:szCs w:val="24"/>
              </w:rPr>
              <w:t>(3)每有一项内容虽进行阐述但内容简略的，难以保障项目有效实施的，得0.5分。</w:t>
            </w:r>
          </w:p>
          <w:p w14:paraId="0BCC7A85">
            <w:pPr>
              <w:pStyle w:val="22"/>
              <w:wordWrap w:val="0"/>
              <w:spacing w:line="360" w:lineRule="auto"/>
              <w:ind w:firstLine="480" w:firstLineChars="200"/>
              <w:contextualSpacing/>
              <w:rPr>
                <w:rFonts w:hint="eastAsia" w:ascii="宋体" w:hAnsi="宋体" w:cs="宋体"/>
                <w:sz w:val="24"/>
                <w:szCs w:val="24"/>
              </w:rPr>
            </w:pPr>
            <w:r>
              <w:rPr>
                <w:rFonts w:hint="eastAsia" w:ascii="宋体" w:hAnsi="宋体" w:cs="宋体"/>
                <w:sz w:val="24"/>
                <w:szCs w:val="24"/>
              </w:rPr>
              <w:t>(4)每有一项内容未进行阐述的，该项不得分。</w:t>
            </w:r>
          </w:p>
          <w:p w14:paraId="7A72F961">
            <w:pPr>
              <w:keepNext w:val="0"/>
              <w:keepLines w:val="0"/>
              <w:pageBreakBefore w:val="0"/>
              <w:widowControl/>
              <w:shd w:val="clear" w:color="auto" w:fill="auto"/>
              <w:kinsoku w:val="0"/>
              <w:wordWrap/>
              <w:overflowPunct/>
              <w:topLinePunct w:val="0"/>
              <w:bidi w:val="0"/>
              <w:snapToGrid w:val="0"/>
              <w:spacing w:line="500" w:lineRule="exact"/>
              <w:ind w:firstLine="0" w:firstLineChars="0"/>
              <w:textAlignment w:val="baseline"/>
              <w:rPr>
                <w:rFonts w:hint="eastAsia" w:ascii="宋体" w:hAnsi="宋体" w:cs="黑体"/>
                <w:bCs/>
                <w:sz w:val="24"/>
                <w:szCs w:val="24"/>
              </w:rPr>
            </w:pPr>
            <w:r>
              <w:rPr>
                <w:rFonts w:hint="eastAsia" w:ascii="宋体" w:hAnsi="宋体" w:cs="宋体"/>
                <w:sz w:val="24"/>
                <w:szCs w:val="24"/>
              </w:rPr>
              <w:t>注：以上内容累计计分，满分10分。</w:t>
            </w:r>
          </w:p>
        </w:tc>
      </w:tr>
      <w:tr w14:paraId="165CE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jc w:val="center"/>
        </w:trPr>
        <w:tc>
          <w:tcPr>
            <w:tcW w:w="754" w:type="dxa"/>
            <w:noWrap w:val="0"/>
            <w:vAlign w:val="center"/>
          </w:tcPr>
          <w:p w14:paraId="6BD0BC9A">
            <w:pPr>
              <w:spacing w:line="276" w:lineRule="auto"/>
              <w:jc w:val="center"/>
              <w:rPr>
                <w:rFonts w:hint="default"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6</w:t>
            </w:r>
          </w:p>
        </w:tc>
        <w:tc>
          <w:tcPr>
            <w:tcW w:w="1435" w:type="dxa"/>
            <w:noWrap w:val="0"/>
            <w:vAlign w:val="center"/>
          </w:tcPr>
          <w:p w14:paraId="1AA5438C">
            <w:pPr>
              <w:jc w:val="both"/>
              <w:rPr>
                <w:rFonts w:hint="eastAsia" w:ascii="宋体" w:hAnsi="宋体" w:cs="黑体"/>
                <w:b/>
                <w:bCs/>
                <w:sz w:val="24"/>
                <w:szCs w:val="24"/>
              </w:rPr>
            </w:pPr>
            <w:r>
              <w:rPr>
                <w:rFonts w:hint="eastAsia" w:ascii="宋体" w:hAnsi="宋体" w:eastAsia="宋体" w:cs="宋体"/>
                <w:b/>
                <w:sz w:val="24"/>
                <w:szCs w:val="24"/>
                <w:lang w:val="zh-CN"/>
              </w:rPr>
              <w:t>应急工作预案</w:t>
            </w:r>
            <w:r>
              <w:rPr>
                <w:rFonts w:hint="eastAsia" w:ascii="宋体" w:hAnsi="宋体" w:cs="宋体"/>
                <w:b/>
                <w:sz w:val="24"/>
                <w:szCs w:val="24"/>
                <w:lang w:val="zh-CN"/>
              </w:rPr>
              <w:t>(满分5分)</w:t>
            </w:r>
          </w:p>
        </w:tc>
        <w:tc>
          <w:tcPr>
            <w:tcW w:w="7430" w:type="dxa"/>
            <w:noWrap w:val="0"/>
            <w:vAlign w:val="center"/>
          </w:tcPr>
          <w:p w14:paraId="5D66B4AF">
            <w:pPr>
              <w:keepNext w:val="0"/>
              <w:keepLines w:val="0"/>
              <w:pageBreakBefore w:val="0"/>
              <w:widowControl/>
              <w:suppressLineNumbers w:val="0"/>
              <w:kinsoku/>
              <w:wordWrap/>
              <w:overflowPunct/>
              <w:topLinePunct w:val="0"/>
              <w:autoSpaceDE/>
              <w:autoSpaceDN/>
              <w:bidi w:val="0"/>
              <w:adjustRightInd/>
              <w:spacing w:line="440" w:lineRule="exact"/>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（1）应急工作预案科学、先进、合理、规范，</w:t>
            </w:r>
            <w:r>
              <w:rPr>
                <w:rFonts w:hint="default" w:ascii="宋体" w:hAnsi="宋体" w:eastAsia="宋体" w:cs="宋体"/>
                <w:kern w:val="2"/>
                <w:sz w:val="24"/>
                <w:szCs w:val="24"/>
                <w:lang w:val="en-US" w:eastAsia="zh-CN" w:bidi="ar-SA"/>
              </w:rPr>
              <w:t>对突发性事件应急措施合理、可行、针对性强的</w:t>
            </w:r>
            <w:r>
              <w:rPr>
                <w:rFonts w:hint="eastAsia" w:ascii="宋体" w:hAnsi="宋体" w:eastAsia="宋体" w:cs="宋体"/>
                <w:kern w:val="2"/>
                <w:sz w:val="24"/>
                <w:szCs w:val="24"/>
                <w:lang w:val="en-US" w:eastAsia="zh-CN" w:bidi="ar-SA"/>
              </w:rPr>
              <w:t>的得5分；</w:t>
            </w:r>
          </w:p>
          <w:p w14:paraId="2199A1A8">
            <w:pPr>
              <w:keepNext w:val="0"/>
              <w:keepLines w:val="0"/>
              <w:pageBreakBefore w:val="0"/>
              <w:widowControl/>
              <w:suppressLineNumbers w:val="0"/>
              <w:kinsoku/>
              <w:wordWrap/>
              <w:overflowPunct/>
              <w:topLinePunct w:val="0"/>
              <w:autoSpaceDE/>
              <w:autoSpaceDN/>
              <w:bidi w:val="0"/>
              <w:adjustRightInd/>
              <w:spacing w:line="440" w:lineRule="exact"/>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（2）应急工作预案科学、合理、规范，对突</w:t>
            </w:r>
            <w:r>
              <w:rPr>
                <w:rFonts w:hint="default" w:ascii="宋体" w:hAnsi="宋体" w:eastAsia="宋体" w:cs="宋体"/>
                <w:kern w:val="2"/>
                <w:sz w:val="24"/>
                <w:szCs w:val="24"/>
                <w:lang w:val="en-US" w:eastAsia="zh-CN" w:bidi="ar-SA"/>
              </w:rPr>
              <w:t>发性事件应急措施基本合理、可行、具有针对性的</w:t>
            </w:r>
            <w:r>
              <w:rPr>
                <w:rFonts w:hint="eastAsia" w:ascii="宋体" w:hAnsi="宋体" w:eastAsia="宋体" w:cs="宋体"/>
                <w:kern w:val="2"/>
                <w:sz w:val="24"/>
                <w:szCs w:val="24"/>
                <w:lang w:val="en-US" w:eastAsia="zh-CN" w:bidi="ar-SA"/>
              </w:rPr>
              <w:t>的3分；</w:t>
            </w:r>
          </w:p>
          <w:p w14:paraId="34FF1551">
            <w:pPr>
              <w:keepNext w:val="0"/>
              <w:keepLines w:val="0"/>
              <w:pageBreakBefore w:val="0"/>
              <w:widowControl/>
              <w:suppressLineNumbers w:val="0"/>
              <w:kinsoku/>
              <w:wordWrap/>
              <w:overflowPunct/>
              <w:topLinePunct w:val="0"/>
              <w:autoSpaceDE/>
              <w:autoSpaceDN/>
              <w:bidi w:val="0"/>
              <w:adjustRightInd/>
              <w:spacing w:line="440" w:lineRule="exact"/>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（3）具有应急工作预案，对突发性事件应急措</w:t>
            </w:r>
            <w:r>
              <w:rPr>
                <w:rFonts w:hint="default" w:ascii="宋体" w:hAnsi="宋体" w:eastAsia="宋体" w:cs="宋体"/>
                <w:kern w:val="2"/>
                <w:sz w:val="24"/>
                <w:szCs w:val="24"/>
                <w:lang w:val="en-US" w:eastAsia="zh-CN" w:bidi="ar-SA"/>
              </w:rPr>
              <w:t>施较差或无针对性的</w:t>
            </w:r>
            <w:r>
              <w:rPr>
                <w:rFonts w:hint="eastAsia" w:ascii="宋体" w:hAnsi="宋体" w:eastAsia="宋体" w:cs="宋体"/>
                <w:kern w:val="2"/>
                <w:sz w:val="24"/>
                <w:szCs w:val="24"/>
                <w:lang w:val="en-US" w:eastAsia="zh-CN" w:bidi="ar-SA"/>
              </w:rPr>
              <w:t>的得1分；</w:t>
            </w:r>
          </w:p>
          <w:p w14:paraId="409C969B">
            <w:pPr>
              <w:keepNext w:val="0"/>
              <w:keepLines w:val="0"/>
              <w:pageBreakBefore w:val="0"/>
              <w:widowControl/>
              <w:shd w:val="clear" w:color="auto" w:fill="auto"/>
              <w:kinsoku w:val="0"/>
              <w:wordWrap/>
              <w:overflowPunct/>
              <w:topLinePunct w:val="0"/>
              <w:bidi w:val="0"/>
              <w:snapToGrid w:val="0"/>
              <w:spacing w:line="500" w:lineRule="exact"/>
              <w:ind w:firstLine="0" w:firstLineChars="0"/>
              <w:textAlignment w:val="baseline"/>
              <w:rPr>
                <w:rFonts w:hint="eastAsia" w:ascii="宋体" w:hAnsi="宋体" w:cs="黑体"/>
                <w:bCs/>
                <w:sz w:val="24"/>
                <w:szCs w:val="24"/>
              </w:rPr>
            </w:pPr>
            <w:r>
              <w:rPr>
                <w:rFonts w:hint="eastAsia" w:ascii="宋体" w:hAnsi="宋体" w:eastAsia="宋体" w:cs="宋体"/>
                <w:kern w:val="2"/>
                <w:sz w:val="24"/>
                <w:szCs w:val="24"/>
                <w:lang w:val="en-US" w:eastAsia="zh-CN" w:bidi="ar-SA"/>
              </w:rPr>
              <w:t>（4）未提供应急工作预案的得0分。</w:t>
            </w:r>
          </w:p>
        </w:tc>
      </w:tr>
      <w:tr w14:paraId="4F460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jc w:val="center"/>
        </w:trPr>
        <w:tc>
          <w:tcPr>
            <w:tcW w:w="754" w:type="dxa"/>
            <w:noWrap w:val="0"/>
            <w:vAlign w:val="center"/>
          </w:tcPr>
          <w:p w14:paraId="1A8E9C9F">
            <w:pPr>
              <w:spacing w:line="276"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C</w:t>
            </w:r>
          </w:p>
        </w:tc>
        <w:tc>
          <w:tcPr>
            <w:tcW w:w="8865" w:type="dxa"/>
            <w:gridSpan w:val="2"/>
            <w:noWrap w:val="0"/>
            <w:vAlign w:val="center"/>
          </w:tcPr>
          <w:p w14:paraId="42B5E949">
            <w:pPr>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商务部分评分（满分</w:t>
            </w:r>
            <w:r>
              <w:rPr>
                <w:rFonts w:hint="eastAsia" w:ascii="宋体" w:hAnsi="宋体" w:eastAsia="宋体" w:cs="宋体"/>
                <w:b/>
                <w:color w:val="auto"/>
                <w:sz w:val="24"/>
                <w:highlight w:val="none"/>
                <w:lang w:val="en-US" w:eastAsia="zh-CN"/>
              </w:rPr>
              <w:t>15</w:t>
            </w:r>
            <w:r>
              <w:rPr>
                <w:rFonts w:hint="eastAsia" w:ascii="宋体" w:hAnsi="宋体" w:eastAsia="宋体" w:cs="宋体"/>
                <w:b/>
                <w:color w:val="auto"/>
                <w:sz w:val="24"/>
                <w:highlight w:val="none"/>
              </w:rPr>
              <w:t>分）</w:t>
            </w:r>
          </w:p>
        </w:tc>
      </w:tr>
      <w:tr w14:paraId="0A79C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754" w:type="dxa"/>
            <w:noWrap w:val="0"/>
            <w:vAlign w:val="center"/>
          </w:tcPr>
          <w:p w14:paraId="3577B039">
            <w:pPr>
              <w:spacing w:line="276" w:lineRule="auto"/>
              <w:jc w:val="center"/>
              <w:rPr>
                <w:rFonts w:hint="eastAsia" w:ascii="宋体" w:hAnsi="宋体" w:eastAsia="宋体" w:cs="宋体"/>
                <w:color w:val="auto"/>
                <w:sz w:val="24"/>
                <w:highlight w:val="none"/>
                <w:lang w:eastAsia="zh-CN"/>
              </w:rPr>
            </w:pPr>
            <w:r>
              <w:rPr>
                <w:rFonts w:hint="eastAsia" w:ascii="宋体" w:hAnsi="宋体" w:eastAsia="宋体" w:cs="宋体"/>
                <w:bCs/>
                <w:color w:val="auto"/>
                <w:sz w:val="24"/>
                <w:highlight w:val="none"/>
                <w:lang w:val="en-US" w:eastAsia="zh-CN"/>
              </w:rPr>
              <w:t>1</w:t>
            </w:r>
          </w:p>
        </w:tc>
        <w:tc>
          <w:tcPr>
            <w:tcW w:w="1435" w:type="dxa"/>
            <w:noWrap w:val="0"/>
            <w:vAlign w:val="center"/>
          </w:tcPr>
          <w:p w14:paraId="4222311E">
            <w:pPr>
              <w:jc w:val="both"/>
              <w:rPr>
                <w:rFonts w:hint="eastAsia" w:ascii="宋体" w:hAnsi="宋体" w:eastAsia="宋体" w:cs="宋体"/>
                <w:b/>
                <w:color w:val="auto"/>
                <w:sz w:val="24"/>
                <w:highlight w:val="none"/>
              </w:rPr>
            </w:pPr>
            <w:r>
              <w:rPr>
                <w:rFonts w:hint="eastAsia" w:ascii="宋体" w:hAnsi="宋体" w:cs="黑体"/>
                <w:b/>
                <w:sz w:val="24"/>
                <w:szCs w:val="24"/>
              </w:rPr>
              <w:t>项目组织机构力量配备（满分</w:t>
            </w:r>
            <w:r>
              <w:rPr>
                <w:rFonts w:hint="eastAsia" w:ascii="宋体" w:hAnsi="宋体" w:cs="黑体"/>
                <w:b/>
                <w:sz w:val="24"/>
                <w:szCs w:val="24"/>
                <w:lang w:val="en-US" w:eastAsia="zh-CN"/>
              </w:rPr>
              <w:t>10</w:t>
            </w:r>
            <w:r>
              <w:rPr>
                <w:rFonts w:hint="eastAsia" w:ascii="宋体" w:hAnsi="宋体" w:cs="黑体"/>
                <w:b/>
                <w:sz w:val="24"/>
                <w:szCs w:val="24"/>
              </w:rPr>
              <w:t>分）</w:t>
            </w:r>
          </w:p>
        </w:tc>
        <w:tc>
          <w:tcPr>
            <w:tcW w:w="7430" w:type="dxa"/>
            <w:noWrap w:val="0"/>
            <w:vAlign w:val="center"/>
          </w:tcPr>
          <w:p w14:paraId="5AECE39A">
            <w:pPr>
              <w:pStyle w:val="22"/>
              <w:wordWrap w:val="0"/>
              <w:spacing w:line="360" w:lineRule="auto"/>
              <w:ind w:firstLine="482" w:firstLineChars="200"/>
              <w:contextualSpacing/>
              <w:rPr>
                <w:rFonts w:hint="eastAsia" w:ascii="宋体" w:hAnsi="宋体" w:cs="宋体"/>
                <w:b/>
                <w:bCs/>
                <w:sz w:val="24"/>
                <w:szCs w:val="24"/>
              </w:rPr>
            </w:pPr>
            <w:r>
              <w:rPr>
                <w:rFonts w:hint="eastAsia" w:ascii="宋体" w:hAnsi="宋体" w:cs="宋体"/>
                <w:b/>
                <w:bCs/>
                <w:sz w:val="24"/>
                <w:szCs w:val="24"/>
                <w:lang w:eastAsia="zh-CN"/>
              </w:rPr>
              <w:t>（</w:t>
            </w:r>
            <w:r>
              <w:rPr>
                <w:rFonts w:hint="eastAsia" w:ascii="宋体" w:hAnsi="宋体" w:cs="宋体"/>
                <w:b/>
                <w:bCs/>
                <w:sz w:val="24"/>
                <w:szCs w:val="24"/>
              </w:rPr>
              <w:t>1)项目负责人(</w:t>
            </w:r>
            <w:r>
              <w:rPr>
                <w:rFonts w:hint="eastAsia" w:ascii="宋体" w:hAnsi="宋体" w:cs="宋体"/>
                <w:b/>
                <w:bCs/>
                <w:sz w:val="24"/>
                <w:szCs w:val="24"/>
                <w:lang w:val="en-US" w:eastAsia="zh-CN"/>
              </w:rPr>
              <w:t>2</w:t>
            </w:r>
            <w:r>
              <w:rPr>
                <w:rFonts w:hint="eastAsia" w:ascii="宋体" w:hAnsi="宋体" w:cs="宋体"/>
                <w:b/>
                <w:bCs/>
                <w:sz w:val="24"/>
                <w:szCs w:val="24"/>
              </w:rPr>
              <w:t>分)</w:t>
            </w:r>
          </w:p>
          <w:p w14:paraId="1308D93F">
            <w:pPr>
              <w:pStyle w:val="22"/>
              <w:wordWrap w:val="0"/>
              <w:spacing w:line="360" w:lineRule="auto"/>
              <w:ind w:firstLine="480" w:firstLineChars="200"/>
              <w:contextualSpacing/>
              <w:rPr>
                <w:rFonts w:hint="eastAsia" w:ascii="宋体" w:hAnsi="宋体" w:cs="宋体"/>
                <w:sz w:val="24"/>
                <w:szCs w:val="24"/>
              </w:rPr>
            </w:pPr>
            <w:r>
              <w:rPr>
                <w:rFonts w:hint="eastAsia" w:ascii="宋体" w:hAnsi="宋体" w:cs="宋体"/>
                <w:sz w:val="24"/>
                <w:szCs w:val="24"/>
              </w:rPr>
              <w:t>①拟派项目负责人</w:t>
            </w:r>
            <w:r>
              <w:rPr>
                <w:rFonts w:hint="eastAsia" w:ascii="宋体" w:hAnsi="宋体" w:cs="宋体"/>
                <w:sz w:val="24"/>
                <w:szCs w:val="24"/>
                <w:lang w:val="en-US" w:eastAsia="zh-CN"/>
              </w:rPr>
              <w:t>的，该项得2</w:t>
            </w:r>
            <w:r>
              <w:rPr>
                <w:rFonts w:hint="eastAsia" w:ascii="宋体" w:hAnsi="宋体" w:cs="宋体"/>
                <w:sz w:val="24"/>
                <w:szCs w:val="24"/>
              </w:rPr>
              <w:t>分；</w:t>
            </w:r>
          </w:p>
          <w:p w14:paraId="6EAB46F9">
            <w:pPr>
              <w:pStyle w:val="22"/>
              <w:wordWrap w:val="0"/>
              <w:spacing w:line="360" w:lineRule="auto"/>
              <w:ind w:firstLine="480" w:firstLineChars="200"/>
              <w:contextualSpacing/>
              <w:rPr>
                <w:rFonts w:hint="eastAsia" w:ascii="宋体" w:hAnsi="宋体" w:cs="宋体"/>
                <w:sz w:val="24"/>
                <w:szCs w:val="24"/>
              </w:rPr>
            </w:pPr>
            <w:r>
              <w:rPr>
                <w:rFonts w:hint="eastAsia" w:ascii="宋体" w:hAnsi="宋体" w:cs="宋体"/>
                <w:sz w:val="24"/>
                <w:szCs w:val="24"/>
              </w:rPr>
              <w:t>②未拟派项目负责人的，该项不得分。</w:t>
            </w:r>
          </w:p>
          <w:p w14:paraId="47E14292">
            <w:pPr>
              <w:pStyle w:val="22"/>
              <w:wordWrap w:val="0"/>
              <w:spacing w:line="360" w:lineRule="auto"/>
              <w:ind w:firstLine="482" w:firstLineChars="200"/>
              <w:contextualSpacing/>
              <w:rPr>
                <w:rFonts w:hint="eastAsia" w:ascii="宋体" w:hAnsi="宋体" w:cs="宋体"/>
                <w:b/>
                <w:bCs/>
                <w:sz w:val="24"/>
                <w:szCs w:val="24"/>
              </w:rPr>
            </w:pPr>
            <w:r>
              <w:rPr>
                <w:rFonts w:hint="eastAsia" w:ascii="宋体" w:hAnsi="宋体" w:cs="宋体"/>
                <w:b/>
                <w:bCs/>
                <w:sz w:val="24"/>
                <w:szCs w:val="24"/>
                <w:lang w:eastAsia="zh-CN"/>
              </w:rPr>
              <w:t>（</w:t>
            </w:r>
            <w:r>
              <w:rPr>
                <w:rFonts w:hint="eastAsia" w:ascii="宋体" w:hAnsi="宋体" w:cs="宋体"/>
                <w:b/>
                <w:bCs/>
                <w:sz w:val="24"/>
                <w:szCs w:val="24"/>
              </w:rPr>
              <w:t>2)项目团队成员(</w:t>
            </w:r>
            <w:r>
              <w:rPr>
                <w:rFonts w:hint="eastAsia" w:ascii="宋体" w:hAnsi="宋体" w:cs="宋体"/>
                <w:b/>
                <w:bCs/>
                <w:sz w:val="24"/>
                <w:szCs w:val="24"/>
                <w:lang w:val="en-US" w:eastAsia="zh-CN"/>
              </w:rPr>
              <w:t>3</w:t>
            </w:r>
            <w:r>
              <w:rPr>
                <w:rFonts w:hint="eastAsia" w:ascii="宋体" w:hAnsi="宋体" w:cs="宋体"/>
                <w:b/>
                <w:bCs/>
                <w:sz w:val="24"/>
                <w:szCs w:val="24"/>
              </w:rPr>
              <w:t>分)</w:t>
            </w:r>
          </w:p>
          <w:p w14:paraId="5E4DE7AE">
            <w:pPr>
              <w:pStyle w:val="22"/>
              <w:wordWrap w:val="0"/>
              <w:spacing w:line="360" w:lineRule="auto"/>
              <w:ind w:firstLine="480" w:firstLineChars="200"/>
              <w:contextualSpacing/>
              <w:rPr>
                <w:rFonts w:hint="eastAsia" w:ascii="宋体" w:hAnsi="宋体" w:cs="宋体"/>
                <w:sz w:val="24"/>
                <w:szCs w:val="24"/>
              </w:rPr>
            </w:pPr>
            <w:r>
              <w:rPr>
                <w:rFonts w:hint="eastAsia" w:ascii="宋体" w:hAnsi="宋体" w:cs="宋体"/>
                <w:sz w:val="24"/>
                <w:szCs w:val="24"/>
              </w:rPr>
              <w:t>项目团队成员配备</w:t>
            </w:r>
            <w:r>
              <w:rPr>
                <w:rFonts w:hint="eastAsia" w:ascii="宋体" w:hAnsi="宋体" w:cs="宋体"/>
                <w:sz w:val="24"/>
                <w:szCs w:val="24"/>
                <w:lang w:val="en-US" w:eastAsia="zh-CN"/>
              </w:rPr>
              <w:t>3</w:t>
            </w:r>
            <w:r>
              <w:rPr>
                <w:rFonts w:hint="eastAsia" w:ascii="宋体" w:hAnsi="宋体" w:cs="宋体"/>
                <w:sz w:val="24"/>
                <w:szCs w:val="24"/>
              </w:rPr>
              <w:t>人得基本分</w:t>
            </w:r>
            <w:r>
              <w:rPr>
                <w:rFonts w:hint="eastAsia" w:ascii="宋体" w:hAnsi="宋体" w:cs="宋体"/>
                <w:sz w:val="24"/>
                <w:szCs w:val="24"/>
                <w:lang w:val="en-US" w:eastAsia="zh-CN"/>
              </w:rPr>
              <w:t>2</w:t>
            </w:r>
            <w:r>
              <w:rPr>
                <w:rFonts w:hint="eastAsia" w:ascii="宋体" w:hAnsi="宋体" w:cs="宋体"/>
                <w:sz w:val="24"/>
                <w:szCs w:val="24"/>
              </w:rPr>
              <w:t>分，每增加1名加0.5分，最多加</w:t>
            </w:r>
            <w:r>
              <w:rPr>
                <w:rFonts w:hint="eastAsia" w:ascii="宋体" w:hAnsi="宋体" w:cs="宋体"/>
                <w:sz w:val="24"/>
                <w:szCs w:val="24"/>
                <w:lang w:val="en-US" w:eastAsia="zh-CN"/>
              </w:rPr>
              <w:t>1</w:t>
            </w:r>
            <w:r>
              <w:rPr>
                <w:rFonts w:hint="eastAsia" w:ascii="宋体" w:hAnsi="宋体" w:cs="宋体"/>
                <w:sz w:val="24"/>
                <w:szCs w:val="24"/>
              </w:rPr>
              <w:t>分。</w:t>
            </w:r>
          </w:p>
          <w:p w14:paraId="75266194">
            <w:pPr>
              <w:pStyle w:val="22"/>
              <w:wordWrap w:val="0"/>
              <w:spacing w:line="360" w:lineRule="auto"/>
              <w:ind w:firstLine="482" w:firstLineChars="200"/>
              <w:contextualSpacing/>
              <w:rPr>
                <w:rFonts w:hint="eastAsia" w:ascii="宋体" w:hAnsi="宋体" w:cs="宋体"/>
                <w:b/>
                <w:bCs/>
                <w:sz w:val="24"/>
                <w:szCs w:val="24"/>
              </w:rPr>
            </w:pPr>
            <w:r>
              <w:rPr>
                <w:rFonts w:hint="eastAsia" w:ascii="宋体" w:hAnsi="宋体" w:cs="宋体"/>
                <w:b/>
                <w:bCs/>
                <w:sz w:val="24"/>
                <w:szCs w:val="24"/>
                <w:lang w:eastAsia="zh-CN"/>
              </w:rPr>
              <w:t>（</w:t>
            </w:r>
            <w:r>
              <w:rPr>
                <w:rFonts w:hint="eastAsia" w:ascii="宋体" w:hAnsi="宋体" w:cs="宋体"/>
                <w:b/>
                <w:bCs/>
                <w:sz w:val="24"/>
                <w:szCs w:val="24"/>
              </w:rPr>
              <w:t>3)项目人员配备综合能力(</w:t>
            </w:r>
            <w:r>
              <w:rPr>
                <w:rFonts w:hint="eastAsia" w:ascii="宋体" w:hAnsi="宋体" w:cs="宋体"/>
                <w:b/>
                <w:bCs/>
                <w:sz w:val="24"/>
                <w:szCs w:val="24"/>
                <w:lang w:val="en-US" w:eastAsia="zh-CN"/>
              </w:rPr>
              <w:t>5</w:t>
            </w:r>
            <w:r>
              <w:rPr>
                <w:rFonts w:hint="eastAsia" w:ascii="宋体" w:hAnsi="宋体" w:cs="宋体"/>
                <w:b/>
                <w:bCs/>
                <w:sz w:val="24"/>
                <w:szCs w:val="24"/>
              </w:rPr>
              <w:t>分)</w:t>
            </w:r>
          </w:p>
          <w:p w14:paraId="5F1CF9E5">
            <w:pPr>
              <w:pStyle w:val="22"/>
              <w:wordWrap w:val="0"/>
              <w:spacing w:line="360" w:lineRule="auto"/>
              <w:ind w:firstLine="480" w:firstLineChars="200"/>
              <w:contextualSpacing/>
              <w:rPr>
                <w:rFonts w:hint="eastAsia" w:ascii="宋体" w:hAnsi="宋体" w:cs="宋体"/>
                <w:sz w:val="24"/>
                <w:szCs w:val="24"/>
              </w:rPr>
            </w:pPr>
            <w:r>
              <w:rPr>
                <w:rFonts w:hint="eastAsia" w:ascii="宋体" w:hAnsi="宋体" w:cs="宋体"/>
                <w:sz w:val="24"/>
                <w:szCs w:val="24"/>
              </w:rPr>
              <w:t>①项目人员配备齐全、科学、合理，人员分工安排清楚，</w:t>
            </w:r>
            <w:r>
              <w:rPr>
                <w:rFonts w:hint="eastAsia" w:ascii="宋体" w:hAnsi="宋体" w:eastAsia="宋体" w:cs="宋体"/>
                <w:sz w:val="24"/>
                <w:szCs w:val="24"/>
              </w:rPr>
              <w:t>排班时间完全满足采购需求</w:t>
            </w:r>
            <w:r>
              <w:rPr>
                <w:rFonts w:hint="eastAsia" w:ascii="宋体" w:hAnsi="宋体" w:eastAsia="宋体" w:cs="宋体"/>
                <w:sz w:val="24"/>
                <w:szCs w:val="24"/>
                <w:lang w:eastAsia="zh-CN"/>
              </w:rPr>
              <w:t>，</w:t>
            </w:r>
            <w:r>
              <w:rPr>
                <w:rFonts w:hint="eastAsia" w:ascii="宋体" w:hAnsi="宋体" w:cs="宋体"/>
                <w:sz w:val="24"/>
                <w:szCs w:val="24"/>
              </w:rPr>
              <w:t>项目负责人具备较强组织统筹能力，专业素质强，项目组具有丰富的类似项目实施经验，能保障项目有效实施的，得</w:t>
            </w:r>
            <w:r>
              <w:rPr>
                <w:rFonts w:hint="eastAsia" w:ascii="宋体" w:hAnsi="宋体" w:cs="宋体"/>
                <w:sz w:val="24"/>
                <w:szCs w:val="24"/>
                <w:lang w:val="en-US" w:eastAsia="zh-CN"/>
              </w:rPr>
              <w:t>5</w:t>
            </w:r>
            <w:r>
              <w:rPr>
                <w:rFonts w:hint="eastAsia" w:ascii="宋体" w:hAnsi="宋体" w:cs="宋体"/>
                <w:sz w:val="24"/>
                <w:szCs w:val="24"/>
              </w:rPr>
              <w:t>分；</w:t>
            </w:r>
          </w:p>
          <w:p w14:paraId="4B53D711">
            <w:pPr>
              <w:pStyle w:val="22"/>
              <w:wordWrap w:val="0"/>
              <w:spacing w:line="360" w:lineRule="auto"/>
              <w:ind w:firstLine="480" w:firstLineChars="200"/>
              <w:contextualSpacing/>
              <w:rPr>
                <w:rFonts w:hint="eastAsia" w:ascii="宋体" w:hAnsi="宋体" w:cs="宋体"/>
                <w:sz w:val="24"/>
                <w:szCs w:val="24"/>
              </w:rPr>
            </w:pPr>
            <w:r>
              <w:rPr>
                <w:rFonts w:hint="eastAsia" w:ascii="宋体" w:hAnsi="宋体" w:cs="宋体"/>
                <w:sz w:val="24"/>
                <w:szCs w:val="24"/>
              </w:rPr>
              <w:t>②项目人员配备齐全、合理，人员分工安排清楚，</w:t>
            </w:r>
            <w:r>
              <w:rPr>
                <w:rFonts w:hint="eastAsia" w:ascii="宋体" w:hAnsi="宋体" w:eastAsia="宋体" w:cs="宋体"/>
                <w:sz w:val="24"/>
                <w:szCs w:val="24"/>
              </w:rPr>
              <w:t>排班时间不能完全满足采购需求</w:t>
            </w:r>
            <w:r>
              <w:rPr>
                <w:rFonts w:hint="eastAsia" w:ascii="宋体" w:hAnsi="宋体" w:eastAsia="宋体" w:cs="宋体"/>
                <w:sz w:val="24"/>
                <w:szCs w:val="24"/>
                <w:lang w:eastAsia="zh-CN"/>
              </w:rPr>
              <w:t>，</w:t>
            </w:r>
            <w:r>
              <w:rPr>
                <w:rFonts w:hint="eastAsia" w:ascii="宋体" w:hAnsi="宋体" w:cs="宋体"/>
                <w:sz w:val="24"/>
                <w:szCs w:val="24"/>
              </w:rPr>
              <w:t>项目负责人具备一定组织统筹能力，专业素质好，项目组具有类似项目实施经验的，能保障项目较好实施的，得</w:t>
            </w:r>
            <w:r>
              <w:rPr>
                <w:rFonts w:hint="eastAsia" w:ascii="宋体" w:hAnsi="宋体" w:cs="宋体"/>
                <w:sz w:val="24"/>
                <w:szCs w:val="24"/>
                <w:lang w:val="en-US" w:eastAsia="zh-CN"/>
              </w:rPr>
              <w:t>4</w:t>
            </w:r>
            <w:r>
              <w:rPr>
                <w:rFonts w:hint="eastAsia" w:ascii="宋体" w:hAnsi="宋体" w:cs="宋体"/>
                <w:sz w:val="24"/>
                <w:szCs w:val="24"/>
              </w:rPr>
              <w:t>分；</w:t>
            </w:r>
          </w:p>
          <w:p w14:paraId="41774A40">
            <w:pPr>
              <w:pStyle w:val="22"/>
              <w:wordWrap w:val="0"/>
              <w:spacing w:line="360" w:lineRule="auto"/>
              <w:ind w:firstLine="480" w:firstLineChars="200"/>
              <w:contextualSpacing/>
              <w:rPr>
                <w:rFonts w:hint="eastAsia" w:ascii="宋体" w:hAnsi="宋体" w:cs="宋体"/>
                <w:sz w:val="24"/>
                <w:szCs w:val="24"/>
              </w:rPr>
            </w:pPr>
            <w:r>
              <w:rPr>
                <w:rFonts w:hint="eastAsia" w:ascii="宋体" w:hAnsi="宋体" w:cs="宋体"/>
                <w:sz w:val="24"/>
                <w:szCs w:val="24"/>
              </w:rPr>
              <w:t>③项目人员配备基本齐全，人员构成基本合理，有基本的人员分工安排，</w:t>
            </w:r>
            <w:r>
              <w:rPr>
                <w:rFonts w:hint="eastAsia" w:ascii="宋体" w:hAnsi="宋体" w:eastAsia="宋体" w:cs="宋体"/>
                <w:sz w:val="24"/>
                <w:szCs w:val="24"/>
              </w:rPr>
              <w:t>排班时间不能完全满足采购需求</w:t>
            </w:r>
            <w:r>
              <w:rPr>
                <w:rFonts w:hint="eastAsia" w:ascii="宋体" w:hAnsi="宋体" w:eastAsia="宋体" w:cs="宋体"/>
                <w:sz w:val="24"/>
                <w:szCs w:val="24"/>
                <w:lang w:eastAsia="zh-CN"/>
              </w:rPr>
              <w:t>，</w:t>
            </w:r>
            <w:r>
              <w:rPr>
                <w:rFonts w:hint="eastAsia" w:ascii="宋体" w:hAnsi="宋体" w:cs="宋体"/>
                <w:sz w:val="24"/>
                <w:szCs w:val="24"/>
              </w:rPr>
              <w:t>未能较好体现项目负责人组织统筹能力，未能较好体现人员专业素质，缺乏类似项目实施经验的，得</w:t>
            </w:r>
            <w:r>
              <w:rPr>
                <w:rFonts w:hint="eastAsia" w:ascii="宋体" w:hAnsi="宋体" w:cs="宋体"/>
                <w:sz w:val="24"/>
                <w:szCs w:val="24"/>
                <w:lang w:val="en-US" w:eastAsia="zh-CN"/>
              </w:rPr>
              <w:t>3</w:t>
            </w:r>
            <w:r>
              <w:rPr>
                <w:rFonts w:hint="eastAsia" w:ascii="宋体" w:hAnsi="宋体" w:cs="宋体"/>
                <w:sz w:val="24"/>
                <w:szCs w:val="24"/>
              </w:rPr>
              <w:t>分；</w:t>
            </w:r>
          </w:p>
          <w:p w14:paraId="0BF83E42">
            <w:pPr>
              <w:pStyle w:val="22"/>
              <w:wordWrap w:val="0"/>
              <w:spacing w:line="360" w:lineRule="auto"/>
              <w:ind w:firstLine="480" w:firstLineChars="200"/>
              <w:contextualSpacing/>
              <w:rPr>
                <w:rFonts w:ascii="宋体" w:hAnsi="宋体" w:cs="宋体"/>
                <w:sz w:val="24"/>
                <w:szCs w:val="24"/>
              </w:rPr>
            </w:pPr>
            <w:r>
              <w:rPr>
                <w:rFonts w:hint="eastAsia" w:ascii="宋体" w:hAnsi="宋体" w:cs="宋体"/>
                <w:sz w:val="24"/>
                <w:szCs w:val="24"/>
              </w:rPr>
              <w:t>④项目人员配备不齐全，人员构成不合理，有基本的人员分工安排，</w:t>
            </w:r>
            <w:r>
              <w:rPr>
                <w:rFonts w:hint="eastAsia" w:ascii="宋体" w:hAnsi="宋体" w:eastAsia="宋体" w:cs="宋体"/>
                <w:sz w:val="24"/>
                <w:szCs w:val="24"/>
              </w:rPr>
              <w:t>排班时间不能满足采购需求</w:t>
            </w:r>
            <w:r>
              <w:rPr>
                <w:rFonts w:hint="eastAsia" w:ascii="宋体" w:hAnsi="宋体" w:eastAsia="宋体" w:cs="宋体"/>
                <w:sz w:val="24"/>
                <w:szCs w:val="24"/>
                <w:lang w:eastAsia="zh-CN"/>
              </w:rPr>
              <w:t>，</w:t>
            </w:r>
            <w:r>
              <w:rPr>
                <w:rFonts w:hint="eastAsia" w:ascii="宋体" w:hAnsi="宋体" w:cs="宋体"/>
                <w:sz w:val="24"/>
                <w:szCs w:val="24"/>
              </w:rPr>
              <w:t>未能较好体现项目负责人组织统筹能力，人员专业素质弱，缺乏类似项目实施经验的，得</w:t>
            </w:r>
            <w:r>
              <w:rPr>
                <w:rFonts w:hint="eastAsia" w:ascii="宋体" w:hAnsi="宋体" w:cs="宋体"/>
                <w:sz w:val="24"/>
                <w:szCs w:val="24"/>
                <w:lang w:val="en-US" w:eastAsia="zh-CN"/>
              </w:rPr>
              <w:t>2</w:t>
            </w:r>
            <w:r>
              <w:rPr>
                <w:rFonts w:hint="eastAsia" w:ascii="宋体" w:hAnsi="宋体" w:cs="宋体"/>
                <w:sz w:val="24"/>
                <w:szCs w:val="24"/>
              </w:rPr>
              <w:t>分。</w:t>
            </w:r>
          </w:p>
          <w:p w14:paraId="75EA844E">
            <w:pPr>
              <w:keepNext w:val="0"/>
              <w:keepLines w:val="0"/>
              <w:pageBreakBefore w:val="0"/>
              <w:widowControl/>
              <w:shd w:val="clear" w:color="auto" w:fill="auto"/>
              <w:kinsoku w:val="0"/>
              <w:wordWrap/>
              <w:overflowPunct/>
              <w:topLinePunct w:val="0"/>
              <w:bidi w:val="0"/>
              <w:snapToGrid w:val="0"/>
              <w:spacing w:line="500" w:lineRule="exact"/>
              <w:ind w:firstLine="0" w:firstLineChars="0"/>
              <w:textAlignment w:val="baseline"/>
              <w:rPr>
                <w:rFonts w:hint="eastAsia" w:ascii="宋体" w:hAnsi="宋体" w:eastAsia="宋体" w:cs="宋体"/>
                <w:color w:val="auto"/>
                <w:sz w:val="24"/>
                <w:highlight w:val="none"/>
              </w:rPr>
            </w:pPr>
            <w:r>
              <w:rPr>
                <w:rFonts w:hint="eastAsia" w:ascii="宋体" w:hAnsi="宋体" w:cs="宋体"/>
                <w:b/>
                <w:bCs/>
                <w:sz w:val="24"/>
                <w:szCs w:val="24"/>
              </w:rPr>
              <w:t>注：项目负责人及项目组成员须提供：身份证、毕业证、学历证或学位证、职称证（如有）、资格证（如有）、劳动合同或社保证明材料的</w:t>
            </w:r>
            <w:r>
              <w:rPr>
                <w:rFonts w:hint="eastAsia" w:ascii="宋体" w:hAnsi="宋体" w:cs="宋体"/>
                <w:b/>
                <w:bCs/>
                <w:sz w:val="24"/>
                <w:szCs w:val="24"/>
                <w:lang w:val="en-US" w:eastAsia="zh-CN"/>
              </w:rPr>
              <w:t>扫描</w:t>
            </w:r>
            <w:r>
              <w:rPr>
                <w:rFonts w:hint="eastAsia" w:ascii="宋体" w:hAnsi="宋体" w:cs="宋体"/>
                <w:b/>
                <w:bCs/>
                <w:sz w:val="24"/>
                <w:szCs w:val="24"/>
              </w:rPr>
              <w:t>件，未提供视为无效。</w:t>
            </w:r>
          </w:p>
        </w:tc>
      </w:tr>
      <w:tr w14:paraId="609A5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754" w:type="dxa"/>
            <w:noWrap w:val="0"/>
            <w:vAlign w:val="center"/>
          </w:tcPr>
          <w:p w14:paraId="7CA6B4E4">
            <w:pPr>
              <w:spacing w:line="276" w:lineRule="auto"/>
              <w:jc w:val="center"/>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2</w:t>
            </w:r>
          </w:p>
        </w:tc>
        <w:tc>
          <w:tcPr>
            <w:tcW w:w="1435" w:type="dxa"/>
            <w:noWrap w:val="0"/>
            <w:vAlign w:val="center"/>
          </w:tcPr>
          <w:p w14:paraId="4FE7E114">
            <w:pPr>
              <w:jc w:val="center"/>
              <w:rPr>
                <w:rFonts w:hint="eastAsia" w:ascii="宋体" w:hAnsi="宋体" w:eastAsia="宋体" w:cs="宋体"/>
                <w:b/>
                <w:color w:val="auto"/>
                <w:sz w:val="24"/>
                <w:highlight w:val="none"/>
              </w:rPr>
            </w:pPr>
            <w:r>
              <w:rPr>
                <w:rFonts w:hint="eastAsia" w:ascii="宋体" w:hAnsi="宋体" w:cs="宋体"/>
                <w:b/>
                <w:sz w:val="24"/>
                <w:szCs w:val="24"/>
              </w:rPr>
              <w:t>类似项目业绩评分（满分5分）</w:t>
            </w:r>
          </w:p>
        </w:tc>
        <w:tc>
          <w:tcPr>
            <w:tcW w:w="7430" w:type="dxa"/>
            <w:noWrap w:val="0"/>
            <w:vAlign w:val="center"/>
          </w:tcPr>
          <w:p w14:paraId="34AC7D6C">
            <w:pPr>
              <w:wordWrap w:val="0"/>
              <w:spacing w:line="360" w:lineRule="auto"/>
              <w:ind w:firstLine="542"/>
              <w:contextualSpacing/>
              <w:rPr>
                <w:rFonts w:hint="eastAsia" w:ascii="宋体" w:hAnsi="宋体" w:cs="宋体"/>
                <w:sz w:val="24"/>
                <w:szCs w:val="24"/>
              </w:rPr>
            </w:pPr>
            <w:r>
              <w:rPr>
                <w:rFonts w:hint="eastAsia" w:ascii="宋体" w:hAnsi="宋体" w:cs="宋体"/>
                <w:sz w:val="24"/>
                <w:szCs w:val="24"/>
              </w:rPr>
              <w:t>202</w:t>
            </w:r>
            <w:r>
              <w:rPr>
                <w:rFonts w:hint="eastAsia" w:ascii="宋体" w:hAnsi="宋体" w:cs="宋体"/>
                <w:sz w:val="24"/>
                <w:szCs w:val="24"/>
                <w:lang w:val="en-US" w:eastAsia="zh-CN"/>
              </w:rPr>
              <w:t>1</w:t>
            </w:r>
            <w:r>
              <w:rPr>
                <w:rFonts w:hint="eastAsia" w:ascii="宋体" w:hAnsi="宋体" w:cs="宋体"/>
                <w:sz w:val="24"/>
                <w:szCs w:val="24"/>
              </w:rPr>
              <w:t>年1月1日(以合同签订时间为准)至今</w:t>
            </w:r>
            <w:r>
              <w:rPr>
                <w:rFonts w:hint="eastAsia" w:ascii="宋体" w:hAnsi="宋体" w:cs="宋体"/>
                <w:sz w:val="24"/>
                <w:szCs w:val="24"/>
                <w:lang w:eastAsia="zh-CN"/>
              </w:rPr>
              <w:t>，</w:t>
            </w:r>
            <w:r>
              <w:rPr>
                <w:rFonts w:hint="eastAsia" w:ascii="宋体" w:hAnsi="宋体" w:cs="宋体"/>
                <w:sz w:val="24"/>
                <w:szCs w:val="24"/>
                <w:lang w:val="en-US" w:eastAsia="zh-CN"/>
              </w:rPr>
              <w:t>投标人具</w:t>
            </w:r>
            <w:r>
              <w:rPr>
                <w:rFonts w:hint="eastAsia" w:ascii="宋体" w:hAnsi="宋体" w:cs="宋体"/>
                <w:sz w:val="24"/>
                <w:szCs w:val="24"/>
              </w:rPr>
              <w:t>有垃圾填埋场渗滤液处理站</w:t>
            </w:r>
            <w:r>
              <w:rPr>
                <w:rFonts w:hint="eastAsia" w:ascii="宋体" w:hAnsi="宋体" w:cs="宋体"/>
                <w:sz w:val="24"/>
                <w:szCs w:val="24"/>
                <w:lang w:val="en-US" w:eastAsia="zh-CN"/>
              </w:rPr>
              <w:t>运维</w:t>
            </w:r>
            <w:r>
              <w:rPr>
                <w:rFonts w:hint="eastAsia" w:ascii="宋体" w:hAnsi="宋体" w:cs="宋体"/>
                <w:sz w:val="24"/>
                <w:szCs w:val="24"/>
              </w:rPr>
              <w:t>类似</w:t>
            </w:r>
            <w:r>
              <w:rPr>
                <w:rFonts w:hint="eastAsia" w:ascii="宋体" w:hAnsi="宋体" w:cs="宋体"/>
                <w:sz w:val="24"/>
                <w:szCs w:val="24"/>
                <w:lang w:val="en-US" w:eastAsia="zh-CN"/>
              </w:rPr>
              <w:t>项目业绩的</w:t>
            </w:r>
            <w:r>
              <w:rPr>
                <w:rFonts w:hint="eastAsia" w:ascii="宋体" w:hAnsi="宋体" w:cs="宋体"/>
                <w:sz w:val="24"/>
                <w:szCs w:val="24"/>
                <w:lang w:eastAsia="zh-CN"/>
              </w:rPr>
              <w:t>，</w:t>
            </w:r>
            <w:r>
              <w:rPr>
                <w:rFonts w:hint="eastAsia" w:ascii="宋体" w:hAnsi="宋体" w:cs="宋体"/>
                <w:sz w:val="24"/>
                <w:szCs w:val="24"/>
                <w:lang w:val="en-US" w:eastAsia="zh-CN"/>
              </w:rPr>
              <w:t>每提供1项</w:t>
            </w:r>
            <w:r>
              <w:rPr>
                <w:rFonts w:hint="eastAsia" w:ascii="宋体" w:hAnsi="宋体" w:cs="宋体"/>
                <w:sz w:val="24"/>
                <w:szCs w:val="24"/>
              </w:rPr>
              <w:t>项目业绩得</w:t>
            </w:r>
            <w:r>
              <w:rPr>
                <w:rFonts w:hint="eastAsia" w:ascii="宋体" w:hAnsi="宋体" w:cs="宋体"/>
                <w:sz w:val="24"/>
                <w:szCs w:val="24"/>
                <w:lang w:val="en-US" w:eastAsia="zh-CN"/>
              </w:rPr>
              <w:t>3</w:t>
            </w:r>
            <w:r>
              <w:rPr>
                <w:rFonts w:hint="eastAsia" w:ascii="宋体" w:hAnsi="宋体" w:cs="宋体"/>
                <w:sz w:val="24"/>
                <w:szCs w:val="24"/>
              </w:rPr>
              <w:t>分，每增加1项业绩加</w:t>
            </w:r>
            <w:r>
              <w:rPr>
                <w:rFonts w:hint="eastAsia" w:ascii="宋体" w:hAnsi="宋体" w:cs="宋体"/>
                <w:sz w:val="24"/>
                <w:szCs w:val="24"/>
                <w:lang w:val="en-US" w:eastAsia="zh-CN"/>
              </w:rPr>
              <w:t>1</w:t>
            </w:r>
            <w:r>
              <w:rPr>
                <w:rFonts w:hint="eastAsia" w:ascii="宋体" w:hAnsi="宋体" w:cs="宋体"/>
                <w:sz w:val="24"/>
                <w:szCs w:val="24"/>
              </w:rPr>
              <w:t>分，满分5分。</w:t>
            </w:r>
          </w:p>
          <w:p w14:paraId="58CDAF4E">
            <w:pPr>
              <w:keepNext w:val="0"/>
              <w:keepLines w:val="0"/>
              <w:pageBreakBefore w:val="0"/>
              <w:widowControl/>
              <w:shd w:val="clear" w:color="auto" w:fill="auto"/>
              <w:kinsoku w:val="0"/>
              <w:wordWrap/>
              <w:overflowPunct/>
              <w:topLinePunct w:val="0"/>
              <w:bidi w:val="0"/>
              <w:snapToGrid w:val="0"/>
              <w:spacing w:line="500" w:lineRule="exact"/>
              <w:ind w:firstLine="0" w:firstLineChars="0"/>
              <w:textAlignment w:val="baseline"/>
              <w:rPr>
                <w:rFonts w:hint="eastAsia" w:ascii="宋体" w:hAnsi="宋体" w:eastAsia="宋体" w:cs="宋体"/>
                <w:color w:val="auto"/>
                <w:sz w:val="24"/>
                <w:highlight w:val="none"/>
              </w:rPr>
            </w:pPr>
            <w:r>
              <w:rPr>
                <w:rFonts w:hint="eastAsia" w:ascii="宋体" w:hAnsi="宋体" w:cs="宋体"/>
                <w:b/>
                <w:bCs/>
                <w:sz w:val="24"/>
                <w:szCs w:val="24"/>
              </w:rPr>
              <w:t>注：供应商响应文件中须提供业绩列表及相对应的业绩证明材料，业绩证明材料为合同(合同至少包含合同首页、标的(项目内容)页、标的所在页、合同签字盖章页)，无证明材料或证明材料不明确、证明材料不完整、无法体现业绩内容的，不予认可。</w:t>
            </w:r>
          </w:p>
        </w:tc>
      </w:tr>
    </w:tbl>
    <w:p w14:paraId="190C9F3E">
      <w:pPr>
        <w:tabs>
          <w:tab w:val="left" w:pos="360"/>
          <w:tab w:val="left" w:pos="1080"/>
        </w:tabs>
        <w:snapToGrid w:val="0"/>
        <w:spacing w:line="360" w:lineRule="auto"/>
        <w:rPr>
          <w:rFonts w:hint="eastAsia" w:ascii="宋体" w:hAnsi="宋体" w:eastAsia="宋体" w:cs="宋体"/>
          <w:color w:val="auto"/>
          <w:sz w:val="24"/>
          <w:highlight w:val="none"/>
        </w:rPr>
      </w:pPr>
    </w:p>
    <w:p w14:paraId="1BC8A780">
      <w:pPr>
        <w:numPr>
          <w:ilvl w:val="0"/>
          <w:numId w:val="1"/>
        </w:numPr>
        <w:spacing w:line="360" w:lineRule="auto"/>
        <w:jc w:val="center"/>
        <w:outlineLvl w:val="0"/>
        <w:rPr>
          <w:rFonts w:hint="eastAsia" w:ascii="宋体" w:hAnsi="宋体" w:eastAsia="宋体" w:cs="宋体"/>
          <w:color w:val="FF0000"/>
          <w:highlight w:val="none"/>
          <w:lang w:val="en-US" w:eastAsia="zh-CN"/>
        </w:rPr>
      </w:pPr>
      <w:bookmarkStart w:id="791" w:name="_Toc9773"/>
      <w:r>
        <w:rPr>
          <w:rFonts w:hint="eastAsia" w:ascii="宋体" w:hAnsi="宋体" w:eastAsia="宋体" w:cs="宋体"/>
          <w:b/>
          <w:color w:val="auto"/>
          <w:sz w:val="36"/>
          <w:szCs w:val="36"/>
          <w:highlight w:val="none"/>
        </w:rPr>
        <w:br w:type="page"/>
      </w:r>
      <w:r>
        <w:rPr>
          <w:rFonts w:hint="eastAsia" w:ascii="宋体" w:hAnsi="宋体" w:eastAsia="宋体" w:cs="宋体"/>
          <w:b/>
          <w:color w:val="auto"/>
          <w:sz w:val="36"/>
          <w:szCs w:val="36"/>
          <w:highlight w:val="none"/>
        </w:rPr>
        <w:t xml:space="preserve"> </w:t>
      </w:r>
      <w:bookmarkStart w:id="792" w:name="_Toc15194"/>
      <w:r>
        <w:rPr>
          <w:rFonts w:hint="eastAsia" w:ascii="宋体" w:hAnsi="宋体" w:eastAsia="宋体" w:cs="宋体"/>
          <w:b/>
          <w:color w:val="auto"/>
          <w:sz w:val="36"/>
          <w:szCs w:val="36"/>
          <w:highlight w:val="none"/>
        </w:rPr>
        <w:t>采购需求</w:t>
      </w:r>
      <w:bookmarkEnd w:id="791"/>
      <w:bookmarkEnd w:id="792"/>
      <w:bookmarkStart w:id="793" w:name="_Toc2399"/>
    </w:p>
    <w:p w14:paraId="444AA3A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2" w:firstLineChars="200"/>
        <w:textAlignment w:val="auto"/>
        <w:outlineLvl w:val="1"/>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一、采购需求一览表</w:t>
      </w:r>
    </w:p>
    <w:tbl>
      <w:tblPr>
        <w:tblStyle w:val="17"/>
        <w:tblW w:w="96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8"/>
        <w:gridCol w:w="1341"/>
        <w:gridCol w:w="3346"/>
        <w:gridCol w:w="1443"/>
        <w:gridCol w:w="1061"/>
        <w:gridCol w:w="598"/>
        <w:gridCol w:w="1316"/>
      </w:tblGrid>
      <w:tr w14:paraId="50A9F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6" w:hRule="atLeast"/>
        </w:trPr>
        <w:tc>
          <w:tcPr>
            <w:tcW w:w="518" w:type="dxa"/>
            <w:noWrap w:val="0"/>
            <w:vAlign w:val="center"/>
          </w:tcPr>
          <w:p w14:paraId="56307A0D">
            <w:pPr>
              <w:widowControl w:val="0"/>
              <w:kinsoku w:val="0"/>
              <w:autoSpaceDE w:val="0"/>
              <w:autoSpaceDN w:val="0"/>
              <w:adjustRightInd w:val="0"/>
              <w:snapToGrid w:val="0"/>
              <w:spacing w:line="242" w:lineRule="auto"/>
              <w:jc w:val="center"/>
              <w:textAlignment w:val="baseline"/>
              <w:rPr>
                <w:rFonts w:hint="eastAsia" w:ascii="Arial" w:hAnsi="Arial" w:eastAsia="宋体" w:cs="Arial"/>
                <w:snapToGrid w:val="0"/>
                <w:color w:val="000000"/>
                <w:kern w:val="0"/>
                <w:sz w:val="28"/>
                <w:szCs w:val="28"/>
                <w:vertAlign w:val="baseline"/>
                <w:lang w:val="en-US" w:eastAsia="zh-CN" w:bidi="ar-SA"/>
              </w:rPr>
            </w:pPr>
            <w:bookmarkStart w:id="794" w:name="_Toc19163"/>
            <w:bookmarkEnd w:id="794"/>
            <w:bookmarkStart w:id="795" w:name="_Toc17654"/>
            <w:bookmarkEnd w:id="795"/>
            <w:r>
              <w:rPr>
                <w:rFonts w:hint="eastAsia" w:ascii="Arial" w:hAnsi="Arial" w:eastAsia="宋体" w:cs="Arial"/>
                <w:snapToGrid w:val="0"/>
                <w:color w:val="000000"/>
                <w:kern w:val="0"/>
                <w:sz w:val="28"/>
                <w:szCs w:val="28"/>
                <w:vertAlign w:val="baseline"/>
                <w:lang w:val="en-US" w:eastAsia="zh-CN" w:bidi="ar-SA"/>
              </w:rPr>
              <w:t>序号</w:t>
            </w:r>
          </w:p>
        </w:tc>
        <w:tc>
          <w:tcPr>
            <w:tcW w:w="1341" w:type="dxa"/>
            <w:noWrap w:val="0"/>
            <w:vAlign w:val="center"/>
          </w:tcPr>
          <w:p w14:paraId="22587F23">
            <w:pPr>
              <w:widowControl w:val="0"/>
              <w:kinsoku w:val="0"/>
              <w:autoSpaceDE w:val="0"/>
              <w:autoSpaceDN w:val="0"/>
              <w:adjustRightInd w:val="0"/>
              <w:snapToGrid w:val="0"/>
              <w:spacing w:line="242" w:lineRule="auto"/>
              <w:jc w:val="center"/>
              <w:textAlignment w:val="baseline"/>
              <w:rPr>
                <w:rFonts w:hint="default" w:ascii="Arial" w:hAnsi="Arial" w:eastAsia="宋体" w:cs="Arial"/>
                <w:snapToGrid w:val="0"/>
                <w:color w:val="000000"/>
                <w:kern w:val="0"/>
                <w:sz w:val="28"/>
                <w:szCs w:val="28"/>
                <w:vertAlign w:val="baseline"/>
                <w:lang w:val="en-US" w:eastAsia="zh-CN" w:bidi="ar-SA"/>
              </w:rPr>
            </w:pPr>
            <w:r>
              <w:rPr>
                <w:rFonts w:hint="eastAsia" w:ascii="Arial" w:hAnsi="Arial" w:eastAsia="宋体" w:cs="Arial"/>
                <w:snapToGrid w:val="0"/>
                <w:color w:val="000000"/>
                <w:kern w:val="0"/>
                <w:sz w:val="28"/>
                <w:szCs w:val="28"/>
                <w:vertAlign w:val="baseline"/>
                <w:lang w:val="en-US" w:eastAsia="zh-CN" w:bidi="ar-SA"/>
              </w:rPr>
              <w:t>项目名称</w:t>
            </w:r>
          </w:p>
        </w:tc>
        <w:tc>
          <w:tcPr>
            <w:tcW w:w="3346" w:type="dxa"/>
            <w:noWrap w:val="0"/>
            <w:vAlign w:val="center"/>
          </w:tcPr>
          <w:p w14:paraId="64792C61">
            <w:pPr>
              <w:widowControl w:val="0"/>
              <w:kinsoku w:val="0"/>
              <w:autoSpaceDE w:val="0"/>
              <w:autoSpaceDN w:val="0"/>
              <w:adjustRightInd w:val="0"/>
              <w:snapToGrid w:val="0"/>
              <w:spacing w:line="242" w:lineRule="auto"/>
              <w:jc w:val="center"/>
              <w:textAlignment w:val="baseline"/>
              <w:rPr>
                <w:rFonts w:hint="default" w:ascii="Arial" w:hAnsi="Arial" w:eastAsia="宋体" w:cs="Arial"/>
                <w:snapToGrid w:val="0"/>
                <w:color w:val="000000"/>
                <w:kern w:val="0"/>
                <w:sz w:val="28"/>
                <w:szCs w:val="28"/>
                <w:vertAlign w:val="baseline"/>
                <w:lang w:val="en-US" w:eastAsia="zh-CN" w:bidi="ar-SA"/>
              </w:rPr>
            </w:pPr>
            <w:r>
              <w:rPr>
                <w:rFonts w:hint="eastAsia" w:ascii="Arial" w:hAnsi="Arial" w:eastAsia="宋体" w:cs="Arial"/>
                <w:snapToGrid w:val="0"/>
                <w:color w:val="000000"/>
                <w:kern w:val="0"/>
                <w:sz w:val="28"/>
                <w:szCs w:val="28"/>
                <w:vertAlign w:val="baseline"/>
                <w:lang w:val="en-US" w:eastAsia="zh-CN" w:bidi="ar-SA"/>
              </w:rPr>
              <w:t>具体要求</w:t>
            </w:r>
          </w:p>
        </w:tc>
        <w:tc>
          <w:tcPr>
            <w:tcW w:w="1443" w:type="dxa"/>
            <w:noWrap w:val="0"/>
            <w:vAlign w:val="center"/>
          </w:tcPr>
          <w:p w14:paraId="1906117D">
            <w:pPr>
              <w:widowControl w:val="0"/>
              <w:kinsoku w:val="0"/>
              <w:autoSpaceDE w:val="0"/>
              <w:autoSpaceDN w:val="0"/>
              <w:adjustRightInd w:val="0"/>
              <w:snapToGrid w:val="0"/>
              <w:spacing w:line="242" w:lineRule="auto"/>
              <w:jc w:val="center"/>
              <w:textAlignment w:val="baseline"/>
              <w:rPr>
                <w:rFonts w:hint="default" w:ascii="宋体" w:hAnsi="宋体" w:eastAsia="宋体" w:cs="宋体"/>
                <w:color w:val="auto"/>
                <w:kern w:val="2"/>
                <w:sz w:val="24"/>
                <w:szCs w:val="24"/>
                <w:highlight w:val="none"/>
                <w:lang w:val="en-US" w:eastAsia="zh-CN" w:bidi="ar"/>
              </w:rPr>
            </w:pPr>
            <w:r>
              <w:rPr>
                <w:rFonts w:hint="eastAsia" w:ascii="宋体" w:hAnsi="宋体" w:cs="宋体"/>
                <w:color w:val="auto"/>
                <w:kern w:val="2"/>
                <w:sz w:val="24"/>
                <w:szCs w:val="24"/>
                <w:highlight w:val="none"/>
                <w:lang w:val="en-US" w:eastAsia="zh-CN" w:bidi="ar"/>
              </w:rPr>
              <w:t>质量要求</w:t>
            </w:r>
          </w:p>
        </w:tc>
        <w:tc>
          <w:tcPr>
            <w:tcW w:w="1061" w:type="dxa"/>
            <w:noWrap w:val="0"/>
            <w:vAlign w:val="center"/>
          </w:tcPr>
          <w:p w14:paraId="0F90A3B2">
            <w:pPr>
              <w:widowControl w:val="0"/>
              <w:kinsoku w:val="0"/>
              <w:autoSpaceDE w:val="0"/>
              <w:autoSpaceDN w:val="0"/>
              <w:adjustRightInd w:val="0"/>
              <w:snapToGrid w:val="0"/>
              <w:spacing w:line="242" w:lineRule="auto"/>
              <w:jc w:val="center"/>
              <w:textAlignment w:val="baseline"/>
              <w:rPr>
                <w:rFonts w:hint="default" w:ascii="Arial" w:hAnsi="Arial" w:eastAsia="宋体" w:cs="Arial"/>
                <w:snapToGrid w:val="0"/>
                <w:color w:val="000000"/>
                <w:kern w:val="0"/>
                <w:sz w:val="28"/>
                <w:szCs w:val="28"/>
                <w:vertAlign w:val="baseline"/>
                <w:lang w:val="en-US" w:eastAsia="zh-CN" w:bidi="ar-SA"/>
              </w:rPr>
            </w:pPr>
            <w:r>
              <w:rPr>
                <w:rFonts w:hint="eastAsia" w:ascii="宋体" w:hAnsi="宋体" w:eastAsia="宋体" w:cs="宋体"/>
                <w:color w:val="auto"/>
                <w:kern w:val="2"/>
                <w:sz w:val="24"/>
                <w:szCs w:val="24"/>
                <w:highlight w:val="none"/>
                <w:lang w:val="en-US" w:eastAsia="zh-CN" w:bidi="ar"/>
              </w:rPr>
              <w:t>合同履行期限</w:t>
            </w:r>
          </w:p>
        </w:tc>
        <w:tc>
          <w:tcPr>
            <w:tcW w:w="598" w:type="dxa"/>
            <w:noWrap w:val="0"/>
            <w:vAlign w:val="center"/>
          </w:tcPr>
          <w:p w14:paraId="1C806335">
            <w:pPr>
              <w:widowControl w:val="0"/>
              <w:kinsoku w:val="0"/>
              <w:autoSpaceDE w:val="0"/>
              <w:autoSpaceDN w:val="0"/>
              <w:adjustRightInd w:val="0"/>
              <w:snapToGrid w:val="0"/>
              <w:spacing w:line="242" w:lineRule="auto"/>
              <w:jc w:val="center"/>
              <w:textAlignment w:val="baseline"/>
              <w:rPr>
                <w:rFonts w:hint="eastAsia" w:ascii="Arial" w:hAnsi="Arial" w:eastAsia="宋体" w:cs="Arial"/>
                <w:snapToGrid w:val="0"/>
                <w:color w:val="000000"/>
                <w:kern w:val="0"/>
                <w:sz w:val="28"/>
                <w:szCs w:val="28"/>
                <w:vertAlign w:val="baseline"/>
                <w:lang w:val="en-US" w:eastAsia="zh-CN" w:bidi="ar-SA"/>
              </w:rPr>
            </w:pPr>
            <w:r>
              <w:rPr>
                <w:rFonts w:hint="eastAsia" w:ascii="Arial" w:hAnsi="Arial" w:eastAsia="宋体" w:cs="Arial"/>
                <w:snapToGrid w:val="0"/>
                <w:color w:val="000000"/>
                <w:kern w:val="0"/>
                <w:sz w:val="28"/>
                <w:szCs w:val="28"/>
                <w:vertAlign w:val="baseline"/>
                <w:lang w:val="en-US" w:eastAsia="zh-CN" w:bidi="ar-SA"/>
              </w:rPr>
              <w:t>单位</w:t>
            </w:r>
          </w:p>
        </w:tc>
        <w:tc>
          <w:tcPr>
            <w:tcW w:w="1316" w:type="dxa"/>
            <w:noWrap w:val="0"/>
            <w:vAlign w:val="center"/>
          </w:tcPr>
          <w:p w14:paraId="592BD0EF">
            <w:pPr>
              <w:widowControl w:val="0"/>
              <w:kinsoku w:val="0"/>
              <w:autoSpaceDE w:val="0"/>
              <w:autoSpaceDN w:val="0"/>
              <w:adjustRightInd w:val="0"/>
              <w:snapToGrid w:val="0"/>
              <w:spacing w:line="242" w:lineRule="auto"/>
              <w:jc w:val="center"/>
              <w:textAlignment w:val="baseline"/>
              <w:rPr>
                <w:rFonts w:hint="default" w:ascii="Arial" w:hAnsi="Arial" w:eastAsia="宋体" w:cs="Arial"/>
                <w:snapToGrid w:val="0"/>
                <w:color w:val="000000"/>
                <w:kern w:val="0"/>
                <w:sz w:val="28"/>
                <w:szCs w:val="28"/>
                <w:vertAlign w:val="baseline"/>
                <w:lang w:val="en-US" w:eastAsia="zh-CN" w:bidi="ar-SA"/>
              </w:rPr>
            </w:pPr>
            <w:r>
              <w:rPr>
                <w:rFonts w:hint="eastAsia" w:ascii="Arial" w:hAnsi="Arial" w:eastAsia="宋体" w:cs="Arial"/>
                <w:snapToGrid w:val="0"/>
                <w:color w:val="000000"/>
                <w:kern w:val="0"/>
                <w:sz w:val="28"/>
                <w:szCs w:val="28"/>
                <w:vertAlign w:val="baseline"/>
                <w:lang w:val="en-US" w:eastAsia="zh-CN" w:bidi="ar-SA"/>
              </w:rPr>
              <w:t>预算价</w:t>
            </w:r>
            <w:r>
              <w:rPr>
                <w:rFonts w:hint="eastAsia" w:ascii="宋体" w:hAnsi="宋体" w:eastAsia="Times New Roman" w:cs="Arial"/>
                <w:b/>
                <w:bCs/>
                <w:snapToGrid w:val="0"/>
                <w:color w:val="000000"/>
                <w:kern w:val="0"/>
                <w:sz w:val="28"/>
                <w:szCs w:val="28"/>
                <w:lang w:val="en-US" w:eastAsia="en-US" w:bidi="ar-SA"/>
              </w:rPr>
              <w:t>(</w:t>
            </w:r>
            <w:r>
              <w:rPr>
                <w:rFonts w:hint="eastAsia" w:ascii="宋体" w:hAnsi="宋体" w:eastAsia="宋体" w:cs="Arial"/>
                <w:b/>
                <w:bCs/>
                <w:snapToGrid w:val="0"/>
                <w:color w:val="000000"/>
                <w:kern w:val="0"/>
                <w:sz w:val="28"/>
                <w:szCs w:val="28"/>
                <w:lang w:val="en-US" w:eastAsia="zh-CN" w:bidi="ar-SA"/>
              </w:rPr>
              <w:t>万</w:t>
            </w:r>
            <w:r>
              <w:rPr>
                <w:rFonts w:hint="eastAsia" w:ascii="宋体" w:hAnsi="宋体" w:eastAsia="Times New Roman" w:cs="Arial"/>
                <w:b/>
                <w:bCs/>
                <w:snapToGrid w:val="0"/>
                <w:color w:val="000000"/>
                <w:kern w:val="0"/>
                <w:sz w:val="28"/>
                <w:szCs w:val="28"/>
                <w:lang w:val="en-US" w:eastAsia="en-US" w:bidi="ar-SA"/>
              </w:rPr>
              <w:t>元/年)</w:t>
            </w:r>
          </w:p>
        </w:tc>
      </w:tr>
      <w:tr w14:paraId="599CB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9" w:hRule="atLeast"/>
        </w:trPr>
        <w:tc>
          <w:tcPr>
            <w:tcW w:w="518" w:type="dxa"/>
            <w:noWrap w:val="0"/>
            <w:vAlign w:val="center"/>
          </w:tcPr>
          <w:p w14:paraId="0569485E">
            <w:pPr>
              <w:widowControl w:val="0"/>
              <w:kinsoku w:val="0"/>
              <w:autoSpaceDE w:val="0"/>
              <w:autoSpaceDN w:val="0"/>
              <w:adjustRightInd w:val="0"/>
              <w:snapToGrid w:val="0"/>
              <w:spacing w:line="242" w:lineRule="auto"/>
              <w:jc w:val="center"/>
              <w:textAlignment w:val="baseline"/>
              <w:rPr>
                <w:rFonts w:hint="eastAsia" w:ascii="Arial" w:hAnsi="Arial" w:eastAsia="宋体" w:cs="Arial"/>
                <w:snapToGrid w:val="0"/>
                <w:color w:val="000000"/>
                <w:kern w:val="0"/>
                <w:sz w:val="28"/>
                <w:szCs w:val="28"/>
                <w:vertAlign w:val="baseline"/>
                <w:lang w:val="en-US" w:eastAsia="zh-CN" w:bidi="ar-SA"/>
              </w:rPr>
            </w:pPr>
            <w:r>
              <w:rPr>
                <w:rFonts w:hint="eastAsia" w:ascii="Arial" w:hAnsi="Arial" w:eastAsia="宋体" w:cs="Arial"/>
                <w:snapToGrid w:val="0"/>
                <w:color w:val="000000"/>
                <w:kern w:val="0"/>
                <w:sz w:val="28"/>
                <w:szCs w:val="28"/>
                <w:vertAlign w:val="baseline"/>
                <w:lang w:val="en-US" w:eastAsia="zh-CN" w:bidi="ar-SA"/>
              </w:rPr>
              <w:t>1</w:t>
            </w:r>
          </w:p>
        </w:tc>
        <w:tc>
          <w:tcPr>
            <w:tcW w:w="1341" w:type="dxa"/>
            <w:noWrap w:val="0"/>
            <w:vAlign w:val="center"/>
          </w:tcPr>
          <w:p w14:paraId="400C88FC">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kern w:val="2"/>
                <w:sz w:val="24"/>
                <w:szCs w:val="24"/>
                <w:lang w:val="en-US" w:eastAsia="en-US" w:bidi="ar-SA"/>
              </w:rPr>
            </w:pPr>
            <w:r>
              <w:rPr>
                <w:rFonts w:hint="eastAsia" w:ascii="宋体" w:hAnsi="宋体" w:eastAsia="宋体" w:cs="宋体"/>
                <w:color w:val="auto"/>
                <w:kern w:val="2"/>
                <w:sz w:val="24"/>
                <w:szCs w:val="24"/>
                <w:lang w:val="en-US" w:eastAsia="en-US" w:bidi="ar-SA"/>
              </w:rPr>
              <w:t>剑川县生活垃圾填埋场渗滤液处理站市场化运营项目</w:t>
            </w:r>
          </w:p>
        </w:tc>
        <w:tc>
          <w:tcPr>
            <w:tcW w:w="3346" w:type="dxa"/>
            <w:noWrap w:val="0"/>
            <w:vAlign w:val="center"/>
          </w:tcPr>
          <w:p w14:paraId="12E3172B">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宋体" w:hAnsi="宋体" w:eastAsia="宋体" w:cs="宋体"/>
                <w:color w:val="auto"/>
                <w:kern w:val="2"/>
                <w:sz w:val="24"/>
                <w:szCs w:val="24"/>
                <w:lang w:val="en-US" w:eastAsia="en-US" w:bidi="ar-SA"/>
              </w:rPr>
            </w:pPr>
            <w:r>
              <w:rPr>
                <w:rFonts w:hint="eastAsia" w:ascii="宋体" w:hAnsi="宋体" w:eastAsia="宋体" w:cs="宋体"/>
                <w:color w:val="auto"/>
                <w:kern w:val="2"/>
                <w:sz w:val="24"/>
                <w:szCs w:val="24"/>
                <w:lang w:val="en-US" w:eastAsia="zh-CN" w:bidi="ar-SA"/>
              </w:rPr>
              <w:t>渗滤液处理系统日常运营维护、运行操作并保证出水稳定达标排放、设备操作及保养、运营期内的设备大修及设备更新、药品药剂采购、水质分析化验、渗滤液处理站的安全环保管理等满足采购人要求的所有内容。</w:t>
            </w:r>
          </w:p>
        </w:tc>
        <w:tc>
          <w:tcPr>
            <w:tcW w:w="1443" w:type="dxa"/>
            <w:noWrap w:val="0"/>
            <w:vAlign w:val="center"/>
          </w:tcPr>
          <w:p w14:paraId="3FCB600F">
            <w:pPr>
              <w:widowControl w:val="0"/>
              <w:kinsoku w:val="0"/>
              <w:autoSpaceDE w:val="0"/>
              <w:autoSpaceDN w:val="0"/>
              <w:adjustRightInd w:val="0"/>
              <w:snapToGrid w:val="0"/>
              <w:spacing w:line="360" w:lineRule="auto"/>
              <w:jc w:val="center"/>
              <w:textAlignment w:val="baseline"/>
              <w:rPr>
                <w:rFonts w:hint="eastAsia" w:ascii="宋体" w:hAnsi="宋体" w:eastAsia="宋体" w:cs="宋体"/>
                <w:spacing w:val="-6"/>
                <w:sz w:val="24"/>
                <w:szCs w:val="24"/>
                <w:lang w:val="en-US" w:eastAsia="zh-CN"/>
              </w:rPr>
            </w:pPr>
            <w:r>
              <w:rPr>
                <w:rFonts w:hint="eastAsia" w:ascii="宋体" w:hAnsi="宋体" w:eastAsia="宋体" w:cs="宋体"/>
                <w:color w:val="auto"/>
                <w:kern w:val="2"/>
                <w:sz w:val="24"/>
                <w:szCs w:val="24"/>
                <w:lang w:val="en-US" w:eastAsia="zh-CN" w:bidi="ar-SA"/>
              </w:rPr>
              <w:t>系统改造后以及运营服务期内，出水稳定达到(GB16889-2008)标准排放。</w:t>
            </w:r>
          </w:p>
        </w:tc>
        <w:tc>
          <w:tcPr>
            <w:tcW w:w="1061" w:type="dxa"/>
            <w:noWrap w:val="0"/>
            <w:vAlign w:val="center"/>
          </w:tcPr>
          <w:p w14:paraId="29BDFF8D">
            <w:pPr>
              <w:widowControl w:val="0"/>
              <w:kinsoku w:val="0"/>
              <w:autoSpaceDE w:val="0"/>
              <w:autoSpaceDN w:val="0"/>
              <w:adjustRightInd w:val="0"/>
              <w:snapToGrid w:val="0"/>
              <w:spacing w:line="242" w:lineRule="auto"/>
              <w:jc w:val="center"/>
              <w:textAlignment w:val="baseline"/>
              <w:rPr>
                <w:rFonts w:hint="eastAsia" w:ascii="Arial" w:hAnsi="Arial" w:eastAsia="宋体" w:cs="Arial"/>
                <w:snapToGrid w:val="0"/>
                <w:color w:val="000000"/>
                <w:kern w:val="0"/>
                <w:sz w:val="28"/>
                <w:szCs w:val="28"/>
                <w:vertAlign w:val="baseline"/>
                <w:lang w:val="en-US" w:eastAsia="zh-CN" w:bidi="ar-SA"/>
              </w:rPr>
            </w:pPr>
            <w:r>
              <w:rPr>
                <w:rFonts w:hint="eastAsia" w:ascii="宋体" w:hAnsi="宋体" w:eastAsia="宋体" w:cs="宋体"/>
                <w:spacing w:val="-6"/>
                <w:sz w:val="24"/>
                <w:szCs w:val="24"/>
                <w:lang w:val="en-US" w:eastAsia="zh-CN"/>
              </w:rPr>
              <w:t>项目服务期限为</w:t>
            </w:r>
            <w:r>
              <w:rPr>
                <w:rFonts w:hint="eastAsia" w:ascii="宋体" w:hAnsi="宋体" w:eastAsia="宋体" w:cs="宋体"/>
                <w:spacing w:val="-6"/>
                <w:sz w:val="24"/>
                <w:szCs w:val="24"/>
              </w:rPr>
              <w:t xml:space="preserve"> 3 年</w:t>
            </w:r>
            <w:r>
              <w:rPr>
                <w:rFonts w:hint="eastAsia" w:ascii="宋体" w:hAnsi="宋体" w:eastAsia="宋体" w:cs="宋体"/>
                <w:spacing w:val="-6"/>
                <w:sz w:val="24"/>
                <w:szCs w:val="24"/>
                <w:lang w:val="en-US" w:eastAsia="zh-CN"/>
              </w:rPr>
              <w:t>，</w:t>
            </w:r>
            <w:r>
              <w:rPr>
                <w:rFonts w:hint="eastAsia" w:ascii="宋体" w:hAnsi="宋体" w:eastAsia="宋体" w:cs="宋体"/>
                <w:spacing w:val="-6"/>
                <w:sz w:val="24"/>
                <w:szCs w:val="24"/>
              </w:rPr>
              <w:t>合</w:t>
            </w:r>
            <w:r>
              <w:rPr>
                <w:rFonts w:ascii="宋体" w:hAnsi="宋体" w:eastAsia="宋体" w:cs="宋体"/>
                <w:spacing w:val="-6"/>
                <w:sz w:val="24"/>
                <w:szCs w:val="24"/>
              </w:rPr>
              <w:t>同一年一签</w:t>
            </w:r>
            <w:r>
              <w:rPr>
                <w:rFonts w:hint="eastAsia" w:ascii="宋体" w:hAnsi="宋体" w:eastAsia="宋体" w:cs="宋体"/>
                <w:spacing w:val="-6"/>
                <w:sz w:val="24"/>
                <w:szCs w:val="24"/>
                <w:lang w:eastAsia="zh-CN"/>
              </w:rPr>
              <w:t>。</w:t>
            </w:r>
          </w:p>
        </w:tc>
        <w:tc>
          <w:tcPr>
            <w:tcW w:w="598" w:type="dxa"/>
            <w:noWrap w:val="0"/>
            <w:vAlign w:val="center"/>
          </w:tcPr>
          <w:p w14:paraId="2D1BF46A">
            <w:pPr>
              <w:widowControl w:val="0"/>
              <w:kinsoku w:val="0"/>
              <w:autoSpaceDE w:val="0"/>
              <w:autoSpaceDN w:val="0"/>
              <w:adjustRightInd w:val="0"/>
              <w:snapToGrid w:val="0"/>
              <w:spacing w:line="242" w:lineRule="auto"/>
              <w:jc w:val="center"/>
              <w:textAlignment w:val="baseline"/>
              <w:rPr>
                <w:rFonts w:hint="default" w:ascii="Arial" w:hAnsi="Arial" w:eastAsia="宋体" w:cs="Arial"/>
                <w:snapToGrid w:val="0"/>
                <w:color w:val="000000"/>
                <w:kern w:val="0"/>
                <w:sz w:val="28"/>
                <w:szCs w:val="28"/>
                <w:vertAlign w:val="baseline"/>
                <w:lang w:val="en-US" w:eastAsia="zh-CN" w:bidi="ar-SA"/>
              </w:rPr>
            </w:pPr>
            <w:r>
              <w:rPr>
                <w:rFonts w:hint="eastAsia" w:ascii="Arial" w:hAnsi="Arial" w:eastAsia="宋体" w:cs="Arial"/>
                <w:snapToGrid w:val="0"/>
                <w:color w:val="000000"/>
                <w:kern w:val="0"/>
                <w:sz w:val="28"/>
                <w:szCs w:val="28"/>
                <w:vertAlign w:val="baseline"/>
                <w:lang w:val="en-US" w:eastAsia="zh-CN" w:bidi="ar-SA"/>
              </w:rPr>
              <w:t>项</w:t>
            </w:r>
          </w:p>
        </w:tc>
        <w:tc>
          <w:tcPr>
            <w:tcW w:w="1316" w:type="dxa"/>
            <w:noWrap w:val="0"/>
            <w:vAlign w:val="center"/>
          </w:tcPr>
          <w:p w14:paraId="3DA18A1B">
            <w:pPr>
              <w:widowControl w:val="0"/>
              <w:kinsoku w:val="0"/>
              <w:autoSpaceDE w:val="0"/>
              <w:autoSpaceDN w:val="0"/>
              <w:adjustRightInd w:val="0"/>
              <w:snapToGrid w:val="0"/>
              <w:spacing w:line="242" w:lineRule="auto"/>
              <w:jc w:val="center"/>
              <w:textAlignment w:val="baseline"/>
              <w:rPr>
                <w:rFonts w:hint="default" w:ascii="Arial" w:hAnsi="Arial" w:eastAsia="宋体" w:cs="Arial"/>
                <w:snapToGrid w:val="0"/>
                <w:color w:val="000000"/>
                <w:kern w:val="0"/>
                <w:sz w:val="28"/>
                <w:szCs w:val="28"/>
                <w:vertAlign w:val="baseline"/>
                <w:lang w:val="en-US" w:eastAsia="zh-CN" w:bidi="ar-SA"/>
              </w:rPr>
            </w:pPr>
            <w:r>
              <w:rPr>
                <w:rFonts w:hint="eastAsia" w:ascii="Arial" w:hAnsi="Arial" w:eastAsia="宋体" w:cs="Arial"/>
                <w:snapToGrid w:val="0"/>
                <w:color w:val="000000"/>
                <w:kern w:val="0"/>
                <w:sz w:val="28"/>
                <w:szCs w:val="28"/>
                <w:vertAlign w:val="baseline"/>
                <w:lang w:val="en-US" w:eastAsia="zh-CN" w:bidi="ar-SA"/>
              </w:rPr>
              <w:t>91.60</w:t>
            </w:r>
          </w:p>
        </w:tc>
      </w:tr>
    </w:tbl>
    <w:p w14:paraId="65C148C0">
      <w:pPr>
        <w:kinsoku w:val="0"/>
        <w:autoSpaceDE w:val="0"/>
        <w:autoSpaceDN w:val="0"/>
        <w:adjustRightInd w:val="0"/>
        <w:snapToGrid w:val="0"/>
        <w:spacing w:line="242" w:lineRule="auto"/>
        <w:jc w:val="left"/>
        <w:textAlignment w:val="baseline"/>
        <w:rPr>
          <w:rFonts w:ascii="Arial" w:hAnsi="Arial" w:eastAsia="Arial" w:cs="Arial"/>
          <w:snapToGrid w:val="0"/>
          <w:color w:val="000000"/>
          <w:kern w:val="0"/>
          <w:sz w:val="21"/>
          <w:szCs w:val="21"/>
          <w:lang w:val="en-US" w:eastAsia="en-US" w:bidi="ar-SA"/>
        </w:rPr>
      </w:pPr>
    </w:p>
    <w:p w14:paraId="0CB9E64D">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2" w:firstLineChars="200"/>
        <w:textAlignment w:val="auto"/>
        <w:outlineLvl w:val="1"/>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二、项目基本情况</w:t>
      </w:r>
    </w:p>
    <w:p w14:paraId="204EE721">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2" w:firstLineChars="200"/>
        <w:textAlignment w:val="auto"/>
        <w:outlineLvl w:val="1"/>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1、建设时间</w:t>
      </w:r>
    </w:p>
    <w:p w14:paraId="5F51625D">
      <w:pPr>
        <w:keepNext w:val="0"/>
        <w:keepLines w:val="0"/>
        <w:pageBreakBefore w:val="0"/>
        <w:widowControl w:val="0"/>
        <w:kinsoku/>
        <w:wordWrap/>
        <w:overflowPunct/>
        <w:topLinePunct w:val="0"/>
        <w:autoSpaceDE/>
        <w:autoSpaceDN/>
        <w:bidi w:val="0"/>
        <w:adjustRightInd/>
        <w:snapToGrid/>
        <w:spacing w:line="520" w:lineRule="exact"/>
        <w:ind w:firstLine="563"/>
        <w:textAlignment w:val="auto"/>
        <w:rPr>
          <w:rFonts w:hint="eastAsia" w:ascii="宋体" w:hAnsi="宋体" w:eastAsia="宋体" w:cs="宋体"/>
          <w:sz w:val="24"/>
          <w:szCs w:val="24"/>
          <w:lang w:val="en-US" w:eastAsia="zh-CN"/>
        </w:rPr>
      </w:pPr>
      <w:r>
        <w:rPr>
          <w:rFonts w:hint="eastAsia" w:ascii="宋体" w:hAnsi="宋体" w:eastAsia="宋体" w:cs="宋体"/>
          <w:color w:val="auto"/>
          <w:kern w:val="2"/>
          <w:sz w:val="24"/>
          <w:szCs w:val="24"/>
          <w:lang w:val="en-US" w:eastAsia="zh-CN" w:bidi="ar-SA"/>
        </w:rPr>
        <w:t>剑川县生活垃圾填埋场渗滤液处理站于2017年11月始建，</w:t>
      </w:r>
      <w:r>
        <w:rPr>
          <w:rFonts w:hint="eastAsia" w:ascii="宋体" w:hAnsi="宋体" w:eastAsia="宋体" w:cs="宋体"/>
          <w:sz w:val="24"/>
          <w:szCs w:val="24"/>
          <w:lang w:eastAsia="zh-CN"/>
        </w:rPr>
        <w:t>位于剑川县城市生活垃圾处理场，地处甸南镇西面，甸南兴水村、江长门村北面山谷；场地内有一条东西走向的冲沟，全长</w:t>
      </w:r>
      <w:r>
        <w:rPr>
          <w:rFonts w:hint="eastAsia" w:ascii="宋体" w:hAnsi="宋体" w:eastAsia="宋体" w:cs="宋体"/>
          <w:sz w:val="24"/>
          <w:szCs w:val="24"/>
          <w:lang w:val="en-US" w:eastAsia="zh-CN"/>
        </w:rPr>
        <w:t>860m，宽80-100m；项目距甸南镇3km、县城10km，根据现场勘查，项目不在自然保护区、风景名胜区、饮用水源保护区内。</w:t>
      </w:r>
    </w:p>
    <w:p w14:paraId="5B625C11">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2" w:firstLineChars="200"/>
        <w:textAlignment w:val="auto"/>
        <w:outlineLvl w:val="1"/>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2、处理规模</w:t>
      </w:r>
    </w:p>
    <w:p w14:paraId="6AB2D953">
      <w:pPr>
        <w:keepNext w:val="0"/>
        <w:keepLines w:val="0"/>
        <w:pageBreakBefore w:val="0"/>
        <w:widowControl w:val="0"/>
        <w:kinsoku/>
        <w:wordWrap/>
        <w:overflowPunct/>
        <w:topLinePunct w:val="0"/>
        <w:autoSpaceDE/>
        <w:autoSpaceDN/>
        <w:bidi w:val="0"/>
        <w:adjustRightInd/>
        <w:snapToGrid/>
        <w:spacing w:line="520" w:lineRule="exact"/>
        <w:ind w:firstLine="563"/>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剑川县城镇生活垃圾渗沥液主要依靠建站处理采用两级 DTRO 工艺，处理站的规模按年平均日的渗沥液产生量设计，设计处理能力为</w:t>
      </w:r>
      <w:r>
        <w:rPr>
          <w:rFonts w:hint="eastAsia" w:ascii="宋体" w:hAnsi="宋体" w:eastAsia="宋体" w:cs="宋体"/>
          <w:sz w:val="24"/>
          <w:szCs w:val="24"/>
          <w:lang w:val="en-US" w:eastAsia="zh-CN"/>
        </w:rPr>
        <w:t>60m³/d</w:t>
      </w:r>
      <w:r>
        <w:rPr>
          <w:rFonts w:hint="eastAsia" w:ascii="宋体" w:hAnsi="宋体" w:eastAsia="宋体" w:cs="宋体"/>
          <w:sz w:val="24"/>
          <w:szCs w:val="24"/>
          <w:lang w:eastAsia="zh-CN"/>
        </w:rPr>
        <w:t>。</w:t>
      </w:r>
    </w:p>
    <w:p w14:paraId="6A22009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2" w:firstLineChars="200"/>
        <w:textAlignment w:val="auto"/>
        <w:outlineLvl w:val="1"/>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3、目前情况</w:t>
      </w:r>
    </w:p>
    <w:p w14:paraId="7EF6EA31">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outlineLvl w:val="1"/>
        <w:rPr>
          <w:rFonts w:hint="eastAsia" w:ascii="宋体" w:hAnsi="宋体" w:eastAsia="宋体" w:cs="宋体"/>
          <w:b w:val="0"/>
          <w:bCs w:val="0"/>
          <w:sz w:val="24"/>
          <w:szCs w:val="24"/>
          <w:lang w:val="en-US" w:eastAsia="zh-CN"/>
        </w:rPr>
      </w:pPr>
      <w:r>
        <w:rPr>
          <w:rFonts w:hint="eastAsia" w:ascii="宋体" w:hAnsi="宋体" w:eastAsia="宋体" w:cs="宋体"/>
          <w:color w:val="auto"/>
          <w:sz w:val="24"/>
          <w:szCs w:val="24"/>
          <w:lang w:val="en-US" w:eastAsia="zh-CN"/>
        </w:rPr>
        <w:t>2021年，剑川县城市管理综合行政执法局组织公开招标，确定了剑川县生活垃圾处理厂渗滤液处理工程运营维护项目的运营单位。市场化运营后，为确保项目的正常运营，运营单位对原有设备进行了检修，同年按照上级环保部门的工作要求完成云南省水污染源（</w:t>
      </w:r>
      <w:r>
        <w:rPr>
          <w:rFonts w:hint="eastAsia" w:ascii="宋体" w:hAnsi="宋体" w:eastAsia="宋体" w:cs="宋体"/>
          <w:b w:val="0"/>
          <w:bCs w:val="0"/>
          <w:color w:val="auto"/>
          <w:kern w:val="2"/>
          <w:sz w:val="24"/>
          <w:szCs w:val="24"/>
          <w:lang w:val="en-US" w:eastAsia="zh-CN" w:bidi="ar-SA"/>
        </w:rPr>
        <w:t>COD、氨氮</w:t>
      </w:r>
      <w:r>
        <w:rPr>
          <w:rFonts w:hint="eastAsia" w:ascii="宋体" w:hAnsi="宋体" w:eastAsia="宋体" w:cs="宋体"/>
          <w:color w:val="auto"/>
          <w:sz w:val="24"/>
          <w:szCs w:val="24"/>
          <w:lang w:val="en-US" w:eastAsia="zh-CN"/>
        </w:rPr>
        <w:t>）的在线监测系统对接。2023年为确保水处理能力达标排放，由运营单位投资24万元对设备反渗透膜柱进行了更换，通过3年的市场化运营，现目前渗滤液调节池库存量约为2600m³。</w:t>
      </w:r>
      <w:r>
        <w:rPr>
          <w:rFonts w:hint="eastAsia" w:ascii="宋体" w:hAnsi="宋体" w:eastAsia="宋体" w:cs="宋体"/>
          <w:color w:val="auto"/>
          <w:kern w:val="2"/>
          <w:sz w:val="24"/>
          <w:szCs w:val="24"/>
          <w:lang w:val="en-US" w:eastAsia="zh-CN" w:bidi="ar-SA"/>
        </w:rPr>
        <w:t>2024年9月，剑川县城市管理综合行政执法局通过询价采购，加装两台总磷和总</w:t>
      </w:r>
      <w:r>
        <w:rPr>
          <w:rFonts w:hint="eastAsia" w:ascii="宋体" w:hAnsi="宋体" w:eastAsia="宋体" w:cs="宋体"/>
          <w:b w:val="0"/>
          <w:bCs w:val="0"/>
          <w:color w:val="auto"/>
          <w:kern w:val="2"/>
          <w:sz w:val="24"/>
          <w:szCs w:val="24"/>
          <w:lang w:val="en-US" w:eastAsia="zh-CN" w:bidi="ar-SA"/>
        </w:rPr>
        <w:t>氮</w:t>
      </w:r>
      <w:r>
        <w:rPr>
          <w:rFonts w:hint="eastAsia" w:ascii="宋体" w:hAnsi="宋体" w:eastAsia="宋体" w:cs="宋体"/>
          <w:b w:val="0"/>
          <w:bCs w:val="0"/>
          <w:sz w:val="24"/>
          <w:szCs w:val="24"/>
          <w:lang w:val="en-US" w:eastAsia="zh-CN"/>
        </w:rPr>
        <w:t>监测设备，进一步提升水质监测能力。</w:t>
      </w:r>
    </w:p>
    <w:p w14:paraId="218F7B75">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2" w:firstLineChars="200"/>
        <w:textAlignment w:val="auto"/>
        <w:outlineLvl w:val="1"/>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三、服务范围及要求</w:t>
      </w:r>
    </w:p>
    <w:p w14:paraId="5C2E26B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480" w:firstLineChars="200"/>
        <w:textAlignment w:val="auto"/>
        <w:outlineLvl w:val="1"/>
        <w:rPr>
          <w:rFonts w:hint="eastAsia" w:ascii="宋体" w:hAnsi="宋体" w:eastAsia="宋体" w:cs="宋体"/>
          <w:b/>
          <w:bCs/>
          <w:sz w:val="24"/>
          <w:szCs w:val="24"/>
          <w:lang w:val="en-US" w:eastAsia="zh-CN"/>
        </w:rPr>
      </w:pPr>
      <w:r>
        <w:rPr>
          <w:rFonts w:hint="eastAsia" w:ascii="宋体" w:hAnsi="宋体" w:eastAsia="宋体" w:cs="宋体"/>
          <w:b w:val="0"/>
          <w:bCs w:val="0"/>
          <w:color w:val="auto"/>
          <w:kern w:val="2"/>
          <w:sz w:val="24"/>
          <w:szCs w:val="24"/>
          <w:lang w:val="en-US" w:eastAsia="zh-CN" w:bidi="ar-SA"/>
        </w:rPr>
        <w:t>为确保剑川县垃圾填埋场渗滤液处理站整治工作有序推进，提升水处理日达标能力，</w:t>
      </w:r>
      <w:r>
        <w:rPr>
          <w:rFonts w:hint="eastAsia" w:ascii="宋体" w:hAnsi="宋体" w:eastAsia="宋体" w:cs="宋体"/>
          <w:color w:val="auto"/>
          <w:kern w:val="2"/>
          <w:sz w:val="24"/>
          <w:szCs w:val="24"/>
          <w:lang w:val="en-US" w:eastAsia="zh-CN" w:bidi="ar-SA"/>
        </w:rPr>
        <w:t>通过市场化运营模式进一步优化管理，</w:t>
      </w:r>
      <w:r>
        <w:rPr>
          <w:rFonts w:hint="eastAsia" w:ascii="宋体" w:hAnsi="宋体" w:eastAsia="宋体" w:cs="宋体"/>
          <w:b w:val="0"/>
          <w:bCs w:val="0"/>
          <w:color w:val="auto"/>
          <w:kern w:val="2"/>
          <w:sz w:val="24"/>
          <w:szCs w:val="24"/>
          <w:lang w:val="en-US" w:eastAsia="zh-CN" w:bidi="ar-SA"/>
        </w:rPr>
        <w:t>对剑川县垃圾填埋场渗滤液处理站进行运营维护</w:t>
      </w:r>
      <w:r>
        <w:rPr>
          <w:rFonts w:hint="eastAsia" w:ascii="宋体" w:hAnsi="宋体" w:eastAsia="宋体" w:cs="宋体"/>
          <w:color w:val="auto"/>
          <w:kern w:val="2"/>
          <w:sz w:val="24"/>
          <w:szCs w:val="24"/>
          <w:lang w:val="en-US" w:eastAsia="zh-CN" w:bidi="ar-SA"/>
        </w:rPr>
        <w:t>。</w:t>
      </w:r>
      <w:r>
        <w:rPr>
          <w:rFonts w:hint="eastAsia" w:ascii="宋体" w:hAnsi="宋体" w:eastAsia="宋体" w:cs="宋体"/>
          <w:b w:val="0"/>
          <w:bCs w:val="0"/>
          <w:color w:val="auto"/>
          <w:kern w:val="2"/>
          <w:sz w:val="24"/>
          <w:szCs w:val="24"/>
          <w:lang w:val="en-US" w:eastAsia="zh-CN" w:bidi="ar-SA"/>
        </w:rPr>
        <w:t>服务质量满足采购人的实际需求，服务范围及要求不限于以下内容：</w:t>
      </w:r>
    </w:p>
    <w:p w14:paraId="67E07689">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line="520" w:lineRule="exact"/>
        <w:ind w:firstLine="562" w:firstLineChars="200"/>
        <w:textAlignment w:val="auto"/>
        <w:outlineLvl w:val="1"/>
        <w:rPr>
          <w:rFonts w:hint="eastAsia" w:ascii="宋体" w:hAnsi="宋体" w:eastAsia="宋体" w:cs="宋体"/>
          <w:b/>
          <w:bCs/>
          <w:color w:val="auto"/>
          <w:kern w:val="2"/>
          <w:sz w:val="28"/>
          <w:szCs w:val="28"/>
          <w:lang w:val="en-US" w:eastAsia="zh-CN" w:bidi="ar-SA"/>
        </w:rPr>
      </w:pPr>
      <w:r>
        <w:rPr>
          <w:rFonts w:hint="eastAsia" w:ascii="宋体" w:hAnsi="宋体" w:eastAsia="宋体" w:cs="宋体"/>
          <w:b/>
          <w:bCs/>
          <w:color w:val="auto"/>
          <w:kern w:val="2"/>
          <w:sz w:val="28"/>
          <w:szCs w:val="28"/>
          <w:lang w:val="en-US" w:eastAsia="zh-CN" w:bidi="ar-SA"/>
        </w:rPr>
        <w:t>1、作业内容</w:t>
      </w:r>
    </w:p>
    <w:p w14:paraId="5718A686">
      <w:pPr>
        <w:keepNext w:val="0"/>
        <w:keepLines w:val="0"/>
        <w:pageBreakBefore w:val="0"/>
        <w:widowControl w:val="0"/>
        <w:kinsoku/>
        <w:wordWrap/>
        <w:overflowPunct/>
        <w:topLinePunct w:val="0"/>
        <w:bidi w:val="0"/>
        <w:snapToGrid/>
        <w:spacing w:line="520" w:lineRule="exact"/>
        <w:ind w:left="0" w:leftChars="0" w:firstLine="562" w:firstLineChars="200"/>
        <w:textAlignment w:val="auto"/>
        <w:rPr>
          <w:rFonts w:hint="eastAsia" w:ascii="宋体" w:hAnsi="宋体" w:eastAsia="宋体" w:cs="宋体"/>
          <w:b w:val="0"/>
          <w:bCs w:val="0"/>
          <w:color w:val="auto"/>
          <w:kern w:val="2"/>
          <w:sz w:val="28"/>
          <w:szCs w:val="28"/>
          <w:lang w:val="en-US" w:eastAsia="zh-CN" w:bidi="ar-SA"/>
        </w:rPr>
      </w:pPr>
      <w:r>
        <w:rPr>
          <w:rFonts w:hint="eastAsia" w:ascii="宋体" w:hAnsi="宋体" w:eastAsia="宋体" w:cs="宋体"/>
          <w:b/>
          <w:bCs/>
          <w:color w:val="auto"/>
          <w:kern w:val="2"/>
          <w:sz w:val="28"/>
          <w:szCs w:val="28"/>
          <w:lang w:val="en-US" w:eastAsia="zh-CN" w:bidi="ar-SA"/>
        </w:rPr>
        <w:t>1.1剑川县垃圾填埋场渗滤液处理站的日常运营管理</w:t>
      </w:r>
    </w:p>
    <w:p w14:paraId="65117E9C">
      <w:pPr>
        <w:keepNext w:val="0"/>
        <w:keepLines w:val="0"/>
        <w:pageBreakBefore w:val="0"/>
        <w:widowControl w:val="0"/>
        <w:kinsoku/>
        <w:wordWrap/>
        <w:overflowPunct/>
        <w:topLinePunct w:val="0"/>
        <w:bidi w:val="0"/>
        <w:snapToGrid/>
        <w:spacing w:line="520" w:lineRule="exact"/>
        <w:ind w:left="0" w:leftChars="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乙方必须派驻4名有资质有经验的运维服务人员24小时轮流对渗滤液项目进行常驻运维、管理和维护等服务，对派驻现场的站长及其操作人员进行免费培训，使操作人员能够熟练上岗运维，并对设备、运维人员的安全负全部责任。乙方向招标人或招标人指派的管理单位报送每月的进水处理量登记清单。</w:t>
      </w:r>
    </w:p>
    <w:p w14:paraId="1D06CD6A">
      <w:pPr>
        <w:keepNext w:val="0"/>
        <w:keepLines w:val="0"/>
        <w:pageBreakBefore w:val="0"/>
        <w:widowControl w:val="0"/>
        <w:kinsoku/>
        <w:wordWrap/>
        <w:overflowPunct/>
        <w:topLinePunct w:val="0"/>
        <w:bidi w:val="0"/>
        <w:snapToGrid/>
        <w:spacing w:line="520" w:lineRule="exact"/>
        <w:ind w:left="0" w:leftChars="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（2）乙方建立运维服务工艺设备应急维修小组，对渗滤液处理站设备进行运营维护，对于故障设备的维修由采购人指定具体技术人员监督实施。</w:t>
      </w:r>
    </w:p>
    <w:p w14:paraId="06B28B94">
      <w:pPr>
        <w:keepNext w:val="0"/>
        <w:keepLines w:val="0"/>
        <w:pageBreakBefore w:val="0"/>
        <w:widowControl w:val="0"/>
        <w:kinsoku/>
        <w:wordWrap/>
        <w:overflowPunct/>
        <w:topLinePunct w:val="0"/>
        <w:bidi w:val="0"/>
        <w:snapToGrid/>
        <w:spacing w:line="520" w:lineRule="exact"/>
        <w:ind w:left="0" w:leftChars="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（3）故障修复过程中可能影响业主工作或对系统应用数据有影响的，要先咨询业主意见再处理。如设备送修，需要保护好磁盘等存储设备。要先将业主数据备份好，再送维修。</w:t>
      </w:r>
    </w:p>
    <w:p w14:paraId="5CF4E48C">
      <w:pPr>
        <w:keepNext w:val="0"/>
        <w:keepLines w:val="0"/>
        <w:pageBreakBefore w:val="0"/>
        <w:widowControl w:val="0"/>
        <w:kinsoku/>
        <w:wordWrap/>
        <w:overflowPunct/>
        <w:topLinePunct w:val="0"/>
        <w:bidi w:val="0"/>
        <w:snapToGrid/>
        <w:spacing w:line="520" w:lineRule="exact"/>
        <w:ind w:left="0" w:leftChars="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（4）在运营期间内，保证系统处理水质达标。储水量达到设计安全要求。</w:t>
      </w:r>
    </w:p>
    <w:p w14:paraId="23354F92">
      <w:pPr>
        <w:keepNext w:val="0"/>
        <w:keepLines w:val="0"/>
        <w:pageBreakBefore w:val="0"/>
        <w:widowControl w:val="0"/>
        <w:kinsoku/>
        <w:wordWrap/>
        <w:overflowPunct/>
        <w:topLinePunct w:val="0"/>
        <w:bidi w:val="0"/>
        <w:snapToGrid/>
        <w:spacing w:line="520" w:lineRule="exact"/>
        <w:ind w:left="0" w:leftChars="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（5）对处于保修期内的故障设备，服务商在采购人授权的范围内代表采购人协调产品供货商落实保修事宜，并监督维修时效和质量。</w:t>
      </w:r>
    </w:p>
    <w:p w14:paraId="712AED71">
      <w:pPr>
        <w:keepNext w:val="0"/>
        <w:keepLines w:val="0"/>
        <w:pageBreakBefore w:val="0"/>
        <w:widowControl w:val="0"/>
        <w:kinsoku/>
        <w:wordWrap/>
        <w:overflowPunct/>
        <w:topLinePunct w:val="0"/>
        <w:bidi w:val="0"/>
        <w:snapToGrid/>
        <w:spacing w:line="520" w:lineRule="exact"/>
        <w:ind w:left="0" w:leftChars="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（6）乙方将组织经验的工艺工程师对工程实施定期(每个月)回访。对于系统控制软件，提供长期免费维护，免费升级。</w:t>
      </w:r>
    </w:p>
    <w:p w14:paraId="5C6EEBD8">
      <w:pPr>
        <w:keepNext w:val="0"/>
        <w:keepLines w:val="0"/>
        <w:pageBreakBefore w:val="0"/>
        <w:widowControl w:val="0"/>
        <w:kinsoku/>
        <w:wordWrap/>
        <w:overflowPunct/>
        <w:topLinePunct w:val="0"/>
        <w:bidi w:val="0"/>
        <w:snapToGrid/>
        <w:spacing w:line="520" w:lineRule="exact"/>
        <w:ind w:left="0" w:leftChars="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（7）乙方做好项目运行记录和浓硫酸进出库与使用台账记录，必须做好浓硫酸的保管和使用工作，浓硫酸在使用过程中发生的安全及遗失等问题，由乙方负全部的责任.</w:t>
      </w:r>
    </w:p>
    <w:p w14:paraId="50880746">
      <w:pPr>
        <w:keepNext w:val="0"/>
        <w:keepLines w:val="0"/>
        <w:pageBreakBefore w:val="0"/>
        <w:widowControl w:val="0"/>
        <w:kinsoku/>
        <w:wordWrap/>
        <w:overflowPunct/>
        <w:topLinePunct w:val="0"/>
        <w:bidi w:val="0"/>
        <w:snapToGrid/>
        <w:spacing w:line="520" w:lineRule="exact"/>
        <w:ind w:left="0" w:leftChars="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（8）乙方对突发事件能及时处理，确保渗滤液项目的正常运行。在渗滤液调节池内的渗滤液达到安全阈值时，乙方需加强渗滤液回喷工作。</w:t>
      </w:r>
    </w:p>
    <w:p w14:paraId="1FF19AAB">
      <w:pPr>
        <w:keepNext w:val="0"/>
        <w:keepLines w:val="0"/>
        <w:pageBreakBefore w:val="0"/>
        <w:widowControl w:val="0"/>
        <w:kinsoku/>
        <w:wordWrap/>
        <w:overflowPunct/>
        <w:topLinePunct w:val="0"/>
        <w:bidi w:val="0"/>
        <w:snapToGrid/>
        <w:spacing w:line="520" w:lineRule="exact"/>
        <w:ind w:left="0" w:leftChars="0" w:firstLine="562" w:firstLineChars="200"/>
        <w:textAlignment w:val="auto"/>
        <w:rPr>
          <w:rFonts w:hint="eastAsia" w:ascii="宋体" w:hAnsi="宋体" w:eastAsia="宋体" w:cs="宋体"/>
          <w:b/>
          <w:bCs/>
          <w:color w:val="auto"/>
          <w:kern w:val="2"/>
          <w:sz w:val="28"/>
          <w:szCs w:val="28"/>
          <w:lang w:val="en-US" w:eastAsia="zh-CN" w:bidi="ar-SA"/>
        </w:rPr>
      </w:pPr>
      <w:r>
        <w:rPr>
          <w:rFonts w:hint="eastAsia" w:ascii="宋体" w:hAnsi="宋体" w:eastAsia="宋体" w:cs="宋体"/>
          <w:b/>
          <w:bCs/>
          <w:color w:val="auto"/>
          <w:kern w:val="2"/>
          <w:sz w:val="28"/>
          <w:szCs w:val="28"/>
          <w:lang w:val="en-US" w:eastAsia="zh-CN" w:bidi="ar-SA"/>
        </w:rPr>
        <w:t>1.2剑川县垃圾填埋场渗滤液处理站废水（水质）在线监测系统接入、设备日常运营维护。</w:t>
      </w:r>
    </w:p>
    <w:p w14:paraId="69B0D6BF">
      <w:pPr>
        <w:keepNext w:val="0"/>
        <w:keepLines w:val="0"/>
        <w:pageBreakBefore w:val="0"/>
        <w:widowControl w:val="0"/>
        <w:kinsoku/>
        <w:wordWrap/>
        <w:overflowPunct/>
        <w:topLinePunct w:val="0"/>
        <w:bidi w:val="0"/>
        <w:snapToGrid/>
        <w:spacing w:line="520" w:lineRule="exact"/>
        <w:ind w:left="0" w:leftChars="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按照国家相关规范对剑川县垃圾填埋场渗滤液处理站废水（水质）进行在线监测，对在线监测系统现场端的设施、仪器设备运行(COD、氨氮、ph、总磷和总氮)及辅助设备等运行、维护，保障在线监测设备运行正常。</w:t>
      </w:r>
    </w:p>
    <w:p w14:paraId="5D42A92D">
      <w:pPr>
        <w:keepNext w:val="0"/>
        <w:keepLines w:val="0"/>
        <w:pageBreakBefore w:val="0"/>
        <w:widowControl w:val="0"/>
        <w:kinsoku/>
        <w:wordWrap/>
        <w:overflowPunct/>
        <w:topLinePunct w:val="0"/>
        <w:bidi w:val="0"/>
        <w:snapToGrid/>
        <w:spacing w:line="520" w:lineRule="exact"/>
        <w:ind w:left="0" w:leftChars="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本项目规定的运行和维护的对象：按照大理州生态环境局要求建设的，并且通过生态环境去组织验收的水污染源在线监测系统的监测仪表及其配套设施。按规定的运行和维护的在线监测站点为：出水口仪器及设备(COD、氨氮、ph、总磷和总氮、自动采样器、数采仪系统)。</w:t>
      </w:r>
    </w:p>
    <w:p w14:paraId="70387C1A">
      <w:pPr>
        <w:keepNext w:val="0"/>
        <w:keepLines w:val="0"/>
        <w:pageBreakBefore w:val="0"/>
        <w:widowControl w:val="0"/>
        <w:kinsoku/>
        <w:wordWrap/>
        <w:overflowPunct/>
        <w:topLinePunct w:val="0"/>
        <w:bidi w:val="0"/>
        <w:snapToGrid/>
        <w:spacing w:line="520" w:lineRule="exact"/>
        <w:ind w:left="0" w:leftChars="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3）乙方应对本项目下其承担的全部工作实施有效管理，以确保符合考核指标的合同附件的要求，同时接受环保相关部门和业主方的协调和管理。若达不到环保相关部门要求被罚款，属于乙方运营的设施责任由乙方承担。</w:t>
      </w:r>
    </w:p>
    <w:p w14:paraId="69609FFB">
      <w:pPr>
        <w:keepNext w:val="0"/>
        <w:keepLines w:val="0"/>
        <w:pageBreakBefore w:val="0"/>
        <w:widowControl w:val="0"/>
        <w:kinsoku/>
        <w:wordWrap w:val="0"/>
        <w:overflowPunct/>
        <w:topLinePunct w:val="0"/>
        <w:autoSpaceDE w:val="0"/>
        <w:autoSpaceDN w:val="0"/>
        <w:bidi w:val="0"/>
        <w:adjustRightInd/>
        <w:snapToGrid/>
        <w:spacing w:line="520" w:lineRule="exact"/>
        <w:ind w:left="0" w:leftChars="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（4）乙方水污染源在线监测系统现场运行维护必须符合HJ/355-2019《水污染源在线监测系统运行与考核技术规范》要求。</w:t>
      </w:r>
    </w:p>
    <w:p w14:paraId="5691493A">
      <w:pPr>
        <w:keepNext w:val="0"/>
        <w:keepLines w:val="0"/>
        <w:pageBreakBefore w:val="0"/>
        <w:widowControl w:val="0"/>
        <w:kinsoku/>
        <w:wordWrap/>
        <w:overflowPunct/>
        <w:topLinePunct w:val="0"/>
        <w:bidi w:val="0"/>
        <w:snapToGrid/>
        <w:spacing w:line="520" w:lineRule="exact"/>
        <w:ind w:left="0" w:leftChars="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（5）按照国家在线监测相关规范要求做好在线监测系统运维台账记录。</w:t>
      </w:r>
    </w:p>
    <w:p w14:paraId="49A4CCC3">
      <w:pPr>
        <w:keepNext w:val="0"/>
        <w:keepLines w:val="0"/>
        <w:pageBreakBefore w:val="0"/>
        <w:widowControl w:val="0"/>
        <w:kinsoku/>
        <w:wordWrap/>
        <w:overflowPunct/>
        <w:topLinePunct w:val="0"/>
        <w:bidi w:val="0"/>
        <w:snapToGrid/>
        <w:spacing w:line="520" w:lineRule="exact"/>
        <w:ind w:left="0" w:leftChars="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（6）由乙方安排工作人员定期到水质自动监测现场完成例行巡检、养护、仪器校准和现场质控等工作。</w:t>
      </w:r>
    </w:p>
    <w:p w14:paraId="44B9A9D4">
      <w:pPr>
        <w:keepNext w:val="0"/>
        <w:keepLines w:val="0"/>
        <w:pageBreakBefore w:val="0"/>
        <w:widowControl w:val="0"/>
        <w:kinsoku/>
        <w:wordWrap/>
        <w:overflowPunct/>
        <w:topLinePunct w:val="0"/>
        <w:bidi w:val="0"/>
        <w:snapToGrid/>
        <w:spacing w:line="520" w:lineRule="exact"/>
        <w:ind w:left="0" w:leftChars="0" w:firstLine="562" w:firstLineChars="200"/>
        <w:textAlignment w:val="auto"/>
        <w:rPr>
          <w:rFonts w:hint="eastAsia" w:ascii="宋体" w:hAnsi="宋体" w:eastAsia="宋体" w:cs="宋体"/>
          <w:b/>
          <w:bCs/>
          <w:color w:val="auto"/>
          <w:kern w:val="2"/>
          <w:sz w:val="28"/>
          <w:szCs w:val="28"/>
          <w:lang w:val="en-US" w:eastAsia="zh-CN" w:bidi="ar-SA"/>
        </w:rPr>
      </w:pPr>
      <w:r>
        <w:rPr>
          <w:rFonts w:hint="eastAsia" w:ascii="宋体" w:hAnsi="宋体" w:eastAsia="宋体" w:cs="宋体"/>
          <w:b/>
          <w:bCs/>
          <w:color w:val="auto"/>
          <w:kern w:val="2"/>
          <w:sz w:val="28"/>
          <w:szCs w:val="28"/>
          <w:lang w:val="en-US" w:eastAsia="zh-CN" w:bidi="ar-SA"/>
        </w:rPr>
        <w:t>1.3剑川县垃圾填埋场渗滤液处理站自行监测、排污许可执行报告及数据填报。</w:t>
      </w:r>
    </w:p>
    <w:p w14:paraId="746EFC4B">
      <w:pPr>
        <w:keepNext w:val="0"/>
        <w:keepLines w:val="0"/>
        <w:pageBreakBefore w:val="0"/>
        <w:widowControl w:val="0"/>
        <w:kinsoku/>
        <w:wordWrap/>
        <w:overflowPunct/>
        <w:topLinePunct w:val="0"/>
        <w:bidi w:val="0"/>
        <w:snapToGrid/>
        <w:spacing w:line="520" w:lineRule="exact"/>
        <w:ind w:left="0" w:leftChars="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服务主要内容：根据排污许可环保系统要求进行检测，按照排污许可证报告系统、全国污染源数据管理与共享系统、企业环境信息依法披露系统、生态环境统计业务系统四个环境系统对废水、废气进行监测，完成相应监测项目后出具监测报告，并根据检测内容进行排污许可执行报告和平台数据填报。</w:t>
      </w:r>
    </w:p>
    <w:p w14:paraId="55530CDA">
      <w:pPr>
        <w:keepNext w:val="0"/>
        <w:keepLines w:val="0"/>
        <w:pageBreakBefore w:val="0"/>
        <w:widowControl w:val="0"/>
        <w:kinsoku/>
        <w:wordWrap/>
        <w:overflowPunct/>
        <w:topLinePunct w:val="0"/>
        <w:bidi w:val="0"/>
        <w:snapToGrid/>
        <w:spacing w:line="520" w:lineRule="exact"/>
        <w:ind w:left="0" w:leftChars="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（2）按排污许可证报告系统要求制定合理的自行监测计划，完成监测任务，取得合格的监测报告，并提供相关专业技术支持，工作成果每次检测2份检测报告。</w:t>
      </w:r>
    </w:p>
    <w:p w14:paraId="0D2DF35A">
      <w:pPr>
        <w:keepNext w:val="0"/>
        <w:keepLines w:val="0"/>
        <w:pageBreakBefore w:val="0"/>
        <w:widowControl w:val="0"/>
        <w:kinsoku/>
        <w:wordWrap/>
        <w:overflowPunct/>
        <w:topLinePunct w:val="0"/>
        <w:bidi w:val="0"/>
        <w:snapToGrid/>
        <w:spacing w:line="520" w:lineRule="exact"/>
        <w:ind w:left="0" w:leftChars="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（3）采用合适谨慎态度及科学准确的方法，以保证提供优质高效的检测服务。</w:t>
      </w:r>
    </w:p>
    <w:p w14:paraId="1D7C29EC">
      <w:pPr>
        <w:keepNext w:val="0"/>
        <w:keepLines w:val="0"/>
        <w:pageBreakBefore w:val="0"/>
        <w:widowControl w:val="0"/>
        <w:kinsoku/>
        <w:wordWrap/>
        <w:overflowPunct/>
        <w:topLinePunct w:val="0"/>
        <w:bidi w:val="0"/>
        <w:snapToGrid/>
        <w:spacing w:line="520" w:lineRule="exact"/>
        <w:ind w:left="0" w:leftChars="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（4）保证采用国家或行业标准方法进行检测，使用非标准方法进行检测的项目，应向招标人申明并取得招标人同意。</w:t>
      </w:r>
    </w:p>
    <w:p w14:paraId="4B2660F0">
      <w:pPr>
        <w:keepNext w:val="0"/>
        <w:keepLines w:val="0"/>
        <w:pageBreakBefore w:val="0"/>
        <w:widowControl w:val="0"/>
        <w:kinsoku/>
        <w:wordWrap/>
        <w:overflowPunct/>
        <w:topLinePunct w:val="0"/>
        <w:bidi w:val="0"/>
        <w:snapToGrid/>
        <w:spacing w:line="520" w:lineRule="exact"/>
        <w:ind w:left="0" w:leftChars="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（5）就检测报告的有关内容，接受招标人的咨询。</w:t>
      </w:r>
    </w:p>
    <w:p w14:paraId="54A3C5DB">
      <w:pPr>
        <w:keepNext w:val="0"/>
        <w:keepLines w:val="0"/>
        <w:pageBreakBefore w:val="0"/>
        <w:widowControl w:val="0"/>
        <w:kinsoku/>
        <w:wordWrap/>
        <w:overflowPunct/>
        <w:topLinePunct w:val="0"/>
        <w:bidi w:val="0"/>
        <w:snapToGrid/>
        <w:spacing w:line="520" w:lineRule="exact"/>
        <w:ind w:left="0" w:leftChars="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处理规模：设计渗滤液处理量为60m³/d。</w:t>
      </w:r>
    </w:p>
    <w:p w14:paraId="14DD2530">
      <w:pPr>
        <w:keepNext w:val="0"/>
        <w:keepLines w:val="0"/>
        <w:pageBreakBefore w:val="0"/>
        <w:widowControl w:val="0"/>
        <w:numPr>
          <w:ilvl w:val="0"/>
          <w:numId w:val="0"/>
        </w:numPr>
        <w:kinsoku/>
        <w:wordWrap/>
        <w:overflowPunct/>
        <w:topLinePunct w:val="0"/>
        <w:bidi w:val="0"/>
        <w:snapToGrid/>
        <w:spacing w:line="520" w:lineRule="exact"/>
        <w:ind w:left="0" w:leftChars="0" w:firstLine="562" w:firstLineChars="200"/>
        <w:textAlignment w:val="auto"/>
        <w:rPr>
          <w:rFonts w:hint="eastAsia" w:ascii="宋体" w:hAnsi="宋体" w:eastAsia="宋体" w:cs="宋体"/>
          <w:b/>
          <w:bCs/>
          <w:color w:val="auto"/>
          <w:kern w:val="2"/>
          <w:sz w:val="28"/>
          <w:szCs w:val="28"/>
          <w:lang w:val="en-US" w:eastAsia="zh-CN" w:bidi="ar-SA"/>
        </w:rPr>
      </w:pPr>
      <w:r>
        <w:rPr>
          <w:rFonts w:hint="eastAsia" w:ascii="宋体" w:hAnsi="宋体" w:eastAsia="宋体" w:cs="宋体"/>
          <w:b/>
          <w:bCs/>
          <w:color w:val="auto"/>
          <w:kern w:val="2"/>
          <w:sz w:val="28"/>
          <w:szCs w:val="28"/>
          <w:lang w:val="en-US" w:eastAsia="zh-CN" w:bidi="ar-SA"/>
        </w:rPr>
        <w:t>1.4剑川县垃圾填埋场渗滤液处理站地下水质检测。</w:t>
      </w:r>
    </w:p>
    <w:p w14:paraId="3DB17967">
      <w:pPr>
        <w:keepNext w:val="0"/>
        <w:keepLines w:val="0"/>
        <w:pageBreakBefore w:val="0"/>
        <w:widowControl w:val="0"/>
        <w:kinsoku/>
        <w:wordWrap/>
        <w:overflowPunct/>
        <w:topLinePunct w:val="0"/>
        <w:bidi w:val="0"/>
        <w:snapToGrid/>
        <w:spacing w:line="52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kern w:val="2"/>
          <w:sz w:val="24"/>
          <w:szCs w:val="24"/>
          <w:lang w:val="en-US" w:eastAsia="zh-CN" w:bidi="ar-SA"/>
        </w:rPr>
        <w:t>（1）服务主要内容：按照国家相关规范对剑川县垃圾填埋场渗滤液处理站地下水质进行检测，检测项目包含色度、悬浮物、化学需氧量、五日生化需氧量、总磷总氮等13项指标。</w:t>
      </w:r>
    </w:p>
    <w:p w14:paraId="7647817D">
      <w:pPr>
        <w:keepNext w:val="0"/>
        <w:keepLines w:val="0"/>
        <w:pageBreakBefore w:val="0"/>
        <w:widowControl w:val="0"/>
        <w:kinsoku/>
        <w:wordWrap/>
        <w:overflowPunct/>
        <w:topLinePunct w:val="0"/>
        <w:bidi w:val="0"/>
        <w:snapToGrid/>
        <w:spacing w:line="520" w:lineRule="exact"/>
        <w:ind w:left="0" w:leftChars="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（2）检测频率：每季度一次。</w:t>
      </w:r>
    </w:p>
    <w:p w14:paraId="667D3846">
      <w:pPr>
        <w:pStyle w:val="5"/>
        <w:keepNext w:val="0"/>
        <w:keepLines w:val="0"/>
        <w:pageBreakBefore w:val="0"/>
        <w:numPr>
          <w:ilvl w:val="0"/>
          <w:numId w:val="0"/>
        </w:numPr>
        <w:tabs>
          <w:tab w:val="left" w:pos="957"/>
        </w:tabs>
        <w:kinsoku w:val="0"/>
        <w:wordWrap/>
        <w:overflowPunct w:val="0"/>
        <w:topLinePunct w:val="0"/>
        <w:autoSpaceDE/>
        <w:autoSpaceDN/>
        <w:bidi w:val="0"/>
        <w:snapToGrid/>
        <w:spacing w:before="63" w:beforeLines="20" w:after="63" w:afterLines="20" w:line="360" w:lineRule="auto"/>
        <w:ind w:left="0" w:leftChars="0" w:firstLine="562" w:firstLineChars="200"/>
        <w:textAlignment w:val="auto"/>
        <w:rPr>
          <w:rFonts w:hint="default" w:ascii="方正仿宋_GB2312" w:hAnsi="方正仿宋_GB2312" w:eastAsia="方正仿宋_GB2312" w:cs="方正仿宋_GB2312"/>
          <w:b/>
          <w:bCs/>
          <w:kern w:val="0"/>
          <w:sz w:val="28"/>
          <w:szCs w:val="28"/>
          <w:lang w:val="en-US" w:eastAsia="zh-CN" w:bidi="ar-SA"/>
        </w:rPr>
      </w:pPr>
      <w:r>
        <w:rPr>
          <w:rFonts w:hint="eastAsia" w:ascii="宋体" w:hAnsi="宋体" w:eastAsia="宋体" w:cs="宋体"/>
          <w:b/>
          <w:bCs/>
          <w:kern w:val="0"/>
          <w:sz w:val="28"/>
          <w:szCs w:val="28"/>
          <w:lang w:val="en-US" w:eastAsia="zh-CN" w:bidi="ar-SA"/>
        </w:rPr>
        <w:t>四、付款方式：</w:t>
      </w:r>
    </w:p>
    <w:p w14:paraId="5C99E886">
      <w:pPr>
        <w:keepNext w:val="0"/>
        <w:keepLines w:val="0"/>
        <w:pageBreakBefore w:val="0"/>
        <w:widowControl/>
        <w:numPr>
          <w:ilvl w:val="0"/>
          <w:numId w:val="0"/>
        </w:numPr>
        <w:suppressLineNumbers w:val="0"/>
        <w:kinsoku/>
        <w:wordWrap/>
        <w:overflowPunct/>
        <w:topLinePunct w:val="0"/>
        <w:bidi w:val="0"/>
        <w:spacing w:before="63" w:beforeLines="20" w:beforeAutospacing="0" w:after="63" w:afterLines="20" w:afterAutospacing="0" w:line="360" w:lineRule="auto"/>
        <w:ind w:leftChars="200" w:right="0" w:rightChars="0" w:firstLine="456" w:firstLineChars="200"/>
        <w:jc w:val="left"/>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1.付款方式： 运营服务费按季度结算。</w:t>
      </w:r>
    </w:p>
    <w:p w14:paraId="03EEB472">
      <w:pPr>
        <w:keepNext w:val="0"/>
        <w:keepLines w:val="0"/>
        <w:pageBreakBefore w:val="0"/>
        <w:widowControl/>
        <w:numPr>
          <w:ilvl w:val="0"/>
          <w:numId w:val="0"/>
        </w:numPr>
        <w:suppressLineNumbers w:val="0"/>
        <w:kinsoku/>
        <w:wordWrap/>
        <w:overflowPunct/>
        <w:topLinePunct w:val="0"/>
        <w:bidi w:val="0"/>
        <w:spacing w:before="63" w:beforeLines="20" w:beforeAutospacing="0" w:after="63" w:afterLines="20" w:afterAutospacing="0" w:line="360" w:lineRule="auto"/>
        <w:ind w:leftChars="200" w:right="0" w:rightChars="0" w:firstLine="456" w:firstLineChars="200"/>
        <w:jc w:val="left"/>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2.乙方应在每个季度结束后5个工作日内(遇节假日顺延至下一个工作日)向甲方提交上季度付费申请以及运营服务费发票，甲方在收到该资料后，7个工作日内完成支付。如因乙方开票迟延导致甲方付款迟延的，由乙方承担迟延责任。</w:t>
      </w:r>
    </w:p>
    <w:p w14:paraId="074F6E15">
      <w:pPr>
        <w:keepNext w:val="0"/>
        <w:keepLines w:val="0"/>
        <w:pageBreakBefore w:val="0"/>
        <w:widowControl w:val="0"/>
        <w:kinsoku/>
        <w:wordWrap/>
        <w:overflowPunct/>
        <w:topLinePunct w:val="0"/>
        <w:bidi w:val="0"/>
        <w:snapToGrid/>
        <w:spacing w:line="520" w:lineRule="exact"/>
        <w:ind w:left="0" w:leftChars="0" w:firstLine="562" w:firstLineChars="200"/>
        <w:textAlignment w:val="auto"/>
        <w:rPr>
          <w:rFonts w:hint="eastAsia" w:ascii="宋体" w:hAnsi="宋体" w:eastAsia="宋体" w:cs="宋体"/>
          <w:b/>
          <w:bCs/>
          <w:kern w:val="0"/>
          <w:sz w:val="28"/>
          <w:szCs w:val="28"/>
          <w:lang w:val="en-US" w:eastAsia="zh-CN" w:bidi="ar-SA"/>
        </w:rPr>
      </w:pPr>
      <w:r>
        <w:rPr>
          <w:rFonts w:hint="eastAsia" w:ascii="宋体" w:hAnsi="宋体" w:eastAsia="宋体" w:cs="宋体"/>
          <w:b/>
          <w:bCs/>
          <w:kern w:val="0"/>
          <w:sz w:val="28"/>
          <w:szCs w:val="28"/>
          <w:lang w:val="en-US" w:eastAsia="zh-CN" w:bidi="ar-SA"/>
        </w:rPr>
        <w:t>五、合同期限</w:t>
      </w:r>
    </w:p>
    <w:p w14:paraId="0426FBEC">
      <w:pPr>
        <w:keepNext w:val="0"/>
        <w:keepLines w:val="0"/>
        <w:pageBreakBefore w:val="0"/>
        <w:widowControl/>
        <w:numPr>
          <w:ilvl w:val="0"/>
          <w:numId w:val="0"/>
        </w:numPr>
        <w:suppressLineNumbers w:val="0"/>
        <w:kinsoku/>
        <w:wordWrap/>
        <w:overflowPunct/>
        <w:topLinePunct w:val="0"/>
        <w:bidi w:val="0"/>
        <w:spacing w:before="63" w:beforeLines="20" w:beforeAutospacing="0" w:after="63" w:afterLines="20" w:afterAutospacing="0" w:line="360" w:lineRule="auto"/>
        <w:ind w:leftChars="200" w:right="0" w:rightChars="0" w:firstLine="480" w:firstLineChars="200"/>
        <w:jc w:val="left"/>
        <w:rPr>
          <w:rFonts w:hint="default"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合同履行期限：</w:t>
      </w:r>
      <w:r>
        <w:rPr>
          <w:rFonts w:hint="eastAsia" w:ascii="宋体" w:hAnsi="宋体" w:eastAsia="宋体" w:cs="宋体"/>
          <w:spacing w:val="-6"/>
          <w:sz w:val="24"/>
          <w:szCs w:val="24"/>
          <w:lang w:val="en-US" w:eastAsia="zh-CN"/>
        </w:rPr>
        <w:t>项目服务期限为</w:t>
      </w:r>
      <w:r>
        <w:rPr>
          <w:rFonts w:hint="eastAsia" w:ascii="宋体" w:hAnsi="宋体" w:eastAsia="宋体" w:cs="宋体"/>
          <w:spacing w:val="-6"/>
          <w:sz w:val="24"/>
          <w:szCs w:val="24"/>
        </w:rPr>
        <w:t xml:space="preserve"> 3 年</w:t>
      </w:r>
      <w:r>
        <w:rPr>
          <w:rFonts w:hint="eastAsia" w:ascii="宋体" w:hAnsi="宋体" w:eastAsia="宋体" w:cs="宋体"/>
          <w:spacing w:val="-6"/>
          <w:sz w:val="24"/>
          <w:szCs w:val="24"/>
          <w:lang w:val="en-US" w:eastAsia="zh-CN"/>
        </w:rPr>
        <w:t>，</w:t>
      </w:r>
      <w:r>
        <w:rPr>
          <w:rFonts w:hint="eastAsia" w:ascii="宋体" w:hAnsi="宋体" w:eastAsia="宋体" w:cs="宋体"/>
          <w:spacing w:val="-6"/>
          <w:sz w:val="24"/>
          <w:szCs w:val="24"/>
        </w:rPr>
        <w:t>合</w:t>
      </w:r>
      <w:r>
        <w:rPr>
          <w:rFonts w:ascii="宋体" w:hAnsi="宋体" w:eastAsia="宋体" w:cs="宋体"/>
          <w:spacing w:val="-6"/>
          <w:sz w:val="24"/>
          <w:szCs w:val="24"/>
        </w:rPr>
        <w:t>同一年一签。</w:t>
      </w:r>
      <w:r>
        <w:rPr>
          <w:rFonts w:hint="eastAsia" w:ascii="宋体" w:hAnsi="宋体" w:eastAsia="宋体" w:cs="宋体"/>
          <w:spacing w:val="-6"/>
          <w:sz w:val="24"/>
          <w:szCs w:val="24"/>
          <w:lang w:val="en-US" w:eastAsia="zh-CN"/>
        </w:rPr>
        <w:t>一年</w:t>
      </w:r>
      <w:r>
        <w:rPr>
          <w:rFonts w:hint="eastAsia" w:ascii="宋体" w:hAnsi="宋体" w:eastAsia="宋体" w:cs="宋体"/>
          <w:spacing w:val="-6"/>
          <w:sz w:val="24"/>
          <w:szCs w:val="24"/>
        </w:rPr>
        <w:t>合同期满后采购人有权根据考核结果确定是否续签合同，若中标人服务质量与投标承诺内容不相符或达不到采购需求，</w:t>
      </w:r>
      <w:r>
        <w:rPr>
          <w:rFonts w:ascii="宋体" w:hAnsi="宋体" w:eastAsia="宋体" w:cs="宋体"/>
          <w:spacing w:val="-2"/>
          <w:sz w:val="24"/>
          <w:szCs w:val="24"/>
        </w:rPr>
        <w:t>采购人有权终止合</w:t>
      </w:r>
      <w:r>
        <w:rPr>
          <w:rFonts w:ascii="宋体" w:hAnsi="宋体" w:eastAsia="宋体" w:cs="宋体"/>
          <w:spacing w:val="-3"/>
          <w:sz w:val="24"/>
          <w:szCs w:val="24"/>
        </w:rPr>
        <w:t>同，相关责任和</w:t>
      </w:r>
      <w:r>
        <w:rPr>
          <w:rFonts w:ascii="宋体" w:hAnsi="宋体" w:eastAsia="宋体" w:cs="宋体"/>
          <w:spacing w:val="-2"/>
          <w:sz w:val="24"/>
          <w:szCs w:val="24"/>
        </w:rPr>
        <w:t>损失由中标人承担。</w:t>
      </w:r>
    </w:p>
    <w:p w14:paraId="4D9BF84E">
      <w:pPr>
        <w:keepNext w:val="0"/>
        <w:keepLines w:val="0"/>
        <w:pageBreakBefore w:val="0"/>
        <w:widowControl w:val="0"/>
        <w:kinsoku/>
        <w:wordWrap/>
        <w:overflowPunct/>
        <w:topLinePunct w:val="0"/>
        <w:bidi w:val="0"/>
        <w:snapToGrid/>
        <w:spacing w:line="520" w:lineRule="exact"/>
        <w:ind w:left="0" w:leftChars="0" w:firstLine="562" w:firstLineChars="200"/>
        <w:textAlignment w:val="auto"/>
        <w:rPr>
          <w:rFonts w:hint="eastAsia" w:ascii="宋体" w:hAnsi="宋体" w:eastAsia="宋体" w:cs="宋体"/>
          <w:b/>
          <w:bCs/>
          <w:kern w:val="0"/>
          <w:sz w:val="28"/>
          <w:szCs w:val="28"/>
          <w:lang w:val="en-US" w:eastAsia="zh-CN" w:bidi="ar-SA"/>
        </w:rPr>
      </w:pPr>
      <w:r>
        <w:rPr>
          <w:rFonts w:hint="eastAsia" w:ascii="宋体" w:hAnsi="宋体" w:eastAsia="宋体" w:cs="宋体"/>
          <w:b/>
          <w:bCs/>
          <w:kern w:val="0"/>
          <w:sz w:val="28"/>
          <w:szCs w:val="28"/>
          <w:lang w:val="en-US" w:eastAsia="zh-CN" w:bidi="ar-SA"/>
        </w:rPr>
        <w:t>六、供应商人员配置要求</w:t>
      </w:r>
    </w:p>
    <w:p w14:paraId="516CAC9A">
      <w:pPr>
        <w:keepNext w:val="0"/>
        <w:keepLines w:val="0"/>
        <w:pageBreakBefore w:val="0"/>
        <w:wordWrap/>
        <w:topLinePunct w:val="0"/>
        <w:bidi w:val="0"/>
        <w:spacing w:before="63" w:beforeLines="20" w:after="63" w:afterLines="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1.供应商</w:t>
      </w:r>
      <w:r>
        <w:rPr>
          <w:rFonts w:hint="eastAsia" w:ascii="宋体" w:hAnsi="宋体" w:eastAsia="宋体" w:cs="宋体"/>
          <w:color w:val="auto"/>
          <w:sz w:val="24"/>
          <w:szCs w:val="24"/>
          <w:highlight w:val="none"/>
        </w:rPr>
        <w:t>在运营过程中必须做好安全保障工作，为运营的工作人员购买人身意外险后方可运营作业，如出现安全事故由</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全权负责。</w:t>
      </w:r>
    </w:p>
    <w:p w14:paraId="673D7035">
      <w:pPr>
        <w:keepNext w:val="0"/>
        <w:keepLines w:val="0"/>
        <w:pageBreakBefore w:val="0"/>
        <w:wordWrap/>
        <w:topLinePunct w:val="0"/>
        <w:bidi w:val="0"/>
        <w:spacing w:before="63" w:beforeLines="20" w:after="63" w:afterLines="20" w:line="360" w:lineRule="auto"/>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lang w:val="en-US"/>
        </w:rPr>
        <w:t>已在</w:t>
      </w:r>
      <w:r>
        <w:rPr>
          <w:rFonts w:hint="eastAsia" w:ascii="宋体" w:hAnsi="宋体" w:eastAsia="宋体" w:cs="宋体"/>
          <w:color w:val="auto"/>
          <w:kern w:val="2"/>
          <w:sz w:val="24"/>
          <w:szCs w:val="24"/>
          <w:highlight w:val="none"/>
          <w:lang w:val="en-US" w:eastAsia="zh-CN"/>
        </w:rPr>
        <w:t>响应文件</w:t>
      </w:r>
      <w:r>
        <w:rPr>
          <w:rFonts w:hint="eastAsia" w:ascii="宋体" w:hAnsi="宋体" w:eastAsia="宋体" w:cs="宋体"/>
          <w:color w:val="auto"/>
          <w:kern w:val="2"/>
          <w:sz w:val="24"/>
          <w:szCs w:val="24"/>
          <w:highlight w:val="none"/>
          <w:lang w:val="en-US"/>
        </w:rPr>
        <w:t>中提出的拟投入本项目的主要人员及相应的主要岗位，不允许在未经</w:t>
      </w:r>
      <w:r>
        <w:rPr>
          <w:rFonts w:hint="eastAsia" w:ascii="宋体" w:hAnsi="宋体" w:eastAsia="宋体" w:cs="宋体"/>
          <w:color w:val="auto"/>
          <w:kern w:val="2"/>
          <w:sz w:val="24"/>
          <w:szCs w:val="24"/>
          <w:highlight w:val="none"/>
          <w:lang w:val="en-US" w:eastAsia="zh-CN"/>
        </w:rPr>
        <w:t>采购人</w:t>
      </w:r>
      <w:r>
        <w:rPr>
          <w:rFonts w:hint="eastAsia" w:ascii="宋体" w:hAnsi="宋体" w:eastAsia="宋体" w:cs="宋体"/>
          <w:color w:val="auto"/>
          <w:kern w:val="2"/>
          <w:sz w:val="24"/>
          <w:szCs w:val="24"/>
          <w:highlight w:val="none"/>
          <w:lang w:val="en-US"/>
        </w:rPr>
        <w:t>事先同意的情况下撤换；经同意撤换的人员必须与被替换人员有同等或更高的相关专业技术和工作经验。</w:t>
      </w:r>
    </w:p>
    <w:p w14:paraId="161EED45">
      <w:pPr>
        <w:keepNext w:val="0"/>
        <w:keepLines w:val="0"/>
        <w:pageBreakBefore w:val="0"/>
        <w:wordWrap/>
        <w:topLinePunct w:val="0"/>
        <w:bidi w:val="0"/>
        <w:spacing w:before="63" w:beforeLines="20" w:after="63" w:afterLines="2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shd w:val="clear" w:color="auto" w:fill="auto"/>
          <w:lang w:val="en-US" w:eastAsia="zh-CN"/>
        </w:rPr>
        <w:t>3.合同运营期间，渗滤液应急处理系统</w:t>
      </w:r>
      <w:r>
        <w:rPr>
          <w:rFonts w:hint="eastAsia" w:ascii="宋体" w:hAnsi="宋体" w:eastAsia="宋体" w:cs="宋体"/>
          <w:color w:val="auto"/>
          <w:sz w:val="24"/>
          <w:szCs w:val="24"/>
          <w:highlight w:val="none"/>
          <w:lang w:val="en-US" w:eastAsia="zh-CN"/>
        </w:rPr>
        <w:t>的运营人员全部由供应商自行聘用并承担相关费用，供应商并应按《劳动法》及《劳动合同法》的规定与所聘人员签订劳动合同，缴纳社会保险定期培训并持证上岗等。</w:t>
      </w:r>
    </w:p>
    <w:p w14:paraId="0928E751">
      <w:pPr>
        <w:pStyle w:val="7"/>
        <w:keepNext w:val="0"/>
        <w:keepLines w:val="0"/>
        <w:pageBreakBefore w:val="0"/>
        <w:kinsoku w:val="0"/>
        <w:wordWrap/>
        <w:overflowPunct w:val="0"/>
        <w:topLinePunct w:val="0"/>
        <w:autoSpaceDE/>
        <w:autoSpaceDN/>
        <w:bidi w:val="0"/>
        <w:snapToGrid/>
        <w:spacing w:before="63" w:beforeLines="20" w:after="63" w:afterLines="20" w:line="360" w:lineRule="auto"/>
        <w:ind w:right="1235" w:firstLine="562" w:firstLineChars="200"/>
        <w:textAlignment w:val="auto"/>
        <w:rPr>
          <w:rFonts w:hint="eastAsia" w:ascii="宋体" w:hAnsi="宋体" w:eastAsia="宋体" w:cs="宋体"/>
          <w:b/>
          <w:bCs/>
          <w:kern w:val="0"/>
          <w:sz w:val="28"/>
          <w:szCs w:val="28"/>
          <w:lang w:val="en-US" w:eastAsia="zh-CN" w:bidi="ar-SA"/>
        </w:rPr>
      </w:pPr>
      <w:r>
        <w:rPr>
          <w:rFonts w:hint="eastAsia" w:ascii="宋体" w:hAnsi="宋体" w:eastAsia="宋体" w:cs="宋体"/>
          <w:b/>
          <w:bCs/>
          <w:kern w:val="0"/>
          <w:sz w:val="28"/>
          <w:szCs w:val="28"/>
          <w:lang w:val="en-US" w:eastAsia="zh-CN" w:bidi="ar-SA"/>
        </w:rPr>
        <w:t>七、运营质量和服务标准</w:t>
      </w:r>
    </w:p>
    <w:p w14:paraId="23C39C35">
      <w:pPr>
        <w:pStyle w:val="7"/>
        <w:keepNext w:val="0"/>
        <w:keepLines w:val="0"/>
        <w:pageBreakBefore w:val="0"/>
        <w:widowControl/>
        <w:kinsoku w:val="0"/>
        <w:wordWrap/>
        <w:overflowPunct w:val="0"/>
        <w:topLinePunct w:val="0"/>
        <w:autoSpaceDE/>
        <w:autoSpaceDN/>
        <w:bidi w:val="0"/>
        <w:adjustRightInd/>
        <w:snapToGrid/>
        <w:spacing w:before="63" w:beforeLines="20" w:after="63" w:afterLines="20" w:line="360" w:lineRule="auto"/>
        <w:ind w:right="0" w:firstLine="480" w:firstLineChars="200"/>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kern w:val="2"/>
          <w:sz w:val="24"/>
          <w:szCs w:val="24"/>
          <w:highlight w:val="none"/>
          <w:shd w:val="clear" w:color="auto" w:fill="auto"/>
          <w:lang w:val="en-US" w:eastAsia="zh-CN" w:bidi="ar-SA"/>
        </w:rPr>
        <w:t>质量标准必须满足下列规范的要求，验收须达国家规定合格质量标准以下标准如与现行标准相冲突，以较高标准执行：</w:t>
      </w:r>
    </w:p>
    <w:p w14:paraId="55B648DD">
      <w:pPr>
        <w:pStyle w:val="7"/>
        <w:keepNext w:val="0"/>
        <w:keepLines w:val="0"/>
        <w:pageBreakBefore w:val="0"/>
        <w:kinsoku w:val="0"/>
        <w:wordWrap/>
        <w:overflowPunct w:val="0"/>
        <w:topLinePunct w:val="0"/>
        <w:autoSpaceDE/>
        <w:autoSpaceDN/>
        <w:bidi w:val="0"/>
        <w:snapToGrid/>
        <w:spacing w:before="63" w:beforeLines="20" w:after="63" w:afterLines="20" w:line="360" w:lineRule="auto"/>
        <w:ind w:right="1235" w:firstLine="484" w:firstLineChars="200"/>
        <w:textAlignment w:val="auto"/>
        <w:rPr>
          <w:rFonts w:hint="eastAsia" w:ascii="宋体" w:hAnsi="宋体" w:eastAsia="宋体" w:cs="宋体"/>
          <w:b w:val="0"/>
          <w:bCs/>
          <w:color w:val="auto"/>
          <w:spacing w:val="1"/>
          <w:sz w:val="24"/>
          <w:szCs w:val="24"/>
          <w:highlight w:val="none"/>
          <w:lang w:eastAsia="zh-CN"/>
        </w:rPr>
      </w:pPr>
      <w:r>
        <w:rPr>
          <w:rFonts w:hint="eastAsia" w:ascii="宋体" w:hAnsi="宋体" w:eastAsia="宋体" w:cs="宋体"/>
          <w:b w:val="0"/>
          <w:bCs/>
          <w:color w:val="auto"/>
          <w:spacing w:val="1"/>
          <w:sz w:val="24"/>
          <w:szCs w:val="24"/>
          <w:highlight w:val="none"/>
          <w:lang w:val="en-US" w:eastAsia="zh-CN"/>
        </w:rPr>
        <w:t>1.《中华人民共和国环境保护法》</w:t>
      </w:r>
    </w:p>
    <w:p w14:paraId="3B5FC345">
      <w:pPr>
        <w:pStyle w:val="7"/>
        <w:keepNext w:val="0"/>
        <w:keepLines w:val="0"/>
        <w:pageBreakBefore w:val="0"/>
        <w:kinsoku w:val="0"/>
        <w:wordWrap/>
        <w:overflowPunct w:val="0"/>
        <w:topLinePunct w:val="0"/>
        <w:autoSpaceDE/>
        <w:autoSpaceDN/>
        <w:bidi w:val="0"/>
        <w:snapToGrid/>
        <w:spacing w:before="63" w:beforeLines="20" w:after="63" w:afterLines="20" w:line="360" w:lineRule="auto"/>
        <w:ind w:right="1235" w:firstLine="484" w:firstLineChars="200"/>
        <w:textAlignment w:val="auto"/>
        <w:rPr>
          <w:rFonts w:hint="eastAsia" w:ascii="宋体" w:hAnsi="宋体" w:eastAsia="宋体" w:cs="宋体"/>
          <w:b w:val="0"/>
          <w:bCs/>
          <w:color w:val="auto"/>
          <w:spacing w:val="1"/>
          <w:sz w:val="24"/>
          <w:szCs w:val="24"/>
          <w:highlight w:val="none"/>
          <w:lang w:eastAsia="zh-CN"/>
        </w:rPr>
      </w:pPr>
      <w:r>
        <w:rPr>
          <w:rFonts w:hint="eastAsia" w:ascii="宋体" w:hAnsi="宋体" w:eastAsia="宋体" w:cs="宋体"/>
          <w:b w:val="0"/>
          <w:bCs/>
          <w:color w:val="auto"/>
          <w:spacing w:val="1"/>
          <w:sz w:val="24"/>
          <w:szCs w:val="24"/>
          <w:highlight w:val="none"/>
          <w:lang w:val="en-US" w:eastAsia="zh-CN"/>
        </w:rPr>
        <w:t>2.《中华人民共和国水污染防治法》</w:t>
      </w:r>
    </w:p>
    <w:p w14:paraId="56426210">
      <w:pPr>
        <w:pStyle w:val="7"/>
        <w:keepNext w:val="0"/>
        <w:keepLines w:val="0"/>
        <w:pageBreakBefore w:val="0"/>
        <w:kinsoku w:val="0"/>
        <w:wordWrap/>
        <w:overflowPunct w:val="0"/>
        <w:topLinePunct w:val="0"/>
        <w:autoSpaceDE/>
        <w:autoSpaceDN/>
        <w:bidi w:val="0"/>
        <w:snapToGrid/>
        <w:spacing w:before="63" w:beforeLines="20" w:after="63" w:afterLines="20" w:line="360" w:lineRule="auto"/>
        <w:ind w:right="1235" w:firstLine="484" w:firstLineChars="200"/>
        <w:textAlignment w:val="auto"/>
        <w:rPr>
          <w:rFonts w:hint="eastAsia" w:ascii="宋体" w:hAnsi="宋体" w:eastAsia="宋体" w:cs="宋体"/>
          <w:b w:val="0"/>
          <w:bCs/>
          <w:color w:val="auto"/>
          <w:spacing w:val="1"/>
          <w:sz w:val="24"/>
          <w:szCs w:val="24"/>
          <w:highlight w:val="none"/>
          <w:lang w:eastAsia="zh-CN"/>
        </w:rPr>
      </w:pPr>
      <w:r>
        <w:rPr>
          <w:rFonts w:hint="eastAsia" w:ascii="宋体" w:hAnsi="宋体" w:eastAsia="宋体" w:cs="宋体"/>
          <w:b w:val="0"/>
          <w:bCs/>
          <w:color w:val="auto"/>
          <w:spacing w:val="1"/>
          <w:sz w:val="24"/>
          <w:szCs w:val="24"/>
          <w:highlight w:val="none"/>
          <w:lang w:val="en-US" w:eastAsia="zh-CN"/>
        </w:rPr>
        <w:t>3.《生活垃圾填埋污染控制标准》GB  16889-2024</w:t>
      </w:r>
    </w:p>
    <w:p w14:paraId="6CC585F4">
      <w:pPr>
        <w:pStyle w:val="7"/>
        <w:keepNext w:val="0"/>
        <w:keepLines w:val="0"/>
        <w:pageBreakBefore w:val="0"/>
        <w:kinsoku w:val="0"/>
        <w:wordWrap/>
        <w:overflowPunct w:val="0"/>
        <w:topLinePunct w:val="0"/>
        <w:autoSpaceDE/>
        <w:autoSpaceDN/>
        <w:bidi w:val="0"/>
        <w:snapToGrid/>
        <w:spacing w:before="63" w:beforeLines="20" w:after="63" w:afterLines="20" w:line="360" w:lineRule="auto"/>
        <w:ind w:right="1235" w:firstLine="484" w:firstLineChars="200"/>
        <w:textAlignment w:val="auto"/>
        <w:rPr>
          <w:rFonts w:hint="eastAsia" w:ascii="宋体" w:hAnsi="宋体" w:eastAsia="宋体" w:cs="宋体"/>
          <w:b w:val="0"/>
          <w:bCs/>
          <w:color w:val="auto"/>
          <w:spacing w:val="1"/>
          <w:sz w:val="24"/>
          <w:szCs w:val="24"/>
          <w:highlight w:val="none"/>
          <w:lang w:eastAsia="zh-CN"/>
        </w:rPr>
      </w:pPr>
      <w:r>
        <w:rPr>
          <w:rFonts w:hint="eastAsia" w:ascii="宋体" w:hAnsi="宋体" w:eastAsia="宋体" w:cs="宋体"/>
          <w:b w:val="0"/>
          <w:bCs/>
          <w:color w:val="auto"/>
          <w:spacing w:val="1"/>
          <w:sz w:val="24"/>
          <w:szCs w:val="24"/>
          <w:highlight w:val="none"/>
          <w:lang w:val="en-US" w:eastAsia="zh-CN"/>
        </w:rPr>
        <w:t>4.《恶臭污染物排放标准》GB14554-1993</w:t>
      </w:r>
    </w:p>
    <w:p w14:paraId="69E9127F">
      <w:pPr>
        <w:pStyle w:val="7"/>
        <w:keepNext w:val="0"/>
        <w:keepLines w:val="0"/>
        <w:pageBreakBefore w:val="0"/>
        <w:kinsoku w:val="0"/>
        <w:wordWrap/>
        <w:overflowPunct w:val="0"/>
        <w:topLinePunct w:val="0"/>
        <w:autoSpaceDE/>
        <w:autoSpaceDN/>
        <w:bidi w:val="0"/>
        <w:snapToGrid/>
        <w:spacing w:before="63" w:beforeLines="20" w:after="63" w:afterLines="20" w:line="360" w:lineRule="auto"/>
        <w:ind w:right="1235" w:firstLine="484" w:firstLineChars="200"/>
        <w:textAlignment w:val="auto"/>
        <w:rPr>
          <w:rFonts w:hint="eastAsia" w:ascii="宋体" w:hAnsi="宋体" w:eastAsia="宋体" w:cs="宋体"/>
          <w:b w:val="0"/>
          <w:bCs/>
          <w:color w:val="auto"/>
          <w:spacing w:val="1"/>
          <w:sz w:val="24"/>
          <w:szCs w:val="24"/>
          <w:highlight w:val="none"/>
          <w:lang w:eastAsia="zh-CN"/>
        </w:rPr>
      </w:pPr>
      <w:r>
        <w:rPr>
          <w:rFonts w:hint="eastAsia" w:ascii="宋体" w:hAnsi="宋体" w:eastAsia="宋体" w:cs="宋体"/>
          <w:b w:val="0"/>
          <w:bCs/>
          <w:color w:val="auto"/>
          <w:spacing w:val="1"/>
          <w:sz w:val="24"/>
          <w:szCs w:val="24"/>
          <w:highlight w:val="none"/>
          <w:lang w:val="en-US" w:eastAsia="zh-CN"/>
        </w:rPr>
        <w:t>5.《环境空气质量标准》GB3095-2012</w:t>
      </w:r>
    </w:p>
    <w:p w14:paraId="28A9D08E">
      <w:pPr>
        <w:pStyle w:val="7"/>
        <w:keepNext w:val="0"/>
        <w:keepLines w:val="0"/>
        <w:pageBreakBefore w:val="0"/>
        <w:kinsoku w:val="0"/>
        <w:wordWrap/>
        <w:overflowPunct w:val="0"/>
        <w:topLinePunct w:val="0"/>
        <w:autoSpaceDE/>
        <w:autoSpaceDN/>
        <w:bidi w:val="0"/>
        <w:snapToGrid/>
        <w:spacing w:before="63" w:beforeLines="20" w:after="63" w:afterLines="20" w:line="360" w:lineRule="auto"/>
        <w:ind w:right="1235" w:firstLine="484" w:firstLineChars="200"/>
        <w:textAlignment w:val="auto"/>
        <w:rPr>
          <w:rFonts w:hint="eastAsia" w:ascii="宋体" w:hAnsi="宋体" w:eastAsia="宋体" w:cs="宋体"/>
          <w:b w:val="0"/>
          <w:bCs/>
          <w:color w:val="auto"/>
          <w:spacing w:val="1"/>
          <w:sz w:val="24"/>
          <w:szCs w:val="24"/>
          <w:highlight w:val="none"/>
          <w:lang w:eastAsia="zh-CN"/>
        </w:rPr>
      </w:pPr>
      <w:r>
        <w:rPr>
          <w:rFonts w:hint="eastAsia" w:ascii="宋体" w:hAnsi="宋体" w:eastAsia="宋体" w:cs="宋体"/>
          <w:b w:val="0"/>
          <w:bCs/>
          <w:color w:val="auto"/>
          <w:spacing w:val="1"/>
          <w:sz w:val="24"/>
          <w:szCs w:val="24"/>
          <w:highlight w:val="none"/>
          <w:lang w:val="en-US" w:eastAsia="zh-CN"/>
        </w:rPr>
        <w:t>6.《城市生活垃圾卫生填埋处理工程项目建设标准（附条件项目）》ZBBZH/CS/1</w:t>
      </w:r>
    </w:p>
    <w:p w14:paraId="75D2C817">
      <w:pPr>
        <w:pStyle w:val="7"/>
        <w:keepNext w:val="0"/>
        <w:keepLines w:val="0"/>
        <w:pageBreakBefore w:val="0"/>
        <w:kinsoku w:val="0"/>
        <w:wordWrap/>
        <w:overflowPunct w:val="0"/>
        <w:topLinePunct w:val="0"/>
        <w:autoSpaceDE/>
        <w:autoSpaceDN/>
        <w:bidi w:val="0"/>
        <w:snapToGrid/>
        <w:spacing w:before="63" w:beforeLines="20" w:after="63" w:afterLines="20" w:line="360" w:lineRule="auto"/>
        <w:ind w:right="1235" w:firstLine="484" w:firstLineChars="200"/>
        <w:textAlignment w:val="auto"/>
        <w:rPr>
          <w:rFonts w:hint="eastAsia" w:ascii="宋体" w:hAnsi="宋体" w:eastAsia="宋体" w:cs="宋体"/>
          <w:b w:val="0"/>
          <w:bCs/>
          <w:color w:val="auto"/>
          <w:spacing w:val="1"/>
          <w:sz w:val="24"/>
          <w:szCs w:val="24"/>
          <w:highlight w:val="none"/>
          <w:lang w:eastAsia="zh-CN"/>
        </w:rPr>
      </w:pPr>
      <w:r>
        <w:rPr>
          <w:rFonts w:hint="eastAsia" w:ascii="宋体" w:hAnsi="宋体" w:eastAsia="宋体" w:cs="宋体"/>
          <w:b w:val="0"/>
          <w:bCs/>
          <w:color w:val="auto"/>
          <w:spacing w:val="1"/>
          <w:sz w:val="24"/>
          <w:szCs w:val="24"/>
          <w:highlight w:val="none"/>
          <w:lang w:val="en-US" w:eastAsia="zh-CN"/>
        </w:rPr>
        <w:t>7.《生活垃圾卫生填埋场环境监测技术标准》CJ/T3037-1995</w:t>
      </w:r>
    </w:p>
    <w:p w14:paraId="0FFE41BD">
      <w:pPr>
        <w:pStyle w:val="7"/>
        <w:keepNext w:val="0"/>
        <w:keepLines w:val="0"/>
        <w:pageBreakBefore w:val="0"/>
        <w:kinsoku w:val="0"/>
        <w:wordWrap/>
        <w:overflowPunct w:val="0"/>
        <w:topLinePunct w:val="0"/>
        <w:autoSpaceDE/>
        <w:autoSpaceDN/>
        <w:bidi w:val="0"/>
        <w:snapToGrid/>
        <w:spacing w:before="63" w:beforeLines="20" w:after="63" w:afterLines="20" w:line="360" w:lineRule="auto"/>
        <w:ind w:right="1235" w:firstLine="484" w:firstLineChars="200"/>
        <w:textAlignment w:val="auto"/>
        <w:rPr>
          <w:rFonts w:hint="eastAsia" w:ascii="宋体" w:hAnsi="宋体" w:eastAsia="宋体" w:cs="宋体"/>
          <w:b w:val="0"/>
          <w:bCs/>
          <w:color w:val="auto"/>
          <w:spacing w:val="1"/>
          <w:sz w:val="24"/>
          <w:szCs w:val="24"/>
          <w:highlight w:val="none"/>
          <w:lang w:eastAsia="zh-CN"/>
        </w:rPr>
      </w:pPr>
      <w:r>
        <w:rPr>
          <w:rFonts w:hint="eastAsia" w:ascii="宋体" w:hAnsi="宋体" w:eastAsia="宋体" w:cs="宋体"/>
          <w:b w:val="0"/>
          <w:bCs/>
          <w:color w:val="auto"/>
          <w:spacing w:val="1"/>
          <w:sz w:val="24"/>
          <w:szCs w:val="24"/>
          <w:highlight w:val="none"/>
          <w:lang w:val="en-US" w:eastAsia="zh-CN"/>
        </w:rPr>
        <w:t>8.《污水综合排放标准》GB8978-1996</w:t>
      </w:r>
    </w:p>
    <w:p w14:paraId="3D7E5C32">
      <w:pPr>
        <w:keepNext w:val="0"/>
        <w:keepLines w:val="0"/>
        <w:pageBreakBefore w:val="0"/>
        <w:widowControl w:val="0"/>
        <w:kinsoku/>
        <w:wordWrap/>
        <w:overflowPunct/>
        <w:topLinePunct w:val="0"/>
        <w:bidi w:val="0"/>
        <w:snapToGrid/>
        <w:spacing w:line="520" w:lineRule="exact"/>
        <w:ind w:left="0" w:leftChars="0" w:firstLine="484"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color w:val="auto"/>
          <w:spacing w:val="1"/>
          <w:sz w:val="24"/>
          <w:szCs w:val="24"/>
          <w:highlight w:val="none"/>
          <w:lang w:val="en-US" w:eastAsia="zh-CN"/>
        </w:rPr>
        <w:t>9. 其他废水处理的相关规范</w:t>
      </w:r>
    </w:p>
    <w:p w14:paraId="4B9F2A62">
      <w:pPr>
        <w:keepNext w:val="0"/>
        <w:keepLines w:val="0"/>
        <w:pageBreakBefore w:val="0"/>
        <w:widowControl w:val="0"/>
        <w:numPr>
          <w:ilvl w:val="0"/>
          <w:numId w:val="0"/>
        </w:numPr>
        <w:kinsoku/>
        <w:wordWrap/>
        <w:overflowPunct/>
        <w:topLinePunct w:val="0"/>
        <w:bidi w:val="0"/>
        <w:snapToGrid/>
        <w:spacing w:line="520" w:lineRule="exact"/>
        <w:ind w:left="630" w:leftChars="0"/>
        <w:textAlignment w:val="auto"/>
        <w:rPr>
          <w:rFonts w:hint="eastAsia" w:ascii="宋体" w:hAnsi="宋体" w:eastAsia="宋体" w:cs="宋体"/>
          <w:b/>
          <w:bCs/>
          <w:kern w:val="0"/>
          <w:sz w:val="28"/>
          <w:szCs w:val="28"/>
          <w:lang w:val="en-US" w:eastAsia="zh-CN" w:bidi="ar-SA"/>
        </w:rPr>
      </w:pPr>
      <w:r>
        <w:rPr>
          <w:rFonts w:hint="eastAsia" w:ascii="宋体" w:hAnsi="宋体" w:eastAsia="宋体" w:cs="宋体"/>
          <w:b/>
          <w:bCs/>
          <w:kern w:val="0"/>
          <w:sz w:val="28"/>
          <w:szCs w:val="28"/>
          <w:lang w:val="en-US" w:eastAsia="zh-CN" w:bidi="ar-SA"/>
        </w:rPr>
        <w:t>八、验收标准</w:t>
      </w:r>
    </w:p>
    <w:p w14:paraId="4919092C">
      <w:pPr>
        <w:spacing w:line="46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1.按采购文件的要求、成交供应商的响应文件及承诺与本项目合同约定标准进行验收。</w:t>
      </w:r>
    </w:p>
    <w:p w14:paraId="72FC7736">
      <w:pPr>
        <w:keepNext w:val="0"/>
        <w:keepLines w:val="0"/>
        <w:pageBreakBefore w:val="0"/>
        <w:widowControl w:val="0"/>
        <w:numPr>
          <w:ilvl w:val="0"/>
          <w:numId w:val="0"/>
        </w:numPr>
        <w:kinsoku/>
        <w:wordWrap/>
        <w:overflowPunct/>
        <w:topLinePunct w:val="0"/>
        <w:bidi w:val="0"/>
        <w:snapToGrid/>
        <w:spacing w:line="520" w:lineRule="exact"/>
        <w:ind w:leftChars="200"/>
        <w:textAlignment w:val="auto"/>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2.考核要求</w:t>
      </w:r>
    </w:p>
    <w:p w14:paraId="71D45C1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480" w:firstLineChars="200"/>
        <w:textAlignment w:val="auto"/>
        <w:outlineLvl w:val="9"/>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为确保剑川县垃圾填埋场渗滤液处理站市场化运营的高效性、规范性和持续性，特制定以下考核要求，具体如下</w:t>
      </w:r>
    </w:p>
    <w:p w14:paraId="2B90230F">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480" w:firstLineChars="200"/>
        <w:textAlignment w:val="auto"/>
        <w:outlineLvl w:val="9"/>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考核周期为每月一次，年终进行综合评估：</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4"/>
        <w:gridCol w:w="1486"/>
        <w:gridCol w:w="2772"/>
        <w:gridCol w:w="823"/>
        <w:gridCol w:w="2121"/>
      </w:tblGrid>
      <w:tr w14:paraId="49DC3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dxa"/>
            <w:noWrap w:val="0"/>
            <w:vAlign w:val="center"/>
          </w:tcPr>
          <w:p w14:paraId="3047CB2C">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bCs/>
                <w:color w:val="auto"/>
                <w:kern w:val="2"/>
                <w:sz w:val="24"/>
                <w:szCs w:val="24"/>
                <w:vertAlign w:val="baseline"/>
                <w:lang w:val="en-US" w:eastAsia="zh-CN" w:bidi="ar-SA"/>
              </w:rPr>
            </w:pPr>
            <w:r>
              <w:rPr>
                <w:rFonts w:hint="eastAsia" w:ascii="方正仿宋_GB2312" w:hAnsi="方正仿宋_GB2312" w:eastAsia="方正仿宋_GB2312" w:cs="方正仿宋_GB2312"/>
                <w:b/>
                <w:bCs/>
                <w:color w:val="auto"/>
                <w:kern w:val="2"/>
                <w:sz w:val="24"/>
                <w:szCs w:val="24"/>
                <w:vertAlign w:val="baseline"/>
                <w:lang w:val="en-US" w:eastAsia="zh-CN" w:bidi="ar-SA"/>
              </w:rPr>
              <w:t>考核类别</w:t>
            </w:r>
          </w:p>
        </w:tc>
        <w:tc>
          <w:tcPr>
            <w:tcW w:w="1486" w:type="dxa"/>
            <w:noWrap w:val="0"/>
            <w:vAlign w:val="center"/>
          </w:tcPr>
          <w:p w14:paraId="159AA70E">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bCs/>
                <w:color w:val="auto"/>
                <w:kern w:val="2"/>
                <w:sz w:val="24"/>
                <w:szCs w:val="24"/>
                <w:vertAlign w:val="baseline"/>
                <w:lang w:val="en-US" w:eastAsia="zh-CN" w:bidi="ar-SA"/>
              </w:rPr>
            </w:pPr>
            <w:r>
              <w:rPr>
                <w:rFonts w:hint="eastAsia" w:ascii="方正仿宋_GB2312" w:hAnsi="方正仿宋_GB2312" w:eastAsia="方正仿宋_GB2312" w:cs="方正仿宋_GB2312"/>
                <w:b/>
                <w:bCs/>
                <w:color w:val="auto"/>
                <w:kern w:val="2"/>
                <w:sz w:val="24"/>
                <w:szCs w:val="24"/>
                <w:vertAlign w:val="baseline"/>
                <w:lang w:val="en-US" w:eastAsia="zh-CN" w:bidi="ar-SA"/>
              </w:rPr>
              <w:t>考核指标</w:t>
            </w:r>
          </w:p>
        </w:tc>
        <w:tc>
          <w:tcPr>
            <w:tcW w:w="2772" w:type="dxa"/>
            <w:noWrap w:val="0"/>
            <w:vAlign w:val="center"/>
          </w:tcPr>
          <w:p w14:paraId="3511809E">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bCs/>
                <w:color w:val="auto"/>
                <w:kern w:val="2"/>
                <w:sz w:val="24"/>
                <w:szCs w:val="24"/>
                <w:vertAlign w:val="baseline"/>
                <w:lang w:val="en-US" w:eastAsia="zh-CN" w:bidi="ar-SA"/>
              </w:rPr>
            </w:pPr>
            <w:r>
              <w:rPr>
                <w:rFonts w:hint="eastAsia" w:ascii="方正仿宋_GB2312" w:hAnsi="方正仿宋_GB2312" w:eastAsia="方正仿宋_GB2312" w:cs="方正仿宋_GB2312"/>
                <w:b/>
                <w:bCs/>
                <w:color w:val="auto"/>
                <w:kern w:val="2"/>
                <w:sz w:val="24"/>
                <w:szCs w:val="24"/>
                <w:vertAlign w:val="baseline"/>
                <w:lang w:val="en-US" w:eastAsia="zh-CN" w:bidi="ar-SA"/>
              </w:rPr>
              <w:t>评分标准</w:t>
            </w:r>
          </w:p>
        </w:tc>
        <w:tc>
          <w:tcPr>
            <w:tcW w:w="823" w:type="dxa"/>
            <w:noWrap w:val="0"/>
            <w:vAlign w:val="center"/>
          </w:tcPr>
          <w:p w14:paraId="5B4BDEB7">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bCs/>
                <w:color w:val="auto"/>
                <w:kern w:val="2"/>
                <w:sz w:val="24"/>
                <w:szCs w:val="24"/>
                <w:vertAlign w:val="baseline"/>
                <w:lang w:val="en-US" w:eastAsia="zh-CN" w:bidi="ar-SA"/>
              </w:rPr>
            </w:pPr>
            <w:r>
              <w:rPr>
                <w:rFonts w:hint="eastAsia" w:ascii="方正仿宋_GB2312" w:hAnsi="方正仿宋_GB2312" w:eastAsia="方正仿宋_GB2312" w:cs="方正仿宋_GB2312"/>
                <w:b/>
                <w:bCs/>
                <w:color w:val="auto"/>
                <w:kern w:val="2"/>
                <w:sz w:val="24"/>
                <w:szCs w:val="24"/>
                <w:vertAlign w:val="baseline"/>
                <w:lang w:val="en-US" w:eastAsia="zh-CN" w:bidi="ar-SA"/>
              </w:rPr>
              <w:t>分值</w:t>
            </w:r>
          </w:p>
        </w:tc>
        <w:tc>
          <w:tcPr>
            <w:tcW w:w="2121" w:type="dxa"/>
            <w:noWrap w:val="0"/>
            <w:vAlign w:val="center"/>
          </w:tcPr>
          <w:p w14:paraId="56F3317E">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bCs/>
                <w:color w:val="auto"/>
                <w:kern w:val="2"/>
                <w:sz w:val="24"/>
                <w:szCs w:val="24"/>
                <w:vertAlign w:val="baseline"/>
                <w:lang w:val="en-US" w:eastAsia="zh-CN" w:bidi="ar-SA"/>
              </w:rPr>
            </w:pPr>
            <w:r>
              <w:rPr>
                <w:rFonts w:hint="eastAsia" w:ascii="方正仿宋_GB2312" w:hAnsi="方正仿宋_GB2312" w:eastAsia="方正仿宋_GB2312" w:cs="方正仿宋_GB2312"/>
                <w:b/>
                <w:bCs/>
                <w:color w:val="auto"/>
                <w:kern w:val="2"/>
                <w:sz w:val="24"/>
                <w:szCs w:val="24"/>
                <w:vertAlign w:val="baseline"/>
                <w:lang w:val="en-US" w:eastAsia="zh-CN" w:bidi="ar-SA"/>
              </w:rPr>
              <w:t>扣分/奖惩标准</w:t>
            </w:r>
          </w:p>
        </w:tc>
      </w:tr>
      <w:tr w14:paraId="34563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dxa"/>
            <w:vMerge w:val="restart"/>
            <w:noWrap w:val="0"/>
            <w:vAlign w:val="center"/>
          </w:tcPr>
          <w:p w14:paraId="785E0109">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vertAlign w:val="baseline"/>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日常运营管理考核</w:t>
            </w:r>
          </w:p>
        </w:tc>
        <w:tc>
          <w:tcPr>
            <w:tcW w:w="1486" w:type="dxa"/>
            <w:noWrap w:val="0"/>
            <w:vAlign w:val="center"/>
          </w:tcPr>
          <w:p w14:paraId="678A657C">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vertAlign w:val="baseline"/>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运维人员配置</w:t>
            </w:r>
          </w:p>
        </w:tc>
        <w:tc>
          <w:tcPr>
            <w:tcW w:w="2772" w:type="dxa"/>
            <w:noWrap w:val="0"/>
            <w:vAlign w:val="center"/>
          </w:tcPr>
          <w:p w14:paraId="1CC8643A">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vertAlign w:val="baseline"/>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 xml:space="preserve">派驻4名合格运维人员，24小时驻场 </w:t>
            </w:r>
          </w:p>
        </w:tc>
        <w:tc>
          <w:tcPr>
            <w:tcW w:w="823" w:type="dxa"/>
            <w:noWrap w:val="0"/>
            <w:vAlign w:val="center"/>
          </w:tcPr>
          <w:p w14:paraId="2C39622C">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10</w:t>
            </w:r>
          </w:p>
        </w:tc>
        <w:tc>
          <w:tcPr>
            <w:tcW w:w="2121" w:type="dxa"/>
            <w:noWrap w:val="0"/>
            <w:vAlign w:val="center"/>
          </w:tcPr>
          <w:p w14:paraId="65ABB802">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vertAlign w:val="baseline"/>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 xml:space="preserve">每缺少1名人员，扣2分   </w:t>
            </w:r>
          </w:p>
        </w:tc>
      </w:tr>
      <w:tr w14:paraId="3B9D3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dxa"/>
            <w:vMerge w:val="continue"/>
            <w:noWrap w:val="0"/>
            <w:vAlign w:val="center"/>
          </w:tcPr>
          <w:p w14:paraId="762944AF">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vertAlign w:val="baseline"/>
                <w:lang w:val="en-US" w:eastAsia="zh-CN" w:bidi="ar-SA"/>
              </w:rPr>
            </w:pPr>
          </w:p>
        </w:tc>
        <w:tc>
          <w:tcPr>
            <w:tcW w:w="1486" w:type="dxa"/>
            <w:noWrap w:val="0"/>
            <w:vAlign w:val="center"/>
          </w:tcPr>
          <w:p w14:paraId="7E187EB8">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vertAlign w:val="baseline"/>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培训与上岗</w:t>
            </w:r>
          </w:p>
        </w:tc>
        <w:tc>
          <w:tcPr>
            <w:tcW w:w="2772" w:type="dxa"/>
            <w:noWrap w:val="0"/>
            <w:vAlign w:val="center"/>
          </w:tcPr>
          <w:p w14:paraId="6E84A595">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vertAlign w:val="baseline"/>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 xml:space="preserve">对操作人员进行免费培训，确保熟练上岗 </w:t>
            </w:r>
          </w:p>
        </w:tc>
        <w:tc>
          <w:tcPr>
            <w:tcW w:w="823" w:type="dxa"/>
            <w:noWrap w:val="0"/>
            <w:vAlign w:val="center"/>
          </w:tcPr>
          <w:p w14:paraId="5D82961F">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10</w:t>
            </w:r>
          </w:p>
        </w:tc>
        <w:tc>
          <w:tcPr>
            <w:tcW w:w="2121" w:type="dxa"/>
            <w:noWrap w:val="0"/>
            <w:vAlign w:val="center"/>
          </w:tcPr>
          <w:p w14:paraId="4FB9AE93">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vertAlign w:val="baseline"/>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 xml:space="preserve">未完成培训或操作人员未达标，每次扣2分           </w:t>
            </w:r>
          </w:p>
        </w:tc>
      </w:tr>
      <w:tr w14:paraId="6B5B5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dxa"/>
            <w:vMerge w:val="continue"/>
            <w:noWrap w:val="0"/>
            <w:vAlign w:val="center"/>
          </w:tcPr>
          <w:p w14:paraId="6EDAB5FE">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vertAlign w:val="baseline"/>
                <w:lang w:val="en-US" w:eastAsia="zh-CN" w:bidi="ar-SA"/>
              </w:rPr>
            </w:pPr>
          </w:p>
        </w:tc>
        <w:tc>
          <w:tcPr>
            <w:tcW w:w="1486" w:type="dxa"/>
            <w:noWrap w:val="0"/>
            <w:vAlign w:val="center"/>
          </w:tcPr>
          <w:p w14:paraId="4528E4BB">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vertAlign w:val="baseline"/>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运行记录与台账管理</w:t>
            </w:r>
          </w:p>
        </w:tc>
        <w:tc>
          <w:tcPr>
            <w:tcW w:w="2772" w:type="dxa"/>
            <w:noWrap w:val="0"/>
            <w:vAlign w:val="center"/>
          </w:tcPr>
          <w:p w14:paraId="006E81CA">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vertAlign w:val="baseline"/>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 xml:space="preserve"> 完整记录项目运行数据及浓硫酸使用台账         </w:t>
            </w:r>
          </w:p>
        </w:tc>
        <w:tc>
          <w:tcPr>
            <w:tcW w:w="823" w:type="dxa"/>
            <w:noWrap w:val="0"/>
            <w:vAlign w:val="center"/>
          </w:tcPr>
          <w:p w14:paraId="3BD03105">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vertAlign w:val="baseline"/>
                <w:lang w:val="en-US" w:eastAsia="zh-CN" w:bidi="ar-SA"/>
              </w:rPr>
            </w:pPr>
            <w:r>
              <w:rPr>
                <w:rFonts w:hint="eastAsia" w:ascii="方正仿宋_GB2312" w:hAnsi="方正仿宋_GB2312" w:eastAsia="方正仿宋_GB2312" w:cs="方正仿宋_GB2312"/>
                <w:b w:val="0"/>
                <w:bCs w:val="0"/>
                <w:color w:val="auto"/>
                <w:kern w:val="2"/>
                <w:sz w:val="21"/>
                <w:szCs w:val="21"/>
                <w:vertAlign w:val="baseline"/>
                <w:lang w:val="en-US" w:eastAsia="zh-CN" w:bidi="ar-SA"/>
              </w:rPr>
              <w:t>10</w:t>
            </w:r>
          </w:p>
        </w:tc>
        <w:tc>
          <w:tcPr>
            <w:tcW w:w="2121" w:type="dxa"/>
            <w:noWrap w:val="0"/>
            <w:vAlign w:val="center"/>
          </w:tcPr>
          <w:p w14:paraId="30D91C30">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vertAlign w:val="baseline"/>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 xml:space="preserve">记录缺失或不符合要求，每次扣1分  </w:t>
            </w:r>
          </w:p>
        </w:tc>
      </w:tr>
      <w:tr w14:paraId="3E26C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dxa"/>
            <w:vMerge w:val="restart"/>
            <w:noWrap w:val="0"/>
            <w:vAlign w:val="center"/>
          </w:tcPr>
          <w:p w14:paraId="62282C14">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设备维护与故障处理</w:t>
            </w:r>
          </w:p>
          <w:p w14:paraId="7D78D77C">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p>
        </w:tc>
        <w:tc>
          <w:tcPr>
            <w:tcW w:w="1486" w:type="dxa"/>
            <w:noWrap w:val="0"/>
            <w:vAlign w:val="center"/>
          </w:tcPr>
          <w:p w14:paraId="1CE5D382">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设备维护</w:t>
            </w:r>
          </w:p>
        </w:tc>
        <w:tc>
          <w:tcPr>
            <w:tcW w:w="2772" w:type="dxa"/>
            <w:noWrap w:val="0"/>
            <w:vAlign w:val="center"/>
          </w:tcPr>
          <w:p w14:paraId="461A13C2">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 xml:space="preserve">定期保养设备，确保正常运行      </w:t>
            </w:r>
          </w:p>
        </w:tc>
        <w:tc>
          <w:tcPr>
            <w:tcW w:w="823" w:type="dxa"/>
            <w:noWrap w:val="0"/>
            <w:vAlign w:val="center"/>
          </w:tcPr>
          <w:p w14:paraId="522483C4">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10</w:t>
            </w:r>
          </w:p>
        </w:tc>
        <w:tc>
          <w:tcPr>
            <w:tcW w:w="2121" w:type="dxa"/>
            <w:noWrap w:val="0"/>
            <w:vAlign w:val="center"/>
          </w:tcPr>
          <w:p w14:paraId="6AEA5CE4">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 xml:space="preserve">因维护不到位导致故障，每次扣2分       </w:t>
            </w:r>
          </w:p>
        </w:tc>
      </w:tr>
      <w:tr w14:paraId="54812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dxa"/>
            <w:vMerge w:val="continue"/>
            <w:noWrap w:val="0"/>
            <w:vAlign w:val="center"/>
          </w:tcPr>
          <w:p w14:paraId="03F4935D">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p>
        </w:tc>
        <w:tc>
          <w:tcPr>
            <w:tcW w:w="1486" w:type="dxa"/>
            <w:noWrap w:val="0"/>
            <w:vAlign w:val="center"/>
          </w:tcPr>
          <w:p w14:paraId="051455FA">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故障修复时效</w:t>
            </w:r>
          </w:p>
        </w:tc>
        <w:tc>
          <w:tcPr>
            <w:tcW w:w="2772" w:type="dxa"/>
            <w:noWrap w:val="0"/>
            <w:vAlign w:val="center"/>
          </w:tcPr>
          <w:p w14:paraId="46FBCB3B">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 xml:space="preserve">24小时内响应，48小时内修复（特殊情况需报备）   </w:t>
            </w:r>
          </w:p>
        </w:tc>
        <w:tc>
          <w:tcPr>
            <w:tcW w:w="823" w:type="dxa"/>
            <w:noWrap w:val="0"/>
            <w:vAlign w:val="center"/>
          </w:tcPr>
          <w:p w14:paraId="42C12886">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10</w:t>
            </w:r>
          </w:p>
        </w:tc>
        <w:tc>
          <w:tcPr>
            <w:tcW w:w="2121" w:type="dxa"/>
            <w:noWrap w:val="0"/>
            <w:vAlign w:val="center"/>
          </w:tcPr>
          <w:p w14:paraId="468B97CA">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 xml:space="preserve">每超时1天，扣1分             </w:t>
            </w:r>
          </w:p>
        </w:tc>
      </w:tr>
      <w:tr w14:paraId="56A74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dxa"/>
            <w:vMerge w:val="continue"/>
            <w:noWrap w:val="0"/>
            <w:vAlign w:val="center"/>
          </w:tcPr>
          <w:p w14:paraId="6E878ADE">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vertAlign w:val="baseline"/>
                <w:lang w:val="en-US" w:eastAsia="zh-CN" w:bidi="ar-SA"/>
              </w:rPr>
            </w:pPr>
          </w:p>
        </w:tc>
        <w:tc>
          <w:tcPr>
            <w:tcW w:w="1486" w:type="dxa"/>
            <w:noWrap w:val="0"/>
            <w:vAlign w:val="center"/>
          </w:tcPr>
          <w:p w14:paraId="58AA6448">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数据安全与备份</w:t>
            </w:r>
          </w:p>
        </w:tc>
        <w:tc>
          <w:tcPr>
            <w:tcW w:w="2772" w:type="dxa"/>
            <w:noWrap w:val="0"/>
            <w:vAlign w:val="center"/>
          </w:tcPr>
          <w:p w14:paraId="1FE79AFD">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 xml:space="preserve">设备送修前需完成数据备份                                  </w:t>
            </w:r>
          </w:p>
        </w:tc>
        <w:tc>
          <w:tcPr>
            <w:tcW w:w="823" w:type="dxa"/>
            <w:noWrap w:val="0"/>
            <w:vAlign w:val="center"/>
          </w:tcPr>
          <w:p w14:paraId="5A737C1F">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5</w:t>
            </w:r>
          </w:p>
        </w:tc>
        <w:tc>
          <w:tcPr>
            <w:tcW w:w="2121" w:type="dxa"/>
            <w:noWrap w:val="0"/>
            <w:vAlign w:val="center"/>
          </w:tcPr>
          <w:p w14:paraId="27ADF277">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 xml:space="preserve">因未备份导致数据丢失，每次扣2分        </w:t>
            </w:r>
          </w:p>
        </w:tc>
      </w:tr>
      <w:tr w14:paraId="256FE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dxa"/>
            <w:vMerge w:val="restart"/>
            <w:noWrap w:val="0"/>
            <w:vAlign w:val="center"/>
          </w:tcPr>
          <w:p w14:paraId="54C63DE9">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水质达标与在线监测考核</w:t>
            </w:r>
          </w:p>
        </w:tc>
        <w:tc>
          <w:tcPr>
            <w:tcW w:w="1486" w:type="dxa"/>
            <w:noWrap w:val="0"/>
            <w:vAlign w:val="center"/>
          </w:tcPr>
          <w:p w14:paraId="6476EA7E">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 xml:space="preserve">水质达标率  </w:t>
            </w:r>
          </w:p>
        </w:tc>
        <w:tc>
          <w:tcPr>
            <w:tcW w:w="2772" w:type="dxa"/>
            <w:noWrap w:val="0"/>
            <w:vAlign w:val="center"/>
          </w:tcPr>
          <w:p w14:paraId="144F05C5">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 xml:space="preserve">出水水质100%符合国家及地方排放标准     </w:t>
            </w:r>
          </w:p>
        </w:tc>
        <w:tc>
          <w:tcPr>
            <w:tcW w:w="823" w:type="dxa"/>
            <w:noWrap w:val="0"/>
            <w:vAlign w:val="center"/>
          </w:tcPr>
          <w:p w14:paraId="156BF2A9">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15</w:t>
            </w:r>
          </w:p>
        </w:tc>
        <w:tc>
          <w:tcPr>
            <w:tcW w:w="2121" w:type="dxa"/>
            <w:noWrap w:val="0"/>
            <w:vAlign w:val="center"/>
          </w:tcPr>
          <w:p w14:paraId="21A57503">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 xml:space="preserve">每出现1次水质不达标，扣3分           </w:t>
            </w:r>
          </w:p>
        </w:tc>
      </w:tr>
      <w:tr w14:paraId="305DE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dxa"/>
            <w:vMerge w:val="continue"/>
            <w:noWrap w:val="0"/>
            <w:vAlign w:val="center"/>
          </w:tcPr>
          <w:p w14:paraId="07B5FFD0">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p>
        </w:tc>
        <w:tc>
          <w:tcPr>
            <w:tcW w:w="1486" w:type="dxa"/>
            <w:noWrap w:val="0"/>
            <w:vAlign w:val="center"/>
          </w:tcPr>
          <w:p w14:paraId="025D5571">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 xml:space="preserve">在线监测系统运维 </w:t>
            </w:r>
          </w:p>
        </w:tc>
        <w:tc>
          <w:tcPr>
            <w:tcW w:w="2772" w:type="dxa"/>
            <w:noWrap w:val="0"/>
            <w:vAlign w:val="center"/>
          </w:tcPr>
          <w:p w14:paraId="5C6B3FCC">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 xml:space="preserve">  在线监测设备（COD、氨氮、pH、总磷、总氮等）保持正常运行    </w:t>
            </w:r>
          </w:p>
        </w:tc>
        <w:tc>
          <w:tcPr>
            <w:tcW w:w="823" w:type="dxa"/>
            <w:noWrap w:val="0"/>
            <w:vAlign w:val="center"/>
          </w:tcPr>
          <w:p w14:paraId="22D8F0BA">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10</w:t>
            </w:r>
          </w:p>
        </w:tc>
        <w:tc>
          <w:tcPr>
            <w:tcW w:w="2121" w:type="dxa"/>
            <w:noWrap w:val="0"/>
            <w:vAlign w:val="center"/>
          </w:tcPr>
          <w:p w14:paraId="0012AC98">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 xml:space="preserve">设备故障未及时修复导致监测中断，每次扣2分    </w:t>
            </w:r>
          </w:p>
        </w:tc>
      </w:tr>
      <w:tr w14:paraId="28FC6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dxa"/>
            <w:vMerge w:val="continue"/>
            <w:noWrap w:val="0"/>
            <w:vAlign w:val="center"/>
          </w:tcPr>
          <w:p w14:paraId="37600F11">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p>
        </w:tc>
        <w:tc>
          <w:tcPr>
            <w:tcW w:w="1486" w:type="dxa"/>
            <w:noWrap w:val="0"/>
            <w:vAlign w:val="center"/>
          </w:tcPr>
          <w:p w14:paraId="0AD57309">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监测数据准确性</w:t>
            </w:r>
          </w:p>
        </w:tc>
        <w:tc>
          <w:tcPr>
            <w:tcW w:w="2772" w:type="dxa"/>
            <w:noWrap w:val="0"/>
            <w:vAlign w:val="center"/>
          </w:tcPr>
          <w:p w14:paraId="18E6CA6C">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 xml:space="preserve">监测数据真实、准确，符合HJ/355-2019规范         </w:t>
            </w:r>
          </w:p>
        </w:tc>
        <w:tc>
          <w:tcPr>
            <w:tcW w:w="823" w:type="dxa"/>
            <w:noWrap w:val="0"/>
            <w:vAlign w:val="center"/>
          </w:tcPr>
          <w:p w14:paraId="44A4E791">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10</w:t>
            </w:r>
          </w:p>
        </w:tc>
        <w:tc>
          <w:tcPr>
            <w:tcW w:w="2121" w:type="dxa"/>
            <w:noWrap w:val="0"/>
            <w:vAlign w:val="center"/>
          </w:tcPr>
          <w:p w14:paraId="47EDABBB">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 xml:space="preserve">数据造假或严重偏差，每次扣3分      </w:t>
            </w:r>
          </w:p>
        </w:tc>
      </w:tr>
      <w:tr w14:paraId="16069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dxa"/>
            <w:vMerge w:val="restart"/>
            <w:noWrap w:val="0"/>
            <w:vAlign w:val="center"/>
          </w:tcPr>
          <w:p w14:paraId="296C4EED">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自行监测与排污许可</w:t>
            </w:r>
          </w:p>
        </w:tc>
        <w:tc>
          <w:tcPr>
            <w:tcW w:w="1486" w:type="dxa"/>
            <w:noWrap w:val="0"/>
            <w:vAlign w:val="center"/>
          </w:tcPr>
          <w:p w14:paraId="4028A882">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 xml:space="preserve">监测报告提交    </w:t>
            </w:r>
          </w:p>
        </w:tc>
        <w:tc>
          <w:tcPr>
            <w:tcW w:w="2772" w:type="dxa"/>
            <w:noWrap w:val="0"/>
            <w:vAlign w:val="center"/>
          </w:tcPr>
          <w:p w14:paraId="0E9833C1">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 xml:space="preserve">按排污许可要求完成监测任务，按时提交合格监测报告         </w:t>
            </w:r>
          </w:p>
        </w:tc>
        <w:tc>
          <w:tcPr>
            <w:tcW w:w="823" w:type="dxa"/>
            <w:noWrap w:val="0"/>
            <w:vAlign w:val="center"/>
          </w:tcPr>
          <w:p w14:paraId="0AB0A7D6">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5</w:t>
            </w:r>
          </w:p>
        </w:tc>
        <w:tc>
          <w:tcPr>
            <w:tcW w:w="2121" w:type="dxa"/>
            <w:noWrap w:val="0"/>
            <w:vAlign w:val="center"/>
          </w:tcPr>
          <w:p w14:paraId="71AC4694">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 xml:space="preserve">每延迟1天提交报告，扣1分                                  </w:t>
            </w:r>
          </w:p>
        </w:tc>
      </w:tr>
      <w:tr w14:paraId="2B46E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dxa"/>
            <w:vMerge w:val="continue"/>
            <w:noWrap w:val="0"/>
            <w:vAlign w:val="center"/>
          </w:tcPr>
          <w:p w14:paraId="4472E10E">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p>
        </w:tc>
        <w:tc>
          <w:tcPr>
            <w:tcW w:w="1486" w:type="dxa"/>
            <w:noWrap w:val="0"/>
            <w:vAlign w:val="center"/>
          </w:tcPr>
          <w:p w14:paraId="5C0EA000">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 xml:space="preserve">监测数据填报 </w:t>
            </w:r>
          </w:p>
        </w:tc>
        <w:tc>
          <w:tcPr>
            <w:tcW w:w="2772" w:type="dxa"/>
            <w:noWrap w:val="0"/>
            <w:vAlign w:val="center"/>
          </w:tcPr>
          <w:p w14:paraId="753596AA">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 xml:space="preserve">准确填报监测数据至排污许可证报告系统等平台    </w:t>
            </w:r>
          </w:p>
        </w:tc>
        <w:tc>
          <w:tcPr>
            <w:tcW w:w="823" w:type="dxa"/>
            <w:noWrap w:val="0"/>
            <w:vAlign w:val="center"/>
          </w:tcPr>
          <w:p w14:paraId="28FA9E2E">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5</w:t>
            </w:r>
          </w:p>
        </w:tc>
        <w:tc>
          <w:tcPr>
            <w:tcW w:w="2121" w:type="dxa"/>
            <w:noWrap w:val="0"/>
            <w:vAlign w:val="center"/>
          </w:tcPr>
          <w:p w14:paraId="3F335099">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 xml:space="preserve">数据填报错误或遗漏，每次扣1分    </w:t>
            </w:r>
          </w:p>
        </w:tc>
      </w:tr>
      <w:tr w14:paraId="0BAAF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dxa"/>
            <w:vMerge w:val="restart"/>
            <w:noWrap w:val="0"/>
            <w:vAlign w:val="center"/>
          </w:tcPr>
          <w:p w14:paraId="270CB387">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费用控制与人工管理</w:t>
            </w:r>
          </w:p>
        </w:tc>
        <w:tc>
          <w:tcPr>
            <w:tcW w:w="1486" w:type="dxa"/>
            <w:noWrap w:val="0"/>
            <w:vAlign w:val="center"/>
          </w:tcPr>
          <w:p w14:paraId="2F892E55">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 xml:space="preserve">费用合理性     </w:t>
            </w:r>
          </w:p>
        </w:tc>
        <w:tc>
          <w:tcPr>
            <w:tcW w:w="2772" w:type="dxa"/>
            <w:noWrap w:val="0"/>
            <w:vAlign w:val="center"/>
          </w:tcPr>
          <w:p w14:paraId="3A1F4AD8">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 xml:space="preserve">严格按照费用测算标准执行，确保费用支出合理、透明       </w:t>
            </w:r>
          </w:p>
        </w:tc>
        <w:tc>
          <w:tcPr>
            <w:tcW w:w="823" w:type="dxa"/>
            <w:noWrap w:val="0"/>
            <w:vAlign w:val="center"/>
          </w:tcPr>
          <w:p w14:paraId="11019E1B">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5</w:t>
            </w:r>
          </w:p>
        </w:tc>
        <w:tc>
          <w:tcPr>
            <w:tcW w:w="2121" w:type="dxa"/>
            <w:noWrap w:val="0"/>
            <w:vAlign w:val="center"/>
          </w:tcPr>
          <w:p w14:paraId="4F672260">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 xml:space="preserve">费用超支或支出不合理，每次扣1分                    </w:t>
            </w:r>
          </w:p>
        </w:tc>
      </w:tr>
      <w:tr w14:paraId="45D5D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dxa"/>
            <w:vMerge w:val="continue"/>
            <w:noWrap w:val="0"/>
            <w:vAlign w:val="center"/>
          </w:tcPr>
          <w:p w14:paraId="6B7C7A48">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p>
        </w:tc>
        <w:tc>
          <w:tcPr>
            <w:tcW w:w="1486" w:type="dxa"/>
            <w:noWrap w:val="0"/>
            <w:vAlign w:val="center"/>
          </w:tcPr>
          <w:p w14:paraId="1000D4D3">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 xml:space="preserve">人工成本管理     </w:t>
            </w:r>
          </w:p>
        </w:tc>
        <w:tc>
          <w:tcPr>
            <w:tcW w:w="2772" w:type="dxa"/>
            <w:noWrap w:val="0"/>
            <w:vAlign w:val="center"/>
          </w:tcPr>
          <w:p w14:paraId="0D15AF55">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 xml:space="preserve">按时发放工资并缴纳社会保险等福利费用              </w:t>
            </w:r>
          </w:p>
        </w:tc>
        <w:tc>
          <w:tcPr>
            <w:tcW w:w="823" w:type="dxa"/>
            <w:noWrap w:val="0"/>
            <w:vAlign w:val="center"/>
          </w:tcPr>
          <w:p w14:paraId="505B1F69">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5</w:t>
            </w:r>
          </w:p>
        </w:tc>
        <w:tc>
          <w:tcPr>
            <w:tcW w:w="2121" w:type="dxa"/>
            <w:noWrap w:val="0"/>
            <w:vAlign w:val="center"/>
          </w:tcPr>
          <w:p w14:paraId="405CB579">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 xml:space="preserve">出现拖欠工资或未缴纳保险，每次扣2分               </w:t>
            </w:r>
          </w:p>
        </w:tc>
      </w:tr>
      <w:tr w14:paraId="7348D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dxa"/>
            <w:vMerge w:val="restart"/>
            <w:noWrap w:val="0"/>
            <w:vAlign w:val="center"/>
          </w:tcPr>
          <w:p w14:paraId="15341AEC">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突发事件处理</w:t>
            </w:r>
          </w:p>
        </w:tc>
        <w:tc>
          <w:tcPr>
            <w:tcW w:w="1486" w:type="dxa"/>
            <w:noWrap w:val="0"/>
            <w:vAlign w:val="center"/>
          </w:tcPr>
          <w:p w14:paraId="719D8112">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 xml:space="preserve">应急响应     </w:t>
            </w:r>
          </w:p>
        </w:tc>
        <w:tc>
          <w:tcPr>
            <w:tcW w:w="2772" w:type="dxa"/>
            <w:noWrap w:val="0"/>
            <w:vAlign w:val="center"/>
          </w:tcPr>
          <w:p w14:paraId="42740D65">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 xml:space="preserve">具备突发事件应急处理能力，确保处理站正常运行   </w:t>
            </w:r>
          </w:p>
        </w:tc>
        <w:tc>
          <w:tcPr>
            <w:tcW w:w="823" w:type="dxa"/>
            <w:noWrap w:val="0"/>
            <w:vAlign w:val="center"/>
          </w:tcPr>
          <w:p w14:paraId="1E05F198">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5</w:t>
            </w:r>
          </w:p>
        </w:tc>
        <w:tc>
          <w:tcPr>
            <w:tcW w:w="2121" w:type="dxa"/>
            <w:noWrap w:val="0"/>
            <w:vAlign w:val="center"/>
          </w:tcPr>
          <w:p w14:paraId="0BE53A08">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 xml:space="preserve">因响应不及时导致事故扩大，每次扣2分              </w:t>
            </w:r>
          </w:p>
        </w:tc>
      </w:tr>
      <w:tr w14:paraId="5CF87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dxa"/>
            <w:vMerge w:val="continue"/>
            <w:noWrap w:val="0"/>
            <w:vAlign w:val="center"/>
          </w:tcPr>
          <w:p w14:paraId="2015BB6E">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p>
        </w:tc>
        <w:tc>
          <w:tcPr>
            <w:tcW w:w="1486" w:type="dxa"/>
            <w:noWrap w:val="0"/>
            <w:vAlign w:val="center"/>
          </w:tcPr>
          <w:p w14:paraId="0DEC3B85">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 xml:space="preserve">渗滤液回喷管理  </w:t>
            </w:r>
          </w:p>
        </w:tc>
        <w:tc>
          <w:tcPr>
            <w:tcW w:w="2772" w:type="dxa"/>
            <w:noWrap w:val="0"/>
            <w:vAlign w:val="center"/>
          </w:tcPr>
          <w:p w14:paraId="7E5C3B9A">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 xml:space="preserve">调节池内渗滤液达到安全阈值时，及时加强回喷工作 </w:t>
            </w:r>
          </w:p>
        </w:tc>
        <w:tc>
          <w:tcPr>
            <w:tcW w:w="823" w:type="dxa"/>
            <w:noWrap w:val="0"/>
            <w:vAlign w:val="center"/>
          </w:tcPr>
          <w:p w14:paraId="3173370F">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5</w:t>
            </w:r>
          </w:p>
        </w:tc>
        <w:tc>
          <w:tcPr>
            <w:tcW w:w="2121" w:type="dxa"/>
            <w:noWrap w:val="0"/>
            <w:vAlign w:val="center"/>
          </w:tcPr>
          <w:p w14:paraId="17A28250">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方正仿宋_GB2312" w:hAnsi="方正仿宋_GB2312" w:eastAsia="方正仿宋_GB2312" w:cs="方正仿宋_GB2312"/>
                <w:b w:val="0"/>
                <w:bCs w:val="0"/>
                <w:color w:val="auto"/>
                <w:kern w:val="2"/>
                <w:sz w:val="21"/>
                <w:szCs w:val="21"/>
                <w:lang w:val="en-US" w:eastAsia="zh-CN" w:bidi="ar-SA"/>
              </w:rPr>
            </w:pPr>
            <w:r>
              <w:rPr>
                <w:rFonts w:hint="eastAsia" w:ascii="方正仿宋_GB2312" w:hAnsi="方正仿宋_GB2312" w:eastAsia="方正仿宋_GB2312" w:cs="方正仿宋_GB2312"/>
                <w:b w:val="0"/>
                <w:bCs w:val="0"/>
                <w:color w:val="auto"/>
                <w:kern w:val="2"/>
                <w:sz w:val="21"/>
                <w:szCs w:val="21"/>
                <w:lang w:val="en-US" w:eastAsia="zh-CN" w:bidi="ar-SA"/>
              </w:rPr>
              <w:t xml:space="preserve">未按要求执行回喷工作，每次扣1分 </w:t>
            </w:r>
          </w:p>
        </w:tc>
      </w:tr>
    </w:tbl>
    <w:p w14:paraId="633BCC64">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outlineLvl w:val="9"/>
        <w:rPr>
          <w:rFonts w:hint="eastAsia" w:ascii="方正仿宋_GB2312" w:hAnsi="方正仿宋_GB2312" w:eastAsia="方正仿宋_GB2312" w:cs="方正仿宋_GB2312"/>
          <w:b/>
          <w:bCs/>
          <w:color w:val="auto"/>
          <w:kern w:val="2"/>
          <w:sz w:val="28"/>
          <w:szCs w:val="28"/>
          <w:lang w:val="en-US" w:eastAsia="zh-CN" w:bidi="ar-SA"/>
        </w:rPr>
      </w:pPr>
      <w:r>
        <w:rPr>
          <w:rFonts w:hint="eastAsia" w:ascii="宋体" w:hAnsi="宋体" w:eastAsia="宋体" w:cs="宋体"/>
          <w:b/>
          <w:bCs/>
          <w:color w:val="auto"/>
          <w:kern w:val="2"/>
          <w:sz w:val="28"/>
          <w:szCs w:val="28"/>
          <w:lang w:val="en-US" w:eastAsia="zh-CN" w:bidi="ar-SA"/>
        </w:rPr>
        <w:t>综合评分与奖惩机制：</w:t>
      </w:r>
    </w:p>
    <w:p w14:paraId="284C22FA">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1. 综合评分  </w:t>
      </w:r>
    </w:p>
    <w:p w14:paraId="02BE78B5">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每月考核满分为100分，根据实际表现扣分。  </w:t>
      </w:r>
    </w:p>
    <w:p w14:paraId="2DE9C03D">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得分≥90分：优秀，全额支付服务费；  </w:t>
      </w:r>
    </w:p>
    <w:p w14:paraId="5D64CA13">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80分≤得分＜90分：良好，支付90%服务费；  </w:t>
      </w:r>
    </w:p>
    <w:p w14:paraId="3311FE81">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70分≤得分＜80分：合格，支付80%服务费；  </w:t>
      </w:r>
    </w:p>
    <w:p w14:paraId="6EC6EEEC">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得分＜70分：不合格，支付70%服务费并要求限期整改。</w:t>
      </w:r>
    </w:p>
    <w:p w14:paraId="7E57DDC4">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2.奖励机制</w:t>
      </w:r>
    </w:p>
    <w:p w14:paraId="5DBC960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连续3个月得分≥95分，给予额外奖励，金额为当月服务费的5%。</w:t>
      </w:r>
    </w:p>
    <w:p w14:paraId="69F0F01D">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480" w:firstLineChars="200"/>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通过以上考核要求，确保渗滤液处理站运营管理的规范性、高效性和可持续性，同时保障服务质量与费用控制的合理性。</w:t>
      </w:r>
    </w:p>
    <w:p w14:paraId="244904FD">
      <w:pPr>
        <w:widowControl w:val="0"/>
        <w:numPr>
          <w:ilvl w:val="0"/>
          <w:numId w:val="0"/>
        </w:numPr>
        <w:spacing w:line="360" w:lineRule="auto"/>
        <w:jc w:val="both"/>
        <w:rPr>
          <w:rFonts w:hint="eastAsia" w:ascii="宋体" w:hAnsi="宋体" w:eastAsia="宋体" w:cs="宋体"/>
          <w:color w:val="FF0000"/>
          <w:highlight w:val="none"/>
          <w:lang w:val="en-US" w:eastAsia="zh-CN"/>
        </w:rPr>
        <w:sectPr>
          <w:pgSz w:w="11905" w:h="16838"/>
          <w:pgMar w:top="1247" w:right="1247" w:bottom="1247" w:left="1247" w:header="964" w:footer="850" w:gutter="0"/>
          <w:pgBorders>
            <w:top w:val="none" w:sz="0" w:space="0"/>
            <w:left w:val="none" w:sz="0" w:space="0"/>
            <w:bottom w:val="none" w:sz="0" w:space="0"/>
            <w:right w:val="none" w:sz="0" w:space="0"/>
          </w:pgBorders>
          <w:pgNumType w:fmt="decimal"/>
          <w:cols w:space="720" w:num="1"/>
          <w:docGrid w:linePitch="331" w:charSpace="0"/>
        </w:sectPr>
      </w:pPr>
    </w:p>
    <w:p w14:paraId="0492404A">
      <w:pPr>
        <w:numPr>
          <w:ilvl w:val="0"/>
          <w:numId w:val="1"/>
        </w:numPr>
        <w:spacing w:line="360" w:lineRule="auto"/>
        <w:jc w:val="center"/>
        <w:outlineLvl w:val="0"/>
        <w:rPr>
          <w:rFonts w:hint="eastAsia" w:ascii="宋体" w:hAnsi="宋体" w:eastAsia="宋体" w:cs="宋体"/>
          <w:b/>
          <w:color w:val="auto"/>
          <w:sz w:val="36"/>
          <w:szCs w:val="36"/>
          <w:highlight w:val="none"/>
        </w:rPr>
      </w:pPr>
      <w:r>
        <w:rPr>
          <w:rFonts w:hint="eastAsia" w:ascii="宋体" w:hAnsi="宋体" w:eastAsia="宋体" w:cs="宋体"/>
          <w:color w:val="auto"/>
          <w:highlight w:val="none"/>
        </w:rPr>
        <w:t xml:space="preserve">   </w:t>
      </w:r>
      <w:bookmarkStart w:id="796" w:name="_Toc10879"/>
      <w:r>
        <w:rPr>
          <w:rFonts w:hint="eastAsia" w:ascii="宋体" w:hAnsi="宋体" w:eastAsia="宋体" w:cs="宋体"/>
          <w:b/>
          <w:color w:val="auto"/>
          <w:sz w:val="36"/>
          <w:szCs w:val="36"/>
          <w:highlight w:val="none"/>
        </w:rPr>
        <w:t>拟签订的合同文本</w:t>
      </w:r>
      <w:bookmarkEnd w:id="793"/>
      <w:bookmarkEnd w:id="796"/>
    </w:p>
    <w:p w14:paraId="4F92CF0E">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bidi w:val="0"/>
        <w:spacing w:before="0" w:beforeAutospacing="0" w:after="0" w:afterAutospacing="0"/>
        <w:ind w:left="0" w:right="0" w:firstLine="0"/>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br w:type="page"/>
      </w:r>
    </w:p>
    <w:p w14:paraId="4F021EAC">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bidi w:val="0"/>
        <w:spacing w:before="0" w:beforeAutospacing="0" w:after="0" w:afterAutospacing="0"/>
        <w:ind w:left="0" w:right="0" w:firstLine="0"/>
        <w:jc w:val="center"/>
        <w:rPr>
          <w:rFonts w:hint="eastAsia" w:ascii="宋体" w:hAnsi="宋体" w:eastAsia="宋体" w:cs="宋体"/>
          <w:color w:val="auto"/>
          <w:sz w:val="22"/>
          <w:highlight w:val="none"/>
        </w:rPr>
      </w:pPr>
    </w:p>
    <w:p w14:paraId="2DADAE04">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bidi w:val="0"/>
        <w:spacing w:before="0" w:beforeAutospacing="0" w:after="0" w:afterAutospacing="0"/>
        <w:ind w:left="0" w:right="0" w:firstLine="0"/>
        <w:jc w:val="center"/>
        <w:rPr>
          <w:rFonts w:hint="eastAsia" w:ascii="宋体" w:hAnsi="宋体" w:eastAsia="宋体" w:cs="宋体"/>
          <w:i w:val="0"/>
          <w:iCs w:val="0"/>
          <w:caps w:val="0"/>
          <w:spacing w:val="0"/>
          <w:kern w:val="0"/>
          <w:sz w:val="18"/>
          <w:szCs w:val="18"/>
          <w:lang w:val="en-US" w:eastAsia="zh-CN" w:bidi="ar-SA"/>
        </w:rPr>
      </w:pPr>
      <w:r>
        <w:rPr>
          <w:rFonts w:hint="eastAsia" w:ascii="宋体" w:hAnsi="宋体" w:eastAsia="宋体" w:cs="宋体"/>
          <w:i w:val="0"/>
          <w:iCs w:val="0"/>
          <w:caps w:val="0"/>
          <w:spacing w:val="15"/>
          <w:kern w:val="0"/>
          <w:sz w:val="60"/>
          <w:szCs w:val="60"/>
          <w:shd w:val="clear" w:color="auto" w:fill="FFFFFF"/>
          <w:lang w:val="en-US" w:eastAsia="zh-CN" w:bidi="ar-SA"/>
        </w:rPr>
        <w:t>政府采购合同</w:t>
      </w:r>
    </w:p>
    <w:p w14:paraId="46F9AF9A">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bidi w:val="0"/>
        <w:spacing w:before="0" w:beforeAutospacing="0" w:after="0" w:afterAutospacing="0"/>
        <w:ind w:left="0" w:right="0" w:firstLine="0"/>
        <w:jc w:val="center"/>
        <w:rPr>
          <w:rFonts w:hint="eastAsia" w:ascii="宋体" w:hAnsi="宋体" w:eastAsia="宋体" w:cs="宋体"/>
          <w:i w:val="0"/>
          <w:iCs w:val="0"/>
          <w:caps w:val="0"/>
          <w:spacing w:val="0"/>
          <w:kern w:val="0"/>
          <w:sz w:val="18"/>
          <w:szCs w:val="18"/>
          <w:lang w:val="en-US" w:eastAsia="zh-CN" w:bidi="ar-SA"/>
        </w:rPr>
      </w:pPr>
    </w:p>
    <w:p w14:paraId="3EF20982">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bidi w:val="0"/>
        <w:spacing w:before="0" w:beforeAutospacing="0" w:after="0" w:afterAutospacing="0"/>
        <w:ind w:left="0" w:right="0" w:firstLine="0"/>
        <w:jc w:val="center"/>
        <w:rPr>
          <w:rFonts w:hint="eastAsia" w:ascii="宋体" w:hAnsi="宋体" w:eastAsia="宋体" w:cs="宋体"/>
          <w:i w:val="0"/>
          <w:iCs w:val="0"/>
          <w:caps w:val="0"/>
          <w:spacing w:val="0"/>
          <w:kern w:val="0"/>
          <w:sz w:val="18"/>
          <w:szCs w:val="18"/>
          <w:lang w:val="en-US" w:eastAsia="zh-CN" w:bidi="ar-SA"/>
        </w:rPr>
      </w:pPr>
      <w:r>
        <w:rPr>
          <w:rFonts w:hint="eastAsia" w:ascii="宋体" w:hAnsi="宋体" w:eastAsia="宋体" w:cs="宋体"/>
          <w:i w:val="0"/>
          <w:iCs w:val="0"/>
          <w:caps w:val="0"/>
          <w:spacing w:val="0"/>
          <w:kern w:val="0"/>
          <w:sz w:val="36"/>
          <w:szCs w:val="36"/>
          <w:shd w:val="clear" w:color="auto" w:fill="FFFFFF"/>
          <w:lang w:val="en-US" w:eastAsia="zh-CN" w:bidi="ar-SA"/>
        </w:rPr>
        <w:t>(电子交易项目适用）</w:t>
      </w:r>
    </w:p>
    <w:p w14:paraId="3B7EB3D1">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bidi w:val="0"/>
        <w:spacing w:before="0" w:beforeAutospacing="0" w:after="0" w:afterAutospacing="0"/>
        <w:ind w:left="0" w:right="0" w:firstLine="0"/>
        <w:jc w:val="left"/>
        <w:rPr>
          <w:rFonts w:hint="eastAsia" w:ascii="宋体" w:hAnsi="宋体" w:eastAsia="宋体" w:cs="宋体"/>
          <w:i w:val="0"/>
          <w:iCs w:val="0"/>
          <w:caps w:val="0"/>
          <w:spacing w:val="0"/>
          <w:kern w:val="0"/>
          <w:sz w:val="18"/>
          <w:szCs w:val="18"/>
          <w:lang w:val="en-US" w:eastAsia="zh-CN" w:bidi="ar-SA"/>
        </w:rPr>
      </w:pPr>
    </w:p>
    <w:p w14:paraId="0A7B8BB5">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bidi w:val="0"/>
        <w:spacing w:before="0" w:beforeAutospacing="0" w:after="0" w:afterAutospacing="0"/>
        <w:ind w:left="0" w:right="0" w:firstLine="0"/>
        <w:jc w:val="left"/>
        <w:rPr>
          <w:rFonts w:hint="eastAsia" w:ascii="宋体" w:hAnsi="宋体" w:eastAsia="宋体" w:cs="宋体"/>
          <w:i w:val="0"/>
          <w:iCs w:val="0"/>
          <w:caps w:val="0"/>
          <w:spacing w:val="0"/>
          <w:kern w:val="0"/>
          <w:sz w:val="18"/>
          <w:szCs w:val="18"/>
          <w:lang w:val="en-US" w:eastAsia="zh-CN" w:bidi="ar-SA"/>
        </w:rPr>
      </w:pPr>
    </w:p>
    <w:p w14:paraId="455580B6">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bidi w:val="0"/>
        <w:spacing w:before="0" w:beforeAutospacing="0" w:after="0" w:afterAutospacing="0"/>
        <w:ind w:left="0" w:right="0" w:firstLine="0"/>
        <w:jc w:val="left"/>
        <w:rPr>
          <w:rFonts w:hint="eastAsia" w:ascii="宋体" w:hAnsi="宋体" w:eastAsia="宋体" w:cs="宋体"/>
          <w:i w:val="0"/>
          <w:iCs w:val="0"/>
          <w:caps w:val="0"/>
          <w:spacing w:val="0"/>
          <w:kern w:val="0"/>
          <w:sz w:val="18"/>
          <w:szCs w:val="18"/>
          <w:lang w:val="en-US" w:eastAsia="zh-CN" w:bidi="ar-SA"/>
        </w:rPr>
      </w:pPr>
    </w:p>
    <w:p w14:paraId="6EACDC44">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bidi w:val="0"/>
        <w:spacing w:before="0" w:beforeAutospacing="0" w:after="0" w:afterAutospacing="0"/>
        <w:ind w:left="0" w:right="0" w:firstLine="0"/>
        <w:jc w:val="left"/>
        <w:rPr>
          <w:rFonts w:hint="eastAsia" w:ascii="宋体" w:hAnsi="宋体" w:eastAsia="宋体" w:cs="宋体"/>
          <w:i w:val="0"/>
          <w:iCs w:val="0"/>
          <w:caps w:val="0"/>
          <w:spacing w:val="0"/>
          <w:kern w:val="0"/>
          <w:sz w:val="18"/>
          <w:szCs w:val="18"/>
          <w:lang w:val="en-US" w:eastAsia="zh-CN" w:bidi="ar-SA"/>
        </w:rPr>
      </w:pPr>
    </w:p>
    <w:p w14:paraId="1B2033C5">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宋体" w:hAnsi="宋体" w:eastAsia="宋体" w:cs="宋体"/>
          <w:i w:val="0"/>
          <w:iCs w:val="0"/>
          <w:caps w:val="0"/>
          <w:spacing w:val="0"/>
          <w:kern w:val="0"/>
          <w:sz w:val="18"/>
          <w:szCs w:val="18"/>
          <w:lang w:val="en-US" w:eastAsia="zh-CN" w:bidi="ar-SA"/>
        </w:rPr>
      </w:pPr>
    </w:p>
    <w:p w14:paraId="7B352B6A">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bidi w:val="0"/>
        <w:spacing w:before="0" w:beforeAutospacing="0" w:after="0" w:afterAutospacing="0" w:line="480" w:lineRule="auto"/>
        <w:ind w:left="0" w:right="0" w:firstLine="0"/>
        <w:jc w:val="left"/>
        <w:rPr>
          <w:rFonts w:hint="eastAsia" w:ascii="宋体" w:hAnsi="宋体" w:eastAsia="宋体" w:cs="宋体"/>
          <w:i w:val="0"/>
          <w:iCs w:val="0"/>
          <w:caps w:val="0"/>
          <w:spacing w:val="0"/>
          <w:kern w:val="0"/>
          <w:sz w:val="36"/>
          <w:szCs w:val="36"/>
          <w:shd w:val="clear" w:color="auto" w:fill="FFFFFF"/>
          <w:lang w:val="en-US" w:eastAsia="zh-CN" w:bidi="ar-SA"/>
        </w:rPr>
      </w:pPr>
      <w:r>
        <w:rPr>
          <w:rFonts w:hint="eastAsia" w:ascii="宋体" w:hAnsi="宋体" w:eastAsia="宋体" w:cs="宋体"/>
          <w:i w:val="0"/>
          <w:iCs w:val="0"/>
          <w:caps w:val="0"/>
          <w:spacing w:val="0"/>
          <w:kern w:val="0"/>
          <w:sz w:val="36"/>
          <w:szCs w:val="36"/>
          <w:shd w:val="clear" w:color="auto" w:fill="FFFFFF"/>
          <w:lang w:val="en-US" w:eastAsia="zh-CN" w:bidi="ar-SA"/>
        </w:rPr>
        <w:t>项 目 名 称：</w:t>
      </w:r>
      <w:r>
        <w:rPr>
          <w:rFonts w:hint="eastAsia" w:ascii="宋体" w:hAnsi="宋体" w:eastAsia="宋体" w:cs="宋体"/>
          <w:i w:val="0"/>
          <w:iCs w:val="0"/>
          <w:caps w:val="0"/>
          <w:spacing w:val="0"/>
          <w:kern w:val="0"/>
          <w:sz w:val="36"/>
          <w:szCs w:val="36"/>
          <w:u w:val="single"/>
          <w:shd w:val="clear" w:color="auto" w:fill="FFFFFF"/>
          <w:lang w:val="en-US" w:eastAsia="zh-CN" w:bidi="ar-SA"/>
        </w:rPr>
        <w:t xml:space="preserve">                   </w:t>
      </w:r>
    </w:p>
    <w:p w14:paraId="73A10277">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bidi w:val="0"/>
        <w:spacing w:before="0" w:beforeAutospacing="0" w:after="0" w:afterAutospacing="0" w:line="480" w:lineRule="auto"/>
        <w:ind w:left="0" w:right="0" w:firstLine="0"/>
        <w:jc w:val="left"/>
        <w:rPr>
          <w:rFonts w:hint="eastAsia" w:ascii="宋体" w:hAnsi="宋体" w:eastAsia="宋体" w:cs="宋体"/>
          <w:i w:val="0"/>
          <w:iCs w:val="0"/>
          <w:caps w:val="0"/>
          <w:spacing w:val="0"/>
          <w:kern w:val="0"/>
          <w:sz w:val="36"/>
          <w:szCs w:val="36"/>
          <w:shd w:val="clear" w:color="auto" w:fill="FFFFFF"/>
          <w:lang w:val="en-US" w:eastAsia="zh-CN" w:bidi="ar-SA"/>
        </w:rPr>
      </w:pPr>
      <w:r>
        <w:rPr>
          <w:rFonts w:hint="eastAsia" w:ascii="宋体" w:hAnsi="宋体" w:eastAsia="宋体" w:cs="宋体"/>
          <w:i w:val="0"/>
          <w:iCs w:val="0"/>
          <w:caps w:val="0"/>
          <w:spacing w:val="0"/>
          <w:kern w:val="0"/>
          <w:sz w:val="36"/>
          <w:szCs w:val="36"/>
          <w:shd w:val="clear" w:color="auto" w:fill="FFFFFF"/>
          <w:lang w:val="en-US" w:eastAsia="zh-CN" w:bidi="ar-SA"/>
        </w:rPr>
        <w:t>合 同 编 号：</w:t>
      </w:r>
      <w:r>
        <w:rPr>
          <w:rFonts w:hint="eastAsia" w:ascii="宋体" w:hAnsi="宋体" w:eastAsia="宋体" w:cs="宋体"/>
          <w:i w:val="0"/>
          <w:iCs w:val="0"/>
          <w:caps w:val="0"/>
          <w:spacing w:val="0"/>
          <w:kern w:val="0"/>
          <w:sz w:val="36"/>
          <w:szCs w:val="36"/>
          <w:u w:val="single"/>
          <w:shd w:val="clear" w:color="auto" w:fill="FFFFFF"/>
          <w:lang w:val="en-US" w:eastAsia="zh-CN" w:bidi="ar-SA"/>
        </w:rPr>
        <w:t xml:space="preserve">                   </w:t>
      </w:r>
      <w:r>
        <w:rPr>
          <w:rFonts w:hint="eastAsia" w:ascii="宋体" w:hAnsi="宋体" w:eastAsia="宋体" w:cs="宋体"/>
          <w:i w:val="0"/>
          <w:iCs w:val="0"/>
          <w:caps w:val="0"/>
          <w:spacing w:val="0"/>
          <w:kern w:val="0"/>
          <w:sz w:val="36"/>
          <w:szCs w:val="36"/>
          <w:shd w:val="clear" w:color="auto" w:fill="FFFFFF"/>
          <w:lang w:val="en-US" w:eastAsia="zh-CN" w:bidi="ar-SA"/>
        </w:rPr>
        <w:t>（系统编号）</w:t>
      </w:r>
    </w:p>
    <w:p w14:paraId="702DF8EE">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bidi w:val="0"/>
        <w:spacing w:before="0" w:beforeAutospacing="0" w:after="0" w:afterAutospacing="0" w:line="480" w:lineRule="auto"/>
        <w:ind w:left="0" w:right="0" w:firstLine="0"/>
        <w:jc w:val="left"/>
        <w:rPr>
          <w:rFonts w:hint="eastAsia" w:ascii="宋体" w:hAnsi="宋体" w:eastAsia="宋体" w:cs="宋体"/>
          <w:i w:val="0"/>
          <w:iCs w:val="0"/>
          <w:caps w:val="0"/>
          <w:spacing w:val="0"/>
          <w:kern w:val="0"/>
          <w:sz w:val="36"/>
          <w:szCs w:val="36"/>
          <w:shd w:val="clear" w:color="auto" w:fill="FFFFFF"/>
          <w:lang w:val="en-US" w:eastAsia="zh-CN" w:bidi="ar-SA"/>
        </w:rPr>
      </w:pPr>
      <w:r>
        <w:rPr>
          <w:rFonts w:hint="eastAsia" w:ascii="宋体" w:hAnsi="宋体" w:eastAsia="宋体" w:cs="宋体"/>
          <w:i w:val="0"/>
          <w:iCs w:val="0"/>
          <w:caps w:val="0"/>
          <w:spacing w:val="0"/>
          <w:kern w:val="0"/>
          <w:sz w:val="36"/>
          <w:szCs w:val="36"/>
          <w:shd w:val="clear" w:color="auto" w:fill="FFFFFF"/>
          <w:lang w:val="en-US" w:eastAsia="zh-CN" w:bidi="ar-SA"/>
        </w:rPr>
        <w:tab/>
      </w:r>
      <w:r>
        <w:rPr>
          <w:rFonts w:hint="eastAsia" w:ascii="宋体" w:hAnsi="宋体" w:eastAsia="宋体" w:cs="宋体"/>
          <w:i w:val="0"/>
          <w:iCs w:val="0"/>
          <w:caps w:val="0"/>
          <w:spacing w:val="0"/>
          <w:kern w:val="0"/>
          <w:sz w:val="36"/>
          <w:szCs w:val="36"/>
          <w:shd w:val="clear" w:color="auto" w:fill="FFFFFF"/>
          <w:lang w:val="en-US" w:eastAsia="zh-CN" w:bidi="ar-SA"/>
        </w:rPr>
        <w:t xml:space="preserve">          （自编号，如有）</w:t>
      </w:r>
    </w:p>
    <w:p w14:paraId="19F6A536">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bidi w:val="0"/>
        <w:spacing w:before="0" w:beforeAutospacing="0" w:after="0" w:afterAutospacing="0" w:line="480" w:lineRule="auto"/>
        <w:ind w:left="0" w:right="0" w:firstLine="0"/>
        <w:jc w:val="left"/>
        <w:rPr>
          <w:rFonts w:hint="eastAsia" w:ascii="宋体" w:hAnsi="宋体" w:eastAsia="宋体" w:cs="宋体"/>
          <w:i w:val="0"/>
          <w:iCs w:val="0"/>
          <w:caps w:val="0"/>
          <w:spacing w:val="0"/>
          <w:kern w:val="0"/>
          <w:sz w:val="36"/>
          <w:szCs w:val="36"/>
          <w:shd w:val="clear" w:color="auto" w:fill="FFFFFF"/>
          <w:lang w:val="en-US" w:eastAsia="zh-CN" w:bidi="ar-SA"/>
        </w:rPr>
      </w:pPr>
      <w:r>
        <w:rPr>
          <w:rFonts w:hint="eastAsia" w:ascii="宋体" w:hAnsi="宋体" w:eastAsia="宋体" w:cs="宋体"/>
          <w:i w:val="0"/>
          <w:iCs w:val="0"/>
          <w:caps w:val="0"/>
          <w:spacing w:val="0"/>
          <w:kern w:val="0"/>
          <w:sz w:val="36"/>
          <w:szCs w:val="36"/>
          <w:shd w:val="clear" w:color="auto" w:fill="FFFFFF"/>
          <w:lang w:val="en-US" w:eastAsia="zh-CN" w:bidi="ar-SA"/>
        </w:rPr>
        <w:t>甲      方：</w:t>
      </w:r>
      <w:r>
        <w:rPr>
          <w:rFonts w:hint="eastAsia" w:ascii="宋体" w:hAnsi="宋体" w:eastAsia="宋体" w:cs="宋体"/>
          <w:i w:val="0"/>
          <w:iCs w:val="0"/>
          <w:caps w:val="0"/>
          <w:spacing w:val="0"/>
          <w:kern w:val="0"/>
          <w:sz w:val="36"/>
          <w:szCs w:val="36"/>
          <w:u w:val="single"/>
          <w:shd w:val="clear" w:color="auto" w:fill="FFFFFF"/>
          <w:lang w:val="en-US" w:eastAsia="zh-CN" w:bidi="ar-SA"/>
        </w:rPr>
        <w:t xml:space="preserve">                   </w:t>
      </w:r>
    </w:p>
    <w:p w14:paraId="35AD805B">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bidi w:val="0"/>
        <w:spacing w:before="0" w:beforeAutospacing="0" w:after="0" w:afterAutospacing="0" w:line="480" w:lineRule="auto"/>
        <w:ind w:left="0" w:right="0" w:firstLine="0"/>
        <w:jc w:val="left"/>
        <w:rPr>
          <w:rFonts w:hint="eastAsia" w:ascii="宋体" w:hAnsi="宋体" w:eastAsia="宋体" w:cs="宋体"/>
          <w:i w:val="0"/>
          <w:iCs w:val="0"/>
          <w:caps w:val="0"/>
          <w:spacing w:val="0"/>
          <w:kern w:val="0"/>
          <w:sz w:val="36"/>
          <w:szCs w:val="36"/>
          <w:shd w:val="clear" w:color="auto" w:fill="FFFFFF"/>
          <w:lang w:val="en-US" w:eastAsia="zh-CN" w:bidi="ar-SA"/>
        </w:rPr>
      </w:pPr>
      <w:r>
        <w:rPr>
          <w:rFonts w:hint="eastAsia" w:ascii="宋体" w:hAnsi="宋体" w:eastAsia="宋体" w:cs="宋体"/>
          <w:i w:val="0"/>
          <w:iCs w:val="0"/>
          <w:caps w:val="0"/>
          <w:spacing w:val="0"/>
          <w:kern w:val="0"/>
          <w:sz w:val="36"/>
          <w:szCs w:val="36"/>
          <w:shd w:val="clear" w:color="auto" w:fill="FFFFFF"/>
          <w:lang w:val="en-US" w:eastAsia="zh-CN" w:bidi="ar-SA"/>
        </w:rPr>
        <w:t>乙      方：</w:t>
      </w:r>
      <w:r>
        <w:rPr>
          <w:rFonts w:hint="eastAsia" w:ascii="宋体" w:hAnsi="宋体" w:eastAsia="宋体" w:cs="宋体"/>
          <w:i w:val="0"/>
          <w:iCs w:val="0"/>
          <w:caps w:val="0"/>
          <w:spacing w:val="0"/>
          <w:kern w:val="0"/>
          <w:sz w:val="36"/>
          <w:szCs w:val="36"/>
          <w:u w:val="single"/>
          <w:shd w:val="clear" w:color="auto" w:fill="FFFFFF"/>
          <w:lang w:val="en-US" w:eastAsia="zh-CN" w:bidi="ar-SA"/>
        </w:rPr>
        <w:t xml:space="preserve">                   </w:t>
      </w:r>
    </w:p>
    <w:p w14:paraId="553EEADC">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宋体" w:hAnsi="宋体" w:eastAsia="宋体" w:cs="宋体"/>
          <w:i w:val="0"/>
          <w:iCs w:val="0"/>
          <w:caps w:val="0"/>
          <w:spacing w:val="0"/>
          <w:kern w:val="0"/>
          <w:sz w:val="21"/>
          <w:szCs w:val="21"/>
          <w:lang w:val="en-US" w:eastAsia="zh-CN" w:bidi="ar-SA"/>
        </w:rPr>
      </w:pPr>
    </w:p>
    <w:p w14:paraId="056DEBF0">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宋体" w:hAnsi="宋体" w:eastAsia="宋体" w:cs="宋体"/>
          <w:i w:val="0"/>
          <w:iCs w:val="0"/>
          <w:caps w:val="0"/>
          <w:spacing w:val="0"/>
          <w:kern w:val="0"/>
          <w:sz w:val="21"/>
          <w:szCs w:val="21"/>
          <w:lang w:val="en-US" w:eastAsia="zh-CN" w:bidi="ar-SA"/>
        </w:rPr>
      </w:pPr>
    </w:p>
    <w:p w14:paraId="4DF2BA4F">
      <w:pPr>
        <w:jc w:val="center"/>
        <w:rPr>
          <w:rFonts w:hint="eastAsia" w:ascii="宋体" w:hAnsi="宋体" w:eastAsia="宋体" w:cs="宋体"/>
          <w:sz w:val="32"/>
          <w:szCs w:val="32"/>
          <w:highlight w:val="none"/>
        </w:rPr>
      </w:pPr>
    </w:p>
    <w:p w14:paraId="0D071319">
      <w:pPr>
        <w:jc w:val="left"/>
        <w:rPr>
          <w:rFonts w:hint="eastAsia" w:ascii="宋体" w:hAnsi="宋体" w:eastAsia="宋体" w:cs="宋体"/>
          <w:sz w:val="24"/>
          <w:szCs w:val="20"/>
          <w:highlight w:val="none"/>
        </w:rPr>
      </w:pPr>
    </w:p>
    <w:p w14:paraId="2B7D5571">
      <w:pPr>
        <w:ind w:firstLine="743" w:firstLineChars="354"/>
        <w:jc w:val="center"/>
        <w:rPr>
          <w:rFonts w:hint="eastAsia" w:ascii="宋体" w:hAnsi="宋体" w:eastAsia="宋体" w:cs="宋体"/>
          <w:color w:val="auto"/>
          <w:highlight w:val="none"/>
        </w:rPr>
      </w:pPr>
    </w:p>
    <w:p w14:paraId="715CCD4D">
      <w:pPr>
        <w:ind w:firstLine="743" w:firstLineChars="354"/>
        <w:jc w:val="center"/>
        <w:rPr>
          <w:rFonts w:hint="eastAsia" w:ascii="宋体" w:hAnsi="宋体" w:eastAsia="宋体" w:cs="宋体"/>
          <w:color w:val="auto"/>
          <w:highlight w:val="none"/>
        </w:rPr>
      </w:pPr>
    </w:p>
    <w:p w14:paraId="0CDE1D62">
      <w:pPr>
        <w:ind w:firstLine="743" w:firstLineChars="354"/>
        <w:jc w:val="center"/>
        <w:rPr>
          <w:rFonts w:hint="eastAsia" w:ascii="宋体" w:hAnsi="宋体" w:eastAsia="宋体" w:cs="宋体"/>
          <w:color w:val="auto"/>
          <w:highlight w:val="none"/>
        </w:rPr>
      </w:pPr>
    </w:p>
    <w:p w14:paraId="0F23C287">
      <w:pPr>
        <w:ind w:firstLine="743" w:firstLineChars="354"/>
        <w:jc w:val="center"/>
        <w:rPr>
          <w:rFonts w:hint="eastAsia" w:ascii="宋体" w:hAnsi="宋体" w:eastAsia="宋体" w:cs="宋体"/>
          <w:color w:val="auto"/>
          <w:highlight w:val="none"/>
        </w:rPr>
      </w:pPr>
    </w:p>
    <w:p w14:paraId="25DB909D">
      <w:pPr>
        <w:ind w:firstLine="743" w:firstLineChars="354"/>
        <w:jc w:val="center"/>
        <w:rPr>
          <w:rFonts w:hint="eastAsia" w:ascii="宋体" w:hAnsi="宋体" w:eastAsia="宋体" w:cs="宋体"/>
          <w:color w:val="auto"/>
          <w:highlight w:val="none"/>
        </w:rPr>
      </w:pPr>
    </w:p>
    <w:p w14:paraId="16CF8CFC">
      <w:pPr>
        <w:ind w:firstLine="743" w:firstLineChars="354"/>
        <w:jc w:val="center"/>
        <w:rPr>
          <w:rFonts w:hint="eastAsia" w:ascii="宋体" w:hAnsi="宋体" w:eastAsia="宋体" w:cs="宋体"/>
          <w:color w:val="auto"/>
          <w:highlight w:val="none"/>
        </w:rPr>
      </w:pPr>
    </w:p>
    <w:p w14:paraId="284733A5">
      <w:pPr>
        <w:ind w:firstLine="743" w:firstLineChars="354"/>
        <w:jc w:val="center"/>
        <w:rPr>
          <w:rFonts w:hint="eastAsia" w:ascii="宋体" w:hAnsi="宋体" w:eastAsia="宋体" w:cs="宋体"/>
          <w:color w:val="auto"/>
          <w:highlight w:val="none"/>
        </w:rPr>
      </w:pPr>
    </w:p>
    <w:p w14:paraId="48ACFB6E">
      <w:pPr>
        <w:ind w:firstLine="743" w:firstLineChars="354"/>
        <w:jc w:val="center"/>
        <w:rPr>
          <w:rFonts w:hint="eastAsia" w:ascii="宋体" w:hAnsi="宋体" w:eastAsia="宋体" w:cs="宋体"/>
          <w:color w:val="auto"/>
          <w:highlight w:val="none"/>
        </w:rPr>
      </w:pPr>
    </w:p>
    <w:p w14:paraId="265B9A3A">
      <w:pPr>
        <w:ind w:firstLine="743" w:firstLineChars="354"/>
        <w:jc w:val="center"/>
        <w:rPr>
          <w:rFonts w:hint="eastAsia" w:ascii="宋体" w:hAnsi="宋体" w:eastAsia="宋体" w:cs="宋体"/>
          <w:color w:val="auto"/>
          <w:highlight w:val="none"/>
        </w:rPr>
      </w:pPr>
    </w:p>
    <w:p w14:paraId="75E411A5">
      <w:pPr>
        <w:ind w:firstLine="743" w:firstLineChars="354"/>
        <w:jc w:val="center"/>
        <w:rPr>
          <w:rFonts w:hint="eastAsia" w:ascii="宋体" w:hAnsi="宋体" w:eastAsia="宋体" w:cs="宋体"/>
          <w:color w:val="auto"/>
          <w:highlight w:val="none"/>
        </w:rPr>
      </w:pPr>
    </w:p>
    <w:p w14:paraId="3677C7B0">
      <w:pPr>
        <w:ind w:firstLine="743" w:firstLineChars="354"/>
        <w:jc w:val="center"/>
        <w:rPr>
          <w:rFonts w:hint="eastAsia" w:ascii="宋体" w:hAnsi="宋体" w:eastAsia="宋体" w:cs="宋体"/>
          <w:color w:val="auto"/>
          <w:highlight w:val="none"/>
        </w:rPr>
      </w:pPr>
    </w:p>
    <w:p w14:paraId="2C10FB21">
      <w:pPr>
        <w:ind w:firstLine="743" w:firstLineChars="354"/>
        <w:jc w:val="center"/>
        <w:rPr>
          <w:rFonts w:hint="eastAsia" w:ascii="宋体" w:hAnsi="宋体" w:eastAsia="宋体" w:cs="宋体"/>
          <w:color w:val="auto"/>
          <w:highlight w:val="none"/>
        </w:rPr>
      </w:pPr>
    </w:p>
    <w:p w14:paraId="1970DF79">
      <w:pPr>
        <w:ind w:firstLine="743" w:firstLineChars="354"/>
        <w:jc w:val="center"/>
        <w:rPr>
          <w:rFonts w:hint="eastAsia" w:ascii="宋体" w:hAnsi="宋体" w:eastAsia="宋体" w:cs="宋体"/>
          <w:color w:val="auto"/>
          <w:highlight w:val="none"/>
        </w:rPr>
      </w:pPr>
    </w:p>
    <w:p w14:paraId="03D65E4D">
      <w:pPr>
        <w:ind w:firstLine="743" w:firstLineChars="354"/>
        <w:jc w:val="center"/>
        <w:rPr>
          <w:rFonts w:hint="eastAsia" w:ascii="宋体" w:hAnsi="宋体" w:eastAsia="宋体" w:cs="宋体"/>
          <w:color w:val="auto"/>
          <w:highlight w:val="none"/>
        </w:rPr>
      </w:pPr>
    </w:p>
    <w:p w14:paraId="437C49E8">
      <w:pPr>
        <w:ind w:firstLine="743" w:firstLineChars="354"/>
        <w:jc w:val="center"/>
        <w:rPr>
          <w:rFonts w:hint="eastAsia" w:ascii="宋体" w:hAnsi="宋体" w:eastAsia="宋体" w:cs="宋体"/>
          <w:color w:val="auto"/>
          <w:highlight w:val="none"/>
        </w:rPr>
      </w:pPr>
    </w:p>
    <w:p w14:paraId="7595EE95">
      <w:pPr>
        <w:ind w:firstLine="743" w:firstLineChars="354"/>
        <w:jc w:val="center"/>
        <w:rPr>
          <w:rFonts w:hint="eastAsia" w:ascii="宋体" w:hAnsi="宋体" w:eastAsia="宋体" w:cs="宋体"/>
          <w:color w:val="auto"/>
          <w:highlight w:val="none"/>
        </w:rPr>
      </w:pPr>
    </w:p>
    <w:p w14:paraId="204A5515">
      <w:pPr>
        <w:ind w:firstLine="743" w:firstLineChars="354"/>
        <w:jc w:val="center"/>
        <w:rPr>
          <w:rFonts w:hint="eastAsia" w:ascii="宋体" w:hAnsi="宋体" w:eastAsia="宋体" w:cs="宋体"/>
          <w:color w:val="auto"/>
          <w:highlight w:val="none"/>
        </w:rPr>
      </w:pPr>
    </w:p>
    <w:p w14:paraId="4B4180C8">
      <w:pPr>
        <w:ind w:firstLine="743" w:firstLineChars="354"/>
        <w:jc w:val="center"/>
        <w:rPr>
          <w:rFonts w:hint="eastAsia" w:ascii="宋体" w:hAnsi="宋体" w:eastAsia="宋体" w:cs="宋体"/>
          <w:color w:val="auto"/>
          <w:highlight w:val="none"/>
        </w:rPr>
      </w:pPr>
    </w:p>
    <w:p w14:paraId="276C7E7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Arial" w:hAnsi="Arial" w:eastAsia="宋体" w:cs="Arial"/>
          <w:b/>
          <w:bCs/>
          <w:snapToGrid w:val="0"/>
          <w:color w:val="000000"/>
          <w:kern w:val="0"/>
          <w:sz w:val="28"/>
          <w:szCs w:val="28"/>
          <w:lang w:val="en-US" w:eastAsia="zh-CN"/>
        </w:rPr>
      </w:pPr>
      <w:r>
        <w:rPr>
          <w:rFonts w:hint="eastAsia" w:ascii="仿宋" w:hAnsi="仿宋" w:eastAsia="仿宋" w:cs="仿宋"/>
          <w:b/>
          <w:bCs/>
          <w:snapToGrid w:val="0"/>
          <w:color w:val="000000"/>
          <w:kern w:val="0"/>
          <w:sz w:val="36"/>
          <w:szCs w:val="36"/>
          <w:u w:val="none"/>
          <w:lang w:val="en-US" w:eastAsia="zh-CN"/>
        </w:rPr>
        <w:t>剑川县生活垃圾填埋场渗滤液处理站市场化运营项目</w:t>
      </w:r>
    </w:p>
    <w:p w14:paraId="25C97FB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Arial" w:hAnsi="Arial" w:eastAsia="宋体" w:cs="Arial"/>
          <w:b/>
          <w:bCs/>
          <w:snapToGrid w:val="0"/>
          <w:color w:val="000000"/>
          <w:kern w:val="0"/>
          <w:sz w:val="28"/>
          <w:szCs w:val="28"/>
          <w:lang w:val="en-US" w:eastAsia="zh-CN"/>
        </w:rPr>
      </w:pPr>
    </w:p>
    <w:p w14:paraId="04CB1BCB">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Arial" w:hAnsi="Arial" w:eastAsia="宋体" w:cs="Arial"/>
          <w:b/>
          <w:bCs/>
          <w:snapToGrid w:val="0"/>
          <w:color w:val="000000"/>
          <w:kern w:val="0"/>
          <w:sz w:val="28"/>
          <w:szCs w:val="28"/>
          <w:lang w:val="en-US" w:eastAsia="zh-CN"/>
        </w:rPr>
      </w:pPr>
      <w:r>
        <w:rPr>
          <w:rFonts w:hint="eastAsia" w:ascii="Arial" w:hAnsi="Arial" w:eastAsia="宋体" w:cs="Arial"/>
          <w:b/>
          <w:bCs/>
          <w:snapToGrid w:val="0"/>
          <w:color w:val="000000"/>
          <w:kern w:val="0"/>
          <w:sz w:val="28"/>
          <w:szCs w:val="28"/>
          <w:lang w:val="en-US" w:eastAsia="zh-CN"/>
        </w:rPr>
        <w:t>甲方（</w:t>
      </w:r>
      <w:r>
        <w:rPr>
          <w:rFonts w:hint="eastAsia" w:ascii="Arial" w:hAnsi="Arial" w:eastAsia="Arial" w:cs="Arial"/>
          <w:b/>
          <w:bCs/>
          <w:snapToGrid w:val="0"/>
          <w:color w:val="000000"/>
          <w:kern w:val="0"/>
          <w:sz w:val="28"/>
          <w:szCs w:val="28"/>
          <w:lang w:val="en-US" w:eastAsia="zh-CN"/>
        </w:rPr>
        <w:t>采购人</w:t>
      </w:r>
      <w:r>
        <w:rPr>
          <w:rFonts w:hint="eastAsia" w:ascii="Arial" w:hAnsi="Arial" w:eastAsia="宋体" w:cs="Arial"/>
          <w:b/>
          <w:bCs/>
          <w:snapToGrid w:val="0"/>
          <w:color w:val="000000"/>
          <w:kern w:val="0"/>
          <w:sz w:val="28"/>
          <w:szCs w:val="28"/>
          <w:lang w:val="en-US" w:eastAsia="zh-CN"/>
        </w:rPr>
        <w:t>）：</w:t>
      </w:r>
      <w:r>
        <w:rPr>
          <w:rFonts w:hint="eastAsia" w:ascii="Arial" w:hAnsi="Arial" w:eastAsia="Arial" w:cs="Arial"/>
          <w:b/>
          <w:bCs/>
          <w:snapToGrid w:val="0"/>
          <w:color w:val="000000"/>
          <w:kern w:val="0"/>
          <w:sz w:val="28"/>
          <w:szCs w:val="28"/>
          <w:u w:val="single"/>
          <w:lang w:val="en-US" w:eastAsia="zh-CN"/>
        </w:rPr>
        <w:t xml:space="preserve">                            </w:t>
      </w:r>
      <w:r>
        <w:rPr>
          <w:rFonts w:hint="eastAsia" w:ascii="Arial" w:hAnsi="Arial" w:eastAsia="宋体" w:cs="Arial"/>
          <w:b/>
          <w:bCs/>
          <w:snapToGrid w:val="0"/>
          <w:color w:val="000000"/>
          <w:kern w:val="0"/>
          <w:sz w:val="28"/>
          <w:szCs w:val="28"/>
          <w:lang w:val="en-US" w:eastAsia="zh-CN"/>
        </w:rPr>
        <w:t xml:space="preserve">          </w:t>
      </w:r>
    </w:p>
    <w:p w14:paraId="73BC6F80">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Arial" w:hAnsi="Arial" w:eastAsia="宋体" w:cs="Arial"/>
          <w:b/>
          <w:bCs/>
          <w:snapToGrid w:val="0"/>
          <w:color w:val="000000"/>
          <w:kern w:val="0"/>
          <w:sz w:val="28"/>
          <w:szCs w:val="28"/>
          <w:lang w:val="en-US" w:eastAsia="zh-CN"/>
        </w:rPr>
      </w:pPr>
      <w:r>
        <w:rPr>
          <w:rFonts w:hint="eastAsia" w:ascii="Arial" w:hAnsi="Arial" w:eastAsia="宋体" w:cs="Arial"/>
          <w:b/>
          <w:bCs/>
          <w:snapToGrid w:val="0"/>
          <w:color w:val="000000"/>
          <w:kern w:val="0"/>
          <w:sz w:val="28"/>
          <w:szCs w:val="28"/>
          <w:lang w:val="en-US" w:eastAsia="zh-CN"/>
        </w:rPr>
        <w:t xml:space="preserve">                                                        </w:t>
      </w:r>
    </w:p>
    <w:p w14:paraId="5E7873D6">
      <w:pPr>
        <w:keepNext w:val="0"/>
        <w:keepLines w:val="0"/>
        <w:pageBreakBefore w:val="0"/>
        <w:widowControl w:val="0"/>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snapToGrid w:val="0"/>
          <w:color w:val="000000"/>
          <w:kern w:val="0"/>
          <w:sz w:val="28"/>
          <w:szCs w:val="28"/>
          <w:lang w:val="en-US" w:eastAsia="zh-CN"/>
        </w:rPr>
      </w:pPr>
      <w:r>
        <w:rPr>
          <w:rFonts w:hint="eastAsia" w:ascii="Arial" w:hAnsi="Arial" w:eastAsia="宋体" w:cs="Arial"/>
          <w:b/>
          <w:bCs/>
          <w:snapToGrid w:val="0"/>
          <w:color w:val="000000"/>
          <w:kern w:val="0"/>
          <w:sz w:val="28"/>
          <w:szCs w:val="28"/>
          <w:lang w:val="en-US" w:eastAsia="zh-CN"/>
        </w:rPr>
        <w:t>乙方（</w:t>
      </w:r>
      <w:r>
        <w:rPr>
          <w:rFonts w:hint="eastAsia" w:ascii="Arial" w:hAnsi="Arial" w:eastAsia="Arial" w:cs="Arial"/>
          <w:b/>
          <w:bCs/>
          <w:snapToGrid w:val="0"/>
          <w:color w:val="000000"/>
          <w:kern w:val="0"/>
          <w:sz w:val="28"/>
          <w:szCs w:val="28"/>
          <w:lang w:val="en-US" w:eastAsia="zh-CN"/>
        </w:rPr>
        <w:t>承包人</w:t>
      </w:r>
      <w:r>
        <w:rPr>
          <w:rFonts w:hint="eastAsia" w:ascii="Arial" w:hAnsi="Arial" w:eastAsia="宋体" w:cs="Arial"/>
          <w:b/>
          <w:bCs/>
          <w:snapToGrid w:val="0"/>
          <w:color w:val="000000"/>
          <w:kern w:val="0"/>
          <w:sz w:val="28"/>
          <w:szCs w:val="28"/>
          <w:lang w:val="en-US" w:eastAsia="zh-CN"/>
        </w:rPr>
        <w:t>）：</w:t>
      </w:r>
      <w:r>
        <w:rPr>
          <w:rFonts w:hint="eastAsia" w:ascii="Arial" w:hAnsi="Arial" w:eastAsia="Arial" w:cs="Arial"/>
          <w:b/>
          <w:bCs/>
          <w:snapToGrid w:val="0"/>
          <w:color w:val="000000"/>
          <w:kern w:val="0"/>
          <w:sz w:val="28"/>
          <w:szCs w:val="28"/>
          <w:lang w:val="en-US" w:eastAsia="zh-CN"/>
        </w:rPr>
        <w:t xml:space="preserve"> </w:t>
      </w:r>
      <w:r>
        <w:rPr>
          <w:rFonts w:hint="eastAsia" w:ascii="Arial" w:hAnsi="Arial" w:eastAsia="Arial" w:cs="Arial"/>
          <w:b/>
          <w:bCs/>
          <w:snapToGrid w:val="0"/>
          <w:color w:val="000000"/>
          <w:kern w:val="0"/>
          <w:sz w:val="28"/>
          <w:szCs w:val="28"/>
          <w:u w:val="single"/>
          <w:lang w:val="en-US" w:eastAsia="zh-CN"/>
        </w:rPr>
        <w:t xml:space="preserve">                              </w:t>
      </w:r>
      <w:r>
        <w:rPr>
          <w:rFonts w:hint="eastAsia" w:ascii="Arial" w:hAnsi="Arial" w:eastAsia="宋体" w:cs="Arial"/>
          <w:b/>
          <w:bCs/>
          <w:snapToGrid w:val="0"/>
          <w:color w:val="000000"/>
          <w:kern w:val="0"/>
          <w:sz w:val="28"/>
          <w:szCs w:val="28"/>
          <w:u w:val="single"/>
          <w:lang w:val="en-US" w:eastAsia="zh-CN"/>
        </w:rPr>
        <w:t xml:space="preserve"> </w:t>
      </w:r>
      <w:r>
        <w:rPr>
          <w:rFonts w:hint="eastAsia" w:ascii="Arial" w:hAnsi="Arial" w:eastAsia="宋体" w:cs="Arial"/>
          <w:snapToGrid w:val="0"/>
          <w:color w:val="000000"/>
          <w:kern w:val="0"/>
          <w:sz w:val="28"/>
          <w:szCs w:val="28"/>
          <w:u w:val="single"/>
          <w:lang w:val="en-US" w:eastAsia="zh-CN"/>
        </w:rPr>
        <w:t xml:space="preserve"> </w:t>
      </w:r>
    </w:p>
    <w:p w14:paraId="642207A4">
      <w:pPr>
        <w:keepNext w:val="0"/>
        <w:keepLines w:val="0"/>
        <w:pageBreakBefore w:val="0"/>
        <w:widowControl w:val="0"/>
        <w:kinsoku/>
        <w:wordWrap/>
        <w:overflowPunct/>
        <w:topLinePunct w:val="0"/>
        <w:autoSpaceDE/>
        <w:autoSpaceDN/>
        <w:bidi w:val="0"/>
        <w:adjustRightInd/>
        <w:snapToGrid/>
        <w:spacing w:line="460" w:lineRule="exact"/>
        <w:ind w:firstLine="560" w:firstLineChars="200"/>
        <w:jc w:val="left"/>
        <w:textAlignment w:val="auto"/>
        <w:rPr>
          <w:rFonts w:hint="eastAsia" w:ascii="仿宋" w:hAnsi="仿宋" w:eastAsia="仿宋" w:cs="仿宋"/>
          <w:snapToGrid w:val="0"/>
          <w:color w:val="000000"/>
          <w:kern w:val="0"/>
          <w:sz w:val="28"/>
          <w:szCs w:val="28"/>
          <w:lang w:val="en-US" w:eastAsia="zh-CN"/>
        </w:rPr>
      </w:pPr>
      <w:r>
        <w:rPr>
          <w:rFonts w:hint="eastAsia" w:ascii="仿宋" w:hAnsi="仿宋" w:eastAsia="仿宋" w:cs="仿宋"/>
          <w:snapToGrid w:val="0"/>
          <w:color w:val="000000"/>
          <w:kern w:val="0"/>
          <w:sz w:val="28"/>
          <w:szCs w:val="28"/>
          <w:lang w:val="en-US" w:eastAsia="zh-CN"/>
        </w:rPr>
        <w:t>通过政府采购公开招标，由乙方中标。根据《中华人民共和国合同法》及相关法律、法规，遵循平等、自愿、公平和诚信的原则，甲、乙双方就剑川县生活垃圾处理厂渗滤液处理工程运营维护项目运营服务事宜达成协议如下:</w:t>
      </w:r>
    </w:p>
    <w:p w14:paraId="45C00D66">
      <w:pPr>
        <w:keepNext w:val="0"/>
        <w:keepLines w:val="0"/>
        <w:pageBreakBefore w:val="0"/>
        <w:widowControl w:val="0"/>
        <w:numPr>
          <w:ilvl w:val="0"/>
          <w:numId w:val="8"/>
        </w:numPr>
        <w:kinsoku/>
        <w:wordWrap/>
        <w:overflowPunct/>
        <w:topLinePunct w:val="0"/>
        <w:autoSpaceDE/>
        <w:autoSpaceDN/>
        <w:bidi w:val="0"/>
        <w:adjustRightInd/>
        <w:snapToGrid/>
        <w:spacing w:line="460" w:lineRule="exact"/>
        <w:jc w:val="left"/>
        <w:textAlignment w:val="auto"/>
        <w:outlineLvl w:val="9"/>
        <w:rPr>
          <w:rFonts w:hint="eastAsia" w:ascii="仿宋" w:hAnsi="仿宋" w:eastAsia="仿宋" w:cs="仿宋"/>
          <w:b/>
          <w:bCs/>
          <w:snapToGrid w:val="0"/>
          <w:color w:val="000000"/>
          <w:kern w:val="2"/>
          <w:sz w:val="28"/>
          <w:szCs w:val="28"/>
          <w:lang w:val="en-US" w:eastAsia="zh-CN" w:bidi="ar-SA"/>
        </w:rPr>
      </w:pPr>
      <w:r>
        <w:rPr>
          <w:rFonts w:hint="eastAsia" w:ascii="仿宋" w:hAnsi="仿宋" w:eastAsia="仿宋" w:cs="仿宋"/>
          <w:b/>
          <w:bCs/>
          <w:snapToGrid w:val="0"/>
          <w:color w:val="000000"/>
          <w:kern w:val="2"/>
          <w:sz w:val="28"/>
          <w:szCs w:val="28"/>
          <w:lang w:val="en-US" w:eastAsia="zh-CN" w:bidi="ar-SA"/>
        </w:rPr>
        <w:t>项目内容</w:t>
      </w:r>
    </w:p>
    <w:p w14:paraId="1F0FF459">
      <w:pPr>
        <w:keepNext w:val="0"/>
        <w:keepLines w:val="0"/>
        <w:pageBreakBefore w:val="0"/>
        <w:widowControl w:val="0"/>
        <w:numPr>
          <w:ilvl w:val="0"/>
          <w:numId w:val="9"/>
        </w:numPr>
        <w:kinsoku/>
        <w:wordWrap/>
        <w:overflowPunct/>
        <w:topLinePunct w:val="0"/>
        <w:autoSpaceDE/>
        <w:autoSpaceDN/>
        <w:bidi w:val="0"/>
        <w:adjustRightInd/>
        <w:snapToGrid/>
        <w:spacing w:line="460" w:lineRule="exact"/>
        <w:ind w:leftChars="0" w:firstLine="56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项目名称:</w:t>
      </w:r>
      <w:r>
        <w:rPr>
          <w:rFonts w:hint="eastAsia" w:ascii="仿宋" w:hAnsi="仿宋" w:eastAsia="仿宋" w:cs="仿宋"/>
          <w:snapToGrid w:val="0"/>
          <w:color w:val="000000"/>
          <w:kern w:val="2"/>
          <w:sz w:val="28"/>
          <w:szCs w:val="28"/>
          <w:u w:val="single"/>
          <w:lang w:val="en-US" w:eastAsia="zh-CN" w:bidi="ar-SA"/>
        </w:rPr>
        <w:t xml:space="preserve">                        </w:t>
      </w:r>
    </w:p>
    <w:p w14:paraId="2769638C">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jc w:val="left"/>
        <w:textAlignment w:val="auto"/>
        <w:rPr>
          <w:rFonts w:hint="default" w:ascii="仿宋" w:hAnsi="仿宋" w:eastAsia="仿宋" w:cs="仿宋"/>
          <w:b/>
          <w:bCs/>
          <w:snapToGrid w:val="0"/>
          <w:color w:val="000000"/>
          <w:kern w:val="0"/>
          <w:sz w:val="28"/>
          <w:szCs w:val="28"/>
          <w:u w:val="single"/>
          <w:lang w:val="en-US" w:eastAsia="zh-CN"/>
        </w:rPr>
      </w:pPr>
      <w:r>
        <w:rPr>
          <w:rFonts w:hint="eastAsia" w:ascii="仿宋" w:hAnsi="仿宋" w:eastAsia="仿宋" w:cs="仿宋"/>
          <w:snapToGrid w:val="0"/>
          <w:color w:val="000000"/>
          <w:kern w:val="2"/>
          <w:sz w:val="28"/>
          <w:szCs w:val="28"/>
          <w:lang w:val="en-US" w:eastAsia="zh-CN" w:bidi="ar-SA"/>
        </w:rPr>
        <w:t>2、项目地址:</w:t>
      </w:r>
      <w:r>
        <w:rPr>
          <w:rFonts w:hint="eastAsia" w:ascii="仿宋" w:hAnsi="仿宋" w:eastAsia="仿宋" w:cs="仿宋"/>
          <w:snapToGrid w:val="0"/>
          <w:color w:val="000000"/>
          <w:kern w:val="2"/>
          <w:sz w:val="28"/>
          <w:szCs w:val="28"/>
          <w:u w:val="single"/>
          <w:lang w:val="en-US" w:eastAsia="zh-CN" w:bidi="ar-SA"/>
        </w:rPr>
        <w:t xml:space="preserve">                        </w:t>
      </w:r>
    </w:p>
    <w:p w14:paraId="027B4198">
      <w:pPr>
        <w:keepNext w:val="0"/>
        <w:keepLines w:val="0"/>
        <w:pageBreakBefore w:val="0"/>
        <w:widowControl w:val="0"/>
        <w:kinsoku/>
        <w:wordWrap/>
        <w:overflowPunct/>
        <w:topLinePunct w:val="0"/>
        <w:autoSpaceDE/>
        <w:autoSpaceDN/>
        <w:bidi w:val="0"/>
        <w:adjustRightInd/>
        <w:snapToGrid/>
        <w:spacing w:line="460" w:lineRule="exact"/>
        <w:ind w:firstLine="560" w:firstLineChars="200"/>
        <w:jc w:val="left"/>
        <w:textAlignment w:val="auto"/>
        <w:rPr>
          <w:rFonts w:hint="eastAsia" w:ascii="Arial" w:hAnsi="Arial" w:eastAsia="Arial" w:cs="Arial"/>
          <w:b/>
          <w:bCs/>
          <w:snapToGrid w:val="0"/>
          <w:color w:val="000000"/>
          <w:kern w:val="0"/>
          <w:sz w:val="28"/>
          <w:szCs w:val="28"/>
          <w:u w:val="single"/>
          <w:lang w:val="en-US" w:eastAsia="zh-CN"/>
        </w:rPr>
      </w:pPr>
      <w:r>
        <w:rPr>
          <w:rFonts w:hint="eastAsia" w:ascii="仿宋" w:hAnsi="仿宋" w:eastAsia="仿宋" w:cs="仿宋"/>
          <w:snapToGrid w:val="0"/>
          <w:color w:val="000000"/>
          <w:kern w:val="2"/>
          <w:sz w:val="28"/>
          <w:szCs w:val="28"/>
          <w:lang w:val="en-US" w:eastAsia="zh-CN" w:bidi="ar-SA"/>
        </w:rPr>
        <w:t>3、项目总运营服务费为小写：</w:t>
      </w:r>
      <w:r>
        <w:rPr>
          <w:rFonts w:hint="eastAsia" w:ascii="仿宋" w:hAnsi="仿宋" w:eastAsia="仿宋" w:cs="仿宋"/>
          <w:snapToGrid w:val="0"/>
          <w:color w:val="000000"/>
          <w:kern w:val="2"/>
          <w:sz w:val="28"/>
          <w:szCs w:val="28"/>
          <w:u w:val="single"/>
          <w:lang w:val="en-US" w:eastAsia="zh-CN" w:bidi="ar-SA"/>
        </w:rPr>
        <w:t xml:space="preserve">          </w:t>
      </w:r>
      <w:r>
        <w:rPr>
          <w:rFonts w:hint="eastAsia" w:ascii="仿宋" w:hAnsi="仿宋" w:eastAsia="仿宋" w:cs="仿宋"/>
          <w:b/>
          <w:bCs/>
          <w:snapToGrid w:val="0"/>
          <w:color w:val="000000"/>
          <w:kern w:val="2"/>
          <w:sz w:val="28"/>
          <w:szCs w:val="28"/>
          <w:u w:val="single"/>
          <w:lang w:val="en-US" w:eastAsia="zh-CN" w:bidi="ar-SA"/>
        </w:rPr>
        <w:t>元（大写：     ）。</w:t>
      </w:r>
    </w:p>
    <w:p w14:paraId="388BBA0D">
      <w:pPr>
        <w:keepNext w:val="0"/>
        <w:keepLines w:val="0"/>
        <w:pageBreakBefore w:val="0"/>
        <w:widowControl w:val="0"/>
        <w:kinsoku/>
        <w:wordWrap/>
        <w:overflowPunct/>
        <w:topLinePunct w:val="0"/>
        <w:autoSpaceDE/>
        <w:autoSpaceDN/>
        <w:bidi w:val="0"/>
        <w:adjustRightInd/>
        <w:snapToGrid/>
        <w:spacing w:line="460" w:lineRule="exact"/>
        <w:ind w:firstLine="56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4、工作界面:自渗滤液调节池提升泵开始，至达标排放口止，包含现有渗滤液处理系统及改造后的处理系统、污泥处理系统、鼓风系统、加药系统、电控系统、化验室等。</w:t>
      </w:r>
    </w:p>
    <w:p w14:paraId="135641E8">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56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5、工作内容:渗滤液处理系统日常运营维护、运行操作并保证出水稳定达标排放、设备操作及保养、运营期内的设备大修及设备更新、药品药剂采购、水质分析化验、渗滤液处理站的安全环保管理等。</w:t>
      </w:r>
    </w:p>
    <w:p w14:paraId="7847F364">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56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b w:val="0"/>
          <w:bCs w:val="0"/>
          <w:snapToGrid w:val="0"/>
          <w:color w:val="000000"/>
          <w:kern w:val="2"/>
          <w:sz w:val="28"/>
          <w:szCs w:val="28"/>
          <w:lang w:val="en-US" w:eastAsia="zh-CN" w:bidi="ar-SA"/>
        </w:rPr>
        <w:t>6、作业要求①</w:t>
      </w:r>
      <w:r>
        <w:rPr>
          <w:rFonts w:hint="eastAsia" w:ascii="仿宋" w:hAnsi="仿宋" w:eastAsia="仿宋" w:cs="仿宋"/>
          <w:snapToGrid w:val="0"/>
          <w:color w:val="000000"/>
          <w:kern w:val="2"/>
          <w:sz w:val="28"/>
          <w:szCs w:val="28"/>
          <w:lang w:val="en-US" w:eastAsia="zh-CN" w:bidi="ar-SA"/>
        </w:rPr>
        <w:t>需对剑川县生活垃圾渗滤液处理厂接入在线监测系统进行整改，设备整改后对水质进行取样，处理水质达标方能正常接入在线监测系统；</w:t>
      </w:r>
    </w:p>
    <w:p w14:paraId="669B2667">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②需设置组织机构、配置岗位人员和制定培训计划，确保垃圾渗滤处理站安全、经济、高效、运行；</w:t>
      </w:r>
    </w:p>
    <w:p w14:paraId="61C46287">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56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③运行需保证技术、出水质量、监督检查、污水排放、材料更换与设备维修质量措施等。</w:t>
      </w:r>
    </w:p>
    <w:p w14:paraId="2DDFF1D7">
      <w:pPr>
        <w:keepNext w:val="0"/>
        <w:keepLines w:val="0"/>
        <w:pageBreakBefore w:val="0"/>
        <w:widowControl w:val="0"/>
        <w:kinsoku/>
        <w:wordWrap/>
        <w:overflowPunct/>
        <w:topLinePunct w:val="0"/>
        <w:autoSpaceDE/>
        <w:autoSpaceDN/>
        <w:bidi w:val="0"/>
        <w:adjustRightInd/>
        <w:snapToGrid/>
        <w:spacing w:line="460" w:lineRule="exact"/>
        <w:ind w:firstLine="560" w:firstLineChars="200"/>
        <w:jc w:val="left"/>
        <w:textAlignment w:val="auto"/>
        <w:outlineLvl w:val="9"/>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7、项目概况：本项目位于剑川县城市生活垃圾处理场，地处甸南镇西面，甸南兴水村、江长门村北面山谷；场地内有一条东西走向的冲沟，全长 860m，宽 80-100m；项目距甸南镇 3km、县城 10km，根据现场勘查，项目不在自然保护区、风景名胜区、饮用水源保护区内。</w:t>
      </w:r>
    </w:p>
    <w:p w14:paraId="4674C48E">
      <w:pPr>
        <w:keepNext w:val="0"/>
        <w:keepLines w:val="0"/>
        <w:pageBreakBefore w:val="0"/>
        <w:widowControl w:val="0"/>
        <w:kinsoku/>
        <w:wordWrap/>
        <w:overflowPunct/>
        <w:topLinePunct w:val="0"/>
        <w:autoSpaceDE/>
        <w:autoSpaceDN/>
        <w:bidi w:val="0"/>
        <w:adjustRightInd/>
        <w:snapToGrid/>
        <w:spacing w:line="460" w:lineRule="exact"/>
        <w:ind w:firstLine="560" w:firstLineChars="200"/>
        <w:jc w:val="left"/>
        <w:textAlignment w:val="auto"/>
        <w:outlineLvl w:val="9"/>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剑川县城镇生活垃圾渗沥液主要依靠建站处理，处理站的规模按年平均日的渗沥液产生量设计。处理站其规模小节省投资，能够连续运行操作管理方便，但是在雨季大量渗沥液得不到处理。调节池容积计算的主要依据是能够接纳雨季全部渗沥液，保证雨季大量渗沥液的期间渗沥液不外溢。通过前面综合分析，剑川县城市生活垃圾填埋场渗滤液处理规模定为 60m³/d。</w:t>
      </w:r>
    </w:p>
    <w:p w14:paraId="6852F4FC">
      <w:pPr>
        <w:keepNext w:val="0"/>
        <w:keepLines w:val="0"/>
        <w:pageBreakBefore w:val="0"/>
        <w:widowControl w:val="0"/>
        <w:kinsoku/>
        <w:wordWrap/>
        <w:overflowPunct/>
        <w:topLinePunct w:val="0"/>
        <w:autoSpaceDE/>
        <w:autoSpaceDN/>
        <w:bidi w:val="0"/>
        <w:adjustRightInd/>
        <w:snapToGrid/>
        <w:spacing w:line="460" w:lineRule="exact"/>
        <w:jc w:val="left"/>
        <w:textAlignment w:val="auto"/>
        <w:outlineLvl w:val="9"/>
        <w:rPr>
          <w:rFonts w:hint="eastAsia" w:ascii="仿宋" w:hAnsi="仿宋" w:eastAsia="仿宋" w:cs="仿宋"/>
          <w:b/>
          <w:bCs/>
          <w:snapToGrid w:val="0"/>
          <w:color w:val="000000"/>
          <w:kern w:val="2"/>
          <w:sz w:val="28"/>
          <w:szCs w:val="28"/>
          <w:lang w:val="en-US" w:eastAsia="zh-CN" w:bidi="ar-SA"/>
        </w:rPr>
      </w:pPr>
      <w:r>
        <w:rPr>
          <w:rFonts w:hint="eastAsia" w:ascii="仿宋" w:hAnsi="仿宋" w:eastAsia="仿宋" w:cs="仿宋"/>
          <w:b/>
          <w:bCs/>
          <w:snapToGrid w:val="0"/>
          <w:color w:val="000000"/>
          <w:kern w:val="2"/>
          <w:sz w:val="28"/>
          <w:szCs w:val="28"/>
          <w:lang w:val="en-US" w:eastAsia="zh-CN" w:bidi="ar-SA"/>
        </w:rPr>
        <w:t>二、设计水量及水质</w:t>
      </w:r>
    </w:p>
    <w:p w14:paraId="65900B43">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56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1、渗滤液处理站的日常运营管理；</w:t>
      </w:r>
    </w:p>
    <w:p w14:paraId="213F6A0D">
      <w:pPr>
        <w:keepNext w:val="0"/>
        <w:keepLines w:val="0"/>
        <w:pageBreakBefore w:val="0"/>
        <w:widowControl w:val="0"/>
        <w:kinsoku/>
        <w:wordWrap/>
        <w:overflowPunct/>
        <w:topLinePunct w:val="0"/>
        <w:autoSpaceDE/>
        <w:autoSpaceDN/>
        <w:bidi w:val="0"/>
        <w:adjustRightInd/>
        <w:snapToGrid/>
        <w:spacing w:line="460" w:lineRule="exact"/>
        <w:ind w:firstLine="56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2、处理站水质在线监控系统接入、日常运营维护；处理规模：设计渗滤液处理量为60m³/d。</w:t>
      </w:r>
    </w:p>
    <w:p w14:paraId="12899663">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jc w:val="left"/>
        <w:textAlignment w:val="auto"/>
        <w:rPr>
          <w:rFonts w:hint="eastAsia" w:ascii="仿宋" w:hAnsi="仿宋" w:eastAsia="仿宋" w:cs="仿宋"/>
          <w:b/>
          <w:bCs/>
          <w:snapToGrid w:val="0"/>
          <w:color w:val="000000"/>
          <w:kern w:val="2"/>
          <w:sz w:val="28"/>
          <w:szCs w:val="28"/>
          <w:lang w:val="en-US" w:eastAsia="zh-CN" w:bidi="ar-SA"/>
        </w:rPr>
      </w:pPr>
      <w:r>
        <w:rPr>
          <w:rFonts w:hint="eastAsia" w:ascii="仿宋" w:hAnsi="仿宋" w:eastAsia="仿宋" w:cs="仿宋"/>
          <w:b/>
          <w:bCs/>
          <w:snapToGrid w:val="0"/>
          <w:color w:val="000000"/>
          <w:kern w:val="2"/>
          <w:sz w:val="28"/>
          <w:szCs w:val="28"/>
          <w:lang w:val="en-US" w:eastAsia="zh-CN" w:bidi="ar-SA"/>
        </w:rPr>
        <w:t>三、质量标准</w:t>
      </w:r>
    </w:p>
    <w:p w14:paraId="00A0470F">
      <w:pPr>
        <w:keepNext w:val="0"/>
        <w:keepLines w:val="0"/>
        <w:pageBreakBefore w:val="0"/>
        <w:widowControl w:val="0"/>
        <w:kinsoku/>
        <w:wordWrap/>
        <w:overflowPunct/>
        <w:topLinePunct w:val="0"/>
        <w:autoSpaceDE/>
        <w:autoSpaceDN/>
        <w:bidi w:val="0"/>
        <w:adjustRightInd/>
        <w:snapToGrid/>
        <w:spacing w:line="460" w:lineRule="exact"/>
        <w:ind w:firstLine="280" w:firstLineChars="1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系统改造后以及运营服务期内，出水稳定达到(GB16889-2008)标准排放。</w:t>
      </w:r>
    </w:p>
    <w:p w14:paraId="6775316F">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仿宋" w:hAnsi="仿宋" w:eastAsia="仿宋" w:cs="仿宋"/>
          <w:b/>
          <w:bCs/>
          <w:snapToGrid w:val="0"/>
          <w:color w:val="000000"/>
          <w:kern w:val="2"/>
          <w:sz w:val="28"/>
          <w:szCs w:val="28"/>
          <w:lang w:val="en-US" w:eastAsia="zh-CN" w:bidi="ar-SA"/>
        </w:rPr>
      </w:pPr>
      <w:r>
        <w:rPr>
          <w:rFonts w:hint="eastAsia" w:ascii="仿宋" w:hAnsi="仿宋" w:eastAsia="仿宋" w:cs="仿宋"/>
          <w:b/>
          <w:bCs/>
          <w:snapToGrid w:val="0"/>
          <w:color w:val="000000"/>
          <w:kern w:val="2"/>
          <w:sz w:val="28"/>
          <w:szCs w:val="28"/>
          <w:lang w:val="en-US" w:eastAsia="zh-CN" w:bidi="ar-SA"/>
        </w:rPr>
        <w:t>四、运营期限</w:t>
      </w:r>
    </w:p>
    <w:p w14:paraId="2A57AB4C">
      <w:pPr>
        <w:keepNext w:val="0"/>
        <w:keepLines w:val="0"/>
        <w:pageBreakBefore w:val="0"/>
        <w:widowControl w:val="0"/>
        <w:kinsoku/>
        <w:wordWrap/>
        <w:overflowPunct/>
        <w:topLinePunct w:val="0"/>
        <w:autoSpaceDE/>
        <w:autoSpaceDN/>
        <w:bidi w:val="0"/>
        <w:adjustRightInd/>
        <w:snapToGrid/>
        <w:spacing w:line="460" w:lineRule="exact"/>
        <w:ind w:firstLine="56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本项目运营服务期限：项目服务期限为3年，合同一年一签。一年合同期满后采购人有权根据考核结果确定是否续签合同，若中标人服务质量与投标承诺内容不相符或达不到采购需求，采购人有权终止合同，相关责任和损失由中标人承担。</w:t>
      </w:r>
    </w:p>
    <w:p w14:paraId="087F7606">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仿宋" w:hAnsi="仿宋" w:eastAsia="仿宋" w:cs="仿宋"/>
          <w:b/>
          <w:bCs/>
          <w:snapToGrid w:val="0"/>
          <w:color w:val="000000"/>
          <w:kern w:val="2"/>
          <w:sz w:val="28"/>
          <w:szCs w:val="28"/>
          <w:lang w:val="en-US" w:eastAsia="zh-CN" w:bidi="ar-SA"/>
        </w:rPr>
      </w:pPr>
      <w:r>
        <w:rPr>
          <w:rFonts w:hint="eastAsia" w:ascii="仿宋" w:hAnsi="仿宋" w:eastAsia="仿宋" w:cs="仿宋"/>
          <w:b/>
          <w:bCs/>
          <w:snapToGrid w:val="0"/>
          <w:color w:val="000000"/>
          <w:kern w:val="2"/>
          <w:sz w:val="28"/>
          <w:szCs w:val="28"/>
          <w:lang w:val="en-US" w:eastAsia="zh-CN" w:bidi="ar-SA"/>
        </w:rPr>
        <w:t>五、运营服务费计算方法</w:t>
      </w:r>
    </w:p>
    <w:p w14:paraId="6A855EFE">
      <w:pPr>
        <w:keepNext w:val="0"/>
        <w:keepLines w:val="0"/>
        <w:pageBreakBefore w:val="0"/>
        <w:widowControl w:val="0"/>
        <w:kinsoku/>
        <w:wordWrap/>
        <w:overflowPunct/>
        <w:topLinePunct w:val="0"/>
        <w:autoSpaceDE/>
        <w:autoSpaceDN/>
        <w:bidi w:val="0"/>
        <w:adjustRightInd/>
        <w:snapToGrid/>
        <w:spacing w:line="460" w:lineRule="exact"/>
        <w:ind w:firstLine="56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运营服务费价格:总运营服务费为小写：</w:t>
      </w:r>
      <w:r>
        <w:rPr>
          <w:rFonts w:hint="eastAsia" w:ascii="仿宋" w:hAnsi="仿宋" w:eastAsia="仿宋" w:cs="仿宋"/>
          <w:snapToGrid w:val="0"/>
          <w:color w:val="000000"/>
          <w:kern w:val="2"/>
          <w:sz w:val="28"/>
          <w:szCs w:val="28"/>
          <w:u w:val="single"/>
          <w:lang w:val="en-US" w:eastAsia="zh-CN" w:bidi="ar-SA"/>
        </w:rPr>
        <w:t xml:space="preserve">  </w:t>
      </w:r>
      <w:r>
        <w:rPr>
          <w:rFonts w:hint="eastAsia" w:ascii="仿宋" w:hAnsi="仿宋" w:eastAsia="仿宋" w:cs="仿宋"/>
          <w:snapToGrid w:val="0"/>
          <w:color w:val="000000"/>
          <w:kern w:val="2"/>
          <w:sz w:val="28"/>
          <w:szCs w:val="28"/>
          <w:lang w:val="en-US" w:eastAsia="zh-CN" w:bidi="ar-SA"/>
        </w:rPr>
        <w:t>元/年（大写：  元整）。</w:t>
      </w:r>
    </w:p>
    <w:p w14:paraId="415E9401">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仿宋" w:hAnsi="仿宋" w:eastAsia="仿宋" w:cs="仿宋"/>
          <w:b/>
          <w:bCs/>
          <w:snapToGrid w:val="0"/>
          <w:color w:val="000000"/>
          <w:kern w:val="2"/>
          <w:sz w:val="28"/>
          <w:szCs w:val="28"/>
          <w:lang w:val="en-US" w:eastAsia="zh-CN" w:bidi="ar-SA"/>
        </w:rPr>
      </w:pPr>
      <w:r>
        <w:rPr>
          <w:rFonts w:hint="eastAsia" w:ascii="仿宋" w:hAnsi="仿宋" w:eastAsia="仿宋" w:cs="仿宋"/>
          <w:b/>
          <w:bCs/>
          <w:snapToGrid w:val="0"/>
          <w:color w:val="000000"/>
          <w:kern w:val="2"/>
          <w:sz w:val="28"/>
          <w:szCs w:val="28"/>
          <w:lang w:val="en-US" w:eastAsia="zh-CN" w:bidi="ar-SA"/>
        </w:rPr>
        <w:t>六、结算与付款</w:t>
      </w:r>
    </w:p>
    <w:p w14:paraId="49C4BC48">
      <w:pPr>
        <w:keepNext w:val="0"/>
        <w:keepLines w:val="0"/>
        <w:pageBreakBefore w:val="0"/>
        <w:widowControl w:val="0"/>
        <w:kinsoku/>
        <w:wordWrap/>
        <w:overflowPunct/>
        <w:topLinePunct w:val="0"/>
        <w:autoSpaceDE/>
        <w:autoSpaceDN/>
        <w:bidi w:val="0"/>
        <w:adjustRightInd/>
        <w:snapToGrid/>
        <w:spacing w:line="460" w:lineRule="exact"/>
        <w:ind w:firstLine="56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1、运营服务费按季度结算。</w:t>
      </w:r>
    </w:p>
    <w:p w14:paraId="6CF8F9F4">
      <w:pPr>
        <w:keepNext w:val="0"/>
        <w:keepLines w:val="0"/>
        <w:pageBreakBefore w:val="0"/>
        <w:widowControl w:val="0"/>
        <w:kinsoku/>
        <w:wordWrap/>
        <w:overflowPunct/>
        <w:topLinePunct w:val="0"/>
        <w:autoSpaceDE/>
        <w:autoSpaceDN/>
        <w:bidi w:val="0"/>
        <w:adjustRightInd/>
        <w:snapToGrid/>
        <w:spacing w:line="460" w:lineRule="exact"/>
        <w:ind w:firstLine="56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2、乙方应在每个季度结束后5个工作日内(遇节假日顺延至下一个工作日)向甲方提交上季度付费申请以及运营服务费发票，甲方在收到该资料后，7个工作日内完成支付。如因乙方开票迟延导致甲方付款迟延的，由乙方承担迟延责任。</w:t>
      </w:r>
    </w:p>
    <w:p w14:paraId="568902E7">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仿宋" w:hAnsi="仿宋" w:eastAsia="仿宋" w:cs="仿宋"/>
          <w:b/>
          <w:bCs/>
          <w:snapToGrid w:val="0"/>
          <w:color w:val="000000"/>
          <w:kern w:val="2"/>
          <w:sz w:val="28"/>
          <w:szCs w:val="28"/>
          <w:lang w:val="en-US" w:eastAsia="zh-CN" w:bidi="ar-SA"/>
        </w:rPr>
      </w:pPr>
      <w:r>
        <w:rPr>
          <w:rFonts w:hint="eastAsia" w:ascii="仿宋" w:hAnsi="仿宋" w:eastAsia="仿宋" w:cs="仿宋"/>
          <w:b/>
          <w:bCs/>
          <w:snapToGrid w:val="0"/>
          <w:color w:val="000000"/>
          <w:kern w:val="2"/>
          <w:sz w:val="28"/>
          <w:szCs w:val="28"/>
          <w:lang w:val="en-US" w:eastAsia="zh-CN" w:bidi="ar-SA"/>
        </w:rPr>
        <w:t>七、双方权利与义务</w:t>
      </w:r>
    </w:p>
    <w:p w14:paraId="6158B043">
      <w:pPr>
        <w:keepNext w:val="0"/>
        <w:keepLines w:val="0"/>
        <w:pageBreakBefore w:val="0"/>
        <w:widowControl w:val="0"/>
        <w:kinsoku/>
        <w:wordWrap/>
        <w:overflowPunct/>
        <w:topLinePunct w:val="0"/>
        <w:autoSpaceDE/>
        <w:autoSpaceDN/>
        <w:bidi w:val="0"/>
        <w:adjustRightInd/>
        <w:snapToGrid/>
        <w:spacing w:line="460" w:lineRule="exact"/>
        <w:ind w:firstLine="56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(一)甲方的权利与义务</w:t>
      </w:r>
    </w:p>
    <w:p w14:paraId="08550C5B">
      <w:pPr>
        <w:keepNext w:val="0"/>
        <w:keepLines w:val="0"/>
        <w:pageBreakBefore w:val="0"/>
        <w:widowControl w:val="0"/>
        <w:kinsoku/>
        <w:wordWrap/>
        <w:overflowPunct/>
        <w:topLinePunct w:val="0"/>
        <w:autoSpaceDE/>
        <w:autoSpaceDN/>
        <w:bidi w:val="0"/>
        <w:adjustRightInd/>
        <w:snapToGrid/>
        <w:spacing w:line="460" w:lineRule="exact"/>
        <w:ind w:firstLine="56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1、甲方负责协调乙方与当地相关行政部门、事业单位等相关工作。</w:t>
      </w:r>
    </w:p>
    <w:p w14:paraId="0E9A82F6">
      <w:pPr>
        <w:keepNext w:val="0"/>
        <w:keepLines w:val="0"/>
        <w:pageBreakBefore w:val="0"/>
        <w:widowControl w:val="0"/>
        <w:kinsoku/>
        <w:wordWrap/>
        <w:overflowPunct/>
        <w:topLinePunct w:val="0"/>
        <w:autoSpaceDE/>
        <w:autoSpaceDN/>
        <w:bidi w:val="0"/>
        <w:adjustRightInd/>
        <w:snapToGrid/>
        <w:spacing w:line="460" w:lineRule="exact"/>
        <w:ind w:firstLine="56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2、甲方或政府职能部门有权监督项目设施的运行和维护，有权检查生产记录、设备维护和常规检测指标的运营记录;但不得干涉、延误或干扰乙方履行本合同下的权利和义务。</w:t>
      </w:r>
    </w:p>
    <w:p w14:paraId="56F22CAC">
      <w:pPr>
        <w:keepNext w:val="0"/>
        <w:keepLines w:val="0"/>
        <w:pageBreakBefore w:val="0"/>
        <w:widowControl w:val="0"/>
        <w:kinsoku/>
        <w:wordWrap/>
        <w:overflowPunct/>
        <w:topLinePunct w:val="0"/>
        <w:autoSpaceDE/>
        <w:autoSpaceDN/>
        <w:bidi w:val="0"/>
        <w:adjustRightInd/>
        <w:snapToGrid/>
        <w:spacing w:line="460" w:lineRule="exact"/>
        <w:ind w:firstLine="56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3、甲方及时提供垃圾渗滤液处理站现有资料及其相关资料，并保证提供的资料准确性。</w:t>
      </w:r>
    </w:p>
    <w:p w14:paraId="66904BB5">
      <w:pPr>
        <w:keepNext w:val="0"/>
        <w:keepLines w:val="0"/>
        <w:pageBreakBefore w:val="0"/>
        <w:widowControl w:val="0"/>
        <w:kinsoku/>
        <w:wordWrap/>
        <w:overflowPunct/>
        <w:topLinePunct w:val="0"/>
        <w:autoSpaceDE/>
        <w:autoSpaceDN/>
        <w:bidi w:val="0"/>
        <w:adjustRightInd/>
        <w:snapToGrid/>
        <w:spacing w:line="460" w:lineRule="exact"/>
        <w:ind w:firstLine="56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4、甲方提供垃圾渗滤液处理站通水、通电、通路及系统改造需要的用地或车间;</w:t>
      </w:r>
    </w:p>
    <w:p w14:paraId="4D517B2B">
      <w:pPr>
        <w:keepNext w:val="0"/>
        <w:keepLines w:val="0"/>
        <w:pageBreakBefore w:val="0"/>
        <w:widowControl w:val="0"/>
        <w:kinsoku/>
        <w:wordWrap/>
        <w:overflowPunct/>
        <w:topLinePunct w:val="0"/>
        <w:autoSpaceDE/>
        <w:autoSpaceDN/>
        <w:bidi w:val="0"/>
        <w:adjustRightInd/>
        <w:snapToGrid/>
        <w:spacing w:line="460" w:lineRule="exact"/>
        <w:ind w:firstLine="56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5、甲方应根据本合同相关条款及时向乙方支付运营服务费;</w:t>
      </w:r>
    </w:p>
    <w:p w14:paraId="55A21C2F">
      <w:pPr>
        <w:keepNext w:val="0"/>
        <w:keepLines w:val="0"/>
        <w:pageBreakBefore w:val="0"/>
        <w:widowControl w:val="0"/>
        <w:kinsoku/>
        <w:wordWrap/>
        <w:overflowPunct/>
        <w:topLinePunct w:val="0"/>
        <w:autoSpaceDE/>
        <w:autoSpaceDN/>
        <w:bidi w:val="0"/>
        <w:adjustRightInd/>
        <w:snapToGrid/>
        <w:spacing w:line="460" w:lineRule="exact"/>
        <w:ind w:firstLine="56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6、非甲、乙双方人为原因或因电路检修致供电中断的。甲方负责协商电力部门抢修。</w:t>
      </w:r>
    </w:p>
    <w:p w14:paraId="581218B2">
      <w:pPr>
        <w:keepNext w:val="0"/>
        <w:keepLines w:val="0"/>
        <w:pageBreakBefore w:val="0"/>
        <w:widowControl w:val="0"/>
        <w:kinsoku/>
        <w:wordWrap/>
        <w:overflowPunct/>
        <w:topLinePunct w:val="0"/>
        <w:autoSpaceDE/>
        <w:autoSpaceDN/>
        <w:bidi w:val="0"/>
        <w:adjustRightInd/>
        <w:snapToGrid/>
        <w:spacing w:line="460" w:lineRule="exact"/>
        <w:ind w:firstLine="56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(二)乙方的权利与义务</w:t>
      </w:r>
    </w:p>
    <w:p w14:paraId="1643446F">
      <w:pPr>
        <w:keepNext w:val="0"/>
        <w:keepLines w:val="0"/>
        <w:pageBreakBefore w:val="0"/>
        <w:widowControl w:val="0"/>
        <w:kinsoku/>
        <w:wordWrap/>
        <w:overflowPunct/>
        <w:topLinePunct w:val="0"/>
        <w:autoSpaceDE/>
        <w:autoSpaceDN/>
        <w:bidi w:val="0"/>
        <w:adjustRightInd/>
        <w:snapToGrid/>
        <w:spacing w:line="460" w:lineRule="exact"/>
        <w:ind w:firstLine="56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1、负责项目设施的管理、运行、维护，保证正常运行，排放的水质符合现行的排放标准。</w:t>
      </w:r>
    </w:p>
    <w:p w14:paraId="7DF4456D">
      <w:pPr>
        <w:keepNext w:val="0"/>
        <w:keepLines w:val="0"/>
        <w:pageBreakBefore w:val="0"/>
        <w:widowControl w:val="0"/>
        <w:kinsoku/>
        <w:wordWrap/>
        <w:overflowPunct/>
        <w:topLinePunct w:val="0"/>
        <w:autoSpaceDE/>
        <w:autoSpaceDN/>
        <w:bidi w:val="0"/>
        <w:adjustRightInd/>
        <w:snapToGrid/>
        <w:spacing w:line="460" w:lineRule="exact"/>
        <w:ind w:firstLine="56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2、乙方应规范、如实填报运行台账，接受甲方及省、市、县职能部门监督，对甲方或政府职能管理部门人员进厂提出的问题，乙方如实讲解和回答，不得虚报实情。</w:t>
      </w:r>
    </w:p>
    <w:p w14:paraId="31F36D60">
      <w:pPr>
        <w:keepNext w:val="0"/>
        <w:keepLines w:val="0"/>
        <w:pageBreakBefore w:val="0"/>
        <w:widowControl w:val="0"/>
        <w:kinsoku/>
        <w:wordWrap/>
        <w:overflowPunct/>
        <w:topLinePunct w:val="0"/>
        <w:autoSpaceDE/>
        <w:autoSpaceDN/>
        <w:bidi w:val="0"/>
        <w:adjustRightInd/>
        <w:snapToGrid/>
        <w:spacing w:line="460" w:lineRule="exact"/>
        <w:ind w:firstLine="56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3、乙方应将相关的规章制度，操作规程挂墙，做好安全生产，并做好车问及生活区的卫生。</w:t>
      </w:r>
    </w:p>
    <w:p w14:paraId="420131F3">
      <w:pPr>
        <w:keepNext w:val="0"/>
        <w:keepLines w:val="0"/>
        <w:pageBreakBefore w:val="0"/>
        <w:widowControl w:val="0"/>
        <w:kinsoku/>
        <w:wordWrap/>
        <w:overflowPunct/>
        <w:topLinePunct w:val="0"/>
        <w:autoSpaceDE/>
        <w:autoSpaceDN/>
        <w:bidi w:val="0"/>
        <w:adjustRightInd/>
        <w:snapToGrid/>
        <w:spacing w:line="460" w:lineRule="exact"/>
        <w:ind w:firstLine="56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4、处理系统沉淀或分离出来的废弃物，乙方应负责运载至填埋场，不得造成污染及危害公共安全，相应费用由乙方承担，</w:t>
      </w:r>
    </w:p>
    <w:p w14:paraId="77509F23">
      <w:pPr>
        <w:keepNext w:val="0"/>
        <w:keepLines w:val="0"/>
        <w:pageBreakBefore w:val="0"/>
        <w:widowControl w:val="0"/>
        <w:kinsoku/>
        <w:wordWrap/>
        <w:overflowPunct/>
        <w:topLinePunct w:val="0"/>
        <w:autoSpaceDE/>
        <w:autoSpaceDN/>
        <w:bidi w:val="0"/>
        <w:adjustRightInd/>
        <w:snapToGrid/>
        <w:spacing w:line="460" w:lineRule="exact"/>
        <w:ind w:firstLine="56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5、乙方在每月10日向甲方出具一份上月份水质检测记录台账(自检记录)。</w:t>
      </w:r>
    </w:p>
    <w:p w14:paraId="70698C32">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仿宋" w:hAnsi="仿宋" w:eastAsia="仿宋" w:cs="仿宋"/>
          <w:b/>
          <w:bCs/>
          <w:snapToGrid w:val="0"/>
          <w:color w:val="000000"/>
          <w:kern w:val="2"/>
          <w:sz w:val="28"/>
          <w:szCs w:val="28"/>
          <w:lang w:val="en-US" w:eastAsia="zh-CN" w:bidi="ar-SA"/>
        </w:rPr>
      </w:pPr>
      <w:r>
        <w:rPr>
          <w:rFonts w:hint="eastAsia" w:ascii="仿宋" w:hAnsi="仿宋" w:eastAsia="仿宋" w:cs="仿宋"/>
          <w:b/>
          <w:bCs/>
          <w:snapToGrid w:val="0"/>
          <w:color w:val="000000"/>
          <w:kern w:val="2"/>
          <w:sz w:val="28"/>
          <w:szCs w:val="28"/>
          <w:lang w:val="en-US" w:eastAsia="zh-CN" w:bidi="ar-SA"/>
        </w:rPr>
        <w:t>八、设备维护与应急处理</w:t>
      </w:r>
    </w:p>
    <w:p w14:paraId="73E50994">
      <w:pPr>
        <w:keepNext w:val="0"/>
        <w:keepLines w:val="0"/>
        <w:pageBreakBefore w:val="0"/>
        <w:widowControl w:val="0"/>
        <w:kinsoku/>
        <w:wordWrap/>
        <w:overflowPunct/>
        <w:topLinePunct w:val="0"/>
        <w:autoSpaceDE/>
        <w:autoSpaceDN/>
        <w:bidi w:val="0"/>
        <w:adjustRightInd/>
        <w:snapToGrid/>
        <w:spacing w:after="0" w:line="460" w:lineRule="exact"/>
        <w:ind w:firstLine="56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1、在运营期内，乙方应合理安排检修、维护，保证垃圾渗滤液处理站正常运行。须停运大修的情况，乙方须提前一周时间书面通知甲方(如遇突发性事故而必须停运大修的，乙方须立即通知甲方)，经甲方批准后开展维护、维修工作</w:t>
      </w:r>
    </w:p>
    <w:p w14:paraId="0E1D9045">
      <w:pPr>
        <w:keepNext w:val="0"/>
        <w:keepLines w:val="0"/>
        <w:pageBreakBefore w:val="0"/>
        <w:widowControl w:val="0"/>
        <w:kinsoku/>
        <w:wordWrap/>
        <w:overflowPunct/>
        <w:topLinePunct w:val="0"/>
        <w:autoSpaceDE/>
        <w:autoSpaceDN/>
        <w:bidi w:val="0"/>
        <w:adjustRightInd/>
        <w:snapToGrid/>
        <w:spacing w:after="0" w:line="460" w:lineRule="exact"/>
        <w:ind w:firstLine="56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2、当出现出水水质不能达标时，乙方应启动应急预案，并采取补救措施。</w:t>
      </w:r>
    </w:p>
    <w:p w14:paraId="2FFA6DF0">
      <w:pPr>
        <w:keepNext w:val="0"/>
        <w:keepLines w:val="0"/>
        <w:pageBreakBefore w:val="0"/>
        <w:widowControl w:val="0"/>
        <w:kinsoku/>
        <w:wordWrap/>
        <w:overflowPunct/>
        <w:topLinePunct w:val="0"/>
        <w:autoSpaceDE/>
        <w:autoSpaceDN/>
        <w:bidi w:val="0"/>
        <w:adjustRightInd/>
        <w:snapToGrid/>
        <w:spacing w:after="0" w:line="460" w:lineRule="exact"/>
        <w:ind w:firstLine="56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3、当电力供应出现异常时，乙方检查后应立即报告甲方，同时采取补救措施。</w:t>
      </w:r>
    </w:p>
    <w:p w14:paraId="3437CAA3">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仿宋" w:hAnsi="仿宋" w:eastAsia="仿宋" w:cs="仿宋"/>
          <w:b/>
          <w:bCs/>
          <w:snapToGrid w:val="0"/>
          <w:color w:val="000000"/>
          <w:kern w:val="2"/>
          <w:sz w:val="28"/>
          <w:szCs w:val="28"/>
          <w:lang w:val="en-US" w:eastAsia="zh-CN" w:bidi="ar-SA"/>
        </w:rPr>
      </w:pPr>
      <w:r>
        <w:rPr>
          <w:rFonts w:hint="eastAsia" w:ascii="仿宋" w:hAnsi="仿宋" w:eastAsia="仿宋" w:cs="仿宋"/>
          <w:b/>
          <w:bCs/>
          <w:snapToGrid w:val="0"/>
          <w:color w:val="000000"/>
          <w:kern w:val="2"/>
          <w:sz w:val="28"/>
          <w:szCs w:val="28"/>
          <w:lang w:val="en-US" w:eastAsia="zh-CN" w:bidi="ar-SA"/>
        </w:rPr>
        <w:t>九、违约与赔偿责任</w:t>
      </w:r>
    </w:p>
    <w:p w14:paraId="03D8E829">
      <w:pPr>
        <w:keepNext w:val="0"/>
        <w:keepLines w:val="0"/>
        <w:pageBreakBefore w:val="0"/>
        <w:widowControl w:val="0"/>
        <w:kinsoku/>
        <w:wordWrap/>
        <w:overflowPunct/>
        <w:topLinePunct w:val="0"/>
        <w:autoSpaceDE/>
        <w:autoSpaceDN/>
        <w:bidi w:val="0"/>
        <w:adjustRightInd/>
        <w:snapToGrid/>
        <w:spacing w:line="460" w:lineRule="exact"/>
        <w:ind w:firstLine="56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1、乙方根据填埋场渗滤液的实际情况运营，因甲方的原因导致垃圾渗滤液处理站不能正常运行，由此带来的损失由甲方承担。</w:t>
      </w:r>
    </w:p>
    <w:p w14:paraId="5D0BED32">
      <w:pPr>
        <w:keepNext w:val="0"/>
        <w:keepLines w:val="0"/>
        <w:pageBreakBefore w:val="0"/>
        <w:widowControl w:val="0"/>
        <w:kinsoku/>
        <w:wordWrap/>
        <w:overflowPunct/>
        <w:topLinePunct w:val="0"/>
        <w:autoSpaceDE/>
        <w:autoSpaceDN/>
        <w:bidi w:val="0"/>
        <w:adjustRightInd/>
        <w:snapToGrid/>
        <w:spacing w:line="460" w:lineRule="exact"/>
        <w:ind w:firstLine="56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2、因乙方的原因导致垃圾渗滤液处理站不能正常运行、出水水质每月出现5次不达标、原水水量充足情况下不能达到设计规模以及违反本合同约定的条款，甲方有权停止支付运营费用并解除本合同，由此带来的损失或环境污染事故,由乙方承担一切法律责任。</w:t>
      </w:r>
    </w:p>
    <w:p w14:paraId="7719F087">
      <w:pPr>
        <w:keepNext w:val="0"/>
        <w:keepLines w:val="0"/>
        <w:pageBreakBefore w:val="0"/>
        <w:widowControl w:val="0"/>
        <w:kinsoku/>
        <w:wordWrap/>
        <w:overflowPunct/>
        <w:topLinePunct w:val="0"/>
        <w:autoSpaceDE/>
        <w:autoSpaceDN/>
        <w:bidi w:val="0"/>
        <w:adjustRightInd/>
        <w:snapToGrid/>
        <w:spacing w:line="460" w:lineRule="exact"/>
        <w:ind w:firstLine="56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3、乙方在运行期间造成的安全生产事故，一切责任由乙方自己承担。</w:t>
      </w:r>
    </w:p>
    <w:p w14:paraId="7FA12AD9">
      <w:pPr>
        <w:keepNext w:val="0"/>
        <w:keepLines w:val="0"/>
        <w:pageBreakBefore w:val="0"/>
        <w:widowControl w:val="0"/>
        <w:kinsoku/>
        <w:wordWrap/>
        <w:overflowPunct/>
        <w:topLinePunct w:val="0"/>
        <w:autoSpaceDE/>
        <w:autoSpaceDN/>
        <w:bidi w:val="0"/>
        <w:adjustRightInd/>
        <w:snapToGrid/>
        <w:spacing w:line="460" w:lineRule="exact"/>
        <w:ind w:firstLine="56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4、乙方有权在甲方付款逾期30天后，向甲方发出催款函;如果在收到催款函10天后仍未支付，则乙方可以停止运营管理，并有权索赔违约金，每日违约金按应付额的万分之五计。此种情形下，乙方不承担任何因停止运营管理而造成一切风险和损失。</w:t>
      </w:r>
    </w:p>
    <w:p w14:paraId="35744E8A">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仿宋" w:hAnsi="仿宋" w:eastAsia="仿宋" w:cs="仿宋"/>
          <w:b/>
          <w:bCs/>
          <w:snapToGrid w:val="0"/>
          <w:color w:val="000000"/>
          <w:kern w:val="2"/>
          <w:sz w:val="28"/>
          <w:szCs w:val="28"/>
          <w:lang w:val="en-US" w:eastAsia="zh-CN" w:bidi="ar-SA"/>
        </w:rPr>
      </w:pPr>
      <w:r>
        <w:rPr>
          <w:rFonts w:hint="eastAsia" w:ascii="仿宋" w:hAnsi="仿宋" w:eastAsia="仿宋" w:cs="仿宋"/>
          <w:b/>
          <w:bCs/>
          <w:snapToGrid w:val="0"/>
          <w:color w:val="000000"/>
          <w:kern w:val="2"/>
          <w:sz w:val="28"/>
          <w:szCs w:val="28"/>
          <w:lang w:val="en-US" w:eastAsia="zh-CN" w:bidi="ar-SA"/>
        </w:rPr>
        <w:t>十、不可抗力</w:t>
      </w:r>
    </w:p>
    <w:p w14:paraId="69438616">
      <w:pPr>
        <w:keepNext w:val="0"/>
        <w:keepLines w:val="0"/>
        <w:pageBreakBefore w:val="0"/>
        <w:widowControl w:val="0"/>
        <w:kinsoku/>
        <w:wordWrap/>
        <w:overflowPunct/>
        <w:topLinePunct w:val="0"/>
        <w:autoSpaceDE/>
        <w:autoSpaceDN/>
        <w:bidi w:val="0"/>
        <w:adjustRightInd/>
        <w:snapToGrid/>
        <w:spacing w:line="460" w:lineRule="exact"/>
        <w:ind w:firstLine="56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1、不可抗力指地震、台风、水灾、战争等不能预见、不能避免、且不可克服的事件，这些事件直接影响本合同的履行或致使本合同不能按约定的条件履行。</w:t>
      </w:r>
    </w:p>
    <w:p w14:paraId="3E81A422">
      <w:pPr>
        <w:keepNext w:val="0"/>
        <w:keepLines w:val="0"/>
        <w:pageBreakBefore w:val="0"/>
        <w:widowControl w:val="0"/>
        <w:kinsoku/>
        <w:wordWrap/>
        <w:overflowPunct/>
        <w:topLinePunct w:val="0"/>
        <w:autoSpaceDE/>
        <w:autoSpaceDN/>
        <w:bidi w:val="0"/>
        <w:adjustRightInd/>
        <w:snapToGrid/>
        <w:spacing w:line="460" w:lineRule="exact"/>
        <w:ind w:firstLine="56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2、生活垃圾填埋场封场，按“一场一策”实施方案腾库处理，不再产生渗滤液则本合同自然终止。</w:t>
      </w:r>
    </w:p>
    <w:p w14:paraId="7BF7F4BA">
      <w:pPr>
        <w:keepNext w:val="0"/>
        <w:keepLines w:val="0"/>
        <w:pageBreakBefore w:val="0"/>
        <w:widowControl w:val="0"/>
        <w:kinsoku/>
        <w:wordWrap/>
        <w:overflowPunct/>
        <w:topLinePunct w:val="0"/>
        <w:autoSpaceDE/>
        <w:autoSpaceDN/>
        <w:bidi w:val="0"/>
        <w:adjustRightInd/>
        <w:snapToGrid/>
        <w:spacing w:line="460" w:lineRule="exact"/>
        <w:ind w:firstLine="56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3、双方应协商制定并实施补救计划及合理的替代措施以消除不可抗力。</w:t>
      </w:r>
    </w:p>
    <w:p w14:paraId="6C2975B6">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仿宋" w:hAnsi="仿宋" w:eastAsia="仿宋" w:cs="仿宋"/>
          <w:b/>
          <w:bCs/>
          <w:snapToGrid w:val="0"/>
          <w:color w:val="000000"/>
          <w:kern w:val="2"/>
          <w:sz w:val="28"/>
          <w:szCs w:val="28"/>
          <w:lang w:val="en-US" w:eastAsia="zh-CN" w:bidi="ar-SA"/>
        </w:rPr>
      </w:pPr>
      <w:r>
        <w:rPr>
          <w:rFonts w:hint="eastAsia" w:ascii="仿宋" w:hAnsi="仿宋" w:eastAsia="仿宋" w:cs="仿宋"/>
          <w:b/>
          <w:bCs/>
          <w:snapToGrid w:val="0"/>
          <w:color w:val="000000"/>
          <w:kern w:val="2"/>
          <w:sz w:val="28"/>
          <w:szCs w:val="28"/>
          <w:lang w:val="en-US" w:eastAsia="zh-CN" w:bidi="ar-SA"/>
        </w:rPr>
        <w:t>十一、保密义务</w:t>
      </w:r>
    </w:p>
    <w:p w14:paraId="189D232F">
      <w:pPr>
        <w:keepNext w:val="0"/>
        <w:keepLines w:val="0"/>
        <w:pageBreakBefore w:val="0"/>
        <w:widowControl w:val="0"/>
        <w:kinsoku/>
        <w:wordWrap/>
        <w:overflowPunct/>
        <w:topLinePunct w:val="0"/>
        <w:autoSpaceDE/>
        <w:autoSpaceDN/>
        <w:bidi w:val="0"/>
        <w:adjustRightInd/>
        <w:snapToGrid/>
        <w:spacing w:after="0" w:line="460" w:lineRule="exact"/>
        <w:ind w:firstLine="56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1、此合同为双方合作的商业机密，除非有书面授权，任何一方不得将本合同内全部或部分内容，擅自复制、散发和透露给第三方，如有违反由此造成的损失，由责任方承担一切责任。</w:t>
      </w:r>
    </w:p>
    <w:p w14:paraId="0BE1E00E">
      <w:pPr>
        <w:keepNext w:val="0"/>
        <w:keepLines w:val="0"/>
        <w:pageBreakBefore w:val="0"/>
        <w:widowControl w:val="0"/>
        <w:kinsoku/>
        <w:wordWrap/>
        <w:overflowPunct/>
        <w:topLinePunct w:val="0"/>
        <w:autoSpaceDE/>
        <w:autoSpaceDN/>
        <w:bidi w:val="0"/>
        <w:adjustRightInd/>
        <w:snapToGrid/>
        <w:spacing w:after="0" w:line="460" w:lineRule="exact"/>
        <w:ind w:firstLine="56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2、双方互相提供的检测数据等资料未经双方授权不得擅自以任何形式发表、复制、散发和透露给第三方。</w:t>
      </w:r>
    </w:p>
    <w:p w14:paraId="0D87006B">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仿宋" w:hAnsi="仿宋" w:eastAsia="仿宋" w:cs="仿宋"/>
          <w:b/>
          <w:bCs/>
          <w:snapToGrid w:val="0"/>
          <w:color w:val="000000"/>
          <w:kern w:val="2"/>
          <w:sz w:val="28"/>
          <w:szCs w:val="28"/>
          <w:lang w:val="en-US" w:eastAsia="zh-CN" w:bidi="ar-SA"/>
        </w:rPr>
      </w:pPr>
      <w:r>
        <w:rPr>
          <w:rFonts w:hint="eastAsia" w:ascii="仿宋" w:hAnsi="仿宋" w:eastAsia="仿宋" w:cs="仿宋"/>
          <w:b/>
          <w:bCs/>
          <w:snapToGrid w:val="0"/>
          <w:color w:val="000000"/>
          <w:kern w:val="2"/>
          <w:sz w:val="28"/>
          <w:szCs w:val="28"/>
          <w:lang w:val="en-US" w:eastAsia="zh-CN" w:bidi="ar-SA"/>
        </w:rPr>
        <w:t>十二、争议的解决</w:t>
      </w:r>
    </w:p>
    <w:p w14:paraId="7A26BB4A">
      <w:pPr>
        <w:keepNext w:val="0"/>
        <w:keepLines w:val="0"/>
        <w:pageBreakBefore w:val="0"/>
        <w:widowControl w:val="0"/>
        <w:kinsoku/>
        <w:wordWrap/>
        <w:overflowPunct/>
        <w:topLinePunct w:val="0"/>
        <w:autoSpaceDE/>
        <w:autoSpaceDN/>
        <w:bidi w:val="0"/>
        <w:adjustRightInd/>
        <w:snapToGrid/>
        <w:spacing w:after="0" w:line="460" w:lineRule="exact"/>
        <w:ind w:firstLine="56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1、其他未尽事宜双方协商解决。与本合同有关的所有争议，双方应友好协商解决;协商不成由新化县人民法院管辖。</w:t>
      </w:r>
    </w:p>
    <w:p w14:paraId="63EB54F9">
      <w:pPr>
        <w:keepNext w:val="0"/>
        <w:keepLines w:val="0"/>
        <w:pageBreakBefore w:val="0"/>
        <w:widowControl w:val="0"/>
        <w:kinsoku/>
        <w:wordWrap/>
        <w:overflowPunct/>
        <w:topLinePunct w:val="0"/>
        <w:autoSpaceDE/>
        <w:autoSpaceDN/>
        <w:bidi w:val="0"/>
        <w:adjustRightInd/>
        <w:snapToGrid/>
        <w:spacing w:after="0" w:line="460" w:lineRule="exact"/>
        <w:ind w:firstLine="56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2、协商或诉讼期间，乙方不得以发生争议、产生纠纷、提起诉讼或争议未解决等种种名义自行终止正常的服务，必须按合同要求如期完成合同约定的各项义务。</w:t>
      </w:r>
    </w:p>
    <w:p w14:paraId="12B8EEF0">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仿宋" w:hAnsi="仿宋" w:eastAsia="仿宋" w:cs="仿宋"/>
          <w:b/>
          <w:bCs/>
          <w:snapToGrid w:val="0"/>
          <w:color w:val="000000"/>
          <w:kern w:val="2"/>
          <w:sz w:val="28"/>
          <w:szCs w:val="28"/>
          <w:lang w:val="en-US" w:eastAsia="zh-CN" w:bidi="ar-SA"/>
        </w:rPr>
      </w:pPr>
      <w:r>
        <w:rPr>
          <w:rFonts w:hint="eastAsia" w:ascii="仿宋" w:hAnsi="仿宋" w:eastAsia="仿宋" w:cs="仿宋"/>
          <w:b/>
          <w:bCs/>
          <w:snapToGrid w:val="0"/>
          <w:color w:val="000000"/>
          <w:kern w:val="2"/>
          <w:sz w:val="28"/>
          <w:szCs w:val="28"/>
          <w:lang w:val="en-US" w:eastAsia="zh-CN" w:bidi="ar-SA"/>
        </w:rPr>
        <w:t>十三、其他</w:t>
      </w:r>
    </w:p>
    <w:p w14:paraId="39AFB220">
      <w:pPr>
        <w:keepNext w:val="0"/>
        <w:keepLines w:val="0"/>
        <w:pageBreakBefore w:val="0"/>
        <w:widowControl w:val="0"/>
        <w:kinsoku/>
        <w:wordWrap/>
        <w:overflowPunct/>
        <w:topLinePunct w:val="0"/>
        <w:autoSpaceDE/>
        <w:autoSpaceDN/>
        <w:bidi w:val="0"/>
        <w:adjustRightInd/>
        <w:snapToGrid/>
        <w:spacing w:after="0" w:line="460" w:lineRule="exact"/>
        <w:ind w:firstLine="56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28"/>
          <w:szCs w:val="28"/>
          <w:lang w:val="en-US" w:eastAsia="zh-CN" w:bidi="ar-SA"/>
        </w:rPr>
        <w:t>1、本合同经双方代表签字并加盖公章后生效，运营期满并结清尾款后自动失效。</w:t>
      </w:r>
    </w:p>
    <w:p w14:paraId="0774D36D">
      <w:pPr>
        <w:keepNext w:val="0"/>
        <w:keepLines w:val="0"/>
        <w:pageBreakBefore w:val="0"/>
        <w:widowControl w:val="0"/>
        <w:kinsoku/>
        <w:wordWrap/>
        <w:overflowPunct/>
        <w:topLinePunct w:val="0"/>
        <w:autoSpaceDE/>
        <w:autoSpaceDN/>
        <w:bidi w:val="0"/>
        <w:adjustRightInd/>
        <w:snapToGrid/>
        <w:spacing w:after="0" w:line="460" w:lineRule="exact"/>
        <w:ind w:firstLine="600" w:firstLineChars="200"/>
        <w:jc w:val="left"/>
        <w:textAlignment w:val="auto"/>
        <w:rPr>
          <w:rFonts w:hint="eastAsia" w:ascii="仿宋" w:hAnsi="仿宋" w:eastAsia="仿宋" w:cs="仿宋"/>
          <w:snapToGrid w:val="0"/>
          <w:color w:val="000000"/>
          <w:kern w:val="2"/>
          <w:sz w:val="28"/>
          <w:szCs w:val="28"/>
          <w:lang w:val="en-US" w:eastAsia="zh-CN" w:bidi="ar-SA"/>
        </w:rPr>
      </w:pPr>
      <w:r>
        <w:rPr>
          <w:rFonts w:hint="eastAsia" w:ascii="仿宋" w:hAnsi="仿宋" w:eastAsia="仿宋" w:cs="仿宋"/>
          <w:snapToGrid w:val="0"/>
          <w:color w:val="000000"/>
          <w:kern w:val="2"/>
          <w:sz w:val="30"/>
          <w:szCs w:val="30"/>
          <w:lang w:val="en-US" w:eastAsia="zh-CN" w:bidi="ar-SA"/>
        </w:rPr>
        <w:t>2、本合同一式捌份，甲方、乙方各叁份，政府采购管理部门壹份，采购代理机构壹份。</w:t>
      </w:r>
    </w:p>
    <w:tbl>
      <w:tblPr>
        <w:tblStyle w:val="16"/>
        <w:tblW w:w="0" w:type="auto"/>
        <w:tblInd w:w="-207" w:type="dxa"/>
        <w:tblLayout w:type="fixed"/>
        <w:tblCellMar>
          <w:top w:w="0" w:type="dxa"/>
          <w:left w:w="108" w:type="dxa"/>
          <w:bottom w:w="0" w:type="dxa"/>
          <w:right w:w="108" w:type="dxa"/>
        </w:tblCellMar>
      </w:tblPr>
      <w:tblGrid>
        <w:gridCol w:w="3018"/>
        <w:gridCol w:w="5950"/>
      </w:tblGrid>
      <w:tr w14:paraId="7E1A3D19">
        <w:tblPrEx>
          <w:tblCellMar>
            <w:top w:w="0" w:type="dxa"/>
            <w:left w:w="108" w:type="dxa"/>
            <w:bottom w:w="0" w:type="dxa"/>
            <w:right w:w="108" w:type="dxa"/>
          </w:tblCellMar>
        </w:tblPrEx>
        <w:trPr>
          <w:trHeight w:val="690" w:hRule="atLeast"/>
        </w:trPr>
        <w:tc>
          <w:tcPr>
            <w:tcW w:w="3018" w:type="dxa"/>
            <w:noWrap w:val="0"/>
            <w:vAlign w:val="center"/>
          </w:tcPr>
          <w:p w14:paraId="78854A4A">
            <w:pPr>
              <w:kinsoku w:val="0"/>
              <w:autoSpaceDE w:val="0"/>
              <w:autoSpaceDN w:val="0"/>
              <w:adjustRightInd w:val="0"/>
              <w:snapToGrid w:val="0"/>
              <w:spacing w:line="240" w:lineRule="auto"/>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甲方单位名称</w:t>
            </w:r>
          </w:p>
        </w:tc>
        <w:tc>
          <w:tcPr>
            <w:tcW w:w="5950" w:type="dxa"/>
            <w:noWrap w:val="0"/>
            <w:vAlign w:val="center"/>
          </w:tcPr>
          <w:p w14:paraId="08E59B15">
            <w:pPr>
              <w:kinsoku w:val="0"/>
              <w:autoSpaceDE w:val="0"/>
              <w:autoSpaceDN w:val="0"/>
              <w:adjustRightInd w:val="0"/>
              <w:snapToGrid w:val="0"/>
              <w:spacing w:line="240" w:lineRule="auto"/>
              <w:jc w:val="left"/>
              <w:textAlignment w:val="baseline"/>
              <w:rPr>
                <w:rFonts w:hint="eastAsia" w:ascii="宋体" w:hAnsi="宋体" w:eastAsia="Arial" w:cs="Arial"/>
                <w:b/>
                <w:snapToGrid w:val="0"/>
                <w:color w:val="000000"/>
                <w:kern w:val="0"/>
                <w:szCs w:val="21"/>
                <w:lang w:eastAsia="en-US"/>
              </w:rPr>
            </w:pPr>
            <w:r>
              <w:rPr>
                <w:rFonts w:hint="eastAsia" w:ascii="宋体" w:hAnsi="宋体" w:eastAsia="Arial" w:cs="Arial"/>
                <w:b/>
                <w:snapToGrid w:val="0"/>
                <w:color w:val="000000"/>
                <w:kern w:val="0"/>
                <w:szCs w:val="21"/>
                <w:lang w:eastAsia="en-US"/>
              </w:rPr>
              <w:t xml:space="preserve"> </w:t>
            </w:r>
            <w:r>
              <w:rPr>
                <w:rFonts w:hint="eastAsia" w:ascii="宋体" w:hAnsi="宋体" w:eastAsia="Arial" w:cs="Arial"/>
                <w:b/>
                <w:snapToGrid w:val="0"/>
                <w:color w:val="000000"/>
                <w:kern w:val="0"/>
                <w:szCs w:val="21"/>
                <w:lang w:val="en-US" w:eastAsia="zh-CN"/>
              </w:rPr>
              <w:t xml:space="preserve">           </w:t>
            </w:r>
            <w:r>
              <w:rPr>
                <w:rFonts w:hint="eastAsia" w:ascii="宋体" w:hAnsi="宋体" w:eastAsia="Arial" w:cs="Arial"/>
                <w:b/>
                <w:snapToGrid w:val="0"/>
                <w:color w:val="000000"/>
                <w:kern w:val="0"/>
                <w:szCs w:val="21"/>
                <w:lang w:eastAsia="en-US"/>
              </w:rPr>
              <w:t>（盖章）</w:t>
            </w:r>
          </w:p>
        </w:tc>
      </w:tr>
      <w:tr w14:paraId="77ABD973">
        <w:tblPrEx>
          <w:tblCellMar>
            <w:top w:w="0" w:type="dxa"/>
            <w:left w:w="108" w:type="dxa"/>
            <w:bottom w:w="0" w:type="dxa"/>
            <w:right w:w="108" w:type="dxa"/>
          </w:tblCellMar>
        </w:tblPrEx>
        <w:trPr>
          <w:trHeight w:val="447" w:hRule="atLeast"/>
        </w:trPr>
        <w:tc>
          <w:tcPr>
            <w:tcW w:w="3018" w:type="dxa"/>
            <w:noWrap w:val="0"/>
            <w:vAlign w:val="center"/>
          </w:tcPr>
          <w:p w14:paraId="0584C8BD">
            <w:pPr>
              <w:kinsoku w:val="0"/>
              <w:autoSpaceDE w:val="0"/>
              <w:autoSpaceDN w:val="0"/>
              <w:adjustRightInd w:val="0"/>
              <w:snapToGrid w:val="0"/>
              <w:spacing w:line="240" w:lineRule="auto"/>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地</w:t>
            </w:r>
            <w:r>
              <w:rPr>
                <w:rFonts w:ascii="宋体" w:hAnsi="宋体" w:eastAsia="Arial" w:cs="Arial"/>
                <w:snapToGrid w:val="0"/>
                <w:color w:val="000000"/>
                <w:kern w:val="0"/>
                <w:szCs w:val="21"/>
                <w:lang w:eastAsia="en-US"/>
              </w:rPr>
              <w:t xml:space="preserve">  </w:t>
            </w:r>
            <w:r>
              <w:rPr>
                <w:rFonts w:hint="eastAsia" w:ascii="宋体" w:hAnsi="宋体" w:eastAsia="Arial" w:cs="Arial"/>
                <w:snapToGrid w:val="0"/>
                <w:color w:val="000000"/>
                <w:kern w:val="0"/>
                <w:szCs w:val="21"/>
                <w:lang w:eastAsia="en-US"/>
              </w:rPr>
              <w:t xml:space="preserve">  址</w:t>
            </w:r>
          </w:p>
        </w:tc>
        <w:tc>
          <w:tcPr>
            <w:tcW w:w="5950" w:type="dxa"/>
            <w:noWrap w:val="0"/>
            <w:vAlign w:val="center"/>
          </w:tcPr>
          <w:p w14:paraId="09C5274A">
            <w:pPr>
              <w:kinsoku w:val="0"/>
              <w:autoSpaceDE w:val="0"/>
              <w:autoSpaceDN w:val="0"/>
              <w:adjustRightInd w:val="0"/>
              <w:snapToGrid w:val="0"/>
              <w:spacing w:line="240" w:lineRule="auto"/>
              <w:jc w:val="left"/>
              <w:textAlignment w:val="baseline"/>
              <w:rPr>
                <w:rFonts w:hint="default" w:ascii="宋体" w:hAnsi="宋体" w:eastAsia="宋体" w:cs="Arial"/>
                <w:snapToGrid w:val="0"/>
                <w:color w:val="000000"/>
                <w:kern w:val="0"/>
                <w:szCs w:val="21"/>
                <w:lang w:val="en-US" w:eastAsia="zh-CN"/>
              </w:rPr>
            </w:pPr>
          </w:p>
        </w:tc>
      </w:tr>
      <w:tr w14:paraId="0A685A97">
        <w:tblPrEx>
          <w:tblCellMar>
            <w:top w:w="0" w:type="dxa"/>
            <w:left w:w="108" w:type="dxa"/>
            <w:bottom w:w="0" w:type="dxa"/>
            <w:right w:w="108" w:type="dxa"/>
          </w:tblCellMar>
        </w:tblPrEx>
        <w:trPr>
          <w:trHeight w:val="483" w:hRule="atLeast"/>
        </w:trPr>
        <w:tc>
          <w:tcPr>
            <w:tcW w:w="3018" w:type="dxa"/>
            <w:noWrap w:val="0"/>
            <w:vAlign w:val="center"/>
          </w:tcPr>
          <w:p w14:paraId="4513D3AB">
            <w:pPr>
              <w:kinsoku w:val="0"/>
              <w:autoSpaceDE w:val="0"/>
              <w:autoSpaceDN w:val="0"/>
              <w:adjustRightInd w:val="0"/>
              <w:snapToGrid w:val="0"/>
              <w:spacing w:line="240" w:lineRule="auto"/>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邮</w:t>
            </w:r>
            <w:r>
              <w:rPr>
                <w:rFonts w:ascii="宋体" w:hAnsi="宋体" w:eastAsia="Arial" w:cs="Arial"/>
                <w:snapToGrid w:val="0"/>
                <w:color w:val="000000"/>
                <w:kern w:val="0"/>
                <w:szCs w:val="21"/>
                <w:lang w:eastAsia="en-US"/>
              </w:rPr>
              <w:t xml:space="preserve">  </w:t>
            </w:r>
            <w:r>
              <w:rPr>
                <w:rFonts w:hint="eastAsia" w:ascii="宋体" w:hAnsi="宋体" w:eastAsia="Arial" w:cs="Arial"/>
                <w:snapToGrid w:val="0"/>
                <w:color w:val="000000"/>
                <w:kern w:val="0"/>
                <w:szCs w:val="21"/>
                <w:lang w:eastAsia="en-US"/>
              </w:rPr>
              <w:t xml:space="preserve">  编</w:t>
            </w:r>
          </w:p>
        </w:tc>
        <w:tc>
          <w:tcPr>
            <w:tcW w:w="5950" w:type="dxa"/>
            <w:noWrap w:val="0"/>
            <w:vAlign w:val="center"/>
          </w:tcPr>
          <w:p w14:paraId="12A6C4E8">
            <w:pPr>
              <w:kinsoku w:val="0"/>
              <w:autoSpaceDE w:val="0"/>
              <w:autoSpaceDN w:val="0"/>
              <w:adjustRightInd w:val="0"/>
              <w:snapToGrid w:val="0"/>
              <w:spacing w:line="240" w:lineRule="auto"/>
              <w:jc w:val="left"/>
              <w:textAlignment w:val="baseline"/>
              <w:rPr>
                <w:rFonts w:hint="default" w:ascii="宋体" w:hAnsi="宋体" w:eastAsia="宋体" w:cs="Arial"/>
                <w:snapToGrid w:val="0"/>
                <w:color w:val="000000"/>
                <w:kern w:val="0"/>
                <w:szCs w:val="21"/>
                <w:lang w:val="en-US" w:eastAsia="zh-CN"/>
              </w:rPr>
            </w:pPr>
          </w:p>
        </w:tc>
      </w:tr>
      <w:tr w14:paraId="496B93EB">
        <w:tblPrEx>
          <w:tblCellMar>
            <w:top w:w="0" w:type="dxa"/>
            <w:left w:w="108" w:type="dxa"/>
            <w:bottom w:w="0" w:type="dxa"/>
            <w:right w:w="108" w:type="dxa"/>
          </w:tblCellMar>
        </w:tblPrEx>
        <w:trPr>
          <w:trHeight w:val="644" w:hRule="atLeast"/>
        </w:trPr>
        <w:tc>
          <w:tcPr>
            <w:tcW w:w="3018" w:type="dxa"/>
            <w:noWrap w:val="0"/>
            <w:vAlign w:val="center"/>
          </w:tcPr>
          <w:p w14:paraId="7D807DE8">
            <w:pPr>
              <w:kinsoku w:val="0"/>
              <w:autoSpaceDE w:val="0"/>
              <w:autoSpaceDN w:val="0"/>
              <w:adjustRightInd w:val="0"/>
              <w:snapToGrid w:val="0"/>
              <w:spacing w:line="240" w:lineRule="auto"/>
              <w:jc w:val="center"/>
              <w:textAlignment w:val="baseline"/>
              <w:rPr>
                <w:rFonts w:hint="eastAsia" w:ascii="宋体" w:hAnsi="宋体" w:eastAsia="宋体" w:cs="Arial"/>
                <w:snapToGrid w:val="0"/>
                <w:color w:val="000000"/>
                <w:kern w:val="0"/>
                <w:szCs w:val="21"/>
                <w:lang w:eastAsia="zh-CN"/>
              </w:rPr>
            </w:pPr>
            <w:r>
              <w:rPr>
                <w:rFonts w:hint="eastAsia" w:ascii="宋体" w:hAnsi="宋体" w:eastAsia="Arial" w:cs="Arial"/>
                <w:snapToGrid w:val="0"/>
                <w:color w:val="000000"/>
                <w:kern w:val="0"/>
                <w:szCs w:val="21"/>
                <w:lang w:eastAsia="en-US"/>
              </w:rPr>
              <w:t>法定代表人</w:t>
            </w:r>
            <w:r>
              <w:rPr>
                <w:rFonts w:hint="eastAsia" w:ascii="宋体" w:hAnsi="宋体" w:eastAsia="宋体" w:cs="Arial"/>
                <w:snapToGrid w:val="0"/>
                <w:color w:val="000000"/>
                <w:kern w:val="0"/>
                <w:szCs w:val="21"/>
                <w:lang w:eastAsia="zh-CN"/>
              </w:rPr>
              <w:t>：</w:t>
            </w:r>
          </w:p>
        </w:tc>
        <w:tc>
          <w:tcPr>
            <w:tcW w:w="5950" w:type="dxa"/>
            <w:noWrap w:val="0"/>
            <w:vAlign w:val="center"/>
          </w:tcPr>
          <w:p w14:paraId="01498835">
            <w:pPr>
              <w:kinsoku w:val="0"/>
              <w:autoSpaceDE w:val="0"/>
              <w:autoSpaceDN w:val="0"/>
              <w:adjustRightInd w:val="0"/>
              <w:snapToGrid w:val="0"/>
              <w:spacing w:line="240" w:lineRule="auto"/>
              <w:jc w:val="left"/>
              <w:textAlignment w:val="baseline"/>
              <w:rPr>
                <w:rFonts w:ascii="宋体" w:hAnsi="宋体" w:eastAsia="Arial" w:cs="Arial"/>
                <w:snapToGrid w:val="0"/>
                <w:color w:val="000000"/>
                <w:kern w:val="0"/>
                <w:szCs w:val="21"/>
                <w:u w:val="single"/>
                <w:lang w:eastAsia="en-US"/>
              </w:rPr>
            </w:pPr>
          </w:p>
        </w:tc>
      </w:tr>
      <w:tr w14:paraId="4042A992">
        <w:tblPrEx>
          <w:tblCellMar>
            <w:top w:w="0" w:type="dxa"/>
            <w:left w:w="108" w:type="dxa"/>
            <w:bottom w:w="0" w:type="dxa"/>
            <w:right w:w="108" w:type="dxa"/>
          </w:tblCellMar>
        </w:tblPrEx>
        <w:trPr>
          <w:trHeight w:val="644" w:hRule="atLeast"/>
        </w:trPr>
        <w:tc>
          <w:tcPr>
            <w:tcW w:w="3018" w:type="dxa"/>
            <w:noWrap w:val="0"/>
            <w:vAlign w:val="center"/>
          </w:tcPr>
          <w:p w14:paraId="5784C0AE">
            <w:pPr>
              <w:kinsoku w:val="0"/>
              <w:autoSpaceDE w:val="0"/>
              <w:autoSpaceDN w:val="0"/>
              <w:adjustRightInd w:val="0"/>
              <w:snapToGrid w:val="0"/>
              <w:spacing w:line="240" w:lineRule="auto"/>
              <w:jc w:val="center"/>
              <w:textAlignment w:val="baseline"/>
              <w:rPr>
                <w:rFonts w:hint="eastAsia" w:ascii="宋体" w:hAnsi="宋体" w:eastAsia="宋体" w:cs="Arial"/>
                <w:snapToGrid w:val="0"/>
                <w:color w:val="000000"/>
                <w:kern w:val="0"/>
                <w:szCs w:val="21"/>
                <w:lang w:eastAsia="zh-CN"/>
              </w:rPr>
            </w:pPr>
            <w:r>
              <w:rPr>
                <w:rFonts w:hint="eastAsia" w:ascii="宋体" w:hAnsi="宋体" w:eastAsia="Arial" w:cs="Arial"/>
                <w:snapToGrid w:val="0"/>
                <w:color w:val="000000"/>
                <w:kern w:val="0"/>
                <w:szCs w:val="21"/>
                <w:lang w:eastAsia="en-US"/>
              </w:rPr>
              <w:t>委托代理人</w:t>
            </w:r>
            <w:r>
              <w:rPr>
                <w:rFonts w:hint="eastAsia" w:ascii="宋体" w:hAnsi="宋体" w:eastAsia="宋体" w:cs="Arial"/>
                <w:snapToGrid w:val="0"/>
                <w:color w:val="000000"/>
                <w:kern w:val="0"/>
                <w:szCs w:val="21"/>
                <w:lang w:eastAsia="zh-CN"/>
              </w:rPr>
              <w:t>：</w:t>
            </w:r>
          </w:p>
        </w:tc>
        <w:tc>
          <w:tcPr>
            <w:tcW w:w="5950" w:type="dxa"/>
            <w:noWrap w:val="0"/>
            <w:vAlign w:val="center"/>
          </w:tcPr>
          <w:p w14:paraId="7D66D952">
            <w:pPr>
              <w:kinsoku w:val="0"/>
              <w:autoSpaceDE w:val="0"/>
              <w:autoSpaceDN w:val="0"/>
              <w:adjustRightInd w:val="0"/>
              <w:snapToGrid w:val="0"/>
              <w:spacing w:line="240" w:lineRule="auto"/>
              <w:jc w:val="left"/>
              <w:textAlignment w:val="baseline"/>
              <w:rPr>
                <w:rFonts w:ascii="宋体" w:hAnsi="宋体" w:eastAsia="Arial" w:cs="Arial"/>
                <w:snapToGrid w:val="0"/>
                <w:color w:val="000000"/>
                <w:kern w:val="0"/>
                <w:szCs w:val="21"/>
                <w:u w:val="single"/>
                <w:lang w:eastAsia="en-US"/>
              </w:rPr>
            </w:pPr>
          </w:p>
        </w:tc>
      </w:tr>
      <w:tr w14:paraId="7710C357">
        <w:tblPrEx>
          <w:tblCellMar>
            <w:top w:w="0" w:type="dxa"/>
            <w:left w:w="108" w:type="dxa"/>
            <w:bottom w:w="0" w:type="dxa"/>
            <w:right w:w="108" w:type="dxa"/>
          </w:tblCellMar>
        </w:tblPrEx>
        <w:trPr>
          <w:trHeight w:val="534" w:hRule="atLeast"/>
        </w:trPr>
        <w:tc>
          <w:tcPr>
            <w:tcW w:w="3018" w:type="dxa"/>
            <w:noWrap w:val="0"/>
            <w:vAlign w:val="center"/>
          </w:tcPr>
          <w:p w14:paraId="3BE7DF8D">
            <w:pPr>
              <w:kinsoku w:val="0"/>
              <w:autoSpaceDE w:val="0"/>
              <w:autoSpaceDN w:val="0"/>
              <w:adjustRightInd w:val="0"/>
              <w:snapToGrid w:val="0"/>
              <w:spacing w:line="240" w:lineRule="auto"/>
              <w:jc w:val="center"/>
              <w:textAlignment w:val="baseline"/>
              <w:rPr>
                <w:rFonts w:hint="eastAsia"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经办人：</w:t>
            </w:r>
          </w:p>
        </w:tc>
        <w:tc>
          <w:tcPr>
            <w:tcW w:w="5950" w:type="dxa"/>
            <w:noWrap w:val="0"/>
            <w:vAlign w:val="center"/>
          </w:tcPr>
          <w:p w14:paraId="1CDD1691">
            <w:pPr>
              <w:kinsoku w:val="0"/>
              <w:autoSpaceDE w:val="0"/>
              <w:autoSpaceDN w:val="0"/>
              <w:adjustRightInd w:val="0"/>
              <w:snapToGrid w:val="0"/>
              <w:spacing w:line="240" w:lineRule="auto"/>
              <w:jc w:val="left"/>
              <w:textAlignment w:val="baseline"/>
              <w:rPr>
                <w:rFonts w:hint="eastAsia" w:ascii="宋体" w:hAnsi="宋体" w:eastAsia="Arial" w:cs="Arial"/>
                <w:snapToGrid w:val="0"/>
                <w:color w:val="000000"/>
                <w:kern w:val="0"/>
                <w:szCs w:val="21"/>
                <w:lang w:eastAsia="en-US"/>
              </w:rPr>
            </w:pPr>
          </w:p>
        </w:tc>
      </w:tr>
      <w:tr w14:paraId="078F56FC">
        <w:tblPrEx>
          <w:tblCellMar>
            <w:top w:w="0" w:type="dxa"/>
            <w:left w:w="108" w:type="dxa"/>
            <w:bottom w:w="0" w:type="dxa"/>
            <w:right w:w="108" w:type="dxa"/>
          </w:tblCellMar>
        </w:tblPrEx>
        <w:trPr>
          <w:trHeight w:val="401" w:hRule="atLeast"/>
        </w:trPr>
        <w:tc>
          <w:tcPr>
            <w:tcW w:w="3018" w:type="dxa"/>
            <w:noWrap w:val="0"/>
            <w:vAlign w:val="center"/>
          </w:tcPr>
          <w:p w14:paraId="4AF6BDB4">
            <w:pPr>
              <w:kinsoku w:val="0"/>
              <w:autoSpaceDE w:val="0"/>
              <w:autoSpaceDN w:val="0"/>
              <w:adjustRightInd w:val="0"/>
              <w:snapToGrid w:val="0"/>
              <w:spacing w:line="240" w:lineRule="auto"/>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联系电话</w:t>
            </w:r>
          </w:p>
        </w:tc>
        <w:tc>
          <w:tcPr>
            <w:tcW w:w="5950" w:type="dxa"/>
            <w:noWrap w:val="0"/>
            <w:vAlign w:val="center"/>
          </w:tcPr>
          <w:p w14:paraId="6F7788F2">
            <w:pPr>
              <w:kinsoku w:val="0"/>
              <w:autoSpaceDE w:val="0"/>
              <w:autoSpaceDN w:val="0"/>
              <w:adjustRightInd w:val="0"/>
              <w:snapToGrid w:val="0"/>
              <w:spacing w:line="240" w:lineRule="auto"/>
              <w:jc w:val="left"/>
              <w:textAlignment w:val="baseline"/>
              <w:rPr>
                <w:rFonts w:hint="default" w:ascii="宋体" w:hAnsi="宋体" w:eastAsia="宋体" w:cs="Arial"/>
                <w:snapToGrid w:val="0"/>
                <w:color w:val="000000"/>
                <w:kern w:val="0"/>
                <w:szCs w:val="21"/>
                <w:lang w:val="en-US" w:eastAsia="zh-CN"/>
              </w:rPr>
            </w:pPr>
          </w:p>
        </w:tc>
      </w:tr>
      <w:tr w14:paraId="69D5078C">
        <w:tblPrEx>
          <w:tblCellMar>
            <w:top w:w="0" w:type="dxa"/>
            <w:left w:w="108" w:type="dxa"/>
            <w:bottom w:w="0" w:type="dxa"/>
            <w:right w:w="108" w:type="dxa"/>
          </w:tblCellMar>
        </w:tblPrEx>
        <w:trPr>
          <w:trHeight w:val="401" w:hRule="atLeast"/>
        </w:trPr>
        <w:tc>
          <w:tcPr>
            <w:tcW w:w="3018" w:type="dxa"/>
            <w:noWrap w:val="0"/>
            <w:vAlign w:val="center"/>
          </w:tcPr>
          <w:p w14:paraId="3A29FB54">
            <w:pPr>
              <w:kinsoku w:val="0"/>
              <w:autoSpaceDE w:val="0"/>
              <w:autoSpaceDN w:val="0"/>
              <w:adjustRightInd w:val="0"/>
              <w:snapToGrid w:val="0"/>
              <w:spacing w:line="240" w:lineRule="auto"/>
              <w:jc w:val="center"/>
              <w:textAlignment w:val="baseline"/>
              <w:rPr>
                <w:rFonts w:ascii="宋体" w:hAnsi="宋体" w:eastAsia="Arial" w:cs="Arial"/>
                <w:caps/>
                <w:snapToGrid w:val="0"/>
                <w:color w:val="000000"/>
                <w:kern w:val="0"/>
                <w:szCs w:val="21"/>
                <w:lang w:eastAsia="en-US"/>
              </w:rPr>
            </w:pPr>
            <w:r>
              <w:rPr>
                <w:rFonts w:hint="eastAsia" w:ascii="宋体" w:hAnsi="宋体" w:eastAsia="Arial" w:cs="Arial"/>
                <w:snapToGrid w:val="0"/>
                <w:color w:val="000000"/>
                <w:kern w:val="0"/>
                <w:szCs w:val="21"/>
                <w:lang w:eastAsia="en-US"/>
              </w:rPr>
              <w:t>开</w:t>
            </w:r>
            <w:r>
              <w:rPr>
                <w:rFonts w:ascii="宋体" w:hAnsi="宋体" w:eastAsia="Arial" w:cs="Arial"/>
                <w:snapToGrid w:val="0"/>
                <w:color w:val="000000"/>
                <w:kern w:val="0"/>
                <w:szCs w:val="21"/>
                <w:lang w:eastAsia="en-US"/>
              </w:rPr>
              <w:t xml:space="preserve"> </w:t>
            </w:r>
            <w:r>
              <w:rPr>
                <w:rFonts w:hint="eastAsia" w:ascii="宋体" w:hAnsi="宋体" w:eastAsia="Arial" w:cs="Arial"/>
                <w:snapToGrid w:val="0"/>
                <w:color w:val="000000"/>
                <w:kern w:val="0"/>
                <w:szCs w:val="21"/>
                <w:lang w:eastAsia="en-US"/>
              </w:rPr>
              <w:t>户</w:t>
            </w:r>
            <w:r>
              <w:rPr>
                <w:rFonts w:ascii="宋体" w:hAnsi="宋体" w:eastAsia="Arial" w:cs="Arial"/>
                <w:snapToGrid w:val="0"/>
                <w:color w:val="000000"/>
                <w:kern w:val="0"/>
                <w:szCs w:val="21"/>
                <w:lang w:eastAsia="en-US"/>
              </w:rPr>
              <w:t xml:space="preserve"> </w:t>
            </w:r>
            <w:r>
              <w:rPr>
                <w:rFonts w:hint="eastAsia" w:ascii="宋体" w:hAnsi="宋体" w:eastAsia="Arial" w:cs="Arial"/>
                <w:snapToGrid w:val="0"/>
                <w:color w:val="000000"/>
                <w:kern w:val="0"/>
                <w:szCs w:val="21"/>
                <w:lang w:eastAsia="en-US"/>
              </w:rPr>
              <w:t>行</w:t>
            </w:r>
          </w:p>
        </w:tc>
        <w:tc>
          <w:tcPr>
            <w:tcW w:w="5950" w:type="dxa"/>
            <w:noWrap w:val="0"/>
            <w:vAlign w:val="center"/>
          </w:tcPr>
          <w:p w14:paraId="549F889F">
            <w:pPr>
              <w:widowControl w:val="0"/>
              <w:kinsoku w:val="0"/>
              <w:autoSpaceDE w:val="0"/>
              <w:autoSpaceDN w:val="0"/>
              <w:adjustRightInd/>
              <w:snapToGrid w:val="0"/>
              <w:spacing w:before="0" w:beforeLines="0" w:after="0" w:afterLines="0" w:line="240" w:lineRule="auto"/>
              <w:jc w:val="both"/>
              <w:textAlignment w:val="auto"/>
              <w:rPr>
                <w:rFonts w:hint="default" w:ascii="宋体" w:hAnsi="宋体" w:eastAsia="宋体" w:cs="Arial"/>
                <w:snapToGrid w:val="0"/>
                <w:color w:val="000000"/>
                <w:kern w:val="0"/>
                <w:sz w:val="21"/>
                <w:szCs w:val="21"/>
                <w:lang w:val="en-US" w:eastAsia="zh-CN" w:bidi="ar-SA"/>
              </w:rPr>
            </w:pPr>
          </w:p>
        </w:tc>
      </w:tr>
      <w:tr w14:paraId="1B414FD9">
        <w:tblPrEx>
          <w:tblCellMar>
            <w:top w:w="0" w:type="dxa"/>
            <w:left w:w="108" w:type="dxa"/>
            <w:bottom w:w="0" w:type="dxa"/>
            <w:right w:w="108" w:type="dxa"/>
          </w:tblCellMar>
        </w:tblPrEx>
        <w:trPr>
          <w:trHeight w:val="401" w:hRule="atLeast"/>
        </w:trPr>
        <w:tc>
          <w:tcPr>
            <w:tcW w:w="3018" w:type="dxa"/>
            <w:noWrap w:val="0"/>
            <w:vAlign w:val="center"/>
          </w:tcPr>
          <w:p w14:paraId="1F5E9884">
            <w:pPr>
              <w:kinsoku w:val="0"/>
              <w:autoSpaceDE w:val="0"/>
              <w:autoSpaceDN w:val="0"/>
              <w:adjustRightInd w:val="0"/>
              <w:snapToGrid w:val="0"/>
              <w:spacing w:line="240" w:lineRule="auto"/>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帐</w:t>
            </w:r>
            <w:r>
              <w:rPr>
                <w:rFonts w:ascii="宋体" w:hAnsi="宋体" w:eastAsia="Arial" w:cs="Arial"/>
                <w:snapToGrid w:val="0"/>
                <w:color w:val="000000"/>
                <w:kern w:val="0"/>
                <w:szCs w:val="21"/>
                <w:lang w:eastAsia="en-US"/>
              </w:rPr>
              <w:t xml:space="preserve">    </w:t>
            </w:r>
            <w:r>
              <w:rPr>
                <w:rFonts w:hint="eastAsia" w:ascii="宋体" w:hAnsi="宋体" w:eastAsia="Arial" w:cs="Arial"/>
                <w:snapToGrid w:val="0"/>
                <w:color w:val="000000"/>
                <w:kern w:val="0"/>
                <w:szCs w:val="21"/>
                <w:lang w:eastAsia="en-US"/>
              </w:rPr>
              <w:t>号</w:t>
            </w:r>
          </w:p>
        </w:tc>
        <w:tc>
          <w:tcPr>
            <w:tcW w:w="5950" w:type="dxa"/>
            <w:noWrap w:val="0"/>
            <w:vAlign w:val="center"/>
          </w:tcPr>
          <w:p w14:paraId="0D67C010">
            <w:pPr>
              <w:widowControl w:val="0"/>
              <w:kinsoku w:val="0"/>
              <w:autoSpaceDE w:val="0"/>
              <w:autoSpaceDN w:val="0"/>
              <w:adjustRightInd/>
              <w:snapToGrid w:val="0"/>
              <w:spacing w:before="0" w:beforeLines="0" w:after="0" w:afterLines="0" w:line="240" w:lineRule="auto"/>
              <w:jc w:val="both"/>
              <w:textAlignment w:val="auto"/>
              <w:rPr>
                <w:rFonts w:hint="default" w:ascii="宋体" w:hAnsi="宋体" w:eastAsia="宋体" w:cs="Arial"/>
                <w:snapToGrid w:val="0"/>
                <w:color w:val="000000"/>
                <w:kern w:val="0"/>
                <w:sz w:val="21"/>
                <w:szCs w:val="21"/>
                <w:lang w:val="en-US" w:eastAsia="zh-CN" w:bidi="ar-SA"/>
              </w:rPr>
            </w:pPr>
          </w:p>
        </w:tc>
      </w:tr>
      <w:tr w14:paraId="22525015">
        <w:tblPrEx>
          <w:tblCellMar>
            <w:top w:w="0" w:type="dxa"/>
            <w:left w:w="108" w:type="dxa"/>
            <w:bottom w:w="0" w:type="dxa"/>
            <w:right w:w="108" w:type="dxa"/>
          </w:tblCellMar>
        </w:tblPrEx>
        <w:trPr>
          <w:trHeight w:val="401" w:hRule="atLeast"/>
        </w:trPr>
        <w:tc>
          <w:tcPr>
            <w:tcW w:w="3018" w:type="dxa"/>
            <w:noWrap w:val="0"/>
            <w:vAlign w:val="center"/>
          </w:tcPr>
          <w:p w14:paraId="2E94B2C0">
            <w:pPr>
              <w:kinsoku w:val="0"/>
              <w:autoSpaceDE w:val="0"/>
              <w:autoSpaceDN w:val="0"/>
              <w:adjustRightInd w:val="0"/>
              <w:snapToGrid w:val="0"/>
              <w:spacing w:line="240" w:lineRule="auto"/>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税</w:t>
            </w:r>
            <w:r>
              <w:rPr>
                <w:rFonts w:ascii="宋体" w:hAnsi="宋体" w:eastAsia="Arial" w:cs="Arial"/>
                <w:snapToGrid w:val="0"/>
                <w:color w:val="000000"/>
                <w:kern w:val="0"/>
                <w:szCs w:val="21"/>
                <w:lang w:eastAsia="en-US"/>
              </w:rPr>
              <w:t xml:space="preserve">    </w:t>
            </w:r>
            <w:r>
              <w:rPr>
                <w:rFonts w:hint="eastAsia" w:ascii="宋体" w:hAnsi="宋体" w:eastAsia="Arial" w:cs="Arial"/>
                <w:snapToGrid w:val="0"/>
                <w:color w:val="000000"/>
                <w:kern w:val="0"/>
                <w:szCs w:val="21"/>
                <w:lang w:eastAsia="en-US"/>
              </w:rPr>
              <w:t>号</w:t>
            </w:r>
          </w:p>
        </w:tc>
        <w:tc>
          <w:tcPr>
            <w:tcW w:w="5950" w:type="dxa"/>
            <w:noWrap w:val="0"/>
            <w:vAlign w:val="center"/>
          </w:tcPr>
          <w:p w14:paraId="552D2E89">
            <w:pPr>
              <w:widowControl w:val="0"/>
              <w:kinsoku w:val="0"/>
              <w:autoSpaceDE w:val="0"/>
              <w:autoSpaceDN w:val="0"/>
              <w:adjustRightInd/>
              <w:snapToGrid w:val="0"/>
              <w:spacing w:before="0" w:beforeLines="0" w:after="0" w:afterLines="0" w:line="240" w:lineRule="auto"/>
              <w:jc w:val="both"/>
              <w:textAlignment w:val="auto"/>
              <w:rPr>
                <w:rFonts w:hint="default" w:ascii="宋体" w:hAnsi="宋体" w:eastAsia="宋体" w:cs="Arial"/>
                <w:snapToGrid w:val="0"/>
                <w:color w:val="000000"/>
                <w:kern w:val="0"/>
                <w:sz w:val="21"/>
                <w:szCs w:val="21"/>
                <w:lang w:val="en-US" w:eastAsia="zh-CN" w:bidi="ar-SA"/>
              </w:rPr>
            </w:pPr>
          </w:p>
        </w:tc>
      </w:tr>
      <w:tr w14:paraId="1C85589D">
        <w:tblPrEx>
          <w:tblCellMar>
            <w:top w:w="0" w:type="dxa"/>
            <w:left w:w="108" w:type="dxa"/>
            <w:bottom w:w="0" w:type="dxa"/>
            <w:right w:w="108" w:type="dxa"/>
          </w:tblCellMar>
        </w:tblPrEx>
        <w:trPr>
          <w:trHeight w:val="401" w:hRule="atLeast"/>
        </w:trPr>
        <w:tc>
          <w:tcPr>
            <w:tcW w:w="3018" w:type="dxa"/>
            <w:noWrap w:val="0"/>
            <w:vAlign w:val="center"/>
          </w:tcPr>
          <w:p w14:paraId="65FFA4FF">
            <w:pPr>
              <w:kinsoku w:val="0"/>
              <w:autoSpaceDE w:val="0"/>
              <w:autoSpaceDN w:val="0"/>
              <w:adjustRightInd w:val="0"/>
              <w:snapToGrid w:val="0"/>
              <w:spacing w:line="240" w:lineRule="auto"/>
              <w:jc w:val="center"/>
              <w:textAlignment w:val="baseline"/>
              <w:rPr>
                <w:rFonts w:hint="eastAsia"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 xml:space="preserve">签订时间           </w:t>
            </w:r>
          </w:p>
        </w:tc>
        <w:tc>
          <w:tcPr>
            <w:tcW w:w="5950" w:type="dxa"/>
            <w:noWrap w:val="0"/>
            <w:vAlign w:val="center"/>
          </w:tcPr>
          <w:p w14:paraId="5F4609F1">
            <w:pPr>
              <w:widowControl w:val="0"/>
              <w:kinsoku w:val="0"/>
              <w:autoSpaceDE w:val="0"/>
              <w:autoSpaceDN w:val="0"/>
              <w:adjustRightInd/>
              <w:snapToGrid w:val="0"/>
              <w:spacing w:before="0" w:beforeLines="0" w:after="0" w:afterLines="0" w:line="240" w:lineRule="auto"/>
              <w:ind w:firstLine="1260" w:firstLineChars="600"/>
              <w:jc w:val="both"/>
              <w:textAlignment w:val="auto"/>
              <w:rPr>
                <w:rFonts w:hint="eastAsia" w:ascii="宋体" w:hAnsi="宋体" w:eastAsia="Arial" w:cs="Arial"/>
                <w:snapToGrid w:val="0"/>
                <w:color w:val="000000"/>
                <w:kern w:val="0"/>
                <w:sz w:val="21"/>
                <w:szCs w:val="21"/>
                <w:lang w:val="en-US" w:eastAsia="en-US" w:bidi="ar-SA"/>
              </w:rPr>
            </w:pPr>
            <w:r>
              <w:rPr>
                <w:rFonts w:hint="eastAsia" w:ascii="宋体" w:hAnsi="宋体" w:eastAsia="Arial" w:cs="Arial"/>
                <w:snapToGrid w:val="0"/>
                <w:color w:val="000000"/>
                <w:kern w:val="0"/>
                <w:sz w:val="21"/>
                <w:szCs w:val="21"/>
                <w:lang w:val="en-US" w:eastAsia="en-US" w:bidi="ar-SA"/>
              </w:rPr>
              <w:t>年      月       日</w:t>
            </w:r>
          </w:p>
        </w:tc>
      </w:tr>
    </w:tbl>
    <w:p w14:paraId="176B9C2E">
      <w:pPr>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val="en-US" w:eastAsia="zh-CN" w:bidi="ar-SA"/>
        </w:rPr>
      </w:pPr>
    </w:p>
    <w:tbl>
      <w:tblPr>
        <w:tblStyle w:val="16"/>
        <w:tblW w:w="0" w:type="auto"/>
        <w:tblInd w:w="-207" w:type="dxa"/>
        <w:tblLayout w:type="fixed"/>
        <w:tblCellMar>
          <w:top w:w="0" w:type="dxa"/>
          <w:left w:w="108" w:type="dxa"/>
          <w:bottom w:w="0" w:type="dxa"/>
          <w:right w:w="108" w:type="dxa"/>
        </w:tblCellMar>
      </w:tblPr>
      <w:tblGrid>
        <w:gridCol w:w="2984"/>
        <w:gridCol w:w="5934"/>
      </w:tblGrid>
      <w:tr w14:paraId="79E6A86A">
        <w:tblPrEx>
          <w:tblCellMar>
            <w:top w:w="0" w:type="dxa"/>
            <w:left w:w="108" w:type="dxa"/>
            <w:bottom w:w="0" w:type="dxa"/>
            <w:right w:w="108" w:type="dxa"/>
          </w:tblCellMar>
        </w:tblPrEx>
        <w:trPr>
          <w:trHeight w:val="690" w:hRule="atLeast"/>
        </w:trPr>
        <w:tc>
          <w:tcPr>
            <w:tcW w:w="2984" w:type="dxa"/>
            <w:noWrap w:val="0"/>
            <w:vAlign w:val="center"/>
          </w:tcPr>
          <w:p w14:paraId="316C1375">
            <w:pPr>
              <w:kinsoku w:val="0"/>
              <w:autoSpaceDE w:val="0"/>
              <w:autoSpaceDN w:val="0"/>
              <w:adjustRightInd w:val="0"/>
              <w:snapToGrid w:val="0"/>
              <w:spacing w:line="240" w:lineRule="auto"/>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 xml:space="preserve"> 乙方单位名称</w:t>
            </w:r>
          </w:p>
        </w:tc>
        <w:tc>
          <w:tcPr>
            <w:tcW w:w="5934" w:type="dxa"/>
            <w:noWrap w:val="0"/>
            <w:vAlign w:val="center"/>
          </w:tcPr>
          <w:p w14:paraId="0C315660">
            <w:pPr>
              <w:kinsoku w:val="0"/>
              <w:autoSpaceDE w:val="0"/>
              <w:autoSpaceDN w:val="0"/>
              <w:adjustRightInd w:val="0"/>
              <w:snapToGrid w:val="0"/>
              <w:spacing w:line="240" w:lineRule="auto"/>
              <w:ind w:firstLine="1261" w:firstLineChars="600"/>
              <w:jc w:val="left"/>
              <w:textAlignment w:val="baseline"/>
              <w:rPr>
                <w:rFonts w:hint="eastAsia" w:ascii="宋体" w:hAnsi="宋体" w:eastAsia="Arial" w:cs="Arial"/>
                <w:b/>
                <w:snapToGrid w:val="0"/>
                <w:color w:val="000000"/>
                <w:kern w:val="0"/>
                <w:szCs w:val="21"/>
                <w:lang w:eastAsia="en-US"/>
              </w:rPr>
            </w:pPr>
            <w:r>
              <w:rPr>
                <w:rFonts w:hint="eastAsia" w:ascii="宋体" w:hAnsi="宋体" w:eastAsia="Arial" w:cs="Arial"/>
                <w:b/>
                <w:snapToGrid w:val="0"/>
                <w:color w:val="000000"/>
                <w:kern w:val="0"/>
                <w:szCs w:val="21"/>
                <w:lang w:eastAsia="en-US"/>
              </w:rPr>
              <w:t xml:space="preserve"> （盖章）</w:t>
            </w:r>
          </w:p>
        </w:tc>
      </w:tr>
      <w:tr w14:paraId="2DE97741">
        <w:tblPrEx>
          <w:tblCellMar>
            <w:top w:w="0" w:type="dxa"/>
            <w:left w:w="108" w:type="dxa"/>
            <w:bottom w:w="0" w:type="dxa"/>
            <w:right w:w="108" w:type="dxa"/>
          </w:tblCellMar>
        </w:tblPrEx>
        <w:trPr>
          <w:trHeight w:val="447" w:hRule="atLeast"/>
        </w:trPr>
        <w:tc>
          <w:tcPr>
            <w:tcW w:w="2984" w:type="dxa"/>
            <w:noWrap w:val="0"/>
            <w:vAlign w:val="center"/>
          </w:tcPr>
          <w:p w14:paraId="66D8DABF">
            <w:pPr>
              <w:kinsoku w:val="0"/>
              <w:autoSpaceDE w:val="0"/>
              <w:autoSpaceDN w:val="0"/>
              <w:adjustRightInd w:val="0"/>
              <w:snapToGrid w:val="0"/>
              <w:spacing w:line="240" w:lineRule="auto"/>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地</w:t>
            </w:r>
            <w:r>
              <w:rPr>
                <w:rFonts w:ascii="宋体" w:hAnsi="宋体" w:eastAsia="Arial" w:cs="Arial"/>
                <w:snapToGrid w:val="0"/>
                <w:color w:val="000000"/>
                <w:kern w:val="0"/>
                <w:szCs w:val="21"/>
                <w:lang w:eastAsia="en-US"/>
              </w:rPr>
              <w:t xml:space="preserve">  </w:t>
            </w:r>
            <w:r>
              <w:rPr>
                <w:rFonts w:hint="eastAsia" w:ascii="宋体" w:hAnsi="宋体" w:eastAsia="Arial" w:cs="Arial"/>
                <w:snapToGrid w:val="0"/>
                <w:color w:val="000000"/>
                <w:kern w:val="0"/>
                <w:szCs w:val="21"/>
                <w:lang w:eastAsia="en-US"/>
              </w:rPr>
              <w:t xml:space="preserve">  址</w:t>
            </w:r>
          </w:p>
        </w:tc>
        <w:tc>
          <w:tcPr>
            <w:tcW w:w="5934" w:type="dxa"/>
            <w:noWrap w:val="0"/>
            <w:vAlign w:val="center"/>
          </w:tcPr>
          <w:p w14:paraId="1D389E2E">
            <w:pPr>
              <w:kinsoku w:val="0"/>
              <w:autoSpaceDE w:val="0"/>
              <w:autoSpaceDN w:val="0"/>
              <w:adjustRightInd w:val="0"/>
              <w:snapToGrid w:val="0"/>
              <w:spacing w:line="240" w:lineRule="auto"/>
              <w:jc w:val="left"/>
              <w:textAlignment w:val="baseline"/>
              <w:rPr>
                <w:rFonts w:hint="eastAsia" w:ascii="宋体" w:hAnsi="宋体" w:eastAsia="宋体" w:cs="Arial"/>
                <w:snapToGrid w:val="0"/>
                <w:color w:val="000000"/>
                <w:kern w:val="0"/>
                <w:szCs w:val="21"/>
                <w:lang w:eastAsia="zh-CN"/>
              </w:rPr>
            </w:pPr>
          </w:p>
        </w:tc>
      </w:tr>
      <w:tr w14:paraId="49E0355B">
        <w:tblPrEx>
          <w:tblCellMar>
            <w:top w:w="0" w:type="dxa"/>
            <w:left w:w="108" w:type="dxa"/>
            <w:bottom w:w="0" w:type="dxa"/>
            <w:right w:w="108" w:type="dxa"/>
          </w:tblCellMar>
        </w:tblPrEx>
        <w:trPr>
          <w:trHeight w:val="483" w:hRule="atLeast"/>
        </w:trPr>
        <w:tc>
          <w:tcPr>
            <w:tcW w:w="2984" w:type="dxa"/>
            <w:noWrap w:val="0"/>
            <w:vAlign w:val="center"/>
          </w:tcPr>
          <w:p w14:paraId="2C79E4C2">
            <w:pPr>
              <w:kinsoku w:val="0"/>
              <w:autoSpaceDE w:val="0"/>
              <w:autoSpaceDN w:val="0"/>
              <w:adjustRightInd w:val="0"/>
              <w:snapToGrid w:val="0"/>
              <w:spacing w:line="240" w:lineRule="auto"/>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邮</w:t>
            </w:r>
            <w:r>
              <w:rPr>
                <w:rFonts w:ascii="宋体" w:hAnsi="宋体" w:eastAsia="Arial" w:cs="Arial"/>
                <w:snapToGrid w:val="0"/>
                <w:color w:val="000000"/>
                <w:kern w:val="0"/>
                <w:szCs w:val="21"/>
                <w:lang w:eastAsia="en-US"/>
              </w:rPr>
              <w:t xml:space="preserve">  </w:t>
            </w:r>
            <w:r>
              <w:rPr>
                <w:rFonts w:hint="eastAsia" w:ascii="宋体" w:hAnsi="宋体" w:eastAsia="Arial" w:cs="Arial"/>
                <w:snapToGrid w:val="0"/>
                <w:color w:val="000000"/>
                <w:kern w:val="0"/>
                <w:szCs w:val="21"/>
                <w:lang w:eastAsia="en-US"/>
              </w:rPr>
              <w:t xml:space="preserve">  编</w:t>
            </w:r>
          </w:p>
        </w:tc>
        <w:tc>
          <w:tcPr>
            <w:tcW w:w="5934" w:type="dxa"/>
            <w:noWrap w:val="0"/>
            <w:vAlign w:val="center"/>
          </w:tcPr>
          <w:p w14:paraId="1501CB21">
            <w:pPr>
              <w:widowControl w:val="0"/>
              <w:kinsoku w:val="0"/>
              <w:autoSpaceDE w:val="0"/>
              <w:autoSpaceDN w:val="0"/>
              <w:adjustRightInd/>
              <w:snapToGrid w:val="0"/>
              <w:spacing w:before="0" w:beforeLines="0" w:after="0" w:afterLines="0" w:line="240" w:lineRule="auto"/>
              <w:jc w:val="both"/>
              <w:textAlignment w:val="auto"/>
              <w:rPr>
                <w:rFonts w:hint="eastAsia" w:ascii="宋体" w:hAnsi="宋体" w:eastAsia="Arial" w:cs="Arial"/>
                <w:snapToGrid w:val="0"/>
                <w:color w:val="000000"/>
                <w:kern w:val="0"/>
                <w:sz w:val="21"/>
                <w:szCs w:val="21"/>
                <w:lang w:val="en-US" w:eastAsia="en-US" w:bidi="ar-SA"/>
              </w:rPr>
            </w:pPr>
          </w:p>
        </w:tc>
      </w:tr>
      <w:tr w14:paraId="130CD601">
        <w:tblPrEx>
          <w:tblCellMar>
            <w:top w:w="0" w:type="dxa"/>
            <w:left w:w="108" w:type="dxa"/>
            <w:bottom w:w="0" w:type="dxa"/>
            <w:right w:w="108" w:type="dxa"/>
          </w:tblCellMar>
        </w:tblPrEx>
        <w:trPr>
          <w:trHeight w:val="644" w:hRule="atLeast"/>
        </w:trPr>
        <w:tc>
          <w:tcPr>
            <w:tcW w:w="2984" w:type="dxa"/>
            <w:noWrap w:val="0"/>
            <w:vAlign w:val="center"/>
          </w:tcPr>
          <w:p w14:paraId="65911C2A">
            <w:pPr>
              <w:kinsoku w:val="0"/>
              <w:autoSpaceDE w:val="0"/>
              <w:autoSpaceDN w:val="0"/>
              <w:adjustRightInd w:val="0"/>
              <w:snapToGrid w:val="0"/>
              <w:spacing w:line="240" w:lineRule="auto"/>
              <w:jc w:val="center"/>
              <w:textAlignment w:val="baseline"/>
              <w:rPr>
                <w:rFonts w:hint="eastAsia"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法定代表人（或委托代理人）</w:t>
            </w:r>
          </w:p>
        </w:tc>
        <w:tc>
          <w:tcPr>
            <w:tcW w:w="5934" w:type="dxa"/>
            <w:noWrap w:val="0"/>
            <w:vAlign w:val="center"/>
          </w:tcPr>
          <w:p w14:paraId="5508AC93">
            <w:pPr>
              <w:widowControl w:val="0"/>
              <w:kinsoku w:val="0"/>
              <w:autoSpaceDE w:val="0"/>
              <w:autoSpaceDN w:val="0"/>
              <w:adjustRightInd/>
              <w:snapToGrid w:val="0"/>
              <w:spacing w:before="0" w:beforeLines="0" w:after="0" w:afterLines="0" w:line="240" w:lineRule="auto"/>
              <w:jc w:val="both"/>
              <w:textAlignment w:val="auto"/>
              <w:rPr>
                <w:rFonts w:hint="eastAsia" w:ascii="宋体" w:hAnsi="宋体" w:eastAsia="Arial" w:cs="Arial"/>
                <w:snapToGrid w:val="0"/>
                <w:color w:val="000000"/>
                <w:kern w:val="0"/>
                <w:sz w:val="21"/>
                <w:szCs w:val="21"/>
                <w:lang w:val="en-US" w:eastAsia="en-US" w:bidi="ar-SA"/>
              </w:rPr>
            </w:pPr>
          </w:p>
        </w:tc>
      </w:tr>
      <w:tr w14:paraId="428AE5D0">
        <w:tblPrEx>
          <w:tblCellMar>
            <w:top w:w="0" w:type="dxa"/>
            <w:left w:w="108" w:type="dxa"/>
            <w:bottom w:w="0" w:type="dxa"/>
            <w:right w:w="108" w:type="dxa"/>
          </w:tblCellMar>
        </w:tblPrEx>
        <w:trPr>
          <w:trHeight w:val="534" w:hRule="atLeast"/>
        </w:trPr>
        <w:tc>
          <w:tcPr>
            <w:tcW w:w="2984" w:type="dxa"/>
            <w:noWrap w:val="0"/>
            <w:vAlign w:val="center"/>
          </w:tcPr>
          <w:p w14:paraId="7DFC1921">
            <w:pPr>
              <w:kinsoku w:val="0"/>
              <w:autoSpaceDE w:val="0"/>
              <w:autoSpaceDN w:val="0"/>
              <w:adjustRightInd w:val="0"/>
              <w:snapToGrid w:val="0"/>
              <w:spacing w:line="240" w:lineRule="auto"/>
              <w:jc w:val="center"/>
              <w:textAlignment w:val="baseline"/>
              <w:rPr>
                <w:rFonts w:hint="eastAsia"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经办人：</w:t>
            </w:r>
          </w:p>
        </w:tc>
        <w:tc>
          <w:tcPr>
            <w:tcW w:w="5934" w:type="dxa"/>
            <w:noWrap w:val="0"/>
            <w:vAlign w:val="center"/>
          </w:tcPr>
          <w:p w14:paraId="0C0A9374">
            <w:pPr>
              <w:kinsoku w:val="0"/>
              <w:autoSpaceDE w:val="0"/>
              <w:autoSpaceDN w:val="0"/>
              <w:adjustRightInd w:val="0"/>
              <w:snapToGrid w:val="0"/>
              <w:spacing w:line="240" w:lineRule="auto"/>
              <w:ind w:right="360" w:firstLine="2100" w:firstLineChars="1000"/>
              <w:jc w:val="left"/>
              <w:textAlignment w:val="baseline"/>
              <w:rPr>
                <w:rFonts w:hint="eastAsia" w:ascii="宋体" w:hAnsi="宋体" w:eastAsia="Arial" w:cs="Arial"/>
                <w:snapToGrid w:val="0"/>
                <w:color w:val="000000"/>
                <w:kern w:val="0"/>
                <w:szCs w:val="21"/>
                <w:lang w:eastAsia="en-US"/>
              </w:rPr>
            </w:pPr>
          </w:p>
        </w:tc>
      </w:tr>
      <w:tr w14:paraId="16DB02BE">
        <w:tblPrEx>
          <w:tblCellMar>
            <w:top w:w="0" w:type="dxa"/>
            <w:left w:w="108" w:type="dxa"/>
            <w:bottom w:w="0" w:type="dxa"/>
            <w:right w:w="108" w:type="dxa"/>
          </w:tblCellMar>
        </w:tblPrEx>
        <w:trPr>
          <w:trHeight w:val="401" w:hRule="atLeast"/>
        </w:trPr>
        <w:tc>
          <w:tcPr>
            <w:tcW w:w="2984" w:type="dxa"/>
            <w:noWrap w:val="0"/>
            <w:vAlign w:val="center"/>
          </w:tcPr>
          <w:p w14:paraId="659CAD72">
            <w:pPr>
              <w:kinsoku w:val="0"/>
              <w:autoSpaceDE w:val="0"/>
              <w:autoSpaceDN w:val="0"/>
              <w:adjustRightInd w:val="0"/>
              <w:snapToGrid w:val="0"/>
              <w:spacing w:line="240" w:lineRule="auto"/>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联系电话</w:t>
            </w:r>
          </w:p>
        </w:tc>
        <w:tc>
          <w:tcPr>
            <w:tcW w:w="5934" w:type="dxa"/>
            <w:noWrap w:val="0"/>
            <w:vAlign w:val="center"/>
          </w:tcPr>
          <w:p w14:paraId="0A3F8402">
            <w:pPr>
              <w:kinsoku w:val="0"/>
              <w:autoSpaceDE w:val="0"/>
              <w:autoSpaceDN w:val="0"/>
              <w:adjustRightInd w:val="0"/>
              <w:snapToGrid w:val="0"/>
              <w:spacing w:line="360" w:lineRule="auto"/>
              <w:jc w:val="left"/>
              <w:textAlignment w:val="baseline"/>
              <w:rPr>
                <w:rFonts w:hint="eastAsia" w:ascii="宋体" w:hAnsi="宋体" w:eastAsia="Arial" w:cs="Arial"/>
                <w:snapToGrid w:val="0"/>
                <w:color w:val="000000"/>
                <w:kern w:val="0"/>
                <w:szCs w:val="21"/>
                <w:lang w:eastAsia="en-US"/>
              </w:rPr>
            </w:pPr>
          </w:p>
        </w:tc>
      </w:tr>
      <w:tr w14:paraId="4C21AC51">
        <w:tblPrEx>
          <w:tblCellMar>
            <w:top w:w="0" w:type="dxa"/>
            <w:left w:w="108" w:type="dxa"/>
            <w:bottom w:w="0" w:type="dxa"/>
            <w:right w:w="108" w:type="dxa"/>
          </w:tblCellMar>
        </w:tblPrEx>
        <w:trPr>
          <w:trHeight w:val="401" w:hRule="atLeast"/>
        </w:trPr>
        <w:tc>
          <w:tcPr>
            <w:tcW w:w="2984" w:type="dxa"/>
            <w:noWrap w:val="0"/>
            <w:vAlign w:val="center"/>
          </w:tcPr>
          <w:p w14:paraId="6E858B07">
            <w:pPr>
              <w:kinsoku w:val="0"/>
              <w:autoSpaceDE w:val="0"/>
              <w:autoSpaceDN w:val="0"/>
              <w:adjustRightInd w:val="0"/>
              <w:snapToGrid w:val="0"/>
              <w:spacing w:line="240" w:lineRule="auto"/>
              <w:jc w:val="center"/>
              <w:textAlignment w:val="baseline"/>
              <w:rPr>
                <w:rFonts w:ascii="宋体" w:hAnsi="宋体" w:eastAsia="Arial" w:cs="Arial"/>
                <w:caps/>
                <w:snapToGrid w:val="0"/>
                <w:color w:val="000000"/>
                <w:kern w:val="0"/>
                <w:szCs w:val="21"/>
                <w:lang w:eastAsia="en-US"/>
              </w:rPr>
            </w:pPr>
            <w:r>
              <w:rPr>
                <w:rFonts w:hint="eastAsia" w:ascii="宋体" w:hAnsi="宋体" w:eastAsia="Arial" w:cs="Arial"/>
                <w:snapToGrid w:val="0"/>
                <w:color w:val="000000"/>
                <w:kern w:val="0"/>
                <w:szCs w:val="21"/>
                <w:lang w:eastAsia="en-US"/>
              </w:rPr>
              <w:t>开</w:t>
            </w:r>
            <w:r>
              <w:rPr>
                <w:rFonts w:ascii="宋体" w:hAnsi="宋体" w:eastAsia="Arial" w:cs="Arial"/>
                <w:snapToGrid w:val="0"/>
                <w:color w:val="000000"/>
                <w:kern w:val="0"/>
                <w:szCs w:val="21"/>
                <w:lang w:eastAsia="en-US"/>
              </w:rPr>
              <w:t xml:space="preserve"> </w:t>
            </w:r>
            <w:r>
              <w:rPr>
                <w:rFonts w:hint="eastAsia" w:ascii="宋体" w:hAnsi="宋体" w:eastAsia="Arial" w:cs="Arial"/>
                <w:snapToGrid w:val="0"/>
                <w:color w:val="000000"/>
                <w:kern w:val="0"/>
                <w:szCs w:val="21"/>
                <w:lang w:eastAsia="en-US"/>
              </w:rPr>
              <w:t>户</w:t>
            </w:r>
            <w:r>
              <w:rPr>
                <w:rFonts w:ascii="宋体" w:hAnsi="宋体" w:eastAsia="Arial" w:cs="Arial"/>
                <w:snapToGrid w:val="0"/>
                <w:color w:val="000000"/>
                <w:kern w:val="0"/>
                <w:szCs w:val="21"/>
                <w:lang w:eastAsia="en-US"/>
              </w:rPr>
              <w:t xml:space="preserve"> </w:t>
            </w:r>
            <w:r>
              <w:rPr>
                <w:rFonts w:hint="eastAsia" w:ascii="宋体" w:hAnsi="宋体" w:eastAsia="Arial" w:cs="Arial"/>
                <w:snapToGrid w:val="0"/>
                <w:color w:val="000000"/>
                <w:kern w:val="0"/>
                <w:szCs w:val="21"/>
                <w:lang w:eastAsia="en-US"/>
              </w:rPr>
              <w:t>行</w:t>
            </w:r>
          </w:p>
        </w:tc>
        <w:tc>
          <w:tcPr>
            <w:tcW w:w="5934" w:type="dxa"/>
            <w:noWrap w:val="0"/>
            <w:vAlign w:val="center"/>
          </w:tcPr>
          <w:p w14:paraId="55CB99A4">
            <w:pPr>
              <w:widowControl w:val="0"/>
              <w:kinsoku w:val="0"/>
              <w:autoSpaceDE w:val="0"/>
              <w:autoSpaceDN w:val="0"/>
              <w:adjustRightInd/>
              <w:snapToGrid w:val="0"/>
              <w:spacing w:before="0" w:beforeLines="0" w:after="0" w:afterLines="0" w:line="360" w:lineRule="auto"/>
              <w:jc w:val="both"/>
              <w:textAlignment w:val="auto"/>
              <w:rPr>
                <w:rFonts w:hint="eastAsia" w:ascii="宋体" w:hAnsi="宋体" w:eastAsia="Arial" w:cs="Arial"/>
                <w:snapToGrid w:val="0"/>
                <w:color w:val="000000"/>
                <w:kern w:val="0"/>
                <w:sz w:val="21"/>
                <w:szCs w:val="21"/>
                <w:lang w:val="en-US" w:eastAsia="en-US" w:bidi="ar-SA"/>
              </w:rPr>
            </w:pPr>
          </w:p>
        </w:tc>
      </w:tr>
      <w:tr w14:paraId="0C8B3E07">
        <w:tblPrEx>
          <w:tblCellMar>
            <w:top w:w="0" w:type="dxa"/>
            <w:left w:w="108" w:type="dxa"/>
            <w:bottom w:w="0" w:type="dxa"/>
            <w:right w:w="108" w:type="dxa"/>
          </w:tblCellMar>
        </w:tblPrEx>
        <w:trPr>
          <w:trHeight w:val="401" w:hRule="atLeast"/>
        </w:trPr>
        <w:tc>
          <w:tcPr>
            <w:tcW w:w="2984" w:type="dxa"/>
            <w:noWrap w:val="0"/>
            <w:vAlign w:val="center"/>
          </w:tcPr>
          <w:p w14:paraId="25D4D7AD">
            <w:pPr>
              <w:kinsoku w:val="0"/>
              <w:autoSpaceDE w:val="0"/>
              <w:autoSpaceDN w:val="0"/>
              <w:adjustRightInd w:val="0"/>
              <w:snapToGrid w:val="0"/>
              <w:spacing w:line="240" w:lineRule="auto"/>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帐</w:t>
            </w:r>
            <w:r>
              <w:rPr>
                <w:rFonts w:ascii="宋体" w:hAnsi="宋体" w:eastAsia="Arial" w:cs="Arial"/>
                <w:snapToGrid w:val="0"/>
                <w:color w:val="000000"/>
                <w:kern w:val="0"/>
                <w:szCs w:val="21"/>
                <w:lang w:eastAsia="en-US"/>
              </w:rPr>
              <w:t xml:space="preserve">    </w:t>
            </w:r>
            <w:r>
              <w:rPr>
                <w:rFonts w:hint="eastAsia" w:ascii="宋体" w:hAnsi="宋体" w:eastAsia="Arial" w:cs="Arial"/>
                <w:snapToGrid w:val="0"/>
                <w:color w:val="000000"/>
                <w:kern w:val="0"/>
                <w:szCs w:val="21"/>
                <w:lang w:eastAsia="en-US"/>
              </w:rPr>
              <w:t>号</w:t>
            </w:r>
          </w:p>
        </w:tc>
        <w:tc>
          <w:tcPr>
            <w:tcW w:w="5934" w:type="dxa"/>
            <w:noWrap w:val="0"/>
            <w:vAlign w:val="center"/>
          </w:tcPr>
          <w:p w14:paraId="3FAFCCCA">
            <w:pPr>
              <w:widowControl w:val="0"/>
              <w:kinsoku w:val="0"/>
              <w:autoSpaceDE w:val="0"/>
              <w:autoSpaceDN w:val="0"/>
              <w:adjustRightInd/>
              <w:snapToGrid w:val="0"/>
              <w:spacing w:before="0" w:beforeLines="0" w:after="0" w:afterLines="0" w:line="240" w:lineRule="auto"/>
              <w:jc w:val="both"/>
              <w:textAlignment w:val="auto"/>
              <w:rPr>
                <w:rFonts w:hint="eastAsia" w:ascii="宋体" w:hAnsi="宋体" w:eastAsia="Arial" w:cs="Arial"/>
                <w:snapToGrid w:val="0"/>
                <w:color w:val="000000"/>
                <w:kern w:val="0"/>
                <w:sz w:val="21"/>
                <w:szCs w:val="21"/>
                <w:lang w:val="en-US" w:eastAsia="en-US" w:bidi="ar-SA"/>
              </w:rPr>
            </w:pPr>
          </w:p>
        </w:tc>
      </w:tr>
      <w:tr w14:paraId="32EA1483">
        <w:tblPrEx>
          <w:tblCellMar>
            <w:top w:w="0" w:type="dxa"/>
            <w:left w:w="108" w:type="dxa"/>
            <w:bottom w:w="0" w:type="dxa"/>
            <w:right w:w="108" w:type="dxa"/>
          </w:tblCellMar>
        </w:tblPrEx>
        <w:trPr>
          <w:trHeight w:val="401" w:hRule="atLeast"/>
        </w:trPr>
        <w:tc>
          <w:tcPr>
            <w:tcW w:w="2984" w:type="dxa"/>
            <w:noWrap w:val="0"/>
            <w:vAlign w:val="center"/>
          </w:tcPr>
          <w:p w14:paraId="4F1EE5C1">
            <w:pPr>
              <w:kinsoku w:val="0"/>
              <w:autoSpaceDE w:val="0"/>
              <w:autoSpaceDN w:val="0"/>
              <w:adjustRightInd w:val="0"/>
              <w:snapToGrid w:val="0"/>
              <w:spacing w:line="240" w:lineRule="auto"/>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税</w:t>
            </w:r>
            <w:r>
              <w:rPr>
                <w:rFonts w:ascii="宋体" w:hAnsi="宋体" w:eastAsia="Arial" w:cs="Arial"/>
                <w:snapToGrid w:val="0"/>
                <w:color w:val="000000"/>
                <w:kern w:val="0"/>
                <w:szCs w:val="21"/>
                <w:lang w:eastAsia="en-US"/>
              </w:rPr>
              <w:t xml:space="preserve">    </w:t>
            </w:r>
            <w:r>
              <w:rPr>
                <w:rFonts w:hint="eastAsia" w:ascii="宋体" w:hAnsi="宋体" w:eastAsia="Arial" w:cs="Arial"/>
                <w:snapToGrid w:val="0"/>
                <w:color w:val="000000"/>
                <w:kern w:val="0"/>
                <w:szCs w:val="21"/>
                <w:lang w:eastAsia="en-US"/>
              </w:rPr>
              <w:t>号</w:t>
            </w:r>
          </w:p>
        </w:tc>
        <w:tc>
          <w:tcPr>
            <w:tcW w:w="5934" w:type="dxa"/>
            <w:noWrap w:val="0"/>
            <w:vAlign w:val="center"/>
          </w:tcPr>
          <w:p w14:paraId="44FD9CEB">
            <w:pPr>
              <w:kinsoku w:val="0"/>
              <w:autoSpaceDE w:val="0"/>
              <w:autoSpaceDN w:val="0"/>
              <w:adjustRightInd w:val="0"/>
              <w:snapToGrid w:val="0"/>
              <w:spacing w:line="240" w:lineRule="auto"/>
              <w:jc w:val="left"/>
              <w:textAlignment w:val="baseline"/>
              <w:rPr>
                <w:rFonts w:hint="eastAsia" w:ascii="宋体" w:hAnsi="宋体" w:eastAsia="Arial" w:cs="Arial"/>
                <w:snapToGrid w:val="0"/>
                <w:color w:val="000000"/>
                <w:kern w:val="0"/>
                <w:szCs w:val="21"/>
                <w:lang w:eastAsia="en-US"/>
              </w:rPr>
            </w:pPr>
          </w:p>
        </w:tc>
      </w:tr>
      <w:tr w14:paraId="53FC75BF">
        <w:tblPrEx>
          <w:tblCellMar>
            <w:top w:w="0" w:type="dxa"/>
            <w:left w:w="108" w:type="dxa"/>
            <w:bottom w:w="0" w:type="dxa"/>
            <w:right w:w="108" w:type="dxa"/>
          </w:tblCellMar>
        </w:tblPrEx>
        <w:trPr>
          <w:trHeight w:val="401" w:hRule="atLeast"/>
        </w:trPr>
        <w:tc>
          <w:tcPr>
            <w:tcW w:w="2984" w:type="dxa"/>
            <w:noWrap w:val="0"/>
            <w:vAlign w:val="center"/>
          </w:tcPr>
          <w:p w14:paraId="0A032D96">
            <w:pPr>
              <w:kinsoku w:val="0"/>
              <w:autoSpaceDE w:val="0"/>
              <w:autoSpaceDN w:val="0"/>
              <w:adjustRightInd w:val="0"/>
              <w:snapToGrid w:val="0"/>
              <w:spacing w:line="240" w:lineRule="auto"/>
              <w:jc w:val="center"/>
              <w:textAlignment w:val="baseline"/>
              <w:rPr>
                <w:rFonts w:hint="eastAsia"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签订地点</w:t>
            </w:r>
          </w:p>
        </w:tc>
        <w:tc>
          <w:tcPr>
            <w:tcW w:w="5934" w:type="dxa"/>
            <w:noWrap w:val="0"/>
            <w:vAlign w:val="center"/>
          </w:tcPr>
          <w:p w14:paraId="22177AA5">
            <w:pPr>
              <w:kinsoku w:val="0"/>
              <w:autoSpaceDE w:val="0"/>
              <w:autoSpaceDN w:val="0"/>
              <w:adjustRightInd w:val="0"/>
              <w:snapToGrid w:val="0"/>
              <w:spacing w:line="240" w:lineRule="auto"/>
              <w:jc w:val="center"/>
              <w:textAlignment w:val="baseline"/>
              <w:rPr>
                <w:rFonts w:hint="default" w:ascii="宋体" w:hAnsi="宋体" w:eastAsia="宋体" w:cs="Arial"/>
                <w:snapToGrid w:val="0"/>
                <w:color w:val="000000"/>
                <w:kern w:val="0"/>
                <w:szCs w:val="21"/>
                <w:lang w:val="en-US" w:eastAsia="zh-CN"/>
              </w:rPr>
            </w:pPr>
            <w:r>
              <w:rPr>
                <w:rFonts w:hint="eastAsia" w:ascii="宋体" w:hAnsi="宋体" w:eastAsia="Arial" w:cs="Arial"/>
                <w:snapToGrid w:val="0"/>
                <w:color w:val="000000"/>
                <w:kern w:val="0"/>
                <w:sz w:val="21"/>
                <w:szCs w:val="21"/>
                <w:lang w:eastAsia="en-US"/>
              </w:rPr>
              <w:t>年      月       日</w:t>
            </w:r>
          </w:p>
        </w:tc>
      </w:tr>
    </w:tbl>
    <w:p w14:paraId="421DEE99">
      <w:pPr>
        <w:numPr>
          <w:ilvl w:val="0"/>
          <w:numId w:val="1"/>
        </w:numPr>
        <w:spacing w:line="360" w:lineRule="auto"/>
        <w:jc w:val="center"/>
        <w:outlineLvl w:val="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r>
      <w:bookmarkStart w:id="797" w:name="_Toc7257"/>
      <w:r>
        <w:rPr>
          <w:rFonts w:hint="eastAsia" w:ascii="宋体" w:hAnsi="宋体" w:eastAsia="宋体" w:cs="宋体"/>
          <w:color w:val="auto"/>
          <w:highlight w:val="none"/>
        </w:rPr>
        <w:t xml:space="preserve">   </w:t>
      </w:r>
      <w:bookmarkStart w:id="798" w:name="_Toc20097"/>
      <w:r>
        <w:rPr>
          <w:rFonts w:hint="eastAsia" w:ascii="宋体" w:hAnsi="宋体" w:eastAsia="宋体" w:cs="宋体"/>
          <w:b/>
          <w:color w:val="auto"/>
          <w:sz w:val="36"/>
          <w:szCs w:val="36"/>
          <w:highlight w:val="none"/>
        </w:rPr>
        <w:t>投标文件格式</w:t>
      </w:r>
      <w:bookmarkEnd w:id="797"/>
      <w:bookmarkEnd w:id="798"/>
    </w:p>
    <w:p w14:paraId="2DCBE0BA">
      <w:pPr>
        <w:tabs>
          <w:tab w:val="left" w:pos="900"/>
          <w:tab w:val="left" w:pos="1980"/>
        </w:tabs>
        <w:snapToGrid w:val="0"/>
        <w:spacing w:line="360" w:lineRule="auto"/>
        <w:ind w:left="142"/>
        <w:jc w:val="center"/>
        <w:rPr>
          <w:rFonts w:hint="eastAsia" w:ascii="宋体" w:hAnsi="宋体" w:eastAsia="宋体" w:cs="宋体"/>
          <w:color w:val="auto"/>
          <w:sz w:val="24"/>
          <w:highlight w:val="none"/>
        </w:rPr>
      </w:pPr>
      <w:r>
        <w:rPr>
          <w:rFonts w:hint="eastAsia" w:ascii="宋体" w:hAnsi="宋体" w:eastAsia="宋体" w:cs="宋体"/>
          <w:b/>
          <w:color w:val="auto"/>
          <w:sz w:val="24"/>
          <w:highlight w:val="none"/>
        </w:rPr>
        <w:t>供应商编制文件须知</w:t>
      </w:r>
    </w:p>
    <w:p w14:paraId="58780807">
      <w:pPr>
        <w:tabs>
          <w:tab w:val="left" w:pos="900"/>
          <w:tab w:val="left" w:pos="1980"/>
        </w:tabs>
        <w:snapToGrid w:val="0"/>
        <w:spacing w:line="360" w:lineRule="auto"/>
        <w:ind w:left="142"/>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1、供应商按照本部分的顺序编制投标文件（资格证明文件）、投标文件（商务技术文件），编制中涉及格式资料的，应按照本部分提供的内容和格式（所有表格的格式可扩展）填写提交。</w:t>
      </w:r>
    </w:p>
    <w:p w14:paraId="5DCF7357">
      <w:pPr>
        <w:tabs>
          <w:tab w:val="left" w:pos="900"/>
          <w:tab w:val="left" w:pos="1980"/>
        </w:tabs>
        <w:snapToGrid w:val="0"/>
        <w:spacing w:line="360" w:lineRule="auto"/>
        <w:ind w:left="142"/>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kern w:val="0"/>
          <w:sz w:val="24"/>
          <w:highlight w:val="none"/>
        </w:rPr>
        <w:t>对于招标文件中标记了实质性</w:t>
      </w:r>
      <w:r>
        <w:rPr>
          <w:rFonts w:hint="eastAsia" w:ascii="宋体" w:hAnsi="宋体" w:eastAsia="宋体" w:cs="宋体"/>
          <w:color w:val="auto"/>
          <w:kern w:val="0"/>
          <w:sz w:val="24"/>
          <w:highlight w:val="none"/>
          <w:lang w:val="en-US" w:eastAsia="zh-CN"/>
        </w:rPr>
        <w:t>要求</w:t>
      </w:r>
      <w:r>
        <w:rPr>
          <w:rFonts w:hint="eastAsia" w:ascii="宋体" w:hAnsi="宋体" w:eastAsia="宋体" w:cs="宋体"/>
          <w:color w:val="auto"/>
          <w:kern w:val="0"/>
          <w:sz w:val="24"/>
          <w:highlight w:val="none"/>
        </w:rPr>
        <w:t>的，</w:t>
      </w:r>
      <w:r>
        <w:rPr>
          <w:rFonts w:hint="eastAsia" w:ascii="宋体" w:hAnsi="宋体" w:eastAsia="宋体" w:cs="宋体"/>
          <w:color w:val="auto"/>
          <w:sz w:val="24"/>
          <w:highlight w:val="none"/>
        </w:rPr>
        <w:t>供应商</w:t>
      </w:r>
      <w:r>
        <w:rPr>
          <w:rFonts w:hint="eastAsia" w:ascii="宋体" w:hAnsi="宋体" w:eastAsia="宋体" w:cs="宋体"/>
          <w:color w:val="auto"/>
          <w:sz w:val="24"/>
          <w:highlight w:val="none"/>
          <w:lang w:val="en-US" w:eastAsia="zh-CN"/>
        </w:rPr>
        <w:t>应按招标文件要求进行响应。</w:t>
      </w:r>
      <w:r>
        <w:rPr>
          <w:rFonts w:hint="eastAsia" w:ascii="宋体" w:hAnsi="宋体" w:eastAsia="宋体" w:cs="宋体"/>
          <w:color w:val="auto"/>
          <w:sz w:val="24"/>
          <w:highlight w:val="none"/>
        </w:rPr>
        <w:t>不得对应当填写的空格不填写或不实质性响应，</w:t>
      </w:r>
      <w:r>
        <w:rPr>
          <w:rFonts w:hint="eastAsia" w:ascii="宋体" w:hAnsi="宋体" w:eastAsia="宋体" w:cs="宋体"/>
          <w:color w:val="auto"/>
          <w:kern w:val="0"/>
          <w:sz w:val="24"/>
          <w:highlight w:val="none"/>
        </w:rPr>
        <w:t>否则</w:t>
      </w:r>
      <w:r>
        <w:rPr>
          <w:rFonts w:hint="eastAsia" w:ascii="宋体" w:hAnsi="宋体" w:eastAsia="宋体" w:cs="宋体"/>
          <w:b/>
          <w:color w:val="auto"/>
          <w:kern w:val="0"/>
          <w:sz w:val="24"/>
          <w:highlight w:val="none"/>
        </w:rPr>
        <w:t>投标无效</w:t>
      </w:r>
      <w:r>
        <w:rPr>
          <w:rFonts w:hint="eastAsia" w:ascii="宋体" w:hAnsi="宋体" w:eastAsia="宋体" w:cs="宋体"/>
          <w:color w:val="auto"/>
          <w:kern w:val="0"/>
          <w:sz w:val="24"/>
          <w:highlight w:val="none"/>
        </w:rPr>
        <w:t>。未标记实质性</w:t>
      </w:r>
      <w:r>
        <w:rPr>
          <w:rFonts w:hint="eastAsia" w:ascii="宋体" w:hAnsi="宋体" w:eastAsia="宋体" w:cs="宋体"/>
          <w:color w:val="auto"/>
          <w:kern w:val="0"/>
          <w:sz w:val="24"/>
          <w:highlight w:val="none"/>
          <w:lang w:val="en-US" w:eastAsia="zh-CN"/>
        </w:rPr>
        <w:t>要求</w:t>
      </w:r>
      <w:r>
        <w:rPr>
          <w:rFonts w:hint="eastAsia" w:ascii="宋体" w:hAnsi="宋体" w:eastAsia="宋体" w:cs="宋体"/>
          <w:color w:val="auto"/>
          <w:kern w:val="0"/>
          <w:sz w:val="24"/>
          <w:highlight w:val="none"/>
        </w:rPr>
        <w:t>的和招标文件未提供格式的内容，可由供应商自行编写。</w:t>
      </w:r>
    </w:p>
    <w:p w14:paraId="7C50B7BC">
      <w:pPr>
        <w:tabs>
          <w:tab w:val="left" w:pos="900"/>
          <w:tab w:val="left" w:pos="1980"/>
        </w:tabs>
        <w:snapToGrid w:val="0"/>
        <w:spacing w:line="360" w:lineRule="auto"/>
        <w:ind w:left="142"/>
        <w:rPr>
          <w:rFonts w:hint="eastAsia" w:ascii="宋体" w:hAnsi="宋体" w:eastAsia="宋体" w:cs="宋体"/>
          <w:color w:val="auto"/>
          <w:sz w:val="24"/>
          <w:highlight w:val="none"/>
        </w:rPr>
      </w:pPr>
      <w:r>
        <w:rPr>
          <w:rFonts w:hint="eastAsia" w:ascii="宋体" w:hAnsi="宋体" w:eastAsia="宋体" w:cs="宋体"/>
          <w:color w:val="auto"/>
          <w:sz w:val="24"/>
          <w:highlight w:val="none"/>
        </w:rPr>
        <w:t>3、全部声明和问题的回答及所附材料必须是真实的、准确的和完整的。</w:t>
      </w:r>
    </w:p>
    <w:p w14:paraId="07C1C9EF">
      <w:pPr>
        <w:numPr>
          <w:ilvl w:val="0"/>
          <w:numId w:val="10"/>
        </w:numPr>
        <w:spacing w:line="360" w:lineRule="auto"/>
        <w:ind w:left="228" w:leftChars="0" w:firstLine="402" w:firstLineChars="0"/>
        <w:jc w:val="center"/>
        <w:outlineLvl w:val="1"/>
        <w:rPr>
          <w:rFonts w:hint="eastAsia" w:ascii="宋体" w:hAnsi="宋体" w:eastAsia="宋体" w:cs="宋体"/>
          <w:b/>
          <w:color w:val="auto"/>
          <w:kern w:val="0"/>
          <w:sz w:val="30"/>
          <w:szCs w:val="20"/>
          <w:highlight w:val="none"/>
        </w:rPr>
      </w:pPr>
      <w:r>
        <w:rPr>
          <w:rFonts w:hint="eastAsia" w:ascii="宋体" w:hAnsi="宋体" w:eastAsia="宋体" w:cs="宋体"/>
          <w:color w:val="auto"/>
          <w:sz w:val="24"/>
          <w:highlight w:val="none"/>
        </w:rPr>
        <w:br w:type="page"/>
      </w:r>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Start w:id="799" w:name="_Toc26070"/>
      <w:r>
        <w:rPr>
          <w:rFonts w:hint="eastAsia" w:ascii="宋体" w:hAnsi="宋体" w:eastAsia="宋体" w:cs="宋体"/>
          <w:b/>
          <w:color w:val="auto"/>
          <w:spacing w:val="20"/>
          <w:sz w:val="28"/>
          <w:szCs w:val="28"/>
          <w:highlight w:val="none"/>
        </w:rPr>
        <w:t>资格证明文件格式</w:t>
      </w:r>
      <w:bookmarkEnd w:id="799"/>
    </w:p>
    <w:p w14:paraId="487D2CBB">
      <w:pPr>
        <w:pStyle w:val="9"/>
        <w:spacing w:line="360" w:lineRule="auto"/>
        <w:jc w:val="center"/>
        <w:rPr>
          <w:rFonts w:hint="eastAsia" w:ascii="宋体" w:hAnsi="宋体" w:eastAsia="宋体" w:cs="宋体"/>
          <w:b/>
          <w:bCs/>
          <w:color w:val="auto"/>
          <w:kern w:val="0"/>
          <w:sz w:val="52"/>
          <w:szCs w:val="52"/>
          <w:highlight w:val="none"/>
        </w:rPr>
      </w:pPr>
    </w:p>
    <w:p w14:paraId="69C4D489">
      <w:pPr>
        <w:pStyle w:val="9"/>
        <w:spacing w:line="360" w:lineRule="auto"/>
        <w:jc w:val="center"/>
        <w:rPr>
          <w:rFonts w:hint="eastAsia" w:ascii="宋体" w:hAnsi="宋体" w:eastAsia="宋体" w:cs="宋体"/>
          <w:b/>
          <w:color w:val="auto"/>
          <w:sz w:val="32"/>
          <w:szCs w:val="32"/>
          <w:highlight w:val="none"/>
          <w:lang w:eastAsia="zh-CN"/>
        </w:rPr>
      </w:pPr>
      <w:r>
        <w:rPr>
          <w:rFonts w:hint="eastAsia"/>
          <w:b/>
          <w:sz w:val="36"/>
          <w:szCs w:val="36"/>
          <w:lang w:val="en-US" w:eastAsia="zh-CN"/>
        </w:rPr>
        <w:t>剑川县生活垃圾填埋场渗滤液处理站市场化运营项目</w:t>
      </w:r>
    </w:p>
    <w:p w14:paraId="401B81EB">
      <w:pPr>
        <w:pStyle w:val="9"/>
        <w:spacing w:line="500" w:lineRule="exact"/>
        <w:jc w:val="center"/>
        <w:rPr>
          <w:rFonts w:hint="eastAsia" w:ascii="宋体" w:hAnsi="宋体" w:eastAsia="宋体" w:cs="宋体"/>
          <w:b/>
          <w:color w:val="auto"/>
          <w:sz w:val="32"/>
          <w:szCs w:val="32"/>
          <w:highlight w:val="none"/>
        </w:rPr>
      </w:pPr>
    </w:p>
    <w:p w14:paraId="65DEC81D">
      <w:pPr>
        <w:pStyle w:val="9"/>
        <w:spacing w:line="500" w:lineRule="exact"/>
        <w:jc w:val="center"/>
        <w:rPr>
          <w:rFonts w:hint="eastAsia" w:ascii="宋体" w:hAnsi="宋体" w:eastAsia="宋体" w:cs="宋体"/>
          <w:b/>
          <w:color w:val="auto"/>
          <w:sz w:val="32"/>
          <w:szCs w:val="32"/>
          <w:highlight w:val="none"/>
        </w:rPr>
      </w:pPr>
    </w:p>
    <w:p w14:paraId="73E4F731">
      <w:pPr>
        <w:pStyle w:val="9"/>
        <w:spacing w:line="500" w:lineRule="exact"/>
        <w:jc w:val="center"/>
        <w:rPr>
          <w:rFonts w:hint="eastAsia" w:ascii="宋体" w:hAnsi="宋体" w:eastAsia="宋体" w:cs="宋体"/>
          <w:b/>
          <w:color w:val="auto"/>
          <w:sz w:val="32"/>
          <w:szCs w:val="32"/>
          <w:highlight w:val="none"/>
        </w:rPr>
      </w:pPr>
    </w:p>
    <w:p w14:paraId="46146F3B">
      <w:pPr>
        <w:pStyle w:val="9"/>
        <w:spacing w:line="500" w:lineRule="exact"/>
        <w:jc w:val="center"/>
        <w:rPr>
          <w:rFonts w:hint="eastAsia" w:ascii="宋体" w:hAnsi="宋体" w:eastAsia="宋体" w:cs="宋体"/>
          <w:b/>
          <w:color w:val="auto"/>
          <w:sz w:val="32"/>
          <w:szCs w:val="32"/>
          <w:highlight w:val="none"/>
        </w:rPr>
      </w:pPr>
    </w:p>
    <w:p w14:paraId="2D6CDC0B">
      <w:pPr>
        <w:pStyle w:val="9"/>
        <w:spacing w:line="780" w:lineRule="exact"/>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资格证明文件</w:t>
      </w:r>
    </w:p>
    <w:p w14:paraId="79D97808">
      <w:pPr>
        <w:pStyle w:val="9"/>
        <w:spacing w:line="500" w:lineRule="exact"/>
        <w:jc w:val="center"/>
        <w:rPr>
          <w:rFonts w:hint="eastAsia" w:ascii="宋体" w:hAnsi="宋体" w:eastAsia="宋体" w:cs="宋体"/>
          <w:b/>
          <w:color w:val="auto"/>
          <w:sz w:val="72"/>
          <w:szCs w:val="72"/>
          <w:highlight w:val="none"/>
        </w:rPr>
      </w:pPr>
    </w:p>
    <w:p w14:paraId="63B085C0">
      <w:pPr>
        <w:pStyle w:val="9"/>
        <w:spacing w:line="500" w:lineRule="exact"/>
        <w:jc w:val="center"/>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lang w:eastAsia="zh-CN"/>
        </w:rPr>
        <w:t>项目编号</w:t>
      </w:r>
      <w:r>
        <w:rPr>
          <w:rFonts w:hint="eastAsia" w:ascii="宋体" w:hAnsi="宋体" w:eastAsia="宋体" w:cs="宋体"/>
          <w:b/>
          <w:color w:val="auto"/>
          <w:sz w:val="28"/>
          <w:szCs w:val="28"/>
          <w:highlight w:val="none"/>
        </w:rPr>
        <w:t>：</w:t>
      </w:r>
    </w:p>
    <w:p w14:paraId="6D34F73C">
      <w:pPr>
        <w:pStyle w:val="9"/>
        <w:spacing w:line="500" w:lineRule="exact"/>
        <w:ind w:firstLine="3654" w:firstLineChars="1300"/>
        <w:rPr>
          <w:rFonts w:hint="eastAsia" w:ascii="宋体" w:hAnsi="宋体" w:eastAsia="宋体" w:cs="宋体"/>
          <w:b/>
          <w:color w:val="auto"/>
          <w:sz w:val="28"/>
          <w:szCs w:val="28"/>
          <w:highlight w:val="none"/>
          <w:u w:val="single"/>
        </w:rPr>
      </w:pPr>
    </w:p>
    <w:p w14:paraId="7E918E04">
      <w:pPr>
        <w:pStyle w:val="9"/>
        <w:spacing w:line="500" w:lineRule="exact"/>
        <w:ind w:firstLine="12750" w:firstLineChars="1764"/>
        <w:rPr>
          <w:rFonts w:hint="eastAsia" w:ascii="宋体" w:hAnsi="宋体" w:eastAsia="宋体" w:cs="宋体"/>
          <w:b/>
          <w:color w:val="auto"/>
          <w:sz w:val="72"/>
          <w:szCs w:val="72"/>
          <w:highlight w:val="none"/>
        </w:rPr>
      </w:pPr>
    </w:p>
    <w:p w14:paraId="3F32C43C">
      <w:pPr>
        <w:pStyle w:val="9"/>
        <w:spacing w:line="500" w:lineRule="exact"/>
        <w:jc w:val="center"/>
        <w:rPr>
          <w:rFonts w:hint="eastAsia" w:ascii="宋体" w:hAnsi="宋体" w:eastAsia="宋体" w:cs="宋体"/>
          <w:b/>
          <w:color w:val="auto"/>
          <w:sz w:val="72"/>
          <w:szCs w:val="72"/>
          <w:highlight w:val="none"/>
        </w:rPr>
      </w:pPr>
    </w:p>
    <w:p w14:paraId="02B45589">
      <w:pPr>
        <w:pStyle w:val="9"/>
        <w:spacing w:line="500" w:lineRule="exact"/>
        <w:jc w:val="center"/>
        <w:rPr>
          <w:rFonts w:hint="eastAsia" w:ascii="宋体" w:hAnsi="宋体" w:eastAsia="宋体" w:cs="宋体"/>
          <w:b/>
          <w:color w:val="auto"/>
          <w:sz w:val="72"/>
          <w:szCs w:val="72"/>
          <w:highlight w:val="none"/>
        </w:rPr>
      </w:pPr>
    </w:p>
    <w:p w14:paraId="58E86914">
      <w:pPr>
        <w:pStyle w:val="9"/>
        <w:spacing w:line="500" w:lineRule="exact"/>
        <w:jc w:val="center"/>
        <w:rPr>
          <w:rFonts w:hint="eastAsia" w:ascii="宋体" w:hAnsi="宋体" w:eastAsia="宋体" w:cs="宋体"/>
          <w:b/>
          <w:color w:val="auto"/>
          <w:sz w:val="72"/>
          <w:szCs w:val="72"/>
          <w:highlight w:val="none"/>
        </w:rPr>
      </w:pPr>
    </w:p>
    <w:p w14:paraId="761B3502">
      <w:pPr>
        <w:pStyle w:val="9"/>
        <w:spacing w:line="500" w:lineRule="exact"/>
        <w:rPr>
          <w:rFonts w:hint="eastAsia" w:ascii="宋体" w:hAnsi="宋体" w:eastAsia="宋体" w:cs="宋体"/>
          <w:b/>
          <w:color w:val="auto"/>
          <w:sz w:val="72"/>
          <w:szCs w:val="72"/>
          <w:highlight w:val="none"/>
        </w:rPr>
      </w:pPr>
    </w:p>
    <w:p w14:paraId="72E588BA">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供应商名称（电子签章）：</w:t>
      </w:r>
      <w:r>
        <w:rPr>
          <w:rFonts w:hint="eastAsia" w:ascii="宋体" w:hAnsi="宋体" w:eastAsia="宋体" w:cs="宋体"/>
          <w:color w:val="auto"/>
          <w:sz w:val="24"/>
          <w:highlight w:val="none"/>
          <w:u w:val="single"/>
        </w:rPr>
        <w:t xml:space="preserve">           </w:t>
      </w:r>
    </w:p>
    <w:p w14:paraId="6E314BFD">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法定代表人或委托代理人（</w:t>
      </w:r>
      <w:r>
        <w:rPr>
          <w:rFonts w:hint="eastAsia" w:ascii="宋体" w:hAnsi="宋体" w:eastAsia="宋体" w:cs="宋体"/>
          <w:color w:val="auto"/>
          <w:sz w:val="24"/>
          <w:highlight w:val="none"/>
          <w:lang w:val="en-US" w:eastAsia="zh-CN"/>
        </w:rPr>
        <w:t>签字</w:t>
      </w:r>
      <w:r>
        <w:rPr>
          <w:rFonts w:hint="eastAsia" w:ascii="宋体" w:hAnsi="宋体" w:eastAsia="宋体" w:cs="宋体"/>
          <w:color w:val="auto"/>
          <w:sz w:val="24"/>
          <w:highlight w:val="none"/>
        </w:rPr>
        <w:t>或电子签章）：</w:t>
      </w:r>
      <w:r>
        <w:rPr>
          <w:rFonts w:hint="eastAsia" w:ascii="宋体" w:hAnsi="宋体" w:eastAsia="宋体" w:cs="宋体"/>
          <w:color w:val="auto"/>
          <w:sz w:val="24"/>
          <w:highlight w:val="none"/>
          <w:u w:val="single"/>
        </w:rPr>
        <w:t xml:space="preserve">            </w:t>
      </w:r>
    </w:p>
    <w:p w14:paraId="58FE3BD8">
      <w:pPr>
        <w:spacing w:line="480" w:lineRule="auto"/>
        <w:rPr>
          <w:rFonts w:hint="eastAsia" w:ascii="宋体" w:hAnsi="宋体" w:eastAsia="宋体" w:cs="宋体"/>
          <w:b/>
          <w:color w:val="auto"/>
          <w:sz w:val="32"/>
          <w:szCs w:val="32"/>
          <w:highlight w:val="non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79B8CB4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723" w:firstLineChars="200"/>
        <w:jc w:val="left"/>
        <w:textAlignment w:val="auto"/>
        <w:outlineLvl w:val="2"/>
        <w:rPr>
          <w:rFonts w:hint="eastAsia" w:ascii="宋体" w:hAnsi="宋体" w:eastAsia="宋体" w:cs="宋体"/>
          <w:b w:val="0"/>
          <w:bCs/>
          <w:color w:val="auto"/>
          <w:spacing w:val="20"/>
          <w:sz w:val="24"/>
          <w:szCs w:val="24"/>
          <w:highlight w:val="none"/>
        </w:rPr>
      </w:pPr>
      <w:r>
        <w:rPr>
          <w:rFonts w:hint="eastAsia" w:ascii="宋体" w:hAnsi="宋体" w:eastAsia="宋体" w:cs="宋体"/>
          <w:b/>
          <w:color w:val="auto"/>
          <w:spacing w:val="20"/>
          <w:sz w:val="32"/>
          <w:szCs w:val="32"/>
          <w:highlight w:val="none"/>
        </w:rPr>
        <w:br w:type="page"/>
      </w:r>
      <w:r>
        <w:rPr>
          <w:rFonts w:hint="eastAsia" w:ascii="宋体" w:hAnsi="宋体" w:eastAsia="宋体" w:cs="宋体"/>
          <w:b w:val="0"/>
          <w:bCs/>
          <w:color w:val="auto"/>
          <w:spacing w:val="20"/>
          <w:sz w:val="24"/>
          <w:szCs w:val="24"/>
          <w:highlight w:val="none"/>
        </w:rPr>
        <w:t>1</w:t>
      </w:r>
      <w:r>
        <w:rPr>
          <w:rFonts w:hint="eastAsia" w:ascii="宋体" w:hAnsi="宋体" w:eastAsia="宋体" w:cs="宋体"/>
          <w:b w:val="0"/>
          <w:bCs/>
          <w:color w:val="auto"/>
          <w:spacing w:val="20"/>
          <w:sz w:val="24"/>
          <w:szCs w:val="24"/>
          <w:highlight w:val="none"/>
        </w:rPr>
        <w:tab/>
      </w:r>
      <w:r>
        <w:rPr>
          <w:rFonts w:hint="eastAsia" w:ascii="宋体" w:hAnsi="宋体" w:eastAsia="宋体" w:cs="宋体"/>
          <w:b w:val="0"/>
          <w:bCs/>
          <w:color w:val="auto"/>
          <w:spacing w:val="20"/>
          <w:sz w:val="24"/>
          <w:szCs w:val="24"/>
          <w:highlight w:val="none"/>
        </w:rPr>
        <w:t>供应商应具备《中华人民共和国政府采购法》第二十二条规定的条件，并提供下列材料：</w:t>
      </w:r>
    </w:p>
    <w:p w14:paraId="615B372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jc w:val="left"/>
        <w:textAlignment w:val="auto"/>
        <w:outlineLvl w:val="3"/>
        <w:rPr>
          <w:rFonts w:hint="eastAsia" w:ascii="宋体" w:hAnsi="宋体" w:eastAsia="宋体" w:cs="宋体"/>
          <w:b w:val="0"/>
          <w:bCs/>
          <w:color w:val="auto"/>
          <w:spacing w:val="20"/>
          <w:sz w:val="24"/>
          <w:szCs w:val="24"/>
          <w:highlight w:val="none"/>
        </w:rPr>
      </w:pPr>
      <w:r>
        <w:rPr>
          <w:rFonts w:hint="eastAsia" w:ascii="宋体" w:hAnsi="宋体" w:eastAsia="宋体" w:cs="宋体"/>
          <w:b w:val="0"/>
          <w:bCs/>
          <w:color w:val="auto"/>
          <w:spacing w:val="20"/>
          <w:sz w:val="24"/>
          <w:szCs w:val="24"/>
          <w:highlight w:val="none"/>
        </w:rPr>
        <w:t>1.1</w:t>
      </w:r>
      <w:r>
        <w:rPr>
          <w:rFonts w:hint="eastAsia" w:ascii="宋体" w:hAnsi="宋体" w:eastAsia="宋体" w:cs="宋体"/>
          <w:b w:val="0"/>
          <w:bCs/>
          <w:color w:val="auto"/>
          <w:spacing w:val="20"/>
          <w:sz w:val="24"/>
          <w:szCs w:val="24"/>
          <w:highlight w:val="none"/>
        </w:rPr>
        <w:tab/>
      </w:r>
      <w:r>
        <w:rPr>
          <w:rFonts w:hint="eastAsia" w:ascii="宋体" w:hAnsi="宋体" w:eastAsia="宋体" w:cs="宋体"/>
          <w:b w:val="0"/>
          <w:bCs/>
          <w:color w:val="auto"/>
          <w:spacing w:val="20"/>
          <w:sz w:val="24"/>
          <w:szCs w:val="24"/>
          <w:highlight w:val="none"/>
        </w:rPr>
        <w:t>供应商必须是具有独立承担民事责任能力的法人或其他组织，自然人的身份证明；①提供营业执照、税务登记证、组织机构代码证或三证合一营业执照，②或法人登记证书副本或其他具备独立承担民事责任能力的证明材料，③自然人身份参与投标的，需提供有效身份证（扫描件加盖电子签章）。注：供应商可根据自身情况提供上述任意一种证明材料。</w:t>
      </w:r>
    </w:p>
    <w:p w14:paraId="75C246A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jc w:val="left"/>
        <w:textAlignment w:val="auto"/>
        <w:outlineLvl w:val="3"/>
        <w:rPr>
          <w:rFonts w:hint="eastAsia" w:ascii="宋体" w:hAnsi="宋体" w:eastAsia="宋体" w:cs="宋体"/>
          <w:b w:val="0"/>
          <w:bCs/>
          <w:color w:val="auto"/>
          <w:spacing w:val="20"/>
          <w:sz w:val="24"/>
          <w:szCs w:val="24"/>
          <w:highlight w:val="none"/>
        </w:rPr>
      </w:pPr>
      <w:r>
        <w:rPr>
          <w:rFonts w:hint="eastAsia" w:ascii="宋体" w:hAnsi="宋体" w:eastAsia="宋体" w:cs="宋体"/>
          <w:b w:val="0"/>
          <w:bCs/>
          <w:color w:val="auto"/>
          <w:spacing w:val="20"/>
          <w:sz w:val="24"/>
          <w:szCs w:val="24"/>
          <w:highlight w:val="none"/>
        </w:rPr>
        <w:t>1.2</w:t>
      </w:r>
      <w:r>
        <w:rPr>
          <w:rFonts w:hint="eastAsia" w:ascii="宋体" w:hAnsi="宋体" w:eastAsia="宋体" w:cs="宋体"/>
          <w:b w:val="0"/>
          <w:bCs/>
          <w:color w:val="auto"/>
          <w:spacing w:val="20"/>
          <w:sz w:val="24"/>
          <w:szCs w:val="24"/>
          <w:highlight w:val="none"/>
        </w:rPr>
        <w:tab/>
      </w:r>
      <w:r>
        <w:rPr>
          <w:rFonts w:hint="eastAsia" w:ascii="宋体" w:hAnsi="宋体" w:eastAsia="宋体" w:cs="宋体"/>
          <w:b w:val="0"/>
          <w:bCs/>
          <w:color w:val="auto"/>
          <w:spacing w:val="20"/>
          <w:sz w:val="24"/>
          <w:szCs w:val="24"/>
          <w:highlight w:val="none"/>
        </w:rPr>
        <w:t>供应商具有良好的商业信誉和健全的财务会计制度：①提供近年（指2023年至今任意一年）的财务报表或经会计师事务所（审计机构）审计的财务会计报告；②或可提供自投标文件提交截止时间前三个月内开户银行出具的资信证明或资金存款证明；③新成立的企业提供成立至今的财务报表（扫描件加盖电子签章）；④或提供具有良好的商业信誉和健全的财务会计制度的承诺函。注：供应商可根据自身情况提供上述任意一种证明材料。</w:t>
      </w:r>
    </w:p>
    <w:p w14:paraId="1B571FF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jc w:val="left"/>
        <w:textAlignment w:val="auto"/>
        <w:outlineLvl w:val="3"/>
        <w:rPr>
          <w:rFonts w:hint="eastAsia" w:ascii="宋体" w:hAnsi="宋体" w:eastAsia="宋体" w:cs="宋体"/>
          <w:b w:val="0"/>
          <w:bCs/>
          <w:color w:val="auto"/>
          <w:spacing w:val="20"/>
          <w:sz w:val="24"/>
          <w:szCs w:val="24"/>
          <w:highlight w:val="none"/>
        </w:rPr>
      </w:pPr>
      <w:r>
        <w:rPr>
          <w:rFonts w:hint="eastAsia" w:ascii="宋体" w:hAnsi="宋体" w:eastAsia="宋体" w:cs="宋体"/>
          <w:b w:val="0"/>
          <w:bCs/>
          <w:color w:val="auto"/>
          <w:spacing w:val="20"/>
          <w:sz w:val="24"/>
          <w:szCs w:val="24"/>
          <w:highlight w:val="none"/>
        </w:rPr>
        <w:t>1.3</w:t>
      </w:r>
      <w:r>
        <w:rPr>
          <w:rFonts w:hint="eastAsia" w:ascii="宋体" w:hAnsi="宋体" w:eastAsia="宋体" w:cs="宋体"/>
          <w:b w:val="0"/>
          <w:bCs/>
          <w:color w:val="auto"/>
          <w:spacing w:val="20"/>
          <w:sz w:val="24"/>
          <w:szCs w:val="24"/>
          <w:highlight w:val="none"/>
        </w:rPr>
        <w:tab/>
      </w:r>
      <w:r>
        <w:rPr>
          <w:rFonts w:hint="eastAsia" w:ascii="宋体" w:hAnsi="宋体" w:eastAsia="宋体" w:cs="宋体"/>
          <w:b w:val="0"/>
          <w:bCs/>
          <w:color w:val="auto"/>
          <w:spacing w:val="20"/>
          <w:sz w:val="24"/>
          <w:szCs w:val="24"/>
          <w:highlight w:val="none"/>
        </w:rPr>
        <w:t>供应商须提供缴税所属时间在2025年1月至本项目投标文件提交截止时间前任意3个月的税务局税收通用缴款书或银行电子缴税（费）凭证或税务局出具纳税情况的相关证明，依法免税的，应提供依法免税的相关证明文件（扫描件加盖电子签章）；（若新成立的公司，成立未满6个月的提供成立以来的相关证明材料，成立不足3个月的企业无需提供以上材料）；</w:t>
      </w:r>
    </w:p>
    <w:p w14:paraId="69C6820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jc w:val="left"/>
        <w:textAlignment w:val="auto"/>
        <w:outlineLvl w:val="3"/>
        <w:rPr>
          <w:rFonts w:hint="eastAsia" w:ascii="宋体" w:hAnsi="宋体" w:eastAsia="宋体" w:cs="宋体"/>
          <w:b w:val="0"/>
          <w:bCs/>
          <w:color w:val="auto"/>
          <w:spacing w:val="20"/>
          <w:sz w:val="24"/>
          <w:szCs w:val="24"/>
          <w:highlight w:val="none"/>
        </w:rPr>
      </w:pPr>
      <w:r>
        <w:rPr>
          <w:rFonts w:hint="eastAsia" w:ascii="宋体" w:hAnsi="宋体" w:eastAsia="宋体" w:cs="宋体"/>
          <w:b w:val="0"/>
          <w:bCs/>
          <w:color w:val="auto"/>
          <w:spacing w:val="20"/>
          <w:sz w:val="24"/>
          <w:szCs w:val="24"/>
          <w:highlight w:val="none"/>
        </w:rPr>
        <w:t>1.4</w:t>
      </w:r>
      <w:r>
        <w:rPr>
          <w:rFonts w:hint="eastAsia" w:ascii="宋体" w:hAnsi="宋体" w:eastAsia="宋体" w:cs="宋体"/>
          <w:b w:val="0"/>
          <w:bCs/>
          <w:color w:val="auto"/>
          <w:spacing w:val="20"/>
          <w:sz w:val="24"/>
          <w:szCs w:val="24"/>
          <w:highlight w:val="none"/>
        </w:rPr>
        <w:tab/>
      </w:r>
      <w:r>
        <w:rPr>
          <w:rFonts w:hint="eastAsia" w:ascii="宋体" w:hAnsi="宋体" w:eastAsia="宋体" w:cs="宋体"/>
          <w:b w:val="0"/>
          <w:bCs/>
          <w:color w:val="auto"/>
          <w:spacing w:val="20"/>
          <w:sz w:val="24"/>
          <w:szCs w:val="24"/>
          <w:highlight w:val="none"/>
        </w:rPr>
        <w:t>供应商须提供缴费所属时间在2025年1月至本项目投标文件提交截止时间前任意3个月的社会保险费缴款书或银行电子缴税（费）凭证或社保管理部门出具的有效的缴款证明，依法免缴的，应提供依法免缴的相关证明文件（扫描件加盖电子签章）；（若新成立的公司，成立未满6个月的提供成立以来的相关证明材料，成立不足3个月的企业无需提供以上材料）；</w:t>
      </w:r>
    </w:p>
    <w:p w14:paraId="1D71AF6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jc w:val="left"/>
        <w:textAlignment w:val="auto"/>
        <w:outlineLvl w:val="3"/>
        <w:rPr>
          <w:rFonts w:hint="eastAsia" w:ascii="宋体" w:hAnsi="宋体" w:eastAsia="宋体" w:cs="宋体"/>
          <w:b w:val="0"/>
          <w:bCs/>
          <w:color w:val="auto"/>
          <w:spacing w:val="20"/>
          <w:sz w:val="24"/>
          <w:szCs w:val="24"/>
          <w:highlight w:val="none"/>
        </w:rPr>
      </w:pPr>
      <w:r>
        <w:rPr>
          <w:rFonts w:hint="eastAsia" w:ascii="宋体" w:hAnsi="宋体" w:eastAsia="宋体" w:cs="宋体"/>
          <w:b w:val="0"/>
          <w:bCs/>
          <w:color w:val="auto"/>
          <w:spacing w:val="20"/>
          <w:sz w:val="24"/>
          <w:szCs w:val="24"/>
          <w:highlight w:val="none"/>
        </w:rPr>
        <w:t>1.5</w:t>
      </w:r>
      <w:r>
        <w:rPr>
          <w:rFonts w:hint="eastAsia" w:ascii="宋体" w:hAnsi="宋体" w:eastAsia="宋体" w:cs="宋体"/>
          <w:b w:val="0"/>
          <w:bCs/>
          <w:color w:val="auto"/>
          <w:spacing w:val="20"/>
          <w:sz w:val="24"/>
          <w:szCs w:val="24"/>
          <w:highlight w:val="none"/>
        </w:rPr>
        <w:tab/>
      </w:r>
      <w:r>
        <w:rPr>
          <w:rFonts w:hint="eastAsia" w:ascii="宋体" w:hAnsi="宋体" w:eastAsia="宋体" w:cs="宋体"/>
          <w:b w:val="0"/>
          <w:bCs/>
          <w:color w:val="auto"/>
          <w:spacing w:val="20"/>
          <w:sz w:val="24"/>
          <w:szCs w:val="24"/>
          <w:highlight w:val="none"/>
        </w:rPr>
        <w:t>供应商必须提供参加政府采购活动前</w:t>
      </w:r>
      <w:r>
        <w:rPr>
          <w:rFonts w:hint="eastAsia" w:ascii="宋体" w:hAnsi="宋体" w:cs="宋体"/>
          <w:b/>
          <w:bCs w:val="0"/>
          <w:color w:val="auto"/>
          <w:spacing w:val="20"/>
          <w:sz w:val="24"/>
          <w:szCs w:val="24"/>
          <w:highlight w:val="none"/>
          <w:lang w:val="en-US" w:eastAsia="zh-CN"/>
        </w:rPr>
        <w:t>三</w:t>
      </w:r>
      <w:r>
        <w:rPr>
          <w:rFonts w:hint="eastAsia" w:ascii="宋体" w:hAnsi="宋体" w:eastAsia="宋体" w:cs="宋体"/>
          <w:b w:val="0"/>
          <w:bCs/>
          <w:color w:val="auto"/>
          <w:spacing w:val="20"/>
          <w:sz w:val="24"/>
          <w:szCs w:val="24"/>
          <w:highlight w:val="none"/>
        </w:rPr>
        <w:t>年内在经营活动中没有重大违法记录的书面声明（重大违法记录，是指供应商因违法经营受到刑事处罚或者责令停产停业、吊销许可证或者执照、较大数额罚款等行政处罚）。</w:t>
      </w:r>
    </w:p>
    <w:p w14:paraId="0D67F07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jc w:val="left"/>
        <w:textAlignment w:val="auto"/>
        <w:outlineLvl w:val="3"/>
        <w:rPr>
          <w:rFonts w:hint="eastAsia" w:ascii="宋体" w:hAnsi="宋体" w:eastAsia="宋体" w:cs="宋体"/>
          <w:b w:val="0"/>
          <w:bCs/>
          <w:color w:val="auto"/>
          <w:spacing w:val="20"/>
          <w:sz w:val="24"/>
          <w:szCs w:val="24"/>
          <w:highlight w:val="none"/>
          <w:lang w:eastAsia="zh-CN"/>
        </w:rPr>
      </w:pPr>
      <w:r>
        <w:rPr>
          <w:rFonts w:hint="eastAsia" w:ascii="宋体" w:hAnsi="宋体" w:eastAsia="宋体" w:cs="宋体"/>
          <w:b w:val="0"/>
          <w:bCs/>
          <w:color w:val="auto"/>
          <w:spacing w:val="20"/>
          <w:sz w:val="24"/>
          <w:szCs w:val="24"/>
          <w:highlight w:val="none"/>
        </w:rPr>
        <w:t>1.6</w:t>
      </w:r>
      <w:r>
        <w:rPr>
          <w:rFonts w:hint="eastAsia" w:ascii="宋体" w:hAnsi="宋体" w:eastAsia="宋体" w:cs="宋体"/>
          <w:b w:val="0"/>
          <w:bCs/>
          <w:color w:val="auto"/>
          <w:spacing w:val="20"/>
          <w:sz w:val="24"/>
          <w:szCs w:val="24"/>
          <w:highlight w:val="none"/>
        </w:rPr>
        <w:tab/>
      </w:r>
      <w:r>
        <w:rPr>
          <w:rFonts w:hint="eastAsia" w:ascii="宋体" w:hAnsi="宋体" w:eastAsia="宋体" w:cs="宋体"/>
          <w:b w:val="0"/>
          <w:bCs/>
          <w:color w:val="auto"/>
          <w:spacing w:val="20"/>
          <w:sz w:val="24"/>
          <w:szCs w:val="24"/>
          <w:highlight w:val="none"/>
        </w:rPr>
        <w:t>供应商具有履行合同所必需的设备和专业技术能力</w:t>
      </w:r>
      <w:r>
        <w:rPr>
          <w:rFonts w:hint="eastAsia" w:ascii="宋体" w:hAnsi="宋体" w:eastAsia="宋体" w:cs="宋体"/>
          <w:b w:val="0"/>
          <w:bCs/>
          <w:color w:val="auto"/>
          <w:spacing w:val="20"/>
          <w:sz w:val="24"/>
          <w:szCs w:val="24"/>
          <w:highlight w:val="none"/>
          <w:lang w:eastAsia="zh-CN"/>
        </w:rPr>
        <w:t>。</w:t>
      </w:r>
    </w:p>
    <w:p w14:paraId="6853A62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jc w:val="left"/>
        <w:textAlignment w:val="auto"/>
        <w:outlineLvl w:val="2"/>
        <w:rPr>
          <w:rFonts w:hint="eastAsia" w:ascii="宋体" w:hAnsi="宋体" w:eastAsia="宋体" w:cs="宋体"/>
          <w:b w:val="0"/>
          <w:bCs/>
          <w:color w:val="auto"/>
          <w:spacing w:val="20"/>
          <w:sz w:val="24"/>
          <w:szCs w:val="24"/>
          <w:highlight w:val="none"/>
        </w:rPr>
      </w:pPr>
      <w:r>
        <w:rPr>
          <w:rFonts w:hint="eastAsia" w:ascii="宋体" w:hAnsi="宋体" w:eastAsia="宋体" w:cs="宋体"/>
          <w:b w:val="0"/>
          <w:bCs/>
          <w:color w:val="auto"/>
          <w:spacing w:val="20"/>
          <w:sz w:val="24"/>
          <w:szCs w:val="24"/>
          <w:highlight w:val="none"/>
        </w:rPr>
        <w:t>2</w:t>
      </w:r>
      <w:r>
        <w:rPr>
          <w:rFonts w:hint="eastAsia" w:ascii="宋体" w:hAnsi="宋体" w:eastAsia="宋体" w:cs="宋体"/>
          <w:b w:val="0"/>
          <w:bCs/>
          <w:color w:val="auto"/>
          <w:spacing w:val="20"/>
          <w:sz w:val="24"/>
          <w:szCs w:val="24"/>
          <w:highlight w:val="none"/>
        </w:rPr>
        <w:tab/>
      </w:r>
      <w:r>
        <w:rPr>
          <w:rFonts w:hint="eastAsia" w:ascii="宋体" w:hAnsi="宋体" w:eastAsia="宋体" w:cs="宋体"/>
          <w:b w:val="0"/>
          <w:bCs/>
          <w:color w:val="auto"/>
          <w:spacing w:val="20"/>
          <w:sz w:val="24"/>
          <w:szCs w:val="24"/>
          <w:highlight w:val="none"/>
        </w:rPr>
        <w:t>落实政府采购政策的要求：本项目为非专门面向中小微企业采购项目,小微企业价格扣除优惠比例：10%。</w:t>
      </w:r>
    </w:p>
    <w:p w14:paraId="0220B0B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2" w:firstLineChars="200"/>
        <w:jc w:val="left"/>
        <w:textAlignment w:val="auto"/>
        <w:outlineLvl w:val="9"/>
        <w:rPr>
          <w:rFonts w:hint="eastAsia" w:ascii="宋体" w:hAnsi="宋体" w:eastAsia="宋体" w:cs="宋体"/>
          <w:b w:val="0"/>
          <w:bCs/>
          <w:color w:val="auto"/>
          <w:spacing w:val="20"/>
          <w:sz w:val="24"/>
          <w:szCs w:val="24"/>
          <w:highlight w:val="none"/>
        </w:rPr>
      </w:pPr>
      <w:r>
        <w:rPr>
          <w:rFonts w:hint="eastAsia" w:ascii="宋体" w:hAnsi="宋体" w:eastAsia="宋体" w:cs="宋体"/>
          <w:b/>
          <w:bCs/>
          <w:color w:val="000000" w:themeColor="text1"/>
          <w:sz w:val="24"/>
          <w:highlight w:val="none"/>
          <w14:textFill>
            <w14:solidFill>
              <w14:schemeClr w14:val="tx1"/>
            </w14:solidFill>
          </w14:textFill>
        </w:rPr>
        <w:t>说明：本项目为非专门面向中小企业采购，无须在资格证明文件部分提供。</w:t>
      </w:r>
    </w:p>
    <w:p w14:paraId="2285BCE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jc w:val="left"/>
        <w:textAlignment w:val="auto"/>
        <w:outlineLvl w:val="2"/>
        <w:rPr>
          <w:rFonts w:hint="eastAsia" w:ascii="宋体" w:hAnsi="宋体" w:eastAsia="宋体" w:cs="宋体"/>
          <w:b w:val="0"/>
          <w:bCs/>
          <w:color w:val="auto"/>
          <w:spacing w:val="20"/>
          <w:sz w:val="24"/>
          <w:szCs w:val="24"/>
          <w:highlight w:val="none"/>
        </w:rPr>
      </w:pPr>
      <w:r>
        <w:rPr>
          <w:rFonts w:hint="eastAsia" w:ascii="宋体" w:hAnsi="宋体" w:eastAsia="宋体" w:cs="宋体"/>
          <w:b w:val="0"/>
          <w:bCs/>
          <w:color w:val="auto"/>
          <w:spacing w:val="20"/>
          <w:sz w:val="24"/>
          <w:szCs w:val="24"/>
          <w:highlight w:val="none"/>
        </w:rPr>
        <w:t>3</w:t>
      </w:r>
      <w:r>
        <w:rPr>
          <w:rFonts w:hint="eastAsia" w:ascii="宋体" w:hAnsi="宋体" w:eastAsia="宋体" w:cs="宋体"/>
          <w:b w:val="0"/>
          <w:bCs/>
          <w:color w:val="auto"/>
          <w:spacing w:val="20"/>
          <w:sz w:val="24"/>
          <w:szCs w:val="24"/>
          <w:highlight w:val="none"/>
        </w:rPr>
        <w:tab/>
      </w:r>
      <w:r>
        <w:rPr>
          <w:rFonts w:hint="eastAsia" w:ascii="宋体" w:hAnsi="宋体" w:eastAsia="宋体" w:cs="宋体"/>
          <w:b w:val="0"/>
          <w:bCs/>
          <w:color w:val="auto"/>
          <w:spacing w:val="20"/>
          <w:sz w:val="24"/>
          <w:szCs w:val="24"/>
          <w:highlight w:val="none"/>
        </w:rPr>
        <w:t>供应商应符合采购人根据采购项目的特殊要求规定的特定条件：</w:t>
      </w:r>
    </w:p>
    <w:p w14:paraId="3D688E13">
      <w:pPr>
        <w:spacing w:line="360" w:lineRule="auto"/>
        <w:ind w:firstLine="560" w:firstLineChars="200"/>
        <w:rPr>
          <w:rFonts w:hint="eastAsia" w:ascii="宋体" w:hAnsi="宋体" w:eastAsia="宋体" w:cs="宋体"/>
          <w:color w:val="auto"/>
          <w:sz w:val="24"/>
          <w:highlight w:val="none"/>
          <w:lang w:eastAsia="zh-CN"/>
        </w:rPr>
      </w:pPr>
      <w:r>
        <w:rPr>
          <w:rFonts w:hint="eastAsia" w:ascii="宋体" w:hAnsi="宋体" w:eastAsia="宋体" w:cs="宋体"/>
          <w:b w:val="0"/>
          <w:bCs/>
          <w:color w:val="auto"/>
          <w:spacing w:val="20"/>
          <w:sz w:val="24"/>
          <w:szCs w:val="24"/>
          <w:highlight w:val="none"/>
        </w:rPr>
        <w:t>3.1</w:t>
      </w:r>
      <w:r>
        <w:rPr>
          <w:rFonts w:hint="eastAsia" w:ascii="宋体" w:hAnsi="宋体" w:eastAsia="宋体" w:cs="宋体"/>
          <w:b w:val="0"/>
          <w:bCs/>
          <w:color w:val="auto"/>
          <w:spacing w:val="20"/>
          <w:sz w:val="24"/>
          <w:szCs w:val="24"/>
          <w:highlight w:val="none"/>
        </w:rPr>
        <w:tab/>
      </w:r>
      <w:r>
        <w:rPr>
          <w:rFonts w:hint="eastAsia" w:ascii="宋体" w:hAnsi="宋体" w:eastAsia="宋体" w:cs="宋体"/>
          <w:color w:val="auto"/>
          <w:sz w:val="24"/>
          <w:highlight w:val="none"/>
        </w:rPr>
        <w:t>信用信息查询</w:t>
      </w:r>
      <w:r>
        <w:rPr>
          <w:rFonts w:hint="eastAsia" w:ascii="宋体" w:hAnsi="宋体" w:eastAsia="宋体" w:cs="宋体"/>
          <w:color w:val="auto"/>
          <w:sz w:val="24"/>
          <w:highlight w:val="none"/>
          <w:lang w:eastAsia="zh-CN"/>
        </w:rPr>
        <w:t>：</w:t>
      </w:r>
    </w:p>
    <w:p w14:paraId="754C76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（1）信用信息查询渠道及截止时间：采购代理机构将在通过“信用中国”网站（www.creditchina.gov.cn）、中国政府采购网（www.ccgp.gov.cn）渠道查询供应商接受资格审查时的信用记录。</w:t>
      </w:r>
    </w:p>
    <w:p w14:paraId="74CEEF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信用信息查询记录和证据留存的具体方式：采购代理机构在“信用中国”网站（www.creditchina.gov.cn）对供应商进行失信被执行人、重大税收违法失信主体和政府采购严重违法失信行为记录名单的信用信息查询；在中国政府采购网（www.ccgp.gov.cn）对供应商进行“政府采购严重违法失信行为信息记录”的信用信息查询。查询的供应商信用记录、查询结果经确认后将与采购文件一起存档。</w:t>
      </w:r>
    </w:p>
    <w:p w14:paraId="47269BF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outlineLvl w:val="3"/>
        <w:rPr>
          <w:rFonts w:hint="eastAsia" w:ascii="宋体" w:hAnsi="宋体" w:eastAsia="宋体" w:cs="宋体"/>
          <w:b w:val="0"/>
          <w:bCs/>
          <w:color w:val="auto"/>
          <w:spacing w:val="20"/>
          <w:sz w:val="24"/>
          <w:szCs w:val="24"/>
          <w:highlight w:val="none"/>
        </w:rPr>
      </w:pPr>
      <w:r>
        <w:rPr>
          <w:rFonts w:hint="eastAsia" w:ascii="宋体" w:hAnsi="宋体" w:eastAsia="宋体" w:cs="宋体"/>
          <w:color w:val="auto"/>
          <w:sz w:val="24"/>
          <w:highlight w:val="none"/>
          <w:lang w:eastAsia="zh-CN"/>
        </w:rPr>
        <w:t>（3）信用信息的使用规则：经查询列入失信被执行人名单或者重大税收违法失信主体或者政府采购严重违法失信行为记录名单的供应商将被拒绝参与政府采购活动。</w:t>
      </w:r>
    </w:p>
    <w:p w14:paraId="588BFF1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jc w:val="left"/>
        <w:textAlignment w:val="auto"/>
        <w:outlineLvl w:val="3"/>
        <w:rPr>
          <w:rFonts w:hint="eastAsia" w:ascii="宋体" w:hAnsi="宋体" w:eastAsia="宋体" w:cs="宋体"/>
          <w:b w:val="0"/>
          <w:bCs/>
          <w:color w:val="auto"/>
          <w:spacing w:val="20"/>
          <w:sz w:val="24"/>
          <w:szCs w:val="24"/>
          <w:highlight w:val="none"/>
        </w:rPr>
      </w:pPr>
      <w:r>
        <w:rPr>
          <w:rFonts w:hint="eastAsia" w:ascii="宋体" w:hAnsi="宋体" w:eastAsia="宋体" w:cs="宋体"/>
          <w:b w:val="0"/>
          <w:bCs/>
          <w:color w:val="auto"/>
          <w:spacing w:val="20"/>
          <w:sz w:val="24"/>
          <w:szCs w:val="24"/>
          <w:highlight w:val="none"/>
        </w:rPr>
        <w:t>3.2</w:t>
      </w:r>
      <w:r>
        <w:rPr>
          <w:rFonts w:hint="eastAsia" w:ascii="宋体" w:hAnsi="宋体" w:eastAsia="宋体" w:cs="宋体"/>
          <w:b w:val="0"/>
          <w:bCs/>
          <w:color w:val="auto"/>
          <w:spacing w:val="20"/>
          <w:sz w:val="24"/>
          <w:szCs w:val="24"/>
          <w:highlight w:val="none"/>
        </w:rPr>
        <w:tab/>
      </w:r>
      <w:r>
        <w:rPr>
          <w:rFonts w:hint="eastAsia" w:ascii="宋体" w:hAnsi="宋体" w:eastAsia="宋体" w:cs="宋体"/>
          <w:b w:val="0"/>
          <w:bCs/>
          <w:color w:val="auto"/>
          <w:spacing w:val="20"/>
          <w:sz w:val="24"/>
          <w:szCs w:val="24"/>
          <w:highlight w:val="none"/>
        </w:rPr>
        <w:t>根据《中华人民共和国政府采购法实施条例》第十八条规定，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14:paraId="63C13142">
      <w:pPr>
        <w:numPr>
          <w:ilvl w:val="0"/>
          <w:numId w:val="0"/>
        </w:numPr>
        <w:spacing w:line="360" w:lineRule="auto"/>
        <w:jc w:val="left"/>
        <w:outlineLvl w:val="9"/>
        <w:rPr>
          <w:rFonts w:hint="eastAsia" w:ascii="宋体" w:hAnsi="宋体" w:eastAsia="宋体" w:cs="宋体"/>
          <w:color w:val="auto"/>
          <w:sz w:val="24"/>
          <w:szCs w:val="20"/>
          <w:highlight w:val="none"/>
        </w:rPr>
      </w:pPr>
    </w:p>
    <w:p w14:paraId="7ABCDC73">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yellow"/>
        </w:rPr>
        <w:br w:type="page"/>
      </w:r>
      <w:r>
        <w:rPr>
          <w:rFonts w:hint="eastAsia" w:ascii="宋体" w:hAnsi="宋体" w:eastAsia="宋体" w:cs="宋体"/>
          <w:b/>
          <w:color w:val="auto"/>
          <w:sz w:val="24"/>
          <w:highlight w:val="none"/>
        </w:rPr>
        <w:t>供应商资格声明书</w:t>
      </w:r>
    </w:p>
    <w:p w14:paraId="204AED18">
      <w:pPr>
        <w:jc w:val="center"/>
        <w:rPr>
          <w:rFonts w:hint="eastAsia" w:ascii="宋体" w:hAnsi="宋体" w:eastAsia="宋体" w:cs="宋体"/>
          <w:b/>
          <w:color w:val="auto"/>
          <w:sz w:val="24"/>
          <w:highlight w:val="none"/>
        </w:rPr>
      </w:pPr>
    </w:p>
    <w:p w14:paraId="39F27848">
      <w:pPr>
        <w:tabs>
          <w:tab w:val="left" w:pos="5580"/>
        </w:tabs>
        <w:spacing w:line="360" w:lineRule="auto"/>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lang w:val="en-US" w:eastAsia="zh-CN"/>
        </w:rPr>
        <w:t xml:space="preserve"> </w:t>
      </w:r>
      <w:r>
        <w:rPr>
          <w:rFonts w:hint="eastAsia" w:hAnsi="宋体" w:eastAsia="宋体" w:cs="宋体"/>
          <w:color w:val="auto"/>
          <w:sz w:val="24"/>
          <w:szCs w:val="24"/>
          <w:highlight w:val="none"/>
          <w:u w:val="single"/>
          <w:lang w:val="en-US" w:eastAsia="zh-CN"/>
        </w:rPr>
        <w:t>剑川县住房和城乡建设局</w:t>
      </w:r>
    </w:p>
    <w:p w14:paraId="54F808E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在参与本次项目投标中，我单位承诺：</w:t>
      </w:r>
    </w:p>
    <w:p w14:paraId="2FCA9931">
      <w:pPr>
        <w:numPr>
          <w:ilvl w:val="0"/>
          <w:numId w:val="11"/>
        </w:numPr>
        <w:spacing w:line="360" w:lineRule="auto"/>
        <w:ind w:left="0"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具有良好的商业信誉和健全的财务会计制度；</w:t>
      </w:r>
    </w:p>
    <w:p w14:paraId="20E3DDEB">
      <w:pPr>
        <w:numPr>
          <w:ilvl w:val="0"/>
          <w:numId w:val="11"/>
        </w:numPr>
        <w:spacing w:line="360" w:lineRule="auto"/>
        <w:ind w:left="0"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具有履行合同所必需的设备和专业技术能力；</w:t>
      </w:r>
    </w:p>
    <w:p w14:paraId="4C13FC7F">
      <w:pPr>
        <w:numPr>
          <w:ilvl w:val="0"/>
          <w:numId w:val="11"/>
        </w:numPr>
        <w:spacing w:line="360" w:lineRule="auto"/>
        <w:ind w:left="0"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有依法缴纳税收和社会保障资金的良好记录；</w:t>
      </w:r>
    </w:p>
    <w:p w14:paraId="272ABC34">
      <w:pPr>
        <w:numPr>
          <w:ilvl w:val="0"/>
          <w:numId w:val="11"/>
        </w:numPr>
        <w:spacing w:line="360" w:lineRule="auto"/>
        <w:ind w:left="0"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4ED3E49">
      <w:pPr>
        <w:numPr>
          <w:ilvl w:val="0"/>
          <w:numId w:val="11"/>
        </w:numPr>
        <w:spacing w:line="360" w:lineRule="auto"/>
        <w:ind w:left="0"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我单位不存在为采购项目提供整体设计、规范编制或者项目管理、监理、检测等服务后，再参加该采购项目的其他采购活动的情形（单一来源采购项目除外）；</w:t>
      </w:r>
    </w:p>
    <w:p w14:paraId="57B6DD6D">
      <w:pPr>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上述声明真实有效，否则我方负全部责任。</w:t>
      </w:r>
    </w:p>
    <w:p w14:paraId="3157BE94">
      <w:pPr>
        <w:spacing w:line="360" w:lineRule="auto"/>
        <w:rPr>
          <w:rFonts w:hint="eastAsia" w:ascii="宋体" w:hAnsi="宋体" w:eastAsia="宋体" w:cs="宋体"/>
          <w:color w:val="auto"/>
          <w:sz w:val="24"/>
          <w:highlight w:val="none"/>
        </w:rPr>
      </w:pPr>
    </w:p>
    <w:p w14:paraId="5C319B69">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供应商名称（电子签章）：</w:t>
      </w:r>
      <w:r>
        <w:rPr>
          <w:rFonts w:hint="eastAsia" w:ascii="宋体" w:hAnsi="宋体" w:eastAsia="宋体" w:cs="宋体"/>
          <w:color w:val="auto"/>
          <w:sz w:val="24"/>
          <w:highlight w:val="none"/>
          <w:u w:val="single"/>
        </w:rPr>
        <w:t xml:space="preserve">           </w:t>
      </w:r>
    </w:p>
    <w:p w14:paraId="2022C26B">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法定代表人/负责人或委托代理人（</w:t>
      </w:r>
      <w:r>
        <w:rPr>
          <w:rFonts w:hint="eastAsia" w:ascii="宋体" w:hAnsi="宋体" w:eastAsia="宋体" w:cs="宋体"/>
          <w:color w:val="000000" w:themeColor="text1"/>
          <w:sz w:val="24"/>
          <w:highlight w:val="none"/>
          <w14:textFill>
            <w14:solidFill>
              <w14:schemeClr w14:val="tx1"/>
            </w14:solidFill>
          </w14:textFill>
        </w:rPr>
        <w:t>签</w:t>
      </w:r>
      <w:r>
        <w:rPr>
          <w:rFonts w:hint="eastAsia" w:ascii="宋体" w:hAnsi="宋体" w:eastAsia="宋体" w:cs="宋体"/>
          <w:color w:val="000000" w:themeColor="text1"/>
          <w:sz w:val="24"/>
          <w:highlight w:val="none"/>
          <w:lang w:val="en-US" w:eastAsia="zh-CN"/>
          <w14:textFill>
            <w14:solidFill>
              <w14:schemeClr w14:val="tx1"/>
            </w14:solidFill>
          </w14:textFill>
        </w:rPr>
        <w:t>字</w:t>
      </w:r>
      <w:r>
        <w:rPr>
          <w:rFonts w:hint="eastAsia" w:ascii="宋体" w:hAnsi="宋体" w:eastAsia="宋体" w:cs="宋体"/>
          <w:color w:val="auto"/>
          <w:sz w:val="24"/>
          <w:highlight w:val="none"/>
        </w:rPr>
        <w:t>或电子签章）：</w:t>
      </w:r>
      <w:r>
        <w:rPr>
          <w:rFonts w:hint="eastAsia" w:ascii="宋体" w:hAnsi="宋体" w:eastAsia="宋体" w:cs="宋体"/>
          <w:color w:val="auto"/>
          <w:sz w:val="24"/>
          <w:highlight w:val="none"/>
          <w:u w:val="single"/>
        </w:rPr>
        <w:t xml:space="preserve">            </w:t>
      </w:r>
    </w:p>
    <w:p w14:paraId="3DD90461">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p>
    <w:p w14:paraId="1E7C222B">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说明：供应商承诺不实的，依据《</w:t>
      </w:r>
      <w:r>
        <w:rPr>
          <w:rFonts w:hint="eastAsia" w:ascii="宋体" w:hAnsi="宋体" w:eastAsia="宋体" w:cs="宋体"/>
          <w:color w:val="auto"/>
          <w:sz w:val="24"/>
          <w:highlight w:val="none"/>
          <w:lang w:eastAsia="zh-CN"/>
        </w:rPr>
        <w:t>中华人民共和国政府采购法</w:t>
      </w:r>
      <w:r>
        <w:rPr>
          <w:rFonts w:hint="eastAsia" w:ascii="宋体" w:hAnsi="宋体" w:eastAsia="宋体" w:cs="宋体"/>
          <w:color w:val="auto"/>
          <w:sz w:val="24"/>
          <w:highlight w:val="none"/>
        </w:rPr>
        <w:t>》第七十七条“提供虚假材料谋取中标、成交的”有关规定予以处理。</w:t>
      </w:r>
    </w:p>
    <w:p w14:paraId="15CD4D43">
      <w:pPr>
        <w:keepNext w:val="0"/>
        <w:keepLines w:val="0"/>
        <w:pageBreakBefore w:val="0"/>
        <w:widowControl/>
        <w:kinsoku w:val="0"/>
        <w:wordWrap/>
        <w:overflowPunct/>
        <w:topLinePunct w:val="0"/>
        <w:autoSpaceDE w:val="0"/>
        <w:autoSpaceDN w:val="0"/>
        <w:bidi w:val="0"/>
        <w:adjustRightInd w:val="0"/>
        <w:snapToGrid w:val="0"/>
        <w:spacing w:line="560" w:lineRule="exact"/>
        <w:jc w:val="both"/>
        <w:textAlignment w:val="baseline"/>
        <w:rPr>
          <w:rFonts w:hint="eastAsia" w:ascii="宋体" w:hAnsi="宋体" w:eastAsia="宋体" w:cs="Times New Roman"/>
          <w:b w:val="0"/>
          <w:bCs w:val="0"/>
          <w:kern w:val="0"/>
          <w:sz w:val="24"/>
          <w:szCs w:val="24"/>
          <w:lang w:val="en-US" w:eastAsia="zh-CN" w:bidi="ar-SA"/>
        </w:rPr>
      </w:pPr>
    </w:p>
    <w:p w14:paraId="2FAE3511">
      <w:pPr>
        <w:keepNext w:val="0"/>
        <w:keepLines w:val="0"/>
        <w:pageBreakBefore w:val="0"/>
        <w:widowControl/>
        <w:kinsoku w:val="0"/>
        <w:wordWrap/>
        <w:overflowPunct/>
        <w:topLinePunct w:val="0"/>
        <w:autoSpaceDE w:val="0"/>
        <w:autoSpaceDN w:val="0"/>
        <w:bidi w:val="0"/>
        <w:adjustRightInd w:val="0"/>
        <w:snapToGrid w:val="0"/>
        <w:spacing w:line="560" w:lineRule="exact"/>
        <w:jc w:val="left"/>
        <w:textAlignment w:val="baseline"/>
        <w:rPr>
          <w:rFonts w:hint="eastAsia" w:ascii="宋体" w:hAnsi="宋体" w:eastAsia="宋体" w:cs="宋体"/>
          <w:sz w:val="24"/>
          <w:szCs w:val="24"/>
          <w:lang w:val="en-US" w:eastAsia="zh-CN"/>
        </w:rPr>
      </w:pPr>
    </w:p>
    <w:p w14:paraId="4C599ED2">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方正小标宋_GBK" w:hAnsi="方正小标宋_GBK" w:eastAsia="方正小标宋_GBK" w:cs="方正小标宋_GBK"/>
          <w:color w:val="auto"/>
          <w:sz w:val="28"/>
          <w:szCs w:val="28"/>
        </w:rPr>
      </w:pPr>
    </w:p>
    <w:p w14:paraId="319D7F97">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方正小标宋_GBK" w:hAnsi="方正小标宋_GBK" w:eastAsia="方正小标宋_GBK" w:cs="方正小标宋_GBK"/>
          <w:color w:val="auto"/>
          <w:sz w:val="28"/>
          <w:szCs w:val="28"/>
        </w:rPr>
      </w:pPr>
    </w:p>
    <w:p w14:paraId="321C0BB8">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方正小标宋_GBK" w:hAnsi="方正小标宋_GBK" w:eastAsia="方正小标宋_GBK" w:cs="方正小标宋_GBK"/>
          <w:color w:val="auto"/>
          <w:sz w:val="28"/>
          <w:szCs w:val="28"/>
        </w:rPr>
      </w:pPr>
    </w:p>
    <w:p w14:paraId="51325E15">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方正小标宋_GBK" w:hAnsi="方正小标宋_GBK" w:eastAsia="方正小标宋_GBK" w:cs="方正小标宋_GBK"/>
          <w:color w:val="auto"/>
          <w:sz w:val="28"/>
          <w:szCs w:val="28"/>
        </w:rPr>
      </w:pPr>
    </w:p>
    <w:p w14:paraId="646D6937">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方正小标宋_GBK" w:hAnsi="方正小标宋_GBK" w:eastAsia="方正小标宋_GBK" w:cs="方正小标宋_GBK"/>
          <w:color w:val="auto"/>
          <w:sz w:val="28"/>
          <w:szCs w:val="28"/>
        </w:rPr>
      </w:pPr>
    </w:p>
    <w:p w14:paraId="3C2A07C3">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方正小标宋_GBK" w:hAnsi="方正小标宋_GBK" w:eastAsia="方正小标宋_GBK" w:cs="方正小标宋_GBK"/>
          <w:color w:val="auto"/>
          <w:sz w:val="28"/>
          <w:szCs w:val="28"/>
        </w:rPr>
      </w:pPr>
    </w:p>
    <w:p w14:paraId="264FEB73">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方正小标宋_GBK" w:hAnsi="方正小标宋_GBK" w:eastAsia="方正小标宋_GBK" w:cs="方正小标宋_GBK"/>
          <w:color w:val="auto"/>
          <w:sz w:val="28"/>
          <w:szCs w:val="28"/>
        </w:rPr>
      </w:pPr>
      <w:r>
        <w:rPr>
          <w:rFonts w:hint="eastAsia" w:ascii="方正小标宋_GBK" w:hAnsi="方正小标宋_GBK" w:eastAsia="方正小标宋_GBK" w:cs="方正小标宋_GBK"/>
          <w:color w:val="auto"/>
          <w:sz w:val="28"/>
          <w:szCs w:val="28"/>
        </w:rPr>
        <w:t>不参与围标串标信用承诺书</w:t>
      </w:r>
    </w:p>
    <w:p w14:paraId="6E33E4D2">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方正小标宋_GBK" w:hAnsi="方正小标宋_GBK" w:eastAsia="方正小标宋_GBK" w:cs="方正小标宋_GBK"/>
          <w:color w:val="auto"/>
          <w:sz w:val="28"/>
          <w:szCs w:val="28"/>
        </w:rPr>
      </w:pPr>
    </w:p>
    <w:p w14:paraId="36A506DA">
      <w:pPr>
        <w:keepNext w:val="0"/>
        <w:keepLines w:val="0"/>
        <w:pageBreakBefore w:val="0"/>
        <w:widowControl/>
        <w:kinsoku w:val="0"/>
        <w:wordWrap/>
        <w:overflowPunct/>
        <w:topLinePunct w:val="0"/>
        <w:autoSpaceDE w:val="0"/>
        <w:autoSpaceDN w:val="0"/>
        <w:bidi w:val="0"/>
        <w:adjustRightInd w:val="0"/>
        <w:snapToGrid w:val="0"/>
        <w:spacing w:line="560" w:lineRule="exact"/>
        <w:ind w:firstLine="480" w:firstLineChars="200"/>
        <w:jc w:val="both"/>
        <w:textAlignment w:val="baseline"/>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本人作为经授权的投标人代表，清楚知晓我单位本项目投标活动，对以下事项作出承诺</w:t>
      </w:r>
      <w:r>
        <w:rPr>
          <w:rFonts w:hint="eastAsia" w:ascii="方正仿宋_GBK" w:hAnsi="方正仿宋_GBK" w:eastAsia="方正仿宋_GBK" w:cs="方正仿宋_GBK"/>
          <w:color w:val="auto"/>
          <w:sz w:val="24"/>
          <w:szCs w:val="24"/>
          <w:shd w:val="clear" w:color="auto" w:fill="FFFFFF"/>
          <w:lang w:eastAsia="zh-CN"/>
        </w:rPr>
        <w:t>：</w:t>
      </w:r>
    </w:p>
    <w:p w14:paraId="27003176">
      <w:pPr>
        <w:keepNext w:val="0"/>
        <w:keepLines w:val="0"/>
        <w:pageBreakBefore w:val="0"/>
        <w:widowControl/>
        <w:kinsoku w:val="0"/>
        <w:wordWrap/>
        <w:overflowPunct/>
        <w:topLinePunct w:val="0"/>
        <w:autoSpaceDE w:val="0"/>
        <w:autoSpaceDN w:val="0"/>
        <w:bidi w:val="0"/>
        <w:adjustRightInd w:val="0"/>
        <w:snapToGrid w:val="0"/>
        <w:spacing w:line="560" w:lineRule="exact"/>
        <w:ind w:firstLine="480" w:firstLineChars="200"/>
        <w:jc w:val="both"/>
        <w:textAlignment w:val="baseline"/>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一、我单位和我本人遵循公开、公平、公正、诚实守信的原则，依法依规参与本项目投标。</w:t>
      </w:r>
    </w:p>
    <w:p w14:paraId="418128DE">
      <w:pPr>
        <w:keepNext w:val="0"/>
        <w:keepLines w:val="0"/>
        <w:pageBreakBefore w:val="0"/>
        <w:widowControl/>
        <w:kinsoku w:val="0"/>
        <w:wordWrap/>
        <w:overflowPunct/>
        <w:topLinePunct w:val="0"/>
        <w:autoSpaceDE w:val="0"/>
        <w:autoSpaceDN w:val="0"/>
        <w:bidi w:val="0"/>
        <w:adjustRightInd w:val="0"/>
        <w:snapToGrid w:val="0"/>
        <w:spacing w:line="560" w:lineRule="exact"/>
        <w:ind w:firstLine="480" w:firstLineChars="200"/>
        <w:jc w:val="both"/>
        <w:textAlignment w:val="baseline"/>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二、我单位参与投标的材料均真实、有效、合法。</w:t>
      </w:r>
    </w:p>
    <w:p w14:paraId="3A5303EE">
      <w:pPr>
        <w:keepNext w:val="0"/>
        <w:keepLines w:val="0"/>
        <w:pageBreakBefore w:val="0"/>
        <w:widowControl/>
        <w:kinsoku w:val="0"/>
        <w:wordWrap/>
        <w:overflowPunct/>
        <w:topLinePunct w:val="0"/>
        <w:autoSpaceDE w:val="0"/>
        <w:autoSpaceDN w:val="0"/>
        <w:bidi w:val="0"/>
        <w:adjustRightInd w:val="0"/>
        <w:snapToGrid w:val="0"/>
        <w:spacing w:line="560" w:lineRule="exact"/>
        <w:ind w:firstLine="480" w:firstLineChars="200"/>
        <w:jc w:val="both"/>
        <w:textAlignment w:val="baseline"/>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三、我单位和我本人在本项目招标投标活动中，不参与围标串标。</w:t>
      </w:r>
    </w:p>
    <w:p w14:paraId="15FB79E8">
      <w:pPr>
        <w:keepNext w:val="0"/>
        <w:keepLines w:val="0"/>
        <w:pageBreakBefore w:val="0"/>
        <w:widowControl/>
        <w:kinsoku w:val="0"/>
        <w:wordWrap/>
        <w:overflowPunct/>
        <w:topLinePunct w:val="0"/>
        <w:autoSpaceDE w:val="0"/>
        <w:autoSpaceDN w:val="0"/>
        <w:bidi w:val="0"/>
        <w:adjustRightInd w:val="0"/>
        <w:snapToGrid w:val="0"/>
        <w:spacing w:line="560" w:lineRule="exact"/>
        <w:ind w:firstLine="480" w:firstLineChars="200"/>
        <w:jc w:val="both"/>
        <w:textAlignment w:val="baseline"/>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四、我单位如被查实在本项目投标活动中存在围标串标的</w:t>
      </w:r>
      <w:r>
        <w:rPr>
          <w:rFonts w:hint="eastAsia" w:ascii="方正仿宋_GBK" w:hAnsi="方正仿宋_GBK" w:eastAsia="方正仿宋_GBK" w:cs="方正仿宋_GBK"/>
          <w:color w:val="auto"/>
          <w:sz w:val="24"/>
          <w:szCs w:val="24"/>
          <w:lang w:eastAsia="zh-CN"/>
        </w:rPr>
        <w:t>，</w:t>
      </w:r>
      <w:r>
        <w:rPr>
          <w:rFonts w:hint="eastAsia" w:ascii="方正仿宋_GBK" w:hAnsi="方正仿宋_GBK" w:eastAsia="方正仿宋_GBK" w:cs="方正仿宋_GBK"/>
          <w:color w:val="auto"/>
          <w:sz w:val="24"/>
          <w:szCs w:val="24"/>
        </w:rPr>
        <w:t>本人和单位接受相应行政处罚和失信惩戒，承担直接责任人法律责任。</w:t>
      </w:r>
    </w:p>
    <w:p w14:paraId="0DA46923">
      <w:pPr>
        <w:keepNext w:val="0"/>
        <w:keepLines w:val="0"/>
        <w:pageBreakBefore w:val="0"/>
        <w:widowControl/>
        <w:kinsoku w:val="0"/>
        <w:wordWrap/>
        <w:overflowPunct/>
        <w:topLinePunct w:val="0"/>
        <w:autoSpaceDE w:val="0"/>
        <w:autoSpaceDN w:val="0"/>
        <w:bidi w:val="0"/>
        <w:adjustRightInd w:val="0"/>
        <w:snapToGrid w:val="0"/>
        <w:spacing w:line="560" w:lineRule="exact"/>
        <w:ind w:firstLine="480" w:firstLineChars="200"/>
        <w:jc w:val="both"/>
        <w:textAlignment w:val="baseline"/>
        <w:rPr>
          <w:rFonts w:hint="eastAsia" w:ascii="方正仿宋_GBK" w:hAnsi="方正仿宋_GBK" w:eastAsia="方正仿宋_GBK" w:cs="方正仿宋_GBK"/>
          <w:color w:val="auto"/>
          <w:sz w:val="24"/>
          <w:szCs w:val="24"/>
        </w:rPr>
      </w:pPr>
    </w:p>
    <w:p w14:paraId="56CBFACC">
      <w:pPr>
        <w:keepNext w:val="0"/>
        <w:keepLines w:val="0"/>
        <w:pageBreakBefore w:val="0"/>
        <w:widowControl/>
        <w:kinsoku w:val="0"/>
        <w:wordWrap/>
        <w:overflowPunct/>
        <w:topLinePunct w:val="0"/>
        <w:autoSpaceDE w:val="0"/>
        <w:autoSpaceDN w:val="0"/>
        <w:bidi w:val="0"/>
        <w:adjustRightInd w:val="0"/>
        <w:snapToGrid w:val="0"/>
        <w:spacing w:line="560" w:lineRule="exact"/>
        <w:ind w:firstLine="2160" w:firstLineChars="900"/>
        <w:jc w:val="both"/>
        <w:textAlignment w:val="baseline"/>
        <w:rPr>
          <w:rFonts w:hint="eastAsia" w:ascii="方正仿宋_GBK" w:hAnsi="方正仿宋_GBK" w:eastAsia="方正仿宋_GBK" w:cs="方正仿宋_GBK"/>
          <w:color w:val="auto"/>
          <w:sz w:val="24"/>
          <w:szCs w:val="24"/>
          <w:highlight w:val="none"/>
          <w:lang w:eastAsia="zh-CN"/>
        </w:rPr>
      </w:pPr>
      <w:r>
        <w:rPr>
          <w:rFonts w:hint="eastAsia" w:ascii="方正仿宋_GBK" w:hAnsi="方正仿宋_GBK" w:eastAsia="方正仿宋_GBK" w:cs="方正仿宋_GBK"/>
          <w:color w:val="auto"/>
          <w:sz w:val="24"/>
          <w:szCs w:val="24"/>
        </w:rPr>
        <w:t>承诺单位（</w:t>
      </w:r>
      <w:r>
        <w:rPr>
          <w:rFonts w:hint="eastAsia" w:ascii="方正仿宋_GBK" w:hAnsi="方正仿宋_GBK" w:eastAsia="方正仿宋_GBK" w:cs="方正仿宋_GBK"/>
          <w:color w:val="auto"/>
          <w:sz w:val="24"/>
          <w:szCs w:val="24"/>
          <w:highlight w:val="none"/>
        </w:rPr>
        <w:t>公章）：</w:t>
      </w:r>
    </w:p>
    <w:p w14:paraId="00965B53">
      <w:pPr>
        <w:keepNext w:val="0"/>
        <w:keepLines w:val="0"/>
        <w:pageBreakBefore w:val="0"/>
        <w:widowControl/>
        <w:kinsoku w:val="0"/>
        <w:wordWrap/>
        <w:overflowPunct/>
        <w:topLinePunct w:val="0"/>
        <w:autoSpaceDE w:val="0"/>
        <w:autoSpaceDN w:val="0"/>
        <w:bidi w:val="0"/>
        <w:adjustRightInd w:val="0"/>
        <w:snapToGrid w:val="0"/>
        <w:spacing w:line="560" w:lineRule="exact"/>
        <w:ind w:firstLine="2160" w:firstLineChars="900"/>
        <w:jc w:val="both"/>
        <w:textAlignment w:val="baseline"/>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统一社会信用代码：</w:t>
      </w:r>
    </w:p>
    <w:p w14:paraId="26507761">
      <w:pPr>
        <w:keepNext w:val="0"/>
        <w:keepLines w:val="0"/>
        <w:pageBreakBefore w:val="0"/>
        <w:widowControl/>
        <w:kinsoku w:val="0"/>
        <w:wordWrap/>
        <w:overflowPunct/>
        <w:topLinePunct w:val="0"/>
        <w:autoSpaceDE w:val="0"/>
        <w:autoSpaceDN w:val="0"/>
        <w:bidi w:val="0"/>
        <w:adjustRightInd w:val="0"/>
        <w:snapToGrid w:val="0"/>
        <w:spacing w:line="560" w:lineRule="exact"/>
        <w:ind w:firstLine="960" w:firstLineChars="400"/>
        <w:jc w:val="both"/>
        <w:textAlignment w:val="baseline"/>
        <w:rPr>
          <w:rFonts w:hint="eastAsia" w:ascii="方正仿宋_GBK" w:hAnsi="方正仿宋_GBK" w:eastAsia="方正仿宋_GBK" w:cs="方正仿宋_GBK"/>
          <w:color w:val="auto"/>
          <w:sz w:val="24"/>
          <w:szCs w:val="24"/>
          <w:highlight w:val="none"/>
          <w:lang w:eastAsia="zh-CN"/>
        </w:rPr>
      </w:pPr>
      <w:r>
        <w:rPr>
          <w:rFonts w:hint="eastAsia" w:ascii="方正仿宋_GBK" w:hAnsi="方正仿宋_GBK" w:eastAsia="方正仿宋_GBK" w:cs="方正仿宋_GBK"/>
          <w:color w:val="auto"/>
          <w:sz w:val="24"/>
          <w:szCs w:val="24"/>
          <w:highlight w:val="none"/>
        </w:rPr>
        <w:t>法定代表人或授权人（签字）：</w:t>
      </w:r>
    </w:p>
    <w:p w14:paraId="5CF5B022">
      <w:pPr>
        <w:keepNext w:val="0"/>
        <w:keepLines w:val="0"/>
        <w:pageBreakBefore w:val="0"/>
        <w:widowControl/>
        <w:kinsoku w:val="0"/>
        <w:wordWrap/>
        <w:overflowPunct/>
        <w:topLinePunct w:val="0"/>
        <w:autoSpaceDE w:val="0"/>
        <w:autoSpaceDN w:val="0"/>
        <w:bidi w:val="0"/>
        <w:adjustRightInd w:val="0"/>
        <w:snapToGrid w:val="0"/>
        <w:spacing w:line="560" w:lineRule="exact"/>
        <w:ind w:firstLine="480" w:firstLineChars="200"/>
        <w:jc w:val="both"/>
        <w:textAlignment w:val="baseline"/>
        <w:rPr>
          <w:rFonts w:hint="eastAsia" w:ascii="方正仿宋_GBK" w:hAnsi="方正仿宋_GBK" w:eastAsia="方正仿宋_GBK" w:cs="方正仿宋_GBK"/>
          <w:color w:val="auto"/>
          <w:sz w:val="24"/>
          <w:szCs w:val="24"/>
        </w:rPr>
      </w:pPr>
    </w:p>
    <w:p w14:paraId="7E4D03A7">
      <w:pPr>
        <w:keepNext w:val="0"/>
        <w:keepLines w:val="0"/>
        <w:pageBreakBefore w:val="0"/>
        <w:widowControl/>
        <w:kinsoku w:val="0"/>
        <w:wordWrap/>
        <w:overflowPunct/>
        <w:topLinePunct w:val="0"/>
        <w:autoSpaceDE w:val="0"/>
        <w:autoSpaceDN w:val="0"/>
        <w:bidi w:val="0"/>
        <w:adjustRightInd w:val="0"/>
        <w:snapToGrid w:val="0"/>
        <w:spacing w:line="560" w:lineRule="exact"/>
        <w:ind w:firstLine="4320" w:firstLineChars="1800"/>
        <w:jc w:val="both"/>
        <w:textAlignment w:val="baseline"/>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年</w:t>
      </w:r>
      <w:r>
        <w:rPr>
          <w:rFonts w:hint="eastAsia" w:ascii="方正仿宋_GBK" w:hAnsi="方正仿宋_GBK" w:eastAsia="方正仿宋_GBK" w:cs="方正仿宋_GBK"/>
          <w:color w:val="auto"/>
          <w:sz w:val="24"/>
          <w:szCs w:val="24"/>
          <w:lang w:val="en-US" w:eastAsia="zh-CN"/>
        </w:rPr>
        <w:t xml:space="preserve">  </w:t>
      </w:r>
      <w:r>
        <w:rPr>
          <w:rFonts w:hint="eastAsia" w:ascii="方正仿宋_GBK" w:hAnsi="方正仿宋_GBK" w:eastAsia="方正仿宋_GBK" w:cs="方正仿宋_GBK"/>
          <w:color w:val="auto"/>
          <w:sz w:val="24"/>
          <w:szCs w:val="24"/>
        </w:rPr>
        <w:t>月</w:t>
      </w:r>
      <w:r>
        <w:rPr>
          <w:rFonts w:hint="eastAsia" w:ascii="方正仿宋_GBK" w:hAnsi="方正仿宋_GBK" w:eastAsia="方正仿宋_GBK" w:cs="方正仿宋_GBK"/>
          <w:color w:val="auto"/>
          <w:sz w:val="24"/>
          <w:szCs w:val="24"/>
          <w:lang w:val="en-US" w:eastAsia="zh-CN"/>
        </w:rPr>
        <w:t xml:space="preserve">  </w:t>
      </w:r>
      <w:r>
        <w:rPr>
          <w:rFonts w:hint="eastAsia" w:ascii="方正仿宋_GBK" w:hAnsi="方正仿宋_GBK" w:eastAsia="方正仿宋_GBK" w:cs="方正仿宋_GBK"/>
          <w:color w:val="auto"/>
          <w:sz w:val="24"/>
          <w:szCs w:val="24"/>
        </w:rPr>
        <w:t>日</w:t>
      </w:r>
    </w:p>
    <w:p w14:paraId="70EBD5C4">
      <w:pPr>
        <w:numPr>
          <w:ilvl w:val="0"/>
          <w:numId w:val="10"/>
        </w:numPr>
        <w:spacing w:line="360" w:lineRule="auto"/>
        <w:ind w:left="228" w:leftChars="0" w:firstLine="402" w:firstLineChars="0"/>
        <w:jc w:val="center"/>
        <w:outlineLvl w:val="1"/>
        <w:rPr>
          <w:rFonts w:hint="eastAsia" w:ascii="宋体" w:hAnsi="宋体" w:eastAsia="宋体" w:cs="宋体"/>
          <w:b/>
          <w:bCs/>
          <w:color w:val="auto"/>
          <w:sz w:val="28"/>
          <w:szCs w:val="28"/>
          <w:highlight w:val="none"/>
        </w:rPr>
      </w:pPr>
      <w:r>
        <w:rPr>
          <w:rFonts w:hint="eastAsia" w:ascii="宋体" w:hAnsi="宋体" w:eastAsia="宋体" w:cs="宋体"/>
          <w:color w:val="auto"/>
          <w:sz w:val="24"/>
          <w:highlight w:val="none"/>
        </w:rPr>
        <w:br w:type="page"/>
      </w:r>
      <w:bookmarkStart w:id="800" w:name="_Toc20156"/>
      <w:r>
        <w:rPr>
          <w:rFonts w:hint="eastAsia" w:ascii="宋体" w:hAnsi="宋体" w:eastAsia="宋体" w:cs="宋体"/>
          <w:b/>
          <w:bCs/>
          <w:color w:val="auto"/>
          <w:sz w:val="28"/>
          <w:szCs w:val="28"/>
          <w:highlight w:val="none"/>
        </w:rPr>
        <w:t>商务文件格式</w:t>
      </w:r>
      <w:bookmarkEnd w:id="800"/>
    </w:p>
    <w:p w14:paraId="6DE8C931">
      <w:pPr>
        <w:rPr>
          <w:rFonts w:hint="eastAsia" w:ascii="宋体" w:hAnsi="宋体" w:eastAsia="宋体" w:cs="宋体"/>
          <w:b/>
          <w:color w:val="auto"/>
          <w:spacing w:val="20"/>
          <w:szCs w:val="21"/>
          <w:highlight w:val="none"/>
        </w:rPr>
      </w:pPr>
    </w:p>
    <w:p w14:paraId="7361A889">
      <w:pPr>
        <w:pStyle w:val="9"/>
        <w:spacing w:line="360" w:lineRule="auto"/>
        <w:jc w:val="center"/>
        <w:rPr>
          <w:rFonts w:hint="eastAsia" w:ascii="宋体" w:hAnsi="宋体" w:eastAsia="宋体" w:cs="宋体"/>
          <w:b/>
          <w:color w:val="auto"/>
          <w:sz w:val="36"/>
          <w:szCs w:val="36"/>
          <w:highlight w:val="none"/>
          <w:lang w:eastAsia="zh-CN"/>
        </w:rPr>
      </w:pPr>
      <w:bookmarkStart w:id="801" w:name="_Hlt520274407"/>
      <w:bookmarkEnd w:id="801"/>
      <w:bookmarkStart w:id="802" w:name="_Hlt520343000"/>
      <w:bookmarkEnd w:id="802"/>
      <w:bookmarkStart w:id="803" w:name="_Hlt520343392"/>
      <w:bookmarkEnd w:id="803"/>
      <w:bookmarkStart w:id="804" w:name="_Hlt520274065"/>
      <w:bookmarkEnd w:id="804"/>
      <w:bookmarkStart w:id="805" w:name="_Hlt520274393"/>
      <w:bookmarkEnd w:id="805"/>
      <w:bookmarkStart w:id="806" w:name="_Hlt520355504"/>
      <w:bookmarkEnd w:id="806"/>
      <w:bookmarkStart w:id="807" w:name="_Hlt520350918"/>
      <w:bookmarkEnd w:id="807"/>
      <w:bookmarkStart w:id="808" w:name="_Hlt520271212"/>
      <w:bookmarkEnd w:id="808"/>
      <w:bookmarkStart w:id="809" w:name="_Hlt520273711"/>
      <w:bookmarkEnd w:id="809"/>
      <w:bookmarkStart w:id="810" w:name="_Hlt520274121"/>
      <w:bookmarkEnd w:id="810"/>
      <w:r>
        <w:rPr>
          <w:rFonts w:hint="eastAsia"/>
          <w:b/>
          <w:sz w:val="36"/>
          <w:szCs w:val="36"/>
          <w:lang w:val="en-US" w:eastAsia="zh-CN"/>
        </w:rPr>
        <w:t>剑川县生活垃圾填埋场渗滤液处理站市场化运营项目</w:t>
      </w:r>
    </w:p>
    <w:p w14:paraId="2709AE42">
      <w:pPr>
        <w:pStyle w:val="9"/>
        <w:spacing w:line="500" w:lineRule="exact"/>
        <w:jc w:val="center"/>
        <w:rPr>
          <w:rFonts w:hint="eastAsia" w:ascii="宋体" w:hAnsi="宋体" w:eastAsia="宋体" w:cs="宋体"/>
          <w:b/>
          <w:color w:val="auto"/>
          <w:sz w:val="32"/>
          <w:szCs w:val="32"/>
          <w:highlight w:val="none"/>
        </w:rPr>
      </w:pPr>
    </w:p>
    <w:p w14:paraId="3F2FDD93">
      <w:pPr>
        <w:pStyle w:val="9"/>
        <w:spacing w:line="500" w:lineRule="exact"/>
        <w:jc w:val="center"/>
        <w:rPr>
          <w:rFonts w:hint="eastAsia" w:ascii="宋体" w:hAnsi="宋体" w:eastAsia="宋体" w:cs="宋体"/>
          <w:b/>
          <w:color w:val="auto"/>
          <w:sz w:val="32"/>
          <w:szCs w:val="32"/>
          <w:highlight w:val="none"/>
        </w:rPr>
      </w:pPr>
    </w:p>
    <w:p w14:paraId="1E29BF08">
      <w:pPr>
        <w:pStyle w:val="9"/>
        <w:spacing w:line="500" w:lineRule="exact"/>
        <w:jc w:val="center"/>
        <w:rPr>
          <w:rFonts w:hint="eastAsia" w:ascii="宋体" w:hAnsi="宋体" w:eastAsia="宋体" w:cs="宋体"/>
          <w:b/>
          <w:color w:val="auto"/>
          <w:sz w:val="32"/>
          <w:szCs w:val="32"/>
          <w:highlight w:val="none"/>
        </w:rPr>
      </w:pPr>
    </w:p>
    <w:p w14:paraId="31D0EC81">
      <w:pPr>
        <w:pStyle w:val="9"/>
        <w:spacing w:line="500" w:lineRule="exact"/>
        <w:jc w:val="center"/>
        <w:rPr>
          <w:rFonts w:hint="eastAsia" w:ascii="宋体" w:hAnsi="宋体" w:eastAsia="宋体" w:cs="宋体"/>
          <w:b/>
          <w:color w:val="auto"/>
          <w:sz w:val="32"/>
          <w:szCs w:val="32"/>
          <w:highlight w:val="none"/>
        </w:rPr>
      </w:pPr>
    </w:p>
    <w:p w14:paraId="1782015E">
      <w:pPr>
        <w:pStyle w:val="9"/>
        <w:spacing w:line="780" w:lineRule="exact"/>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商务部分文件</w:t>
      </w:r>
    </w:p>
    <w:p w14:paraId="0F27DB52">
      <w:pPr>
        <w:pStyle w:val="9"/>
        <w:spacing w:line="500" w:lineRule="exact"/>
        <w:jc w:val="center"/>
        <w:rPr>
          <w:rFonts w:hint="eastAsia" w:ascii="宋体" w:hAnsi="宋体" w:eastAsia="宋体" w:cs="宋体"/>
          <w:b/>
          <w:color w:val="auto"/>
          <w:sz w:val="72"/>
          <w:szCs w:val="72"/>
          <w:highlight w:val="none"/>
        </w:rPr>
      </w:pPr>
    </w:p>
    <w:p w14:paraId="2569C650">
      <w:pPr>
        <w:pStyle w:val="9"/>
        <w:spacing w:line="500" w:lineRule="exact"/>
        <w:jc w:val="center"/>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lang w:eastAsia="zh-CN"/>
        </w:rPr>
        <w:t>项目编号</w:t>
      </w:r>
      <w:r>
        <w:rPr>
          <w:rFonts w:hint="eastAsia" w:ascii="宋体" w:hAnsi="宋体" w:eastAsia="宋体" w:cs="宋体"/>
          <w:b/>
          <w:color w:val="auto"/>
          <w:sz w:val="28"/>
          <w:szCs w:val="28"/>
          <w:highlight w:val="none"/>
        </w:rPr>
        <w:t>：</w:t>
      </w:r>
    </w:p>
    <w:p w14:paraId="17077788">
      <w:pPr>
        <w:pStyle w:val="9"/>
        <w:spacing w:line="500" w:lineRule="exact"/>
        <w:ind w:firstLine="3654" w:firstLineChars="1300"/>
        <w:rPr>
          <w:rFonts w:hint="eastAsia" w:ascii="宋体" w:hAnsi="宋体" w:eastAsia="宋体" w:cs="宋体"/>
          <w:b/>
          <w:color w:val="auto"/>
          <w:sz w:val="28"/>
          <w:szCs w:val="28"/>
          <w:highlight w:val="none"/>
          <w:u w:val="single"/>
        </w:rPr>
      </w:pPr>
    </w:p>
    <w:p w14:paraId="59F16DC2">
      <w:pPr>
        <w:pStyle w:val="9"/>
        <w:spacing w:line="500" w:lineRule="exact"/>
        <w:ind w:firstLine="12750" w:firstLineChars="1764"/>
        <w:rPr>
          <w:rFonts w:hint="eastAsia" w:ascii="宋体" w:hAnsi="宋体" w:eastAsia="宋体" w:cs="宋体"/>
          <w:b/>
          <w:color w:val="auto"/>
          <w:sz w:val="72"/>
          <w:szCs w:val="72"/>
          <w:highlight w:val="none"/>
        </w:rPr>
      </w:pPr>
    </w:p>
    <w:p w14:paraId="19C41528">
      <w:pPr>
        <w:pStyle w:val="9"/>
        <w:spacing w:line="500" w:lineRule="exact"/>
        <w:jc w:val="center"/>
        <w:rPr>
          <w:rFonts w:hint="eastAsia" w:ascii="宋体" w:hAnsi="宋体" w:eastAsia="宋体" w:cs="宋体"/>
          <w:b/>
          <w:color w:val="auto"/>
          <w:sz w:val="72"/>
          <w:szCs w:val="72"/>
          <w:highlight w:val="none"/>
        </w:rPr>
      </w:pPr>
    </w:p>
    <w:p w14:paraId="4DEA26BD">
      <w:pPr>
        <w:pStyle w:val="9"/>
        <w:spacing w:line="500" w:lineRule="exact"/>
        <w:jc w:val="center"/>
        <w:rPr>
          <w:rFonts w:hint="eastAsia" w:ascii="宋体" w:hAnsi="宋体" w:eastAsia="宋体" w:cs="宋体"/>
          <w:b/>
          <w:color w:val="auto"/>
          <w:sz w:val="72"/>
          <w:szCs w:val="72"/>
          <w:highlight w:val="none"/>
        </w:rPr>
      </w:pPr>
    </w:p>
    <w:p w14:paraId="34B5CA24">
      <w:pPr>
        <w:pStyle w:val="9"/>
        <w:spacing w:line="500" w:lineRule="exact"/>
        <w:jc w:val="center"/>
        <w:rPr>
          <w:rFonts w:hint="eastAsia" w:ascii="宋体" w:hAnsi="宋体" w:eastAsia="宋体" w:cs="宋体"/>
          <w:b/>
          <w:color w:val="auto"/>
          <w:sz w:val="72"/>
          <w:szCs w:val="72"/>
          <w:highlight w:val="none"/>
        </w:rPr>
      </w:pPr>
    </w:p>
    <w:p w14:paraId="63F3A80F">
      <w:pPr>
        <w:pStyle w:val="9"/>
        <w:spacing w:line="500" w:lineRule="exact"/>
        <w:rPr>
          <w:rFonts w:hint="eastAsia" w:ascii="宋体" w:hAnsi="宋体" w:eastAsia="宋体" w:cs="宋体"/>
          <w:b/>
          <w:color w:val="auto"/>
          <w:sz w:val="72"/>
          <w:szCs w:val="72"/>
          <w:highlight w:val="none"/>
        </w:rPr>
      </w:pPr>
    </w:p>
    <w:p w14:paraId="54818083">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供应商名称（电子签章）：</w:t>
      </w:r>
      <w:r>
        <w:rPr>
          <w:rFonts w:hint="eastAsia" w:ascii="宋体" w:hAnsi="宋体" w:eastAsia="宋体" w:cs="宋体"/>
          <w:color w:val="auto"/>
          <w:sz w:val="24"/>
          <w:highlight w:val="none"/>
          <w:u w:val="single"/>
        </w:rPr>
        <w:t xml:space="preserve">           </w:t>
      </w:r>
    </w:p>
    <w:p w14:paraId="57BB7AFD">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法定代表人或其委托代理人（签</w:t>
      </w:r>
      <w:r>
        <w:rPr>
          <w:rFonts w:hint="eastAsia" w:ascii="宋体" w:hAnsi="宋体" w:eastAsia="宋体" w:cs="宋体"/>
          <w:color w:val="auto"/>
          <w:sz w:val="24"/>
          <w:highlight w:val="none"/>
          <w:lang w:val="en-US" w:eastAsia="zh-CN"/>
        </w:rPr>
        <w:t>字</w:t>
      </w:r>
      <w:r>
        <w:rPr>
          <w:rFonts w:hint="eastAsia" w:ascii="宋体" w:hAnsi="宋体" w:eastAsia="宋体" w:cs="宋体"/>
          <w:color w:val="auto"/>
          <w:sz w:val="24"/>
          <w:highlight w:val="none"/>
        </w:rPr>
        <w:t>或电子签章）：</w:t>
      </w:r>
      <w:r>
        <w:rPr>
          <w:rFonts w:hint="eastAsia" w:ascii="宋体" w:hAnsi="宋体" w:eastAsia="宋体" w:cs="宋体"/>
          <w:color w:val="auto"/>
          <w:sz w:val="24"/>
          <w:highlight w:val="none"/>
          <w:u w:val="single"/>
        </w:rPr>
        <w:t xml:space="preserve">            </w:t>
      </w:r>
    </w:p>
    <w:p w14:paraId="2507B2FD">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64E78D06">
      <w:pPr>
        <w:outlineLvl w:val="2"/>
        <w:rPr>
          <w:rFonts w:hint="eastAsia" w:ascii="宋体" w:hAnsi="宋体" w:eastAsia="宋体" w:cs="宋体"/>
          <w:b/>
          <w:bCs/>
          <w:color w:val="auto"/>
          <w:sz w:val="24"/>
          <w:szCs w:val="32"/>
          <w:highlight w:val="none"/>
        </w:rPr>
      </w:pPr>
      <w:r>
        <w:rPr>
          <w:rFonts w:hint="eastAsia" w:ascii="宋体" w:hAnsi="宋体" w:eastAsia="宋体" w:cs="宋体"/>
          <w:color w:val="auto"/>
          <w:sz w:val="24"/>
          <w:highlight w:val="none"/>
        </w:rPr>
        <w:br w:type="page"/>
      </w:r>
      <w:r>
        <w:rPr>
          <w:rFonts w:hint="eastAsia" w:ascii="宋体" w:hAnsi="宋体" w:eastAsia="宋体" w:cs="宋体"/>
          <w:b/>
          <w:bCs/>
          <w:color w:val="auto"/>
          <w:sz w:val="24"/>
          <w:szCs w:val="32"/>
          <w:highlight w:val="none"/>
        </w:rPr>
        <w:t>格式1：开标一览表</w:t>
      </w:r>
    </w:p>
    <w:p w14:paraId="284C8338">
      <w:pPr>
        <w:jc w:val="center"/>
        <w:rPr>
          <w:rFonts w:hint="eastAsia" w:ascii="宋体" w:hAnsi="宋体" w:eastAsia="宋体" w:cs="宋体"/>
          <w:b/>
          <w:color w:val="auto"/>
          <w:sz w:val="32"/>
          <w:szCs w:val="32"/>
          <w:highlight w:val="none"/>
        </w:rPr>
      </w:pPr>
      <w:bookmarkStart w:id="811" w:name="_Toc476856076"/>
      <w:bookmarkStart w:id="812" w:name="_Toc475291693"/>
      <w:bookmarkStart w:id="813" w:name="_Toc213141093"/>
      <w:bookmarkStart w:id="814" w:name="_Toc393354840"/>
      <w:r>
        <w:rPr>
          <w:rFonts w:hint="eastAsia" w:ascii="宋体" w:hAnsi="宋体" w:eastAsia="宋体" w:cs="宋体"/>
          <w:b/>
          <w:color w:val="auto"/>
          <w:sz w:val="32"/>
          <w:szCs w:val="32"/>
          <w:highlight w:val="none"/>
        </w:rPr>
        <w:t>开标一览表</w:t>
      </w:r>
      <w:bookmarkEnd w:id="811"/>
      <w:bookmarkEnd w:id="812"/>
      <w:bookmarkEnd w:id="813"/>
      <w:bookmarkEnd w:id="814"/>
    </w:p>
    <w:p w14:paraId="126E3D1B">
      <w:pPr>
        <w:pStyle w:val="9"/>
        <w:autoSpaceDE w:val="0"/>
        <w:autoSpaceDN w:val="0"/>
        <w:adjustRightInd w:val="0"/>
        <w:ind w:firstLine="440" w:firstLineChars="200"/>
        <w:rPr>
          <w:rFonts w:hint="eastAsia" w:ascii="宋体" w:hAnsi="宋体" w:eastAsia="宋体" w:cs="宋体"/>
          <w:b/>
          <w:bCs/>
          <w:color w:val="auto"/>
          <w:kern w:val="0"/>
          <w:sz w:val="22"/>
          <w:szCs w:val="56"/>
          <w:highlight w:val="none"/>
          <w:u w:val="single"/>
        </w:rPr>
      </w:pPr>
      <w:r>
        <w:rPr>
          <w:rFonts w:hint="eastAsia" w:ascii="宋体" w:hAnsi="宋体" w:eastAsia="宋体" w:cs="宋体"/>
          <w:color w:val="auto"/>
          <w:sz w:val="22"/>
          <w:szCs w:val="28"/>
          <w:highlight w:val="none"/>
          <w:lang w:eastAsia="zh-CN"/>
        </w:rPr>
        <w:t>项目名称</w:t>
      </w:r>
      <w:r>
        <w:rPr>
          <w:rFonts w:hint="eastAsia" w:ascii="宋体" w:hAnsi="宋体" w:eastAsia="宋体" w:cs="宋体"/>
          <w:color w:val="auto"/>
          <w:sz w:val="22"/>
          <w:szCs w:val="28"/>
          <w:highlight w:val="none"/>
        </w:rPr>
        <w:t>：</w:t>
      </w:r>
      <w:r>
        <w:rPr>
          <w:rFonts w:hint="eastAsia" w:ascii="宋体" w:hAnsi="宋体" w:eastAsia="宋体" w:cs="宋体"/>
          <w:color w:val="auto"/>
          <w:sz w:val="22"/>
          <w:szCs w:val="28"/>
          <w:highlight w:val="none"/>
          <w:u w:val="single"/>
        </w:rPr>
        <w:t xml:space="preserve">                        </w:t>
      </w:r>
    </w:p>
    <w:p w14:paraId="2C72BAEF">
      <w:pPr>
        <w:spacing w:line="360" w:lineRule="exact"/>
        <w:ind w:firstLine="440" w:firstLineChars="200"/>
        <w:rPr>
          <w:rFonts w:hint="eastAsia" w:ascii="宋体" w:hAnsi="宋体" w:eastAsia="宋体" w:cs="宋体"/>
          <w:color w:val="auto"/>
          <w:highlight w:val="none"/>
        </w:rPr>
      </w:pPr>
      <w:r>
        <w:rPr>
          <w:rFonts w:hint="eastAsia" w:ascii="宋体" w:hAnsi="宋体" w:eastAsia="宋体" w:cs="宋体"/>
          <w:color w:val="auto"/>
          <w:sz w:val="22"/>
          <w:szCs w:val="28"/>
          <w:highlight w:val="none"/>
          <w:lang w:eastAsia="zh-CN"/>
        </w:rPr>
        <w:t>项目编号</w:t>
      </w:r>
      <w:r>
        <w:rPr>
          <w:rFonts w:hint="eastAsia" w:ascii="宋体" w:hAnsi="宋体" w:eastAsia="宋体" w:cs="宋体"/>
          <w:color w:val="auto"/>
          <w:sz w:val="22"/>
          <w:szCs w:val="28"/>
          <w:highlight w:val="none"/>
        </w:rPr>
        <w:t>：</w:t>
      </w:r>
      <w:r>
        <w:rPr>
          <w:rFonts w:hint="eastAsia" w:ascii="宋体" w:hAnsi="宋体" w:eastAsia="宋体" w:cs="宋体"/>
          <w:color w:val="auto"/>
          <w:sz w:val="22"/>
          <w:szCs w:val="28"/>
          <w:highlight w:val="none"/>
          <w:u w:val="single"/>
        </w:rPr>
        <w:t xml:space="preserve">                        </w:t>
      </w:r>
      <w:r>
        <w:rPr>
          <w:rFonts w:hint="eastAsia" w:ascii="宋体" w:hAnsi="宋体" w:eastAsia="宋体" w:cs="宋体"/>
          <w:color w:val="auto"/>
          <w:highlight w:val="none"/>
        </w:rPr>
        <w:t xml:space="preserve"> </w:t>
      </w:r>
    </w:p>
    <w:tbl>
      <w:tblPr>
        <w:tblStyle w:val="16"/>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425"/>
        <w:gridCol w:w="6815"/>
      </w:tblGrid>
      <w:tr w14:paraId="10B386B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2425" w:type="dxa"/>
            <w:tcBorders>
              <w:top w:val="single" w:color="auto" w:sz="12" w:space="0"/>
              <w:left w:val="single" w:color="auto" w:sz="12" w:space="0"/>
              <w:bottom w:val="single" w:color="auto" w:sz="4" w:space="0"/>
              <w:right w:val="single" w:color="auto" w:sz="4" w:space="0"/>
            </w:tcBorders>
            <w:noWrap w:val="0"/>
            <w:vAlign w:val="center"/>
          </w:tcPr>
          <w:p w14:paraId="028BFBAD">
            <w:pPr>
              <w:spacing w:before="120" w:after="12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w:t>
            </w:r>
          </w:p>
        </w:tc>
        <w:tc>
          <w:tcPr>
            <w:tcW w:w="6815" w:type="dxa"/>
            <w:tcBorders>
              <w:top w:val="single" w:color="auto" w:sz="12" w:space="0"/>
              <w:left w:val="single" w:color="auto" w:sz="4" w:space="0"/>
              <w:bottom w:val="single" w:color="auto" w:sz="4" w:space="0"/>
              <w:right w:val="single" w:color="auto" w:sz="12" w:space="0"/>
            </w:tcBorders>
            <w:noWrap w:val="0"/>
            <w:vAlign w:val="center"/>
          </w:tcPr>
          <w:p w14:paraId="731E7C64">
            <w:pPr>
              <w:spacing w:before="120" w:after="120" w:line="360" w:lineRule="auto"/>
              <w:jc w:val="center"/>
              <w:rPr>
                <w:rFonts w:hint="eastAsia" w:ascii="宋体" w:hAnsi="宋体" w:eastAsia="宋体" w:cs="宋体"/>
                <w:color w:val="auto"/>
                <w:sz w:val="24"/>
                <w:highlight w:val="none"/>
              </w:rPr>
            </w:pPr>
          </w:p>
        </w:tc>
      </w:tr>
      <w:tr w14:paraId="01FC7D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2425" w:type="dxa"/>
            <w:vMerge w:val="restart"/>
            <w:tcBorders>
              <w:top w:val="single" w:color="auto" w:sz="4" w:space="0"/>
              <w:left w:val="single" w:color="auto" w:sz="12" w:space="0"/>
              <w:bottom w:val="single" w:color="auto" w:sz="4" w:space="0"/>
              <w:right w:val="single" w:color="auto" w:sz="4" w:space="0"/>
            </w:tcBorders>
            <w:noWrap w:val="0"/>
            <w:vAlign w:val="center"/>
          </w:tcPr>
          <w:p w14:paraId="28F9790D">
            <w:pPr>
              <w:spacing w:before="120" w:after="12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投标总报价</w:t>
            </w:r>
          </w:p>
          <w:p w14:paraId="0C66F21B">
            <w:pPr>
              <w:spacing w:before="120" w:after="12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（人民币：元</w:t>
            </w:r>
            <w:r>
              <w:rPr>
                <w:rFonts w:hint="eastAsia" w:ascii="宋体" w:hAnsi="宋体" w:eastAsia="宋体" w:cs="宋体"/>
                <w:color w:val="auto"/>
                <w:sz w:val="24"/>
                <w:highlight w:val="none"/>
                <w:lang w:val="en-US" w:eastAsia="zh-CN"/>
              </w:rPr>
              <w:t>/年</w:t>
            </w:r>
            <w:r>
              <w:rPr>
                <w:rFonts w:hint="eastAsia" w:ascii="宋体" w:hAnsi="宋体" w:eastAsia="宋体" w:cs="宋体"/>
                <w:color w:val="auto"/>
                <w:sz w:val="24"/>
                <w:highlight w:val="none"/>
              </w:rPr>
              <w:t>）</w:t>
            </w:r>
          </w:p>
        </w:tc>
        <w:tc>
          <w:tcPr>
            <w:tcW w:w="6815" w:type="dxa"/>
            <w:tcBorders>
              <w:top w:val="single" w:color="auto" w:sz="4" w:space="0"/>
              <w:left w:val="single" w:color="auto" w:sz="4" w:space="0"/>
              <w:bottom w:val="single" w:color="auto" w:sz="4" w:space="0"/>
              <w:right w:val="single" w:color="auto" w:sz="12" w:space="0"/>
            </w:tcBorders>
            <w:noWrap w:val="0"/>
            <w:vAlign w:val="center"/>
          </w:tcPr>
          <w:p w14:paraId="3997990C">
            <w:pPr>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大写：</w:t>
            </w:r>
          </w:p>
        </w:tc>
      </w:tr>
      <w:tr w14:paraId="54FFDD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2425" w:type="dxa"/>
            <w:vMerge w:val="continue"/>
            <w:tcBorders>
              <w:top w:val="single" w:color="auto" w:sz="4" w:space="0"/>
              <w:left w:val="single" w:color="auto" w:sz="12" w:space="0"/>
              <w:bottom w:val="single" w:color="auto" w:sz="4" w:space="0"/>
              <w:right w:val="single" w:color="auto" w:sz="4" w:space="0"/>
            </w:tcBorders>
            <w:noWrap w:val="0"/>
            <w:vAlign w:val="center"/>
          </w:tcPr>
          <w:p w14:paraId="238B2D9C">
            <w:pPr>
              <w:rPr>
                <w:rFonts w:hint="eastAsia" w:ascii="宋体" w:hAnsi="宋体" w:eastAsia="宋体" w:cs="宋体"/>
                <w:color w:val="auto"/>
                <w:sz w:val="24"/>
                <w:highlight w:val="none"/>
              </w:rPr>
            </w:pPr>
          </w:p>
        </w:tc>
        <w:tc>
          <w:tcPr>
            <w:tcW w:w="6815" w:type="dxa"/>
            <w:tcBorders>
              <w:top w:val="single" w:color="auto" w:sz="4" w:space="0"/>
              <w:left w:val="single" w:color="auto" w:sz="4" w:space="0"/>
              <w:bottom w:val="single" w:color="auto" w:sz="4" w:space="0"/>
              <w:right w:val="single" w:color="auto" w:sz="12" w:space="0"/>
            </w:tcBorders>
            <w:noWrap w:val="0"/>
            <w:vAlign w:val="center"/>
          </w:tcPr>
          <w:p w14:paraId="2D28A9D1">
            <w:pPr>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小写：</w:t>
            </w:r>
          </w:p>
        </w:tc>
      </w:tr>
      <w:tr w14:paraId="11F18C8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425" w:type="dxa"/>
            <w:tcBorders>
              <w:top w:val="single" w:color="auto" w:sz="4" w:space="0"/>
              <w:left w:val="single" w:color="auto" w:sz="12" w:space="0"/>
              <w:bottom w:val="single" w:color="auto" w:sz="4" w:space="0"/>
              <w:right w:val="single" w:color="auto" w:sz="4" w:space="0"/>
            </w:tcBorders>
            <w:noWrap w:val="0"/>
            <w:vAlign w:val="center"/>
          </w:tcPr>
          <w:p w14:paraId="1F3A0436">
            <w:pPr>
              <w:spacing w:before="120" w:after="120" w:line="360" w:lineRule="auto"/>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项目负责人</w:t>
            </w:r>
          </w:p>
        </w:tc>
        <w:tc>
          <w:tcPr>
            <w:tcW w:w="6815" w:type="dxa"/>
            <w:tcBorders>
              <w:top w:val="single" w:color="auto" w:sz="4" w:space="0"/>
              <w:left w:val="single" w:color="auto" w:sz="4" w:space="0"/>
              <w:bottom w:val="single" w:color="auto" w:sz="4" w:space="0"/>
              <w:right w:val="single" w:color="auto" w:sz="12" w:space="0"/>
            </w:tcBorders>
            <w:noWrap w:val="0"/>
            <w:vAlign w:val="center"/>
          </w:tcPr>
          <w:p w14:paraId="1B6FD5F0">
            <w:pPr>
              <w:spacing w:before="120" w:after="120" w:line="360" w:lineRule="auto"/>
              <w:rPr>
                <w:rFonts w:hint="eastAsia" w:ascii="宋体" w:hAnsi="宋体" w:eastAsia="宋体" w:cs="宋体"/>
                <w:color w:val="auto"/>
                <w:sz w:val="24"/>
                <w:highlight w:val="none"/>
              </w:rPr>
            </w:pPr>
          </w:p>
        </w:tc>
      </w:tr>
      <w:tr w14:paraId="5A51323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425" w:type="dxa"/>
            <w:tcBorders>
              <w:top w:val="single" w:color="auto" w:sz="4" w:space="0"/>
              <w:left w:val="single" w:color="auto" w:sz="12" w:space="0"/>
              <w:bottom w:val="single" w:color="auto" w:sz="4" w:space="0"/>
              <w:right w:val="single" w:color="auto" w:sz="4" w:space="0"/>
            </w:tcBorders>
            <w:noWrap w:val="0"/>
            <w:vAlign w:val="center"/>
          </w:tcPr>
          <w:p w14:paraId="7E963602">
            <w:pPr>
              <w:spacing w:before="120" w:after="120" w:line="360" w:lineRule="auto"/>
              <w:jc w:val="center"/>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eastAsia="zh-CN"/>
              </w:rPr>
              <w:t>合同履行期限</w:t>
            </w:r>
          </w:p>
        </w:tc>
        <w:tc>
          <w:tcPr>
            <w:tcW w:w="6815" w:type="dxa"/>
            <w:tcBorders>
              <w:top w:val="single" w:color="auto" w:sz="4" w:space="0"/>
              <w:left w:val="single" w:color="auto" w:sz="4" w:space="0"/>
              <w:bottom w:val="single" w:color="auto" w:sz="4" w:space="0"/>
              <w:right w:val="single" w:color="auto" w:sz="12" w:space="0"/>
            </w:tcBorders>
            <w:noWrap w:val="0"/>
            <w:vAlign w:val="center"/>
          </w:tcPr>
          <w:p w14:paraId="76B3AFC8">
            <w:pPr>
              <w:spacing w:before="120" w:after="120" w:line="360" w:lineRule="auto"/>
              <w:rPr>
                <w:rFonts w:hint="eastAsia" w:ascii="宋体" w:hAnsi="宋体" w:eastAsia="宋体" w:cs="宋体"/>
                <w:color w:val="auto"/>
                <w:sz w:val="24"/>
                <w:highlight w:val="none"/>
              </w:rPr>
            </w:pPr>
          </w:p>
        </w:tc>
      </w:tr>
      <w:tr w14:paraId="5C1632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425" w:type="dxa"/>
            <w:tcBorders>
              <w:top w:val="single" w:color="auto" w:sz="4" w:space="0"/>
              <w:left w:val="single" w:color="auto" w:sz="12" w:space="0"/>
              <w:bottom w:val="single" w:color="auto" w:sz="4" w:space="0"/>
              <w:right w:val="single" w:color="auto" w:sz="4" w:space="0"/>
            </w:tcBorders>
            <w:noWrap w:val="0"/>
            <w:vAlign w:val="center"/>
          </w:tcPr>
          <w:p w14:paraId="42C0869B">
            <w:pPr>
              <w:spacing w:before="120" w:after="120" w:line="360" w:lineRule="auto"/>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质量</w:t>
            </w:r>
            <w:r>
              <w:rPr>
                <w:rFonts w:hint="eastAsia" w:ascii="宋体" w:hAnsi="宋体" w:cs="宋体"/>
                <w:color w:val="auto"/>
                <w:sz w:val="24"/>
                <w:highlight w:val="none"/>
                <w:lang w:val="en-US" w:eastAsia="zh-CN"/>
              </w:rPr>
              <w:t>承诺</w:t>
            </w:r>
          </w:p>
        </w:tc>
        <w:tc>
          <w:tcPr>
            <w:tcW w:w="6815" w:type="dxa"/>
            <w:tcBorders>
              <w:top w:val="single" w:color="auto" w:sz="4" w:space="0"/>
              <w:left w:val="single" w:color="auto" w:sz="4" w:space="0"/>
              <w:bottom w:val="single" w:color="auto" w:sz="4" w:space="0"/>
              <w:right w:val="single" w:color="auto" w:sz="12" w:space="0"/>
            </w:tcBorders>
            <w:noWrap w:val="0"/>
            <w:vAlign w:val="center"/>
          </w:tcPr>
          <w:p w14:paraId="020FDA1D">
            <w:pPr>
              <w:spacing w:before="120" w:after="120" w:line="360" w:lineRule="auto"/>
              <w:rPr>
                <w:rFonts w:hint="eastAsia" w:ascii="宋体" w:hAnsi="宋体" w:eastAsia="宋体" w:cs="宋体"/>
                <w:color w:val="auto"/>
                <w:sz w:val="24"/>
                <w:highlight w:val="none"/>
              </w:rPr>
            </w:pPr>
          </w:p>
        </w:tc>
      </w:tr>
      <w:tr w14:paraId="440887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425" w:type="dxa"/>
            <w:tcBorders>
              <w:top w:val="single" w:color="auto" w:sz="4" w:space="0"/>
              <w:left w:val="single" w:color="auto" w:sz="12" w:space="0"/>
              <w:bottom w:val="single" w:color="auto" w:sz="4" w:space="0"/>
              <w:right w:val="single" w:color="auto" w:sz="4" w:space="0"/>
            </w:tcBorders>
            <w:noWrap w:val="0"/>
            <w:vAlign w:val="center"/>
          </w:tcPr>
          <w:p w14:paraId="39ED4C48">
            <w:pPr>
              <w:spacing w:before="120" w:after="120" w:line="360" w:lineRule="auto"/>
              <w:jc w:val="center"/>
              <w:rPr>
                <w:rFonts w:hint="eastAsia" w:ascii="宋体" w:hAnsi="宋体" w:eastAsia="宋体" w:cs="宋体"/>
                <w:color w:val="auto"/>
                <w:sz w:val="24"/>
                <w:highlight w:val="none"/>
              </w:rPr>
            </w:pPr>
            <w:r>
              <w:rPr>
                <w:rFonts w:hint="eastAsia" w:ascii="宋体" w:hAnsi="宋体"/>
                <w:sz w:val="24"/>
                <w:szCs w:val="24"/>
              </w:rPr>
              <w:t>其他承诺或声明</w:t>
            </w:r>
          </w:p>
        </w:tc>
        <w:tc>
          <w:tcPr>
            <w:tcW w:w="6815" w:type="dxa"/>
            <w:tcBorders>
              <w:top w:val="single" w:color="auto" w:sz="4" w:space="0"/>
              <w:left w:val="single" w:color="auto" w:sz="4" w:space="0"/>
              <w:bottom w:val="single" w:color="auto" w:sz="4" w:space="0"/>
              <w:right w:val="single" w:color="auto" w:sz="12" w:space="0"/>
            </w:tcBorders>
            <w:noWrap w:val="0"/>
            <w:vAlign w:val="center"/>
          </w:tcPr>
          <w:p w14:paraId="31786C40">
            <w:pPr>
              <w:spacing w:before="120" w:after="120" w:line="360" w:lineRule="auto"/>
              <w:rPr>
                <w:rFonts w:hint="eastAsia" w:ascii="宋体" w:hAnsi="宋体" w:eastAsia="宋体" w:cs="宋体"/>
                <w:color w:val="auto"/>
                <w:sz w:val="24"/>
                <w:highlight w:val="none"/>
              </w:rPr>
            </w:pPr>
          </w:p>
        </w:tc>
      </w:tr>
      <w:tr w14:paraId="7D5768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9240" w:type="dxa"/>
            <w:gridSpan w:val="2"/>
            <w:tcBorders>
              <w:top w:val="single" w:color="auto" w:sz="4" w:space="0"/>
              <w:left w:val="single" w:color="auto" w:sz="12" w:space="0"/>
              <w:bottom w:val="single" w:color="auto" w:sz="4" w:space="0"/>
              <w:right w:val="single" w:color="auto" w:sz="12" w:space="0"/>
            </w:tcBorders>
            <w:noWrap w:val="0"/>
            <w:vAlign w:val="center"/>
          </w:tcPr>
          <w:p w14:paraId="2DAF1A08">
            <w:pPr>
              <w:spacing w:before="120" w:after="120"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供应商名称（电子签章）：</w:t>
            </w:r>
            <w:r>
              <w:rPr>
                <w:rFonts w:hint="eastAsia" w:ascii="宋体" w:hAnsi="宋体" w:eastAsia="宋体" w:cs="宋体"/>
                <w:color w:val="auto"/>
                <w:sz w:val="24"/>
                <w:highlight w:val="none"/>
                <w:u w:val="single"/>
              </w:rPr>
              <w:t xml:space="preserve">                       </w:t>
            </w:r>
          </w:p>
        </w:tc>
      </w:tr>
      <w:tr w14:paraId="3B0718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991" w:hRule="atLeast"/>
          <w:jc w:val="center"/>
        </w:trPr>
        <w:tc>
          <w:tcPr>
            <w:tcW w:w="9240" w:type="dxa"/>
            <w:gridSpan w:val="2"/>
            <w:tcBorders>
              <w:top w:val="single" w:color="auto" w:sz="4" w:space="0"/>
              <w:left w:val="single" w:color="auto" w:sz="12" w:space="0"/>
              <w:bottom w:val="single" w:color="auto" w:sz="12" w:space="0"/>
              <w:right w:val="single" w:color="auto" w:sz="12" w:space="0"/>
            </w:tcBorders>
            <w:noWrap w:val="0"/>
            <w:vAlign w:val="bottom"/>
          </w:tcPr>
          <w:p w14:paraId="74C62FA6">
            <w:pPr>
              <w:spacing w:before="120" w:after="120" w:line="360" w:lineRule="auto"/>
              <w:ind w:right="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法定代表人或其委托代理人（签</w:t>
            </w:r>
            <w:r>
              <w:rPr>
                <w:rFonts w:hint="eastAsia" w:ascii="宋体" w:hAnsi="宋体" w:eastAsia="宋体" w:cs="宋体"/>
                <w:color w:val="auto"/>
                <w:sz w:val="24"/>
                <w:highlight w:val="none"/>
                <w:lang w:val="en-US" w:eastAsia="zh-CN"/>
              </w:rPr>
              <w:t>字</w:t>
            </w:r>
            <w:r>
              <w:rPr>
                <w:rFonts w:hint="eastAsia" w:ascii="宋体" w:hAnsi="宋体" w:eastAsia="宋体" w:cs="宋体"/>
                <w:color w:val="auto"/>
                <w:sz w:val="24"/>
                <w:highlight w:val="none"/>
              </w:rPr>
              <w:t>或电子签章）：</w:t>
            </w:r>
            <w:r>
              <w:rPr>
                <w:rFonts w:hint="eastAsia" w:ascii="宋体" w:hAnsi="宋体" w:eastAsia="宋体" w:cs="宋体"/>
                <w:color w:val="auto"/>
                <w:sz w:val="24"/>
                <w:highlight w:val="none"/>
                <w:u w:val="single"/>
              </w:rPr>
              <w:t xml:space="preserve">                       </w:t>
            </w:r>
          </w:p>
          <w:p w14:paraId="0601BBF6">
            <w:pPr>
              <w:spacing w:before="120" w:after="120" w:line="360" w:lineRule="auto"/>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日期：    年    月    日</w:t>
            </w:r>
          </w:p>
        </w:tc>
      </w:tr>
    </w:tbl>
    <w:p w14:paraId="744E03A0">
      <w:pPr>
        <w:pStyle w:val="9"/>
        <w:rPr>
          <w:rFonts w:hint="eastAsia" w:ascii="宋体" w:hAnsi="宋体" w:eastAsia="宋体" w:cs="宋体"/>
          <w:b/>
          <w:color w:val="auto"/>
          <w:highlight w:val="none"/>
        </w:rPr>
      </w:pPr>
      <w:r>
        <w:rPr>
          <w:rFonts w:hint="eastAsia" w:ascii="宋体" w:hAnsi="宋体" w:eastAsia="宋体" w:cs="宋体"/>
          <w:b/>
          <w:color w:val="auto"/>
          <w:highlight w:val="none"/>
        </w:rPr>
        <w:t>注：</w:t>
      </w:r>
    </w:p>
    <w:p w14:paraId="29BFC3AB">
      <w:pPr>
        <w:numPr>
          <w:ilvl w:val="0"/>
          <w:numId w:val="12"/>
        </w:numPr>
        <w:spacing w:line="48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表中“投标报价”应与格式2“投标函”中 “投标总报价”一致。</w:t>
      </w:r>
    </w:p>
    <w:p w14:paraId="22BA5D7E">
      <w:pPr>
        <w:numPr>
          <w:ilvl w:val="0"/>
          <w:numId w:val="12"/>
        </w:numPr>
        <w:spacing w:line="48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highlight w:val="none"/>
        </w:rPr>
        <w:t>投标报价包括履行合同所需的全部工作费用</w:t>
      </w:r>
      <w:r>
        <w:rPr>
          <w:rFonts w:hint="eastAsia" w:ascii="宋体" w:hAnsi="宋体" w:cs="宋体"/>
          <w:b/>
          <w:bCs/>
          <w:color w:val="auto"/>
          <w:highlight w:val="none"/>
          <w:lang w:eastAsia="zh-CN"/>
        </w:rPr>
        <w:t>，</w:t>
      </w:r>
      <w:r>
        <w:rPr>
          <w:rFonts w:hint="eastAsia" w:ascii="宋体" w:hAnsi="宋体" w:cs="宋体"/>
          <w:b/>
          <w:bCs/>
          <w:color w:val="auto"/>
          <w:highlight w:val="none"/>
          <w:lang w:val="en-US" w:eastAsia="zh-CN"/>
        </w:rPr>
        <w:t>投标总报价包干价</w:t>
      </w:r>
      <w:r>
        <w:rPr>
          <w:rFonts w:hint="eastAsia" w:ascii="宋体" w:hAnsi="宋体" w:eastAsia="宋体" w:cs="宋体"/>
          <w:b/>
          <w:bCs/>
          <w:color w:val="auto"/>
          <w:highlight w:val="none"/>
          <w:lang w:eastAsia="zh-CN"/>
        </w:rPr>
        <w:t>。</w:t>
      </w:r>
    </w:p>
    <w:p w14:paraId="5DDDD329">
      <w:pPr>
        <w:numPr>
          <w:ilvl w:val="0"/>
          <w:numId w:val="12"/>
        </w:numPr>
        <w:spacing w:line="48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highlight w:val="none"/>
        </w:rPr>
        <w:t>开标时，投标文件中开标一览表（报价表）内容与投标文件中明细表内容不一致的，以开标一览表（报价表）为准。投标文件的大写金额和小写金额不一致的，以大写金额为准；总价金额与单价汇总金额不一致的，以单价金额计算结果为准；单价金额小数点有明显错位的，应以总价为准，并修改单价；对不同文字文本投标文件的解释发生异议的，以中文文本为准。</w:t>
      </w:r>
      <w:bookmarkStart w:id="815" w:name="_Toc893"/>
    </w:p>
    <w:p w14:paraId="75F95374">
      <w:pPr>
        <w:outlineLvl w:val="2"/>
        <w:rPr>
          <w:rFonts w:hint="eastAsia" w:ascii="宋体" w:hAnsi="宋体" w:eastAsia="宋体" w:cs="宋体"/>
          <w:b/>
          <w:bCs/>
          <w:color w:val="auto"/>
          <w:sz w:val="24"/>
          <w:szCs w:val="32"/>
          <w:highlight w:val="none"/>
        </w:rPr>
      </w:pPr>
      <w:r>
        <w:rPr>
          <w:rFonts w:hint="eastAsia" w:ascii="宋体" w:hAnsi="宋体" w:eastAsia="宋体" w:cs="宋体"/>
          <w:b/>
          <w:bCs/>
          <w:color w:val="auto"/>
          <w:highlight w:val="none"/>
        </w:rPr>
        <w:br w:type="page"/>
      </w:r>
      <w:r>
        <w:rPr>
          <w:rFonts w:hint="eastAsia" w:ascii="宋体" w:hAnsi="宋体" w:eastAsia="宋体" w:cs="宋体"/>
          <w:b/>
          <w:bCs/>
          <w:color w:val="auto"/>
          <w:sz w:val="24"/>
          <w:szCs w:val="32"/>
          <w:highlight w:val="none"/>
        </w:rPr>
        <w:t>格式2：投 标 函</w:t>
      </w:r>
      <w:bookmarkEnd w:id="815"/>
    </w:p>
    <w:p w14:paraId="04C522A9">
      <w:pPr>
        <w:spacing w:line="360" w:lineRule="auto"/>
        <w:jc w:val="center"/>
        <w:rPr>
          <w:rFonts w:hint="eastAsia" w:ascii="宋体" w:hAnsi="宋体" w:eastAsia="宋体" w:cs="宋体"/>
          <w:color w:val="auto"/>
          <w:sz w:val="24"/>
          <w:highlight w:val="none"/>
        </w:rPr>
      </w:pPr>
      <w:bookmarkStart w:id="816" w:name="_Toc475291694"/>
      <w:bookmarkStart w:id="817" w:name="_Toc476856077"/>
      <w:bookmarkStart w:id="818" w:name="_Toc393354841"/>
      <w:r>
        <w:rPr>
          <w:rFonts w:hint="eastAsia" w:ascii="宋体" w:hAnsi="宋体" w:eastAsia="宋体" w:cs="宋体"/>
          <w:b/>
          <w:color w:val="auto"/>
          <w:sz w:val="24"/>
          <w:highlight w:val="none"/>
        </w:rPr>
        <w:t>投 标 函</w:t>
      </w:r>
      <w:bookmarkEnd w:id="816"/>
      <w:bookmarkEnd w:id="817"/>
      <w:bookmarkEnd w:id="818"/>
    </w:p>
    <w:p w14:paraId="5E06826B">
      <w:pPr>
        <w:pStyle w:val="9"/>
        <w:spacing w:line="360" w:lineRule="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致：</w:t>
      </w:r>
      <w:r>
        <w:rPr>
          <w:rFonts w:hint="eastAsia" w:hAnsi="宋体" w:eastAsia="宋体" w:cs="宋体"/>
          <w:color w:val="auto"/>
          <w:sz w:val="24"/>
          <w:szCs w:val="24"/>
          <w:highlight w:val="none"/>
          <w:u w:val="single"/>
          <w:lang w:val="en-US" w:eastAsia="zh-CN"/>
        </w:rPr>
        <w:t xml:space="preserve"> 剑川县住房和城乡建设局</w:t>
      </w:r>
    </w:p>
    <w:p w14:paraId="3C958CFF">
      <w:pPr>
        <w:pStyle w:val="9"/>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我方仔细研究了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项目名称</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项目编号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）项目招标文件的全部内容，正式授权</w:t>
      </w:r>
      <w:r>
        <w:rPr>
          <w:rFonts w:hint="eastAsia" w:ascii="宋体" w:hAnsi="宋体" w:eastAsia="宋体" w:cs="宋体"/>
          <w:color w:val="auto"/>
          <w:sz w:val="24"/>
          <w:szCs w:val="24"/>
          <w:highlight w:val="none"/>
          <w:u w:val="single"/>
        </w:rPr>
        <w:t xml:space="preserve">     （姓名和职务）</w:t>
      </w:r>
      <w:r>
        <w:rPr>
          <w:rFonts w:hint="eastAsia" w:ascii="宋体" w:hAnsi="宋体" w:eastAsia="宋体" w:cs="宋体"/>
          <w:color w:val="auto"/>
          <w:sz w:val="24"/>
          <w:szCs w:val="24"/>
          <w:highlight w:val="none"/>
        </w:rPr>
        <w:t>全权代表供应商</w:t>
      </w:r>
      <w:r>
        <w:rPr>
          <w:rFonts w:hint="eastAsia" w:ascii="宋体" w:hAnsi="宋体" w:eastAsia="宋体" w:cs="宋体"/>
          <w:color w:val="auto"/>
          <w:sz w:val="24"/>
          <w:szCs w:val="24"/>
          <w:highlight w:val="none"/>
          <w:u w:val="single"/>
        </w:rPr>
        <w:t xml:space="preserve">     （供应商名称）</w:t>
      </w:r>
      <w:r>
        <w:rPr>
          <w:rFonts w:hint="eastAsia" w:ascii="宋体" w:hAnsi="宋体" w:eastAsia="宋体" w:cs="宋体"/>
          <w:color w:val="auto"/>
          <w:sz w:val="24"/>
          <w:szCs w:val="24"/>
          <w:highlight w:val="none"/>
        </w:rPr>
        <w:t>参加投标，并提交投标文件。</w:t>
      </w:r>
    </w:p>
    <w:p w14:paraId="130BEDDF">
      <w:pPr>
        <w:pStyle w:val="9"/>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据此函，签字人兹宣布同意如下：</w:t>
      </w:r>
    </w:p>
    <w:p w14:paraId="46548B92">
      <w:pPr>
        <w:pStyle w:val="9"/>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1、按招标文件招标项目应实施要求，</w:t>
      </w:r>
      <w:r>
        <w:rPr>
          <w:rFonts w:hint="eastAsia" w:ascii="宋体" w:hAnsi="宋体" w:eastAsia="宋体" w:cs="宋体"/>
          <w:b/>
          <w:bCs/>
          <w:color w:val="auto"/>
          <w:sz w:val="24"/>
          <w:szCs w:val="24"/>
          <w:highlight w:val="none"/>
        </w:rPr>
        <w:t>投标</w:t>
      </w:r>
      <w:r>
        <w:rPr>
          <w:rFonts w:hint="eastAsia" w:ascii="宋体" w:hAnsi="宋体" w:eastAsia="宋体" w:cs="宋体"/>
          <w:b/>
          <w:bCs/>
          <w:color w:val="auto"/>
          <w:sz w:val="24"/>
          <w:szCs w:val="24"/>
          <w:highlight w:val="none"/>
          <w:lang w:val="en-US" w:eastAsia="zh-CN"/>
        </w:rPr>
        <w:t>总</w:t>
      </w:r>
      <w:r>
        <w:rPr>
          <w:rFonts w:hint="eastAsia" w:ascii="宋体" w:hAnsi="宋体" w:eastAsia="宋体" w:cs="宋体"/>
          <w:b/>
          <w:color w:val="auto"/>
          <w:sz w:val="24"/>
          <w:szCs w:val="24"/>
          <w:highlight w:val="none"/>
        </w:rPr>
        <w:t>报价</w:t>
      </w:r>
      <w:r>
        <w:rPr>
          <w:rFonts w:hint="eastAsia" w:ascii="宋体" w:hAnsi="宋体" w:eastAsia="宋体" w:cs="宋体"/>
          <w:color w:val="auto"/>
          <w:sz w:val="24"/>
          <w:szCs w:val="24"/>
          <w:highlight w:val="none"/>
        </w:rPr>
        <w:t>（含税价）：大写：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元</w:t>
      </w:r>
      <w:r>
        <w:rPr>
          <w:rFonts w:hint="eastAsia" w:hAnsi="宋体" w:eastAsia="宋体" w:cs="宋体"/>
          <w:b/>
          <w:bCs/>
          <w:color w:val="auto"/>
          <w:sz w:val="24"/>
          <w:szCs w:val="24"/>
          <w:highlight w:val="none"/>
          <w:u w:val="single"/>
          <w:lang w:val="en-US" w:eastAsia="zh-CN"/>
        </w:rPr>
        <w:t>/年</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开标一览表中承诺的</w:t>
      </w:r>
      <w:r>
        <w:rPr>
          <w:rFonts w:hint="eastAsia" w:ascii="宋体" w:hAnsi="宋体" w:eastAsia="宋体" w:cs="宋体"/>
          <w:b/>
          <w:bCs/>
          <w:color w:val="auto"/>
          <w:sz w:val="24"/>
          <w:szCs w:val="24"/>
          <w:highlight w:val="none"/>
          <w:u w:val="single"/>
          <w:lang w:val="en-US" w:eastAsia="zh-CN"/>
        </w:rPr>
        <w:t>合同履行</w:t>
      </w:r>
      <w:r>
        <w:rPr>
          <w:rFonts w:hint="eastAsia" w:ascii="宋体" w:hAnsi="宋体" w:eastAsia="宋体" w:cs="宋体"/>
          <w:b/>
          <w:bCs/>
          <w:color w:val="auto"/>
          <w:sz w:val="24"/>
          <w:szCs w:val="24"/>
          <w:highlight w:val="none"/>
          <w:u w:val="single"/>
        </w:rPr>
        <w:t>期</w:t>
      </w:r>
      <w:r>
        <w:rPr>
          <w:rFonts w:hint="eastAsia" w:ascii="宋体" w:hAnsi="宋体" w:eastAsia="宋体" w:cs="宋体"/>
          <w:b/>
          <w:bCs/>
          <w:color w:val="auto"/>
          <w:sz w:val="24"/>
          <w:szCs w:val="24"/>
          <w:highlight w:val="none"/>
          <w:u w:val="single"/>
          <w:lang w:val="en-US" w:eastAsia="zh-CN"/>
        </w:rPr>
        <w:t>限</w:t>
      </w:r>
      <w:r>
        <w:rPr>
          <w:rFonts w:hint="eastAsia" w:ascii="宋体" w:hAnsi="宋体" w:eastAsia="宋体" w:cs="宋体"/>
          <w:color w:val="auto"/>
          <w:sz w:val="24"/>
          <w:szCs w:val="24"/>
          <w:highlight w:val="none"/>
        </w:rPr>
        <w:t>内组织完整个项目的</w:t>
      </w:r>
      <w:r>
        <w:rPr>
          <w:rFonts w:hint="eastAsia" w:hAnsi="宋体" w:eastAsia="宋体" w:cs="宋体"/>
          <w:color w:val="auto"/>
          <w:sz w:val="24"/>
          <w:szCs w:val="24"/>
          <w:highlight w:val="none"/>
          <w:lang w:val="en-US" w:eastAsia="zh-CN"/>
        </w:rPr>
        <w:t>服务内容</w:t>
      </w:r>
      <w:r>
        <w:rPr>
          <w:rFonts w:hint="eastAsia" w:ascii="宋体" w:hAnsi="宋体" w:eastAsia="宋体" w:cs="宋体"/>
          <w:color w:val="auto"/>
          <w:sz w:val="24"/>
          <w:szCs w:val="24"/>
          <w:highlight w:val="none"/>
        </w:rPr>
        <w:t>。</w:t>
      </w:r>
    </w:p>
    <w:p w14:paraId="2391C497">
      <w:pPr>
        <w:pStyle w:val="9"/>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2、我方已详细审查全部招标文件，包括</w:t>
      </w:r>
      <w:r>
        <w:rPr>
          <w:rFonts w:hint="eastAsia" w:ascii="宋体" w:hAnsi="宋体" w:eastAsia="宋体" w:cs="宋体"/>
          <w:color w:val="auto"/>
          <w:sz w:val="24"/>
          <w:szCs w:val="24"/>
          <w:highlight w:val="none"/>
          <w:u w:val="single"/>
        </w:rPr>
        <w:t>（澄清文件）（如果有的话，没有填无）</w:t>
      </w:r>
      <w:r>
        <w:rPr>
          <w:rFonts w:hint="eastAsia" w:ascii="宋体" w:hAnsi="宋体" w:eastAsia="宋体" w:cs="宋体"/>
          <w:color w:val="auto"/>
          <w:sz w:val="24"/>
          <w:szCs w:val="24"/>
          <w:highlight w:val="none"/>
        </w:rPr>
        <w:t>。我方完全理解相关文件要求，并承担对这方面有不明及误解的后果，遵守国家有关法律法规和规章。</w:t>
      </w:r>
    </w:p>
    <w:p w14:paraId="624B56E1">
      <w:pPr>
        <w:pStyle w:val="9"/>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3、在供应商须知规定的开标日期起遵循本投标文件，并在本投标有效期自开标日起</w:t>
      </w:r>
    </w:p>
    <w:p w14:paraId="1336B959">
      <w:pPr>
        <w:pStyle w:val="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hAnsi="宋体" w:eastAsia="宋体" w:cs="宋体"/>
          <w:color w:val="auto"/>
          <w:sz w:val="24"/>
          <w:szCs w:val="24"/>
          <w:highlight w:val="none"/>
          <w:u w:val="single"/>
          <w:lang w:val="en-US" w:eastAsia="zh-CN"/>
        </w:rPr>
        <w:t>日历天</w:t>
      </w:r>
      <w:r>
        <w:rPr>
          <w:rFonts w:hint="eastAsia" w:ascii="宋体" w:hAnsi="宋体" w:eastAsia="宋体" w:cs="宋体"/>
          <w:color w:val="auto"/>
          <w:sz w:val="24"/>
          <w:szCs w:val="24"/>
          <w:highlight w:val="none"/>
        </w:rPr>
        <w:t>满之前均具有约束力。</w:t>
      </w:r>
    </w:p>
    <w:p w14:paraId="7C48D02A">
      <w:pPr>
        <w:pStyle w:val="9"/>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4、同意应采购人要求提供与本投标有关的任何数据或资料，并保证数据和资料的完整性和真实性。</w:t>
      </w:r>
    </w:p>
    <w:p w14:paraId="0C481091">
      <w:pPr>
        <w:pStyle w:val="9"/>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5、我们郑重声明：我们符合政府采购法规定的参加采购活动应当具备的条件：具有健全的财务会计制度、依法缴纳税收和社会保障资金、参加本次采购活动之前的三年内在经营活动中无重大违法活动。</w:t>
      </w:r>
    </w:p>
    <w:p w14:paraId="51081F48">
      <w:pPr>
        <w:pStyle w:val="9"/>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我方具备《中华人民共和国政府采购法》第二十二条规定的所有条件。我方保证没有处于被责令停业，投标资料被取消，财产被接管、冻结，破产状态；保证在最近三年内的经营活动中没有重大违法记录、骗取中标和严重违约及重大质量、安全问题。我方不是为此招标项目的前期准备工作提供设计、咨询服务的任何法人及其任何附属机构（单位）。与招标采购单位聘请的为此项目提供咨询服务的公司及任何附属机构均无关联，我方不是招标采购单位的附属机构。</w:t>
      </w:r>
    </w:p>
    <w:p w14:paraId="3EC51225">
      <w:pPr>
        <w:pStyle w:val="9"/>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7、完全理解采购人不一定要接受最低报价的供应商为中标人的行为。</w:t>
      </w:r>
    </w:p>
    <w:p w14:paraId="020D0296">
      <w:pPr>
        <w:pStyle w:val="9"/>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8、如我方中标：</w:t>
      </w:r>
    </w:p>
    <w:p w14:paraId="3941CB75">
      <w:pPr>
        <w:pStyle w:val="9"/>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（1）我方承诺在收到中标通知书后，在中标通知书规定的期限内与采购人签订合同，并履行相应的合同责任和义务。</w:t>
      </w:r>
    </w:p>
    <w:p w14:paraId="3712CAF6">
      <w:pPr>
        <w:pStyle w:val="9"/>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（2）我方承诺按照招标文件规定向采购人递交履约担保。</w:t>
      </w:r>
    </w:p>
    <w:p w14:paraId="6BA17D6C">
      <w:pPr>
        <w:pStyle w:val="9"/>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（3）我方承诺将承担售后服务</w:t>
      </w:r>
      <w:r>
        <w:rPr>
          <w:rFonts w:hint="eastAsia" w:hAnsi="宋体" w:eastAsia="宋体" w:cs="宋体"/>
          <w:color w:val="auto"/>
          <w:sz w:val="24"/>
          <w:szCs w:val="24"/>
          <w:highlight w:val="none"/>
          <w:lang w:val="en-US" w:eastAsia="zh-CN"/>
        </w:rPr>
        <w:t>及保修</w:t>
      </w:r>
      <w:r>
        <w:rPr>
          <w:rFonts w:hint="eastAsia" w:ascii="宋体" w:hAnsi="宋体" w:eastAsia="宋体" w:cs="宋体"/>
          <w:color w:val="auto"/>
          <w:sz w:val="24"/>
          <w:szCs w:val="24"/>
          <w:highlight w:val="none"/>
        </w:rPr>
        <w:t>责任。</w:t>
      </w:r>
    </w:p>
    <w:p w14:paraId="7E3C0ADC">
      <w:pPr>
        <w:pStyle w:val="9"/>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9、我方在此声明，所递交的投标文件及有关资料内容完整、真实和准确。</w:t>
      </w:r>
    </w:p>
    <w:p w14:paraId="4C7455DE">
      <w:pPr>
        <w:pStyle w:val="9"/>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同意按照采购人的要求，提供有关的数据和资料。为此，我们授权任何相关的个人和公司向采购人提供要求的和必要的真实情况和资料以证实我们所填报的各项内容。如果在该项目招标过程中或者在获得中标后，采购人或有管辖权的行政监管机构发现并查实我方在该项目的投标中所报的资料存在虚假或不真实的信息或者伪造数据、资料或证书等情况，我方将无条件地自动放弃该项目的投标资格和中标资格；如果我方已经收到中标通知书，我方将无条件地承认，我方收到的该项目的中标通知书为无效文件，对采购人不具有任何法律约束力，由此造成的任何损失均由我方承担；本段承诺是我方真实意思的表示且具有相对独立性，不管是否有其他相反的说明，本段承诺均为我方投标文件的有效组成内容，对我方在与该项目有关的任何行为中始终具有优先的法律约束力。</w:t>
      </w:r>
    </w:p>
    <w:p w14:paraId="5BE4F625">
      <w:pPr>
        <w:pStyle w:val="9"/>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10、（其他补充说明）。</w:t>
      </w:r>
    </w:p>
    <w:p w14:paraId="2F6D1D4D">
      <w:pPr>
        <w:pStyle w:val="9"/>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与本投标有关的正式通讯地址为：</w:t>
      </w:r>
    </w:p>
    <w:p w14:paraId="605C1A1C">
      <w:pPr>
        <w:pStyle w:val="9"/>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p>
    <w:p w14:paraId="4ED44B97">
      <w:pPr>
        <w:pStyle w:val="9"/>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p>
    <w:p w14:paraId="64D5E689">
      <w:pPr>
        <w:pStyle w:val="9"/>
        <w:spacing w:line="360"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电话：</w:t>
      </w:r>
    </w:p>
    <w:p w14:paraId="2C3A66A7">
      <w:pPr>
        <w:pStyle w:val="9"/>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p w14:paraId="5EC75B13">
      <w:pPr>
        <w:pStyle w:val="9"/>
        <w:spacing w:line="360"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开户名称：</w:t>
      </w:r>
    </w:p>
    <w:p w14:paraId="110668B3">
      <w:pPr>
        <w:pStyle w:val="9"/>
        <w:spacing w:line="360"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开户银行：</w:t>
      </w:r>
    </w:p>
    <w:p w14:paraId="60A8E9D9">
      <w:pPr>
        <w:pStyle w:val="9"/>
        <w:spacing w:line="360"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账</w:t>
      </w:r>
      <w:r>
        <w:rPr>
          <w:rFonts w:hint="eastAsia" w:ascii="宋体" w:hAnsi="宋体" w:eastAsia="宋体" w:cs="宋体"/>
          <w:color w:val="auto"/>
          <w:sz w:val="24"/>
          <w:szCs w:val="24"/>
          <w:highlight w:val="none"/>
        </w:rPr>
        <w:t xml:space="preserve">    号：</w:t>
      </w:r>
    </w:p>
    <w:p w14:paraId="4B5B4E22">
      <w:pPr>
        <w:pStyle w:val="9"/>
        <w:spacing w:line="360" w:lineRule="auto"/>
        <w:ind w:firstLine="315" w:firstLineChars="150"/>
        <w:rPr>
          <w:rFonts w:hint="eastAsia" w:ascii="宋体" w:hAnsi="宋体" w:eastAsia="宋体" w:cs="宋体"/>
          <w:color w:val="auto"/>
          <w:szCs w:val="21"/>
          <w:highlight w:val="none"/>
        </w:rPr>
      </w:pPr>
    </w:p>
    <w:p w14:paraId="72F06836">
      <w:pPr>
        <w:spacing w:line="480" w:lineRule="auto"/>
        <w:rPr>
          <w:rFonts w:hint="eastAsia" w:ascii="宋体" w:hAnsi="宋体" w:eastAsia="宋体" w:cs="宋体"/>
          <w:b/>
          <w:bCs/>
          <w:color w:val="auto"/>
          <w:sz w:val="24"/>
          <w:szCs w:val="32"/>
          <w:highlight w:val="none"/>
          <w:u w:val="single"/>
        </w:rPr>
      </w:pPr>
      <w:r>
        <w:rPr>
          <w:rFonts w:hint="eastAsia" w:ascii="宋体" w:hAnsi="宋体" w:eastAsia="宋体" w:cs="宋体"/>
          <w:color w:val="auto"/>
          <w:sz w:val="24"/>
          <w:szCs w:val="32"/>
          <w:highlight w:val="none"/>
        </w:rPr>
        <w:t>供应商名称（电子签章）：</w:t>
      </w:r>
      <w:r>
        <w:rPr>
          <w:rFonts w:hint="eastAsia" w:ascii="宋体" w:hAnsi="宋体" w:eastAsia="宋体" w:cs="宋体"/>
          <w:color w:val="auto"/>
          <w:sz w:val="24"/>
          <w:szCs w:val="32"/>
          <w:highlight w:val="none"/>
          <w:u w:val="single"/>
        </w:rPr>
        <w:t xml:space="preserve">                    </w:t>
      </w:r>
    </w:p>
    <w:p w14:paraId="74E2F426">
      <w:pPr>
        <w:spacing w:line="480" w:lineRule="auto"/>
        <w:rPr>
          <w:rFonts w:hint="eastAsia" w:ascii="宋体" w:hAnsi="宋体" w:eastAsia="宋体" w:cs="宋体"/>
          <w:color w:val="auto"/>
          <w:sz w:val="24"/>
          <w:szCs w:val="32"/>
          <w:highlight w:val="none"/>
          <w:u w:val="single"/>
        </w:rPr>
      </w:pPr>
      <w:r>
        <w:rPr>
          <w:rFonts w:hint="eastAsia" w:ascii="宋体" w:hAnsi="宋体" w:eastAsia="宋体" w:cs="宋体"/>
          <w:color w:val="auto"/>
          <w:sz w:val="24"/>
          <w:szCs w:val="32"/>
          <w:highlight w:val="none"/>
        </w:rPr>
        <w:t>法定代表人或其委托代理人（签</w:t>
      </w:r>
      <w:r>
        <w:rPr>
          <w:rFonts w:hint="eastAsia" w:ascii="宋体" w:hAnsi="宋体" w:eastAsia="宋体" w:cs="宋体"/>
          <w:color w:val="auto"/>
          <w:sz w:val="24"/>
          <w:szCs w:val="32"/>
          <w:highlight w:val="none"/>
          <w:lang w:val="en-US" w:eastAsia="zh-CN"/>
        </w:rPr>
        <w:t>字</w:t>
      </w:r>
      <w:r>
        <w:rPr>
          <w:rFonts w:hint="eastAsia" w:ascii="宋体" w:hAnsi="宋体" w:eastAsia="宋体" w:cs="宋体"/>
          <w:color w:val="auto"/>
          <w:sz w:val="24"/>
          <w:szCs w:val="32"/>
          <w:highlight w:val="none"/>
        </w:rPr>
        <w:t>或电子签章）：</w:t>
      </w:r>
      <w:r>
        <w:rPr>
          <w:rFonts w:hint="eastAsia" w:ascii="宋体" w:hAnsi="宋体" w:eastAsia="宋体" w:cs="宋体"/>
          <w:color w:val="auto"/>
          <w:sz w:val="24"/>
          <w:szCs w:val="32"/>
          <w:highlight w:val="none"/>
          <w:u w:val="single"/>
        </w:rPr>
        <w:t xml:space="preserve">                </w:t>
      </w:r>
    </w:p>
    <w:p w14:paraId="0D2B17E3">
      <w:pPr>
        <w:spacing w:line="48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日期：</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年</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月</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日</w:t>
      </w:r>
      <w:bookmarkStart w:id="819" w:name="_Toc4992"/>
    </w:p>
    <w:p w14:paraId="186B28C8">
      <w:pPr>
        <w:spacing w:line="480" w:lineRule="auto"/>
        <w:outlineLvl w:val="2"/>
        <w:rPr>
          <w:rFonts w:hint="eastAsia" w:ascii="宋体" w:hAnsi="宋体" w:eastAsia="宋体" w:cs="宋体"/>
          <w:color w:val="auto"/>
          <w:sz w:val="24"/>
          <w:szCs w:val="32"/>
          <w:highlight w:val="none"/>
        </w:rPr>
      </w:pPr>
    </w:p>
    <w:p w14:paraId="219E017B">
      <w:pPr>
        <w:spacing w:line="480" w:lineRule="auto"/>
        <w:outlineLvl w:val="2"/>
        <w:rPr>
          <w:rFonts w:hint="eastAsia" w:ascii="宋体" w:hAnsi="宋体" w:eastAsia="宋体" w:cs="宋体"/>
          <w:color w:val="auto"/>
          <w:sz w:val="24"/>
          <w:szCs w:val="32"/>
          <w:highlight w:val="none"/>
        </w:rPr>
      </w:pPr>
    </w:p>
    <w:p w14:paraId="56CFB875">
      <w:pPr>
        <w:spacing w:line="480" w:lineRule="auto"/>
        <w:outlineLvl w:val="2"/>
        <w:rPr>
          <w:rFonts w:hint="eastAsia" w:ascii="宋体" w:hAnsi="宋体" w:eastAsia="宋体" w:cs="宋体"/>
          <w:b/>
          <w:bCs/>
          <w:color w:val="auto"/>
          <w:sz w:val="24"/>
          <w:szCs w:val="32"/>
          <w:highlight w:val="none"/>
          <w:lang w:val="en-US" w:eastAsia="zh-CN"/>
        </w:rPr>
      </w:pPr>
      <w:r>
        <w:rPr>
          <w:rFonts w:hint="eastAsia" w:ascii="宋体" w:hAnsi="宋体" w:eastAsia="宋体" w:cs="宋体"/>
          <w:b/>
          <w:bCs/>
          <w:color w:val="auto"/>
          <w:sz w:val="24"/>
          <w:szCs w:val="32"/>
          <w:highlight w:val="none"/>
          <w:lang w:val="en-US" w:eastAsia="zh-CN"/>
        </w:rPr>
        <w:t>格式3</w:t>
      </w:r>
      <w:r>
        <w:rPr>
          <w:rFonts w:hint="eastAsia" w:ascii="宋体" w:hAnsi="宋体" w:cs="宋体"/>
          <w:b/>
          <w:bCs/>
          <w:color w:val="auto"/>
          <w:sz w:val="24"/>
          <w:szCs w:val="32"/>
          <w:highlight w:val="none"/>
          <w:lang w:val="en-US" w:eastAsia="zh-CN"/>
        </w:rPr>
        <w:t>：</w:t>
      </w:r>
      <w:r>
        <w:rPr>
          <w:rFonts w:hint="eastAsia" w:ascii="宋体" w:hAnsi="宋体" w:eastAsia="宋体" w:cs="宋体"/>
          <w:b/>
          <w:bCs/>
          <w:color w:val="auto"/>
          <w:sz w:val="24"/>
          <w:szCs w:val="32"/>
          <w:highlight w:val="none"/>
          <w:lang w:val="en-US" w:eastAsia="zh-CN"/>
        </w:rPr>
        <w:t>商务条款偏离表</w:t>
      </w:r>
    </w:p>
    <w:p w14:paraId="2DA4B274">
      <w:pPr>
        <w:pStyle w:val="3"/>
        <w:wordWrap w:val="0"/>
        <w:spacing w:before="317" w:beforeLines="100"/>
        <w:jc w:val="center"/>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t>商务条款偏离表</w:t>
      </w:r>
    </w:p>
    <w:p w14:paraId="39E34B1A">
      <w:pPr>
        <w:wordWrap w:val="0"/>
        <w:spacing w:line="440" w:lineRule="exact"/>
        <w:ind w:firstLine="480" w:firstLineChars="200"/>
        <w:jc w:val="left"/>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 xml:space="preserve">投标人须逐条对应招标文件中要求的商务条款，认真填写该表。 </w:t>
      </w:r>
    </w:p>
    <w:p w14:paraId="0E23A77F">
      <w:pPr>
        <w:wordWrap w:val="0"/>
        <w:spacing w:line="440" w:lineRule="exact"/>
        <w:ind w:firstLine="480" w:firstLineChars="200"/>
        <w:jc w:val="left"/>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商务条款是指：招标文件第</w:t>
      </w:r>
      <w:r>
        <w:rPr>
          <w:rFonts w:hint="eastAsia" w:ascii="宋体" w:hAnsi="宋体" w:cs="宋体"/>
          <w:b w:val="0"/>
          <w:color w:val="auto"/>
          <w:kern w:val="2"/>
          <w:sz w:val="24"/>
          <w:szCs w:val="24"/>
          <w:highlight w:val="none"/>
          <w:lang w:val="en-US" w:eastAsia="zh-CN" w:bidi="ar-SA"/>
        </w:rPr>
        <w:t>五</w:t>
      </w:r>
      <w:r>
        <w:rPr>
          <w:rFonts w:hint="eastAsia" w:ascii="宋体" w:hAnsi="宋体" w:eastAsia="宋体" w:cs="宋体"/>
          <w:b w:val="0"/>
          <w:color w:val="auto"/>
          <w:kern w:val="2"/>
          <w:sz w:val="24"/>
          <w:szCs w:val="24"/>
          <w:highlight w:val="none"/>
          <w:lang w:val="en-US" w:eastAsia="zh-CN" w:bidi="ar-SA"/>
        </w:rPr>
        <w:t>章《</w:t>
      </w:r>
      <w:r>
        <w:rPr>
          <w:rFonts w:hint="eastAsia" w:ascii="宋体" w:hAnsi="宋体" w:cs="宋体"/>
          <w:b w:val="0"/>
          <w:color w:val="auto"/>
          <w:kern w:val="2"/>
          <w:sz w:val="24"/>
          <w:szCs w:val="24"/>
          <w:highlight w:val="none"/>
          <w:lang w:val="en-US" w:eastAsia="zh-CN" w:bidi="ar-SA"/>
        </w:rPr>
        <w:t>采购需求</w:t>
      </w:r>
      <w:r>
        <w:rPr>
          <w:rFonts w:hint="eastAsia" w:ascii="宋体" w:hAnsi="宋体" w:eastAsia="宋体" w:cs="宋体"/>
          <w:b w:val="0"/>
          <w:color w:val="auto"/>
          <w:kern w:val="2"/>
          <w:sz w:val="24"/>
          <w:szCs w:val="24"/>
          <w:highlight w:val="none"/>
          <w:lang w:val="en-US" w:eastAsia="zh-CN" w:bidi="ar-SA"/>
        </w:rPr>
        <w:t>》和</w:t>
      </w:r>
      <w:r>
        <w:rPr>
          <w:rFonts w:hint="eastAsia" w:ascii="宋体" w:hAnsi="宋体" w:cs="宋体"/>
          <w:b w:val="0"/>
          <w:color w:val="auto"/>
          <w:kern w:val="2"/>
          <w:sz w:val="24"/>
          <w:szCs w:val="24"/>
          <w:highlight w:val="none"/>
          <w:lang w:val="en-US" w:eastAsia="zh-CN" w:bidi="ar-SA"/>
        </w:rPr>
        <w:t>招标文件</w:t>
      </w:r>
      <w:r>
        <w:rPr>
          <w:rFonts w:hint="eastAsia" w:ascii="宋体" w:hAnsi="宋体" w:eastAsia="宋体" w:cs="宋体"/>
          <w:b w:val="0"/>
          <w:color w:val="auto"/>
          <w:kern w:val="2"/>
          <w:sz w:val="24"/>
          <w:szCs w:val="24"/>
          <w:highlight w:val="none"/>
          <w:lang w:val="en-US" w:eastAsia="zh-CN" w:bidi="ar-SA"/>
        </w:rPr>
        <w:t>中要求的业绩、商务部分、项目完成时间、付款方式、履约保证金等要求。</w:t>
      </w:r>
    </w:p>
    <w:p w14:paraId="48D51F6F">
      <w:pPr>
        <w:wordWrap w:val="0"/>
        <w:spacing w:line="440" w:lineRule="exact"/>
        <w:ind w:firstLine="240" w:firstLineChars="100"/>
        <w:jc w:val="left"/>
        <w:rPr>
          <w:rFonts w:hint="default" w:ascii="宋体" w:hAnsi="宋体" w:eastAsia="宋体" w:cs="宋体"/>
          <w:b w:val="0"/>
          <w:color w:val="auto"/>
          <w:kern w:val="2"/>
          <w:sz w:val="24"/>
          <w:szCs w:val="24"/>
          <w:highlight w:val="none"/>
          <w:lang w:val="en-US" w:eastAsia="zh-CN" w:bidi="ar-SA"/>
        </w:rPr>
      </w:pPr>
      <w:r>
        <w:rPr>
          <w:rFonts w:hint="eastAsia" w:ascii="宋体" w:hAnsi="宋体" w:cs="宋体"/>
          <w:b w:val="0"/>
          <w:color w:val="auto"/>
          <w:kern w:val="2"/>
          <w:sz w:val="24"/>
          <w:szCs w:val="24"/>
          <w:highlight w:val="none"/>
          <w:lang w:val="en-US" w:eastAsia="zh-CN" w:bidi="ar-SA"/>
        </w:rPr>
        <w:t>项目名称：                                     项目编号：</w:t>
      </w:r>
    </w:p>
    <w:tbl>
      <w:tblPr>
        <w:tblStyle w:val="16"/>
        <w:tblW w:w="87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477"/>
        <w:gridCol w:w="1662"/>
        <w:gridCol w:w="2007"/>
        <w:gridCol w:w="1085"/>
        <w:gridCol w:w="1923"/>
      </w:tblGrid>
      <w:tr w14:paraId="23B82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40" w:type="dxa"/>
            <w:tcBorders>
              <w:top w:val="single" w:color="auto" w:sz="4" w:space="0"/>
              <w:left w:val="single" w:color="auto" w:sz="4" w:space="0"/>
              <w:bottom w:val="single" w:color="auto" w:sz="4" w:space="0"/>
              <w:right w:val="single" w:color="auto" w:sz="4" w:space="0"/>
            </w:tcBorders>
            <w:noWrap w:val="0"/>
            <w:vAlign w:val="center"/>
          </w:tcPr>
          <w:p w14:paraId="769A9068">
            <w:pPr>
              <w:wordWrap w:val="0"/>
              <w:spacing w:line="440" w:lineRule="exact"/>
              <w:jc w:val="center"/>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序号</w:t>
            </w:r>
          </w:p>
        </w:tc>
        <w:tc>
          <w:tcPr>
            <w:tcW w:w="1477" w:type="dxa"/>
            <w:tcBorders>
              <w:top w:val="single" w:color="auto" w:sz="4" w:space="0"/>
              <w:left w:val="nil"/>
              <w:bottom w:val="single" w:color="auto" w:sz="4" w:space="0"/>
              <w:right w:val="single" w:color="auto" w:sz="4" w:space="0"/>
            </w:tcBorders>
            <w:noWrap w:val="0"/>
            <w:vAlign w:val="center"/>
          </w:tcPr>
          <w:p w14:paraId="5701E049">
            <w:pPr>
              <w:wordWrap w:val="0"/>
              <w:spacing w:line="440" w:lineRule="exact"/>
              <w:jc w:val="center"/>
              <w:rPr>
                <w:rFonts w:hint="eastAsia" w:ascii="宋体" w:hAnsi="宋体" w:eastAsia="宋体" w:cs="宋体"/>
                <w:b/>
                <w:bCs/>
                <w:color w:val="auto"/>
                <w:kern w:val="2"/>
                <w:sz w:val="24"/>
                <w:szCs w:val="24"/>
                <w:highlight w:val="none"/>
                <w:lang w:val="en-US" w:eastAsia="zh-CN" w:bidi="ar-SA"/>
              </w:rPr>
            </w:pPr>
            <w:r>
              <w:rPr>
                <w:rFonts w:hint="eastAsia" w:ascii="宋体" w:hAnsi="宋体" w:cs="宋体"/>
                <w:b/>
                <w:bCs/>
                <w:color w:val="auto"/>
                <w:kern w:val="2"/>
                <w:sz w:val="24"/>
                <w:szCs w:val="24"/>
                <w:highlight w:val="none"/>
                <w:lang w:val="en-US" w:eastAsia="zh-CN" w:bidi="ar-SA"/>
              </w:rPr>
              <w:t>招标</w:t>
            </w:r>
            <w:r>
              <w:rPr>
                <w:rFonts w:hint="eastAsia" w:ascii="宋体" w:hAnsi="宋体" w:eastAsia="宋体" w:cs="宋体"/>
                <w:b/>
                <w:bCs/>
                <w:color w:val="auto"/>
                <w:kern w:val="2"/>
                <w:sz w:val="24"/>
                <w:szCs w:val="24"/>
                <w:highlight w:val="none"/>
                <w:lang w:val="en-US" w:eastAsia="zh-CN" w:bidi="ar-SA"/>
              </w:rPr>
              <w:t>文件</w:t>
            </w:r>
            <w:r>
              <w:rPr>
                <w:rFonts w:hint="eastAsia" w:ascii="宋体" w:hAnsi="宋体" w:cs="宋体"/>
                <w:b/>
                <w:bCs/>
                <w:color w:val="auto"/>
                <w:kern w:val="2"/>
                <w:sz w:val="24"/>
                <w:szCs w:val="24"/>
                <w:highlight w:val="none"/>
                <w:lang w:val="en-US" w:eastAsia="zh-CN" w:bidi="ar-SA"/>
              </w:rPr>
              <w:t>页码及</w:t>
            </w:r>
            <w:r>
              <w:rPr>
                <w:rFonts w:hint="eastAsia" w:ascii="宋体" w:hAnsi="宋体" w:eastAsia="宋体" w:cs="宋体"/>
                <w:b/>
                <w:bCs/>
                <w:color w:val="auto"/>
                <w:kern w:val="2"/>
                <w:sz w:val="24"/>
                <w:szCs w:val="24"/>
                <w:highlight w:val="none"/>
                <w:lang w:val="en-US" w:eastAsia="zh-CN" w:bidi="ar-SA"/>
              </w:rPr>
              <w:t>条款号</w:t>
            </w:r>
          </w:p>
        </w:tc>
        <w:tc>
          <w:tcPr>
            <w:tcW w:w="1662" w:type="dxa"/>
            <w:tcBorders>
              <w:top w:val="single" w:color="auto" w:sz="4" w:space="0"/>
              <w:left w:val="nil"/>
              <w:bottom w:val="single" w:color="auto" w:sz="4" w:space="0"/>
              <w:right w:val="single" w:color="auto" w:sz="4" w:space="0"/>
            </w:tcBorders>
            <w:noWrap w:val="0"/>
            <w:vAlign w:val="center"/>
          </w:tcPr>
          <w:p w14:paraId="47AD31A7">
            <w:pPr>
              <w:wordWrap w:val="0"/>
              <w:spacing w:line="440" w:lineRule="exact"/>
              <w:jc w:val="center"/>
              <w:rPr>
                <w:rFonts w:hint="eastAsia" w:ascii="宋体" w:hAnsi="宋体" w:eastAsia="宋体" w:cs="宋体"/>
                <w:b/>
                <w:bCs/>
                <w:color w:val="auto"/>
                <w:kern w:val="2"/>
                <w:sz w:val="24"/>
                <w:szCs w:val="24"/>
                <w:highlight w:val="none"/>
                <w:lang w:val="en-US" w:eastAsia="zh-CN" w:bidi="ar-SA"/>
              </w:rPr>
            </w:pPr>
            <w:r>
              <w:rPr>
                <w:rFonts w:hint="eastAsia" w:ascii="宋体" w:hAnsi="宋体" w:cs="宋体"/>
                <w:b/>
                <w:bCs/>
                <w:color w:val="auto"/>
                <w:kern w:val="2"/>
                <w:sz w:val="24"/>
                <w:szCs w:val="24"/>
                <w:highlight w:val="none"/>
                <w:lang w:val="en-US" w:eastAsia="zh-CN" w:bidi="ar-SA"/>
              </w:rPr>
              <w:t>招标</w:t>
            </w:r>
            <w:r>
              <w:rPr>
                <w:rFonts w:hint="eastAsia" w:ascii="宋体" w:hAnsi="宋体" w:eastAsia="宋体" w:cs="宋体"/>
                <w:b/>
                <w:bCs/>
                <w:color w:val="auto"/>
                <w:kern w:val="2"/>
                <w:sz w:val="24"/>
                <w:szCs w:val="24"/>
                <w:highlight w:val="none"/>
                <w:lang w:val="en-US" w:eastAsia="zh-CN" w:bidi="ar-SA"/>
              </w:rPr>
              <w:t>文件的商务条款内容</w:t>
            </w:r>
          </w:p>
        </w:tc>
        <w:tc>
          <w:tcPr>
            <w:tcW w:w="2007" w:type="dxa"/>
            <w:tcBorders>
              <w:top w:val="single" w:color="auto" w:sz="4" w:space="0"/>
              <w:left w:val="nil"/>
              <w:bottom w:val="single" w:color="auto" w:sz="4" w:space="0"/>
              <w:right w:val="single" w:color="auto" w:sz="4" w:space="0"/>
            </w:tcBorders>
            <w:noWrap w:val="0"/>
            <w:vAlign w:val="center"/>
          </w:tcPr>
          <w:p w14:paraId="117A12DA">
            <w:pPr>
              <w:wordWrap w:val="0"/>
              <w:spacing w:line="440" w:lineRule="exact"/>
              <w:jc w:val="center"/>
              <w:rPr>
                <w:rFonts w:hint="eastAsia" w:ascii="宋体" w:hAnsi="宋体" w:eastAsia="宋体" w:cs="宋体"/>
                <w:b/>
                <w:bCs/>
                <w:color w:val="auto"/>
                <w:kern w:val="2"/>
                <w:sz w:val="24"/>
                <w:szCs w:val="24"/>
                <w:highlight w:val="none"/>
                <w:lang w:val="en-US" w:eastAsia="zh-CN" w:bidi="ar-SA"/>
              </w:rPr>
            </w:pPr>
            <w:r>
              <w:rPr>
                <w:rFonts w:hint="eastAsia" w:ascii="宋体" w:hAnsi="宋体" w:cs="宋体"/>
                <w:b/>
                <w:bCs/>
                <w:color w:val="auto"/>
                <w:kern w:val="2"/>
                <w:sz w:val="24"/>
                <w:szCs w:val="24"/>
                <w:highlight w:val="none"/>
                <w:lang w:val="en-US" w:eastAsia="zh-CN" w:bidi="ar-SA"/>
              </w:rPr>
              <w:t>投标</w:t>
            </w:r>
            <w:r>
              <w:rPr>
                <w:rFonts w:hint="eastAsia" w:ascii="宋体" w:hAnsi="宋体" w:eastAsia="宋体" w:cs="宋体"/>
                <w:b/>
                <w:bCs/>
                <w:color w:val="auto"/>
                <w:kern w:val="2"/>
                <w:sz w:val="24"/>
                <w:szCs w:val="24"/>
                <w:highlight w:val="none"/>
                <w:lang w:val="en-US" w:eastAsia="zh-CN" w:bidi="ar-SA"/>
              </w:rPr>
              <w:t>文件的商务条款响应情况</w:t>
            </w:r>
          </w:p>
        </w:tc>
        <w:tc>
          <w:tcPr>
            <w:tcW w:w="1085" w:type="dxa"/>
            <w:tcBorders>
              <w:top w:val="single" w:color="auto" w:sz="4" w:space="0"/>
              <w:left w:val="nil"/>
              <w:bottom w:val="single" w:color="auto" w:sz="4" w:space="0"/>
              <w:right w:val="single" w:color="auto" w:sz="4" w:space="0"/>
            </w:tcBorders>
            <w:noWrap w:val="0"/>
            <w:vAlign w:val="center"/>
          </w:tcPr>
          <w:p w14:paraId="15ABAAD6">
            <w:pPr>
              <w:wordWrap w:val="0"/>
              <w:spacing w:line="440" w:lineRule="exact"/>
              <w:jc w:val="center"/>
              <w:rPr>
                <w:rFonts w:hint="default" w:ascii="宋体" w:hAnsi="宋体" w:eastAsia="宋体" w:cs="宋体"/>
                <w:b/>
                <w:bCs/>
                <w:color w:val="auto"/>
                <w:kern w:val="2"/>
                <w:sz w:val="24"/>
                <w:szCs w:val="24"/>
                <w:highlight w:val="none"/>
                <w:lang w:val="en-US" w:eastAsia="zh-CN" w:bidi="ar-SA"/>
              </w:rPr>
            </w:pPr>
            <w:r>
              <w:rPr>
                <w:rFonts w:hint="eastAsia" w:ascii="宋体" w:hAnsi="宋体" w:cs="宋体"/>
                <w:b/>
                <w:bCs/>
                <w:color w:val="auto"/>
                <w:kern w:val="2"/>
                <w:sz w:val="24"/>
                <w:szCs w:val="24"/>
                <w:highlight w:val="none"/>
                <w:lang w:val="en-US" w:eastAsia="zh-CN" w:bidi="ar-SA"/>
              </w:rPr>
              <w:t>响应情况说明</w:t>
            </w:r>
          </w:p>
        </w:tc>
        <w:tc>
          <w:tcPr>
            <w:tcW w:w="1923" w:type="dxa"/>
            <w:tcBorders>
              <w:top w:val="single" w:color="auto" w:sz="4" w:space="0"/>
              <w:left w:val="nil"/>
              <w:bottom w:val="single" w:color="auto" w:sz="4" w:space="0"/>
              <w:right w:val="single" w:color="auto" w:sz="4" w:space="0"/>
            </w:tcBorders>
            <w:noWrap w:val="0"/>
            <w:vAlign w:val="center"/>
          </w:tcPr>
          <w:p w14:paraId="0580C52F">
            <w:pPr>
              <w:wordWrap w:val="0"/>
              <w:spacing w:line="440" w:lineRule="exact"/>
              <w:jc w:val="both"/>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 xml:space="preserve">商务条件支持资料索引（页码及条目号等） </w:t>
            </w:r>
          </w:p>
          <w:p w14:paraId="1E3573D7">
            <w:pPr>
              <w:wordWrap w:val="0"/>
              <w:spacing w:line="440" w:lineRule="exact"/>
              <w:jc w:val="center"/>
              <w:rPr>
                <w:rFonts w:hint="eastAsia" w:ascii="宋体" w:hAnsi="宋体" w:eastAsia="宋体" w:cs="宋体"/>
                <w:b/>
                <w:bCs/>
                <w:color w:val="auto"/>
                <w:kern w:val="2"/>
                <w:sz w:val="24"/>
                <w:szCs w:val="24"/>
                <w:highlight w:val="none"/>
                <w:lang w:val="en-US" w:eastAsia="zh-CN" w:bidi="ar-SA"/>
              </w:rPr>
            </w:pPr>
          </w:p>
        </w:tc>
      </w:tr>
      <w:tr w14:paraId="3DC20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40" w:type="dxa"/>
            <w:tcBorders>
              <w:top w:val="single" w:color="auto" w:sz="4" w:space="0"/>
              <w:left w:val="single" w:color="auto" w:sz="4" w:space="0"/>
              <w:bottom w:val="single" w:color="auto" w:sz="4" w:space="0"/>
              <w:right w:val="single" w:color="auto" w:sz="4" w:space="0"/>
            </w:tcBorders>
            <w:noWrap w:val="0"/>
            <w:vAlign w:val="center"/>
          </w:tcPr>
          <w:p w14:paraId="53E2FE3B">
            <w:pPr>
              <w:wordWrap w:val="0"/>
              <w:spacing w:line="440" w:lineRule="exact"/>
              <w:jc w:val="center"/>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1</w:t>
            </w:r>
          </w:p>
        </w:tc>
        <w:tc>
          <w:tcPr>
            <w:tcW w:w="1477" w:type="dxa"/>
            <w:tcBorders>
              <w:top w:val="single" w:color="auto" w:sz="4" w:space="0"/>
              <w:left w:val="nil"/>
              <w:bottom w:val="single" w:color="auto" w:sz="4" w:space="0"/>
              <w:right w:val="single" w:color="auto" w:sz="4" w:space="0"/>
            </w:tcBorders>
            <w:noWrap w:val="0"/>
            <w:vAlign w:val="center"/>
          </w:tcPr>
          <w:p w14:paraId="6D041705">
            <w:pPr>
              <w:wordWrap w:val="0"/>
              <w:spacing w:line="440" w:lineRule="exact"/>
              <w:jc w:val="center"/>
              <w:rPr>
                <w:rFonts w:hint="eastAsia" w:ascii="宋体" w:hAnsi="宋体" w:eastAsia="宋体" w:cs="宋体"/>
                <w:b w:val="0"/>
                <w:color w:val="auto"/>
                <w:kern w:val="2"/>
                <w:sz w:val="24"/>
                <w:szCs w:val="24"/>
                <w:highlight w:val="none"/>
                <w:lang w:val="en-US" w:eastAsia="zh-CN" w:bidi="ar-SA"/>
              </w:rPr>
            </w:pPr>
          </w:p>
        </w:tc>
        <w:tc>
          <w:tcPr>
            <w:tcW w:w="1662" w:type="dxa"/>
            <w:tcBorders>
              <w:top w:val="single" w:color="auto" w:sz="4" w:space="0"/>
              <w:left w:val="nil"/>
              <w:bottom w:val="single" w:color="auto" w:sz="4" w:space="0"/>
              <w:right w:val="single" w:color="auto" w:sz="4" w:space="0"/>
            </w:tcBorders>
            <w:noWrap w:val="0"/>
            <w:vAlign w:val="center"/>
          </w:tcPr>
          <w:p w14:paraId="413252B3">
            <w:pPr>
              <w:wordWrap w:val="0"/>
              <w:spacing w:line="440" w:lineRule="exact"/>
              <w:jc w:val="center"/>
              <w:rPr>
                <w:rFonts w:hint="eastAsia" w:ascii="宋体" w:hAnsi="宋体" w:eastAsia="宋体" w:cs="宋体"/>
                <w:b w:val="0"/>
                <w:color w:val="auto"/>
                <w:kern w:val="2"/>
                <w:sz w:val="24"/>
                <w:szCs w:val="24"/>
                <w:highlight w:val="none"/>
                <w:lang w:val="en-US" w:eastAsia="zh-CN" w:bidi="ar-SA"/>
              </w:rPr>
            </w:pPr>
          </w:p>
        </w:tc>
        <w:tc>
          <w:tcPr>
            <w:tcW w:w="2007" w:type="dxa"/>
            <w:tcBorders>
              <w:top w:val="single" w:color="auto" w:sz="4" w:space="0"/>
              <w:left w:val="nil"/>
              <w:bottom w:val="single" w:color="auto" w:sz="4" w:space="0"/>
              <w:right w:val="single" w:color="auto" w:sz="4" w:space="0"/>
            </w:tcBorders>
            <w:noWrap w:val="0"/>
            <w:vAlign w:val="center"/>
          </w:tcPr>
          <w:p w14:paraId="1D0DD1E8">
            <w:pPr>
              <w:wordWrap w:val="0"/>
              <w:spacing w:line="440" w:lineRule="exact"/>
              <w:jc w:val="center"/>
              <w:rPr>
                <w:rFonts w:hint="eastAsia" w:ascii="宋体" w:hAnsi="宋体" w:eastAsia="宋体" w:cs="宋体"/>
                <w:b w:val="0"/>
                <w:bCs w:val="0"/>
                <w:color w:val="auto"/>
                <w:kern w:val="2"/>
                <w:sz w:val="24"/>
                <w:szCs w:val="24"/>
                <w:highlight w:val="none"/>
                <w:lang w:val="en-US" w:eastAsia="zh-CN" w:bidi="ar-SA"/>
              </w:rPr>
            </w:pPr>
          </w:p>
        </w:tc>
        <w:tc>
          <w:tcPr>
            <w:tcW w:w="1085" w:type="dxa"/>
            <w:tcBorders>
              <w:top w:val="single" w:color="auto" w:sz="4" w:space="0"/>
              <w:left w:val="nil"/>
              <w:bottom w:val="single" w:color="auto" w:sz="4" w:space="0"/>
              <w:right w:val="single" w:color="auto" w:sz="4" w:space="0"/>
            </w:tcBorders>
            <w:noWrap w:val="0"/>
            <w:vAlign w:val="center"/>
          </w:tcPr>
          <w:p w14:paraId="5602D658">
            <w:pPr>
              <w:wordWrap w:val="0"/>
              <w:spacing w:line="440" w:lineRule="exact"/>
              <w:jc w:val="center"/>
              <w:rPr>
                <w:rFonts w:hint="eastAsia" w:ascii="宋体" w:hAnsi="宋体" w:eastAsia="宋体" w:cs="宋体"/>
                <w:b w:val="0"/>
                <w:color w:val="auto"/>
                <w:kern w:val="2"/>
                <w:sz w:val="24"/>
                <w:szCs w:val="24"/>
                <w:highlight w:val="none"/>
                <w:lang w:val="en-US" w:eastAsia="zh-CN" w:bidi="ar-SA"/>
              </w:rPr>
            </w:pPr>
          </w:p>
        </w:tc>
        <w:tc>
          <w:tcPr>
            <w:tcW w:w="1923" w:type="dxa"/>
            <w:tcBorders>
              <w:top w:val="single" w:color="auto" w:sz="4" w:space="0"/>
              <w:left w:val="nil"/>
              <w:bottom w:val="single" w:color="auto" w:sz="4" w:space="0"/>
              <w:right w:val="single" w:color="auto" w:sz="4" w:space="0"/>
            </w:tcBorders>
            <w:noWrap w:val="0"/>
            <w:vAlign w:val="center"/>
          </w:tcPr>
          <w:p w14:paraId="12574EB4">
            <w:pPr>
              <w:wordWrap w:val="0"/>
              <w:spacing w:line="440" w:lineRule="exact"/>
              <w:jc w:val="center"/>
              <w:rPr>
                <w:rFonts w:hint="eastAsia" w:ascii="宋体" w:hAnsi="宋体" w:eastAsia="宋体" w:cs="宋体"/>
                <w:b w:val="0"/>
                <w:color w:val="auto"/>
                <w:kern w:val="2"/>
                <w:sz w:val="24"/>
                <w:szCs w:val="24"/>
                <w:highlight w:val="none"/>
                <w:lang w:val="en-US" w:eastAsia="zh-CN" w:bidi="ar-SA"/>
              </w:rPr>
            </w:pPr>
          </w:p>
        </w:tc>
      </w:tr>
      <w:tr w14:paraId="5F053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40" w:type="dxa"/>
            <w:tcBorders>
              <w:top w:val="single" w:color="auto" w:sz="4" w:space="0"/>
              <w:left w:val="single" w:color="auto" w:sz="4" w:space="0"/>
              <w:bottom w:val="single" w:color="auto" w:sz="4" w:space="0"/>
              <w:right w:val="single" w:color="auto" w:sz="4" w:space="0"/>
            </w:tcBorders>
            <w:noWrap w:val="0"/>
            <w:vAlign w:val="center"/>
          </w:tcPr>
          <w:p w14:paraId="2B8B297B">
            <w:pPr>
              <w:wordWrap w:val="0"/>
              <w:spacing w:line="440" w:lineRule="exact"/>
              <w:jc w:val="center"/>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2</w:t>
            </w:r>
          </w:p>
        </w:tc>
        <w:tc>
          <w:tcPr>
            <w:tcW w:w="1477" w:type="dxa"/>
            <w:tcBorders>
              <w:top w:val="single" w:color="auto" w:sz="4" w:space="0"/>
              <w:left w:val="nil"/>
              <w:bottom w:val="single" w:color="auto" w:sz="4" w:space="0"/>
              <w:right w:val="single" w:color="auto" w:sz="4" w:space="0"/>
            </w:tcBorders>
            <w:noWrap w:val="0"/>
            <w:vAlign w:val="center"/>
          </w:tcPr>
          <w:p w14:paraId="0B727565">
            <w:pPr>
              <w:wordWrap w:val="0"/>
              <w:spacing w:line="440" w:lineRule="exact"/>
              <w:jc w:val="center"/>
              <w:rPr>
                <w:rFonts w:hint="eastAsia" w:ascii="宋体" w:hAnsi="宋体" w:eastAsia="宋体" w:cs="宋体"/>
                <w:b w:val="0"/>
                <w:color w:val="auto"/>
                <w:kern w:val="2"/>
                <w:sz w:val="24"/>
                <w:szCs w:val="24"/>
                <w:highlight w:val="none"/>
                <w:lang w:val="en-US" w:eastAsia="zh-CN" w:bidi="ar-SA"/>
              </w:rPr>
            </w:pPr>
          </w:p>
        </w:tc>
        <w:tc>
          <w:tcPr>
            <w:tcW w:w="1662" w:type="dxa"/>
            <w:tcBorders>
              <w:top w:val="single" w:color="auto" w:sz="4" w:space="0"/>
              <w:left w:val="nil"/>
              <w:bottom w:val="single" w:color="auto" w:sz="4" w:space="0"/>
              <w:right w:val="single" w:color="auto" w:sz="4" w:space="0"/>
            </w:tcBorders>
            <w:noWrap w:val="0"/>
            <w:vAlign w:val="center"/>
          </w:tcPr>
          <w:p w14:paraId="0B7CD8F8">
            <w:pPr>
              <w:wordWrap w:val="0"/>
              <w:spacing w:line="440" w:lineRule="exact"/>
              <w:jc w:val="center"/>
              <w:rPr>
                <w:rFonts w:hint="eastAsia" w:ascii="宋体" w:hAnsi="宋体" w:eastAsia="宋体" w:cs="宋体"/>
                <w:b w:val="0"/>
                <w:color w:val="auto"/>
                <w:kern w:val="2"/>
                <w:sz w:val="24"/>
                <w:szCs w:val="24"/>
                <w:highlight w:val="none"/>
                <w:lang w:val="en-US" w:eastAsia="zh-CN" w:bidi="ar-SA"/>
              </w:rPr>
            </w:pPr>
          </w:p>
        </w:tc>
        <w:tc>
          <w:tcPr>
            <w:tcW w:w="2007" w:type="dxa"/>
            <w:tcBorders>
              <w:top w:val="single" w:color="auto" w:sz="4" w:space="0"/>
              <w:left w:val="nil"/>
              <w:bottom w:val="single" w:color="auto" w:sz="4" w:space="0"/>
              <w:right w:val="single" w:color="auto" w:sz="4" w:space="0"/>
            </w:tcBorders>
            <w:noWrap w:val="0"/>
            <w:vAlign w:val="center"/>
          </w:tcPr>
          <w:p w14:paraId="609A7B2C">
            <w:pPr>
              <w:wordWrap w:val="0"/>
              <w:spacing w:line="440" w:lineRule="exact"/>
              <w:jc w:val="center"/>
              <w:rPr>
                <w:rFonts w:hint="eastAsia" w:ascii="宋体" w:hAnsi="宋体" w:eastAsia="宋体" w:cs="宋体"/>
                <w:b w:val="0"/>
                <w:color w:val="auto"/>
                <w:kern w:val="2"/>
                <w:sz w:val="24"/>
                <w:szCs w:val="24"/>
                <w:highlight w:val="none"/>
                <w:lang w:val="en-US" w:eastAsia="zh-CN" w:bidi="ar-SA"/>
              </w:rPr>
            </w:pPr>
          </w:p>
        </w:tc>
        <w:tc>
          <w:tcPr>
            <w:tcW w:w="1085" w:type="dxa"/>
            <w:tcBorders>
              <w:top w:val="single" w:color="auto" w:sz="4" w:space="0"/>
              <w:left w:val="nil"/>
              <w:bottom w:val="single" w:color="auto" w:sz="4" w:space="0"/>
              <w:right w:val="single" w:color="auto" w:sz="4" w:space="0"/>
            </w:tcBorders>
            <w:noWrap w:val="0"/>
            <w:vAlign w:val="center"/>
          </w:tcPr>
          <w:p w14:paraId="3B5E40FE">
            <w:pPr>
              <w:wordWrap w:val="0"/>
              <w:spacing w:line="440" w:lineRule="exact"/>
              <w:jc w:val="center"/>
              <w:rPr>
                <w:rFonts w:hint="eastAsia" w:ascii="宋体" w:hAnsi="宋体" w:eastAsia="宋体" w:cs="宋体"/>
                <w:b w:val="0"/>
                <w:color w:val="auto"/>
                <w:kern w:val="2"/>
                <w:sz w:val="24"/>
                <w:szCs w:val="24"/>
                <w:highlight w:val="none"/>
                <w:lang w:val="en-US" w:eastAsia="zh-CN" w:bidi="ar-SA"/>
              </w:rPr>
            </w:pPr>
          </w:p>
        </w:tc>
        <w:tc>
          <w:tcPr>
            <w:tcW w:w="1923" w:type="dxa"/>
            <w:tcBorders>
              <w:top w:val="single" w:color="auto" w:sz="4" w:space="0"/>
              <w:left w:val="nil"/>
              <w:bottom w:val="single" w:color="auto" w:sz="4" w:space="0"/>
              <w:right w:val="single" w:color="auto" w:sz="4" w:space="0"/>
            </w:tcBorders>
            <w:noWrap w:val="0"/>
            <w:vAlign w:val="center"/>
          </w:tcPr>
          <w:p w14:paraId="2B486AEC">
            <w:pPr>
              <w:wordWrap w:val="0"/>
              <w:spacing w:line="440" w:lineRule="exact"/>
              <w:jc w:val="center"/>
              <w:rPr>
                <w:rFonts w:hint="eastAsia" w:ascii="宋体" w:hAnsi="宋体" w:eastAsia="宋体" w:cs="宋体"/>
                <w:b w:val="0"/>
                <w:color w:val="auto"/>
                <w:kern w:val="2"/>
                <w:sz w:val="24"/>
                <w:szCs w:val="24"/>
                <w:highlight w:val="none"/>
                <w:lang w:val="en-US" w:eastAsia="zh-CN" w:bidi="ar-SA"/>
              </w:rPr>
            </w:pPr>
          </w:p>
        </w:tc>
      </w:tr>
      <w:tr w14:paraId="4E0B7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40" w:type="dxa"/>
            <w:tcBorders>
              <w:top w:val="single" w:color="auto" w:sz="4" w:space="0"/>
              <w:left w:val="single" w:color="auto" w:sz="4" w:space="0"/>
              <w:bottom w:val="single" w:color="auto" w:sz="4" w:space="0"/>
              <w:right w:val="single" w:color="auto" w:sz="4" w:space="0"/>
            </w:tcBorders>
            <w:noWrap w:val="0"/>
            <w:vAlign w:val="center"/>
          </w:tcPr>
          <w:p w14:paraId="4109D00F">
            <w:pPr>
              <w:wordWrap w:val="0"/>
              <w:spacing w:line="440" w:lineRule="exact"/>
              <w:jc w:val="center"/>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3</w:t>
            </w:r>
          </w:p>
        </w:tc>
        <w:tc>
          <w:tcPr>
            <w:tcW w:w="1477" w:type="dxa"/>
            <w:tcBorders>
              <w:top w:val="single" w:color="auto" w:sz="4" w:space="0"/>
              <w:left w:val="nil"/>
              <w:bottom w:val="single" w:color="auto" w:sz="4" w:space="0"/>
              <w:right w:val="single" w:color="auto" w:sz="4" w:space="0"/>
            </w:tcBorders>
            <w:noWrap w:val="0"/>
            <w:vAlign w:val="center"/>
          </w:tcPr>
          <w:p w14:paraId="584F1005">
            <w:pPr>
              <w:wordWrap w:val="0"/>
              <w:spacing w:line="440" w:lineRule="exact"/>
              <w:jc w:val="center"/>
              <w:rPr>
                <w:rFonts w:hint="eastAsia" w:ascii="宋体" w:hAnsi="宋体" w:eastAsia="宋体" w:cs="宋体"/>
                <w:b w:val="0"/>
                <w:color w:val="auto"/>
                <w:kern w:val="2"/>
                <w:sz w:val="24"/>
                <w:szCs w:val="24"/>
                <w:highlight w:val="none"/>
                <w:lang w:val="en-US" w:eastAsia="zh-CN" w:bidi="ar-SA"/>
              </w:rPr>
            </w:pPr>
          </w:p>
        </w:tc>
        <w:tc>
          <w:tcPr>
            <w:tcW w:w="1662" w:type="dxa"/>
            <w:tcBorders>
              <w:top w:val="single" w:color="auto" w:sz="4" w:space="0"/>
              <w:left w:val="nil"/>
              <w:bottom w:val="single" w:color="auto" w:sz="4" w:space="0"/>
              <w:right w:val="single" w:color="auto" w:sz="4" w:space="0"/>
            </w:tcBorders>
            <w:noWrap w:val="0"/>
            <w:vAlign w:val="center"/>
          </w:tcPr>
          <w:p w14:paraId="18BE6DA4">
            <w:pPr>
              <w:wordWrap w:val="0"/>
              <w:spacing w:line="440" w:lineRule="exact"/>
              <w:jc w:val="center"/>
              <w:rPr>
                <w:rFonts w:hint="eastAsia" w:ascii="宋体" w:hAnsi="宋体" w:eastAsia="宋体" w:cs="宋体"/>
                <w:b w:val="0"/>
                <w:color w:val="auto"/>
                <w:kern w:val="2"/>
                <w:sz w:val="24"/>
                <w:szCs w:val="24"/>
                <w:highlight w:val="none"/>
                <w:lang w:val="en-US" w:eastAsia="zh-CN" w:bidi="ar-SA"/>
              </w:rPr>
            </w:pPr>
          </w:p>
        </w:tc>
        <w:tc>
          <w:tcPr>
            <w:tcW w:w="2007" w:type="dxa"/>
            <w:tcBorders>
              <w:top w:val="single" w:color="auto" w:sz="4" w:space="0"/>
              <w:left w:val="nil"/>
              <w:bottom w:val="single" w:color="auto" w:sz="4" w:space="0"/>
              <w:right w:val="single" w:color="auto" w:sz="4" w:space="0"/>
            </w:tcBorders>
            <w:noWrap w:val="0"/>
            <w:vAlign w:val="center"/>
          </w:tcPr>
          <w:p w14:paraId="679773CF">
            <w:pPr>
              <w:wordWrap w:val="0"/>
              <w:spacing w:line="440" w:lineRule="exact"/>
              <w:jc w:val="center"/>
              <w:rPr>
                <w:rFonts w:hint="eastAsia" w:ascii="宋体" w:hAnsi="宋体" w:eastAsia="宋体" w:cs="宋体"/>
                <w:b w:val="0"/>
                <w:color w:val="auto"/>
                <w:kern w:val="2"/>
                <w:sz w:val="24"/>
                <w:szCs w:val="24"/>
                <w:highlight w:val="none"/>
                <w:lang w:val="en-US" w:eastAsia="zh-CN" w:bidi="ar-SA"/>
              </w:rPr>
            </w:pPr>
          </w:p>
        </w:tc>
        <w:tc>
          <w:tcPr>
            <w:tcW w:w="1085" w:type="dxa"/>
            <w:tcBorders>
              <w:top w:val="single" w:color="auto" w:sz="4" w:space="0"/>
              <w:left w:val="nil"/>
              <w:bottom w:val="single" w:color="auto" w:sz="4" w:space="0"/>
              <w:right w:val="single" w:color="auto" w:sz="4" w:space="0"/>
            </w:tcBorders>
            <w:noWrap w:val="0"/>
            <w:vAlign w:val="center"/>
          </w:tcPr>
          <w:p w14:paraId="355C402C">
            <w:pPr>
              <w:wordWrap w:val="0"/>
              <w:spacing w:line="440" w:lineRule="exact"/>
              <w:jc w:val="center"/>
              <w:rPr>
                <w:rFonts w:hint="eastAsia" w:ascii="宋体" w:hAnsi="宋体" w:eastAsia="宋体" w:cs="宋体"/>
                <w:b w:val="0"/>
                <w:color w:val="auto"/>
                <w:kern w:val="2"/>
                <w:sz w:val="24"/>
                <w:szCs w:val="24"/>
                <w:highlight w:val="none"/>
                <w:lang w:val="en-US" w:eastAsia="zh-CN" w:bidi="ar-SA"/>
              </w:rPr>
            </w:pPr>
          </w:p>
        </w:tc>
        <w:tc>
          <w:tcPr>
            <w:tcW w:w="1923" w:type="dxa"/>
            <w:tcBorders>
              <w:top w:val="single" w:color="auto" w:sz="4" w:space="0"/>
              <w:left w:val="nil"/>
              <w:bottom w:val="single" w:color="auto" w:sz="4" w:space="0"/>
              <w:right w:val="single" w:color="auto" w:sz="4" w:space="0"/>
            </w:tcBorders>
            <w:noWrap w:val="0"/>
            <w:vAlign w:val="center"/>
          </w:tcPr>
          <w:p w14:paraId="76096698">
            <w:pPr>
              <w:wordWrap w:val="0"/>
              <w:spacing w:line="440" w:lineRule="exact"/>
              <w:jc w:val="center"/>
              <w:rPr>
                <w:rFonts w:hint="eastAsia" w:ascii="宋体" w:hAnsi="宋体" w:eastAsia="宋体" w:cs="宋体"/>
                <w:b w:val="0"/>
                <w:color w:val="auto"/>
                <w:kern w:val="2"/>
                <w:sz w:val="24"/>
                <w:szCs w:val="24"/>
                <w:highlight w:val="none"/>
                <w:lang w:val="en-US" w:eastAsia="zh-CN" w:bidi="ar-SA"/>
              </w:rPr>
            </w:pPr>
          </w:p>
        </w:tc>
      </w:tr>
      <w:tr w14:paraId="0F120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40" w:type="dxa"/>
            <w:tcBorders>
              <w:top w:val="single" w:color="auto" w:sz="4" w:space="0"/>
              <w:left w:val="single" w:color="auto" w:sz="4" w:space="0"/>
              <w:bottom w:val="single" w:color="auto" w:sz="4" w:space="0"/>
              <w:right w:val="single" w:color="auto" w:sz="4" w:space="0"/>
            </w:tcBorders>
            <w:noWrap w:val="0"/>
            <w:vAlign w:val="center"/>
          </w:tcPr>
          <w:p w14:paraId="25A63255">
            <w:pPr>
              <w:wordWrap w:val="0"/>
              <w:spacing w:line="440" w:lineRule="exact"/>
              <w:jc w:val="center"/>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4</w:t>
            </w:r>
          </w:p>
        </w:tc>
        <w:tc>
          <w:tcPr>
            <w:tcW w:w="1477" w:type="dxa"/>
            <w:tcBorders>
              <w:top w:val="single" w:color="auto" w:sz="4" w:space="0"/>
              <w:left w:val="nil"/>
              <w:bottom w:val="single" w:color="auto" w:sz="4" w:space="0"/>
              <w:right w:val="single" w:color="auto" w:sz="4" w:space="0"/>
            </w:tcBorders>
            <w:noWrap w:val="0"/>
            <w:vAlign w:val="center"/>
          </w:tcPr>
          <w:p w14:paraId="198F48AE">
            <w:pPr>
              <w:wordWrap w:val="0"/>
              <w:spacing w:line="440" w:lineRule="exact"/>
              <w:jc w:val="center"/>
              <w:rPr>
                <w:rFonts w:hint="eastAsia" w:ascii="宋体" w:hAnsi="宋体" w:eastAsia="宋体" w:cs="宋体"/>
                <w:b w:val="0"/>
                <w:color w:val="auto"/>
                <w:kern w:val="2"/>
                <w:sz w:val="24"/>
                <w:szCs w:val="24"/>
                <w:highlight w:val="none"/>
                <w:lang w:val="en-US" w:eastAsia="zh-CN" w:bidi="ar-SA"/>
              </w:rPr>
            </w:pPr>
          </w:p>
        </w:tc>
        <w:tc>
          <w:tcPr>
            <w:tcW w:w="1662" w:type="dxa"/>
            <w:tcBorders>
              <w:top w:val="single" w:color="auto" w:sz="4" w:space="0"/>
              <w:left w:val="nil"/>
              <w:bottom w:val="single" w:color="auto" w:sz="4" w:space="0"/>
              <w:right w:val="single" w:color="auto" w:sz="4" w:space="0"/>
            </w:tcBorders>
            <w:noWrap w:val="0"/>
            <w:vAlign w:val="center"/>
          </w:tcPr>
          <w:p w14:paraId="14AF97B3">
            <w:pPr>
              <w:wordWrap w:val="0"/>
              <w:spacing w:line="440" w:lineRule="exact"/>
              <w:jc w:val="center"/>
              <w:rPr>
                <w:rFonts w:hint="eastAsia" w:ascii="宋体" w:hAnsi="宋体" w:eastAsia="宋体" w:cs="宋体"/>
                <w:b w:val="0"/>
                <w:color w:val="auto"/>
                <w:kern w:val="2"/>
                <w:sz w:val="24"/>
                <w:szCs w:val="24"/>
                <w:highlight w:val="none"/>
                <w:lang w:val="en-US" w:eastAsia="zh-CN" w:bidi="ar-SA"/>
              </w:rPr>
            </w:pPr>
          </w:p>
        </w:tc>
        <w:tc>
          <w:tcPr>
            <w:tcW w:w="2007" w:type="dxa"/>
            <w:tcBorders>
              <w:top w:val="single" w:color="auto" w:sz="4" w:space="0"/>
              <w:left w:val="nil"/>
              <w:bottom w:val="single" w:color="auto" w:sz="4" w:space="0"/>
              <w:right w:val="single" w:color="auto" w:sz="4" w:space="0"/>
            </w:tcBorders>
            <w:noWrap w:val="0"/>
            <w:vAlign w:val="center"/>
          </w:tcPr>
          <w:p w14:paraId="1D023DF1">
            <w:pPr>
              <w:wordWrap w:val="0"/>
              <w:spacing w:line="440" w:lineRule="exact"/>
              <w:jc w:val="center"/>
              <w:rPr>
                <w:rFonts w:hint="eastAsia" w:ascii="宋体" w:hAnsi="宋体" w:eastAsia="宋体" w:cs="宋体"/>
                <w:b w:val="0"/>
                <w:color w:val="auto"/>
                <w:kern w:val="2"/>
                <w:sz w:val="24"/>
                <w:szCs w:val="24"/>
                <w:highlight w:val="none"/>
                <w:lang w:val="en-US" w:eastAsia="zh-CN" w:bidi="ar-SA"/>
              </w:rPr>
            </w:pPr>
          </w:p>
        </w:tc>
        <w:tc>
          <w:tcPr>
            <w:tcW w:w="1085" w:type="dxa"/>
            <w:tcBorders>
              <w:top w:val="single" w:color="auto" w:sz="4" w:space="0"/>
              <w:left w:val="nil"/>
              <w:bottom w:val="single" w:color="auto" w:sz="4" w:space="0"/>
              <w:right w:val="single" w:color="auto" w:sz="4" w:space="0"/>
            </w:tcBorders>
            <w:noWrap w:val="0"/>
            <w:vAlign w:val="center"/>
          </w:tcPr>
          <w:p w14:paraId="6B02F5F6">
            <w:pPr>
              <w:wordWrap w:val="0"/>
              <w:spacing w:line="440" w:lineRule="exact"/>
              <w:jc w:val="center"/>
              <w:rPr>
                <w:rFonts w:hint="eastAsia" w:ascii="宋体" w:hAnsi="宋体" w:eastAsia="宋体" w:cs="宋体"/>
                <w:b w:val="0"/>
                <w:color w:val="auto"/>
                <w:kern w:val="2"/>
                <w:sz w:val="24"/>
                <w:szCs w:val="24"/>
                <w:highlight w:val="none"/>
                <w:lang w:val="en-US" w:eastAsia="zh-CN" w:bidi="ar-SA"/>
              </w:rPr>
            </w:pPr>
          </w:p>
        </w:tc>
        <w:tc>
          <w:tcPr>
            <w:tcW w:w="1923" w:type="dxa"/>
            <w:tcBorders>
              <w:top w:val="single" w:color="auto" w:sz="4" w:space="0"/>
              <w:left w:val="nil"/>
              <w:bottom w:val="single" w:color="auto" w:sz="4" w:space="0"/>
              <w:right w:val="single" w:color="auto" w:sz="4" w:space="0"/>
            </w:tcBorders>
            <w:noWrap w:val="0"/>
            <w:vAlign w:val="center"/>
          </w:tcPr>
          <w:p w14:paraId="7160A698">
            <w:pPr>
              <w:wordWrap w:val="0"/>
              <w:spacing w:line="440" w:lineRule="exact"/>
              <w:jc w:val="center"/>
              <w:rPr>
                <w:rFonts w:hint="eastAsia" w:ascii="宋体" w:hAnsi="宋体" w:eastAsia="宋体" w:cs="宋体"/>
                <w:b w:val="0"/>
                <w:color w:val="auto"/>
                <w:kern w:val="2"/>
                <w:sz w:val="24"/>
                <w:szCs w:val="24"/>
                <w:highlight w:val="none"/>
                <w:lang w:val="en-US" w:eastAsia="zh-CN" w:bidi="ar-SA"/>
              </w:rPr>
            </w:pPr>
          </w:p>
        </w:tc>
      </w:tr>
      <w:tr w14:paraId="3A165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640" w:type="dxa"/>
            <w:tcBorders>
              <w:top w:val="single" w:color="auto" w:sz="4" w:space="0"/>
              <w:left w:val="single" w:color="auto" w:sz="4" w:space="0"/>
              <w:bottom w:val="single" w:color="auto" w:sz="4" w:space="0"/>
              <w:right w:val="single" w:color="auto" w:sz="4" w:space="0"/>
            </w:tcBorders>
            <w:noWrap w:val="0"/>
            <w:vAlign w:val="center"/>
          </w:tcPr>
          <w:p w14:paraId="5D5822D1">
            <w:pPr>
              <w:wordWrap w:val="0"/>
              <w:spacing w:line="440" w:lineRule="exact"/>
              <w:jc w:val="center"/>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w:t>
            </w:r>
          </w:p>
        </w:tc>
        <w:tc>
          <w:tcPr>
            <w:tcW w:w="1477" w:type="dxa"/>
            <w:tcBorders>
              <w:top w:val="single" w:color="auto" w:sz="4" w:space="0"/>
              <w:left w:val="nil"/>
              <w:bottom w:val="single" w:color="auto" w:sz="4" w:space="0"/>
              <w:right w:val="single" w:color="auto" w:sz="4" w:space="0"/>
            </w:tcBorders>
            <w:noWrap w:val="0"/>
            <w:vAlign w:val="center"/>
          </w:tcPr>
          <w:p w14:paraId="6E0FA8F6">
            <w:pPr>
              <w:wordWrap w:val="0"/>
              <w:spacing w:line="440" w:lineRule="exact"/>
              <w:jc w:val="center"/>
              <w:rPr>
                <w:rFonts w:hint="eastAsia" w:ascii="宋体" w:hAnsi="宋体" w:eastAsia="宋体" w:cs="宋体"/>
                <w:b w:val="0"/>
                <w:color w:val="auto"/>
                <w:kern w:val="2"/>
                <w:sz w:val="24"/>
                <w:szCs w:val="24"/>
                <w:highlight w:val="none"/>
                <w:lang w:val="en-US" w:eastAsia="zh-CN" w:bidi="ar-SA"/>
              </w:rPr>
            </w:pPr>
          </w:p>
        </w:tc>
        <w:tc>
          <w:tcPr>
            <w:tcW w:w="1662" w:type="dxa"/>
            <w:tcBorders>
              <w:top w:val="single" w:color="auto" w:sz="4" w:space="0"/>
              <w:left w:val="nil"/>
              <w:bottom w:val="single" w:color="auto" w:sz="4" w:space="0"/>
              <w:right w:val="single" w:color="auto" w:sz="4" w:space="0"/>
            </w:tcBorders>
            <w:noWrap w:val="0"/>
            <w:vAlign w:val="center"/>
          </w:tcPr>
          <w:p w14:paraId="58ACBD04">
            <w:pPr>
              <w:wordWrap w:val="0"/>
              <w:spacing w:line="440" w:lineRule="exact"/>
              <w:jc w:val="center"/>
              <w:rPr>
                <w:rFonts w:hint="eastAsia" w:ascii="宋体" w:hAnsi="宋体" w:eastAsia="宋体" w:cs="宋体"/>
                <w:b w:val="0"/>
                <w:color w:val="auto"/>
                <w:kern w:val="2"/>
                <w:sz w:val="24"/>
                <w:szCs w:val="24"/>
                <w:highlight w:val="none"/>
                <w:lang w:val="en-US" w:eastAsia="zh-CN" w:bidi="ar-SA"/>
              </w:rPr>
            </w:pPr>
          </w:p>
        </w:tc>
        <w:tc>
          <w:tcPr>
            <w:tcW w:w="2007" w:type="dxa"/>
            <w:tcBorders>
              <w:top w:val="single" w:color="auto" w:sz="4" w:space="0"/>
              <w:left w:val="nil"/>
              <w:bottom w:val="single" w:color="auto" w:sz="4" w:space="0"/>
              <w:right w:val="single" w:color="auto" w:sz="4" w:space="0"/>
            </w:tcBorders>
            <w:noWrap w:val="0"/>
            <w:vAlign w:val="center"/>
          </w:tcPr>
          <w:p w14:paraId="32CE9554">
            <w:pPr>
              <w:wordWrap w:val="0"/>
              <w:spacing w:line="440" w:lineRule="exact"/>
              <w:jc w:val="center"/>
              <w:rPr>
                <w:rFonts w:hint="eastAsia" w:ascii="宋体" w:hAnsi="宋体" w:eastAsia="宋体" w:cs="宋体"/>
                <w:b w:val="0"/>
                <w:color w:val="auto"/>
                <w:kern w:val="2"/>
                <w:sz w:val="24"/>
                <w:szCs w:val="24"/>
                <w:highlight w:val="none"/>
                <w:lang w:val="en-US" w:eastAsia="zh-CN" w:bidi="ar-SA"/>
              </w:rPr>
            </w:pPr>
          </w:p>
        </w:tc>
        <w:tc>
          <w:tcPr>
            <w:tcW w:w="1085" w:type="dxa"/>
            <w:tcBorders>
              <w:top w:val="single" w:color="auto" w:sz="4" w:space="0"/>
              <w:left w:val="nil"/>
              <w:bottom w:val="single" w:color="auto" w:sz="4" w:space="0"/>
              <w:right w:val="single" w:color="auto" w:sz="4" w:space="0"/>
            </w:tcBorders>
            <w:noWrap w:val="0"/>
            <w:vAlign w:val="center"/>
          </w:tcPr>
          <w:p w14:paraId="5675BFFA">
            <w:pPr>
              <w:wordWrap w:val="0"/>
              <w:spacing w:line="440" w:lineRule="exact"/>
              <w:jc w:val="center"/>
              <w:rPr>
                <w:rFonts w:hint="eastAsia" w:ascii="宋体" w:hAnsi="宋体" w:eastAsia="宋体" w:cs="宋体"/>
                <w:b w:val="0"/>
                <w:color w:val="auto"/>
                <w:kern w:val="2"/>
                <w:sz w:val="24"/>
                <w:szCs w:val="24"/>
                <w:highlight w:val="none"/>
                <w:lang w:val="en-US" w:eastAsia="zh-CN" w:bidi="ar-SA"/>
              </w:rPr>
            </w:pPr>
          </w:p>
        </w:tc>
        <w:tc>
          <w:tcPr>
            <w:tcW w:w="1923" w:type="dxa"/>
            <w:tcBorders>
              <w:top w:val="single" w:color="auto" w:sz="4" w:space="0"/>
              <w:left w:val="nil"/>
              <w:bottom w:val="single" w:color="auto" w:sz="4" w:space="0"/>
              <w:right w:val="single" w:color="auto" w:sz="4" w:space="0"/>
            </w:tcBorders>
            <w:noWrap w:val="0"/>
            <w:vAlign w:val="center"/>
          </w:tcPr>
          <w:p w14:paraId="25336B2C">
            <w:pPr>
              <w:wordWrap w:val="0"/>
              <w:spacing w:line="440" w:lineRule="exact"/>
              <w:jc w:val="center"/>
              <w:rPr>
                <w:rFonts w:hint="eastAsia" w:ascii="宋体" w:hAnsi="宋体" w:eastAsia="宋体" w:cs="宋体"/>
                <w:b w:val="0"/>
                <w:color w:val="auto"/>
                <w:kern w:val="2"/>
                <w:sz w:val="24"/>
                <w:szCs w:val="24"/>
                <w:highlight w:val="none"/>
                <w:lang w:val="en-US" w:eastAsia="zh-CN" w:bidi="ar-SA"/>
              </w:rPr>
            </w:pPr>
          </w:p>
        </w:tc>
      </w:tr>
    </w:tbl>
    <w:p w14:paraId="561AC91B">
      <w:pPr>
        <w:wordWrap w:val="0"/>
        <w:spacing w:line="440" w:lineRule="exact"/>
        <w:ind w:firstLine="480" w:firstLineChars="200"/>
        <w:jc w:val="left"/>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 xml:space="preserve">注：对于投标产品商务条款响应要求需有证明材料支持的，必须在投标文件中提供证明材料，并将该证明材料在投标文件中的索引（页码及条目号等）标注在“商务条件支持资料索引”中。 </w:t>
      </w:r>
    </w:p>
    <w:p w14:paraId="79E43B25">
      <w:pPr>
        <w:wordWrap w:val="0"/>
        <w:spacing w:line="360" w:lineRule="auto"/>
        <w:ind w:firstLine="420"/>
        <w:rPr>
          <w:rFonts w:hint="eastAsia" w:ascii="宋体" w:hAnsi="宋体" w:eastAsia="宋体" w:cs="宋体"/>
          <w:b w:val="0"/>
          <w:color w:val="auto"/>
          <w:kern w:val="2"/>
          <w:sz w:val="24"/>
          <w:szCs w:val="24"/>
          <w:highlight w:val="none"/>
          <w:lang w:val="en-US" w:eastAsia="zh-CN" w:bidi="ar-SA"/>
        </w:rPr>
      </w:pPr>
    </w:p>
    <w:p w14:paraId="2549142D">
      <w:pPr>
        <w:wordWrap w:val="0"/>
        <w:spacing w:line="360" w:lineRule="auto"/>
        <w:ind w:firstLine="2" w:firstLineChars="1"/>
        <w:rPr>
          <w:rFonts w:hint="eastAsia" w:ascii="宋体" w:hAnsi="宋体" w:eastAsia="宋体" w:cs="宋体"/>
          <w:b w:val="0"/>
          <w:color w:val="auto"/>
          <w:kern w:val="2"/>
          <w:sz w:val="24"/>
          <w:szCs w:val="24"/>
          <w:highlight w:val="none"/>
          <w:lang w:val="en-US" w:eastAsia="zh-CN" w:bidi="ar-SA"/>
        </w:rPr>
      </w:pPr>
    </w:p>
    <w:p w14:paraId="1D9448C8">
      <w:pPr>
        <w:tabs>
          <w:tab w:val="left" w:pos="4860"/>
        </w:tabs>
        <w:spacing w:line="360" w:lineRule="auto"/>
        <w:ind w:right="1560" w:firstLine="422"/>
        <w:jc w:val="left"/>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投标人：（电子签章）</w:t>
      </w:r>
    </w:p>
    <w:p w14:paraId="17721546">
      <w:pPr>
        <w:tabs>
          <w:tab w:val="left" w:pos="4860"/>
        </w:tabs>
        <w:spacing w:line="360" w:lineRule="auto"/>
        <w:ind w:right="1560" w:firstLine="422"/>
        <w:jc w:val="left"/>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法定代表人（单位负责人）或委托代理人：（签</w:t>
      </w:r>
      <w:r>
        <w:rPr>
          <w:rFonts w:hint="eastAsia" w:ascii="宋体" w:hAnsi="宋体" w:cs="宋体"/>
          <w:b w:val="0"/>
          <w:color w:val="auto"/>
          <w:kern w:val="2"/>
          <w:sz w:val="24"/>
          <w:szCs w:val="24"/>
          <w:highlight w:val="none"/>
          <w:lang w:val="en-US" w:eastAsia="zh-CN" w:bidi="ar-SA"/>
        </w:rPr>
        <w:t>字</w:t>
      </w:r>
      <w:r>
        <w:rPr>
          <w:rFonts w:hint="eastAsia" w:ascii="宋体" w:hAnsi="宋体" w:eastAsia="宋体" w:cs="宋体"/>
          <w:b w:val="0"/>
          <w:color w:val="auto"/>
          <w:kern w:val="2"/>
          <w:sz w:val="24"/>
          <w:szCs w:val="24"/>
          <w:highlight w:val="none"/>
          <w:lang w:val="en-US" w:eastAsia="zh-CN" w:bidi="ar-SA"/>
        </w:rPr>
        <w:t>或电子签章）</w:t>
      </w:r>
    </w:p>
    <w:p w14:paraId="6EA99D20">
      <w:pPr>
        <w:spacing w:line="360" w:lineRule="auto"/>
        <w:ind w:firstLine="422"/>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日期：年</w:t>
      </w:r>
      <w:r>
        <w:rPr>
          <w:rFonts w:hint="eastAsia" w:ascii="宋体" w:hAnsi="宋体" w:cs="宋体"/>
          <w:b w:val="0"/>
          <w:color w:val="auto"/>
          <w:kern w:val="2"/>
          <w:sz w:val="24"/>
          <w:szCs w:val="24"/>
          <w:highlight w:val="none"/>
          <w:lang w:val="en-US" w:eastAsia="zh-CN" w:bidi="ar-SA"/>
        </w:rPr>
        <w:t xml:space="preserve">   </w:t>
      </w:r>
      <w:r>
        <w:rPr>
          <w:rFonts w:hint="eastAsia" w:ascii="宋体" w:hAnsi="宋体" w:eastAsia="宋体" w:cs="宋体"/>
          <w:b w:val="0"/>
          <w:color w:val="auto"/>
          <w:kern w:val="2"/>
          <w:sz w:val="24"/>
          <w:szCs w:val="24"/>
          <w:highlight w:val="none"/>
          <w:lang w:val="en-US" w:eastAsia="zh-CN" w:bidi="ar-SA"/>
        </w:rPr>
        <w:t>月</w:t>
      </w:r>
      <w:r>
        <w:rPr>
          <w:rFonts w:hint="eastAsia" w:ascii="宋体" w:hAnsi="宋体" w:cs="宋体"/>
          <w:b w:val="0"/>
          <w:color w:val="auto"/>
          <w:kern w:val="2"/>
          <w:sz w:val="24"/>
          <w:szCs w:val="24"/>
          <w:highlight w:val="none"/>
          <w:lang w:val="en-US" w:eastAsia="zh-CN" w:bidi="ar-SA"/>
        </w:rPr>
        <w:t xml:space="preserve">   </w:t>
      </w:r>
      <w:r>
        <w:rPr>
          <w:rFonts w:hint="eastAsia" w:ascii="宋体" w:hAnsi="宋体" w:eastAsia="宋体" w:cs="宋体"/>
          <w:b w:val="0"/>
          <w:color w:val="auto"/>
          <w:kern w:val="2"/>
          <w:sz w:val="24"/>
          <w:szCs w:val="24"/>
          <w:highlight w:val="none"/>
          <w:lang w:val="en-US" w:eastAsia="zh-CN" w:bidi="ar-SA"/>
        </w:rPr>
        <w:t>日</w:t>
      </w:r>
    </w:p>
    <w:p w14:paraId="2083765C">
      <w:pPr>
        <w:spacing w:line="480" w:lineRule="auto"/>
        <w:outlineLvl w:val="2"/>
        <w:rPr>
          <w:rFonts w:hint="eastAsia" w:ascii="宋体" w:hAnsi="宋体" w:eastAsia="宋体" w:cs="宋体"/>
          <w:b/>
          <w:bCs/>
          <w:color w:val="auto"/>
          <w:sz w:val="24"/>
          <w:szCs w:val="32"/>
          <w:highlight w:val="none"/>
        </w:rPr>
      </w:pPr>
      <w:r>
        <w:rPr>
          <w:rFonts w:hint="eastAsia" w:ascii="宋体" w:hAnsi="宋体" w:eastAsia="宋体" w:cs="宋体"/>
          <w:b w:val="0"/>
          <w:color w:val="auto"/>
          <w:kern w:val="2"/>
          <w:sz w:val="24"/>
          <w:szCs w:val="24"/>
          <w:highlight w:val="none"/>
          <w:lang w:val="en-US" w:eastAsia="zh-CN" w:bidi="ar-SA"/>
        </w:rPr>
        <w:br w:type="page"/>
      </w:r>
      <w:r>
        <w:rPr>
          <w:rFonts w:hint="eastAsia" w:ascii="宋体" w:hAnsi="宋体" w:eastAsia="宋体" w:cs="宋体"/>
          <w:b/>
          <w:bCs/>
          <w:color w:val="auto"/>
          <w:sz w:val="24"/>
          <w:szCs w:val="32"/>
          <w:highlight w:val="none"/>
        </w:rPr>
        <w:t>格式</w:t>
      </w:r>
      <w:r>
        <w:rPr>
          <w:rFonts w:hint="eastAsia" w:ascii="宋体" w:hAnsi="宋体" w:cs="宋体"/>
          <w:b/>
          <w:bCs/>
          <w:color w:val="auto"/>
          <w:sz w:val="24"/>
          <w:szCs w:val="32"/>
          <w:highlight w:val="none"/>
          <w:lang w:val="en-US" w:eastAsia="zh-CN"/>
        </w:rPr>
        <w:t>4</w:t>
      </w:r>
      <w:r>
        <w:rPr>
          <w:rFonts w:hint="eastAsia" w:ascii="宋体" w:hAnsi="宋体" w:eastAsia="宋体" w:cs="宋体"/>
          <w:b/>
          <w:bCs/>
          <w:color w:val="auto"/>
          <w:sz w:val="24"/>
          <w:szCs w:val="32"/>
          <w:highlight w:val="none"/>
        </w:rPr>
        <w:t>：法定代表人/负责人身份证明书</w:t>
      </w:r>
      <w:bookmarkEnd w:id="819"/>
    </w:p>
    <w:p w14:paraId="4B9AD236">
      <w:pPr>
        <w:jc w:val="center"/>
        <w:rPr>
          <w:rFonts w:hint="eastAsia" w:ascii="宋体" w:hAnsi="宋体" w:eastAsia="宋体" w:cs="宋体"/>
          <w:color w:val="auto"/>
          <w:sz w:val="24"/>
          <w:highlight w:val="none"/>
        </w:rPr>
      </w:pPr>
      <w:bookmarkStart w:id="820" w:name="_Toc393354852"/>
      <w:bookmarkStart w:id="821" w:name="_Toc475291704"/>
      <w:bookmarkStart w:id="822" w:name="_Toc476856087"/>
      <w:r>
        <w:rPr>
          <w:rFonts w:hint="eastAsia" w:ascii="宋体" w:hAnsi="宋体" w:eastAsia="宋体" w:cs="宋体"/>
          <w:b/>
          <w:color w:val="auto"/>
          <w:sz w:val="24"/>
          <w:highlight w:val="none"/>
        </w:rPr>
        <w:t>法定代表人/负责人身份证明书</w:t>
      </w:r>
      <w:bookmarkEnd w:id="820"/>
      <w:bookmarkEnd w:id="821"/>
      <w:bookmarkEnd w:id="822"/>
    </w:p>
    <w:p w14:paraId="52143A31">
      <w:pPr>
        <w:autoSpaceDE w:val="0"/>
        <w:autoSpaceDN w:val="0"/>
        <w:adjustRightInd w:val="0"/>
        <w:spacing w:before="240"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单位名称：</w:t>
      </w:r>
      <w:r>
        <w:rPr>
          <w:rFonts w:hint="eastAsia" w:ascii="宋体" w:hAnsi="宋体" w:eastAsia="宋体" w:cs="宋体"/>
          <w:color w:val="auto"/>
          <w:sz w:val="24"/>
          <w:highlight w:val="none"/>
          <w:u w:val="single"/>
        </w:rPr>
        <w:t xml:space="preserve">                </w:t>
      </w:r>
    </w:p>
    <w:p w14:paraId="39AC8C35">
      <w:pPr>
        <w:autoSpaceDE w:val="0"/>
        <w:autoSpaceDN w:val="0"/>
        <w:adjustRightInd w:val="0"/>
        <w:spacing w:before="240"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u w:val="single"/>
        </w:rPr>
        <w:t xml:space="preserve">                </w:t>
      </w:r>
    </w:p>
    <w:p w14:paraId="1C06852B">
      <w:pPr>
        <w:autoSpaceDE w:val="0"/>
        <w:autoSpaceDN w:val="0"/>
        <w:adjustRightInd w:val="0"/>
        <w:spacing w:before="240"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姓    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性别：</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 职务：</w:t>
      </w:r>
      <w:r>
        <w:rPr>
          <w:rFonts w:hint="eastAsia" w:ascii="宋体" w:hAnsi="宋体" w:eastAsia="宋体" w:cs="宋体"/>
          <w:color w:val="auto"/>
          <w:sz w:val="24"/>
          <w:highlight w:val="none"/>
          <w:u w:val="single"/>
        </w:rPr>
        <w:t xml:space="preserve">      </w:t>
      </w:r>
    </w:p>
    <w:p w14:paraId="7B878EC0">
      <w:pPr>
        <w:autoSpaceDE w:val="0"/>
        <w:autoSpaceDN w:val="0"/>
        <w:adjustRightInd w:val="0"/>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（单位名称）的法定代表人/负责人。</w:t>
      </w:r>
    </w:p>
    <w:p w14:paraId="08469A39">
      <w:pPr>
        <w:autoSpaceDE w:val="0"/>
        <w:autoSpaceDN w:val="0"/>
        <w:adjustRightInd w:val="0"/>
        <w:spacing w:before="240" w:line="360" w:lineRule="auto"/>
        <w:ind w:firstLine="902" w:firstLineChars="376"/>
        <w:rPr>
          <w:rFonts w:hint="eastAsia" w:ascii="宋体" w:hAnsi="宋体" w:eastAsia="宋体" w:cs="宋体"/>
          <w:color w:val="auto"/>
          <w:sz w:val="24"/>
          <w:highlight w:val="none"/>
        </w:rPr>
      </w:pPr>
      <w:r>
        <w:rPr>
          <w:rFonts w:hint="eastAsia" w:ascii="宋体" w:hAnsi="宋体" w:eastAsia="宋体" w:cs="宋体"/>
          <w:color w:val="auto"/>
          <w:sz w:val="24"/>
          <w:highlight w:val="none"/>
        </w:rPr>
        <w:t>特此证明。</w:t>
      </w:r>
    </w:p>
    <w:p w14:paraId="65AE1FCB">
      <w:pPr>
        <w:autoSpaceDE w:val="0"/>
        <w:autoSpaceDN w:val="0"/>
        <w:adjustRightInd w:val="0"/>
        <w:spacing w:before="240" w:line="360" w:lineRule="auto"/>
        <w:ind w:firstLine="902" w:firstLineChars="376"/>
        <w:rPr>
          <w:rFonts w:hint="eastAsia" w:ascii="宋体" w:hAnsi="宋体" w:eastAsia="宋体" w:cs="宋体"/>
          <w:color w:val="auto"/>
          <w:sz w:val="24"/>
          <w:highlight w:val="none"/>
        </w:rPr>
      </w:pPr>
    </w:p>
    <w:p w14:paraId="737D6CA6">
      <w:pPr>
        <w:autoSpaceDE w:val="0"/>
        <w:autoSpaceDN w:val="0"/>
        <w:adjustRightInd w:val="0"/>
        <w:spacing w:before="240"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供应商名称（电子签章）：</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14:paraId="13F930C2">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日期：_____年____月___日</w:t>
      </w:r>
    </w:p>
    <w:p w14:paraId="5BB22E26">
      <w:pPr>
        <w:spacing w:line="360" w:lineRule="auto"/>
        <w:rPr>
          <w:rFonts w:hint="eastAsia" w:ascii="宋体" w:hAnsi="宋体" w:eastAsia="宋体" w:cs="宋体"/>
          <w:color w:val="auto"/>
          <w:szCs w:val="21"/>
          <w:highlight w:val="none"/>
        </w:rPr>
      </w:pPr>
    </w:p>
    <w:p w14:paraId="55019EB9">
      <w:pPr>
        <w:spacing w:line="360" w:lineRule="auto"/>
        <w:rPr>
          <w:rFonts w:hint="eastAsia" w:ascii="宋体" w:hAnsi="宋体" w:eastAsia="宋体" w:cs="宋体"/>
          <w:color w:val="auto"/>
          <w:szCs w:val="21"/>
          <w:highlight w:val="none"/>
        </w:rPr>
      </w:pPr>
    </w:p>
    <w:p w14:paraId="5B8959DC">
      <w:pPr>
        <w:pStyle w:val="9"/>
        <w:spacing w:line="500" w:lineRule="exact"/>
        <w:ind w:firstLine="42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注：后附法定代表人身份证</w:t>
      </w:r>
      <w:r>
        <w:rPr>
          <w:rFonts w:hint="eastAsia" w:ascii="宋体" w:hAnsi="宋体" w:eastAsia="宋体" w:cs="宋体"/>
          <w:b/>
          <w:bCs/>
          <w:color w:val="auto"/>
          <w:sz w:val="24"/>
          <w:szCs w:val="24"/>
          <w:highlight w:val="none"/>
          <w:lang w:val="en-US" w:eastAsia="zh-CN"/>
        </w:rPr>
        <w:t>扫描件</w:t>
      </w:r>
      <w:r>
        <w:rPr>
          <w:rFonts w:hint="eastAsia" w:ascii="宋体" w:hAnsi="宋体" w:eastAsia="宋体" w:cs="宋体"/>
          <w:b/>
          <w:bCs/>
          <w:color w:val="auto"/>
          <w:sz w:val="24"/>
          <w:szCs w:val="24"/>
          <w:highlight w:val="none"/>
          <w:lang w:eastAsia="zh-CN"/>
        </w:rPr>
        <w:t>；</w:t>
      </w:r>
    </w:p>
    <w:p w14:paraId="7F1E408D">
      <w:pPr>
        <w:spacing w:line="480" w:lineRule="auto"/>
        <w:outlineLvl w:val="2"/>
        <w:rPr>
          <w:rFonts w:hint="eastAsia" w:ascii="宋体" w:hAnsi="宋体" w:eastAsia="宋体" w:cs="宋体"/>
          <w:b/>
          <w:bCs/>
          <w:color w:val="auto"/>
          <w:sz w:val="24"/>
          <w:szCs w:val="32"/>
          <w:highlight w:val="none"/>
        </w:rPr>
      </w:pPr>
      <w:r>
        <w:rPr>
          <w:rFonts w:hint="eastAsia" w:ascii="宋体" w:hAnsi="宋体" w:eastAsia="宋体" w:cs="宋体"/>
          <w:b/>
          <w:bCs/>
          <w:color w:val="auto"/>
          <w:szCs w:val="21"/>
          <w:highlight w:val="none"/>
        </w:rPr>
        <w:br w:type="page"/>
      </w:r>
      <w:bookmarkStart w:id="823" w:name="_Toc28515"/>
      <w:r>
        <w:rPr>
          <w:rFonts w:hint="eastAsia" w:ascii="宋体" w:hAnsi="宋体" w:eastAsia="宋体" w:cs="宋体"/>
          <w:b/>
          <w:bCs/>
          <w:color w:val="auto"/>
          <w:sz w:val="24"/>
          <w:szCs w:val="32"/>
          <w:highlight w:val="none"/>
        </w:rPr>
        <w:t>格式</w:t>
      </w:r>
      <w:r>
        <w:rPr>
          <w:rFonts w:hint="eastAsia" w:ascii="宋体" w:hAnsi="宋体" w:cs="宋体"/>
          <w:b/>
          <w:bCs/>
          <w:color w:val="auto"/>
          <w:sz w:val="24"/>
          <w:szCs w:val="32"/>
          <w:highlight w:val="none"/>
          <w:lang w:val="en-US" w:eastAsia="zh-CN"/>
        </w:rPr>
        <w:t>5</w:t>
      </w:r>
      <w:r>
        <w:rPr>
          <w:rFonts w:hint="eastAsia" w:ascii="宋体" w:hAnsi="宋体" w:eastAsia="宋体" w:cs="宋体"/>
          <w:b/>
          <w:bCs/>
          <w:color w:val="auto"/>
          <w:sz w:val="24"/>
          <w:szCs w:val="32"/>
          <w:highlight w:val="none"/>
        </w:rPr>
        <w:t>：法定代表人授权委托书</w:t>
      </w:r>
      <w:bookmarkEnd w:id="823"/>
    </w:p>
    <w:p w14:paraId="02F2CF5D">
      <w:pPr>
        <w:spacing w:line="360" w:lineRule="auto"/>
        <w:jc w:val="center"/>
        <w:rPr>
          <w:rFonts w:hint="eastAsia" w:ascii="宋体" w:hAnsi="宋体" w:eastAsia="宋体" w:cs="宋体"/>
          <w:color w:val="auto"/>
          <w:sz w:val="24"/>
          <w:highlight w:val="none"/>
        </w:rPr>
      </w:pPr>
      <w:bookmarkStart w:id="824" w:name="_Toc476856088"/>
      <w:bookmarkStart w:id="825" w:name="_Toc475291705"/>
      <w:bookmarkStart w:id="826" w:name="_Toc213141107"/>
      <w:bookmarkStart w:id="827" w:name="_Toc393354853"/>
      <w:r>
        <w:rPr>
          <w:rFonts w:hint="eastAsia" w:ascii="宋体" w:hAnsi="宋体" w:eastAsia="宋体" w:cs="宋体"/>
          <w:b/>
          <w:color w:val="auto"/>
          <w:sz w:val="24"/>
          <w:highlight w:val="none"/>
        </w:rPr>
        <w:t>法定代表人授权委托书</w:t>
      </w:r>
      <w:bookmarkEnd w:id="824"/>
      <w:bookmarkEnd w:id="825"/>
      <w:bookmarkEnd w:id="826"/>
      <w:bookmarkEnd w:id="827"/>
    </w:p>
    <w:p w14:paraId="30E1A4B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本授权书声明：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（供应商名称） </w:t>
      </w:r>
      <w:r>
        <w:rPr>
          <w:rFonts w:hint="eastAsia" w:ascii="宋体" w:hAnsi="宋体" w:eastAsia="宋体" w:cs="宋体"/>
          <w:color w:val="auto"/>
          <w:sz w:val="24"/>
          <w:highlight w:val="none"/>
        </w:rPr>
        <w:t>的法定代表人代表本公司授权</w:t>
      </w:r>
      <w:r>
        <w:rPr>
          <w:rFonts w:hint="eastAsia" w:ascii="宋体" w:hAnsi="宋体" w:eastAsia="宋体" w:cs="宋体"/>
          <w:color w:val="auto"/>
          <w:sz w:val="24"/>
          <w:highlight w:val="none"/>
          <w:u w:val="single"/>
        </w:rPr>
        <w:t xml:space="preserve">       （委托代理人姓名）</w:t>
      </w:r>
      <w:r>
        <w:rPr>
          <w:rFonts w:hint="eastAsia" w:ascii="宋体" w:hAnsi="宋体" w:eastAsia="宋体" w:cs="宋体"/>
          <w:color w:val="auto"/>
          <w:sz w:val="24"/>
          <w:highlight w:val="none"/>
        </w:rPr>
        <w:t>为本公司合法代理人，就采购人组织的有关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（采购</w:t>
      </w:r>
      <w:r>
        <w:rPr>
          <w:rFonts w:hint="eastAsia" w:ascii="宋体" w:hAnsi="宋体" w:eastAsia="宋体" w:cs="宋体"/>
          <w:color w:val="auto"/>
          <w:sz w:val="24"/>
          <w:highlight w:val="none"/>
          <w:u w:val="single"/>
          <w:lang w:eastAsia="zh-CN"/>
        </w:rPr>
        <w:t>项目名称</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项目（</w:t>
      </w:r>
      <w:r>
        <w:rPr>
          <w:rFonts w:hint="eastAsia" w:ascii="宋体" w:hAnsi="宋体" w:eastAsia="宋体" w:cs="宋体"/>
          <w:color w:val="auto"/>
          <w:sz w:val="24"/>
          <w:highlight w:val="none"/>
          <w:lang w:eastAsia="zh-CN"/>
        </w:rPr>
        <w:t>项目编号</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）的招标，以本单位名义投标。代理人在本项目投标过程中所签署的一切文件和处理与之有关的一切事务，我方均予承认。</w:t>
      </w:r>
    </w:p>
    <w:p w14:paraId="43B2EA27">
      <w:pPr>
        <w:pStyle w:val="9"/>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代理人无转委托权。</w:t>
      </w:r>
    </w:p>
    <w:p w14:paraId="1A4A0FB5">
      <w:pPr>
        <w:pStyle w:val="9"/>
        <w:spacing w:line="480" w:lineRule="auto"/>
        <w:ind w:firstLine="420"/>
        <w:rPr>
          <w:rFonts w:hint="eastAsia" w:ascii="宋体" w:hAnsi="宋体" w:eastAsia="宋体" w:cs="宋体"/>
          <w:color w:val="auto"/>
          <w:sz w:val="22"/>
          <w:szCs w:val="22"/>
          <w:highlight w:val="none"/>
        </w:rPr>
      </w:pPr>
    </w:p>
    <w:p w14:paraId="6FED5EC6">
      <w:pPr>
        <w:pStyle w:val="9"/>
        <w:spacing w:line="480" w:lineRule="auto"/>
        <w:ind w:firstLine="420"/>
        <w:rPr>
          <w:rFonts w:hint="eastAsia" w:ascii="宋体" w:hAnsi="宋体" w:eastAsia="宋体" w:cs="宋体"/>
          <w:color w:val="auto"/>
          <w:sz w:val="22"/>
          <w:szCs w:val="22"/>
          <w:highlight w:val="none"/>
        </w:rPr>
      </w:pPr>
    </w:p>
    <w:p w14:paraId="60A1467B">
      <w:pPr>
        <w:pStyle w:val="9"/>
        <w:spacing w:line="480"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供应商名称（电子签章）：</w:t>
      </w:r>
      <w:r>
        <w:rPr>
          <w:rFonts w:hint="eastAsia" w:ascii="宋体" w:hAnsi="宋体" w:eastAsia="宋体" w:cs="宋体"/>
          <w:color w:val="auto"/>
          <w:sz w:val="24"/>
          <w:szCs w:val="24"/>
          <w:highlight w:val="none"/>
          <w:u w:val="single"/>
        </w:rPr>
        <w:t xml:space="preserve">             </w:t>
      </w:r>
    </w:p>
    <w:p w14:paraId="288434ED">
      <w:pPr>
        <w:pStyle w:val="9"/>
        <w:spacing w:line="480"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val="en-US" w:eastAsia="zh-CN"/>
        </w:rPr>
        <w:t>签</w:t>
      </w:r>
      <w:r>
        <w:rPr>
          <w:rFonts w:hint="eastAsia" w:hAnsi="宋体" w:eastAsia="宋体" w:cs="宋体"/>
          <w:color w:val="auto"/>
          <w:sz w:val="24"/>
          <w:szCs w:val="24"/>
          <w:highlight w:val="none"/>
          <w:lang w:val="en-US" w:eastAsia="zh-CN"/>
        </w:rPr>
        <w:t>字</w:t>
      </w:r>
      <w:r>
        <w:rPr>
          <w:rFonts w:hint="eastAsia" w:ascii="宋体" w:hAnsi="宋体" w:eastAsia="宋体" w:cs="宋体"/>
          <w:color w:val="auto"/>
          <w:sz w:val="24"/>
          <w:szCs w:val="24"/>
          <w:highlight w:val="none"/>
        </w:rPr>
        <w:t>或电子签章）：</w:t>
      </w:r>
      <w:r>
        <w:rPr>
          <w:rFonts w:hint="eastAsia" w:ascii="宋体" w:hAnsi="宋体" w:eastAsia="宋体" w:cs="宋体"/>
          <w:color w:val="auto"/>
          <w:sz w:val="24"/>
          <w:szCs w:val="24"/>
          <w:highlight w:val="none"/>
          <w:u w:val="single"/>
        </w:rPr>
        <w:t xml:space="preserve">                 </w:t>
      </w:r>
    </w:p>
    <w:p w14:paraId="1A0E485A">
      <w:pPr>
        <w:pStyle w:val="9"/>
        <w:spacing w:line="48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签发日期：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2DE45B5E">
      <w:pPr>
        <w:pStyle w:val="9"/>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Cs w:val="21"/>
          <w:highlight w:val="none"/>
        </w:rPr>
        <w:t>______________________________________________________________________________________</w:t>
      </w:r>
    </w:p>
    <w:tbl>
      <w:tblPr>
        <w:tblStyle w:val="16"/>
        <w:tblW w:w="0" w:type="auto"/>
        <w:tblInd w:w="1129" w:type="dxa"/>
        <w:tblLayout w:type="fixed"/>
        <w:tblCellMar>
          <w:top w:w="0" w:type="dxa"/>
          <w:left w:w="108" w:type="dxa"/>
          <w:bottom w:w="0" w:type="dxa"/>
          <w:right w:w="108" w:type="dxa"/>
        </w:tblCellMar>
      </w:tblPr>
      <w:tblGrid>
        <w:gridCol w:w="2110"/>
        <w:gridCol w:w="3960"/>
      </w:tblGrid>
      <w:tr w14:paraId="5145B286">
        <w:tblPrEx>
          <w:tblCellMar>
            <w:top w:w="0" w:type="dxa"/>
            <w:left w:w="108" w:type="dxa"/>
            <w:bottom w:w="0" w:type="dxa"/>
            <w:right w:w="108" w:type="dxa"/>
          </w:tblCellMar>
        </w:tblPrEx>
        <w:tc>
          <w:tcPr>
            <w:tcW w:w="2110" w:type="dxa"/>
            <w:noWrap w:val="0"/>
            <w:vAlign w:val="top"/>
          </w:tcPr>
          <w:p w14:paraId="2F074C57">
            <w:pPr>
              <w:pStyle w:val="9"/>
              <w:spacing w:line="500" w:lineRule="exact"/>
              <w:jc w:val="distribute"/>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委托代理人姓名：</w:t>
            </w:r>
          </w:p>
        </w:tc>
        <w:tc>
          <w:tcPr>
            <w:tcW w:w="3960" w:type="dxa"/>
            <w:noWrap w:val="0"/>
            <w:vAlign w:val="top"/>
          </w:tcPr>
          <w:p w14:paraId="65845018">
            <w:pPr>
              <w:pStyle w:val="9"/>
              <w:spacing w:line="500" w:lineRule="exact"/>
              <w:ind w:left="16" w:leftChars="-51" w:hanging="123" w:hangingChars="51"/>
              <w:rPr>
                <w:rFonts w:hint="eastAsia" w:ascii="宋体" w:hAnsi="宋体" w:eastAsia="宋体" w:cs="宋体"/>
                <w:b/>
                <w:bCs/>
                <w:color w:val="auto"/>
                <w:sz w:val="24"/>
                <w:szCs w:val="24"/>
                <w:highlight w:val="none"/>
                <w:u w:val="single"/>
              </w:rPr>
            </w:pPr>
          </w:p>
        </w:tc>
      </w:tr>
      <w:tr w14:paraId="7960B1C6">
        <w:tblPrEx>
          <w:tblCellMar>
            <w:top w:w="0" w:type="dxa"/>
            <w:left w:w="108" w:type="dxa"/>
            <w:bottom w:w="0" w:type="dxa"/>
            <w:right w:w="108" w:type="dxa"/>
          </w:tblCellMar>
        </w:tblPrEx>
        <w:tc>
          <w:tcPr>
            <w:tcW w:w="2110" w:type="dxa"/>
            <w:noWrap w:val="0"/>
            <w:vAlign w:val="top"/>
          </w:tcPr>
          <w:p w14:paraId="30D8A2C3">
            <w:pPr>
              <w:pStyle w:val="9"/>
              <w:spacing w:line="500" w:lineRule="exact"/>
              <w:jc w:val="distribut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       务：</w:t>
            </w:r>
          </w:p>
        </w:tc>
        <w:tc>
          <w:tcPr>
            <w:tcW w:w="3960" w:type="dxa"/>
            <w:noWrap w:val="0"/>
            <w:vAlign w:val="top"/>
          </w:tcPr>
          <w:p w14:paraId="765E5DA8">
            <w:pPr>
              <w:pStyle w:val="9"/>
              <w:spacing w:line="500" w:lineRule="exact"/>
              <w:rPr>
                <w:rFonts w:hint="eastAsia" w:ascii="宋体" w:hAnsi="宋体" w:eastAsia="宋体" w:cs="宋体"/>
                <w:color w:val="auto"/>
                <w:sz w:val="24"/>
                <w:szCs w:val="24"/>
                <w:highlight w:val="none"/>
              </w:rPr>
            </w:pPr>
          </w:p>
        </w:tc>
      </w:tr>
      <w:tr w14:paraId="08FB2DC8">
        <w:tblPrEx>
          <w:tblCellMar>
            <w:top w:w="0" w:type="dxa"/>
            <w:left w:w="108" w:type="dxa"/>
            <w:bottom w:w="0" w:type="dxa"/>
            <w:right w:w="108" w:type="dxa"/>
          </w:tblCellMar>
        </w:tblPrEx>
        <w:tc>
          <w:tcPr>
            <w:tcW w:w="2110" w:type="dxa"/>
            <w:noWrap w:val="0"/>
            <w:vAlign w:val="top"/>
          </w:tcPr>
          <w:p w14:paraId="745F0EB7">
            <w:pPr>
              <w:pStyle w:val="9"/>
              <w:spacing w:line="500" w:lineRule="exact"/>
              <w:jc w:val="distribut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身份证号码：</w:t>
            </w:r>
          </w:p>
        </w:tc>
        <w:tc>
          <w:tcPr>
            <w:tcW w:w="3960" w:type="dxa"/>
            <w:noWrap w:val="0"/>
            <w:vAlign w:val="top"/>
          </w:tcPr>
          <w:p w14:paraId="313C9965">
            <w:pPr>
              <w:pStyle w:val="9"/>
              <w:spacing w:line="500" w:lineRule="exact"/>
              <w:rPr>
                <w:rFonts w:hint="eastAsia" w:ascii="宋体" w:hAnsi="宋体" w:eastAsia="宋体" w:cs="宋体"/>
                <w:color w:val="auto"/>
                <w:sz w:val="24"/>
                <w:szCs w:val="24"/>
                <w:highlight w:val="none"/>
              </w:rPr>
            </w:pPr>
          </w:p>
        </w:tc>
      </w:tr>
      <w:tr w14:paraId="0426A501">
        <w:tblPrEx>
          <w:tblCellMar>
            <w:top w:w="0" w:type="dxa"/>
            <w:left w:w="108" w:type="dxa"/>
            <w:bottom w:w="0" w:type="dxa"/>
            <w:right w:w="108" w:type="dxa"/>
          </w:tblCellMar>
        </w:tblPrEx>
        <w:tc>
          <w:tcPr>
            <w:tcW w:w="2110" w:type="dxa"/>
            <w:noWrap w:val="0"/>
            <w:vAlign w:val="top"/>
          </w:tcPr>
          <w:p w14:paraId="45AA938D">
            <w:pPr>
              <w:pStyle w:val="9"/>
              <w:spacing w:line="500" w:lineRule="exact"/>
              <w:jc w:val="distribut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 细  地 址：</w:t>
            </w:r>
          </w:p>
        </w:tc>
        <w:tc>
          <w:tcPr>
            <w:tcW w:w="3960" w:type="dxa"/>
            <w:noWrap w:val="0"/>
            <w:vAlign w:val="top"/>
          </w:tcPr>
          <w:p w14:paraId="509D1A7B">
            <w:pPr>
              <w:pStyle w:val="9"/>
              <w:spacing w:line="500" w:lineRule="exact"/>
              <w:rPr>
                <w:rFonts w:hint="eastAsia" w:ascii="宋体" w:hAnsi="宋体" w:eastAsia="宋体" w:cs="宋体"/>
                <w:color w:val="auto"/>
                <w:sz w:val="24"/>
                <w:szCs w:val="24"/>
                <w:highlight w:val="none"/>
              </w:rPr>
            </w:pPr>
          </w:p>
        </w:tc>
      </w:tr>
      <w:tr w14:paraId="52281DB7">
        <w:tblPrEx>
          <w:tblCellMar>
            <w:top w:w="0" w:type="dxa"/>
            <w:left w:w="108" w:type="dxa"/>
            <w:bottom w:w="0" w:type="dxa"/>
            <w:right w:w="108" w:type="dxa"/>
          </w:tblCellMar>
        </w:tblPrEx>
        <w:tc>
          <w:tcPr>
            <w:tcW w:w="2110" w:type="dxa"/>
            <w:noWrap w:val="0"/>
            <w:vAlign w:val="top"/>
          </w:tcPr>
          <w:p w14:paraId="0FBEE2C7">
            <w:pPr>
              <w:pStyle w:val="9"/>
              <w:spacing w:line="500" w:lineRule="exact"/>
              <w:jc w:val="distribut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p>
        </w:tc>
        <w:tc>
          <w:tcPr>
            <w:tcW w:w="3960" w:type="dxa"/>
            <w:noWrap w:val="0"/>
            <w:vAlign w:val="top"/>
          </w:tcPr>
          <w:p w14:paraId="1CA0CA64">
            <w:pPr>
              <w:pStyle w:val="9"/>
              <w:spacing w:line="500" w:lineRule="exact"/>
              <w:rPr>
                <w:rFonts w:hint="eastAsia" w:ascii="宋体" w:hAnsi="宋体" w:eastAsia="宋体" w:cs="宋体"/>
                <w:color w:val="auto"/>
                <w:sz w:val="24"/>
                <w:szCs w:val="24"/>
                <w:highlight w:val="none"/>
              </w:rPr>
            </w:pPr>
          </w:p>
        </w:tc>
      </w:tr>
    </w:tbl>
    <w:p w14:paraId="47D36CEB">
      <w:pPr>
        <w:pStyle w:val="9"/>
        <w:spacing w:line="500" w:lineRule="exact"/>
        <w:ind w:firstLine="420"/>
        <w:rPr>
          <w:rFonts w:hint="eastAsia" w:ascii="宋体" w:hAnsi="宋体" w:eastAsia="宋体" w:cs="宋体"/>
          <w:color w:val="auto"/>
          <w:szCs w:val="21"/>
          <w:highlight w:val="none"/>
        </w:rPr>
      </w:pPr>
    </w:p>
    <w:p w14:paraId="4FEC7F19">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注：1.</w:t>
      </w:r>
      <w:r>
        <w:rPr>
          <w:rFonts w:hint="eastAsia" w:ascii="宋体" w:hAnsi="宋体" w:eastAsia="宋体" w:cs="宋体"/>
          <w:b/>
          <w:bCs/>
          <w:color w:val="auto"/>
          <w:sz w:val="24"/>
          <w:highlight w:val="none"/>
          <w:lang w:val="en-US" w:eastAsia="zh-CN"/>
        </w:rPr>
        <w:t>后</w:t>
      </w:r>
      <w:r>
        <w:rPr>
          <w:rFonts w:hint="eastAsia" w:ascii="宋体" w:hAnsi="宋体" w:eastAsia="宋体" w:cs="宋体"/>
          <w:b/>
          <w:bCs/>
          <w:color w:val="auto"/>
          <w:sz w:val="24"/>
          <w:highlight w:val="none"/>
        </w:rPr>
        <w:t>附委托代理人身份证扫描件；</w:t>
      </w:r>
    </w:p>
    <w:p w14:paraId="6E039EAB">
      <w:pPr>
        <w:spacing w:line="360" w:lineRule="auto"/>
        <w:ind w:firstLine="964" w:firstLineChars="4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2.法人参与本项目投标的无需授权；</w:t>
      </w:r>
    </w:p>
    <w:p w14:paraId="6CE0DAC5">
      <w:pPr>
        <w:spacing w:line="360" w:lineRule="auto"/>
        <w:rPr>
          <w:rFonts w:hint="eastAsia" w:ascii="宋体" w:hAnsi="宋体" w:eastAsia="宋体" w:cs="宋体"/>
          <w:b/>
          <w:bCs/>
          <w:color w:val="auto"/>
          <w:sz w:val="24"/>
          <w:szCs w:val="24"/>
          <w:highlight w:val="none"/>
          <w:lang w:val="en-US" w:eastAsia="zh-CN"/>
        </w:rPr>
      </w:pPr>
      <w:bookmarkStart w:id="828" w:name="_Toc3878"/>
    </w:p>
    <w:p w14:paraId="7C8AFE42">
      <w:pPr>
        <w:spacing w:line="360" w:lineRule="auto"/>
        <w:outlineLvl w:val="2"/>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24"/>
          <w:highlight w:val="none"/>
          <w:lang w:val="en-US" w:eastAsia="zh-CN"/>
        </w:rPr>
        <w:br w:type="page"/>
      </w:r>
      <w:r>
        <w:rPr>
          <w:rFonts w:hint="eastAsia" w:ascii="宋体" w:hAnsi="宋体" w:eastAsia="宋体" w:cs="宋体"/>
          <w:b/>
          <w:bCs/>
          <w:color w:val="auto"/>
          <w:sz w:val="24"/>
          <w:szCs w:val="32"/>
          <w:highlight w:val="none"/>
        </w:rPr>
        <w:t>格式</w:t>
      </w:r>
      <w:r>
        <w:rPr>
          <w:rFonts w:hint="eastAsia" w:ascii="宋体" w:hAnsi="宋体" w:cs="宋体"/>
          <w:b/>
          <w:bCs/>
          <w:color w:val="auto"/>
          <w:sz w:val="24"/>
          <w:szCs w:val="32"/>
          <w:highlight w:val="none"/>
          <w:lang w:val="en-US" w:eastAsia="zh-CN"/>
        </w:rPr>
        <w:t>6</w:t>
      </w:r>
      <w:r>
        <w:rPr>
          <w:rFonts w:hint="eastAsia" w:ascii="宋体" w:hAnsi="宋体" w:eastAsia="宋体" w:cs="宋体"/>
          <w:b/>
          <w:bCs/>
          <w:color w:val="auto"/>
          <w:sz w:val="24"/>
          <w:szCs w:val="32"/>
          <w:highlight w:val="none"/>
        </w:rPr>
        <w:t>：供应商信息表</w:t>
      </w:r>
      <w:bookmarkEnd w:id="828"/>
    </w:p>
    <w:p w14:paraId="7832C402">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供应商信息表</w:t>
      </w:r>
    </w:p>
    <w:p w14:paraId="0BED53FC">
      <w:pPr>
        <w:pStyle w:val="9"/>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（请供应商如实填写本表信息）</w:t>
      </w:r>
    </w:p>
    <w:tbl>
      <w:tblPr>
        <w:tblStyle w:val="16"/>
        <w:tblpPr w:leftFromText="180" w:rightFromText="180" w:vertAnchor="text" w:horzAnchor="margin" w:tblpXSpec="center" w:tblpY="3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40"/>
        <w:gridCol w:w="2183"/>
        <w:gridCol w:w="2607"/>
        <w:gridCol w:w="1845"/>
      </w:tblGrid>
      <w:tr w14:paraId="7C3E0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2640" w:type="dxa"/>
            <w:tcBorders>
              <w:top w:val="single" w:color="auto" w:sz="4" w:space="0"/>
              <w:left w:val="single" w:color="auto" w:sz="4" w:space="0"/>
              <w:bottom w:val="single" w:color="auto" w:sz="4" w:space="0"/>
              <w:right w:val="single" w:color="auto" w:sz="4" w:space="0"/>
            </w:tcBorders>
            <w:noWrap w:val="0"/>
            <w:vAlign w:val="center"/>
          </w:tcPr>
          <w:p w14:paraId="39AE544B">
            <w:pPr>
              <w:pStyle w:val="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p>
        </w:tc>
        <w:tc>
          <w:tcPr>
            <w:tcW w:w="6635" w:type="dxa"/>
            <w:gridSpan w:val="3"/>
            <w:tcBorders>
              <w:top w:val="single" w:color="auto" w:sz="4" w:space="0"/>
              <w:left w:val="single" w:color="auto" w:sz="4" w:space="0"/>
              <w:bottom w:val="single" w:color="auto" w:sz="4" w:space="0"/>
              <w:right w:val="single" w:color="auto" w:sz="4" w:space="0"/>
            </w:tcBorders>
            <w:noWrap w:val="0"/>
            <w:vAlign w:val="center"/>
          </w:tcPr>
          <w:p w14:paraId="2D536D13">
            <w:pPr>
              <w:pStyle w:val="9"/>
              <w:jc w:val="center"/>
              <w:rPr>
                <w:rFonts w:hint="eastAsia" w:ascii="宋体" w:hAnsi="宋体" w:eastAsia="宋体" w:cs="宋体"/>
                <w:color w:val="auto"/>
                <w:sz w:val="24"/>
                <w:szCs w:val="24"/>
                <w:highlight w:val="none"/>
              </w:rPr>
            </w:pPr>
          </w:p>
        </w:tc>
      </w:tr>
      <w:tr w14:paraId="5EF4B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2640" w:type="dxa"/>
            <w:tcBorders>
              <w:top w:val="single" w:color="auto" w:sz="4" w:space="0"/>
              <w:left w:val="single" w:color="auto" w:sz="4" w:space="0"/>
              <w:bottom w:val="single" w:color="auto" w:sz="4" w:space="0"/>
              <w:right w:val="single" w:color="auto" w:sz="4" w:space="0"/>
            </w:tcBorders>
            <w:noWrap w:val="0"/>
            <w:vAlign w:val="center"/>
          </w:tcPr>
          <w:p w14:paraId="67D52611">
            <w:pPr>
              <w:pStyle w:val="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营业执照</w:t>
            </w:r>
          </w:p>
          <w:p w14:paraId="05BFC854">
            <w:pPr>
              <w:pStyle w:val="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统一社会信用代码：</w:t>
            </w:r>
          </w:p>
        </w:tc>
        <w:tc>
          <w:tcPr>
            <w:tcW w:w="6635" w:type="dxa"/>
            <w:gridSpan w:val="3"/>
            <w:tcBorders>
              <w:top w:val="single" w:color="auto" w:sz="4" w:space="0"/>
              <w:left w:val="single" w:color="auto" w:sz="4" w:space="0"/>
              <w:bottom w:val="single" w:color="auto" w:sz="4" w:space="0"/>
              <w:right w:val="single" w:color="auto" w:sz="4" w:space="0"/>
            </w:tcBorders>
            <w:noWrap w:val="0"/>
            <w:vAlign w:val="center"/>
          </w:tcPr>
          <w:p w14:paraId="59E73CFE">
            <w:pPr>
              <w:pStyle w:val="9"/>
              <w:jc w:val="center"/>
              <w:rPr>
                <w:rFonts w:hint="eastAsia" w:ascii="宋体" w:hAnsi="宋体" w:eastAsia="宋体" w:cs="宋体"/>
                <w:color w:val="auto"/>
                <w:sz w:val="24"/>
                <w:szCs w:val="24"/>
                <w:highlight w:val="none"/>
              </w:rPr>
            </w:pPr>
          </w:p>
        </w:tc>
      </w:tr>
      <w:tr w14:paraId="068FD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trPr>
        <w:tc>
          <w:tcPr>
            <w:tcW w:w="2640" w:type="dxa"/>
            <w:tcBorders>
              <w:top w:val="single" w:color="auto" w:sz="4" w:space="0"/>
              <w:left w:val="single" w:color="auto" w:sz="4" w:space="0"/>
              <w:bottom w:val="single" w:color="auto" w:sz="4" w:space="0"/>
              <w:right w:val="single" w:color="auto" w:sz="4" w:space="0"/>
            </w:tcBorders>
            <w:noWrap w:val="0"/>
            <w:vAlign w:val="center"/>
          </w:tcPr>
          <w:p w14:paraId="6FE30451">
            <w:pPr>
              <w:pStyle w:val="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注册资金： </w:t>
            </w:r>
          </w:p>
        </w:tc>
        <w:tc>
          <w:tcPr>
            <w:tcW w:w="2183" w:type="dxa"/>
            <w:tcBorders>
              <w:top w:val="single" w:color="auto" w:sz="4" w:space="0"/>
              <w:left w:val="single" w:color="auto" w:sz="4" w:space="0"/>
              <w:bottom w:val="single" w:color="auto" w:sz="4" w:space="0"/>
              <w:right w:val="single" w:color="auto" w:sz="4" w:space="0"/>
            </w:tcBorders>
            <w:noWrap w:val="0"/>
            <w:vAlign w:val="center"/>
          </w:tcPr>
          <w:p w14:paraId="706D9076">
            <w:pPr>
              <w:pStyle w:val="9"/>
              <w:jc w:val="center"/>
              <w:rPr>
                <w:rFonts w:hint="eastAsia" w:ascii="宋体" w:hAnsi="宋体" w:eastAsia="宋体" w:cs="宋体"/>
                <w:color w:val="auto"/>
                <w:sz w:val="24"/>
                <w:szCs w:val="24"/>
                <w:highlight w:val="none"/>
              </w:rPr>
            </w:pPr>
          </w:p>
        </w:tc>
        <w:tc>
          <w:tcPr>
            <w:tcW w:w="2607" w:type="dxa"/>
            <w:tcBorders>
              <w:top w:val="single" w:color="auto" w:sz="4" w:space="0"/>
              <w:left w:val="single" w:color="auto" w:sz="4" w:space="0"/>
              <w:bottom w:val="single" w:color="auto" w:sz="4" w:space="0"/>
              <w:right w:val="single" w:color="auto" w:sz="4" w:space="0"/>
            </w:tcBorders>
            <w:noWrap w:val="0"/>
            <w:vAlign w:val="center"/>
          </w:tcPr>
          <w:p w14:paraId="76D3DA5B">
            <w:pPr>
              <w:pStyle w:val="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p>
        </w:tc>
        <w:tc>
          <w:tcPr>
            <w:tcW w:w="1845" w:type="dxa"/>
            <w:tcBorders>
              <w:top w:val="single" w:color="auto" w:sz="4" w:space="0"/>
              <w:left w:val="single" w:color="auto" w:sz="4" w:space="0"/>
              <w:bottom w:val="single" w:color="auto" w:sz="4" w:space="0"/>
              <w:right w:val="single" w:color="auto" w:sz="4" w:space="0"/>
            </w:tcBorders>
            <w:noWrap w:val="0"/>
            <w:vAlign w:val="center"/>
          </w:tcPr>
          <w:p w14:paraId="5A71CD26">
            <w:pPr>
              <w:pStyle w:val="9"/>
              <w:jc w:val="center"/>
              <w:rPr>
                <w:rFonts w:hint="eastAsia" w:ascii="宋体" w:hAnsi="宋体" w:eastAsia="宋体" w:cs="宋体"/>
                <w:color w:val="auto"/>
                <w:sz w:val="24"/>
                <w:szCs w:val="24"/>
                <w:highlight w:val="none"/>
              </w:rPr>
            </w:pPr>
          </w:p>
        </w:tc>
      </w:tr>
      <w:tr w14:paraId="2B5F6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2640" w:type="dxa"/>
            <w:tcBorders>
              <w:top w:val="single" w:color="auto" w:sz="4" w:space="0"/>
              <w:left w:val="single" w:color="auto" w:sz="4" w:space="0"/>
              <w:bottom w:val="single" w:color="auto" w:sz="4" w:space="0"/>
              <w:right w:val="single" w:color="auto" w:sz="4" w:space="0"/>
            </w:tcBorders>
            <w:noWrap w:val="0"/>
            <w:vAlign w:val="center"/>
          </w:tcPr>
          <w:p w14:paraId="40AF658A">
            <w:pPr>
              <w:pStyle w:val="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公司成立日期： </w:t>
            </w:r>
          </w:p>
        </w:tc>
        <w:tc>
          <w:tcPr>
            <w:tcW w:w="2183" w:type="dxa"/>
            <w:tcBorders>
              <w:top w:val="single" w:color="auto" w:sz="4" w:space="0"/>
              <w:left w:val="single" w:color="auto" w:sz="4" w:space="0"/>
              <w:bottom w:val="single" w:color="auto" w:sz="4" w:space="0"/>
              <w:right w:val="single" w:color="auto" w:sz="4" w:space="0"/>
            </w:tcBorders>
            <w:noWrap w:val="0"/>
            <w:vAlign w:val="center"/>
          </w:tcPr>
          <w:p w14:paraId="76B214AC">
            <w:pPr>
              <w:pStyle w:val="9"/>
              <w:jc w:val="center"/>
              <w:rPr>
                <w:rFonts w:hint="eastAsia" w:ascii="宋体" w:hAnsi="宋体" w:eastAsia="宋体" w:cs="宋体"/>
                <w:color w:val="auto"/>
                <w:sz w:val="24"/>
                <w:szCs w:val="24"/>
                <w:highlight w:val="none"/>
              </w:rPr>
            </w:pPr>
          </w:p>
        </w:tc>
        <w:tc>
          <w:tcPr>
            <w:tcW w:w="2607" w:type="dxa"/>
            <w:tcBorders>
              <w:top w:val="single" w:color="auto" w:sz="4" w:space="0"/>
              <w:left w:val="single" w:color="auto" w:sz="4" w:space="0"/>
              <w:bottom w:val="single" w:color="auto" w:sz="4" w:space="0"/>
              <w:right w:val="single" w:color="auto" w:sz="4" w:space="0"/>
            </w:tcBorders>
            <w:noWrap w:val="0"/>
            <w:vAlign w:val="center"/>
          </w:tcPr>
          <w:p w14:paraId="5CD583C6">
            <w:pPr>
              <w:pStyle w:val="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企业网站网址（如有）：</w:t>
            </w:r>
          </w:p>
        </w:tc>
        <w:tc>
          <w:tcPr>
            <w:tcW w:w="1845" w:type="dxa"/>
            <w:tcBorders>
              <w:top w:val="single" w:color="auto" w:sz="4" w:space="0"/>
              <w:left w:val="single" w:color="auto" w:sz="4" w:space="0"/>
              <w:bottom w:val="single" w:color="auto" w:sz="4" w:space="0"/>
              <w:right w:val="single" w:color="auto" w:sz="4" w:space="0"/>
            </w:tcBorders>
            <w:noWrap w:val="0"/>
            <w:vAlign w:val="center"/>
          </w:tcPr>
          <w:p w14:paraId="18983035">
            <w:pPr>
              <w:pStyle w:val="9"/>
              <w:jc w:val="center"/>
              <w:rPr>
                <w:rFonts w:hint="eastAsia" w:ascii="宋体" w:hAnsi="宋体" w:eastAsia="宋体" w:cs="宋体"/>
                <w:color w:val="auto"/>
                <w:sz w:val="24"/>
                <w:szCs w:val="24"/>
                <w:highlight w:val="none"/>
              </w:rPr>
            </w:pPr>
          </w:p>
        </w:tc>
      </w:tr>
      <w:tr w14:paraId="6BFAF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2640" w:type="dxa"/>
            <w:tcBorders>
              <w:top w:val="single" w:color="auto" w:sz="4" w:space="0"/>
              <w:left w:val="single" w:color="auto" w:sz="4" w:space="0"/>
              <w:bottom w:val="single" w:color="auto" w:sz="4" w:space="0"/>
              <w:right w:val="single" w:color="auto" w:sz="4" w:space="0"/>
            </w:tcBorders>
            <w:noWrap w:val="0"/>
            <w:vAlign w:val="center"/>
          </w:tcPr>
          <w:p w14:paraId="185962C5">
            <w:pPr>
              <w:pStyle w:val="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企业电话：</w:t>
            </w:r>
          </w:p>
        </w:tc>
        <w:tc>
          <w:tcPr>
            <w:tcW w:w="2183" w:type="dxa"/>
            <w:tcBorders>
              <w:top w:val="single" w:color="auto" w:sz="4" w:space="0"/>
              <w:left w:val="single" w:color="auto" w:sz="4" w:space="0"/>
              <w:bottom w:val="single" w:color="auto" w:sz="4" w:space="0"/>
              <w:right w:val="single" w:color="auto" w:sz="4" w:space="0"/>
            </w:tcBorders>
            <w:noWrap w:val="0"/>
            <w:vAlign w:val="center"/>
          </w:tcPr>
          <w:p w14:paraId="40A8ADA3">
            <w:pPr>
              <w:pStyle w:val="9"/>
              <w:jc w:val="center"/>
              <w:rPr>
                <w:rFonts w:hint="eastAsia" w:ascii="宋体" w:hAnsi="宋体" w:eastAsia="宋体" w:cs="宋体"/>
                <w:color w:val="auto"/>
                <w:sz w:val="24"/>
                <w:szCs w:val="24"/>
                <w:highlight w:val="none"/>
              </w:rPr>
            </w:pPr>
          </w:p>
        </w:tc>
        <w:tc>
          <w:tcPr>
            <w:tcW w:w="2607" w:type="dxa"/>
            <w:tcBorders>
              <w:top w:val="single" w:color="auto" w:sz="4" w:space="0"/>
              <w:left w:val="single" w:color="auto" w:sz="4" w:space="0"/>
              <w:bottom w:val="single" w:color="auto" w:sz="4" w:space="0"/>
              <w:right w:val="single" w:color="auto" w:sz="4" w:space="0"/>
            </w:tcBorders>
            <w:noWrap w:val="0"/>
            <w:vAlign w:val="center"/>
          </w:tcPr>
          <w:p w14:paraId="724C9F67">
            <w:pPr>
              <w:pStyle w:val="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通讯地址：</w:t>
            </w:r>
          </w:p>
        </w:tc>
        <w:tc>
          <w:tcPr>
            <w:tcW w:w="1845" w:type="dxa"/>
            <w:tcBorders>
              <w:top w:val="single" w:color="auto" w:sz="4" w:space="0"/>
              <w:left w:val="single" w:color="auto" w:sz="4" w:space="0"/>
              <w:bottom w:val="single" w:color="auto" w:sz="4" w:space="0"/>
              <w:right w:val="single" w:color="auto" w:sz="4" w:space="0"/>
            </w:tcBorders>
            <w:noWrap w:val="0"/>
            <w:vAlign w:val="center"/>
          </w:tcPr>
          <w:p w14:paraId="25345889">
            <w:pPr>
              <w:pStyle w:val="9"/>
              <w:jc w:val="center"/>
              <w:rPr>
                <w:rFonts w:hint="eastAsia" w:ascii="宋体" w:hAnsi="宋体" w:eastAsia="宋体" w:cs="宋体"/>
                <w:color w:val="auto"/>
                <w:sz w:val="24"/>
                <w:szCs w:val="24"/>
                <w:highlight w:val="none"/>
              </w:rPr>
            </w:pPr>
          </w:p>
        </w:tc>
      </w:tr>
      <w:tr w14:paraId="3C909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2640" w:type="dxa"/>
            <w:tcBorders>
              <w:top w:val="single" w:color="auto" w:sz="4" w:space="0"/>
              <w:left w:val="single" w:color="auto" w:sz="4" w:space="0"/>
              <w:bottom w:val="single" w:color="auto" w:sz="4" w:space="0"/>
              <w:right w:val="single" w:color="auto" w:sz="4" w:space="0"/>
            </w:tcBorders>
            <w:noWrap w:val="0"/>
            <w:vAlign w:val="center"/>
          </w:tcPr>
          <w:p w14:paraId="1216653E">
            <w:pPr>
              <w:pStyle w:val="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经营范围：</w:t>
            </w:r>
          </w:p>
        </w:tc>
        <w:tc>
          <w:tcPr>
            <w:tcW w:w="6635" w:type="dxa"/>
            <w:gridSpan w:val="3"/>
            <w:tcBorders>
              <w:top w:val="single" w:color="auto" w:sz="4" w:space="0"/>
              <w:left w:val="single" w:color="auto" w:sz="4" w:space="0"/>
              <w:bottom w:val="single" w:color="auto" w:sz="4" w:space="0"/>
              <w:right w:val="single" w:color="auto" w:sz="4" w:space="0"/>
            </w:tcBorders>
            <w:noWrap w:val="0"/>
            <w:vAlign w:val="center"/>
          </w:tcPr>
          <w:p w14:paraId="652163E6">
            <w:pPr>
              <w:pStyle w:val="9"/>
              <w:jc w:val="center"/>
              <w:rPr>
                <w:rFonts w:hint="eastAsia" w:ascii="宋体" w:hAnsi="宋体" w:eastAsia="宋体" w:cs="宋体"/>
                <w:color w:val="auto"/>
                <w:sz w:val="24"/>
                <w:szCs w:val="24"/>
                <w:highlight w:val="none"/>
              </w:rPr>
            </w:pPr>
          </w:p>
        </w:tc>
      </w:tr>
      <w:tr w14:paraId="51C38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trPr>
        <w:tc>
          <w:tcPr>
            <w:tcW w:w="2640" w:type="dxa"/>
            <w:tcBorders>
              <w:top w:val="single" w:color="auto" w:sz="4" w:space="0"/>
              <w:left w:val="single" w:color="auto" w:sz="4" w:space="0"/>
              <w:bottom w:val="single" w:color="auto" w:sz="4" w:space="0"/>
              <w:right w:val="single" w:color="auto" w:sz="4" w:space="0"/>
            </w:tcBorders>
            <w:noWrap w:val="0"/>
            <w:vAlign w:val="center"/>
          </w:tcPr>
          <w:p w14:paraId="77C17167">
            <w:pPr>
              <w:pStyle w:val="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公司简介：</w:t>
            </w:r>
          </w:p>
        </w:tc>
        <w:tc>
          <w:tcPr>
            <w:tcW w:w="6635" w:type="dxa"/>
            <w:gridSpan w:val="3"/>
            <w:tcBorders>
              <w:top w:val="single" w:color="auto" w:sz="4" w:space="0"/>
              <w:left w:val="single" w:color="auto" w:sz="4" w:space="0"/>
              <w:bottom w:val="single" w:color="auto" w:sz="4" w:space="0"/>
              <w:right w:val="single" w:color="auto" w:sz="4" w:space="0"/>
            </w:tcBorders>
            <w:noWrap w:val="0"/>
            <w:vAlign w:val="center"/>
          </w:tcPr>
          <w:p w14:paraId="4B2CA084">
            <w:pPr>
              <w:pStyle w:val="9"/>
              <w:jc w:val="center"/>
              <w:rPr>
                <w:rFonts w:hint="eastAsia" w:ascii="宋体" w:hAnsi="宋体" w:eastAsia="宋体" w:cs="宋体"/>
                <w:color w:val="auto"/>
                <w:sz w:val="24"/>
                <w:szCs w:val="24"/>
                <w:highlight w:val="none"/>
              </w:rPr>
            </w:pPr>
          </w:p>
        </w:tc>
      </w:tr>
    </w:tbl>
    <w:p w14:paraId="1B231723">
      <w:pPr>
        <w:pStyle w:val="9"/>
        <w:spacing w:line="480" w:lineRule="auto"/>
        <w:rPr>
          <w:rFonts w:hint="eastAsia" w:ascii="宋体" w:hAnsi="宋体" w:eastAsia="宋体" w:cs="宋体"/>
          <w:color w:val="auto"/>
          <w:sz w:val="24"/>
          <w:szCs w:val="24"/>
          <w:highlight w:val="none"/>
        </w:rPr>
      </w:pPr>
    </w:p>
    <w:p w14:paraId="14EA3217">
      <w:pPr>
        <w:rPr>
          <w:rFonts w:hint="eastAsia" w:ascii="宋体" w:hAnsi="宋体" w:eastAsia="宋体" w:cs="宋体"/>
          <w:color w:val="auto"/>
          <w:highlight w:val="none"/>
        </w:rPr>
      </w:pPr>
    </w:p>
    <w:p w14:paraId="6F5F1CFA">
      <w:pPr>
        <w:spacing w:line="480" w:lineRule="auto"/>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供应商名称（电子签章）：</w:t>
      </w:r>
      <w:r>
        <w:rPr>
          <w:rFonts w:hint="eastAsia" w:ascii="宋体" w:hAnsi="宋体" w:eastAsia="宋体" w:cs="宋体"/>
          <w:color w:val="auto"/>
          <w:sz w:val="24"/>
          <w:highlight w:val="none"/>
          <w:u w:val="single"/>
        </w:rPr>
        <w:t xml:space="preserve">                    </w:t>
      </w:r>
    </w:p>
    <w:p w14:paraId="69658CE5">
      <w:pPr>
        <w:spacing w:line="48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法定代表人或其委托代理人（签</w:t>
      </w:r>
      <w:r>
        <w:rPr>
          <w:rFonts w:hint="eastAsia" w:ascii="宋体" w:hAnsi="宋体" w:eastAsia="宋体" w:cs="宋体"/>
          <w:color w:val="auto"/>
          <w:sz w:val="24"/>
          <w:highlight w:val="none"/>
          <w:lang w:val="en-US" w:eastAsia="zh-CN"/>
        </w:rPr>
        <w:t>字</w:t>
      </w:r>
      <w:r>
        <w:rPr>
          <w:rFonts w:hint="eastAsia" w:ascii="宋体" w:hAnsi="宋体" w:eastAsia="宋体" w:cs="宋体"/>
          <w:color w:val="auto"/>
          <w:sz w:val="24"/>
          <w:highlight w:val="none"/>
        </w:rPr>
        <w:t>或电子签章）：</w:t>
      </w:r>
      <w:r>
        <w:rPr>
          <w:rFonts w:hint="eastAsia" w:ascii="宋体" w:hAnsi="宋体" w:eastAsia="宋体" w:cs="宋体"/>
          <w:color w:val="auto"/>
          <w:sz w:val="24"/>
          <w:highlight w:val="none"/>
          <w:u w:val="single"/>
        </w:rPr>
        <w:t xml:space="preserve">                </w:t>
      </w:r>
    </w:p>
    <w:p w14:paraId="1102712B">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bookmarkStart w:id="829" w:name="_Toc20488"/>
    </w:p>
    <w:p w14:paraId="484108F9">
      <w:pPr>
        <w:spacing w:line="480" w:lineRule="auto"/>
        <w:outlineLvl w:val="2"/>
        <w:rPr>
          <w:rFonts w:hint="eastAsia" w:ascii="宋体" w:hAnsi="宋体" w:eastAsia="宋体" w:cs="宋体"/>
          <w:b/>
          <w:bCs/>
          <w:color w:val="auto"/>
          <w:sz w:val="24"/>
          <w:szCs w:val="32"/>
          <w:highlight w:val="none"/>
        </w:rPr>
      </w:pPr>
      <w:r>
        <w:rPr>
          <w:rFonts w:hint="eastAsia" w:ascii="宋体" w:hAnsi="宋体" w:eastAsia="宋体" w:cs="宋体"/>
          <w:color w:val="auto"/>
          <w:sz w:val="24"/>
          <w:highlight w:val="none"/>
        </w:rPr>
        <w:br w:type="page"/>
      </w:r>
      <w:r>
        <w:rPr>
          <w:rFonts w:hint="eastAsia" w:ascii="宋体" w:hAnsi="宋体" w:eastAsia="宋体" w:cs="宋体"/>
          <w:b/>
          <w:bCs/>
          <w:color w:val="auto"/>
          <w:sz w:val="24"/>
          <w:szCs w:val="32"/>
          <w:highlight w:val="none"/>
        </w:rPr>
        <w:t>格式</w:t>
      </w:r>
      <w:r>
        <w:rPr>
          <w:rFonts w:hint="eastAsia" w:ascii="宋体" w:hAnsi="宋体" w:cs="宋体"/>
          <w:b/>
          <w:bCs/>
          <w:color w:val="auto"/>
          <w:sz w:val="24"/>
          <w:szCs w:val="32"/>
          <w:highlight w:val="none"/>
          <w:lang w:val="en-US" w:eastAsia="zh-CN"/>
        </w:rPr>
        <w:t>7</w:t>
      </w:r>
      <w:r>
        <w:rPr>
          <w:rFonts w:hint="eastAsia" w:ascii="宋体" w:hAnsi="宋体" w:eastAsia="宋体" w:cs="宋体"/>
          <w:b/>
          <w:bCs/>
          <w:color w:val="auto"/>
          <w:sz w:val="24"/>
          <w:szCs w:val="32"/>
          <w:highlight w:val="none"/>
        </w:rPr>
        <w:t>：合同履约承诺书</w:t>
      </w:r>
      <w:bookmarkEnd w:id="829"/>
    </w:p>
    <w:p w14:paraId="7BC59FAB">
      <w:pPr>
        <w:jc w:val="center"/>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合同履约承诺书</w:t>
      </w:r>
    </w:p>
    <w:p w14:paraId="05284F20">
      <w:pPr>
        <w:spacing w:line="360" w:lineRule="auto"/>
        <w:jc w:val="left"/>
        <w:textAlignment w:val="top"/>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剑川县住房和城乡建设局</w:t>
      </w:r>
      <w:r>
        <w:rPr>
          <w:rFonts w:hint="eastAsia" w:ascii="宋体" w:hAnsi="宋体" w:eastAsia="宋体" w:cs="宋体"/>
          <w:color w:val="auto"/>
          <w:sz w:val="24"/>
          <w:highlight w:val="none"/>
          <w:u w:val="single"/>
        </w:rPr>
        <w:t xml:space="preserve"> </w:t>
      </w:r>
    </w:p>
    <w:p w14:paraId="184E922E">
      <w:pPr>
        <w:spacing w:line="360" w:lineRule="auto"/>
        <w:ind w:firstLine="420"/>
        <w:jc w:val="left"/>
        <w:textAlignment w:val="top"/>
        <w:rPr>
          <w:rFonts w:hint="eastAsia" w:ascii="宋体" w:hAnsi="宋体" w:eastAsia="宋体" w:cs="宋体"/>
          <w:color w:val="auto"/>
          <w:sz w:val="24"/>
          <w:highlight w:val="none"/>
        </w:rPr>
      </w:pPr>
      <w:r>
        <w:rPr>
          <w:rFonts w:hint="eastAsia" w:ascii="宋体" w:hAnsi="宋体" w:eastAsia="宋体" w:cs="宋体"/>
          <w:color w:val="auto"/>
          <w:sz w:val="24"/>
          <w:highlight w:val="none"/>
        </w:rPr>
        <w:t>若我公司有幸成为本项目中标供应商，我公司对下列内容进行无条件承诺：</w:t>
      </w:r>
    </w:p>
    <w:p w14:paraId="1FA225CE">
      <w:pPr>
        <w:snapToGrid w:val="0"/>
        <w:spacing w:line="480" w:lineRule="exact"/>
        <w:ind w:firstLine="555"/>
        <w:rPr>
          <w:rFonts w:hint="eastAsia" w:ascii="宋体" w:hAnsi="宋体" w:eastAsia="宋体" w:cs="宋体"/>
          <w:color w:val="auto"/>
          <w:sz w:val="24"/>
          <w:highlight w:val="none"/>
        </w:rPr>
      </w:pPr>
      <w:r>
        <w:rPr>
          <w:rFonts w:hint="eastAsia" w:ascii="宋体" w:hAnsi="宋体" w:eastAsia="宋体" w:cs="宋体"/>
          <w:color w:val="auto"/>
          <w:sz w:val="24"/>
          <w:highlight w:val="none"/>
        </w:rPr>
        <w:t>（一）我单位已详细阅读并完全理解、同意《招标文件》的全部内容，包括修改补充文件以及全部参考资料和有关附件；除在《招标文件》规定期间内书面提出的疑问外，我单位严格按招标文件确定的技术及商务要求等履行。</w:t>
      </w:r>
    </w:p>
    <w:p w14:paraId="7837200C">
      <w:pPr>
        <w:tabs>
          <w:tab w:val="left" w:pos="9354"/>
        </w:tabs>
        <w:snapToGrid w:val="0"/>
        <w:spacing w:line="48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按招标要求编制投标报价；我单位的投标报价包括《招标文件》所述报价组成的所有内容、并包括《招标文件》未列明而与采购项目相关的、必需的所有款项及费用等达到交付使用及验收条件的所有一切风险、责任和义务的费用。</w:t>
      </w:r>
    </w:p>
    <w:p w14:paraId="08BA365B">
      <w:pPr>
        <w:tabs>
          <w:tab w:val="left" w:pos="9354"/>
        </w:tabs>
        <w:snapToGrid w:val="0"/>
        <w:spacing w:line="48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我单位确认本次投标报价未低于成本价，保证按《招标文件》要求及投标承诺的质量诚信履约。</w:t>
      </w:r>
    </w:p>
    <w:p w14:paraId="7154D818">
      <w:pPr>
        <w:tabs>
          <w:tab w:val="left" w:pos="9354"/>
        </w:tabs>
        <w:snapToGrid w:val="0"/>
        <w:spacing w:line="48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我单位保证在《招标文件》要求的时间内按期、保质完成中标项目。如我单位中标，将在中标结果公示后，积极、主动地与招标单位联系合同签订事宜，合同签订中如有任何的问题，我单位保证及时书面反映情况，否则视为我单位责任、按违约处理。</w:t>
      </w:r>
    </w:p>
    <w:p w14:paraId="705E12C9">
      <w:pPr>
        <w:spacing w:line="360" w:lineRule="auto"/>
        <w:ind w:firstLine="422" w:firstLineChars="200"/>
        <w:jc w:val="left"/>
        <w:textAlignment w:val="top"/>
        <w:rPr>
          <w:rFonts w:hint="eastAsia" w:ascii="宋体" w:hAnsi="宋体" w:eastAsia="宋体" w:cs="宋体"/>
          <w:b/>
          <w:color w:val="auto"/>
          <w:highlight w:val="none"/>
        </w:rPr>
      </w:pPr>
    </w:p>
    <w:p w14:paraId="07AA1A08">
      <w:pPr>
        <w:spacing w:line="360" w:lineRule="auto"/>
        <w:ind w:firstLine="422" w:firstLineChars="200"/>
        <w:jc w:val="left"/>
        <w:textAlignment w:val="top"/>
        <w:rPr>
          <w:rFonts w:hint="eastAsia" w:ascii="宋体" w:hAnsi="宋体" w:eastAsia="宋体" w:cs="宋体"/>
          <w:b/>
          <w:color w:val="auto"/>
          <w:highlight w:val="none"/>
        </w:rPr>
      </w:pPr>
    </w:p>
    <w:p w14:paraId="6B4606C2">
      <w:pPr>
        <w:spacing w:line="360" w:lineRule="auto"/>
        <w:ind w:firstLine="420" w:firstLineChars="200"/>
        <w:jc w:val="left"/>
        <w:textAlignment w:val="top"/>
        <w:rPr>
          <w:rFonts w:hint="eastAsia" w:ascii="宋体" w:hAnsi="宋体" w:eastAsia="宋体" w:cs="宋体"/>
          <w:color w:val="auto"/>
          <w:highlight w:val="none"/>
        </w:rPr>
      </w:pPr>
    </w:p>
    <w:p w14:paraId="02FF5DA1">
      <w:pPr>
        <w:spacing w:line="360" w:lineRule="auto"/>
        <w:ind w:firstLine="525"/>
        <w:jc w:val="left"/>
        <w:textAlignment w:val="top"/>
        <w:rPr>
          <w:rFonts w:hint="eastAsia" w:ascii="宋体" w:hAnsi="宋体" w:eastAsia="宋体" w:cs="宋体"/>
          <w:color w:val="auto"/>
          <w:highlight w:val="none"/>
        </w:rPr>
      </w:pPr>
    </w:p>
    <w:p w14:paraId="0BE70FA5">
      <w:pPr>
        <w:spacing w:line="480" w:lineRule="auto"/>
        <w:outlineLvl w:val="9"/>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供应商名称（电子签章）：</w:t>
      </w:r>
      <w:r>
        <w:rPr>
          <w:rFonts w:hint="eastAsia" w:ascii="宋体" w:hAnsi="宋体" w:eastAsia="宋体" w:cs="宋体"/>
          <w:color w:val="auto"/>
          <w:sz w:val="24"/>
          <w:highlight w:val="none"/>
          <w:u w:val="single"/>
        </w:rPr>
        <w:t xml:space="preserve">                    </w:t>
      </w:r>
    </w:p>
    <w:p w14:paraId="081EF185">
      <w:pPr>
        <w:spacing w:line="480" w:lineRule="auto"/>
        <w:outlineLvl w:val="9"/>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法定代表人或其委托代理人（签</w:t>
      </w:r>
      <w:r>
        <w:rPr>
          <w:rFonts w:hint="eastAsia" w:ascii="宋体" w:hAnsi="宋体" w:eastAsia="宋体" w:cs="宋体"/>
          <w:color w:val="auto"/>
          <w:sz w:val="24"/>
          <w:highlight w:val="none"/>
          <w:lang w:val="en-US" w:eastAsia="zh-CN"/>
        </w:rPr>
        <w:t>字</w:t>
      </w:r>
      <w:r>
        <w:rPr>
          <w:rFonts w:hint="eastAsia" w:ascii="宋体" w:hAnsi="宋体" w:eastAsia="宋体" w:cs="宋体"/>
          <w:color w:val="auto"/>
          <w:sz w:val="24"/>
          <w:highlight w:val="none"/>
        </w:rPr>
        <w:t>或电子签章）：</w:t>
      </w:r>
      <w:r>
        <w:rPr>
          <w:rFonts w:hint="eastAsia" w:ascii="宋体" w:hAnsi="宋体" w:eastAsia="宋体" w:cs="宋体"/>
          <w:color w:val="auto"/>
          <w:sz w:val="24"/>
          <w:highlight w:val="none"/>
          <w:u w:val="single"/>
        </w:rPr>
        <w:t xml:space="preserve">                </w:t>
      </w:r>
    </w:p>
    <w:p w14:paraId="5A05A81E">
      <w:pPr>
        <w:spacing w:line="480" w:lineRule="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bookmarkStart w:id="830" w:name="_Toc15757"/>
    </w:p>
    <w:p w14:paraId="32CDD935">
      <w:pPr>
        <w:spacing w:line="480" w:lineRule="auto"/>
        <w:outlineLvl w:val="2"/>
        <w:rPr>
          <w:rFonts w:hint="eastAsia" w:ascii="宋体" w:hAnsi="宋体" w:eastAsia="宋体" w:cs="宋体"/>
          <w:b/>
          <w:bCs/>
          <w:color w:val="auto"/>
          <w:sz w:val="24"/>
          <w:szCs w:val="32"/>
          <w:highlight w:val="none"/>
        </w:rPr>
      </w:pPr>
      <w:r>
        <w:rPr>
          <w:rFonts w:hint="eastAsia" w:ascii="宋体" w:hAnsi="宋体" w:eastAsia="宋体" w:cs="宋体"/>
          <w:color w:val="auto"/>
          <w:sz w:val="24"/>
          <w:highlight w:val="none"/>
        </w:rPr>
        <w:br w:type="page"/>
      </w:r>
      <w:r>
        <w:rPr>
          <w:rFonts w:hint="eastAsia" w:ascii="宋体" w:hAnsi="宋体" w:eastAsia="宋体" w:cs="宋体"/>
          <w:b/>
          <w:bCs/>
          <w:color w:val="auto"/>
          <w:sz w:val="24"/>
          <w:szCs w:val="32"/>
          <w:highlight w:val="none"/>
        </w:rPr>
        <w:t>格式</w:t>
      </w:r>
      <w:r>
        <w:rPr>
          <w:rFonts w:hint="eastAsia" w:ascii="宋体" w:hAnsi="宋体" w:cs="宋体"/>
          <w:b/>
          <w:bCs/>
          <w:color w:val="auto"/>
          <w:sz w:val="24"/>
          <w:szCs w:val="32"/>
          <w:highlight w:val="none"/>
          <w:lang w:val="en-US" w:eastAsia="zh-CN"/>
        </w:rPr>
        <w:t>8</w:t>
      </w:r>
      <w:r>
        <w:rPr>
          <w:rFonts w:hint="eastAsia" w:ascii="宋体" w:hAnsi="宋体" w:eastAsia="宋体" w:cs="宋体"/>
          <w:b/>
          <w:bCs/>
          <w:color w:val="auto"/>
          <w:sz w:val="24"/>
          <w:szCs w:val="32"/>
          <w:highlight w:val="none"/>
        </w:rPr>
        <w:t>：</w:t>
      </w:r>
      <w:bookmarkEnd w:id="830"/>
      <w:bookmarkStart w:id="831" w:name="_Toc29296"/>
      <w:r>
        <w:rPr>
          <w:rFonts w:hint="eastAsia" w:ascii="宋体" w:hAnsi="宋体" w:eastAsia="宋体" w:cs="宋体"/>
          <w:b/>
          <w:bCs/>
          <w:color w:val="auto"/>
          <w:sz w:val="24"/>
          <w:szCs w:val="32"/>
          <w:highlight w:val="none"/>
        </w:rPr>
        <w:t>企业优惠政策</w:t>
      </w:r>
      <w:bookmarkEnd w:id="831"/>
    </w:p>
    <w:p w14:paraId="3C8DEE57">
      <w:pPr>
        <w:jc w:val="center"/>
        <w:outlineLvl w:val="2"/>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一：企业优惠政策</w:t>
      </w:r>
    </w:p>
    <w:p w14:paraId="4B279D93">
      <w:pPr>
        <w:spacing w:line="360" w:lineRule="auto"/>
        <w:jc w:val="center"/>
        <w:outlineLvl w:val="3"/>
        <w:rPr>
          <w:rFonts w:hint="eastAsia" w:ascii="宋体" w:hAnsi="宋体" w:eastAsia="宋体" w:cs="宋体"/>
          <w:b/>
          <w:bCs/>
          <w:color w:val="auto"/>
          <w:spacing w:val="8"/>
          <w:sz w:val="36"/>
          <w:szCs w:val="36"/>
          <w:highlight w:val="none"/>
        </w:rPr>
      </w:pPr>
      <w:r>
        <w:rPr>
          <w:rFonts w:hint="eastAsia" w:ascii="宋体" w:hAnsi="宋体" w:eastAsia="宋体" w:cs="宋体"/>
          <w:b/>
          <w:color w:val="auto"/>
          <w:sz w:val="28"/>
          <w:szCs w:val="28"/>
          <w:highlight w:val="none"/>
        </w:rPr>
        <w:t>（一）</w:t>
      </w:r>
      <w:r>
        <w:rPr>
          <w:rFonts w:hint="eastAsia" w:ascii="宋体" w:hAnsi="宋体" w:eastAsia="宋体" w:cs="宋体"/>
          <w:b/>
          <w:bCs/>
          <w:color w:val="auto"/>
          <w:spacing w:val="8"/>
          <w:sz w:val="36"/>
          <w:szCs w:val="36"/>
          <w:highlight w:val="none"/>
        </w:rPr>
        <w:t>中小企业声明函(服务)</w:t>
      </w:r>
    </w:p>
    <w:p w14:paraId="71223C31">
      <w:pPr>
        <w:keepNext w:val="0"/>
        <w:keepLines w:val="0"/>
        <w:pageBreakBefore w:val="0"/>
        <w:widowControl/>
        <w:shd w:val="clear" w:color="auto" w:fill="auto"/>
        <w:tabs>
          <w:tab w:val="left" w:pos="193"/>
        </w:tabs>
        <w:kinsoku w:val="0"/>
        <w:wordWrap/>
        <w:overflowPunct/>
        <w:topLinePunct w:val="0"/>
        <w:autoSpaceDE w:val="0"/>
        <w:autoSpaceDN w:val="0"/>
        <w:bidi w:val="0"/>
        <w:adjustRightInd w:val="0"/>
        <w:snapToGrid w:val="0"/>
        <w:spacing w:line="360" w:lineRule="auto"/>
        <w:ind w:firstLine="576"/>
        <w:textAlignment w:val="baseline"/>
        <w:rPr>
          <w:rFonts w:hint="eastAsia" w:ascii="宋体" w:hAnsi="宋体" w:eastAsia="宋体" w:cs="宋体"/>
          <w:i w:val="0"/>
          <w:iCs w:val="0"/>
          <w:color w:val="auto"/>
          <w:spacing w:val="21"/>
          <w:sz w:val="24"/>
          <w:szCs w:val="24"/>
          <w:highlight w:val="none"/>
        </w:rPr>
      </w:pPr>
      <w:r>
        <w:rPr>
          <w:rFonts w:hint="eastAsia" w:ascii="宋体" w:hAnsi="宋体" w:eastAsia="宋体" w:cs="宋体"/>
          <w:i w:val="0"/>
          <w:iCs w:val="0"/>
          <w:color w:val="auto"/>
          <w:spacing w:val="21"/>
          <w:sz w:val="24"/>
          <w:szCs w:val="24"/>
          <w:highlight w:val="none"/>
        </w:rPr>
        <w:t>本公司</w:t>
      </w:r>
      <w:r>
        <w:rPr>
          <w:rFonts w:hint="eastAsia" w:ascii="宋体" w:hAnsi="宋体" w:eastAsia="宋体" w:cs="宋体"/>
          <w:i w:val="0"/>
          <w:iCs w:val="0"/>
          <w:color w:val="auto"/>
          <w:spacing w:val="21"/>
          <w:sz w:val="24"/>
          <w:szCs w:val="24"/>
          <w:highlight w:val="none"/>
          <w:u w:val="single"/>
          <w:lang w:val="en-US" w:eastAsia="zh-CN"/>
        </w:rPr>
        <w:t xml:space="preserve">          </w:t>
      </w:r>
      <w:r>
        <w:rPr>
          <w:rFonts w:hint="eastAsia" w:ascii="宋体" w:hAnsi="宋体" w:eastAsia="宋体" w:cs="宋体"/>
          <w:i w:val="0"/>
          <w:iCs w:val="0"/>
          <w:color w:val="auto"/>
          <w:spacing w:val="21"/>
          <w:sz w:val="24"/>
          <w:szCs w:val="24"/>
          <w:highlight w:val="none"/>
        </w:rPr>
        <w:t>郑重声明，根据《政府采购促进中小企业发展管理办法》(财库(2020)46号)的规定，本公司参加</w:t>
      </w:r>
      <w:r>
        <w:rPr>
          <w:rFonts w:hint="eastAsia" w:ascii="宋体" w:hAnsi="宋体" w:eastAsia="宋体" w:cs="宋体"/>
          <w:i w:val="0"/>
          <w:iCs w:val="0"/>
          <w:color w:val="auto"/>
          <w:spacing w:val="21"/>
          <w:sz w:val="24"/>
          <w:szCs w:val="24"/>
          <w:highlight w:val="none"/>
          <w:u w:val="single"/>
        </w:rPr>
        <w:t>(</w:t>
      </w:r>
      <w:r>
        <w:rPr>
          <w:rFonts w:hint="eastAsia" w:ascii="宋体" w:hAnsi="宋体" w:eastAsia="宋体" w:cs="宋体"/>
          <w:i w:val="0"/>
          <w:iCs w:val="0"/>
          <w:color w:val="auto"/>
          <w:spacing w:val="21"/>
          <w:sz w:val="24"/>
          <w:szCs w:val="24"/>
          <w:highlight w:val="none"/>
          <w:u w:val="single"/>
          <w:lang w:val="en-US" w:eastAsia="zh-CN"/>
        </w:rPr>
        <w:t>采购</w:t>
      </w:r>
      <w:r>
        <w:rPr>
          <w:rFonts w:hint="eastAsia" w:ascii="宋体" w:hAnsi="宋体" w:eastAsia="宋体" w:cs="宋体"/>
          <w:i w:val="0"/>
          <w:iCs w:val="0"/>
          <w:color w:val="auto"/>
          <w:spacing w:val="21"/>
          <w:sz w:val="24"/>
          <w:szCs w:val="24"/>
          <w:highlight w:val="none"/>
          <w:u w:val="single"/>
        </w:rPr>
        <w:t>单位名称)</w:t>
      </w:r>
      <w:r>
        <w:rPr>
          <w:rFonts w:hint="eastAsia" w:ascii="宋体" w:hAnsi="宋体" w:eastAsia="宋体" w:cs="宋体"/>
          <w:i w:val="0"/>
          <w:iCs w:val="0"/>
          <w:color w:val="auto"/>
          <w:spacing w:val="21"/>
          <w:sz w:val="24"/>
          <w:szCs w:val="24"/>
          <w:highlight w:val="none"/>
        </w:rPr>
        <w:t>的</w:t>
      </w:r>
      <w:r>
        <w:rPr>
          <w:rFonts w:hint="eastAsia" w:ascii="宋体" w:hAnsi="宋体" w:eastAsia="宋体" w:cs="宋体"/>
          <w:i w:val="0"/>
          <w:iCs w:val="0"/>
          <w:color w:val="auto"/>
          <w:spacing w:val="21"/>
          <w:sz w:val="24"/>
          <w:szCs w:val="24"/>
          <w:highlight w:val="none"/>
          <w:u w:val="single"/>
        </w:rPr>
        <w:t>(项目名称)</w:t>
      </w:r>
      <w:r>
        <w:rPr>
          <w:rFonts w:hint="eastAsia" w:ascii="宋体" w:hAnsi="宋体" w:eastAsia="宋体" w:cs="宋体"/>
          <w:i w:val="0"/>
          <w:iCs w:val="0"/>
          <w:color w:val="auto"/>
          <w:spacing w:val="21"/>
          <w:sz w:val="24"/>
          <w:szCs w:val="24"/>
          <w:highlight w:val="none"/>
        </w:rPr>
        <w:t>采购活动，</w:t>
      </w:r>
      <w:r>
        <w:rPr>
          <w:rFonts w:hint="eastAsia" w:ascii="宋体" w:hAnsi="宋体" w:eastAsia="宋体" w:cs="宋体"/>
          <w:i w:val="0"/>
          <w:iCs w:val="0"/>
          <w:color w:val="auto"/>
          <w:spacing w:val="21"/>
          <w:sz w:val="24"/>
          <w:szCs w:val="24"/>
          <w:highlight w:val="none"/>
          <w:lang w:val="en-US" w:eastAsia="zh-CN"/>
        </w:rPr>
        <w:t>提供的</w:t>
      </w:r>
      <w:r>
        <w:rPr>
          <w:rFonts w:hint="eastAsia" w:ascii="宋体" w:hAnsi="宋体" w:eastAsia="宋体" w:cs="宋体"/>
          <w:i w:val="0"/>
          <w:iCs w:val="0"/>
          <w:color w:val="auto"/>
          <w:spacing w:val="21"/>
          <w:sz w:val="24"/>
          <w:szCs w:val="24"/>
          <w:highlight w:val="none"/>
        </w:rPr>
        <w:t>服务全部由符合政策要求的中小企业承接。相关企业(含联合体中的中小企业、签订分包意向协议的中小企业)的具体情况如下:</w:t>
      </w:r>
    </w:p>
    <w:p w14:paraId="38BD67DB">
      <w:pPr>
        <w:keepNext w:val="0"/>
        <w:keepLines w:val="0"/>
        <w:pageBreakBefore w:val="0"/>
        <w:widowControl/>
        <w:shd w:val="clear" w:color="auto" w:fill="auto"/>
        <w:tabs>
          <w:tab w:val="left" w:pos="193"/>
        </w:tabs>
        <w:kinsoku w:val="0"/>
        <w:wordWrap/>
        <w:overflowPunct/>
        <w:topLinePunct w:val="0"/>
        <w:autoSpaceDE w:val="0"/>
        <w:autoSpaceDN w:val="0"/>
        <w:bidi w:val="0"/>
        <w:adjustRightInd w:val="0"/>
        <w:snapToGrid w:val="0"/>
        <w:spacing w:line="360" w:lineRule="auto"/>
        <w:ind w:firstLine="576"/>
        <w:textAlignment w:val="baseline"/>
        <w:rPr>
          <w:rFonts w:hint="eastAsia" w:ascii="宋体" w:hAnsi="宋体" w:eastAsia="宋体" w:cs="宋体"/>
          <w:i w:val="0"/>
          <w:iCs w:val="0"/>
          <w:color w:val="auto"/>
          <w:spacing w:val="-3"/>
          <w:sz w:val="24"/>
          <w:szCs w:val="24"/>
          <w:highlight w:val="none"/>
        </w:rPr>
      </w:pPr>
      <w:r>
        <w:rPr>
          <w:rFonts w:hint="eastAsia" w:ascii="宋体" w:hAnsi="宋体" w:eastAsia="宋体" w:cs="宋体"/>
          <w:i w:val="0"/>
          <w:iCs w:val="0"/>
          <w:color w:val="auto"/>
          <w:spacing w:val="1"/>
          <w:sz w:val="24"/>
          <w:szCs w:val="24"/>
          <w:highlight w:val="none"/>
        </w:rPr>
        <w:t>1.</w:t>
      </w:r>
      <w:r>
        <w:rPr>
          <w:rFonts w:hint="eastAsia" w:ascii="宋体" w:hAnsi="宋体" w:eastAsia="宋体" w:cs="宋体"/>
          <w:i w:val="0"/>
          <w:iCs w:val="0"/>
          <w:color w:val="auto"/>
          <w:spacing w:val="1"/>
          <w:sz w:val="24"/>
          <w:szCs w:val="24"/>
          <w:highlight w:val="none"/>
          <w:u w:val="single"/>
        </w:rPr>
        <w:t xml:space="preserve"> (标的名称) </w:t>
      </w:r>
      <w:r>
        <w:rPr>
          <w:rFonts w:hint="eastAsia" w:ascii="宋体" w:hAnsi="宋体" w:eastAsia="宋体" w:cs="宋体"/>
          <w:i w:val="0"/>
          <w:iCs w:val="0"/>
          <w:color w:val="auto"/>
          <w:spacing w:val="1"/>
          <w:sz w:val="24"/>
          <w:szCs w:val="24"/>
          <w:highlight w:val="none"/>
        </w:rPr>
        <w:t>，属于</w:t>
      </w:r>
      <w:r>
        <w:rPr>
          <w:rFonts w:hint="eastAsia" w:ascii="宋体" w:hAnsi="宋体" w:eastAsia="宋体" w:cs="宋体"/>
          <w:i w:val="0"/>
          <w:iCs w:val="0"/>
          <w:color w:val="auto"/>
          <w:spacing w:val="1"/>
          <w:sz w:val="24"/>
          <w:szCs w:val="24"/>
          <w:highlight w:val="none"/>
          <w:u w:val="single"/>
        </w:rPr>
        <w:t xml:space="preserve"> </w:t>
      </w:r>
      <w:r>
        <w:rPr>
          <w:rFonts w:hint="eastAsia" w:ascii="宋体" w:hAnsi="宋体" w:cs="宋体"/>
          <w:b/>
          <w:bCs/>
          <w:sz w:val="24"/>
          <w:szCs w:val="24"/>
          <w:u w:val="single"/>
        </w:rPr>
        <w:t>其他未列明行业</w:t>
      </w:r>
      <w:r>
        <w:rPr>
          <w:rFonts w:hint="eastAsia" w:ascii="宋体" w:hAnsi="宋体" w:eastAsia="宋体" w:cs="宋体"/>
          <w:i w:val="0"/>
          <w:iCs w:val="0"/>
          <w:color w:val="auto"/>
          <w:spacing w:val="8"/>
          <w:sz w:val="24"/>
          <w:szCs w:val="24"/>
          <w:highlight w:val="none"/>
        </w:rPr>
        <w:t>；承接为</w:t>
      </w:r>
      <w:r>
        <w:rPr>
          <w:rFonts w:hint="eastAsia" w:ascii="宋体" w:hAnsi="宋体" w:eastAsia="宋体" w:cs="宋体"/>
          <w:i w:val="0"/>
          <w:iCs w:val="0"/>
          <w:color w:val="auto"/>
          <w:spacing w:val="8"/>
          <w:sz w:val="24"/>
          <w:szCs w:val="24"/>
          <w:highlight w:val="none"/>
          <w:u w:val="single"/>
        </w:rPr>
        <w:t xml:space="preserve"> (企业名称</w:t>
      </w:r>
      <w:r>
        <w:rPr>
          <w:rFonts w:hint="eastAsia" w:ascii="宋体" w:hAnsi="宋体" w:eastAsia="宋体" w:cs="宋体"/>
          <w:i w:val="0"/>
          <w:iCs w:val="0"/>
          <w:color w:val="auto"/>
          <w:spacing w:val="8"/>
          <w:sz w:val="24"/>
          <w:szCs w:val="24"/>
          <w:highlight w:val="none"/>
        </w:rPr>
        <w:t>)，从业人员</w:t>
      </w:r>
      <w:r>
        <w:rPr>
          <w:rFonts w:hint="eastAsia" w:ascii="宋体" w:hAnsi="宋体" w:eastAsia="宋体" w:cs="宋体"/>
          <w:i w:val="0"/>
          <w:iCs w:val="0"/>
          <w:color w:val="auto"/>
          <w:spacing w:val="8"/>
          <w:sz w:val="24"/>
          <w:szCs w:val="24"/>
          <w:highlight w:val="none"/>
          <w:u w:val="single"/>
        </w:rPr>
        <w:t xml:space="preserve">     </w:t>
      </w:r>
      <w:r>
        <w:rPr>
          <w:rFonts w:hint="eastAsia" w:ascii="宋体" w:hAnsi="宋体" w:eastAsia="宋体" w:cs="宋体"/>
          <w:i w:val="0"/>
          <w:iCs w:val="0"/>
          <w:color w:val="auto"/>
          <w:spacing w:val="8"/>
          <w:sz w:val="24"/>
          <w:szCs w:val="24"/>
          <w:highlight w:val="none"/>
        </w:rPr>
        <w:t>人，营业收</w:t>
      </w:r>
      <w:r>
        <w:rPr>
          <w:rFonts w:hint="eastAsia" w:ascii="宋体" w:hAnsi="宋体" w:eastAsia="宋体" w:cs="宋体"/>
          <w:i w:val="0"/>
          <w:iCs w:val="0"/>
          <w:color w:val="auto"/>
          <w:spacing w:val="1"/>
          <w:sz w:val="24"/>
          <w:szCs w:val="24"/>
          <w:highlight w:val="none"/>
        </w:rPr>
        <w:t>入为</w:t>
      </w:r>
      <w:r>
        <w:rPr>
          <w:rFonts w:hint="eastAsia" w:ascii="宋体" w:hAnsi="宋体" w:eastAsia="宋体" w:cs="宋体"/>
          <w:i w:val="0"/>
          <w:iCs w:val="0"/>
          <w:color w:val="auto"/>
          <w:spacing w:val="1"/>
          <w:sz w:val="24"/>
          <w:szCs w:val="24"/>
          <w:highlight w:val="none"/>
          <w:u w:val="single"/>
        </w:rPr>
        <w:t xml:space="preserve">    </w:t>
      </w:r>
      <w:r>
        <w:rPr>
          <w:rFonts w:hint="eastAsia" w:ascii="宋体" w:hAnsi="宋体" w:eastAsia="宋体" w:cs="宋体"/>
          <w:i w:val="0"/>
          <w:iCs w:val="0"/>
          <w:color w:val="auto"/>
          <w:spacing w:val="1"/>
          <w:sz w:val="24"/>
          <w:szCs w:val="24"/>
          <w:highlight w:val="none"/>
        </w:rPr>
        <w:t>万元，资产总</w:t>
      </w:r>
      <w:r>
        <w:rPr>
          <w:rFonts w:hint="eastAsia" w:ascii="宋体" w:hAnsi="宋体" w:eastAsia="宋体" w:cs="宋体"/>
          <w:i w:val="0"/>
          <w:iCs w:val="0"/>
          <w:color w:val="auto"/>
          <w:sz w:val="24"/>
          <w:szCs w:val="24"/>
          <w:highlight w:val="none"/>
        </w:rPr>
        <w:t>额为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万元</w:t>
      </w:r>
      <w:r>
        <w:rPr>
          <w:rFonts w:hint="eastAsia" w:ascii="宋体" w:hAnsi="宋体" w:eastAsia="宋体" w:cs="宋体"/>
          <w:i w:val="0"/>
          <w:iCs w:val="0"/>
          <w:color w:val="auto"/>
          <w:position w:val="16"/>
          <w:sz w:val="24"/>
          <w:szCs w:val="24"/>
          <w:highlight w:val="none"/>
        </w:rPr>
        <w:t xml:space="preserve"> </w:t>
      </w:r>
      <w:r>
        <w:rPr>
          <w:rFonts w:hint="eastAsia" w:ascii="宋体" w:hAnsi="宋体" w:eastAsia="宋体" w:cs="宋体"/>
          <w:i w:val="0"/>
          <w:iCs w:val="0"/>
          <w:color w:val="auto"/>
          <w:sz w:val="24"/>
          <w:szCs w:val="24"/>
          <w:highlight w:val="none"/>
        </w:rPr>
        <w:t>，属于</w:t>
      </w:r>
      <w:r>
        <w:rPr>
          <w:rFonts w:hint="eastAsia" w:ascii="宋体" w:hAnsi="宋体" w:eastAsia="宋体" w:cs="宋体"/>
          <w:i w:val="0"/>
          <w:iCs w:val="0"/>
          <w:color w:val="auto"/>
          <w:sz w:val="24"/>
          <w:szCs w:val="24"/>
          <w:highlight w:val="none"/>
          <w:u w:val="single"/>
        </w:rPr>
        <w:t xml:space="preserve"> (中型企业、小</w:t>
      </w:r>
      <w:r>
        <w:rPr>
          <w:rFonts w:hint="eastAsia" w:ascii="宋体" w:hAnsi="宋体" w:eastAsia="宋体" w:cs="宋体"/>
          <w:i w:val="0"/>
          <w:iCs w:val="0"/>
          <w:color w:val="auto"/>
          <w:spacing w:val="-6"/>
          <w:sz w:val="24"/>
          <w:szCs w:val="24"/>
          <w:highlight w:val="none"/>
          <w:u w:val="single"/>
        </w:rPr>
        <w:t>型企</w:t>
      </w:r>
      <w:r>
        <w:rPr>
          <w:rFonts w:hint="eastAsia" w:ascii="宋体" w:hAnsi="宋体" w:eastAsia="宋体" w:cs="宋体"/>
          <w:i w:val="0"/>
          <w:iCs w:val="0"/>
          <w:color w:val="auto"/>
          <w:spacing w:val="-5"/>
          <w:sz w:val="24"/>
          <w:szCs w:val="24"/>
          <w:highlight w:val="none"/>
          <w:u w:val="single"/>
        </w:rPr>
        <w:t>业</w:t>
      </w:r>
      <w:r>
        <w:rPr>
          <w:rFonts w:hint="eastAsia" w:ascii="宋体" w:hAnsi="宋体" w:eastAsia="宋体" w:cs="宋体"/>
          <w:i w:val="0"/>
          <w:iCs w:val="0"/>
          <w:color w:val="auto"/>
          <w:spacing w:val="-3"/>
          <w:sz w:val="24"/>
          <w:szCs w:val="24"/>
          <w:highlight w:val="none"/>
          <w:u w:val="single"/>
        </w:rPr>
        <w:t>、微型企业</w:t>
      </w:r>
      <w:r>
        <w:rPr>
          <w:rFonts w:hint="eastAsia" w:ascii="宋体" w:hAnsi="宋体" w:eastAsia="宋体" w:cs="宋体"/>
          <w:i w:val="0"/>
          <w:iCs w:val="0"/>
          <w:color w:val="auto"/>
          <w:spacing w:val="-3"/>
          <w:sz w:val="24"/>
          <w:szCs w:val="24"/>
          <w:highlight w:val="none"/>
        </w:rPr>
        <w:t>)；</w:t>
      </w:r>
    </w:p>
    <w:p w14:paraId="37C935E1">
      <w:pPr>
        <w:keepNext w:val="0"/>
        <w:keepLines w:val="0"/>
        <w:pageBreakBefore w:val="0"/>
        <w:widowControl/>
        <w:shd w:val="clear" w:color="auto" w:fill="auto"/>
        <w:tabs>
          <w:tab w:val="left" w:pos="193"/>
        </w:tabs>
        <w:kinsoku w:val="0"/>
        <w:wordWrap/>
        <w:overflowPunct/>
        <w:topLinePunct w:val="0"/>
        <w:autoSpaceDE w:val="0"/>
        <w:autoSpaceDN w:val="0"/>
        <w:bidi w:val="0"/>
        <w:adjustRightInd w:val="0"/>
        <w:snapToGrid w:val="0"/>
        <w:spacing w:line="360" w:lineRule="auto"/>
        <w:ind w:firstLine="576"/>
        <w:textAlignment w:val="baseline"/>
        <w:rPr>
          <w:rFonts w:hint="eastAsia" w:ascii="宋体" w:hAnsi="宋体" w:eastAsia="宋体" w:cs="宋体"/>
          <w:i w:val="0"/>
          <w:iCs w:val="0"/>
          <w:color w:val="auto"/>
          <w:spacing w:val="21"/>
          <w:sz w:val="24"/>
          <w:szCs w:val="24"/>
          <w:highlight w:val="none"/>
        </w:rPr>
      </w:pPr>
      <w:r>
        <w:rPr>
          <w:rFonts w:hint="eastAsia" w:ascii="宋体" w:hAnsi="宋体" w:eastAsia="宋体" w:cs="宋体"/>
          <w:i w:val="0"/>
          <w:iCs w:val="0"/>
          <w:color w:val="auto"/>
          <w:spacing w:val="1"/>
          <w:sz w:val="24"/>
          <w:szCs w:val="24"/>
          <w:highlight w:val="none"/>
          <w:lang w:val="en-US" w:eastAsia="zh-CN"/>
        </w:rPr>
        <w:t>2</w:t>
      </w:r>
      <w:r>
        <w:rPr>
          <w:rFonts w:hint="eastAsia" w:ascii="宋体" w:hAnsi="宋体" w:eastAsia="宋体" w:cs="宋体"/>
          <w:i w:val="0"/>
          <w:iCs w:val="0"/>
          <w:color w:val="auto"/>
          <w:spacing w:val="1"/>
          <w:sz w:val="24"/>
          <w:szCs w:val="24"/>
          <w:highlight w:val="none"/>
        </w:rPr>
        <w:t>.</w:t>
      </w:r>
      <w:r>
        <w:rPr>
          <w:rFonts w:hint="eastAsia" w:ascii="宋体" w:hAnsi="宋体" w:eastAsia="宋体" w:cs="宋体"/>
          <w:i w:val="0"/>
          <w:iCs w:val="0"/>
          <w:color w:val="auto"/>
          <w:spacing w:val="1"/>
          <w:sz w:val="24"/>
          <w:szCs w:val="24"/>
          <w:highlight w:val="none"/>
          <w:u w:val="single"/>
        </w:rPr>
        <w:t xml:space="preserve"> (标的名称) </w:t>
      </w:r>
      <w:r>
        <w:rPr>
          <w:rFonts w:hint="eastAsia" w:ascii="宋体" w:hAnsi="宋体" w:eastAsia="宋体" w:cs="宋体"/>
          <w:i w:val="0"/>
          <w:iCs w:val="0"/>
          <w:color w:val="auto"/>
          <w:spacing w:val="1"/>
          <w:sz w:val="24"/>
          <w:szCs w:val="24"/>
          <w:highlight w:val="none"/>
        </w:rPr>
        <w:t>，属于</w:t>
      </w:r>
      <w:r>
        <w:rPr>
          <w:rFonts w:hint="eastAsia" w:ascii="宋体" w:hAnsi="宋体" w:eastAsia="宋体" w:cs="宋体"/>
          <w:i w:val="0"/>
          <w:iCs w:val="0"/>
          <w:color w:val="auto"/>
          <w:spacing w:val="1"/>
          <w:sz w:val="24"/>
          <w:szCs w:val="24"/>
          <w:highlight w:val="none"/>
          <w:u w:val="single"/>
        </w:rPr>
        <w:t xml:space="preserve"> </w:t>
      </w:r>
      <w:r>
        <w:rPr>
          <w:rFonts w:hint="eastAsia" w:ascii="宋体" w:hAnsi="宋体" w:cs="宋体"/>
          <w:b/>
          <w:bCs/>
          <w:sz w:val="24"/>
          <w:szCs w:val="24"/>
          <w:u w:val="single"/>
        </w:rPr>
        <w:t>其他未列明行业</w:t>
      </w:r>
      <w:r>
        <w:rPr>
          <w:rFonts w:hint="eastAsia" w:ascii="宋体" w:hAnsi="宋体" w:eastAsia="宋体" w:cs="宋体"/>
          <w:i w:val="0"/>
          <w:iCs w:val="0"/>
          <w:color w:val="auto"/>
          <w:spacing w:val="8"/>
          <w:sz w:val="24"/>
          <w:szCs w:val="24"/>
          <w:highlight w:val="none"/>
        </w:rPr>
        <w:t>；承接为</w:t>
      </w:r>
      <w:r>
        <w:rPr>
          <w:rFonts w:hint="eastAsia" w:ascii="宋体" w:hAnsi="宋体" w:eastAsia="宋体" w:cs="宋体"/>
          <w:i w:val="0"/>
          <w:iCs w:val="0"/>
          <w:color w:val="auto"/>
          <w:spacing w:val="8"/>
          <w:sz w:val="24"/>
          <w:szCs w:val="24"/>
          <w:highlight w:val="none"/>
          <w:u w:val="single"/>
        </w:rPr>
        <w:t xml:space="preserve"> (企业名称</w:t>
      </w:r>
      <w:r>
        <w:rPr>
          <w:rFonts w:hint="eastAsia" w:ascii="宋体" w:hAnsi="宋体" w:eastAsia="宋体" w:cs="宋体"/>
          <w:i w:val="0"/>
          <w:iCs w:val="0"/>
          <w:color w:val="auto"/>
          <w:spacing w:val="8"/>
          <w:sz w:val="24"/>
          <w:szCs w:val="24"/>
          <w:highlight w:val="none"/>
        </w:rPr>
        <w:t>)，从业人员</w:t>
      </w:r>
      <w:r>
        <w:rPr>
          <w:rFonts w:hint="eastAsia" w:ascii="宋体" w:hAnsi="宋体" w:eastAsia="宋体" w:cs="宋体"/>
          <w:i w:val="0"/>
          <w:iCs w:val="0"/>
          <w:color w:val="auto"/>
          <w:spacing w:val="8"/>
          <w:sz w:val="24"/>
          <w:szCs w:val="24"/>
          <w:highlight w:val="none"/>
          <w:u w:val="single"/>
        </w:rPr>
        <w:t xml:space="preserve">     </w:t>
      </w:r>
      <w:r>
        <w:rPr>
          <w:rFonts w:hint="eastAsia" w:ascii="宋体" w:hAnsi="宋体" w:eastAsia="宋体" w:cs="宋体"/>
          <w:i w:val="0"/>
          <w:iCs w:val="0"/>
          <w:color w:val="auto"/>
          <w:spacing w:val="8"/>
          <w:sz w:val="24"/>
          <w:szCs w:val="24"/>
          <w:highlight w:val="none"/>
        </w:rPr>
        <w:t>人，营业收</w:t>
      </w:r>
      <w:r>
        <w:rPr>
          <w:rFonts w:hint="eastAsia" w:ascii="宋体" w:hAnsi="宋体" w:eastAsia="宋体" w:cs="宋体"/>
          <w:i w:val="0"/>
          <w:iCs w:val="0"/>
          <w:color w:val="auto"/>
          <w:spacing w:val="1"/>
          <w:sz w:val="24"/>
          <w:szCs w:val="24"/>
          <w:highlight w:val="none"/>
        </w:rPr>
        <w:t>入为</w:t>
      </w:r>
      <w:r>
        <w:rPr>
          <w:rFonts w:hint="eastAsia" w:ascii="宋体" w:hAnsi="宋体" w:eastAsia="宋体" w:cs="宋体"/>
          <w:i w:val="0"/>
          <w:iCs w:val="0"/>
          <w:color w:val="auto"/>
          <w:spacing w:val="1"/>
          <w:sz w:val="24"/>
          <w:szCs w:val="24"/>
          <w:highlight w:val="none"/>
          <w:u w:val="single"/>
        </w:rPr>
        <w:t xml:space="preserve">    </w:t>
      </w:r>
      <w:r>
        <w:rPr>
          <w:rFonts w:hint="eastAsia" w:ascii="宋体" w:hAnsi="宋体" w:eastAsia="宋体" w:cs="宋体"/>
          <w:i w:val="0"/>
          <w:iCs w:val="0"/>
          <w:color w:val="auto"/>
          <w:spacing w:val="1"/>
          <w:sz w:val="24"/>
          <w:szCs w:val="24"/>
          <w:highlight w:val="none"/>
        </w:rPr>
        <w:t>万元，资产总</w:t>
      </w:r>
      <w:r>
        <w:rPr>
          <w:rFonts w:hint="eastAsia" w:ascii="宋体" w:hAnsi="宋体" w:eastAsia="宋体" w:cs="宋体"/>
          <w:i w:val="0"/>
          <w:iCs w:val="0"/>
          <w:color w:val="auto"/>
          <w:sz w:val="24"/>
          <w:szCs w:val="24"/>
          <w:highlight w:val="none"/>
        </w:rPr>
        <w:t>额为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万元，属于</w:t>
      </w:r>
      <w:r>
        <w:rPr>
          <w:rFonts w:hint="eastAsia" w:ascii="宋体" w:hAnsi="宋体" w:eastAsia="宋体" w:cs="宋体"/>
          <w:i w:val="0"/>
          <w:iCs w:val="0"/>
          <w:color w:val="auto"/>
          <w:sz w:val="24"/>
          <w:szCs w:val="24"/>
          <w:highlight w:val="none"/>
          <w:u w:val="single"/>
        </w:rPr>
        <w:t xml:space="preserve"> (中型企业、小</w:t>
      </w:r>
      <w:r>
        <w:rPr>
          <w:rFonts w:hint="eastAsia" w:ascii="宋体" w:hAnsi="宋体" w:eastAsia="宋体" w:cs="宋体"/>
          <w:i w:val="0"/>
          <w:iCs w:val="0"/>
          <w:color w:val="auto"/>
          <w:spacing w:val="-6"/>
          <w:sz w:val="24"/>
          <w:szCs w:val="24"/>
          <w:highlight w:val="none"/>
          <w:u w:val="single"/>
        </w:rPr>
        <w:t>型企</w:t>
      </w:r>
      <w:r>
        <w:rPr>
          <w:rFonts w:hint="eastAsia" w:ascii="宋体" w:hAnsi="宋体" w:eastAsia="宋体" w:cs="宋体"/>
          <w:i w:val="0"/>
          <w:iCs w:val="0"/>
          <w:color w:val="auto"/>
          <w:spacing w:val="-5"/>
          <w:sz w:val="24"/>
          <w:szCs w:val="24"/>
          <w:highlight w:val="none"/>
          <w:u w:val="single"/>
        </w:rPr>
        <w:t>业</w:t>
      </w:r>
      <w:r>
        <w:rPr>
          <w:rFonts w:hint="eastAsia" w:ascii="宋体" w:hAnsi="宋体" w:eastAsia="宋体" w:cs="宋体"/>
          <w:i w:val="0"/>
          <w:iCs w:val="0"/>
          <w:color w:val="auto"/>
          <w:spacing w:val="-3"/>
          <w:sz w:val="24"/>
          <w:szCs w:val="24"/>
          <w:highlight w:val="none"/>
          <w:u w:val="single"/>
        </w:rPr>
        <w:t>、微型企业</w:t>
      </w:r>
      <w:r>
        <w:rPr>
          <w:rFonts w:hint="eastAsia" w:ascii="宋体" w:hAnsi="宋体" w:eastAsia="宋体" w:cs="宋体"/>
          <w:i w:val="0"/>
          <w:iCs w:val="0"/>
          <w:color w:val="auto"/>
          <w:spacing w:val="-3"/>
          <w:sz w:val="24"/>
          <w:szCs w:val="24"/>
          <w:highlight w:val="none"/>
        </w:rPr>
        <w:t>)；</w:t>
      </w:r>
    </w:p>
    <w:p w14:paraId="6B6BE480">
      <w:pPr>
        <w:keepNext w:val="0"/>
        <w:keepLines w:val="0"/>
        <w:pageBreakBefore w:val="0"/>
        <w:widowControl/>
        <w:shd w:val="clear" w:color="auto" w:fill="auto"/>
        <w:kinsoku w:val="0"/>
        <w:wordWrap/>
        <w:overflowPunct/>
        <w:topLinePunct w:val="0"/>
        <w:autoSpaceDE w:val="0"/>
        <w:autoSpaceDN w:val="0"/>
        <w:bidi w:val="0"/>
        <w:adjustRightInd w:val="0"/>
        <w:snapToGrid w:val="0"/>
        <w:spacing w:line="360" w:lineRule="auto"/>
        <w:ind w:firstLine="570"/>
        <w:textAlignment w:val="baseline"/>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pacing w:val="5"/>
          <w:position w:val="4"/>
          <w:sz w:val="24"/>
          <w:szCs w:val="24"/>
          <w:highlight w:val="none"/>
        </w:rPr>
        <w:t>…</w:t>
      </w:r>
      <w:r>
        <w:rPr>
          <w:rFonts w:hint="eastAsia" w:ascii="宋体" w:hAnsi="宋体" w:eastAsia="宋体" w:cs="宋体"/>
          <w:i w:val="0"/>
          <w:iCs w:val="0"/>
          <w:color w:val="auto"/>
          <w:spacing w:val="4"/>
          <w:position w:val="4"/>
          <w:sz w:val="24"/>
          <w:szCs w:val="24"/>
          <w:highlight w:val="none"/>
        </w:rPr>
        <w:t>…</w:t>
      </w:r>
    </w:p>
    <w:p w14:paraId="1484B6FB">
      <w:pPr>
        <w:keepNext w:val="0"/>
        <w:keepLines w:val="0"/>
        <w:pageBreakBefore w:val="0"/>
        <w:widowControl/>
        <w:shd w:val="clear" w:color="auto" w:fill="auto"/>
        <w:kinsoku w:val="0"/>
        <w:wordWrap/>
        <w:overflowPunct/>
        <w:topLinePunct w:val="0"/>
        <w:autoSpaceDE w:val="0"/>
        <w:autoSpaceDN w:val="0"/>
        <w:bidi w:val="0"/>
        <w:adjustRightInd w:val="0"/>
        <w:snapToGrid w:val="0"/>
        <w:spacing w:line="360" w:lineRule="auto"/>
        <w:ind w:firstLine="574"/>
        <w:textAlignment w:val="baseline"/>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pacing w:val="7"/>
          <w:sz w:val="24"/>
          <w:szCs w:val="24"/>
          <w:highlight w:val="none"/>
        </w:rPr>
        <w:t>以上企业，不属于大企业的分支机构，不存在控股股</w:t>
      </w:r>
      <w:r>
        <w:rPr>
          <w:rFonts w:hint="eastAsia" w:ascii="宋体" w:hAnsi="宋体" w:eastAsia="宋体" w:cs="宋体"/>
          <w:i w:val="0"/>
          <w:iCs w:val="0"/>
          <w:color w:val="auto"/>
          <w:spacing w:val="3"/>
          <w:sz w:val="24"/>
          <w:szCs w:val="24"/>
          <w:highlight w:val="none"/>
        </w:rPr>
        <w:t>东</w:t>
      </w:r>
      <w:r>
        <w:rPr>
          <w:rFonts w:hint="eastAsia" w:ascii="宋体" w:hAnsi="宋体" w:eastAsia="宋体" w:cs="宋体"/>
          <w:i w:val="0"/>
          <w:iCs w:val="0"/>
          <w:color w:val="auto"/>
          <w:spacing w:val="16"/>
          <w:sz w:val="24"/>
          <w:szCs w:val="24"/>
          <w:highlight w:val="none"/>
        </w:rPr>
        <w:t>为大</w:t>
      </w:r>
      <w:r>
        <w:rPr>
          <w:rFonts w:hint="eastAsia" w:ascii="宋体" w:hAnsi="宋体" w:eastAsia="宋体" w:cs="宋体"/>
          <w:i w:val="0"/>
          <w:iCs w:val="0"/>
          <w:color w:val="auto"/>
          <w:spacing w:val="8"/>
          <w:sz w:val="24"/>
          <w:szCs w:val="24"/>
          <w:highlight w:val="none"/>
        </w:rPr>
        <w:t>企业的情形，也不存在与大企业的负责人为同一人的情</w:t>
      </w:r>
      <w:r>
        <w:rPr>
          <w:rFonts w:hint="eastAsia" w:ascii="宋体" w:hAnsi="宋体" w:eastAsia="宋体" w:cs="宋体"/>
          <w:i w:val="0"/>
          <w:iCs w:val="0"/>
          <w:color w:val="auto"/>
          <w:spacing w:val="-7"/>
          <w:sz w:val="24"/>
          <w:szCs w:val="24"/>
          <w:highlight w:val="none"/>
        </w:rPr>
        <w:t>形</w:t>
      </w:r>
      <w:r>
        <w:rPr>
          <w:rFonts w:hint="eastAsia" w:ascii="宋体" w:hAnsi="宋体" w:eastAsia="宋体" w:cs="宋体"/>
          <w:i w:val="0"/>
          <w:iCs w:val="0"/>
          <w:color w:val="auto"/>
          <w:spacing w:val="-6"/>
          <w:sz w:val="24"/>
          <w:szCs w:val="24"/>
          <w:highlight w:val="none"/>
        </w:rPr>
        <w:t>。</w:t>
      </w:r>
    </w:p>
    <w:p w14:paraId="7D96CF78">
      <w:pPr>
        <w:keepNext w:val="0"/>
        <w:keepLines w:val="0"/>
        <w:pageBreakBefore w:val="0"/>
        <w:widowControl/>
        <w:shd w:val="clear" w:color="auto" w:fill="auto"/>
        <w:kinsoku w:val="0"/>
        <w:wordWrap/>
        <w:overflowPunct/>
        <w:topLinePunct w:val="0"/>
        <w:autoSpaceDE w:val="0"/>
        <w:autoSpaceDN w:val="0"/>
        <w:bidi w:val="0"/>
        <w:adjustRightInd w:val="0"/>
        <w:snapToGrid w:val="0"/>
        <w:spacing w:line="360" w:lineRule="auto"/>
        <w:ind w:firstLine="582"/>
        <w:textAlignment w:val="baseline"/>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pacing w:val="11"/>
          <w:sz w:val="24"/>
          <w:szCs w:val="24"/>
          <w:highlight w:val="none"/>
        </w:rPr>
        <w:t>本</w:t>
      </w:r>
      <w:r>
        <w:rPr>
          <w:rFonts w:hint="eastAsia" w:ascii="宋体" w:hAnsi="宋体" w:eastAsia="宋体" w:cs="宋体"/>
          <w:i w:val="0"/>
          <w:iCs w:val="0"/>
          <w:color w:val="auto"/>
          <w:spacing w:val="8"/>
          <w:sz w:val="24"/>
          <w:szCs w:val="24"/>
          <w:highlight w:val="none"/>
        </w:rPr>
        <w:t>企业对上述声明内容的真实性负责。如有虚假，将依法</w:t>
      </w:r>
      <w:r>
        <w:rPr>
          <w:rFonts w:hint="eastAsia" w:ascii="宋体" w:hAnsi="宋体" w:eastAsia="宋体" w:cs="宋体"/>
          <w:i w:val="0"/>
          <w:iCs w:val="0"/>
          <w:color w:val="auto"/>
          <w:spacing w:val="5"/>
          <w:sz w:val="24"/>
          <w:szCs w:val="24"/>
          <w:highlight w:val="none"/>
        </w:rPr>
        <w:t>承</w:t>
      </w:r>
      <w:r>
        <w:rPr>
          <w:rFonts w:hint="eastAsia" w:ascii="宋体" w:hAnsi="宋体" w:eastAsia="宋体" w:cs="宋体"/>
          <w:i w:val="0"/>
          <w:iCs w:val="0"/>
          <w:color w:val="auto"/>
          <w:spacing w:val="4"/>
          <w:sz w:val="24"/>
          <w:szCs w:val="24"/>
          <w:highlight w:val="none"/>
        </w:rPr>
        <w:t>担相应责任。</w:t>
      </w:r>
    </w:p>
    <w:p w14:paraId="043F10B7">
      <w:pPr>
        <w:keepNext w:val="0"/>
        <w:keepLines w:val="0"/>
        <w:pageBreakBefore w:val="0"/>
        <w:widowControl/>
        <w:shd w:val="clear" w:color="auto" w:fill="auto"/>
        <w:tabs>
          <w:tab w:val="left" w:pos="193"/>
        </w:tabs>
        <w:kinsoku w:val="0"/>
        <w:wordWrap/>
        <w:overflowPunct/>
        <w:topLinePunct w:val="0"/>
        <w:autoSpaceDE w:val="0"/>
        <w:autoSpaceDN w:val="0"/>
        <w:bidi w:val="0"/>
        <w:adjustRightInd w:val="0"/>
        <w:snapToGrid w:val="0"/>
        <w:spacing w:line="360" w:lineRule="auto"/>
        <w:ind w:firstLine="576"/>
        <w:jc w:val="left"/>
        <w:textAlignment w:val="baseline"/>
        <w:rPr>
          <w:rFonts w:hint="eastAsia" w:ascii="宋体" w:hAnsi="宋体" w:eastAsia="宋体" w:cs="宋体"/>
          <w:i w:val="0"/>
          <w:iCs w:val="0"/>
          <w:color w:val="auto"/>
          <w:spacing w:val="8"/>
          <w:sz w:val="24"/>
          <w:szCs w:val="24"/>
          <w:highlight w:val="none"/>
        </w:rPr>
      </w:pPr>
    </w:p>
    <w:p w14:paraId="6D9DFC39">
      <w:pPr>
        <w:keepNext w:val="0"/>
        <w:keepLines w:val="0"/>
        <w:pageBreakBefore w:val="0"/>
        <w:widowControl/>
        <w:shd w:val="clear" w:color="auto" w:fill="auto"/>
        <w:tabs>
          <w:tab w:val="left" w:pos="193"/>
        </w:tabs>
        <w:kinsoku w:val="0"/>
        <w:wordWrap/>
        <w:overflowPunct/>
        <w:topLinePunct w:val="0"/>
        <w:autoSpaceDE w:val="0"/>
        <w:autoSpaceDN w:val="0"/>
        <w:bidi w:val="0"/>
        <w:adjustRightInd w:val="0"/>
        <w:snapToGrid w:val="0"/>
        <w:spacing w:line="360" w:lineRule="auto"/>
        <w:ind w:firstLine="576"/>
        <w:jc w:val="left"/>
        <w:textAlignment w:val="baseline"/>
        <w:rPr>
          <w:rFonts w:hint="eastAsia" w:ascii="宋体" w:hAnsi="宋体" w:eastAsia="宋体" w:cs="宋体"/>
          <w:i w:val="0"/>
          <w:iCs w:val="0"/>
          <w:color w:val="auto"/>
          <w:spacing w:val="8"/>
          <w:sz w:val="24"/>
          <w:szCs w:val="24"/>
          <w:highlight w:val="none"/>
          <w:u w:val="single"/>
        </w:rPr>
      </w:pPr>
      <w:r>
        <w:rPr>
          <w:rFonts w:hint="eastAsia" w:ascii="宋体" w:hAnsi="宋体" w:eastAsia="宋体" w:cs="宋体"/>
          <w:i w:val="0"/>
          <w:iCs w:val="0"/>
          <w:color w:val="auto"/>
          <w:spacing w:val="8"/>
          <w:sz w:val="24"/>
          <w:szCs w:val="24"/>
          <w:highlight w:val="none"/>
        </w:rPr>
        <w:t>企业名称 (</w:t>
      </w:r>
      <w:r>
        <w:rPr>
          <w:rFonts w:hint="eastAsia" w:ascii="宋体" w:hAnsi="宋体" w:eastAsia="宋体" w:cs="宋体"/>
          <w:color w:val="auto"/>
          <w:spacing w:val="-4"/>
          <w:sz w:val="24"/>
          <w:szCs w:val="24"/>
          <w:highlight w:val="none"/>
        </w:rPr>
        <w:t>电子签章</w:t>
      </w:r>
      <w:r>
        <w:rPr>
          <w:rFonts w:hint="eastAsia" w:ascii="宋体" w:hAnsi="宋体" w:eastAsia="宋体" w:cs="宋体"/>
          <w:i w:val="0"/>
          <w:iCs w:val="0"/>
          <w:color w:val="auto"/>
          <w:spacing w:val="8"/>
          <w:sz w:val="24"/>
          <w:szCs w:val="24"/>
          <w:highlight w:val="none"/>
        </w:rPr>
        <w:t>)：</w:t>
      </w:r>
      <w:r>
        <w:rPr>
          <w:rFonts w:hint="eastAsia" w:ascii="宋体" w:hAnsi="宋体" w:eastAsia="宋体" w:cs="宋体"/>
          <w:i w:val="0"/>
          <w:iCs w:val="0"/>
          <w:color w:val="auto"/>
          <w:spacing w:val="8"/>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i w:val="0"/>
          <w:iCs w:val="0"/>
          <w:color w:val="auto"/>
          <w:spacing w:val="8"/>
          <w:sz w:val="24"/>
          <w:szCs w:val="24"/>
          <w:highlight w:val="none"/>
          <w:u w:val="single"/>
        </w:rPr>
        <w:t xml:space="preserve">          </w:t>
      </w:r>
    </w:p>
    <w:p w14:paraId="13EEE56A">
      <w:pPr>
        <w:keepNext w:val="0"/>
        <w:keepLines w:val="0"/>
        <w:pageBreakBefore w:val="0"/>
        <w:widowControl/>
        <w:shd w:val="clear" w:color="auto" w:fill="auto"/>
        <w:tabs>
          <w:tab w:val="left" w:pos="193"/>
        </w:tabs>
        <w:kinsoku w:val="0"/>
        <w:wordWrap/>
        <w:overflowPunct/>
        <w:topLinePunct w:val="0"/>
        <w:autoSpaceDE w:val="0"/>
        <w:autoSpaceDN w:val="0"/>
        <w:bidi w:val="0"/>
        <w:adjustRightInd w:val="0"/>
        <w:snapToGrid w:val="0"/>
        <w:spacing w:line="360" w:lineRule="auto"/>
        <w:ind w:firstLine="576"/>
        <w:jc w:val="left"/>
        <w:textAlignment w:val="baseline"/>
        <w:rPr>
          <w:rFonts w:hint="eastAsia" w:ascii="宋体" w:hAnsi="宋体" w:eastAsia="宋体" w:cs="宋体"/>
          <w:i w:val="0"/>
          <w:iCs w:val="0"/>
          <w:color w:val="auto"/>
          <w:spacing w:val="8"/>
          <w:sz w:val="24"/>
          <w:szCs w:val="24"/>
          <w:highlight w:val="none"/>
        </w:rPr>
      </w:pPr>
      <w:r>
        <w:rPr>
          <w:rFonts w:hint="eastAsia" w:ascii="宋体" w:hAnsi="宋体" w:eastAsia="宋体" w:cs="宋体"/>
          <w:i w:val="0"/>
          <w:iCs w:val="0"/>
          <w:color w:val="auto"/>
          <w:spacing w:val="8"/>
          <w:sz w:val="24"/>
          <w:szCs w:val="24"/>
          <w:highlight w:val="none"/>
        </w:rPr>
        <w:t>日 期：</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val="0"/>
          <w:iCs w:val="0"/>
          <w:color w:val="auto"/>
          <w:spacing w:val="8"/>
          <w:sz w:val="24"/>
          <w:szCs w:val="24"/>
          <w:highlight w:val="none"/>
          <w:u w:val="single"/>
        </w:rPr>
        <w:t xml:space="preserve">  </w:t>
      </w:r>
    </w:p>
    <w:p w14:paraId="3E1B2056">
      <w:pPr>
        <w:keepNext w:val="0"/>
        <w:keepLines w:val="0"/>
        <w:pageBreakBefore w:val="0"/>
        <w:widowControl/>
        <w:shd w:val="clear" w:color="auto" w:fill="auto"/>
        <w:tabs>
          <w:tab w:val="left" w:pos="193"/>
        </w:tabs>
        <w:kinsoku w:val="0"/>
        <w:wordWrap/>
        <w:overflowPunct/>
        <w:topLinePunct w:val="0"/>
        <w:autoSpaceDE w:val="0"/>
        <w:autoSpaceDN w:val="0"/>
        <w:bidi w:val="0"/>
        <w:adjustRightInd w:val="0"/>
        <w:snapToGrid w:val="0"/>
        <w:spacing w:before="101" w:line="360" w:lineRule="auto"/>
        <w:ind w:left="36" w:right="230" w:firstLine="576"/>
        <w:textAlignment w:val="baseline"/>
        <w:rPr>
          <w:rFonts w:hint="eastAsia" w:ascii="宋体" w:hAnsi="宋体" w:eastAsia="宋体" w:cs="宋体"/>
          <w:i w:val="0"/>
          <w:iCs w:val="0"/>
          <w:color w:val="auto"/>
          <w:spacing w:val="8"/>
          <w:sz w:val="24"/>
          <w:szCs w:val="24"/>
          <w:highlight w:val="none"/>
        </w:rPr>
      </w:pPr>
      <w:r>
        <w:rPr>
          <w:rFonts w:hint="eastAsia" w:ascii="宋体" w:hAnsi="宋体" w:eastAsia="宋体" w:cs="宋体"/>
          <w:i w:val="0"/>
          <w:iCs w:val="0"/>
          <w:color w:val="auto"/>
          <w:spacing w:val="8"/>
          <w:sz w:val="24"/>
          <w:szCs w:val="24"/>
          <w:highlight w:val="none"/>
        </w:rPr>
        <w:tab/>
      </w:r>
    </w:p>
    <w:p w14:paraId="420F8BF7">
      <w:pPr>
        <w:keepNext w:val="0"/>
        <w:keepLines w:val="0"/>
        <w:pageBreakBefore w:val="0"/>
        <w:widowControl/>
        <w:shd w:val="clear" w:color="auto" w:fill="auto"/>
        <w:kinsoku w:val="0"/>
        <w:wordWrap/>
        <w:overflowPunct/>
        <w:topLinePunct w:val="0"/>
        <w:autoSpaceDE w:val="0"/>
        <w:autoSpaceDN w:val="0"/>
        <w:bidi w:val="0"/>
        <w:adjustRightInd w:val="0"/>
        <w:snapToGrid w:val="0"/>
        <w:spacing w:before="15" w:line="360" w:lineRule="auto"/>
        <w:ind w:left="35" w:right="233" w:firstLine="574"/>
        <w:textAlignment w:val="baseline"/>
        <w:rPr>
          <w:rFonts w:hint="eastAsia" w:ascii="宋体" w:hAnsi="宋体" w:eastAsia="宋体" w:cs="宋体"/>
          <w:color w:val="auto"/>
          <w:spacing w:val="7"/>
          <w:sz w:val="24"/>
          <w:szCs w:val="24"/>
          <w:highlight w:val="none"/>
        </w:rPr>
      </w:pPr>
    </w:p>
    <w:p w14:paraId="60BD3E60">
      <w:pPr>
        <w:pStyle w:val="7"/>
        <w:shd w:val="clear" w:color="auto" w:fill="auto"/>
        <w:ind w:firstLine="480"/>
        <w:rPr>
          <w:rFonts w:hint="eastAsia" w:ascii="宋体" w:hAnsi="宋体" w:eastAsia="宋体" w:cs="宋体"/>
          <w:color w:val="auto"/>
          <w:highlight w:val="none"/>
        </w:rPr>
      </w:pPr>
    </w:p>
    <w:p w14:paraId="3225648E">
      <w:pPr>
        <w:rPr>
          <w:rFonts w:hint="eastAsia" w:ascii="宋体" w:hAnsi="宋体" w:eastAsia="宋体" w:cs="宋体"/>
          <w:color w:val="auto"/>
          <w:spacing w:val="20"/>
          <w:sz w:val="29"/>
          <w:szCs w:val="29"/>
          <w:highlight w:val="none"/>
        </w:rPr>
      </w:pPr>
      <w:r>
        <w:rPr>
          <w:rFonts w:hint="eastAsia" w:ascii="宋体" w:hAnsi="宋体" w:eastAsia="宋体" w:cs="宋体"/>
          <w:color w:val="auto"/>
          <w:spacing w:val="32"/>
          <w:szCs w:val="24"/>
          <w:highlight w:val="none"/>
        </w:rPr>
        <w:t>注</w:t>
      </w:r>
      <w:r>
        <w:rPr>
          <w:rFonts w:hint="eastAsia" w:ascii="宋体" w:hAnsi="宋体" w:eastAsia="宋体" w:cs="宋体"/>
          <w:color w:val="auto"/>
          <w:spacing w:val="22"/>
          <w:szCs w:val="24"/>
          <w:highlight w:val="none"/>
        </w:rPr>
        <w:t>：</w:t>
      </w:r>
      <w:r>
        <w:rPr>
          <w:rFonts w:hint="eastAsia" w:ascii="宋体" w:hAnsi="宋体" w:eastAsia="宋体" w:cs="宋体"/>
          <w:color w:val="auto"/>
          <w:spacing w:val="22"/>
          <w:szCs w:val="24"/>
          <w:highlight w:val="none"/>
          <w:lang w:eastAsia="zh-CN"/>
        </w:rPr>
        <w:t>（</w:t>
      </w:r>
      <w:r>
        <w:rPr>
          <w:rFonts w:hint="eastAsia" w:ascii="宋体" w:hAnsi="宋体" w:eastAsia="宋体" w:cs="宋体"/>
          <w:color w:val="auto"/>
          <w:spacing w:val="22"/>
          <w:szCs w:val="24"/>
          <w:highlight w:val="none"/>
          <w:lang w:val="en-US" w:eastAsia="zh-CN"/>
        </w:rPr>
        <w:t>1</w:t>
      </w:r>
      <w:r>
        <w:rPr>
          <w:rFonts w:hint="eastAsia" w:ascii="宋体" w:hAnsi="宋体" w:eastAsia="宋体" w:cs="宋体"/>
          <w:color w:val="auto"/>
          <w:spacing w:val="22"/>
          <w:szCs w:val="24"/>
          <w:highlight w:val="none"/>
          <w:lang w:eastAsia="zh-CN"/>
        </w:rPr>
        <w:t>）</w:t>
      </w:r>
      <w:r>
        <w:rPr>
          <w:rFonts w:hint="eastAsia" w:ascii="宋体" w:hAnsi="宋体" w:eastAsia="宋体" w:cs="宋体"/>
          <w:color w:val="auto"/>
          <w:spacing w:val="22"/>
          <w:szCs w:val="24"/>
          <w:highlight w:val="none"/>
        </w:rPr>
        <w:t>请符合文件规定的投标人如实填写，否则不予认可，并对其真实</w:t>
      </w:r>
      <w:r>
        <w:rPr>
          <w:rFonts w:hint="eastAsia" w:ascii="宋体" w:hAnsi="宋体" w:eastAsia="宋体" w:cs="宋体"/>
          <w:color w:val="auto"/>
          <w:szCs w:val="24"/>
          <w:highlight w:val="none"/>
        </w:rPr>
        <w:t xml:space="preserve"> </w:t>
      </w:r>
      <w:r>
        <w:rPr>
          <w:rFonts w:hint="eastAsia" w:ascii="宋体" w:hAnsi="宋体" w:eastAsia="宋体" w:cs="宋体"/>
          <w:color w:val="auto"/>
          <w:spacing w:val="37"/>
          <w:szCs w:val="24"/>
          <w:highlight w:val="none"/>
        </w:rPr>
        <w:t>性</w:t>
      </w:r>
      <w:r>
        <w:rPr>
          <w:rFonts w:hint="eastAsia" w:ascii="宋体" w:hAnsi="宋体" w:eastAsia="宋体" w:cs="宋体"/>
          <w:color w:val="auto"/>
          <w:spacing w:val="20"/>
          <w:szCs w:val="24"/>
          <w:highlight w:val="none"/>
        </w:rPr>
        <w:t>负责；若不符合，此格式不必填写，可以不保留格式</w:t>
      </w:r>
      <w:r>
        <w:rPr>
          <w:rFonts w:hint="eastAsia" w:ascii="宋体" w:hAnsi="宋体" w:eastAsia="宋体" w:cs="宋体"/>
          <w:color w:val="auto"/>
          <w:spacing w:val="20"/>
          <w:sz w:val="29"/>
          <w:szCs w:val="29"/>
          <w:highlight w:val="none"/>
        </w:rPr>
        <w:t>。</w:t>
      </w:r>
    </w:p>
    <w:p w14:paraId="524D04C0">
      <w:pPr>
        <w:ind w:left="0" w:leftChars="0" w:firstLine="0" w:firstLineChars="0"/>
        <w:rPr>
          <w:rFonts w:hint="eastAsia" w:ascii="宋体" w:hAnsi="宋体" w:eastAsia="宋体" w:cs="宋体"/>
          <w:i w:val="0"/>
          <w:iCs w:val="0"/>
          <w:color w:val="auto"/>
          <w:spacing w:val="7"/>
          <w:sz w:val="24"/>
          <w:szCs w:val="24"/>
          <w:highlight w:val="none"/>
          <w:vertAlign w:val="superscript"/>
          <w:lang w:val="en-US" w:eastAsia="zh-CN"/>
        </w:rPr>
      </w:pPr>
    </w:p>
    <w:p w14:paraId="72DCCF61">
      <w:pPr>
        <w:keepNext w:val="0"/>
        <w:keepLines w:val="0"/>
        <w:pageBreakBefore w:val="0"/>
        <w:widowControl/>
        <w:shd w:val="clear" w:color="auto" w:fill="auto"/>
        <w:tabs>
          <w:tab w:val="left" w:pos="193"/>
        </w:tabs>
        <w:kinsoku w:val="0"/>
        <w:wordWrap/>
        <w:overflowPunct/>
        <w:topLinePunct w:val="0"/>
        <w:autoSpaceDE w:val="0"/>
        <w:autoSpaceDN w:val="0"/>
        <w:bidi w:val="0"/>
        <w:adjustRightInd w:val="0"/>
        <w:snapToGrid w:val="0"/>
        <w:spacing w:line="360" w:lineRule="auto"/>
        <w:ind w:firstLine="576"/>
        <w:textAlignment w:val="baseline"/>
        <w:rPr>
          <w:rFonts w:hint="eastAsia" w:ascii="宋体" w:hAnsi="宋体" w:eastAsia="宋体" w:cs="宋体"/>
          <w:color w:val="auto"/>
          <w:spacing w:val="23"/>
          <w:sz w:val="20"/>
          <w:szCs w:val="20"/>
          <w:highlight w:val="none"/>
          <w:lang w:val="en-US" w:eastAsia="zh-CN"/>
        </w:rPr>
      </w:pPr>
      <w:r>
        <w:rPr>
          <w:rFonts w:hint="eastAsia" w:ascii="宋体" w:hAnsi="宋体" w:eastAsia="宋体" w:cs="宋体"/>
          <w:color w:val="auto"/>
          <w:spacing w:val="22"/>
          <w:szCs w:val="24"/>
          <w:highlight w:val="none"/>
          <w:lang w:eastAsia="zh-CN"/>
        </w:rPr>
        <w:t>（</w:t>
      </w:r>
      <w:r>
        <w:rPr>
          <w:rFonts w:hint="eastAsia" w:ascii="宋体" w:hAnsi="宋体" w:eastAsia="宋体" w:cs="宋体"/>
          <w:color w:val="auto"/>
          <w:spacing w:val="22"/>
          <w:szCs w:val="24"/>
          <w:highlight w:val="none"/>
          <w:lang w:val="en-US" w:eastAsia="zh-CN"/>
        </w:rPr>
        <w:t>2</w:t>
      </w:r>
      <w:r>
        <w:rPr>
          <w:rFonts w:hint="eastAsia" w:ascii="宋体" w:hAnsi="宋体" w:eastAsia="宋体" w:cs="宋体"/>
          <w:color w:val="auto"/>
          <w:spacing w:val="22"/>
          <w:szCs w:val="24"/>
          <w:highlight w:val="none"/>
          <w:lang w:eastAsia="zh-CN"/>
        </w:rPr>
        <w:t>）</w:t>
      </w:r>
      <w:r>
        <w:rPr>
          <w:rFonts w:hint="eastAsia" w:ascii="宋体" w:hAnsi="宋体" w:eastAsia="宋体" w:cs="宋体"/>
          <w:color w:val="auto"/>
          <w:spacing w:val="22"/>
          <w:szCs w:val="24"/>
          <w:highlight w:val="none"/>
        </w:rPr>
        <w:t>从业人员、营业收入、资产总额填报上一年度数据，无上一年度数据的新成立企业可不填报。</w:t>
      </w:r>
      <w:r>
        <w:rPr>
          <w:rFonts w:hint="eastAsia" w:ascii="宋体" w:hAnsi="宋体" w:eastAsia="宋体" w:cs="宋体"/>
          <w:i w:val="0"/>
          <w:iCs w:val="0"/>
          <w:color w:val="auto"/>
          <w:spacing w:val="7"/>
          <w:sz w:val="24"/>
          <w:szCs w:val="24"/>
          <w:highlight w:val="none"/>
          <w:lang w:val="en-US" w:eastAsia="zh-CN"/>
        </w:rPr>
        <w:t xml:space="preserve">                                                           </w:t>
      </w:r>
    </w:p>
    <w:p w14:paraId="0E7AC463">
      <w:pPr>
        <w:rPr>
          <w:rFonts w:hint="eastAsia" w:ascii="宋体" w:hAnsi="宋体" w:eastAsia="宋体" w:cs="宋体"/>
          <w:color w:val="auto"/>
          <w:highlight w:val="none"/>
        </w:rPr>
      </w:pPr>
      <w:r>
        <w:rPr>
          <w:rFonts w:hint="eastAsia" w:ascii="宋体" w:hAnsi="宋体" w:eastAsia="宋体" w:cs="宋体"/>
          <w:bCs/>
          <w:color w:val="auto"/>
          <w:szCs w:val="21"/>
          <w:highlight w:val="none"/>
          <w:lang w:val="zh-CN"/>
        </w:rPr>
        <w:br w:type="page"/>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
          <w:color w:val="auto"/>
          <w:sz w:val="18"/>
          <w:szCs w:val="18"/>
          <w:highlight w:val="none"/>
        </w:rPr>
        <w:drawing>
          <wp:inline distT="0" distB="0" distL="114300" distR="114300">
            <wp:extent cx="5638800" cy="8509000"/>
            <wp:effectExtent l="0" t="0" r="0" b="6350"/>
            <wp:docPr id="3" name="图片 1" des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download"/>
                    <pic:cNvPicPr>
                      <a:picLocks noChangeAspect="1"/>
                    </pic:cNvPicPr>
                  </pic:nvPicPr>
                  <pic:blipFill>
                    <a:blip r:embed="rId8"/>
                    <a:stretch>
                      <a:fillRect/>
                    </a:stretch>
                  </pic:blipFill>
                  <pic:spPr>
                    <a:xfrm>
                      <a:off x="0" y="0"/>
                      <a:ext cx="5638800" cy="8509000"/>
                    </a:xfrm>
                    <a:prstGeom prst="rect">
                      <a:avLst/>
                    </a:prstGeom>
                    <a:noFill/>
                    <a:ln>
                      <a:noFill/>
                    </a:ln>
                  </pic:spPr>
                </pic:pic>
              </a:graphicData>
            </a:graphic>
          </wp:inline>
        </w:drawing>
      </w:r>
      <w:r>
        <w:rPr>
          <w:rFonts w:hint="eastAsia" w:ascii="宋体" w:hAnsi="宋体" w:eastAsia="宋体" w:cs="宋体"/>
          <w:b/>
          <w:color w:val="auto"/>
          <w:sz w:val="18"/>
          <w:szCs w:val="18"/>
          <w:highlight w:val="none"/>
        </w:rPr>
        <w:br w:type="page"/>
      </w:r>
      <w:r>
        <w:rPr>
          <w:rFonts w:hint="eastAsia" w:ascii="宋体" w:hAnsi="宋体" w:eastAsia="宋体" w:cs="宋体"/>
          <w:color w:val="auto"/>
          <w:highlight w:val="none"/>
        </w:rPr>
        <w:t>附件：</w:t>
      </w:r>
    </w:p>
    <w:p w14:paraId="6FC88F51">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《关于印发中小企业划型标准规定的通知》（工信部联企业〔2011〕300号）</w:t>
      </w:r>
    </w:p>
    <w:p w14:paraId="44B74C28">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中小企业划型标准规定</w:t>
      </w:r>
    </w:p>
    <w:p w14:paraId="3FD0AA64">
      <w:pPr>
        <w:spacing w:line="360" w:lineRule="auto"/>
        <w:rPr>
          <w:rFonts w:hint="eastAsia" w:ascii="宋体" w:hAnsi="宋体" w:eastAsia="宋体" w:cs="宋体"/>
          <w:color w:val="auto"/>
          <w:highlight w:val="none"/>
        </w:rPr>
      </w:pPr>
    </w:p>
    <w:p w14:paraId="11178E8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（一）农、林、牧、渔业：营业收入20000万元以下的为中小微型企业。其中，营业收入500万元及以上的为中型企业，营业收入50万元及以上的为小型企业，营业收入50万元以下的为微型企业。</w:t>
      </w:r>
    </w:p>
    <w:p w14:paraId="5216C7B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D5076B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16B6AD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6D5C4E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51C7D3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A32592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EABE6A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9366B2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D42E16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3AE865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8175F3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BE9921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十三）房地产开发经营：营业收入200000万元以下或资产总额10000万元以下的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702BB5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1A9C31C">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十五）租赁和商务服务业：从业人员300人以下或资产总额120000万元以下的中小微型企业。其中，从业人员100人及以上，且资产总额8000万元及以上的为中型企业；从业人员10人及以上，且资产总额100万元及以上的为小型企业；从业人员10人以下或资产总额100万元以下的为微型企业。</w:t>
      </w:r>
    </w:p>
    <w:p w14:paraId="6712B1F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（十六）其他未列明行业：从业人员300人以下的为中小微型企业。其中，从业人员100人及以上的为中型企业；从业人员10人及以上的为小型企业；从业人员10人以下的为微型企业。</w:t>
      </w:r>
    </w:p>
    <w:p w14:paraId="6B07A4E5">
      <w:pPr>
        <w:pStyle w:val="9"/>
        <w:spacing w:line="360" w:lineRule="auto"/>
        <w:ind w:firstLine="420" w:firstLineChars="200"/>
        <w:jc w:val="center"/>
        <w:outlineLvl w:val="3"/>
        <w:rPr>
          <w:rFonts w:hint="eastAsia" w:ascii="宋体" w:hAnsi="宋体" w:eastAsia="宋体" w:cs="宋体"/>
          <w:color w:val="auto"/>
          <w:kern w:val="1"/>
          <w:szCs w:val="21"/>
          <w:highlight w:val="none"/>
        </w:rPr>
      </w:pPr>
      <w:r>
        <w:rPr>
          <w:rFonts w:hint="eastAsia" w:ascii="宋体" w:hAnsi="宋体" w:eastAsia="宋体" w:cs="宋体"/>
          <w:color w:val="auto"/>
          <w:highlight w:val="none"/>
        </w:rPr>
        <w:br w:type="page"/>
      </w:r>
      <w:r>
        <w:rPr>
          <w:rFonts w:hint="eastAsia" w:ascii="宋体" w:hAnsi="宋体" w:eastAsia="宋体" w:cs="宋体"/>
          <w:b/>
          <w:color w:val="auto"/>
          <w:sz w:val="28"/>
          <w:szCs w:val="28"/>
          <w:highlight w:val="none"/>
          <w:lang w:val="zh-CN"/>
        </w:rPr>
        <w:t>（</w:t>
      </w:r>
      <w:r>
        <w:rPr>
          <w:rFonts w:hint="eastAsia" w:ascii="宋体" w:hAnsi="宋体" w:eastAsia="宋体" w:cs="宋体"/>
          <w:b/>
          <w:color w:val="auto"/>
          <w:sz w:val="28"/>
          <w:szCs w:val="28"/>
          <w:highlight w:val="none"/>
        </w:rPr>
        <w:t>二</w:t>
      </w:r>
      <w:r>
        <w:rPr>
          <w:rFonts w:hint="eastAsia" w:ascii="宋体" w:hAnsi="宋体" w:eastAsia="宋体" w:cs="宋体"/>
          <w:b/>
          <w:color w:val="auto"/>
          <w:sz w:val="28"/>
          <w:szCs w:val="28"/>
          <w:highlight w:val="none"/>
          <w:lang w:val="zh-CN"/>
        </w:rPr>
        <w:t>）残疾人福利性单位声明函</w:t>
      </w:r>
    </w:p>
    <w:p w14:paraId="6AE5A4FC">
      <w:pPr>
        <w:spacing w:line="500" w:lineRule="exact"/>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（不享受残疾人福利性单位优先政策的供应商不需填写此表）</w:t>
      </w:r>
    </w:p>
    <w:p w14:paraId="3110371C">
      <w:pPr>
        <w:spacing w:line="500" w:lineRule="exact"/>
        <w:ind w:firstLine="480" w:firstLineChars="200"/>
        <w:jc w:val="left"/>
        <w:rPr>
          <w:rFonts w:hint="eastAsia" w:ascii="宋体" w:hAnsi="宋体" w:eastAsia="宋体" w:cs="宋体"/>
          <w:color w:val="auto"/>
          <w:kern w:val="1"/>
          <w:sz w:val="24"/>
          <w:highlight w:val="none"/>
        </w:rPr>
      </w:pPr>
      <w:r>
        <w:rPr>
          <w:rFonts w:hint="eastAsia" w:ascii="宋体" w:hAnsi="宋体" w:eastAsia="宋体" w:cs="宋体"/>
          <w:color w:val="auto"/>
          <w:kern w:val="1"/>
          <w:sz w:val="24"/>
          <w:highlight w:val="none"/>
        </w:rPr>
        <w:t>本单位郑重声明，根据《财政部 民政部 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11D4296">
      <w:pPr>
        <w:spacing w:line="500" w:lineRule="exact"/>
        <w:ind w:firstLine="480" w:firstLineChars="200"/>
        <w:jc w:val="left"/>
        <w:rPr>
          <w:rFonts w:hint="eastAsia" w:ascii="宋体" w:hAnsi="宋体" w:eastAsia="宋体" w:cs="宋体"/>
          <w:color w:val="auto"/>
          <w:kern w:val="1"/>
          <w:sz w:val="24"/>
          <w:highlight w:val="none"/>
        </w:rPr>
      </w:pPr>
      <w:r>
        <w:rPr>
          <w:rFonts w:hint="eastAsia" w:ascii="宋体" w:hAnsi="宋体" w:eastAsia="宋体" w:cs="宋体"/>
          <w:color w:val="auto"/>
          <w:kern w:val="1"/>
          <w:sz w:val="24"/>
          <w:highlight w:val="none"/>
        </w:rPr>
        <w:t>本单位对上述声明的真实性负责。如有虚假，将依法承担相应责任。</w:t>
      </w:r>
    </w:p>
    <w:p w14:paraId="623DA280">
      <w:pPr>
        <w:spacing w:line="500" w:lineRule="exact"/>
        <w:ind w:firstLine="420" w:firstLineChars="200"/>
        <w:jc w:val="left"/>
        <w:rPr>
          <w:rFonts w:hint="eastAsia" w:ascii="宋体" w:hAnsi="宋体" w:eastAsia="宋体" w:cs="宋体"/>
          <w:color w:val="auto"/>
          <w:kern w:val="1"/>
          <w:szCs w:val="21"/>
          <w:highlight w:val="none"/>
        </w:rPr>
      </w:pPr>
    </w:p>
    <w:p w14:paraId="25A6B6AF">
      <w:pPr>
        <w:spacing w:line="500" w:lineRule="exact"/>
        <w:ind w:firstLine="420" w:firstLineChars="200"/>
        <w:jc w:val="left"/>
        <w:rPr>
          <w:rFonts w:hint="eastAsia" w:ascii="宋体" w:hAnsi="宋体" w:eastAsia="宋体" w:cs="宋体"/>
          <w:color w:val="auto"/>
          <w:kern w:val="1"/>
          <w:szCs w:val="21"/>
          <w:highlight w:val="none"/>
        </w:rPr>
      </w:pPr>
    </w:p>
    <w:p w14:paraId="16E85BC8">
      <w:pPr>
        <w:spacing w:line="480" w:lineRule="auto"/>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供应商名称（电子签章）：</w:t>
      </w:r>
      <w:r>
        <w:rPr>
          <w:rFonts w:hint="eastAsia" w:ascii="宋体" w:hAnsi="宋体" w:eastAsia="宋体" w:cs="宋体"/>
          <w:color w:val="auto"/>
          <w:sz w:val="24"/>
          <w:highlight w:val="none"/>
          <w:u w:val="single"/>
        </w:rPr>
        <w:t xml:space="preserve">                    </w:t>
      </w:r>
    </w:p>
    <w:p w14:paraId="2851F9F7">
      <w:pPr>
        <w:spacing w:line="480" w:lineRule="auto"/>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法定代表人或其委托代理人（签</w:t>
      </w:r>
      <w:r>
        <w:rPr>
          <w:rFonts w:hint="eastAsia" w:ascii="宋体" w:hAnsi="宋体" w:eastAsia="宋体" w:cs="宋体"/>
          <w:color w:val="auto"/>
          <w:sz w:val="24"/>
          <w:highlight w:val="none"/>
          <w:lang w:val="en-US" w:eastAsia="zh-CN"/>
        </w:rPr>
        <w:t>字</w:t>
      </w:r>
      <w:r>
        <w:rPr>
          <w:rFonts w:hint="eastAsia" w:ascii="宋体" w:hAnsi="宋体" w:eastAsia="宋体" w:cs="宋体"/>
          <w:color w:val="auto"/>
          <w:sz w:val="24"/>
          <w:highlight w:val="none"/>
        </w:rPr>
        <w:t>或电子签章）：</w:t>
      </w:r>
      <w:r>
        <w:rPr>
          <w:rFonts w:hint="eastAsia" w:ascii="宋体" w:hAnsi="宋体" w:eastAsia="宋体" w:cs="宋体"/>
          <w:color w:val="auto"/>
          <w:sz w:val="24"/>
          <w:highlight w:val="none"/>
          <w:u w:val="single"/>
        </w:rPr>
        <w:t xml:space="preserve">                </w:t>
      </w:r>
    </w:p>
    <w:p w14:paraId="19171EA4">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595BC6BE">
      <w:pPr>
        <w:pStyle w:val="9"/>
        <w:spacing w:line="480" w:lineRule="auto"/>
        <w:rPr>
          <w:rFonts w:hint="eastAsia" w:ascii="宋体" w:hAnsi="宋体" w:eastAsia="宋体" w:cs="宋体"/>
          <w:b/>
          <w:color w:val="auto"/>
          <w:kern w:val="1"/>
          <w:sz w:val="18"/>
          <w:szCs w:val="18"/>
          <w:highlight w:val="none"/>
        </w:rPr>
      </w:pPr>
    </w:p>
    <w:p w14:paraId="1A30001B">
      <w:pPr>
        <w:spacing w:line="360" w:lineRule="auto"/>
        <w:jc w:val="center"/>
        <w:outlineLvl w:val="3"/>
        <w:rPr>
          <w:rFonts w:hint="eastAsia" w:ascii="宋体" w:hAnsi="宋体" w:eastAsia="宋体" w:cs="宋体"/>
          <w:b/>
          <w:color w:val="auto"/>
          <w:sz w:val="28"/>
          <w:highlight w:val="none"/>
        </w:rPr>
      </w:pPr>
      <w:r>
        <w:rPr>
          <w:rFonts w:hint="eastAsia" w:ascii="宋体" w:hAnsi="宋体" w:eastAsia="宋体" w:cs="宋体"/>
          <w:b/>
          <w:color w:val="auto"/>
          <w:sz w:val="24"/>
          <w:highlight w:val="none"/>
        </w:rPr>
        <w:br w:type="page"/>
      </w:r>
      <w:r>
        <w:rPr>
          <w:rFonts w:hint="eastAsia" w:ascii="宋体" w:hAnsi="宋体" w:eastAsia="宋体" w:cs="宋体"/>
          <w:b/>
          <w:color w:val="auto"/>
          <w:sz w:val="28"/>
          <w:szCs w:val="28"/>
          <w:highlight w:val="none"/>
          <w:lang w:val="zh-CN"/>
        </w:rPr>
        <w:t>（三）监狱企业证明</w:t>
      </w:r>
    </w:p>
    <w:p w14:paraId="30EC2999">
      <w:pPr>
        <w:pStyle w:val="7"/>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（不是监狱企业的无需提供证明材料）</w:t>
      </w:r>
    </w:p>
    <w:p w14:paraId="0E14FC66">
      <w:pPr>
        <w:pStyle w:val="7"/>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注：如是，请提供证明材料；若产品出自符合国家规定的监狱企业，则该产品制造企业必须出具证明材料；提供由省级以上监狱管理局、戒毒管理局（含新疆生产建设兵团）出具的属于监狱企业的证明文件，否则在评审时将不考虑对该监狱企业的相关优惠。监狱企业视同小型、微型企业，享受评审中价格扣除等政府采购促进中小企业发展的政府采购政策。</w:t>
      </w:r>
    </w:p>
    <w:p w14:paraId="175A6232">
      <w:pPr>
        <w:spacing w:line="360" w:lineRule="auto"/>
        <w:jc w:val="both"/>
        <w:rPr>
          <w:rFonts w:hint="eastAsia" w:ascii="宋体" w:hAnsi="宋体" w:eastAsia="宋体" w:cs="宋体"/>
          <w:color w:val="auto"/>
          <w:sz w:val="24"/>
          <w:szCs w:val="24"/>
          <w:highlight w:val="none"/>
        </w:rPr>
      </w:pPr>
    </w:p>
    <w:p w14:paraId="18D875C4">
      <w:pPr>
        <w:pStyle w:val="24"/>
        <w:ind w:firstLine="480"/>
        <w:jc w:val="center"/>
        <w:rPr>
          <w:rFonts w:hint="eastAsia" w:ascii="宋体" w:hAnsi="宋体" w:eastAsia="宋体" w:cs="宋体"/>
          <w:color w:val="auto"/>
          <w:sz w:val="24"/>
          <w:szCs w:val="24"/>
          <w:highlight w:val="none"/>
        </w:rPr>
      </w:pPr>
    </w:p>
    <w:p w14:paraId="24736170">
      <w:pPr>
        <w:pStyle w:val="24"/>
        <w:ind w:firstLine="480"/>
        <w:jc w:val="left"/>
        <w:rPr>
          <w:rFonts w:hint="eastAsia" w:ascii="宋体" w:hAnsi="宋体" w:eastAsia="宋体" w:cs="宋体"/>
          <w:color w:val="auto"/>
          <w:sz w:val="24"/>
          <w:szCs w:val="24"/>
          <w:highlight w:val="none"/>
        </w:rPr>
      </w:pPr>
    </w:p>
    <w:p w14:paraId="37959E71">
      <w:pPr>
        <w:pStyle w:val="24"/>
        <w:ind w:firstLine="480"/>
        <w:jc w:val="left"/>
        <w:rPr>
          <w:rFonts w:hint="eastAsia" w:ascii="宋体" w:hAnsi="宋体" w:eastAsia="宋体" w:cs="宋体"/>
          <w:color w:val="auto"/>
          <w:sz w:val="24"/>
          <w:szCs w:val="24"/>
          <w:highlight w:val="none"/>
        </w:rPr>
      </w:pPr>
    </w:p>
    <w:p w14:paraId="351C96E8">
      <w:pPr>
        <w:pStyle w:val="24"/>
        <w:ind w:firstLine="480"/>
        <w:jc w:val="left"/>
        <w:rPr>
          <w:rFonts w:hint="eastAsia" w:ascii="宋体" w:hAnsi="宋体" w:eastAsia="宋体" w:cs="宋体"/>
          <w:color w:val="auto"/>
          <w:sz w:val="24"/>
          <w:szCs w:val="24"/>
          <w:highlight w:val="none"/>
        </w:rPr>
      </w:pPr>
    </w:p>
    <w:p w14:paraId="2762A2DC">
      <w:pPr>
        <w:pStyle w:val="24"/>
        <w:ind w:firstLine="480"/>
        <w:jc w:val="left"/>
        <w:rPr>
          <w:rFonts w:hint="eastAsia" w:ascii="宋体" w:hAnsi="宋体" w:eastAsia="宋体" w:cs="宋体"/>
          <w:color w:val="auto"/>
          <w:sz w:val="24"/>
          <w:szCs w:val="24"/>
          <w:highlight w:val="none"/>
        </w:rPr>
      </w:pPr>
    </w:p>
    <w:p w14:paraId="51C0B2C2">
      <w:pPr>
        <w:spacing w:line="480" w:lineRule="auto"/>
        <w:outlineLvl w:val="2"/>
        <w:rPr>
          <w:rFonts w:hint="eastAsia" w:ascii="宋体" w:hAnsi="宋体" w:eastAsia="宋体" w:cs="宋体"/>
          <w:b/>
          <w:bCs/>
          <w:color w:val="auto"/>
          <w:sz w:val="24"/>
          <w:szCs w:val="32"/>
          <w:highlight w:val="none"/>
          <w:lang w:val="en-US" w:eastAsia="zh-CN"/>
        </w:rPr>
      </w:pPr>
      <w:r>
        <w:rPr>
          <w:rFonts w:hint="eastAsia" w:ascii="宋体" w:hAnsi="宋体" w:eastAsia="宋体" w:cs="宋体"/>
          <w:color w:val="auto"/>
          <w:sz w:val="24"/>
          <w:highlight w:val="none"/>
          <w:u w:val="single"/>
        </w:rPr>
        <w:br w:type="page"/>
      </w:r>
      <w:r>
        <w:rPr>
          <w:rFonts w:hint="eastAsia" w:ascii="宋体" w:hAnsi="宋体" w:eastAsia="宋体" w:cs="宋体"/>
          <w:b/>
          <w:bCs/>
          <w:color w:val="auto"/>
          <w:sz w:val="24"/>
          <w:szCs w:val="32"/>
          <w:highlight w:val="none"/>
        </w:rPr>
        <w:t>格式</w:t>
      </w:r>
      <w:r>
        <w:rPr>
          <w:rFonts w:hint="eastAsia" w:ascii="宋体" w:hAnsi="宋体" w:cs="宋体"/>
          <w:b/>
          <w:bCs/>
          <w:color w:val="auto"/>
          <w:sz w:val="24"/>
          <w:szCs w:val="32"/>
          <w:highlight w:val="none"/>
          <w:lang w:val="en-US" w:eastAsia="zh-CN"/>
        </w:rPr>
        <w:t>9</w:t>
      </w:r>
      <w:r>
        <w:rPr>
          <w:rFonts w:hint="eastAsia" w:ascii="宋体" w:hAnsi="宋体" w:eastAsia="宋体" w:cs="宋体"/>
          <w:b/>
          <w:bCs/>
          <w:color w:val="auto"/>
          <w:sz w:val="24"/>
          <w:szCs w:val="32"/>
          <w:highlight w:val="none"/>
        </w:rPr>
        <w:t>：</w:t>
      </w:r>
      <w:bookmarkStart w:id="832" w:name="OLE_LINK7"/>
      <w:r>
        <w:rPr>
          <w:rFonts w:hint="eastAsia" w:ascii="宋体" w:hAnsi="宋体" w:eastAsia="宋体" w:cs="宋体"/>
          <w:b/>
          <w:bCs/>
          <w:color w:val="auto"/>
          <w:sz w:val="24"/>
          <w:szCs w:val="32"/>
          <w:highlight w:val="none"/>
          <w:lang w:val="en-US" w:eastAsia="zh-CN"/>
        </w:rPr>
        <w:t>项目组织机构力量配备</w:t>
      </w:r>
    </w:p>
    <w:bookmarkEnd w:id="832"/>
    <w:p w14:paraId="14A97517">
      <w:pPr>
        <w:pStyle w:val="3"/>
        <w:wordWrap w:val="0"/>
        <w:spacing w:before="317" w:beforeLines="100"/>
        <w:jc w:val="center"/>
        <w:rPr>
          <w:rFonts w:hint="eastAsia" w:eastAsia="宋体"/>
        </w:rPr>
      </w:pPr>
      <w:r>
        <w:rPr>
          <w:rFonts w:hint="eastAsia" w:eastAsia="宋体"/>
          <w:lang w:val="en-US" w:eastAsia="zh-CN"/>
        </w:rPr>
        <w:t>二：</w:t>
      </w:r>
      <w:r>
        <w:rPr>
          <w:rFonts w:hint="eastAsia" w:eastAsia="宋体"/>
        </w:rPr>
        <w:t>项目组织机构力量配备</w:t>
      </w:r>
    </w:p>
    <w:p w14:paraId="115AB39A">
      <w:pPr>
        <w:pStyle w:val="4"/>
        <w:widowControl/>
        <w:wordWrap w:val="0"/>
        <w:autoSpaceDE w:val="0"/>
        <w:spacing w:before="0" w:after="0" w:line="360" w:lineRule="auto"/>
        <w:jc w:val="center"/>
        <w:rPr>
          <w:szCs w:val="28"/>
          <w:u w:val="none"/>
        </w:rPr>
      </w:pPr>
      <w:bookmarkStart w:id="833" w:name="_Toc190100553"/>
      <w:r>
        <w:rPr>
          <w:rFonts w:hint="eastAsia"/>
          <w:szCs w:val="28"/>
          <w:u w:val="none"/>
        </w:rPr>
        <w:t>（一）项目负责人</w:t>
      </w:r>
      <w:bookmarkEnd w:id="833"/>
    </w:p>
    <w:tbl>
      <w:tblPr>
        <w:tblStyle w:val="16"/>
        <w:tblW w:w="90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4"/>
        <w:gridCol w:w="1701"/>
        <w:gridCol w:w="567"/>
        <w:gridCol w:w="696"/>
        <w:gridCol w:w="665"/>
        <w:gridCol w:w="812"/>
        <w:gridCol w:w="1400"/>
        <w:gridCol w:w="697"/>
        <w:gridCol w:w="1477"/>
        <w:gridCol w:w="478"/>
      </w:tblGrid>
      <w:tr w14:paraId="755AD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44" w:type="dxa"/>
            <w:vMerge w:val="restart"/>
            <w:noWrap w:val="0"/>
            <w:vAlign w:val="center"/>
          </w:tcPr>
          <w:p w14:paraId="71E49A01">
            <w:pPr>
              <w:wordWrap w:val="0"/>
              <w:spacing w:line="420" w:lineRule="exact"/>
              <w:jc w:val="center"/>
              <w:rPr>
                <w:b/>
                <w:bCs/>
                <w:spacing w:val="10"/>
                <w:sz w:val="24"/>
                <w:szCs w:val="24"/>
              </w:rPr>
            </w:pPr>
            <w:r>
              <w:rPr>
                <w:rFonts w:hint="eastAsia"/>
                <w:b/>
                <w:bCs/>
                <w:spacing w:val="10"/>
                <w:sz w:val="24"/>
                <w:szCs w:val="24"/>
              </w:rPr>
              <w:t>姓名</w:t>
            </w:r>
          </w:p>
        </w:tc>
        <w:tc>
          <w:tcPr>
            <w:tcW w:w="1701" w:type="dxa"/>
            <w:vMerge w:val="restart"/>
            <w:noWrap w:val="0"/>
            <w:vAlign w:val="center"/>
          </w:tcPr>
          <w:p w14:paraId="0FF5B591">
            <w:pPr>
              <w:wordWrap w:val="0"/>
              <w:spacing w:line="420" w:lineRule="exact"/>
              <w:jc w:val="center"/>
              <w:rPr>
                <w:b/>
                <w:bCs/>
                <w:spacing w:val="10"/>
                <w:sz w:val="24"/>
                <w:szCs w:val="24"/>
              </w:rPr>
            </w:pPr>
            <w:r>
              <w:rPr>
                <w:rFonts w:hint="eastAsia"/>
                <w:b/>
                <w:bCs/>
                <w:spacing w:val="10"/>
                <w:sz w:val="24"/>
                <w:szCs w:val="24"/>
              </w:rPr>
              <w:t>在本项目中所担任职务</w:t>
            </w:r>
          </w:p>
        </w:tc>
        <w:tc>
          <w:tcPr>
            <w:tcW w:w="567" w:type="dxa"/>
            <w:vMerge w:val="restart"/>
            <w:noWrap w:val="0"/>
            <w:vAlign w:val="center"/>
          </w:tcPr>
          <w:p w14:paraId="20811D2E">
            <w:pPr>
              <w:wordWrap w:val="0"/>
              <w:spacing w:line="420" w:lineRule="exact"/>
              <w:jc w:val="center"/>
              <w:rPr>
                <w:b/>
                <w:bCs/>
                <w:spacing w:val="10"/>
                <w:sz w:val="24"/>
                <w:szCs w:val="24"/>
              </w:rPr>
            </w:pPr>
            <w:r>
              <w:rPr>
                <w:rFonts w:hint="eastAsia"/>
                <w:b/>
                <w:bCs/>
                <w:spacing w:val="10"/>
                <w:sz w:val="24"/>
                <w:szCs w:val="24"/>
              </w:rPr>
              <w:t>学历</w:t>
            </w:r>
          </w:p>
        </w:tc>
        <w:tc>
          <w:tcPr>
            <w:tcW w:w="696" w:type="dxa"/>
            <w:vMerge w:val="restart"/>
            <w:noWrap w:val="0"/>
            <w:vAlign w:val="center"/>
          </w:tcPr>
          <w:p w14:paraId="7693196C">
            <w:pPr>
              <w:wordWrap w:val="0"/>
              <w:spacing w:line="420" w:lineRule="exact"/>
              <w:jc w:val="center"/>
              <w:rPr>
                <w:b/>
                <w:bCs/>
                <w:spacing w:val="10"/>
                <w:sz w:val="24"/>
                <w:szCs w:val="24"/>
              </w:rPr>
            </w:pPr>
            <w:r>
              <w:rPr>
                <w:rFonts w:hint="eastAsia"/>
                <w:b/>
                <w:bCs/>
                <w:spacing w:val="10"/>
                <w:sz w:val="24"/>
                <w:szCs w:val="24"/>
              </w:rPr>
              <w:t>从事专业</w:t>
            </w:r>
          </w:p>
        </w:tc>
        <w:tc>
          <w:tcPr>
            <w:tcW w:w="665" w:type="dxa"/>
            <w:vMerge w:val="restart"/>
            <w:noWrap w:val="0"/>
            <w:vAlign w:val="center"/>
          </w:tcPr>
          <w:p w14:paraId="378AF669">
            <w:pPr>
              <w:wordWrap w:val="0"/>
              <w:spacing w:line="420" w:lineRule="exact"/>
              <w:jc w:val="center"/>
              <w:rPr>
                <w:b/>
                <w:bCs/>
                <w:spacing w:val="10"/>
                <w:sz w:val="24"/>
                <w:szCs w:val="24"/>
              </w:rPr>
            </w:pPr>
            <w:r>
              <w:rPr>
                <w:rFonts w:hint="eastAsia"/>
                <w:b/>
                <w:bCs/>
                <w:spacing w:val="10"/>
                <w:sz w:val="24"/>
                <w:szCs w:val="24"/>
              </w:rPr>
              <w:t>职称</w:t>
            </w:r>
          </w:p>
        </w:tc>
        <w:tc>
          <w:tcPr>
            <w:tcW w:w="812" w:type="dxa"/>
            <w:vMerge w:val="restart"/>
            <w:noWrap w:val="0"/>
            <w:vAlign w:val="center"/>
          </w:tcPr>
          <w:p w14:paraId="67465EB1">
            <w:pPr>
              <w:wordWrap w:val="0"/>
              <w:spacing w:line="420" w:lineRule="exact"/>
              <w:jc w:val="center"/>
              <w:rPr>
                <w:b/>
                <w:bCs/>
                <w:spacing w:val="10"/>
                <w:sz w:val="24"/>
                <w:szCs w:val="24"/>
              </w:rPr>
            </w:pPr>
            <w:r>
              <w:rPr>
                <w:rFonts w:hint="eastAsia"/>
                <w:b/>
                <w:bCs/>
                <w:spacing w:val="10"/>
                <w:sz w:val="24"/>
                <w:szCs w:val="24"/>
              </w:rPr>
              <w:t xml:space="preserve">相关证书    </w:t>
            </w:r>
          </w:p>
        </w:tc>
        <w:tc>
          <w:tcPr>
            <w:tcW w:w="1400" w:type="dxa"/>
            <w:vMerge w:val="restart"/>
            <w:noWrap w:val="0"/>
            <w:vAlign w:val="center"/>
          </w:tcPr>
          <w:p w14:paraId="7C76D45C">
            <w:pPr>
              <w:wordWrap w:val="0"/>
              <w:jc w:val="center"/>
              <w:rPr>
                <w:b/>
                <w:bCs/>
                <w:spacing w:val="10"/>
                <w:sz w:val="24"/>
                <w:szCs w:val="24"/>
              </w:rPr>
            </w:pPr>
            <w:r>
              <w:rPr>
                <w:rFonts w:hint="eastAsia"/>
                <w:b/>
                <w:bCs/>
                <w:spacing w:val="10"/>
                <w:sz w:val="24"/>
                <w:szCs w:val="24"/>
              </w:rPr>
              <w:t>在本项目中所承担工作简述</w:t>
            </w:r>
          </w:p>
        </w:tc>
        <w:tc>
          <w:tcPr>
            <w:tcW w:w="2174" w:type="dxa"/>
            <w:gridSpan w:val="2"/>
            <w:noWrap w:val="0"/>
            <w:vAlign w:val="center"/>
          </w:tcPr>
          <w:p w14:paraId="3CDDB420">
            <w:pPr>
              <w:wordWrap w:val="0"/>
              <w:jc w:val="center"/>
              <w:rPr>
                <w:b/>
                <w:bCs/>
                <w:spacing w:val="10"/>
                <w:sz w:val="24"/>
                <w:szCs w:val="24"/>
              </w:rPr>
            </w:pPr>
            <w:r>
              <w:rPr>
                <w:rFonts w:hint="eastAsia"/>
                <w:b/>
                <w:bCs/>
                <w:spacing w:val="10"/>
                <w:sz w:val="24"/>
                <w:szCs w:val="24"/>
              </w:rPr>
              <w:t>类似项目参与经验</w:t>
            </w:r>
          </w:p>
        </w:tc>
        <w:tc>
          <w:tcPr>
            <w:tcW w:w="478" w:type="dxa"/>
            <w:vMerge w:val="restart"/>
            <w:noWrap w:val="0"/>
            <w:vAlign w:val="top"/>
          </w:tcPr>
          <w:p w14:paraId="26D972DC">
            <w:pPr>
              <w:wordWrap w:val="0"/>
              <w:jc w:val="center"/>
              <w:rPr>
                <w:b/>
                <w:bCs/>
                <w:spacing w:val="10"/>
                <w:sz w:val="24"/>
                <w:szCs w:val="24"/>
              </w:rPr>
            </w:pPr>
            <w:r>
              <w:rPr>
                <w:rFonts w:hint="eastAsia"/>
                <w:b/>
                <w:bCs/>
                <w:spacing w:val="10"/>
                <w:sz w:val="24"/>
                <w:szCs w:val="24"/>
              </w:rPr>
              <w:t>备注</w:t>
            </w:r>
          </w:p>
        </w:tc>
      </w:tr>
      <w:tr w14:paraId="58EC8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7" w:hRule="atLeast"/>
          <w:jc w:val="center"/>
        </w:trPr>
        <w:tc>
          <w:tcPr>
            <w:tcW w:w="544" w:type="dxa"/>
            <w:vMerge w:val="continue"/>
            <w:noWrap w:val="0"/>
            <w:vAlign w:val="center"/>
          </w:tcPr>
          <w:p w14:paraId="6718DE93">
            <w:pPr>
              <w:wordWrap w:val="0"/>
              <w:spacing w:line="420" w:lineRule="exact"/>
              <w:jc w:val="center"/>
              <w:rPr>
                <w:b/>
                <w:bCs/>
                <w:spacing w:val="10"/>
                <w:sz w:val="24"/>
                <w:szCs w:val="24"/>
              </w:rPr>
            </w:pPr>
          </w:p>
        </w:tc>
        <w:tc>
          <w:tcPr>
            <w:tcW w:w="1701" w:type="dxa"/>
            <w:vMerge w:val="continue"/>
            <w:noWrap w:val="0"/>
            <w:vAlign w:val="center"/>
          </w:tcPr>
          <w:p w14:paraId="7641CE49">
            <w:pPr>
              <w:wordWrap w:val="0"/>
              <w:spacing w:line="420" w:lineRule="exact"/>
              <w:jc w:val="center"/>
              <w:rPr>
                <w:b/>
                <w:bCs/>
                <w:spacing w:val="10"/>
                <w:sz w:val="24"/>
                <w:szCs w:val="24"/>
              </w:rPr>
            </w:pPr>
          </w:p>
        </w:tc>
        <w:tc>
          <w:tcPr>
            <w:tcW w:w="567" w:type="dxa"/>
            <w:vMerge w:val="continue"/>
            <w:noWrap w:val="0"/>
            <w:vAlign w:val="center"/>
          </w:tcPr>
          <w:p w14:paraId="629BA234">
            <w:pPr>
              <w:wordWrap w:val="0"/>
              <w:spacing w:line="420" w:lineRule="exact"/>
              <w:jc w:val="center"/>
              <w:rPr>
                <w:b/>
                <w:bCs/>
                <w:spacing w:val="10"/>
                <w:sz w:val="24"/>
                <w:szCs w:val="24"/>
              </w:rPr>
            </w:pPr>
          </w:p>
        </w:tc>
        <w:tc>
          <w:tcPr>
            <w:tcW w:w="696" w:type="dxa"/>
            <w:vMerge w:val="continue"/>
            <w:noWrap w:val="0"/>
            <w:vAlign w:val="center"/>
          </w:tcPr>
          <w:p w14:paraId="31AC00CB">
            <w:pPr>
              <w:wordWrap w:val="0"/>
              <w:spacing w:line="420" w:lineRule="exact"/>
              <w:jc w:val="center"/>
              <w:rPr>
                <w:b/>
                <w:bCs/>
                <w:spacing w:val="10"/>
                <w:sz w:val="24"/>
                <w:szCs w:val="24"/>
              </w:rPr>
            </w:pPr>
          </w:p>
        </w:tc>
        <w:tc>
          <w:tcPr>
            <w:tcW w:w="665" w:type="dxa"/>
            <w:vMerge w:val="continue"/>
            <w:noWrap w:val="0"/>
            <w:vAlign w:val="center"/>
          </w:tcPr>
          <w:p w14:paraId="21C5DB52">
            <w:pPr>
              <w:wordWrap w:val="0"/>
              <w:spacing w:line="420" w:lineRule="exact"/>
              <w:jc w:val="center"/>
              <w:rPr>
                <w:b/>
                <w:bCs/>
                <w:spacing w:val="10"/>
                <w:sz w:val="24"/>
                <w:szCs w:val="24"/>
              </w:rPr>
            </w:pPr>
          </w:p>
        </w:tc>
        <w:tc>
          <w:tcPr>
            <w:tcW w:w="812" w:type="dxa"/>
            <w:vMerge w:val="continue"/>
            <w:noWrap w:val="0"/>
            <w:vAlign w:val="center"/>
          </w:tcPr>
          <w:p w14:paraId="4BDA0F07">
            <w:pPr>
              <w:wordWrap w:val="0"/>
              <w:spacing w:line="420" w:lineRule="exact"/>
              <w:jc w:val="center"/>
              <w:rPr>
                <w:b/>
                <w:bCs/>
                <w:spacing w:val="10"/>
                <w:sz w:val="24"/>
                <w:szCs w:val="24"/>
              </w:rPr>
            </w:pPr>
          </w:p>
        </w:tc>
        <w:tc>
          <w:tcPr>
            <w:tcW w:w="1400" w:type="dxa"/>
            <w:vMerge w:val="continue"/>
            <w:noWrap w:val="0"/>
            <w:vAlign w:val="center"/>
          </w:tcPr>
          <w:p w14:paraId="52358DE3">
            <w:pPr>
              <w:wordWrap w:val="0"/>
              <w:spacing w:line="420" w:lineRule="exact"/>
              <w:jc w:val="center"/>
              <w:rPr>
                <w:b/>
                <w:bCs/>
                <w:spacing w:val="10"/>
                <w:sz w:val="24"/>
                <w:szCs w:val="24"/>
              </w:rPr>
            </w:pPr>
          </w:p>
        </w:tc>
        <w:tc>
          <w:tcPr>
            <w:tcW w:w="697" w:type="dxa"/>
            <w:noWrap w:val="0"/>
            <w:vAlign w:val="center"/>
          </w:tcPr>
          <w:p w14:paraId="02B3C8D2">
            <w:pPr>
              <w:wordWrap w:val="0"/>
              <w:spacing w:line="420" w:lineRule="exact"/>
              <w:jc w:val="center"/>
              <w:rPr>
                <w:b/>
                <w:bCs/>
                <w:spacing w:val="10"/>
                <w:sz w:val="24"/>
                <w:szCs w:val="24"/>
              </w:rPr>
            </w:pPr>
            <w:r>
              <w:rPr>
                <w:rFonts w:hint="eastAsia"/>
                <w:b/>
                <w:bCs/>
                <w:spacing w:val="10"/>
                <w:sz w:val="24"/>
                <w:szCs w:val="24"/>
              </w:rPr>
              <w:t>有/无</w:t>
            </w:r>
          </w:p>
        </w:tc>
        <w:tc>
          <w:tcPr>
            <w:tcW w:w="1477" w:type="dxa"/>
            <w:noWrap w:val="0"/>
            <w:vAlign w:val="center"/>
          </w:tcPr>
          <w:p w14:paraId="09059157">
            <w:pPr>
              <w:wordWrap w:val="0"/>
              <w:spacing w:line="420" w:lineRule="exact"/>
              <w:jc w:val="center"/>
              <w:rPr>
                <w:b/>
                <w:bCs/>
                <w:spacing w:val="10"/>
                <w:sz w:val="24"/>
                <w:szCs w:val="24"/>
              </w:rPr>
            </w:pPr>
            <w:r>
              <w:rPr>
                <w:rFonts w:hint="eastAsia"/>
                <w:b/>
                <w:bCs/>
                <w:spacing w:val="10"/>
                <w:sz w:val="24"/>
                <w:szCs w:val="24"/>
              </w:rPr>
              <w:t>具体阐述(若有)</w:t>
            </w:r>
          </w:p>
        </w:tc>
        <w:tc>
          <w:tcPr>
            <w:tcW w:w="478" w:type="dxa"/>
            <w:vMerge w:val="continue"/>
            <w:noWrap w:val="0"/>
            <w:vAlign w:val="top"/>
          </w:tcPr>
          <w:p w14:paraId="697F6992">
            <w:pPr>
              <w:wordWrap w:val="0"/>
              <w:spacing w:line="420" w:lineRule="exact"/>
              <w:jc w:val="center"/>
              <w:rPr>
                <w:b/>
                <w:bCs/>
                <w:spacing w:val="10"/>
                <w:sz w:val="24"/>
                <w:szCs w:val="24"/>
              </w:rPr>
            </w:pPr>
          </w:p>
        </w:tc>
      </w:tr>
      <w:tr w14:paraId="13590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6" w:hRule="exact"/>
          <w:jc w:val="center"/>
        </w:trPr>
        <w:tc>
          <w:tcPr>
            <w:tcW w:w="544" w:type="dxa"/>
            <w:noWrap w:val="0"/>
            <w:vAlign w:val="center"/>
          </w:tcPr>
          <w:p w14:paraId="40C28DE1">
            <w:pPr>
              <w:wordWrap w:val="0"/>
              <w:spacing w:line="420" w:lineRule="exact"/>
              <w:jc w:val="center"/>
              <w:rPr>
                <w:spacing w:val="10"/>
                <w:sz w:val="24"/>
                <w:szCs w:val="24"/>
              </w:rPr>
            </w:pPr>
          </w:p>
        </w:tc>
        <w:tc>
          <w:tcPr>
            <w:tcW w:w="1701" w:type="dxa"/>
            <w:noWrap w:val="0"/>
            <w:vAlign w:val="center"/>
          </w:tcPr>
          <w:p w14:paraId="649731A1">
            <w:pPr>
              <w:wordWrap w:val="0"/>
              <w:spacing w:line="420" w:lineRule="exact"/>
              <w:jc w:val="center"/>
              <w:rPr>
                <w:spacing w:val="10"/>
                <w:sz w:val="24"/>
                <w:szCs w:val="24"/>
              </w:rPr>
            </w:pPr>
          </w:p>
        </w:tc>
        <w:tc>
          <w:tcPr>
            <w:tcW w:w="567" w:type="dxa"/>
            <w:noWrap w:val="0"/>
            <w:vAlign w:val="center"/>
          </w:tcPr>
          <w:p w14:paraId="6362824D">
            <w:pPr>
              <w:wordWrap w:val="0"/>
              <w:spacing w:line="420" w:lineRule="exact"/>
              <w:jc w:val="center"/>
              <w:rPr>
                <w:spacing w:val="10"/>
                <w:sz w:val="24"/>
                <w:szCs w:val="24"/>
              </w:rPr>
            </w:pPr>
          </w:p>
        </w:tc>
        <w:tc>
          <w:tcPr>
            <w:tcW w:w="696" w:type="dxa"/>
            <w:noWrap w:val="0"/>
            <w:vAlign w:val="center"/>
          </w:tcPr>
          <w:p w14:paraId="3C875BCF">
            <w:pPr>
              <w:wordWrap w:val="0"/>
              <w:spacing w:line="420" w:lineRule="exact"/>
              <w:jc w:val="center"/>
              <w:rPr>
                <w:spacing w:val="10"/>
                <w:sz w:val="24"/>
                <w:szCs w:val="24"/>
              </w:rPr>
            </w:pPr>
          </w:p>
        </w:tc>
        <w:tc>
          <w:tcPr>
            <w:tcW w:w="665" w:type="dxa"/>
            <w:noWrap w:val="0"/>
            <w:vAlign w:val="center"/>
          </w:tcPr>
          <w:p w14:paraId="24552ACA">
            <w:pPr>
              <w:wordWrap w:val="0"/>
              <w:spacing w:line="420" w:lineRule="exact"/>
              <w:jc w:val="center"/>
              <w:rPr>
                <w:spacing w:val="10"/>
                <w:sz w:val="24"/>
                <w:szCs w:val="24"/>
              </w:rPr>
            </w:pPr>
          </w:p>
        </w:tc>
        <w:tc>
          <w:tcPr>
            <w:tcW w:w="812" w:type="dxa"/>
            <w:noWrap w:val="0"/>
            <w:vAlign w:val="center"/>
          </w:tcPr>
          <w:p w14:paraId="41D179B5">
            <w:pPr>
              <w:wordWrap w:val="0"/>
              <w:spacing w:line="420" w:lineRule="exact"/>
              <w:jc w:val="center"/>
              <w:rPr>
                <w:spacing w:val="10"/>
                <w:sz w:val="24"/>
                <w:szCs w:val="24"/>
              </w:rPr>
            </w:pPr>
          </w:p>
        </w:tc>
        <w:tc>
          <w:tcPr>
            <w:tcW w:w="1400" w:type="dxa"/>
            <w:noWrap w:val="0"/>
            <w:vAlign w:val="center"/>
          </w:tcPr>
          <w:p w14:paraId="3F1952EF">
            <w:pPr>
              <w:wordWrap w:val="0"/>
              <w:spacing w:line="420" w:lineRule="exact"/>
              <w:jc w:val="center"/>
              <w:rPr>
                <w:spacing w:val="10"/>
                <w:sz w:val="24"/>
                <w:szCs w:val="24"/>
              </w:rPr>
            </w:pPr>
          </w:p>
        </w:tc>
        <w:tc>
          <w:tcPr>
            <w:tcW w:w="697" w:type="dxa"/>
            <w:noWrap w:val="0"/>
            <w:vAlign w:val="center"/>
          </w:tcPr>
          <w:p w14:paraId="07AA0DA7">
            <w:pPr>
              <w:wordWrap w:val="0"/>
              <w:spacing w:line="420" w:lineRule="exact"/>
              <w:jc w:val="center"/>
              <w:rPr>
                <w:spacing w:val="10"/>
                <w:sz w:val="24"/>
                <w:szCs w:val="24"/>
              </w:rPr>
            </w:pPr>
          </w:p>
        </w:tc>
        <w:tc>
          <w:tcPr>
            <w:tcW w:w="1477" w:type="dxa"/>
            <w:noWrap w:val="0"/>
            <w:vAlign w:val="center"/>
          </w:tcPr>
          <w:p w14:paraId="5B083225">
            <w:pPr>
              <w:wordWrap w:val="0"/>
              <w:spacing w:line="420" w:lineRule="exact"/>
              <w:jc w:val="center"/>
              <w:rPr>
                <w:spacing w:val="10"/>
                <w:sz w:val="24"/>
                <w:szCs w:val="24"/>
              </w:rPr>
            </w:pPr>
          </w:p>
        </w:tc>
        <w:tc>
          <w:tcPr>
            <w:tcW w:w="478" w:type="dxa"/>
            <w:noWrap w:val="0"/>
            <w:vAlign w:val="top"/>
          </w:tcPr>
          <w:p w14:paraId="5F8E7E42">
            <w:pPr>
              <w:wordWrap w:val="0"/>
              <w:spacing w:line="420" w:lineRule="exact"/>
              <w:jc w:val="center"/>
              <w:rPr>
                <w:spacing w:val="10"/>
                <w:sz w:val="24"/>
                <w:szCs w:val="24"/>
              </w:rPr>
            </w:pPr>
          </w:p>
        </w:tc>
      </w:tr>
    </w:tbl>
    <w:p w14:paraId="7715F99F">
      <w:pPr>
        <w:wordWrap w:val="0"/>
        <w:spacing w:line="360" w:lineRule="auto"/>
        <w:rPr>
          <w:rFonts w:hint="eastAsia"/>
          <w:b/>
          <w:bCs/>
          <w:sz w:val="24"/>
          <w:szCs w:val="24"/>
        </w:rPr>
      </w:pPr>
      <w:r>
        <w:rPr>
          <w:rFonts w:hint="eastAsia"/>
          <w:b/>
          <w:bCs/>
          <w:sz w:val="24"/>
          <w:szCs w:val="24"/>
        </w:rPr>
        <w:t>注：</w:t>
      </w:r>
      <w:bookmarkStart w:id="834" w:name="_Hlk187922428"/>
      <w:r>
        <w:rPr>
          <w:rFonts w:hint="eastAsia" w:ascii="宋体" w:hAnsi="宋体" w:cs="宋体"/>
          <w:b/>
          <w:bCs/>
          <w:sz w:val="24"/>
        </w:rPr>
        <w:t>须提供项目负责人的</w:t>
      </w:r>
      <w:r>
        <w:rPr>
          <w:rFonts w:hint="eastAsia"/>
          <w:b/>
          <w:bCs/>
          <w:sz w:val="24"/>
          <w:szCs w:val="24"/>
        </w:rPr>
        <w:t>身份证、毕业证或学历证或学位证、职称证或资格证、劳动合同或社保证明材料的</w:t>
      </w:r>
      <w:r>
        <w:rPr>
          <w:rFonts w:hint="eastAsia"/>
          <w:b/>
          <w:bCs/>
          <w:sz w:val="24"/>
          <w:szCs w:val="24"/>
          <w:lang w:val="en-US" w:eastAsia="zh-CN"/>
        </w:rPr>
        <w:t>扫描</w:t>
      </w:r>
      <w:r>
        <w:rPr>
          <w:rFonts w:hint="eastAsia"/>
          <w:b/>
          <w:bCs/>
          <w:sz w:val="24"/>
          <w:szCs w:val="24"/>
        </w:rPr>
        <w:t>件，未提供视为无效。</w:t>
      </w:r>
      <w:bookmarkEnd w:id="834"/>
    </w:p>
    <w:p w14:paraId="0C05AE6D">
      <w:pPr>
        <w:pStyle w:val="24"/>
        <w:ind w:firstLine="480"/>
        <w:jc w:val="center"/>
        <w:rPr>
          <w:rFonts w:hint="eastAsia" w:ascii="宋体" w:hAnsi="宋体" w:eastAsia="宋体" w:cs="宋体"/>
          <w:color w:val="auto"/>
          <w:sz w:val="24"/>
          <w:szCs w:val="24"/>
          <w:highlight w:val="none"/>
        </w:rPr>
      </w:pPr>
    </w:p>
    <w:p w14:paraId="515A50F3">
      <w:pPr>
        <w:pStyle w:val="24"/>
        <w:ind w:firstLine="480"/>
        <w:jc w:val="center"/>
        <w:rPr>
          <w:rFonts w:hint="eastAsia" w:ascii="宋体" w:hAnsi="宋体" w:eastAsia="宋体" w:cs="宋体"/>
          <w:color w:val="auto"/>
          <w:sz w:val="24"/>
          <w:szCs w:val="24"/>
          <w:highlight w:val="none"/>
        </w:rPr>
      </w:pPr>
    </w:p>
    <w:p w14:paraId="350FEDAE">
      <w:pPr>
        <w:pStyle w:val="24"/>
        <w:ind w:firstLine="480"/>
        <w:jc w:val="left"/>
        <w:rPr>
          <w:rFonts w:hint="eastAsia" w:ascii="宋体" w:hAnsi="宋体" w:eastAsia="宋体" w:cs="宋体"/>
          <w:color w:val="auto"/>
          <w:sz w:val="24"/>
          <w:szCs w:val="24"/>
          <w:highlight w:val="none"/>
        </w:rPr>
      </w:pPr>
    </w:p>
    <w:p w14:paraId="189F3DE0">
      <w:pPr>
        <w:pStyle w:val="24"/>
        <w:ind w:firstLine="480"/>
        <w:jc w:val="left"/>
        <w:rPr>
          <w:rFonts w:hint="eastAsia" w:ascii="宋体" w:hAnsi="宋体" w:eastAsia="宋体" w:cs="宋体"/>
          <w:color w:val="auto"/>
          <w:sz w:val="24"/>
          <w:szCs w:val="24"/>
          <w:highlight w:val="none"/>
        </w:rPr>
      </w:pPr>
    </w:p>
    <w:p w14:paraId="1936FEB5">
      <w:pPr>
        <w:tabs>
          <w:tab w:val="left" w:pos="4860"/>
        </w:tabs>
        <w:spacing w:line="360" w:lineRule="auto"/>
        <w:ind w:right="1560" w:firstLine="422"/>
        <w:jc w:val="left"/>
        <w:rPr>
          <w:rFonts w:hint="eastAsia" w:ascii="宋体" w:hAnsi="宋体" w:eastAsia="宋体" w:cs="宋体"/>
          <w:b/>
          <w:bCs/>
          <w:szCs w:val="21"/>
        </w:rPr>
      </w:pPr>
      <w:r>
        <w:rPr>
          <w:rFonts w:hint="eastAsia" w:ascii="宋体" w:hAnsi="宋体" w:eastAsia="宋体" w:cs="宋体"/>
          <w:b/>
          <w:bCs/>
          <w:szCs w:val="21"/>
        </w:rPr>
        <w:t>投标人：（</w:t>
      </w:r>
      <w:r>
        <w:rPr>
          <w:rFonts w:hint="eastAsia" w:ascii="宋体" w:hAnsi="宋体" w:eastAsia="宋体" w:cs="宋体"/>
          <w:b/>
          <w:bCs/>
          <w:szCs w:val="21"/>
          <w:lang w:eastAsia="zh-CN"/>
        </w:rPr>
        <w:t>电子签章</w:t>
      </w:r>
      <w:r>
        <w:rPr>
          <w:rFonts w:hint="eastAsia" w:ascii="宋体" w:hAnsi="宋体" w:eastAsia="宋体" w:cs="宋体"/>
          <w:b/>
          <w:bCs/>
          <w:szCs w:val="21"/>
        </w:rPr>
        <w:t>）</w:t>
      </w:r>
    </w:p>
    <w:p w14:paraId="50B71AB6">
      <w:pPr>
        <w:tabs>
          <w:tab w:val="left" w:pos="4860"/>
        </w:tabs>
        <w:spacing w:line="360" w:lineRule="auto"/>
        <w:ind w:right="1560" w:firstLine="422"/>
        <w:jc w:val="left"/>
        <w:rPr>
          <w:rFonts w:hint="eastAsia" w:ascii="宋体" w:hAnsi="宋体" w:eastAsia="宋体" w:cs="宋体"/>
          <w:b/>
          <w:bCs/>
          <w:szCs w:val="21"/>
        </w:rPr>
      </w:pPr>
      <w:r>
        <w:rPr>
          <w:rFonts w:hint="eastAsia" w:ascii="宋体" w:hAnsi="宋体" w:eastAsia="宋体" w:cs="宋体"/>
          <w:b/>
          <w:bCs/>
          <w:szCs w:val="21"/>
        </w:rPr>
        <w:t>法定代表人（单位负责人）或委托代理人：（签</w:t>
      </w:r>
      <w:r>
        <w:rPr>
          <w:rFonts w:hint="eastAsia" w:ascii="宋体" w:hAnsi="宋体" w:cs="宋体"/>
          <w:b/>
          <w:bCs/>
          <w:szCs w:val="21"/>
          <w:lang w:val="en-US" w:eastAsia="zh-CN"/>
        </w:rPr>
        <w:t>字</w:t>
      </w:r>
      <w:r>
        <w:rPr>
          <w:rFonts w:hint="eastAsia" w:ascii="宋体" w:hAnsi="宋体" w:eastAsia="宋体" w:cs="宋体"/>
          <w:b/>
          <w:bCs/>
          <w:szCs w:val="21"/>
        </w:rPr>
        <w:t>或电子签章）</w:t>
      </w:r>
    </w:p>
    <w:p w14:paraId="30B007D8">
      <w:pPr>
        <w:spacing w:line="360" w:lineRule="auto"/>
        <w:ind w:firstLine="422"/>
        <w:rPr>
          <w:rFonts w:hint="eastAsia" w:ascii="宋体" w:hAnsi="宋体" w:eastAsia="宋体" w:cs="宋体"/>
          <w:b/>
          <w:bCs/>
          <w:szCs w:val="21"/>
        </w:rPr>
      </w:pPr>
      <w:r>
        <w:rPr>
          <w:rFonts w:hint="eastAsia" w:ascii="宋体" w:hAnsi="宋体" w:eastAsia="宋体" w:cs="宋体"/>
          <w:b/>
          <w:bCs/>
          <w:szCs w:val="21"/>
        </w:rPr>
        <w:t>日期：年月日</w:t>
      </w:r>
    </w:p>
    <w:p w14:paraId="280E7D9F">
      <w:pPr>
        <w:pStyle w:val="24"/>
        <w:ind w:firstLine="480"/>
        <w:jc w:val="left"/>
        <w:rPr>
          <w:rFonts w:hint="eastAsia" w:ascii="宋体" w:hAnsi="宋体" w:eastAsia="宋体" w:cs="宋体"/>
          <w:color w:val="auto"/>
          <w:sz w:val="24"/>
          <w:szCs w:val="24"/>
          <w:highlight w:val="none"/>
        </w:rPr>
      </w:pPr>
    </w:p>
    <w:p w14:paraId="6D6237C5">
      <w:pPr>
        <w:pStyle w:val="24"/>
        <w:ind w:firstLine="480"/>
        <w:jc w:val="left"/>
        <w:rPr>
          <w:rFonts w:hint="eastAsia" w:ascii="宋体" w:hAnsi="宋体" w:eastAsia="宋体" w:cs="宋体"/>
          <w:color w:val="auto"/>
          <w:sz w:val="24"/>
          <w:szCs w:val="24"/>
          <w:highlight w:val="none"/>
        </w:rPr>
      </w:pPr>
    </w:p>
    <w:p w14:paraId="78B8005A">
      <w:pPr>
        <w:pStyle w:val="24"/>
        <w:ind w:firstLine="480"/>
        <w:jc w:val="left"/>
        <w:rPr>
          <w:rFonts w:hint="eastAsia" w:ascii="宋体" w:hAnsi="宋体" w:eastAsia="宋体" w:cs="宋体"/>
          <w:color w:val="auto"/>
          <w:sz w:val="24"/>
          <w:szCs w:val="24"/>
          <w:highlight w:val="none"/>
        </w:rPr>
      </w:pPr>
    </w:p>
    <w:p w14:paraId="361851A6">
      <w:pPr>
        <w:pStyle w:val="24"/>
        <w:ind w:firstLine="480"/>
        <w:jc w:val="left"/>
        <w:rPr>
          <w:rFonts w:hint="eastAsia" w:ascii="宋体" w:hAnsi="宋体" w:eastAsia="宋体" w:cs="宋体"/>
          <w:color w:val="auto"/>
          <w:sz w:val="24"/>
          <w:szCs w:val="24"/>
          <w:highlight w:val="none"/>
        </w:rPr>
      </w:pPr>
    </w:p>
    <w:p w14:paraId="2C9BFE2F">
      <w:pPr>
        <w:pStyle w:val="24"/>
        <w:ind w:firstLine="480"/>
        <w:jc w:val="left"/>
        <w:rPr>
          <w:rFonts w:hint="eastAsia" w:ascii="宋体" w:hAnsi="宋体" w:eastAsia="宋体" w:cs="宋体"/>
          <w:color w:val="auto"/>
          <w:sz w:val="24"/>
          <w:szCs w:val="24"/>
          <w:highlight w:val="none"/>
        </w:rPr>
      </w:pPr>
    </w:p>
    <w:p w14:paraId="777085F6">
      <w:pPr>
        <w:pStyle w:val="24"/>
        <w:ind w:firstLine="480"/>
        <w:jc w:val="left"/>
        <w:rPr>
          <w:rFonts w:hint="eastAsia" w:ascii="宋体" w:hAnsi="宋体" w:eastAsia="宋体" w:cs="宋体"/>
          <w:color w:val="auto"/>
          <w:sz w:val="24"/>
          <w:szCs w:val="24"/>
          <w:highlight w:val="none"/>
        </w:rPr>
      </w:pPr>
    </w:p>
    <w:p w14:paraId="52D732AF">
      <w:pPr>
        <w:pStyle w:val="24"/>
        <w:ind w:firstLine="480"/>
        <w:jc w:val="left"/>
        <w:rPr>
          <w:rFonts w:hint="eastAsia" w:ascii="宋体" w:hAnsi="宋体" w:eastAsia="宋体" w:cs="宋体"/>
          <w:color w:val="auto"/>
          <w:sz w:val="24"/>
          <w:szCs w:val="24"/>
          <w:highlight w:val="none"/>
        </w:rPr>
      </w:pPr>
    </w:p>
    <w:p w14:paraId="7791EA27">
      <w:pPr>
        <w:pStyle w:val="24"/>
        <w:ind w:firstLine="480"/>
        <w:jc w:val="left"/>
        <w:rPr>
          <w:rFonts w:hint="eastAsia" w:ascii="宋体" w:hAnsi="宋体" w:eastAsia="宋体" w:cs="宋体"/>
          <w:color w:val="auto"/>
          <w:sz w:val="24"/>
          <w:szCs w:val="24"/>
          <w:highlight w:val="none"/>
        </w:rPr>
      </w:pPr>
    </w:p>
    <w:p w14:paraId="16FA4BE8">
      <w:pPr>
        <w:pStyle w:val="24"/>
        <w:ind w:firstLine="480"/>
        <w:jc w:val="left"/>
        <w:rPr>
          <w:rFonts w:hint="eastAsia" w:ascii="宋体" w:hAnsi="宋体" w:eastAsia="宋体" w:cs="宋体"/>
          <w:color w:val="auto"/>
          <w:sz w:val="24"/>
          <w:szCs w:val="24"/>
          <w:highlight w:val="none"/>
        </w:rPr>
      </w:pPr>
    </w:p>
    <w:p w14:paraId="10DE5753">
      <w:pPr>
        <w:pStyle w:val="24"/>
        <w:ind w:firstLine="480"/>
        <w:jc w:val="left"/>
        <w:rPr>
          <w:rFonts w:hint="eastAsia" w:ascii="宋体" w:hAnsi="宋体" w:eastAsia="宋体" w:cs="宋体"/>
          <w:color w:val="auto"/>
          <w:sz w:val="24"/>
          <w:szCs w:val="24"/>
          <w:highlight w:val="none"/>
        </w:rPr>
      </w:pPr>
    </w:p>
    <w:p w14:paraId="4D6F0C4F">
      <w:pPr>
        <w:pStyle w:val="24"/>
        <w:ind w:firstLine="480"/>
        <w:jc w:val="left"/>
        <w:rPr>
          <w:rFonts w:hint="eastAsia" w:ascii="宋体" w:hAnsi="宋体" w:eastAsia="宋体" w:cs="宋体"/>
          <w:color w:val="auto"/>
          <w:sz w:val="24"/>
          <w:szCs w:val="24"/>
          <w:highlight w:val="none"/>
        </w:rPr>
      </w:pPr>
    </w:p>
    <w:p w14:paraId="3E22F700">
      <w:pPr>
        <w:pStyle w:val="4"/>
        <w:widowControl/>
        <w:wordWrap w:val="0"/>
        <w:autoSpaceDE w:val="0"/>
        <w:spacing w:before="0" w:after="0" w:line="360" w:lineRule="auto"/>
        <w:jc w:val="center"/>
        <w:rPr>
          <w:b/>
          <w:bCs w:val="0"/>
          <w:szCs w:val="28"/>
          <w:u w:val="none"/>
        </w:rPr>
      </w:pPr>
      <w:bookmarkStart w:id="835" w:name="_Toc190100554"/>
      <w:r>
        <w:rPr>
          <w:rFonts w:hint="eastAsia"/>
          <w:b/>
          <w:bCs w:val="0"/>
          <w:szCs w:val="28"/>
          <w:u w:val="none"/>
        </w:rPr>
        <w:t>（二）项目团队成员</w:t>
      </w:r>
      <w:bookmarkEnd w:id="835"/>
    </w:p>
    <w:tbl>
      <w:tblPr>
        <w:tblStyle w:val="16"/>
        <w:tblW w:w="95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7"/>
        <w:gridCol w:w="544"/>
        <w:gridCol w:w="1701"/>
        <w:gridCol w:w="567"/>
        <w:gridCol w:w="696"/>
        <w:gridCol w:w="665"/>
        <w:gridCol w:w="812"/>
        <w:gridCol w:w="1400"/>
        <w:gridCol w:w="697"/>
        <w:gridCol w:w="1477"/>
        <w:gridCol w:w="478"/>
      </w:tblGrid>
      <w:tr w14:paraId="3FF1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77" w:type="dxa"/>
            <w:vMerge w:val="restart"/>
            <w:noWrap w:val="0"/>
            <w:vAlign w:val="center"/>
          </w:tcPr>
          <w:p w14:paraId="5D294641">
            <w:pPr>
              <w:wordWrap w:val="0"/>
              <w:spacing w:line="420" w:lineRule="exact"/>
              <w:jc w:val="center"/>
              <w:rPr>
                <w:b/>
                <w:bCs/>
                <w:spacing w:val="10"/>
                <w:sz w:val="24"/>
                <w:szCs w:val="24"/>
              </w:rPr>
            </w:pPr>
            <w:r>
              <w:rPr>
                <w:rFonts w:hint="eastAsia"/>
                <w:b/>
                <w:bCs/>
                <w:spacing w:val="10"/>
                <w:sz w:val="24"/>
                <w:szCs w:val="24"/>
              </w:rPr>
              <w:t>序</w:t>
            </w:r>
          </w:p>
          <w:p w14:paraId="1F492942">
            <w:pPr>
              <w:wordWrap w:val="0"/>
              <w:spacing w:line="420" w:lineRule="exact"/>
              <w:jc w:val="center"/>
              <w:rPr>
                <w:b/>
                <w:bCs/>
                <w:spacing w:val="10"/>
                <w:sz w:val="24"/>
                <w:szCs w:val="24"/>
              </w:rPr>
            </w:pPr>
            <w:r>
              <w:rPr>
                <w:rFonts w:hint="eastAsia"/>
                <w:b/>
                <w:bCs/>
                <w:spacing w:val="10"/>
                <w:sz w:val="24"/>
                <w:szCs w:val="24"/>
              </w:rPr>
              <w:t>号</w:t>
            </w:r>
          </w:p>
        </w:tc>
        <w:tc>
          <w:tcPr>
            <w:tcW w:w="544" w:type="dxa"/>
            <w:vMerge w:val="restart"/>
            <w:noWrap w:val="0"/>
            <w:vAlign w:val="center"/>
          </w:tcPr>
          <w:p w14:paraId="502A4A84">
            <w:pPr>
              <w:wordWrap w:val="0"/>
              <w:spacing w:line="420" w:lineRule="exact"/>
              <w:jc w:val="center"/>
              <w:rPr>
                <w:b/>
                <w:bCs/>
                <w:spacing w:val="10"/>
                <w:sz w:val="24"/>
                <w:szCs w:val="24"/>
              </w:rPr>
            </w:pPr>
            <w:r>
              <w:rPr>
                <w:rFonts w:hint="eastAsia"/>
                <w:b/>
                <w:bCs/>
                <w:spacing w:val="10"/>
                <w:sz w:val="24"/>
                <w:szCs w:val="24"/>
              </w:rPr>
              <w:t>姓名</w:t>
            </w:r>
          </w:p>
        </w:tc>
        <w:tc>
          <w:tcPr>
            <w:tcW w:w="1701" w:type="dxa"/>
            <w:vMerge w:val="restart"/>
            <w:noWrap w:val="0"/>
            <w:vAlign w:val="center"/>
          </w:tcPr>
          <w:p w14:paraId="65A2B1DE">
            <w:pPr>
              <w:wordWrap w:val="0"/>
              <w:spacing w:line="420" w:lineRule="exact"/>
              <w:jc w:val="center"/>
              <w:rPr>
                <w:b/>
                <w:bCs/>
                <w:spacing w:val="10"/>
                <w:sz w:val="24"/>
                <w:szCs w:val="24"/>
              </w:rPr>
            </w:pPr>
            <w:r>
              <w:rPr>
                <w:rFonts w:hint="eastAsia"/>
                <w:b/>
                <w:bCs/>
                <w:spacing w:val="10"/>
                <w:sz w:val="24"/>
                <w:szCs w:val="24"/>
              </w:rPr>
              <w:t>在本项目中所担任职务</w:t>
            </w:r>
          </w:p>
        </w:tc>
        <w:tc>
          <w:tcPr>
            <w:tcW w:w="567" w:type="dxa"/>
            <w:vMerge w:val="restart"/>
            <w:noWrap w:val="0"/>
            <w:vAlign w:val="center"/>
          </w:tcPr>
          <w:p w14:paraId="640335C6">
            <w:pPr>
              <w:wordWrap w:val="0"/>
              <w:spacing w:line="420" w:lineRule="exact"/>
              <w:jc w:val="center"/>
              <w:rPr>
                <w:b/>
                <w:bCs/>
                <w:spacing w:val="10"/>
                <w:sz w:val="24"/>
                <w:szCs w:val="24"/>
              </w:rPr>
            </w:pPr>
            <w:r>
              <w:rPr>
                <w:rFonts w:hint="eastAsia"/>
                <w:b/>
                <w:bCs/>
                <w:spacing w:val="10"/>
                <w:sz w:val="24"/>
                <w:szCs w:val="24"/>
              </w:rPr>
              <w:t>学历</w:t>
            </w:r>
          </w:p>
        </w:tc>
        <w:tc>
          <w:tcPr>
            <w:tcW w:w="696" w:type="dxa"/>
            <w:vMerge w:val="restart"/>
            <w:noWrap w:val="0"/>
            <w:vAlign w:val="center"/>
          </w:tcPr>
          <w:p w14:paraId="721A775A">
            <w:pPr>
              <w:wordWrap w:val="0"/>
              <w:spacing w:line="420" w:lineRule="exact"/>
              <w:jc w:val="center"/>
              <w:rPr>
                <w:b/>
                <w:bCs/>
                <w:spacing w:val="10"/>
                <w:sz w:val="24"/>
                <w:szCs w:val="24"/>
              </w:rPr>
            </w:pPr>
            <w:r>
              <w:rPr>
                <w:rFonts w:hint="eastAsia"/>
                <w:b/>
                <w:bCs/>
                <w:spacing w:val="10"/>
                <w:sz w:val="24"/>
                <w:szCs w:val="24"/>
              </w:rPr>
              <w:t>从事专业</w:t>
            </w:r>
          </w:p>
        </w:tc>
        <w:tc>
          <w:tcPr>
            <w:tcW w:w="665" w:type="dxa"/>
            <w:vMerge w:val="restart"/>
            <w:noWrap w:val="0"/>
            <w:vAlign w:val="center"/>
          </w:tcPr>
          <w:p w14:paraId="61287966">
            <w:pPr>
              <w:wordWrap w:val="0"/>
              <w:spacing w:line="420" w:lineRule="exact"/>
              <w:jc w:val="center"/>
              <w:rPr>
                <w:b/>
                <w:bCs/>
                <w:spacing w:val="10"/>
                <w:sz w:val="24"/>
                <w:szCs w:val="24"/>
              </w:rPr>
            </w:pPr>
            <w:r>
              <w:rPr>
                <w:rFonts w:hint="eastAsia"/>
                <w:b/>
                <w:bCs/>
                <w:spacing w:val="10"/>
                <w:sz w:val="24"/>
                <w:szCs w:val="24"/>
              </w:rPr>
              <w:t>职称</w:t>
            </w:r>
          </w:p>
        </w:tc>
        <w:tc>
          <w:tcPr>
            <w:tcW w:w="812" w:type="dxa"/>
            <w:vMerge w:val="restart"/>
            <w:noWrap w:val="0"/>
            <w:vAlign w:val="center"/>
          </w:tcPr>
          <w:p w14:paraId="270B9095">
            <w:pPr>
              <w:wordWrap w:val="0"/>
              <w:spacing w:line="420" w:lineRule="exact"/>
              <w:jc w:val="center"/>
              <w:rPr>
                <w:b/>
                <w:bCs/>
                <w:spacing w:val="10"/>
                <w:sz w:val="24"/>
                <w:szCs w:val="24"/>
              </w:rPr>
            </w:pPr>
            <w:r>
              <w:rPr>
                <w:rFonts w:hint="eastAsia"/>
                <w:b/>
                <w:bCs/>
                <w:spacing w:val="10"/>
                <w:sz w:val="24"/>
                <w:szCs w:val="24"/>
              </w:rPr>
              <w:t xml:space="preserve">相关证书    </w:t>
            </w:r>
          </w:p>
        </w:tc>
        <w:tc>
          <w:tcPr>
            <w:tcW w:w="1400" w:type="dxa"/>
            <w:vMerge w:val="restart"/>
            <w:noWrap w:val="0"/>
            <w:vAlign w:val="center"/>
          </w:tcPr>
          <w:p w14:paraId="5117C03A">
            <w:pPr>
              <w:wordWrap w:val="0"/>
              <w:jc w:val="center"/>
              <w:rPr>
                <w:b/>
                <w:bCs/>
                <w:spacing w:val="10"/>
                <w:sz w:val="24"/>
                <w:szCs w:val="24"/>
              </w:rPr>
            </w:pPr>
            <w:r>
              <w:rPr>
                <w:rFonts w:hint="eastAsia"/>
                <w:b/>
                <w:bCs/>
                <w:spacing w:val="10"/>
                <w:sz w:val="24"/>
                <w:szCs w:val="24"/>
              </w:rPr>
              <w:t>在本项目中所承担工作简述</w:t>
            </w:r>
          </w:p>
        </w:tc>
        <w:tc>
          <w:tcPr>
            <w:tcW w:w="2174" w:type="dxa"/>
            <w:gridSpan w:val="2"/>
            <w:noWrap w:val="0"/>
            <w:vAlign w:val="center"/>
          </w:tcPr>
          <w:p w14:paraId="49DE4383">
            <w:pPr>
              <w:wordWrap w:val="0"/>
              <w:jc w:val="center"/>
              <w:rPr>
                <w:b/>
                <w:bCs/>
                <w:spacing w:val="10"/>
                <w:sz w:val="24"/>
                <w:szCs w:val="24"/>
              </w:rPr>
            </w:pPr>
            <w:r>
              <w:rPr>
                <w:rFonts w:hint="eastAsia"/>
                <w:b/>
                <w:bCs/>
                <w:spacing w:val="10"/>
                <w:sz w:val="24"/>
                <w:szCs w:val="24"/>
              </w:rPr>
              <w:t>类似项目参与经验</w:t>
            </w:r>
          </w:p>
        </w:tc>
        <w:tc>
          <w:tcPr>
            <w:tcW w:w="478" w:type="dxa"/>
            <w:vMerge w:val="restart"/>
            <w:noWrap w:val="0"/>
            <w:vAlign w:val="top"/>
          </w:tcPr>
          <w:p w14:paraId="0B1B2CB5">
            <w:pPr>
              <w:wordWrap w:val="0"/>
              <w:jc w:val="center"/>
              <w:rPr>
                <w:b/>
                <w:bCs/>
                <w:spacing w:val="10"/>
                <w:sz w:val="24"/>
                <w:szCs w:val="24"/>
              </w:rPr>
            </w:pPr>
            <w:r>
              <w:rPr>
                <w:rFonts w:hint="eastAsia"/>
                <w:b/>
                <w:bCs/>
                <w:spacing w:val="10"/>
                <w:sz w:val="24"/>
                <w:szCs w:val="24"/>
              </w:rPr>
              <w:t>备注</w:t>
            </w:r>
          </w:p>
        </w:tc>
      </w:tr>
      <w:tr w14:paraId="08507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77" w:type="dxa"/>
            <w:vMerge w:val="continue"/>
            <w:noWrap w:val="0"/>
            <w:vAlign w:val="center"/>
          </w:tcPr>
          <w:p w14:paraId="1649ED48">
            <w:pPr>
              <w:wordWrap w:val="0"/>
              <w:spacing w:line="420" w:lineRule="exact"/>
              <w:jc w:val="center"/>
              <w:rPr>
                <w:b/>
                <w:bCs/>
                <w:spacing w:val="10"/>
                <w:sz w:val="24"/>
                <w:szCs w:val="24"/>
              </w:rPr>
            </w:pPr>
          </w:p>
        </w:tc>
        <w:tc>
          <w:tcPr>
            <w:tcW w:w="544" w:type="dxa"/>
            <w:vMerge w:val="continue"/>
            <w:noWrap w:val="0"/>
            <w:vAlign w:val="center"/>
          </w:tcPr>
          <w:p w14:paraId="48713668">
            <w:pPr>
              <w:wordWrap w:val="0"/>
              <w:spacing w:line="420" w:lineRule="exact"/>
              <w:jc w:val="center"/>
              <w:rPr>
                <w:b/>
                <w:bCs/>
                <w:spacing w:val="10"/>
                <w:sz w:val="24"/>
                <w:szCs w:val="24"/>
              </w:rPr>
            </w:pPr>
          </w:p>
        </w:tc>
        <w:tc>
          <w:tcPr>
            <w:tcW w:w="1701" w:type="dxa"/>
            <w:vMerge w:val="continue"/>
            <w:noWrap w:val="0"/>
            <w:vAlign w:val="center"/>
          </w:tcPr>
          <w:p w14:paraId="7612F337">
            <w:pPr>
              <w:wordWrap w:val="0"/>
              <w:spacing w:line="420" w:lineRule="exact"/>
              <w:jc w:val="center"/>
              <w:rPr>
                <w:b/>
                <w:bCs/>
                <w:spacing w:val="10"/>
                <w:sz w:val="24"/>
                <w:szCs w:val="24"/>
              </w:rPr>
            </w:pPr>
          </w:p>
        </w:tc>
        <w:tc>
          <w:tcPr>
            <w:tcW w:w="567" w:type="dxa"/>
            <w:vMerge w:val="continue"/>
            <w:noWrap w:val="0"/>
            <w:vAlign w:val="center"/>
          </w:tcPr>
          <w:p w14:paraId="7C2ED417">
            <w:pPr>
              <w:wordWrap w:val="0"/>
              <w:spacing w:line="420" w:lineRule="exact"/>
              <w:jc w:val="center"/>
              <w:rPr>
                <w:b/>
                <w:bCs/>
                <w:spacing w:val="10"/>
                <w:sz w:val="24"/>
                <w:szCs w:val="24"/>
              </w:rPr>
            </w:pPr>
          </w:p>
        </w:tc>
        <w:tc>
          <w:tcPr>
            <w:tcW w:w="696" w:type="dxa"/>
            <w:vMerge w:val="continue"/>
            <w:noWrap w:val="0"/>
            <w:vAlign w:val="center"/>
          </w:tcPr>
          <w:p w14:paraId="78616BA7">
            <w:pPr>
              <w:wordWrap w:val="0"/>
              <w:spacing w:line="420" w:lineRule="exact"/>
              <w:jc w:val="center"/>
              <w:rPr>
                <w:b/>
                <w:bCs/>
                <w:spacing w:val="10"/>
                <w:sz w:val="24"/>
                <w:szCs w:val="24"/>
              </w:rPr>
            </w:pPr>
          </w:p>
        </w:tc>
        <w:tc>
          <w:tcPr>
            <w:tcW w:w="665" w:type="dxa"/>
            <w:vMerge w:val="continue"/>
            <w:noWrap w:val="0"/>
            <w:vAlign w:val="center"/>
          </w:tcPr>
          <w:p w14:paraId="357D7E21">
            <w:pPr>
              <w:wordWrap w:val="0"/>
              <w:spacing w:line="420" w:lineRule="exact"/>
              <w:jc w:val="center"/>
              <w:rPr>
                <w:b/>
                <w:bCs/>
                <w:spacing w:val="10"/>
                <w:sz w:val="24"/>
                <w:szCs w:val="24"/>
              </w:rPr>
            </w:pPr>
          </w:p>
        </w:tc>
        <w:tc>
          <w:tcPr>
            <w:tcW w:w="812" w:type="dxa"/>
            <w:vMerge w:val="continue"/>
            <w:noWrap w:val="0"/>
            <w:vAlign w:val="center"/>
          </w:tcPr>
          <w:p w14:paraId="5F23F973">
            <w:pPr>
              <w:wordWrap w:val="0"/>
              <w:spacing w:line="420" w:lineRule="exact"/>
              <w:jc w:val="center"/>
              <w:rPr>
                <w:b/>
                <w:bCs/>
                <w:spacing w:val="10"/>
                <w:sz w:val="24"/>
                <w:szCs w:val="24"/>
              </w:rPr>
            </w:pPr>
          </w:p>
        </w:tc>
        <w:tc>
          <w:tcPr>
            <w:tcW w:w="1400" w:type="dxa"/>
            <w:vMerge w:val="continue"/>
            <w:noWrap w:val="0"/>
            <w:vAlign w:val="center"/>
          </w:tcPr>
          <w:p w14:paraId="429AA130">
            <w:pPr>
              <w:wordWrap w:val="0"/>
              <w:spacing w:line="420" w:lineRule="exact"/>
              <w:jc w:val="center"/>
              <w:rPr>
                <w:b/>
                <w:bCs/>
                <w:spacing w:val="10"/>
                <w:sz w:val="24"/>
                <w:szCs w:val="24"/>
              </w:rPr>
            </w:pPr>
          </w:p>
        </w:tc>
        <w:tc>
          <w:tcPr>
            <w:tcW w:w="697" w:type="dxa"/>
            <w:noWrap w:val="0"/>
            <w:vAlign w:val="center"/>
          </w:tcPr>
          <w:p w14:paraId="0B2FEC5A">
            <w:pPr>
              <w:wordWrap w:val="0"/>
              <w:spacing w:line="420" w:lineRule="exact"/>
              <w:jc w:val="center"/>
              <w:rPr>
                <w:b/>
                <w:bCs/>
                <w:spacing w:val="10"/>
                <w:sz w:val="24"/>
                <w:szCs w:val="24"/>
              </w:rPr>
            </w:pPr>
            <w:r>
              <w:rPr>
                <w:rFonts w:hint="eastAsia"/>
                <w:b/>
                <w:bCs/>
                <w:spacing w:val="10"/>
                <w:sz w:val="24"/>
                <w:szCs w:val="24"/>
              </w:rPr>
              <w:t>有/无</w:t>
            </w:r>
          </w:p>
        </w:tc>
        <w:tc>
          <w:tcPr>
            <w:tcW w:w="1477" w:type="dxa"/>
            <w:noWrap w:val="0"/>
            <w:vAlign w:val="center"/>
          </w:tcPr>
          <w:p w14:paraId="43FF4C13">
            <w:pPr>
              <w:wordWrap w:val="0"/>
              <w:spacing w:line="420" w:lineRule="exact"/>
              <w:jc w:val="center"/>
              <w:rPr>
                <w:b/>
                <w:bCs/>
                <w:spacing w:val="10"/>
                <w:sz w:val="24"/>
                <w:szCs w:val="24"/>
              </w:rPr>
            </w:pPr>
            <w:r>
              <w:rPr>
                <w:rFonts w:hint="eastAsia"/>
                <w:b/>
                <w:bCs/>
                <w:spacing w:val="10"/>
                <w:sz w:val="24"/>
                <w:szCs w:val="24"/>
              </w:rPr>
              <w:t>具体阐述(若有)</w:t>
            </w:r>
          </w:p>
        </w:tc>
        <w:tc>
          <w:tcPr>
            <w:tcW w:w="478" w:type="dxa"/>
            <w:vMerge w:val="continue"/>
            <w:noWrap w:val="0"/>
            <w:vAlign w:val="top"/>
          </w:tcPr>
          <w:p w14:paraId="36AA8A66">
            <w:pPr>
              <w:wordWrap w:val="0"/>
              <w:spacing w:line="420" w:lineRule="exact"/>
              <w:jc w:val="center"/>
              <w:rPr>
                <w:b/>
                <w:bCs/>
                <w:spacing w:val="10"/>
                <w:sz w:val="24"/>
                <w:szCs w:val="24"/>
              </w:rPr>
            </w:pPr>
          </w:p>
        </w:tc>
      </w:tr>
      <w:tr w14:paraId="780B6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477" w:type="dxa"/>
            <w:noWrap w:val="0"/>
            <w:vAlign w:val="center"/>
          </w:tcPr>
          <w:p w14:paraId="4F15AA88">
            <w:pPr>
              <w:wordWrap w:val="0"/>
              <w:spacing w:line="420" w:lineRule="exact"/>
              <w:jc w:val="center"/>
              <w:rPr>
                <w:spacing w:val="10"/>
                <w:sz w:val="24"/>
                <w:szCs w:val="24"/>
              </w:rPr>
            </w:pPr>
            <w:r>
              <w:rPr>
                <w:rFonts w:hint="eastAsia"/>
                <w:spacing w:val="10"/>
                <w:sz w:val="24"/>
                <w:szCs w:val="24"/>
              </w:rPr>
              <w:t>1</w:t>
            </w:r>
          </w:p>
        </w:tc>
        <w:tc>
          <w:tcPr>
            <w:tcW w:w="544" w:type="dxa"/>
            <w:noWrap w:val="0"/>
            <w:vAlign w:val="center"/>
          </w:tcPr>
          <w:p w14:paraId="66F53D0F">
            <w:pPr>
              <w:wordWrap w:val="0"/>
              <w:spacing w:line="420" w:lineRule="exact"/>
              <w:jc w:val="center"/>
              <w:rPr>
                <w:spacing w:val="10"/>
                <w:sz w:val="24"/>
                <w:szCs w:val="24"/>
              </w:rPr>
            </w:pPr>
          </w:p>
        </w:tc>
        <w:tc>
          <w:tcPr>
            <w:tcW w:w="1701" w:type="dxa"/>
            <w:noWrap w:val="0"/>
            <w:vAlign w:val="center"/>
          </w:tcPr>
          <w:p w14:paraId="3A2EC89B">
            <w:pPr>
              <w:wordWrap w:val="0"/>
              <w:spacing w:line="420" w:lineRule="exact"/>
              <w:jc w:val="center"/>
              <w:rPr>
                <w:spacing w:val="10"/>
                <w:sz w:val="24"/>
                <w:szCs w:val="24"/>
              </w:rPr>
            </w:pPr>
          </w:p>
        </w:tc>
        <w:tc>
          <w:tcPr>
            <w:tcW w:w="567" w:type="dxa"/>
            <w:noWrap w:val="0"/>
            <w:vAlign w:val="center"/>
          </w:tcPr>
          <w:p w14:paraId="1E9127E8">
            <w:pPr>
              <w:wordWrap w:val="0"/>
              <w:spacing w:line="420" w:lineRule="exact"/>
              <w:jc w:val="center"/>
              <w:rPr>
                <w:spacing w:val="10"/>
                <w:sz w:val="24"/>
                <w:szCs w:val="24"/>
              </w:rPr>
            </w:pPr>
          </w:p>
        </w:tc>
        <w:tc>
          <w:tcPr>
            <w:tcW w:w="696" w:type="dxa"/>
            <w:noWrap w:val="0"/>
            <w:vAlign w:val="center"/>
          </w:tcPr>
          <w:p w14:paraId="2D6DB8E5">
            <w:pPr>
              <w:wordWrap w:val="0"/>
              <w:spacing w:line="420" w:lineRule="exact"/>
              <w:jc w:val="center"/>
              <w:rPr>
                <w:spacing w:val="10"/>
                <w:sz w:val="24"/>
                <w:szCs w:val="24"/>
              </w:rPr>
            </w:pPr>
          </w:p>
        </w:tc>
        <w:tc>
          <w:tcPr>
            <w:tcW w:w="665" w:type="dxa"/>
            <w:noWrap w:val="0"/>
            <w:vAlign w:val="center"/>
          </w:tcPr>
          <w:p w14:paraId="273AF5E9">
            <w:pPr>
              <w:wordWrap w:val="0"/>
              <w:spacing w:line="420" w:lineRule="exact"/>
              <w:jc w:val="center"/>
              <w:rPr>
                <w:spacing w:val="10"/>
                <w:sz w:val="24"/>
                <w:szCs w:val="24"/>
              </w:rPr>
            </w:pPr>
          </w:p>
        </w:tc>
        <w:tc>
          <w:tcPr>
            <w:tcW w:w="812" w:type="dxa"/>
            <w:noWrap w:val="0"/>
            <w:vAlign w:val="center"/>
          </w:tcPr>
          <w:p w14:paraId="0296402C">
            <w:pPr>
              <w:wordWrap w:val="0"/>
              <w:spacing w:line="420" w:lineRule="exact"/>
              <w:jc w:val="center"/>
              <w:rPr>
                <w:spacing w:val="10"/>
                <w:sz w:val="24"/>
                <w:szCs w:val="24"/>
              </w:rPr>
            </w:pPr>
          </w:p>
        </w:tc>
        <w:tc>
          <w:tcPr>
            <w:tcW w:w="1400" w:type="dxa"/>
            <w:noWrap w:val="0"/>
            <w:vAlign w:val="center"/>
          </w:tcPr>
          <w:p w14:paraId="1C6C7216">
            <w:pPr>
              <w:wordWrap w:val="0"/>
              <w:spacing w:line="420" w:lineRule="exact"/>
              <w:jc w:val="center"/>
              <w:rPr>
                <w:spacing w:val="10"/>
                <w:sz w:val="24"/>
                <w:szCs w:val="24"/>
              </w:rPr>
            </w:pPr>
          </w:p>
        </w:tc>
        <w:tc>
          <w:tcPr>
            <w:tcW w:w="697" w:type="dxa"/>
            <w:noWrap w:val="0"/>
            <w:vAlign w:val="center"/>
          </w:tcPr>
          <w:p w14:paraId="17BC6F6B">
            <w:pPr>
              <w:wordWrap w:val="0"/>
              <w:spacing w:line="420" w:lineRule="exact"/>
              <w:jc w:val="center"/>
              <w:rPr>
                <w:spacing w:val="10"/>
                <w:sz w:val="24"/>
                <w:szCs w:val="24"/>
              </w:rPr>
            </w:pPr>
          </w:p>
        </w:tc>
        <w:tc>
          <w:tcPr>
            <w:tcW w:w="1477" w:type="dxa"/>
            <w:noWrap w:val="0"/>
            <w:vAlign w:val="center"/>
          </w:tcPr>
          <w:p w14:paraId="0F054416">
            <w:pPr>
              <w:wordWrap w:val="0"/>
              <w:spacing w:line="420" w:lineRule="exact"/>
              <w:jc w:val="center"/>
              <w:rPr>
                <w:spacing w:val="10"/>
                <w:sz w:val="24"/>
                <w:szCs w:val="24"/>
              </w:rPr>
            </w:pPr>
          </w:p>
        </w:tc>
        <w:tc>
          <w:tcPr>
            <w:tcW w:w="478" w:type="dxa"/>
            <w:noWrap w:val="0"/>
            <w:vAlign w:val="top"/>
          </w:tcPr>
          <w:p w14:paraId="2FE9DDA9">
            <w:pPr>
              <w:wordWrap w:val="0"/>
              <w:spacing w:line="420" w:lineRule="exact"/>
              <w:jc w:val="center"/>
              <w:rPr>
                <w:spacing w:val="10"/>
                <w:sz w:val="24"/>
                <w:szCs w:val="24"/>
              </w:rPr>
            </w:pPr>
          </w:p>
        </w:tc>
      </w:tr>
      <w:tr w14:paraId="312B0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477" w:type="dxa"/>
            <w:noWrap w:val="0"/>
            <w:vAlign w:val="center"/>
          </w:tcPr>
          <w:p w14:paraId="30CFC3C8">
            <w:pPr>
              <w:wordWrap w:val="0"/>
              <w:spacing w:line="420" w:lineRule="exact"/>
              <w:jc w:val="center"/>
              <w:rPr>
                <w:spacing w:val="10"/>
                <w:sz w:val="24"/>
                <w:szCs w:val="24"/>
              </w:rPr>
            </w:pPr>
            <w:r>
              <w:rPr>
                <w:rFonts w:hint="eastAsia"/>
                <w:spacing w:val="10"/>
                <w:sz w:val="24"/>
                <w:szCs w:val="24"/>
              </w:rPr>
              <w:t>2</w:t>
            </w:r>
          </w:p>
        </w:tc>
        <w:tc>
          <w:tcPr>
            <w:tcW w:w="544" w:type="dxa"/>
            <w:noWrap w:val="0"/>
            <w:vAlign w:val="center"/>
          </w:tcPr>
          <w:p w14:paraId="44D9E41F">
            <w:pPr>
              <w:wordWrap w:val="0"/>
              <w:spacing w:line="420" w:lineRule="exact"/>
              <w:jc w:val="center"/>
              <w:rPr>
                <w:spacing w:val="10"/>
                <w:sz w:val="24"/>
                <w:szCs w:val="24"/>
              </w:rPr>
            </w:pPr>
          </w:p>
        </w:tc>
        <w:tc>
          <w:tcPr>
            <w:tcW w:w="1701" w:type="dxa"/>
            <w:noWrap w:val="0"/>
            <w:vAlign w:val="center"/>
          </w:tcPr>
          <w:p w14:paraId="63A4E8B5">
            <w:pPr>
              <w:wordWrap w:val="0"/>
              <w:spacing w:line="420" w:lineRule="exact"/>
              <w:jc w:val="center"/>
              <w:rPr>
                <w:spacing w:val="10"/>
                <w:sz w:val="24"/>
                <w:szCs w:val="24"/>
              </w:rPr>
            </w:pPr>
          </w:p>
        </w:tc>
        <w:tc>
          <w:tcPr>
            <w:tcW w:w="567" w:type="dxa"/>
            <w:noWrap w:val="0"/>
            <w:vAlign w:val="center"/>
          </w:tcPr>
          <w:p w14:paraId="63AA6B80">
            <w:pPr>
              <w:wordWrap w:val="0"/>
              <w:spacing w:line="420" w:lineRule="exact"/>
              <w:jc w:val="center"/>
              <w:rPr>
                <w:spacing w:val="10"/>
                <w:sz w:val="24"/>
                <w:szCs w:val="24"/>
              </w:rPr>
            </w:pPr>
          </w:p>
        </w:tc>
        <w:tc>
          <w:tcPr>
            <w:tcW w:w="696" w:type="dxa"/>
            <w:noWrap w:val="0"/>
            <w:vAlign w:val="center"/>
          </w:tcPr>
          <w:p w14:paraId="2E7A3B3C">
            <w:pPr>
              <w:wordWrap w:val="0"/>
              <w:spacing w:line="420" w:lineRule="exact"/>
              <w:jc w:val="center"/>
              <w:rPr>
                <w:spacing w:val="10"/>
                <w:sz w:val="24"/>
                <w:szCs w:val="24"/>
              </w:rPr>
            </w:pPr>
          </w:p>
        </w:tc>
        <w:tc>
          <w:tcPr>
            <w:tcW w:w="665" w:type="dxa"/>
            <w:noWrap w:val="0"/>
            <w:vAlign w:val="center"/>
          </w:tcPr>
          <w:p w14:paraId="675D8133">
            <w:pPr>
              <w:wordWrap w:val="0"/>
              <w:spacing w:line="420" w:lineRule="exact"/>
              <w:jc w:val="center"/>
              <w:rPr>
                <w:spacing w:val="10"/>
                <w:sz w:val="24"/>
                <w:szCs w:val="24"/>
              </w:rPr>
            </w:pPr>
          </w:p>
        </w:tc>
        <w:tc>
          <w:tcPr>
            <w:tcW w:w="812" w:type="dxa"/>
            <w:noWrap w:val="0"/>
            <w:vAlign w:val="center"/>
          </w:tcPr>
          <w:p w14:paraId="44589AFC">
            <w:pPr>
              <w:wordWrap w:val="0"/>
              <w:spacing w:line="420" w:lineRule="exact"/>
              <w:jc w:val="center"/>
              <w:rPr>
                <w:spacing w:val="10"/>
                <w:sz w:val="24"/>
                <w:szCs w:val="24"/>
              </w:rPr>
            </w:pPr>
          </w:p>
        </w:tc>
        <w:tc>
          <w:tcPr>
            <w:tcW w:w="1400" w:type="dxa"/>
            <w:noWrap w:val="0"/>
            <w:vAlign w:val="center"/>
          </w:tcPr>
          <w:p w14:paraId="7510F524">
            <w:pPr>
              <w:wordWrap w:val="0"/>
              <w:spacing w:line="420" w:lineRule="exact"/>
              <w:jc w:val="center"/>
              <w:rPr>
                <w:spacing w:val="10"/>
                <w:sz w:val="24"/>
                <w:szCs w:val="24"/>
              </w:rPr>
            </w:pPr>
          </w:p>
        </w:tc>
        <w:tc>
          <w:tcPr>
            <w:tcW w:w="697" w:type="dxa"/>
            <w:noWrap w:val="0"/>
            <w:vAlign w:val="center"/>
          </w:tcPr>
          <w:p w14:paraId="6F1D510F">
            <w:pPr>
              <w:wordWrap w:val="0"/>
              <w:spacing w:line="420" w:lineRule="exact"/>
              <w:jc w:val="center"/>
              <w:rPr>
                <w:spacing w:val="10"/>
                <w:sz w:val="24"/>
                <w:szCs w:val="24"/>
              </w:rPr>
            </w:pPr>
          </w:p>
        </w:tc>
        <w:tc>
          <w:tcPr>
            <w:tcW w:w="1477" w:type="dxa"/>
            <w:noWrap w:val="0"/>
            <w:vAlign w:val="center"/>
          </w:tcPr>
          <w:p w14:paraId="7D0F5B4C">
            <w:pPr>
              <w:wordWrap w:val="0"/>
              <w:spacing w:line="420" w:lineRule="exact"/>
              <w:jc w:val="center"/>
              <w:rPr>
                <w:spacing w:val="10"/>
                <w:sz w:val="24"/>
                <w:szCs w:val="24"/>
              </w:rPr>
            </w:pPr>
          </w:p>
        </w:tc>
        <w:tc>
          <w:tcPr>
            <w:tcW w:w="478" w:type="dxa"/>
            <w:noWrap w:val="0"/>
            <w:vAlign w:val="top"/>
          </w:tcPr>
          <w:p w14:paraId="42C766A7">
            <w:pPr>
              <w:wordWrap w:val="0"/>
              <w:spacing w:line="420" w:lineRule="exact"/>
              <w:jc w:val="center"/>
              <w:rPr>
                <w:spacing w:val="10"/>
                <w:sz w:val="24"/>
                <w:szCs w:val="24"/>
              </w:rPr>
            </w:pPr>
          </w:p>
        </w:tc>
      </w:tr>
      <w:tr w14:paraId="4FBDB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477" w:type="dxa"/>
            <w:noWrap w:val="0"/>
            <w:vAlign w:val="center"/>
          </w:tcPr>
          <w:p w14:paraId="79DDF014">
            <w:pPr>
              <w:wordWrap w:val="0"/>
              <w:spacing w:line="420" w:lineRule="exact"/>
              <w:jc w:val="center"/>
              <w:rPr>
                <w:spacing w:val="10"/>
                <w:sz w:val="24"/>
                <w:szCs w:val="24"/>
              </w:rPr>
            </w:pPr>
            <w:r>
              <w:rPr>
                <w:rFonts w:hint="eastAsia"/>
                <w:spacing w:val="10"/>
                <w:sz w:val="24"/>
                <w:szCs w:val="24"/>
              </w:rPr>
              <w:t>3</w:t>
            </w:r>
          </w:p>
        </w:tc>
        <w:tc>
          <w:tcPr>
            <w:tcW w:w="544" w:type="dxa"/>
            <w:noWrap w:val="0"/>
            <w:vAlign w:val="center"/>
          </w:tcPr>
          <w:p w14:paraId="33BC5035">
            <w:pPr>
              <w:wordWrap w:val="0"/>
              <w:spacing w:line="420" w:lineRule="exact"/>
              <w:jc w:val="center"/>
              <w:rPr>
                <w:spacing w:val="10"/>
                <w:sz w:val="24"/>
                <w:szCs w:val="24"/>
              </w:rPr>
            </w:pPr>
          </w:p>
        </w:tc>
        <w:tc>
          <w:tcPr>
            <w:tcW w:w="1701" w:type="dxa"/>
            <w:noWrap w:val="0"/>
            <w:vAlign w:val="center"/>
          </w:tcPr>
          <w:p w14:paraId="34F464D7">
            <w:pPr>
              <w:wordWrap w:val="0"/>
              <w:spacing w:line="420" w:lineRule="exact"/>
              <w:jc w:val="center"/>
              <w:rPr>
                <w:spacing w:val="10"/>
                <w:sz w:val="24"/>
                <w:szCs w:val="24"/>
              </w:rPr>
            </w:pPr>
          </w:p>
        </w:tc>
        <w:tc>
          <w:tcPr>
            <w:tcW w:w="567" w:type="dxa"/>
            <w:noWrap w:val="0"/>
            <w:vAlign w:val="center"/>
          </w:tcPr>
          <w:p w14:paraId="1FEB384D">
            <w:pPr>
              <w:wordWrap w:val="0"/>
              <w:spacing w:line="420" w:lineRule="exact"/>
              <w:jc w:val="center"/>
              <w:rPr>
                <w:spacing w:val="10"/>
                <w:sz w:val="24"/>
                <w:szCs w:val="24"/>
              </w:rPr>
            </w:pPr>
          </w:p>
        </w:tc>
        <w:tc>
          <w:tcPr>
            <w:tcW w:w="696" w:type="dxa"/>
            <w:noWrap w:val="0"/>
            <w:vAlign w:val="center"/>
          </w:tcPr>
          <w:p w14:paraId="34BFF992">
            <w:pPr>
              <w:wordWrap w:val="0"/>
              <w:spacing w:line="420" w:lineRule="exact"/>
              <w:jc w:val="center"/>
              <w:rPr>
                <w:spacing w:val="10"/>
                <w:sz w:val="24"/>
                <w:szCs w:val="24"/>
              </w:rPr>
            </w:pPr>
          </w:p>
        </w:tc>
        <w:tc>
          <w:tcPr>
            <w:tcW w:w="665" w:type="dxa"/>
            <w:noWrap w:val="0"/>
            <w:vAlign w:val="center"/>
          </w:tcPr>
          <w:p w14:paraId="4279C10F">
            <w:pPr>
              <w:wordWrap w:val="0"/>
              <w:spacing w:line="420" w:lineRule="exact"/>
              <w:jc w:val="center"/>
              <w:rPr>
                <w:spacing w:val="10"/>
                <w:sz w:val="24"/>
                <w:szCs w:val="24"/>
              </w:rPr>
            </w:pPr>
          </w:p>
        </w:tc>
        <w:tc>
          <w:tcPr>
            <w:tcW w:w="812" w:type="dxa"/>
            <w:noWrap w:val="0"/>
            <w:vAlign w:val="center"/>
          </w:tcPr>
          <w:p w14:paraId="7175B948">
            <w:pPr>
              <w:wordWrap w:val="0"/>
              <w:spacing w:line="420" w:lineRule="exact"/>
              <w:jc w:val="center"/>
              <w:rPr>
                <w:spacing w:val="10"/>
                <w:sz w:val="24"/>
                <w:szCs w:val="24"/>
              </w:rPr>
            </w:pPr>
          </w:p>
        </w:tc>
        <w:tc>
          <w:tcPr>
            <w:tcW w:w="1400" w:type="dxa"/>
            <w:noWrap w:val="0"/>
            <w:vAlign w:val="center"/>
          </w:tcPr>
          <w:p w14:paraId="64B330B1">
            <w:pPr>
              <w:wordWrap w:val="0"/>
              <w:spacing w:line="420" w:lineRule="exact"/>
              <w:jc w:val="center"/>
              <w:rPr>
                <w:spacing w:val="10"/>
                <w:sz w:val="24"/>
                <w:szCs w:val="24"/>
              </w:rPr>
            </w:pPr>
          </w:p>
        </w:tc>
        <w:tc>
          <w:tcPr>
            <w:tcW w:w="697" w:type="dxa"/>
            <w:noWrap w:val="0"/>
            <w:vAlign w:val="center"/>
          </w:tcPr>
          <w:p w14:paraId="63FA83F6">
            <w:pPr>
              <w:wordWrap w:val="0"/>
              <w:spacing w:line="420" w:lineRule="exact"/>
              <w:jc w:val="center"/>
              <w:rPr>
                <w:spacing w:val="10"/>
                <w:sz w:val="24"/>
                <w:szCs w:val="24"/>
              </w:rPr>
            </w:pPr>
          </w:p>
        </w:tc>
        <w:tc>
          <w:tcPr>
            <w:tcW w:w="1477" w:type="dxa"/>
            <w:noWrap w:val="0"/>
            <w:vAlign w:val="center"/>
          </w:tcPr>
          <w:p w14:paraId="0D87AE31">
            <w:pPr>
              <w:wordWrap w:val="0"/>
              <w:spacing w:line="420" w:lineRule="exact"/>
              <w:jc w:val="center"/>
              <w:rPr>
                <w:spacing w:val="10"/>
                <w:sz w:val="24"/>
                <w:szCs w:val="24"/>
              </w:rPr>
            </w:pPr>
          </w:p>
        </w:tc>
        <w:tc>
          <w:tcPr>
            <w:tcW w:w="478" w:type="dxa"/>
            <w:noWrap w:val="0"/>
            <w:vAlign w:val="top"/>
          </w:tcPr>
          <w:p w14:paraId="17682492">
            <w:pPr>
              <w:wordWrap w:val="0"/>
              <w:spacing w:line="420" w:lineRule="exact"/>
              <w:jc w:val="center"/>
              <w:rPr>
                <w:spacing w:val="10"/>
                <w:sz w:val="24"/>
                <w:szCs w:val="24"/>
              </w:rPr>
            </w:pPr>
          </w:p>
        </w:tc>
      </w:tr>
      <w:tr w14:paraId="3D479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477" w:type="dxa"/>
            <w:noWrap w:val="0"/>
            <w:vAlign w:val="center"/>
          </w:tcPr>
          <w:p w14:paraId="1AE63B39">
            <w:pPr>
              <w:wordWrap w:val="0"/>
              <w:spacing w:line="420" w:lineRule="exact"/>
              <w:jc w:val="center"/>
              <w:rPr>
                <w:spacing w:val="10"/>
                <w:sz w:val="24"/>
                <w:szCs w:val="24"/>
              </w:rPr>
            </w:pPr>
            <w:r>
              <w:rPr>
                <w:rFonts w:hint="eastAsia"/>
                <w:spacing w:val="10"/>
                <w:sz w:val="24"/>
                <w:szCs w:val="24"/>
              </w:rPr>
              <w:t>4</w:t>
            </w:r>
          </w:p>
        </w:tc>
        <w:tc>
          <w:tcPr>
            <w:tcW w:w="544" w:type="dxa"/>
            <w:noWrap w:val="0"/>
            <w:vAlign w:val="center"/>
          </w:tcPr>
          <w:p w14:paraId="63829633">
            <w:pPr>
              <w:wordWrap w:val="0"/>
              <w:spacing w:line="420" w:lineRule="exact"/>
              <w:jc w:val="center"/>
              <w:rPr>
                <w:spacing w:val="10"/>
                <w:sz w:val="24"/>
                <w:szCs w:val="24"/>
              </w:rPr>
            </w:pPr>
          </w:p>
        </w:tc>
        <w:tc>
          <w:tcPr>
            <w:tcW w:w="1701" w:type="dxa"/>
            <w:noWrap w:val="0"/>
            <w:vAlign w:val="center"/>
          </w:tcPr>
          <w:p w14:paraId="42B12B09">
            <w:pPr>
              <w:wordWrap w:val="0"/>
              <w:spacing w:line="420" w:lineRule="exact"/>
              <w:jc w:val="center"/>
              <w:rPr>
                <w:spacing w:val="10"/>
                <w:sz w:val="24"/>
                <w:szCs w:val="24"/>
              </w:rPr>
            </w:pPr>
          </w:p>
        </w:tc>
        <w:tc>
          <w:tcPr>
            <w:tcW w:w="567" w:type="dxa"/>
            <w:noWrap w:val="0"/>
            <w:vAlign w:val="center"/>
          </w:tcPr>
          <w:p w14:paraId="73F00F81">
            <w:pPr>
              <w:wordWrap w:val="0"/>
              <w:spacing w:line="420" w:lineRule="exact"/>
              <w:jc w:val="center"/>
              <w:rPr>
                <w:spacing w:val="10"/>
                <w:sz w:val="24"/>
                <w:szCs w:val="24"/>
              </w:rPr>
            </w:pPr>
          </w:p>
        </w:tc>
        <w:tc>
          <w:tcPr>
            <w:tcW w:w="696" w:type="dxa"/>
            <w:noWrap w:val="0"/>
            <w:vAlign w:val="center"/>
          </w:tcPr>
          <w:p w14:paraId="0A2F0E6A">
            <w:pPr>
              <w:wordWrap w:val="0"/>
              <w:spacing w:line="420" w:lineRule="exact"/>
              <w:jc w:val="center"/>
              <w:rPr>
                <w:spacing w:val="10"/>
                <w:sz w:val="24"/>
                <w:szCs w:val="24"/>
              </w:rPr>
            </w:pPr>
          </w:p>
        </w:tc>
        <w:tc>
          <w:tcPr>
            <w:tcW w:w="665" w:type="dxa"/>
            <w:noWrap w:val="0"/>
            <w:vAlign w:val="center"/>
          </w:tcPr>
          <w:p w14:paraId="7759A987">
            <w:pPr>
              <w:wordWrap w:val="0"/>
              <w:spacing w:line="420" w:lineRule="exact"/>
              <w:jc w:val="center"/>
              <w:rPr>
                <w:spacing w:val="10"/>
                <w:sz w:val="24"/>
                <w:szCs w:val="24"/>
              </w:rPr>
            </w:pPr>
          </w:p>
        </w:tc>
        <w:tc>
          <w:tcPr>
            <w:tcW w:w="812" w:type="dxa"/>
            <w:noWrap w:val="0"/>
            <w:vAlign w:val="center"/>
          </w:tcPr>
          <w:p w14:paraId="2647348F">
            <w:pPr>
              <w:wordWrap w:val="0"/>
              <w:spacing w:line="420" w:lineRule="exact"/>
              <w:jc w:val="center"/>
              <w:rPr>
                <w:spacing w:val="10"/>
                <w:sz w:val="24"/>
                <w:szCs w:val="24"/>
              </w:rPr>
            </w:pPr>
          </w:p>
        </w:tc>
        <w:tc>
          <w:tcPr>
            <w:tcW w:w="1400" w:type="dxa"/>
            <w:noWrap w:val="0"/>
            <w:vAlign w:val="center"/>
          </w:tcPr>
          <w:p w14:paraId="5C01FDAA">
            <w:pPr>
              <w:wordWrap w:val="0"/>
              <w:spacing w:line="420" w:lineRule="exact"/>
              <w:jc w:val="center"/>
              <w:rPr>
                <w:spacing w:val="10"/>
                <w:sz w:val="24"/>
                <w:szCs w:val="24"/>
              </w:rPr>
            </w:pPr>
          </w:p>
        </w:tc>
        <w:tc>
          <w:tcPr>
            <w:tcW w:w="697" w:type="dxa"/>
            <w:noWrap w:val="0"/>
            <w:vAlign w:val="center"/>
          </w:tcPr>
          <w:p w14:paraId="26B04788">
            <w:pPr>
              <w:wordWrap w:val="0"/>
              <w:spacing w:line="420" w:lineRule="exact"/>
              <w:jc w:val="center"/>
              <w:rPr>
                <w:spacing w:val="10"/>
                <w:sz w:val="24"/>
                <w:szCs w:val="24"/>
              </w:rPr>
            </w:pPr>
          </w:p>
        </w:tc>
        <w:tc>
          <w:tcPr>
            <w:tcW w:w="1477" w:type="dxa"/>
            <w:noWrap w:val="0"/>
            <w:vAlign w:val="center"/>
          </w:tcPr>
          <w:p w14:paraId="35CE4C06">
            <w:pPr>
              <w:wordWrap w:val="0"/>
              <w:spacing w:line="420" w:lineRule="exact"/>
              <w:jc w:val="center"/>
              <w:rPr>
                <w:spacing w:val="10"/>
                <w:sz w:val="24"/>
                <w:szCs w:val="24"/>
              </w:rPr>
            </w:pPr>
          </w:p>
        </w:tc>
        <w:tc>
          <w:tcPr>
            <w:tcW w:w="478" w:type="dxa"/>
            <w:noWrap w:val="0"/>
            <w:vAlign w:val="top"/>
          </w:tcPr>
          <w:p w14:paraId="1263C2B1">
            <w:pPr>
              <w:wordWrap w:val="0"/>
              <w:spacing w:line="420" w:lineRule="exact"/>
              <w:jc w:val="center"/>
              <w:rPr>
                <w:spacing w:val="10"/>
                <w:sz w:val="24"/>
                <w:szCs w:val="24"/>
              </w:rPr>
            </w:pPr>
          </w:p>
        </w:tc>
      </w:tr>
      <w:tr w14:paraId="1725D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477" w:type="dxa"/>
            <w:noWrap w:val="0"/>
            <w:vAlign w:val="center"/>
          </w:tcPr>
          <w:p w14:paraId="08F0D0FC">
            <w:pPr>
              <w:wordWrap w:val="0"/>
              <w:spacing w:line="420" w:lineRule="exact"/>
              <w:jc w:val="center"/>
              <w:rPr>
                <w:spacing w:val="10"/>
                <w:sz w:val="24"/>
                <w:szCs w:val="24"/>
              </w:rPr>
            </w:pPr>
            <w:r>
              <w:rPr>
                <w:rFonts w:hint="eastAsia"/>
                <w:spacing w:val="10"/>
                <w:sz w:val="24"/>
                <w:szCs w:val="24"/>
              </w:rPr>
              <w:t>5</w:t>
            </w:r>
          </w:p>
        </w:tc>
        <w:tc>
          <w:tcPr>
            <w:tcW w:w="544" w:type="dxa"/>
            <w:noWrap w:val="0"/>
            <w:vAlign w:val="center"/>
          </w:tcPr>
          <w:p w14:paraId="634CD273">
            <w:pPr>
              <w:wordWrap w:val="0"/>
              <w:spacing w:line="420" w:lineRule="exact"/>
              <w:jc w:val="center"/>
              <w:rPr>
                <w:spacing w:val="10"/>
                <w:sz w:val="24"/>
                <w:szCs w:val="24"/>
              </w:rPr>
            </w:pPr>
          </w:p>
        </w:tc>
        <w:tc>
          <w:tcPr>
            <w:tcW w:w="1701" w:type="dxa"/>
            <w:noWrap w:val="0"/>
            <w:vAlign w:val="center"/>
          </w:tcPr>
          <w:p w14:paraId="1E81E315">
            <w:pPr>
              <w:wordWrap w:val="0"/>
              <w:spacing w:line="420" w:lineRule="exact"/>
              <w:jc w:val="center"/>
              <w:rPr>
                <w:spacing w:val="10"/>
                <w:sz w:val="24"/>
                <w:szCs w:val="24"/>
              </w:rPr>
            </w:pPr>
          </w:p>
        </w:tc>
        <w:tc>
          <w:tcPr>
            <w:tcW w:w="567" w:type="dxa"/>
            <w:noWrap w:val="0"/>
            <w:vAlign w:val="center"/>
          </w:tcPr>
          <w:p w14:paraId="0887D448">
            <w:pPr>
              <w:wordWrap w:val="0"/>
              <w:spacing w:line="420" w:lineRule="exact"/>
              <w:jc w:val="center"/>
              <w:rPr>
                <w:spacing w:val="10"/>
                <w:sz w:val="24"/>
                <w:szCs w:val="24"/>
              </w:rPr>
            </w:pPr>
          </w:p>
        </w:tc>
        <w:tc>
          <w:tcPr>
            <w:tcW w:w="696" w:type="dxa"/>
            <w:noWrap w:val="0"/>
            <w:vAlign w:val="center"/>
          </w:tcPr>
          <w:p w14:paraId="73328DDC">
            <w:pPr>
              <w:wordWrap w:val="0"/>
              <w:spacing w:line="420" w:lineRule="exact"/>
              <w:jc w:val="center"/>
              <w:rPr>
                <w:spacing w:val="10"/>
                <w:sz w:val="24"/>
                <w:szCs w:val="24"/>
              </w:rPr>
            </w:pPr>
          </w:p>
        </w:tc>
        <w:tc>
          <w:tcPr>
            <w:tcW w:w="665" w:type="dxa"/>
            <w:noWrap w:val="0"/>
            <w:vAlign w:val="center"/>
          </w:tcPr>
          <w:p w14:paraId="1E966EF8">
            <w:pPr>
              <w:wordWrap w:val="0"/>
              <w:spacing w:line="420" w:lineRule="exact"/>
              <w:jc w:val="center"/>
              <w:rPr>
                <w:spacing w:val="10"/>
                <w:sz w:val="24"/>
                <w:szCs w:val="24"/>
              </w:rPr>
            </w:pPr>
          </w:p>
        </w:tc>
        <w:tc>
          <w:tcPr>
            <w:tcW w:w="812" w:type="dxa"/>
            <w:noWrap w:val="0"/>
            <w:vAlign w:val="center"/>
          </w:tcPr>
          <w:p w14:paraId="64CF7E4F">
            <w:pPr>
              <w:wordWrap w:val="0"/>
              <w:spacing w:line="420" w:lineRule="exact"/>
              <w:jc w:val="center"/>
              <w:rPr>
                <w:spacing w:val="10"/>
                <w:sz w:val="24"/>
                <w:szCs w:val="24"/>
              </w:rPr>
            </w:pPr>
          </w:p>
        </w:tc>
        <w:tc>
          <w:tcPr>
            <w:tcW w:w="1400" w:type="dxa"/>
            <w:noWrap w:val="0"/>
            <w:vAlign w:val="center"/>
          </w:tcPr>
          <w:p w14:paraId="7EFEF68F">
            <w:pPr>
              <w:wordWrap w:val="0"/>
              <w:spacing w:line="420" w:lineRule="exact"/>
              <w:jc w:val="center"/>
              <w:rPr>
                <w:spacing w:val="10"/>
                <w:sz w:val="24"/>
                <w:szCs w:val="24"/>
              </w:rPr>
            </w:pPr>
          </w:p>
        </w:tc>
        <w:tc>
          <w:tcPr>
            <w:tcW w:w="697" w:type="dxa"/>
            <w:noWrap w:val="0"/>
            <w:vAlign w:val="center"/>
          </w:tcPr>
          <w:p w14:paraId="3A0C2DF0">
            <w:pPr>
              <w:wordWrap w:val="0"/>
              <w:spacing w:line="420" w:lineRule="exact"/>
              <w:jc w:val="center"/>
              <w:rPr>
                <w:spacing w:val="10"/>
                <w:sz w:val="24"/>
                <w:szCs w:val="24"/>
              </w:rPr>
            </w:pPr>
          </w:p>
        </w:tc>
        <w:tc>
          <w:tcPr>
            <w:tcW w:w="1477" w:type="dxa"/>
            <w:noWrap w:val="0"/>
            <w:vAlign w:val="center"/>
          </w:tcPr>
          <w:p w14:paraId="4094D0B5">
            <w:pPr>
              <w:wordWrap w:val="0"/>
              <w:spacing w:line="420" w:lineRule="exact"/>
              <w:jc w:val="center"/>
              <w:rPr>
                <w:spacing w:val="10"/>
                <w:sz w:val="24"/>
                <w:szCs w:val="24"/>
              </w:rPr>
            </w:pPr>
          </w:p>
        </w:tc>
        <w:tc>
          <w:tcPr>
            <w:tcW w:w="478" w:type="dxa"/>
            <w:noWrap w:val="0"/>
            <w:vAlign w:val="top"/>
          </w:tcPr>
          <w:p w14:paraId="09782E27">
            <w:pPr>
              <w:wordWrap w:val="0"/>
              <w:spacing w:line="420" w:lineRule="exact"/>
              <w:jc w:val="center"/>
              <w:rPr>
                <w:spacing w:val="10"/>
                <w:sz w:val="24"/>
                <w:szCs w:val="24"/>
              </w:rPr>
            </w:pPr>
          </w:p>
        </w:tc>
      </w:tr>
    </w:tbl>
    <w:p w14:paraId="5AE15C07">
      <w:pPr>
        <w:wordWrap w:val="0"/>
        <w:spacing w:line="360" w:lineRule="auto"/>
        <w:rPr>
          <w:rFonts w:hint="eastAsia"/>
          <w:b/>
          <w:bCs/>
          <w:sz w:val="24"/>
          <w:szCs w:val="24"/>
        </w:rPr>
      </w:pPr>
      <w:r>
        <w:rPr>
          <w:rFonts w:hint="eastAsia"/>
          <w:b/>
          <w:bCs/>
          <w:sz w:val="24"/>
          <w:szCs w:val="24"/>
        </w:rPr>
        <w:t>注：须提供团队成员的身份证、毕业证或学历证或学位证、职称证或资格证（如有）、劳动合同或社保证明材料的</w:t>
      </w:r>
      <w:r>
        <w:rPr>
          <w:rFonts w:hint="eastAsia"/>
          <w:b/>
          <w:bCs/>
          <w:sz w:val="24"/>
          <w:szCs w:val="24"/>
          <w:lang w:val="en-US" w:eastAsia="zh-CN"/>
        </w:rPr>
        <w:t>扫描</w:t>
      </w:r>
      <w:r>
        <w:rPr>
          <w:rFonts w:hint="eastAsia"/>
          <w:b/>
          <w:bCs/>
          <w:sz w:val="24"/>
          <w:szCs w:val="24"/>
        </w:rPr>
        <w:t>件，未提供视为无效。</w:t>
      </w:r>
    </w:p>
    <w:p w14:paraId="29E9652B">
      <w:pPr>
        <w:pStyle w:val="24"/>
        <w:ind w:firstLine="480"/>
        <w:jc w:val="left"/>
        <w:rPr>
          <w:rFonts w:hint="eastAsia" w:ascii="宋体" w:hAnsi="宋体" w:eastAsia="宋体" w:cs="宋体"/>
          <w:color w:val="auto"/>
          <w:sz w:val="24"/>
          <w:szCs w:val="24"/>
          <w:highlight w:val="none"/>
        </w:rPr>
      </w:pPr>
    </w:p>
    <w:p w14:paraId="61E40433">
      <w:pPr>
        <w:pStyle w:val="24"/>
        <w:ind w:firstLine="480"/>
        <w:jc w:val="left"/>
        <w:rPr>
          <w:rFonts w:hint="eastAsia" w:ascii="宋体" w:hAnsi="宋体" w:eastAsia="宋体" w:cs="宋体"/>
          <w:color w:val="auto"/>
          <w:sz w:val="24"/>
          <w:szCs w:val="24"/>
          <w:highlight w:val="none"/>
        </w:rPr>
      </w:pPr>
    </w:p>
    <w:p w14:paraId="27D17C82">
      <w:pPr>
        <w:pStyle w:val="24"/>
        <w:ind w:firstLine="480"/>
        <w:jc w:val="left"/>
        <w:rPr>
          <w:rFonts w:hint="eastAsia" w:ascii="宋体" w:hAnsi="宋体" w:eastAsia="宋体" w:cs="宋体"/>
          <w:color w:val="auto"/>
          <w:sz w:val="24"/>
          <w:szCs w:val="24"/>
          <w:highlight w:val="none"/>
        </w:rPr>
      </w:pPr>
    </w:p>
    <w:p w14:paraId="33D750AD">
      <w:pPr>
        <w:tabs>
          <w:tab w:val="left" w:pos="4860"/>
        </w:tabs>
        <w:spacing w:line="360" w:lineRule="auto"/>
        <w:ind w:right="1560" w:firstLine="422"/>
        <w:jc w:val="left"/>
        <w:rPr>
          <w:rFonts w:hint="eastAsia" w:ascii="宋体" w:hAnsi="宋体" w:eastAsia="宋体" w:cs="宋体"/>
          <w:b/>
          <w:bCs/>
          <w:szCs w:val="21"/>
        </w:rPr>
      </w:pPr>
      <w:r>
        <w:rPr>
          <w:rFonts w:hint="eastAsia" w:ascii="宋体" w:hAnsi="宋体" w:eastAsia="宋体" w:cs="宋体"/>
          <w:b/>
          <w:bCs/>
          <w:szCs w:val="21"/>
        </w:rPr>
        <w:t>投标人：（</w:t>
      </w:r>
      <w:r>
        <w:rPr>
          <w:rFonts w:hint="eastAsia" w:ascii="宋体" w:hAnsi="宋体" w:eastAsia="宋体" w:cs="宋体"/>
          <w:b/>
          <w:bCs/>
          <w:szCs w:val="21"/>
          <w:lang w:eastAsia="zh-CN"/>
        </w:rPr>
        <w:t>电子签章</w:t>
      </w:r>
      <w:r>
        <w:rPr>
          <w:rFonts w:hint="eastAsia" w:ascii="宋体" w:hAnsi="宋体" w:eastAsia="宋体" w:cs="宋体"/>
          <w:b/>
          <w:bCs/>
          <w:szCs w:val="21"/>
        </w:rPr>
        <w:t>）</w:t>
      </w:r>
    </w:p>
    <w:p w14:paraId="5A643B14">
      <w:pPr>
        <w:tabs>
          <w:tab w:val="left" w:pos="4860"/>
        </w:tabs>
        <w:spacing w:line="360" w:lineRule="auto"/>
        <w:ind w:right="1560" w:firstLine="422"/>
        <w:jc w:val="left"/>
        <w:rPr>
          <w:rFonts w:hint="eastAsia" w:ascii="宋体" w:hAnsi="宋体" w:eastAsia="宋体" w:cs="宋体"/>
          <w:b/>
          <w:bCs/>
          <w:szCs w:val="21"/>
        </w:rPr>
      </w:pPr>
      <w:r>
        <w:rPr>
          <w:rFonts w:hint="eastAsia" w:ascii="宋体" w:hAnsi="宋体" w:eastAsia="宋体" w:cs="宋体"/>
          <w:b/>
          <w:bCs/>
          <w:szCs w:val="21"/>
        </w:rPr>
        <w:t>法定代表人（单位负责人）或委托代理人：（签</w:t>
      </w:r>
      <w:r>
        <w:rPr>
          <w:rFonts w:hint="eastAsia" w:ascii="宋体" w:hAnsi="宋体" w:cs="宋体"/>
          <w:b/>
          <w:bCs/>
          <w:szCs w:val="21"/>
          <w:lang w:val="en-US" w:eastAsia="zh-CN"/>
        </w:rPr>
        <w:t>字</w:t>
      </w:r>
      <w:r>
        <w:rPr>
          <w:rFonts w:hint="eastAsia" w:ascii="宋体" w:hAnsi="宋体" w:eastAsia="宋体" w:cs="宋体"/>
          <w:b/>
          <w:bCs/>
          <w:szCs w:val="21"/>
        </w:rPr>
        <w:t>或电子签章）</w:t>
      </w:r>
    </w:p>
    <w:p w14:paraId="7751D955">
      <w:pPr>
        <w:spacing w:line="360" w:lineRule="auto"/>
        <w:ind w:firstLine="422"/>
        <w:rPr>
          <w:rFonts w:hint="eastAsia" w:ascii="宋体" w:hAnsi="宋体" w:eastAsia="宋体" w:cs="宋体"/>
          <w:b/>
          <w:bCs/>
          <w:szCs w:val="21"/>
        </w:rPr>
      </w:pPr>
      <w:r>
        <w:rPr>
          <w:rFonts w:hint="eastAsia" w:ascii="宋体" w:hAnsi="宋体" w:eastAsia="宋体" w:cs="宋体"/>
          <w:b/>
          <w:bCs/>
          <w:szCs w:val="21"/>
        </w:rPr>
        <w:t>日期：年月日</w:t>
      </w:r>
    </w:p>
    <w:p w14:paraId="4B0085FE">
      <w:pPr>
        <w:pStyle w:val="24"/>
        <w:ind w:firstLine="480"/>
        <w:jc w:val="left"/>
        <w:rPr>
          <w:rFonts w:hint="eastAsia" w:ascii="宋体" w:hAnsi="宋体" w:eastAsia="宋体" w:cs="宋体"/>
          <w:color w:val="auto"/>
          <w:sz w:val="24"/>
          <w:szCs w:val="24"/>
          <w:highlight w:val="none"/>
        </w:rPr>
      </w:pPr>
    </w:p>
    <w:p w14:paraId="4A90BD14">
      <w:pPr>
        <w:pStyle w:val="24"/>
        <w:ind w:firstLine="480"/>
        <w:jc w:val="left"/>
        <w:rPr>
          <w:rFonts w:hint="eastAsia" w:ascii="宋体" w:hAnsi="宋体" w:eastAsia="宋体" w:cs="宋体"/>
          <w:color w:val="auto"/>
          <w:sz w:val="24"/>
          <w:szCs w:val="24"/>
          <w:highlight w:val="none"/>
        </w:rPr>
      </w:pPr>
    </w:p>
    <w:p w14:paraId="33D713D1">
      <w:pPr>
        <w:pStyle w:val="24"/>
        <w:ind w:firstLine="480"/>
        <w:jc w:val="left"/>
        <w:rPr>
          <w:rFonts w:hint="eastAsia" w:ascii="宋体" w:hAnsi="宋体" w:eastAsia="宋体" w:cs="宋体"/>
          <w:color w:val="auto"/>
          <w:sz w:val="24"/>
          <w:szCs w:val="24"/>
          <w:highlight w:val="none"/>
        </w:rPr>
      </w:pPr>
    </w:p>
    <w:p w14:paraId="03CAE358">
      <w:pPr>
        <w:pStyle w:val="24"/>
        <w:ind w:firstLine="480"/>
        <w:jc w:val="left"/>
        <w:rPr>
          <w:rFonts w:hint="eastAsia" w:ascii="宋体" w:hAnsi="宋体" w:eastAsia="宋体" w:cs="宋体"/>
          <w:color w:val="auto"/>
          <w:sz w:val="24"/>
          <w:szCs w:val="24"/>
          <w:highlight w:val="none"/>
        </w:rPr>
      </w:pPr>
    </w:p>
    <w:p w14:paraId="05A22CA9">
      <w:pPr>
        <w:pStyle w:val="24"/>
        <w:ind w:firstLine="480"/>
        <w:jc w:val="left"/>
        <w:rPr>
          <w:rFonts w:hint="eastAsia" w:ascii="宋体" w:hAnsi="宋体" w:eastAsia="宋体" w:cs="宋体"/>
          <w:color w:val="auto"/>
          <w:sz w:val="24"/>
          <w:szCs w:val="24"/>
          <w:highlight w:val="none"/>
        </w:rPr>
      </w:pPr>
    </w:p>
    <w:p w14:paraId="4E96F620">
      <w:pPr>
        <w:pStyle w:val="24"/>
        <w:ind w:firstLine="480"/>
        <w:jc w:val="left"/>
        <w:rPr>
          <w:rFonts w:hint="eastAsia" w:ascii="宋体" w:hAnsi="宋体" w:eastAsia="宋体" w:cs="宋体"/>
          <w:color w:val="auto"/>
          <w:sz w:val="24"/>
          <w:szCs w:val="24"/>
          <w:highlight w:val="none"/>
        </w:rPr>
      </w:pPr>
    </w:p>
    <w:p w14:paraId="57660225">
      <w:pPr>
        <w:pStyle w:val="24"/>
        <w:ind w:firstLine="480"/>
        <w:jc w:val="left"/>
        <w:rPr>
          <w:rFonts w:hint="eastAsia" w:ascii="宋体" w:hAnsi="宋体" w:eastAsia="宋体" w:cs="宋体"/>
          <w:color w:val="auto"/>
          <w:sz w:val="24"/>
          <w:szCs w:val="24"/>
          <w:highlight w:val="none"/>
        </w:rPr>
      </w:pPr>
    </w:p>
    <w:p w14:paraId="6F436E59">
      <w:pPr>
        <w:pStyle w:val="24"/>
        <w:ind w:firstLine="480"/>
        <w:jc w:val="left"/>
        <w:rPr>
          <w:rFonts w:hint="eastAsia" w:ascii="宋体" w:hAnsi="宋体" w:eastAsia="宋体" w:cs="宋体"/>
          <w:color w:val="auto"/>
          <w:sz w:val="24"/>
          <w:szCs w:val="24"/>
          <w:highlight w:val="none"/>
        </w:rPr>
      </w:pPr>
    </w:p>
    <w:p w14:paraId="6F80B9A4">
      <w:pPr>
        <w:pStyle w:val="24"/>
        <w:ind w:firstLine="480"/>
        <w:jc w:val="left"/>
        <w:rPr>
          <w:rFonts w:hint="eastAsia" w:ascii="宋体" w:hAnsi="宋体" w:eastAsia="宋体" w:cs="宋体"/>
          <w:color w:val="auto"/>
          <w:sz w:val="24"/>
          <w:szCs w:val="24"/>
          <w:highlight w:val="none"/>
        </w:rPr>
      </w:pPr>
    </w:p>
    <w:p w14:paraId="6C6C3C69">
      <w:pPr>
        <w:pStyle w:val="24"/>
        <w:ind w:firstLine="480"/>
        <w:jc w:val="left"/>
        <w:rPr>
          <w:rFonts w:hint="eastAsia" w:ascii="宋体" w:hAnsi="宋体" w:eastAsia="宋体" w:cs="宋体"/>
          <w:color w:val="auto"/>
          <w:sz w:val="24"/>
          <w:szCs w:val="24"/>
          <w:highlight w:val="none"/>
        </w:rPr>
      </w:pPr>
    </w:p>
    <w:p w14:paraId="39346DBF">
      <w:pPr>
        <w:pStyle w:val="24"/>
        <w:ind w:firstLine="480"/>
        <w:jc w:val="left"/>
        <w:rPr>
          <w:rFonts w:hint="eastAsia" w:ascii="宋体" w:hAnsi="宋体" w:eastAsia="宋体" w:cs="宋体"/>
          <w:color w:val="auto"/>
          <w:sz w:val="24"/>
          <w:szCs w:val="24"/>
          <w:highlight w:val="none"/>
        </w:rPr>
      </w:pPr>
    </w:p>
    <w:p w14:paraId="5E5F0647">
      <w:pPr>
        <w:pStyle w:val="24"/>
        <w:ind w:firstLine="480"/>
        <w:jc w:val="left"/>
        <w:rPr>
          <w:rFonts w:hint="eastAsia" w:ascii="宋体" w:hAnsi="宋体" w:eastAsia="宋体" w:cs="宋体"/>
          <w:color w:val="auto"/>
          <w:sz w:val="24"/>
          <w:szCs w:val="24"/>
          <w:highlight w:val="none"/>
        </w:rPr>
      </w:pPr>
    </w:p>
    <w:p w14:paraId="01183A2B">
      <w:pPr>
        <w:pStyle w:val="24"/>
        <w:ind w:firstLine="480"/>
        <w:jc w:val="left"/>
        <w:rPr>
          <w:rFonts w:hint="eastAsia" w:ascii="宋体" w:hAnsi="宋体" w:eastAsia="宋体" w:cs="宋体"/>
          <w:color w:val="auto"/>
          <w:sz w:val="24"/>
          <w:szCs w:val="24"/>
          <w:highlight w:val="none"/>
        </w:rPr>
      </w:pPr>
    </w:p>
    <w:p w14:paraId="0DED20FF">
      <w:pPr>
        <w:pStyle w:val="24"/>
        <w:ind w:firstLine="480"/>
        <w:jc w:val="left"/>
        <w:rPr>
          <w:rFonts w:hint="eastAsia" w:ascii="宋体" w:hAnsi="宋体" w:eastAsia="宋体" w:cs="宋体"/>
          <w:color w:val="auto"/>
          <w:sz w:val="24"/>
          <w:szCs w:val="24"/>
          <w:highlight w:val="none"/>
        </w:rPr>
      </w:pPr>
    </w:p>
    <w:p w14:paraId="27E39CD5">
      <w:pPr>
        <w:pStyle w:val="24"/>
        <w:ind w:left="0" w:leftChars="0" w:firstLine="0" w:firstLineChars="0"/>
        <w:jc w:val="left"/>
        <w:rPr>
          <w:rFonts w:hint="eastAsia" w:ascii="宋体" w:hAnsi="宋体" w:eastAsia="宋体" w:cs="宋体"/>
          <w:b/>
          <w:bCs/>
          <w:color w:val="auto"/>
          <w:kern w:val="2"/>
          <w:sz w:val="24"/>
          <w:szCs w:val="32"/>
          <w:highlight w:val="none"/>
          <w:lang w:val="en-US" w:eastAsia="zh-CN" w:bidi="ar-SA"/>
        </w:rPr>
      </w:pPr>
      <w:r>
        <w:rPr>
          <w:rFonts w:hint="eastAsia" w:ascii="宋体" w:hAnsi="宋体" w:eastAsia="宋体" w:cs="宋体"/>
          <w:b/>
          <w:bCs/>
          <w:color w:val="auto"/>
          <w:kern w:val="2"/>
          <w:sz w:val="24"/>
          <w:szCs w:val="32"/>
          <w:highlight w:val="none"/>
          <w:lang w:val="en-US" w:eastAsia="zh-CN" w:bidi="ar-SA"/>
        </w:rPr>
        <w:t>格式</w:t>
      </w:r>
      <w:r>
        <w:rPr>
          <w:rFonts w:hint="eastAsia" w:ascii="宋体" w:hAnsi="宋体" w:cs="宋体"/>
          <w:b/>
          <w:bCs/>
          <w:color w:val="auto"/>
          <w:kern w:val="2"/>
          <w:sz w:val="24"/>
          <w:szCs w:val="32"/>
          <w:highlight w:val="none"/>
          <w:lang w:val="en-US" w:eastAsia="zh-CN" w:bidi="ar-SA"/>
        </w:rPr>
        <w:t>10</w:t>
      </w:r>
      <w:r>
        <w:rPr>
          <w:rFonts w:hint="eastAsia" w:ascii="宋体" w:hAnsi="宋体" w:eastAsia="宋体" w:cs="宋体"/>
          <w:b/>
          <w:bCs/>
          <w:color w:val="auto"/>
          <w:kern w:val="2"/>
          <w:sz w:val="24"/>
          <w:szCs w:val="32"/>
          <w:highlight w:val="none"/>
          <w:lang w:val="en-US" w:eastAsia="zh-CN" w:bidi="ar-SA"/>
        </w:rPr>
        <w:t>：类似项目业绩</w:t>
      </w:r>
    </w:p>
    <w:p w14:paraId="4F8E84C5">
      <w:pPr>
        <w:pStyle w:val="24"/>
        <w:ind w:firstLine="480"/>
        <w:jc w:val="center"/>
        <w:rPr>
          <w:rFonts w:hint="eastAsia" w:ascii="Arial" w:hAnsi="Arial" w:eastAsia="宋体" w:cs="Times New Roman"/>
          <w:b/>
          <w:kern w:val="0"/>
          <w:sz w:val="30"/>
          <w:szCs w:val="20"/>
          <w:lang w:val="en-US" w:eastAsia="zh-CN" w:bidi="ar-SA"/>
        </w:rPr>
      </w:pPr>
      <w:r>
        <w:rPr>
          <w:rFonts w:hint="eastAsia" w:ascii="Arial" w:hAnsi="Arial" w:eastAsia="宋体" w:cs="Times New Roman"/>
          <w:b/>
          <w:kern w:val="0"/>
          <w:sz w:val="30"/>
          <w:szCs w:val="20"/>
          <w:lang w:val="en-US" w:eastAsia="zh-CN" w:bidi="ar-SA"/>
        </w:rPr>
        <w:t>类似项目业绩</w:t>
      </w:r>
    </w:p>
    <w:tbl>
      <w:tblPr>
        <w:tblStyle w:val="16"/>
        <w:tblW w:w="96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48"/>
        <w:gridCol w:w="2036"/>
        <w:gridCol w:w="1215"/>
        <w:gridCol w:w="1705"/>
        <w:gridCol w:w="1321"/>
        <w:gridCol w:w="1396"/>
        <w:gridCol w:w="1018"/>
      </w:tblGrid>
      <w:tr w14:paraId="792C77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25" w:hRule="atLeast"/>
          <w:jc w:val="center"/>
        </w:trPr>
        <w:tc>
          <w:tcPr>
            <w:tcW w:w="948" w:type="dxa"/>
            <w:noWrap w:val="0"/>
            <w:vAlign w:val="center"/>
          </w:tcPr>
          <w:p w14:paraId="1FB950A0">
            <w:pPr>
              <w:wordWrap w:val="0"/>
              <w:spacing w:beforeAutospacing="0"/>
              <w:jc w:val="center"/>
              <w:rPr>
                <w:rFonts w:hint="eastAsia"/>
                <w:b/>
                <w:sz w:val="24"/>
              </w:rPr>
            </w:pPr>
            <w:r>
              <w:rPr>
                <w:rFonts w:hint="eastAsia"/>
                <w:b/>
                <w:sz w:val="24"/>
              </w:rPr>
              <w:t>序号</w:t>
            </w:r>
          </w:p>
        </w:tc>
        <w:tc>
          <w:tcPr>
            <w:tcW w:w="2036" w:type="dxa"/>
            <w:noWrap w:val="0"/>
            <w:vAlign w:val="center"/>
          </w:tcPr>
          <w:p w14:paraId="14B7179F">
            <w:pPr>
              <w:wordWrap w:val="0"/>
              <w:jc w:val="center"/>
              <w:rPr>
                <w:rFonts w:hint="eastAsia"/>
                <w:b/>
                <w:sz w:val="24"/>
              </w:rPr>
            </w:pPr>
            <w:r>
              <w:rPr>
                <w:rFonts w:hint="eastAsia"/>
                <w:b/>
                <w:sz w:val="24"/>
              </w:rPr>
              <w:t>合同名称</w:t>
            </w:r>
          </w:p>
        </w:tc>
        <w:tc>
          <w:tcPr>
            <w:tcW w:w="1215" w:type="dxa"/>
            <w:noWrap w:val="0"/>
            <w:vAlign w:val="center"/>
          </w:tcPr>
          <w:p w14:paraId="5618F62D">
            <w:pPr>
              <w:wordWrap w:val="0"/>
              <w:jc w:val="center"/>
              <w:rPr>
                <w:rFonts w:hint="eastAsia"/>
                <w:b/>
                <w:sz w:val="24"/>
              </w:rPr>
            </w:pPr>
            <w:r>
              <w:rPr>
                <w:rFonts w:hint="eastAsia"/>
                <w:b/>
                <w:sz w:val="24"/>
              </w:rPr>
              <w:t>合同总价</w:t>
            </w:r>
          </w:p>
        </w:tc>
        <w:tc>
          <w:tcPr>
            <w:tcW w:w="1705" w:type="dxa"/>
            <w:noWrap w:val="0"/>
            <w:vAlign w:val="center"/>
          </w:tcPr>
          <w:p w14:paraId="2147EF0B">
            <w:pPr>
              <w:wordWrap w:val="0"/>
              <w:jc w:val="center"/>
              <w:rPr>
                <w:rFonts w:hint="eastAsia"/>
                <w:b/>
                <w:sz w:val="24"/>
              </w:rPr>
            </w:pPr>
            <w:r>
              <w:rPr>
                <w:rFonts w:hint="eastAsia"/>
                <w:b/>
                <w:sz w:val="24"/>
              </w:rPr>
              <w:t>使用单位名称</w:t>
            </w:r>
          </w:p>
        </w:tc>
        <w:tc>
          <w:tcPr>
            <w:tcW w:w="1321" w:type="dxa"/>
            <w:noWrap w:val="0"/>
            <w:vAlign w:val="top"/>
          </w:tcPr>
          <w:p w14:paraId="7D1209E3">
            <w:pPr>
              <w:wordWrap w:val="0"/>
              <w:jc w:val="center"/>
              <w:rPr>
                <w:rFonts w:hint="eastAsia"/>
                <w:b/>
                <w:sz w:val="24"/>
              </w:rPr>
            </w:pPr>
            <w:r>
              <w:rPr>
                <w:rFonts w:hint="eastAsia"/>
                <w:b/>
                <w:sz w:val="24"/>
              </w:rPr>
              <w:t>使用单位联系人及联系电话</w:t>
            </w:r>
          </w:p>
        </w:tc>
        <w:tc>
          <w:tcPr>
            <w:tcW w:w="1396" w:type="dxa"/>
            <w:noWrap w:val="0"/>
            <w:vAlign w:val="center"/>
          </w:tcPr>
          <w:p w14:paraId="1FD54C4E">
            <w:pPr>
              <w:wordWrap w:val="0"/>
              <w:jc w:val="center"/>
              <w:rPr>
                <w:rFonts w:hint="eastAsia"/>
                <w:b/>
                <w:sz w:val="24"/>
              </w:rPr>
            </w:pPr>
            <w:r>
              <w:rPr>
                <w:rFonts w:hint="eastAsia"/>
                <w:b/>
                <w:sz w:val="24"/>
              </w:rPr>
              <w:t>签订合同时间</w:t>
            </w:r>
          </w:p>
        </w:tc>
        <w:tc>
          <w:tcPr>
            <w:tcW w:w="1018" w:type="dxa"/>
            <w:noWrap w:val="0"/>
            <w:vAlign w:val="center"/>
          </w:tcPr>
          <w:p w14:paraId="628ABD3C">
            <w:pPr>
              <w:wordWrap w:val="0"/>
              <w:jc w:val="center"/>
              <w:rPr>
                <w:rFonts w:hint="eastAsia"/>
                <w:b/>
                <w:sz w:val="24"/>
              </w:rPr>
            </w:pPr>
            <w:r>
              <w:rPr>
                <w:rFonts w:hint="eastAsia"/>
                <w:b/>
                <w:sz w:val="24"/>
              </w:rPr>
              <w:t>备注</w:t>
            </w:r>
          </w:p>
        </w:tc>
      </w:tr>
      <w:tr w14:paraId="09BECE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948" w:type="dxa"/>
            <w:noWrap w:val="0"/>
            <w:vAlign w:val="center"/>
          </w:tcPr>
          <w:p w14:paraId="5E0F1572">
            <w:pPr>
              <w:wordWrap w:val="0"/>
              <w:jc w:val="center"/>
              <w:rPr>
                <w:rFonts w:hint="eastAsia"/>
                <w:sz w:val="24"/>
              </w:rPr>
            </w:pPr>
            <w:r>
              <w:rPr>
                <w:rFonts w:hint="eastAsia"/>
                <w:sz w:val="24"/>
              </w:rPr>
              <w:t>1</w:t>
            </w:r>
          </w:p>
        </w:tc>
        <w:tc>
          <w:tcPr>
            <w:tcW w:w="2036" w:type="dxa"/>
            <w:noWrap w:val="0"/>
            <w:vAlign w:val="center"/>
          </w:tcPr>
          <w:p w14:paraId="4B44CD31">
            <w:pPr>
              <w:wordWrap w:val="0"/>
              <w:jc w:val="center"/>
              <w:rPr>
                <w:rFonts w:hint="eastAsia"/>
                <w:sz w:val="24"/>
              </w:rPr>
            </w:pPr>
          </w:p>
        </w:tc>
        <w:tc>
          <w:tcPr>
            <w:tcW w:w="1215" w:type="dxa"/>
            <w:noWrap w:val="0"/>
            <w:vAlign w:val="center"/>
          </w:tcPr>
          <w:p w14:paraId="05C32DB7">
            <w:pPr>
              <w:wordWrap w:val="0"/>
              <w:jc w:val="center"/>
              <w:rPr>
                <w:rFonts w:hint="eastAsia"/>
                <w:sz w:val="24"/>
              </w:rPr>
            </w:pPr>
          </w:p>
        </w:tc>
        <w:tc>
          <w:tcPr>
            <w:tcW w:w="1705" w:type="dxa"/>
            <w:noWrap w:val="0"/>
            <w:vAlign w:val="center"/>
          </w:tcPr>
          <w:p w14:paraId="234B60FF">
            <w:pPr>
              <w:wordWrap w:val="0"/>
              <w:jc w:val="center"/>
              <w:rPr>
                <w:rFonts w:hint="eastAsia"/>
                <w:sz w:val="24"/>
              </w:rPr>
            </w:pPr>
          </w:p>
        </w:tc>
        <w:tc>
          <w:tcPr>
            <w:tcW w:w="1321" w:type="dxa"/>
            <w:noWrap w:val="0"/>
            <w:vAlign w:val="top"/>
          </w:tcPr>
          <w:p w14:paraId="3EA19F2E">
            <w:pPr>
              <w:wordWrap w:val="0"/>
              <w:jc w:val="center"/>
              <w:rPr>
                <w:rFonts w:hint="eastAsia"/>
                <w:sz w:val="24"/>
              </w:rPr>
            </w:pPr>
          </w:p>
        </w:tc>
        <w:tc>
          <w:tcPr>
            <w:tcW w:w="1396" w:type="dxa"/>
            <w:noWrap w:val="0"/>
            <w:vAlign w:val="center"/>
          </w:tcPr>
          <w:p w14:paraId="3AA6FB14">
            <w:pPr>
              <w:wordWrap w:val="0"/>
              <w:jc w:val="center"/>
              <w:rPr>
                <w:rFonts w:hint="eastAsia"/>
                <w:sz w:val="24"/>
              </w:rPr>
            </w:pPr>
          </w:p>
        </w:tc>
        <w:tc>
          <w:tcPr>
            <w:tcW w:w="1018" w:type="dxa"/>
            <w:noWrap w:val="0"/>
            <w:vAlign w:val="center"/>
          </w:tcPr>
          <w:p w14:paraId="41B1E148">
            <w:pPr>
              <w:wordWrap w:val="0"/>
              <w:jc w:val="center"/>
              <w:rPr>
                <w:rFonts w:hint="eastAsia"/>
                <w:sz w:val="24"/>
              </w:rPr>
            </w:pPr>
          </w:p>
        </w:tc>
      </w:tr>
      <w:tr w14:paraId="641301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948" w:type="dxa"/>
            <w:noWrap w:val="0"/>
            <w:vAlign w:val="center"/>
          </w:tcPr>
          <w:p w14:paraId="0F1C6A91">
            <w:pPr>
              <w:wordWrap w:val="0"/>
              <w:jc w:val="center"/>
              <w:rPr>
                <w:rFonts w:hint="eastAsia"/>
                <w:sz w:val="24"/>
              </w:rPr>
            </w:pPr>
            <w:r>
              <w:rPr>
                <w:rFonts w:hint="eastAsia"/>
                <w:sz w:val="24"/>
              </w:rPr>
              <w:t>2</w:t>
            </w:r>
          </w:p>
        </w:tc>
        <w:tc>
          <w:tcPr>
            <w:tcW w:w="2036" w:type="dxa"/>
            <w:noWrap w:val="0"/>
            <w:vAlign w:val="center"/>
          </w:tcPr>
          <w:p w14:paraId="4F4DA5EB">
            <w:pPr>
              <w:wordWrap w:val="0"/>
              <w:jc w:val="center"/>
              <w:rPr>
                <w:rFonts w:hint="eastAsia"/>
                <w:sz w:val="24"/>
              </w:rPr>
            </w:pPr>
          </w:p>
        </w:tc>
        <w:tc>
          <w:tcPr>
            <w:tcW w:w="1215" w:type="dxa"/>
            <w:noWrap w:val="0"/>
            <w:vAlign w:val="center"/>
          </w:tcPr>
          <w:p w14:paraId="47F5FD67">
            <w:pPr>
              <w:wordWrap w:val="0"/>
              <w:jc w:val="center"/>
              <w:rPr>
                <w:rFonts w:hint="eastAsia"/>
                <w:sz w:val="24"/>
              </w:rPr>
            </w:pPr>
          </w:p>
        </w:tc>
        <w:tc>
          <w:tcPr>
            <w:tcW w:w="1705" w:type="dxa"/>
            <w:noWrap w:val="0"/>
            <w:vAlign w:val="center"/>
          </w:tcPr>
          <w:p w14:paraId="1137CBE6">
            <w:pPr>
              <w:wordWrap w:val="0"/>
              <w:jc w:val="center"/>
              <w:rPr>
                <w:sz w:val="24"/>
              </w:rPr>
            </w:pPr>
          </w:p>
        </w:tc>
        <w:tc>
          <w:tcPr>
            <w:tcW w:w="1321" w:type="dxa"/>
            <w:noWrap w:val="0"/>
            <w:vAlign w:val="top"/>
          </w:tcPr>
          <w:p w14:paraId="7E9057D2">
            <w:pPr>
              <w:wordWrap w:val="0"/>
              <w:jc w:val="center"/>
              <w:rPr>
                <w:rFonts w:hint="eastAsia"/>
                <w:sz w:val="24"/>
              </w:rPr>
            </w:pPr>
          </w:p>
        </w:tc>
        <w:tc>
          <w:tcPr>
            <w:tcW w:w="1396" w:type="dxa"/>
            <w:noWrap w:val="0"/>
            <w:vAlign w:val="center"/>
          </w:tcPr>
          <w:p w14:paraId="146AB577">
            <w:pPr>
              <w:wordWrap w:val="0"/>
              <w:jc w:val="center"/>
              <w:rPr>
                <w:rFonts w:hint="eastAsia"/>
                <w:sz w:val="24"/>
              </w:rPr>
            </w:pPr>
          </w:p>
        </w:tc>
        <w:tc>
          <w:tcPr>
            <w:tcW w:w="1018" w:type="dxa"/>
            <w:noWrap w:val="0"/>
            <w:vAlign w:val="center"/>
          </w:tcPr>
          <w:p w14:paraId="70905D14">
            <w:pPr>
              <w:wordWrap w:val="0"/>
              <w:jc w:val="center"/>
              <w:rPr>
                <w:rFonts w:hint="eastAsia"/>
                <w:sz w:val="24"/>
              </w:rPr>
            </w:pPr>
          </w:p>
        </w:tc>
      </w:tr>
      <w:tr w14:paraId="54EA52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948" w:type="dxa"/>
            <w:noWrap w:val="0"/>
            <w:vAlign w:val="center"/>
          </w:tcPr>
          <w:p w14:paraId="7174A869">
            <w:pPr>
              <w:wordWrap w:val="0"/>
              <w:jc w:val="center"/>
              <w:rPr>
                <w:rFonts w:hint="eastAsia"/>
                <w:sz w:val="24"/>
              </w:rPr>
            </w:pPr>
            <w:r>
              <w:rPr>
                <w:rFonts w:hint="eastAsia"/>
                <w:sz w:val="24"/>
              </w:rPr>
              <w:t>3</w:t>
            </w:r>
          </w:p>
        </w:tc>
        <w:tc>
          <w:tcPr>
            <w:tcW w:w="2036" w:type="dxa"/>
            <w:noWrap w:val="0"/>
            <w:vAlign w:val="center"/>
          </w:tcPr>
          <w:p w14:paraId="4CEB17DD">
            <w:pPr>
              <w:wordWrap w:val="0"/>
              <w:jc w:val="center"/>
              <w:rPr>
                <w:rFonts w:hint="eastAsia"/>
                <w:sz w:val="24"/>
              </w:rPr>
            </w:pPr>
          </w:p>
        </w:tc>
        <w:tc>
          <w:tcPr>
            <w:tcW w:w="1215" w:type="dxa"/>
            <w:noWrap w:val="0"/>
            <w:vAlign w:val="center"/>
          </w:tcPr>
          <w:p w14:paraId="5777774F">
            <w:pPr>
              <w:wordWrap w:val="0"/>
              <w:jc w:val="center"/>
              <w:rPr>
                <w:rFonts w:hint="eastAsia"/>
                <w:sz w:val="24"/>
              </w:rPr>
            </w:pPr>
          </w:p>
        </w:tc>
        <w:tc>
          <w:tcPr>
            <w:tcW w:w="1705" w:type="dxa"/>
            <w:noWrap w:val="0"/>
            <w:vAlign w:val="center"/>
          </w:tcPr>
          <w:p w14:paraId="48628666">
            <w:pPr>
              <w:wordWrap w:val="0"/>
              <w:jc w:val="center"/>
              <w:rPr>
                <w:rFonts w:hint="eastAsia"/>
                <w:sz w:val="24"/>
              </w:rPr>
            </w:pPr>
          </w:p>
        </w:tc>
        <w:tc>
          <w:tcPr>
            <w:tcW w:w="1321" w:type="dxa"/>
            <w:noWrap w:val="0"/>
            <w:vAlign w:val="top"/>
          </w:tcPr>
          <w:p w14:paraId="44DBC379">
            <w:pPr>
              <w:wordWrap w:val="0"/>
              <w:jc w:val="center"/>
              <w:rPr>
                <w:rFonts w:hint="eastAsia"/>
                <w:sz w:val="24"/>
              </w:rPr>
            </w:pPr>
          </w:p>
        </w:tc>
        <w:tc>
          <w:tcPr>
            <w:tcW w:w="1396" w:type="dxa"/>
            <w:noWrap w:val="0"/>
            <w:vAlign w:val="center"/>
          </w:tcPr>
          <w:p w14:paraId="1DA94560">
            <w:pPr>
              <w:wordWrap w:val="0"/>
              <w:jc w:val="center"/>
              <w:rPr>
                <w:rFonts w:hint="eastAsia"/>
                <w:sz w:val="24"/>
              </w:rPr>
            </w:pPr>
          </w:p>
        </w:tc>
        <w:tc>
          <w:tcPr>
            <w:tcW w:w="1018" w:type="dxa"/>
            <w:noWrap w:val="0"/>
            <w:vAlign w:val="center"/>
          </w:tcPr>
          <w:p w14:paraId="33254290">
            <w:pPr>
              <w:wordWrap w:val="0"/>
              <w:jc w:val="center"/>
              <w:rPr>
                <w:rFonts w:hint="eastAsia"/>
                <w:sz w:val="24"/>
              </w:rPr>
            </w:pPr>
          </w:p>
        </w:tc>
      </w:tr>
      <w:tr w14:paraId="4B3C48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948" w:type="dxa"/>
            <w:noWrap w:val="0"/>
            <w:vAlign w:val="center"/>
          </w:tcPr>
          <w:p w14:paraId="1611E294">
            <w:pPr>
              <w:wordWrap w:val="0"/>
              <w:jc w:val="center"/>
              <w:rPr>
                <w:rFonts w:hint="eastAsia"/>
                <w:sz w:val="24"/>
              </w:rPr>
            </w:pPr>
            <w:r>
              <w:rPr>
                <w:rFonts w:hint="eastAsia"/>
                <w:sz w:val="24"/>
              </w:rPr>
              <w:t>4</w:t>
            </w:r>
          </w:p>
        </w:tc>
        <w:tc>
          <w:tcPr>
            <w:tcW w:w="2036" w:type="dxa"/>
            <w:noWrap w:val="0"/>
            <w:vAlign w:val="center"/>
          </w:tcPr>
          <w:p w14:paraId="74EDC6B6">
            <w:pPr>
              <w:wordWrap w:val="0"/>
              <w:jc w:val="center"/>
              <w:rPr>
                <w:rFonts w:hint="eastAsia"/>
                <w:sz w:val="24"/>
              </w:rPr>
            </w:pPr>
          </w:p>
        </w:tc>
        <w:tc>
          <w:tcPr>
            <w:tcW w:w="1215" w:type="dxa"/>
            <w:noWrap w:val="0"/>
            <w:vAlign w:val="center"/>
          </w:tcPr>
          <w:p w14:paraId="567BFDAD">
            <w:pPr>
              <w:wordWrap w:val="0"/>
              <w:jc w:val="center"/>
              <w:rPr>
                <w:rFonts w:hint="eastAsia"/>
                <w:sz w:val="24"/>
              </w:rPr>
            </w:pPr>
          </w:p>
        </w:tc>
        <w:tc>
          <w:tcPr>
            <w:tcW w:w="1705" w:type="dxa"/>
            <w:noWrap w:val="0"/>
            <w:vAlign w:val="center"/>
          </w:tcPr>
          <w:p w14:paraId="2471F5EC">
            <w:pPr>
              <w:wordWrap w:val="0"/>
              <w:jc w:val="center"/>
              <w:rPr>
                <w:rFonts w:hint="eastAsia"/>
                <w:sz w:val="24"/>
              </w:rPr>
            </w:pPr>
          </w:p>
        </w:tc>
        <w:tc>
          <w:tcPr>
            <w:tcW w:w="1321" w:type="dxa"/>
            <w:noWrap w:val="0"/>
            <w:vAlign w:val="top"/>
          </w:tcPr>
          <w:p w14:paraId="69119671">
            <w:pPr>
              <w:wordWrap w:val="0"/>
              <w:jc w:val="center"/>
              <w:rPr>
                <w:rFonts w:hint="eastAsia"/>
                <w:sz w:val="24"/>
              </w:rPr>
            </w:pPr>
          </w:p>
        </w:tc>
        <w:tc>
          <w:tcPr>
            <w:tcW w:w="1396" w:type="dxa"/>
            <w:noWrap w:val="0"/>
            <w:vAlign w:val="center"/>
          </w:tcPr>
          <w:p w14:paraId="06E0BC48">
            <w:pPr>
              <w:wordWrap w:val="0"/>
              <w:jc w:val="center"/>
              <w:rPr>
                <w:rFonts w:hint="eastAsia"/>
                <w:sz w:val="24"/>
              </w:rPr>
            </w:pPr>
          </w:p>
        </w:tc>
        <w:tc>
          <w:tcPr>
            <w:tcW w:w="1018" w:type="dxa"/>
            <w:noWrap w:val="0"/>
            <w:vAlign w:val="center"/>
          </w:tcPr>
          <w:p w14:paraId="44ADEE04">
            <w:pPr>
              <w:wordWrap w:val="0"/>
              <w:jc w:val="center"/>
              <w:rPr>
                <w:rFonts w:hint="eastAsia"/>
                <w:sz w:val="24"/>
              </w:rPr>
            </w:pPr>
          </w:p>
        </w:tc>
      </w:tr>
      <w:tr w14:paraId="53A1A8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948" w:type="dxa"/>
            <w:noWrap w:val="0"/>
            <w:vAlign w:val="center"/>
          </w:tcPr>
          <w:p w14:paraId="4D176BF9">
            <w:pPr>
              <w:wordWrap w:val="0"/>
              <w:jc w:val="center"/>
              <w:rPr>
                <w:rFonts w:hint="eastAsia"/>
                <w:sz w:val="24"/>
              </w:rPr>
            </w:pPr>
            <w:r>
              <w:rPr>
                <w:rFonts w:hint="eastAsia"/>
                <w:sz w:val="24"/>
              </w:rPr>
              <w:t>5</w:t>
            </w:r>
          </w:p>
        </w:tc>
        <w:tc>
          <w:tcPr>
            <w:tcW w:w="2036" w:type="dxa"/>
            <w:noWrap w:val="0"/>
            <w:vAlign w:val="center"/>
          </w:tcPr>
          <w:p w14:paraId="3F253709">
            <w:pPr>
              <w:wordWrap w:val="0"/>
              <w:jc w:val="center"/>
              <w:rPr>
                <w:rFonts w:hint="eastAsia"/>
                <w:sz w:val="24"/>
              </w:rPr>
            </w:pPr>
          </w:p>
        </w:tc>
        <w:tc>
          <w:tcPr>
            <w:tcW w:w="1215" w:type="dxa"/>
            <w:noWrap w:val="0"/>
            <w:vAlign w:val="center"/>
          </w:tcPr>
          <w:p w14:paraId="218AA6DB">
            <w:pPr>
              <w:wordWrap w:val="0"/>
              <w:jc w:val="center"/>
              <w:rPr>
                <w:rFonts w:hint="eastAsia"/>
                <w:sz w:val="24"/>
              </w:rPr>
            </w:pPr>
          </w:p>
        </w:tc>
        <w:tc>
          <w:tcPr>
            <w:tcW w:w="1705" w:type="dxa"/>
            <w:noWrap w:val="0"/>
            <w:vAlign w:val="center"/>
          </w:tcPr>
          <w:p w14:paraId="44A3C2DB">
            <w:pPr>
              <w:wordWrap w:val="0"/>
              <w:jc w:val="center"/>
              <w:rPr>
                <w:rFonts w:hint="eastAsia"/>
                <w:sz w:val="24"/>
              </w:rPr>
            </w:pPr>
          </w:p>
        </w:tc>
        <w:tc>
          <w:tcPr>
            <w:tcW w:w="1321" w:type="dxa"/>
            <w:noWrap w:val="0"/>
            <w:vAlign w:val="top"/>
          </w:tcPr>
          <w:p w14:paraId="28ADDAF2">
            <w:pPr>
              <w:wordWrap w:val="0"/>
              <w:jc w:val="center"/>
              <w:rPr>
                <w:rFonts w:hint="eastAsia"/>
                <w:sz w:val="24"/>
              </w:rPr>
            </w:pPr>
          </w:p>
        </w:tc>
        <w:tc>
          <w:tcPr>
            <w:tcW w:w="1396" w:type="dxa"/>
            <w:noWrap w:val="0"/>
            <w:vAlign w:val="center"/>
          </w:tcPr>
          <w:p w14:paraId="52AAC7F4">
            <w:pPr>
              <w:wordWrap w:val="0"/>
              <w:jc w:val="center"/>
              <w:rPr>
                <w:rFonts w:hint="eastAsia"/>
                <w:sz w:val="24"/>
              </w:rPr>
            </w:pPr>
          </w:p>
        </w:tc>
        <w:tc>
          <w:tcPr>
            <w:tcW w:w="1018" w:type="dxa"/>
            <w:noWrap w:val="0"/>
            <w:vAlign w:val="center"/>
          </w:tcPr>
          <w:p w14:paraId="3FF58120">
            <w:pPr>
              <w:wordWrap w:val="0"/>
              <w:jc w:val="center"/>
              <w:rPr>
                <w:rFonts w:hint="eastAsia"/>
                <w:sz w:val="24"/>
              </w:rPr>
            </w:pPr>
          </w:p>
        </w:tc>
      </w:tr>
    </w:tbl>
    <w:p w14:paraId="5B0ABE8D">
      <w:pPr>
        <w:wordWrap w:val="0"/>
        <w:spacing w:line="360" w:lineRule="auto"/>
        <w:rPr>
          <w:rFonts w:hint="eastAsia"/>
          <w:b/>
          <w:bCs/>
          <w:sz w:val="24"/>
          <w:szCs w:val="24"/>
        </w:rPr>
      </w:pPr>
      <w:r>
        <w:rPr>
          <w:rFonts w:hint="eastAsia"/>
          <w:b/>
          <w:bCs/>
          <w:sz w:val="24"/>
          <w:szCs w:val="24"/>
        </w:rPr>
        <w:t>注：供应商提供相应的证明文件</w:t>
      </w:r>
      <w:r>
        <w:rPr>
          <w:rFonts w:hint="eastAsia"/>
          <w:b/>
          <w:bCs/>
          <w:sz w:val="24"/>
          <w:szCs w:val="24"/>
          <w:lang w:val="en-US" w:eastAsia="zh-CN"/>
        </w:rPr>
        <w:t>扫描</w:t>
      </w:r>
      <w:r>
        <w:rPr>
          <w:rFonts w:hint="eastAsia"/>
          <w:b/>
          <w:bCs/>
          <w:sz w:val="24"/>
          <w:szCs w:val="24"/>
        </w:rPr>
        <w:t>件(合同或成交通知书或付款发票等)。</w:t>
      </w:r>
    </w:p>
    <w:p w14:paraId="1170FF52">
      <w:pPr>
        <w:pStyle w:val="3"/>
        <w:wordWrap w:val="0"/>
        <w:spacing w:before="0" w:beforeAutospacing="0" w:afterAutospacing="0"/>
        <w:jc w:val="both"/>
        <w:rPr>
          <w:rFonts w:hint="eastAsia" w:eastAsia="宋体"/>
        </w:rPr>
      </w:pPr>
    </w:p>
    <w:p w14:paraId="15FCB115">
      <w:pPr>
        <w:pStyle w:val="7"/>
        <w:wordWrap w:val="0"/>
        <w:rPr>
          <w:rFonts w:hint="eastAsia"/>
          <w:sz w:val="24"/>
        </w:rPr>
      </w:pPr>
    </w:p>
    <w:p w14:paraId="2F70942E">
      <w:pPr>
        <w:tabs>
          <w:tab w:val="left" w:pos="4860"/>
        </w:tabs>
        <w:spacing w:line="360" w:lineRule="auto"/>
        <w:ind w:right="1560" w:firstLine="422"/>
        <w:jc w:val="left"/>
        <w:rPr>
          <w:rFonts w:hint="eastAsia" w:ascii="宋体" w:hAnsi="宋体" w:eastAsia="宋体" w:cs="宋体"/>
          <w:b/>
          <w:bCs/>
          <w:szCs w:val="21"/>
        </w:rPr>
      </w:pPr>
      <w:r>
        <w:rPr>
          <w:rFonts w:hint="eastAsia" w:ascii="宋体" w:hAnsi="宋体" w:eastAsia="宋体" w:cs="宋体"/>
          <w:b/>
          <w:bCs/>
          <w:szCs w:val="21"/>
        </w:rPr>
        <w:t>投标人：（</w:t>
      </w:r>
      <w:r>
        <w:rPr>
          <w:rFonts w:hint="eastAsia" w:ascii="宋体" w:hAnsi="宋体" w:eastAsia="宋体" w:cs="宋体"/>
          <w:b/>
          <w:bCs/>
          <w:szCs w:val="21"/>
          <w:lang w:eastAsia="zh-CN"/>
        </w:rPr>
        <w:t>电子签章</w:t>
      </w:r>
      <w:r>
        <w:rPr>
          <w:rFonts w:hint="eastAsia" w:ascii="宋体" w:hAnsi="宋体" w:eastAsia="宋体" w:cs="宋体"/>
          <w:b/>
          <w:bCs/>
          <w:szCs w:val="21"/>
        </w:rPr>
        <w:t>）</w:t>
      </w:r>
    </w:p>
    <w:p w14:paraId="573E48EB">
      <w:pPr>
        <w:tabs>
          <w:tab w:val="left" w:pos="4860"/>
        </w:tabs>
        <w:spacing w:line="360" w:lineRule="auto"/>
        <w:ind w:right="1560" w:firstLine="422"/>
        <w:jc w:val="left"/>
        <w:rPr>
          <w:rFonts w:hint="eastAsia" w:ascii="宋体" w:hAnsi="宋体" w:eastAsia="宋体" w:cs="宋体"/>
          <w:b/>
          <w:bCs/>
          <w:szCs w:val="21"/>
        </w:rPr>
      </w:pPr>
      <w:r>
        <w:rPr>
          <w:rFonts w:hint="eastAsia" w:ascii="宋体" w:hAnsi="宋体" w:eastAsia="宋体" w:cs="宋体"/>
          <w:b/>
          <w:bCs/>
          <w:szCs w:val="21"/>
        </w:rPr>
        <w:t>法定代表人（单位负责人）或委托代理人：（</w:t>
      </w:r>
      <w:r>
        <w:rPr>
          <w:rFonts w:hint="eastAsia" w:ascii="宋体" w:hAnsi="宋体" w:cs="宋体"/>
          <w:b/>
          <w:bCs/>
          <w:szCs w:val="21"/>
          <w:lang w:val="en-US" w:eastAsia="zh-CN"/>
        </w:rPr>
        <w:t>签字</w:t>
      </w:r>
      <w:r>
        <w:rPr>
          <w:rFonts w:hint="eastAsia" w:ascii="宋体" w:hAnsi="宋体" w:eastAsia="宋体" w:cs="宋体"/>
          <w:b/>
          <w:bCs/>
          <w:szCs w:val="21"/>
        </w:rPr>
        <w:t>或电子签章）</w:t>
      </w:r>
    </w:p>
    <w:p w14:paraId="0D7EED19">
      <w:pPr>
        <w:spacing w:line="360" w:lineRule="auto"/>
        <w:ind w:firstLine="422"/>
        <w:rPr>
          <w:rFonts w:hint="eastAsia" w:ascii="宋体" w:hAnsi="宋体" w:eastAsia="宋体" w:cs="宋体"/>
          <w:b/>
          <w:bCs/>
          <w:szCs w:val="21"/>
        </w:rPr>
      </w:pPr>
      <w:r>
        <w:rPr>
          <w:rFonts w:hint="eastAsia" w:ascii="宋体" w:hAnsi="宋体" w:eastAsia="宋体" w:cs="宋体"/>
          <w:b/>
          <w:bCs/>
          <w:szCs w:val="21"/>
        </w:rPr>
        <w:t>日期：年月日</w:t>
      </w:r>
    </w:p>
    <w:p w14:paraId="563A62FF">
      <w:pPr>
        <w:spacing w:line="480" w:lineRule="auto"/>
        <w:outlineLvl w:val="9"/>
        <w:rPr>
          <w:rFonts w:hint="eastAsia" w:ascii="宋体" w:hAnsi="宋体" w:eastAsia="宋体" w:cs="宋体"/>
          <w:color w:val="auto"/>
          <w:kern w:val="0"/>
          <w:sz w:val="28"/>
          <w:szCs w:val="28"/>
          <w:highlight w:val="none"/>
        </w:rPr>
      </w:pPr>
      <w:r>
        <w:rPr>
          <w:rFonts w:hint="eastAsia"/>
          <w:b/>
          <w:bCs/>
          <w:sz w:val="24"/>
          <w:szCs w:val="24"/>
        </w:rPr>
        <w:br w:type="page"/>
      </w:r>
      <w:r>
        <w:rPr>
          <w:rFonts w:hint="eastAsia" w:ascii="宋体" w:hAnsi="宋体" w:eastAsia="宋体" w:cs="宋体"/>
          <w:b/>
          <w:bCs/>
          <w:color w:val="auto"/>
          <w:sz w:val="24"/>
          <w:szCs w:val="32"/>
          <w:highlight w:val="none"/>
        </w:rPr>
        <w:t>格式</w:t>
      </w:r>
      <w:r>
        <w:rPr>
          <w:rFonts w:hint="eastAsia" w:ascii="宋体" w:hAnsi="宋体" w:eastAsia="宋体" w:cs="宋体"/>
          <w:b/>
          <w:bCs/>
          <w:color w:val="auto"/>
          <w:sz w:val="24"/>
          <w:szCs w:val="32"/>
          <w:highlight w:val="none"/>
          <w:lang w:val="en-US" w:eastAsia="zh-CN"/>
        </w:rPr>
        <w:t>1</w:t>
      </w:r>
      <w:r>
        <w:rPr>
          <w:rFonts w:hint="eastAsia" w:ascii="宋体" w:hAnsi="宋体" w:cs="宋体"/>
          <w:b/>
          <w:bCs/>
          <w:color w:val="auto"/>
          <w:sz w:val="24"/>
          <w:szCs w:val="32"/>
          <w:highlight w:val="none"/>
          <w:lang w:val="en-US" w:eastAsia="zh-CN"/>
        </w:rPr>
        <w:t>1</w:t>
      </w:r>
      <w:r>
        <w:rPr>
          <w:rFonts w:hint="eastAsia" w:ascii="宋体" w:hAnsi="宋体" w:eastAsia="宋体" w:cs="宋体"/>
          <w:b/>
          <w:bCs/>
          <w:color w:val="auto"/>
          <w:sz w:val="24"/>
          <w:szCs w:val="32"/>
          <w:highlight w:val="none"/>
        </w:rPr>
        <w:t>：安全承诺书</w:t>
      </w:r>
    </w:p>
    <w:p w14:paraId="3209A94E">
      <w:pPr>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bCs/>
          <w:color w:val="auto"/>
          <w:sz w:val="36"/>
          <w:szCs w:val="36"/>
          <w:highlight w:val="none"/>
        </w:rPr>
        <w:t>安全承诺书</w:t>
      </w:r>
    </w:p>
    <w:p w14:paraId="0020BD99">
      <w:pPr>
        <w:spacing w:line="360" w:lineRule="auto"/>
        <w:jc w:val="left"/>
        <w:rPr>
          <w:rFonts w:hint="eastAsia" w:ascii="宋体" w:hAnsi="宋体" w:eastAsia="宋体" w:cs="宋体"/>
          <w:b/>
          <w:color w:val="auto"/>
          <w:sz w:val="24"/>
          <w:highlight w:val="none"/>
        </w:rPr>
      </w:pPr>
    </w:p>
    <w:p w14:paraId="41010BFF">
      <w:pPr>
        <w:spacing w:line="360" w:lineRule="auto"/>
        <w:jc w:val="left"/>
        <w:rPr>
          <w:rFonts w:hint="default" w:ascii="宋体" w:hAnsi="宋体" w:eastAsia="宋体" w:cs="宋体"/>
          <w:b/>
          <w:color w:val="auto"/>
          <w:sz w:val="24"/>
          <w:highlight w:val="none"/>
          <w:u w:val="single"/>
          <w:lang w:val="en-US"/>
        </w:rPr>
      </w:pPr>
      <w:r>
        <w:rPr>
          <w:rFonts w:hint="eastAsia" w:ascii="宋体" w:hAnsi="宋体" w:eastAsia="宋体" w:cs="宋体"/>
          <w:b/>
          <w:color w:val="auto"/>
          <w:sz w:val="24"/>
          <w:highlight w:val="none"/>
        </w:rPr>
        <w:t>致：</w:t>
      </w:r>
      <w:r>
        <w:rPr>
          <w:rFonts w:hint="eastAsia" w:ascii="宋体" w:hAnsi="宋体" w:eastAsia="宋体" w:cs="宋体"/>
          <w:b/>
          <w:color w:val="auto"/>
          <w:sz w:val="24"/>
          <w:highlight w:val="none"/>
          <w:u w:val="single"/>
        </w:rPr>
        <w:t xml:space="preserve">  </w:t>
      </w:r>
      <w:r>
        <w:rPr>
          <w:rFonts w:hint="eastAsia" w:ascii="宋体" w:hAnsi="宋体" w:eastAsia="宋体" w:cs="宋体"/>
          <w:b/>
          <w:color w:val="auto"/>
          <w:sz w:val="24"/>
          <w:highlight w:val="none"/>
          <w:u w:val="single"/>
          <w:lang w:eastAsia="zh-CN"/>
        </w:rPr>
        <w:t>剑川县</w:t>
      </w:r>
      <w:r>
        <w:rPr>
          <w:rFonts w:hint="eastAsia" w:ascii="宋体" w:hAnsi="宋体" w:eastAsia="宋体" w:cs="宋体"/>
          <w:b/>
          <w:color w:val="auto"/>
          <w:sz w:val="24"/>
          <w:highlight w:val="none"/>
          <w:u w:val="single"/>
          <w:lang w:val="en-US" w:eastAsia="zh-CN"/>
        </w:rPr>
        <w:t>住房和城乡建设局</w:t>
      </w:r>
    </w:p>
    <w:p w14:paraId="3B1F99D8">
      <w:pPr>
        <w:spacing w:line="360" w:lineRule="auto"/>
        <w:ind w:firstLine="6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b/>
          <w:color w:val="auto"/>
          <w:sz w:val="24"/>
          <w:highlight w:val="none"/>
          <w:u w:val="single"/>
        </w:rPr>
        <w:t>（项目名称）</w:t>
      </w:r>
      <w:r>
        <w:rPr>
          <w:rFonts w:hint="eastAsia" w:ascii="宋体" w:hAnsi="宋体" w:eastAsia="宋体" w:cs="宋体"/>
          <w:color w:val="auto"/>
          <w:sz w:val="24"/>
          <w:highlight w:val="none"/>
        </w:rPr>
        <w:t>的投标活动，我公司承诺，假若我公司中标严格按照相应的技术要求及规范实施，在履行项目的过程中由此产生的安全责任事故由我方自行负责。</w:t>
      </w:r>
    </w:p>
    <w:p w14:paraId="33BD6516">
      <w:pPr>
        <w:spacing w:line="360" w:lineRule="auto"/>
        <w:ind w:firstLine="840" w:firstLineChars="350"/>
        <w:jc w:val="left"/>
        <w:rPr>
          <w:rFonts w:hint="eastAsia" w:ascii="宋体" w:hAnsi="宋体" w:eastAsia="宋体" w:cs="宋体"/>
          <w:color w:val="auto"/>
          <w:sz w:val="24"/>
          <w:highlight w:val="none"/>
        </w:rPr>
      </w:pPr>
    </w:p>
    <w:p w14:paraId="55EA8BE3">
      <w:pPr>
        <w:spacing w:line="360" w:lineRule="auto"/>
        <w:ind w:firstLine="840" w:firstLineChars="3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特此承诺。</w:t>
      </w:r>
    </w:p>
    <w:p w14:paraId="22B5C23A">
      <w:pPr>
        <w:spacing w:line="360" w:lineRule="auto"/>
        <w:ind w:firstLine="660"/>
        <w:jc w:val="left"/>
        <w:rPr>
          <w:rFonts w:hint="eastAsia" w:ascii="宋体" w:hAnsi="宋体" w:eastAsia="宋体" w:cs="宋体"/>
          <w:color w:val="auto"/>
          <w:sz w:val="24"/>
          <w:highlight w:val="none"/>
        </w:rPr>
      </w:pPr>
    </w:p>
    <w:p w14:paraId="02AB1068">
      <w:pPr>
        <w:pStyle w:val="14"/>
        <w:ind w:firstLine="240"/>
        <w:rPr>
          <w:rFonts w:hint="eastAsia" w:ascii="宋体" w:hAnsi="宋体" w:eastAsia="宋体" w:cs="宋体"/>
          <w:color w:val="auto"/>
          <w:highlight w:val="none"/>
        </w:rPr>
      </w:pPr>
    </w:p>
    <w:p w14:paraId="2DEF280C">
      <w:pPr>
        <w:pStyle w:val="14"/>
        <w:ind w:firstLine="240"/>
        <w:rPr>
          <w:rFonts w:hint="eastAsia" w:ascii="宋体" w:hAnsi="宋体" w:eastAsia="宋体" w:cs="宋体"/>
          <w:color w:val="auto"/>
          <w:highlight w:val="none"/>
        </w:rPr>
      </w:pPr>
    </w:p>
    <w:p w14:paraId="3022AAFC">
      <w:pPr>
        <w:spacing w:line="360" w:lineRule="auto"/>
        <w:ind w:firstLine="660"/>
        <w:jc w:val="left"/>
        <w:rPr>
          <w:rFonts w:hint="eastAsia" w:ascii="宋体" w:hAnsi="宋体" w:eastAsia="宋体" w:cs="宋体"/>
          <w:color w:val="auto"/>
          <w:sz w:val="24"/>
          <w:highlight w:val="none"/>
        </w:rPr>
      </w:pPr>
    </w:p>
    <w:p w14:paraId="486A57B1">
      <w:pPr>
        <w:spacing w:line="480" w:lineRule="auto"/>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供应商名称（电子签章）：</w:t>
      </w:r>
      <w:r>
        <w:rPr>
          <w:rFonts w:hint="eastAsia" w:ascii="宋体" w:hAnsi="宋体" w:eastAsia="宋体" w:cs="宋体"/>
          <w:color w:val="auto"/>
          <w:sz w:val="24"/>
          <w:highlight w:val="none"/>
          <w:u w:val="single"/>
        </w:rPr>
        <w:t xml:space="preserve">                    </w:t>
      </w:r>
    </w:p>
    <w:p w14:paraId="4F36EE78">
      <w:pPr>
        <w:spacing w:line="480" w:lineRule="auto"/>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法定代表人/负责人或其委托代理人（签字或电子签章）：</w:t>
      </w:r>
      <w:r>
        <w:rPr>
          <w:rFonts w:hint="eastAsia" w:ascii="宋体" w:hAnsi="宋体" w:eastAsia="宋体" w:cs="宋体"/>
          <w:color w:val="auto"/>
          <w:sz w:val="24"/>
          <w:highlight w:val="none"/>
          <w:u w:val="single"/>
        </w:rPr>
        <w:t xml:space="preserve">                </w:t>
      </w:r>
    </w:p>
    <w:p w14:paraId="0BBDAE85">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bookmarkStart w:id="836" w:name="_Toc13835"/>
    </w:p>
    <w:p w14:paraId="0851C4E2">
      <w:pPr>
        <w:spacing w:line="480" w:lineRule="auto"/>
        <w:outlineLvl w:val="2"/>
        <w:rPr>
          <w:rFonts w:hint="eastAsia" w:ascii="宋体" w:hAnsi="宋体" w:eastAsia="宋体" w:cs="宋体"/>
          <w:b/>
          <w:bCs/>
          <w:color w:val="auto"/>
          <w:sz w:val="24"/>
          <w:szCs w:val="32"/>
          <w:highlight w:val="none"/>
        </w:rPr>
      </w:pPr>
      <w:r>
        <w:rPr>
          <w:rFonts w:hint="eastAsia" w:ascii="宋体" w:hAnsi="宋体" w:eastAsia="宋体" w:cs="宋体"/>
          <w:color w:val="auto"/>
          <w:sz w:val="24"/>
          <w:highlight w:val="none"/>
        </w:rPr>
        <w:br w:type="page"/>
      </w:r>
      <w:r>
        <w:rPr>
          <w:rFonts w:hint="eastAsia" w:ascii="宋体" w:hAnsi="宋体" w:eastAsia="宋体" w:cs="宋体"/>
          <w:b/>
          <w:bCs/>
          <w:color w:val="auto"/>
          <w:sz w:val="24"/>
          <w:szCs w:val="32"/>
          <w:highlight w:val="none"/>
          <w:lang w:val="en-US" w:eastAsia="zh-CN"/>
        </w:rPr>
        <w:t>格式1</w:t>
      </w:r>
      <w:r>
        <w:rPr>
          <w:rFonts w:hint="eastAsia" w:ascii="宋体" w:hAnsi="宋体" w:cs="宋体"/>
          <w:b/>
          <w:bCs/>
          <w:color w:val="auto"/>
          <w:sz w:val="24"/>
          <w:szCs w:val="32"/>
          <w:highlight w:val="none"/>
          <w:lang w:val="en-US" w:eastAsia="zh-CN"/>
        </w:rPr>
        <w:t>2</w:t>
      </w:r>
      <w:r>
        <w:rPr>
          <w:rFonts w:hint="eastAsia" w:ascii="宋体" w:hAnsi="宋体" w:eastAsia="宋体" w:cs="宋体"/>
          <w:b/>
          <w:bCs/>
          <w:color w:val="auto"/>
          <w:sz w:val="24"/>
          <w:szCs w:val="32"/>
          <w:highlight w:val="none"/>
          <w:lang w:val="en-US" w:eastAsia="zh-CN"/>
        </w:rPr>
        <w:t>：</w:t>
      </w:r>
      <w:r>
        <w:rPr>
          <w:rFonts w:hint="eastAsia" w:ascii="宋体" w:hAnsi="宋体" w:eastAsia="宋体" w:cs="宋体"/>
          <w:b/>
          <w:bCs/>
          <w:color w:val="auto"/>
          <w:sz w:val="24"/>
          <w:szCs w:val="32"/>
          <w:highlight w:val="none"/>
        </w:rPr>
        <w:t>企业相关资料</w:t>
      </w:r>
      <w:bookmarkEnd w:id="836"/>
    </w:p>
    <w:p w14:paraId="0D12FD0E">
      <w:pPr>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rPr>
        <w:t>企业相关资料</w:t>
      </w:r>
    </w:p>
    <w:p w14:paraId="134F634F">
      <w:pPr>
        <w:snapToGrid w:val="0"/>
        <w:spacing w:line="440" w:lineRule="exact"/>
        <w:ind w:firstLine="420" w:firstLineChars="200"/>
        <w:jc w:val="left"/>
        <w:rPr>
          <w:rFonts w:hint="eastAsia" w:ascii="宋体" w:hAnsi="宋体" w:eastAsia="宋体" w:cs="宋体"/>
          <w:bCs/>
          <w:color w:val="auto"/>
          <w:highlight w:val="none"/>
        </w:rPr>
      </w:pPr>
    </w:p>
    <w:p w14:paraId="1F1EFA16">
      <w:pPr>
        <w:numPr>
          <w:ilvl w:val="0"/>
          <w:numId w:val="13"/>
        </w:numPr>
        <w:snapToGrid w:val="0"/>
        <w:spacing w:line="44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公司介绍、公司获奖证书、公司实力证明材料（若有）；</w:t>
      </w:r>
    </w:p>
    <w:p w14:paraId="69C08508">
      <w:pPr>
        <w:numPr>
          <w:ilvl w:val="0"/>
          <w:numId w:val="13"/>
        </w:numPr>
        <w:snapToGrid w:val="0"/>
        <w:spacing w:line="44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开户行许可证或银行基本存款账户信息</w:t>
      </w:r>
      <w:r>
        <w:rPr>
          <w:rFonts w:hint="eastAsia" w:ascii="宋体" w:hAnsi="宋体" w:eastAsia="宋体" w:cs="宋体"/>
          <w:color w:val="auto"/>
          <w:sz w:val="24"/>
          <w:highlight w:val="none"/>
          <w:lang w:eastAsia="zh-CN"/>
        </w:rPr>
        <w:t>；</w:t>
      </w:r>
    </w:p>
    <w:p w14:paraId="23527E1A">
      <w:pPr>
        <w:snapToGrid w:val="0"/>
        <w:spacing w:line="44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、投标时所需提供的相关证明材料等。</w:t>
      </w:r>
    </w:p>
    <w:p w14:paraId="7D991D18">
      <w:pPr>
        <w:pStyle w:val="9"/>
        <w:spacing w:line="600" w:lineRule="exact"/>
        <w:jc w:val="left"/>
        <w:rPr>
          <w:rFonts w:hint="eastAsia" w:ascii="宋体" w:hAnsi="宋体" w:eastAsia="宋体" w:cs="宋体"/>
          <w:b/>
          <w:color w:val="auto"/>
          <w:sz w:val="36"/>
          <w:szCs w:val="36"/>
          <w:highlight w:val="none"/>
        </w:rPr>
      </w:pPr>
      <w:r>
        <w:rPr>
          <w:rFonts w:hint="eastAsia" w:ascii="宋体" w:hAnsi="宋体" w:eastAsia="宋体" w:cs="宋体"/>
          <w:color w:val="auto"/>
          <w:sz w:val="24"/>
          <w:szCs w:val="24"/>
          <w:highlight w:val="none"/>
        </w:rPr>
        <w:t>注：投标文件中要求提交的其他投标资料以及供应商自身认为可提供的相关资料。</w:t>
      </w:r>
    </w:p>
    <w:p w14:paraId="5F857856">
      <w:pPr>
        <w:numPr>
          <w:ilvl w:val="0"/>
          <w:numId w:val="0"/>
        </w:numPr>
        <w:spacing w:line="360" w:lineRule="auto"/>
        <w:ind w:left="630" w:leftChars="0"/>
        <w:jc w:val="center"/>
        <w:outlineLvl w:val="1"/>
        <w:rPr>
          <w:rFonts w:hint="eastAsia" w:ascii="宋体" w:hAnsi="宋体" w:eastAsia="宋体" w:cs="宋体"/>
          <w:b/>
          <w:bCs/>
          <w:color w:val="auto"/>
          <w:sz w:val="24"/>
          <w:highlight w:val="none"/>
        </w:rPr>
      </w:pPr>
      <w:r>
        <w:rPr>
          <w:rFonts w:hint="eastAsia" w:ascii="宋体" w:hAnsi="宋体" w:eastAsia="宋体" w:cs="宋体"/>
          <w:color w:val="auto"/>
          <w:sz w:val="22"/>
          <w:szCs w:val="28"/>
          <w:highlight w:val="none"/>
        </w:rPr>
        <w:br w:type="page"/>
      </w:r>
      <w:bookmarkStart w:id="837" w:name="_Toc7310"/>
      <w:r>
        <w:rPr>
          <w:rFonts w:hint="eastAsia" w:ascii="宋体" w:hAnsi="宋体" w:eastAsia="宋体" w:cs="宋体"/>
          <w:color w:val="auto"/>
          <w:sz w:val="28"/>
          <w:szCs w:val="28"/>
          <w:highlight w:val="none"/>
          <w:lang w:eastAsia="zh-CN"/>
        </w:rPr>
        <w:t>三、</w:t>
      </w:r>
      <w:r>
        <w:rPr>
          <w:rFonts w:hint="eastAsia" w:ascii="宋体" w:hAnsi="宋体" w:eastAsia="宋体" w:cs="宋体"/>
          <w:b/>
          <w:bCs/>
          <w:color w:val="auto"/>
          <w:sz w:val="28"/>
          <w:szCs w:val="28"/>
          <w:highlight w:val="none"/>
        </w:rPr>
        <w:t>技术文件格式</w:t>
      </w:r>
      <w:bookmarkEnd w:id="837"/>
    </w:p>
    <w:p w14:paraId="77B92D65">
      <w:pPr>
        <w:rPr>
          <w:rFonts w:hint="eastAsia" w:ascii="宋体" w:hAnsi="宋体" w:eastAsia="宋体" w:cs="宋体"/>
          <w:b/>
          <w:color w:val="auto"/>
          <w:spacing w:val="20"/>
          <w:szCs w:val="21"/>
          <w:highlight w:val="none"/>
        </w:rPr>
      </w:pPr>
    </w:p>
    <w:p w14:paraId="32F6CC07">
      <w:pPr>
        <w:pStyle w:val="9"/>
        <w:spacing w:line="500" w:lineRule="exact"/>
        <w:jc w:val="center"/>
        <w:rPr>
          <w:rFonts w:hint="eastAsia" w:ascii="宋体" w:hAnsi="宋体" w:eastAsia="宋体" w:cs="宋体"/>
          <w:b/>
          <w:bCs/>
          <w:color w:val="auto"/>
          <w:kern w:val="0"/>
          <w:sz w:val="52"/>
          <w:szCs w:val="52"/>
          <w:highlight w:val="none"/>
        </w:rPr>
      </w:pPr>
    </w:p>
    <w:p w14:paraId="64AE9A5C">
      <w:pPr>
        <w:pStyle w:val="9"/>
        <w:spacing w:line="500" w:lineRule="exact"/>
        <w:jc w:val="center"/>
        <w:rPr>
          <w:rFonts w:hint="eastAsia" w:ascii="宋体" w:hAnsi="宋体" w:eastAsia="宋体" w:cs="宋体"/>
          <w:b/>
          <w:color w:val="auto"/>
          <w:sz w:val="36"/>
          <w:szCs w:val="36"/>
          <w:highlight w:val="none"/>
        </w:rPr>
      </w:pPr>
      <w:r>
        <w:rPr>
          <w:rFonts w:hint="eastAsia"/>
          <w:b/>
          <w:sz w:val="36"/>
          <w:szCs w:val="36"/>
          <w:lang w:val="en-US" w:eastAsia="zh-CN"/>
        </w:rPr>
        <w:t>剑川县生活垃圾填埋场渗滤液处理站市场化运营项目</w:t>
      </w:r>
    </w:p>
    <w:p w14:paraId="1DD027B6">
      <w:pPr>
        <w:pStyle w:val="9"/>
        <w:spacing w:line="500" w:lineRule="exact"/>
        <w:jc w:val="center"/>
        <w:rPr>
          <w:rFonts w:hint="eastAsia" w:ascii="宋体" w:hAnsi="宋体" w:eastAsia="宋体" w:cs="宋体"/>
          <w:b/>
          <w:color w:val="auto"/>
          <w:sz w:val="32"/>
          <w:szCs w:val="32"/>
          <w:highlight w:val="none"/>
        </w:rPr>
      </w:pPr>
    </w:p>
    <w:p w14:paraId="4888E441">
      <w:pPr>
        <w:pStyle w:val="9"/>
        <w:spacing w:line="500" w:lineRule="exact"/>
        <w:jc w:val="center"/>
        <w:rPr>
          <w:rFonts w:hint="eastAsia" w:ascii="宋体" w:hAnsi="宋体" w:eastAsia="宋体" w:cs="宋体"/>
          <w:b/>
          <w:color w:val="auto"/>
          <w:sz w:val="32"/>
          <w:szCs w:val="32"/>
          <w:highlight w:val="none"/>
        </w:rPr>
      </w:pPr>
    </w:p>
    <w:p w14:paraId="31A0F758">
      <w:pPr>
        <w:pStyle w:val="9"/>
        <w:spacing w:line="780" w:lineRule="exact"/>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技术部分文件</w:t>
      </w:r>
    </w:p>
    <w:p w14:paraId="0268FC96">
      <w:pPr>
        <w:pStyle w:val="9"/>
        <w:spacing w:line="500" w:lineRule="exact"/>
        <w:jc w:val="center"/>
        <w:rPr>
          <w:rFonts w:hint="eastAsia" w:ascii="宋体" w:hAnsi="宋体" w:eastAsia="宋体" w:cs="宋体"/>
          <w:b/>
          <w:color w:val="auto"/>
          <w:sz w:val="72"/>
          <w:szCs w:val="72"/>
          <w:highlight w:val="none"/>
        </w:rPr>
      </w:pPr>
    </w:p>
    <w:p w14:paraId="58D6A7BD">
      <w:pPr>
        <w:pStyle w:val="9"/>
        <w:spacing w:line="500" w:lineRule="exact"/>
        <w:jc w:val="center"/>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lang w:eastAsia="zh-CN"/>
        </w:rPr>
        <w:t>项目编号</w:t>
      </w:r>
      <w:r>
        <w:rPr>
          <w:rFonts w:hint="eastAsia" w:ascii="宋体" w:hAnsi="宋体" w:eastAsia="宋体" w:cs="宋体"/>
          <w:b/>
          <w:color w:val="auto"/>
          <w:sz w:val="28"/>
          <w:szCs w:val="28"/>
          <w:highlight w:val="none"/>
        </w:rPr>
        <w:t>：</w:t>
      </w:r>
    </w:p>
    <w:p w14:paraId="3CB14D06">
      <w:pPr>
        <w:pStyle w:val="9"/>
        <w:spacing w:line="500" w:lineRule="exact"/>
        <w:ind w:firstLine="3654" w:firstLineChars="1300"/>
        <w:rPr>
          <w:rFonts w:hint="eastAsia" w:ascii="宋体" w:hAnsi="宋体" w:eastAsia="宋体" w:cs="宋体"/>
          <w:b/>
          <w:color w:val="auto"/>
          <w:sz w:val="28"/>
          <w:szCs w:val="28"/>
          <w:highlight w:val="none"/>
          <w:u w:val="single"/>
        </w:rPr>
      </w:pPr>
    </w:p>
    <w:p w14:paraId="52CD107C">
      <w:pPr>
        <w:pStyle w:val="9"/>
        <w:spacing w:line="500" w:lineRule="exact"/>
        <w:ind w:firstLine="12750" w:firstLineChars="1764"/>
        <w:rPr>
          <w:rFonts w:hint="eastAsia" w:ascii="宋体" w:hAnsi="宋体" w:eastAsia="宋体" w:cs="宋体"/>
          <w:b/>
          <w:color w:val="auto"/>
          <w:sz w:val="72"/>
          <w:szCs w:val="72"/>
          <w:highlight w:val="none"/>
        </w:rPr>
      </w:pPr>
    </w:p>
    <w:p w14:paraId="0CF69EF4">
      <w:pPr>
        <w:pStyle w:val="9"/>
        <w:spacing w:line="500" w:lineRule="exact"/>
        <w:jc w:val="center"/>
        <w:rPr>
          <w:rFonts w:hint="eastAsia" w:ascii="宋体" w:hAnsi="宋体" w:eastAsia="宋体" w:cs="宋体"/>
          <w:b/>
          <w:color w:val="auto"/>
          <w:sz w:val="72"/>
          <w:szCs w:val="72"/>
          <w:highlight w:val="none"/>
        </w:rPr>
      </w:pPr>
    </w:p>
    <w:p w14:paraId="13677063">
      <w:pPr>
        <w:pStyle w:val="9"/>
        <w:spacing w:line="500" w:lineRule="exact"/>
        <w:jc w:val="center"/>
        <w:rPr>
          <w:rFonts w:hint="eastAsia" w:ascii="宋体" w:hAnsi="宋体" w:eastAsia="宋体" w:cs="宋体"/>
          <w:b/>
          <w:color w:val="auto"/>
          <w:sz w:val="72"/>
          <w:szCs w:val="72"/>
          <w:highlight w:val="none"/>
        </w:rPr>
      </w:pPr>
    </w:p>
    <w:p w14:paraId="0C49630E">
      <w:pPr>
        <w:pStyle w:val="9"/>
        <w:spacing w:line="500" w:lineRule="exact"/>
        <w:jc w:val="center"/>
        <w:rPr>
          <w:rFonts w:hint="eastAsia" w:ascii="宋体" w:hAnsi="宋体" w:eastAsia="宋体" w:cs="宋体"/>
          <w:b/>
          <w:color w:val="auto"/>
          <w:sz w:val="72"/>
          <w:szCs w:val="72"/>
          <w:highlight w:val="none"/>
        </w:rPr>
      </w:pPr>
    </w:p>
    <w:p w14:paraId="41AA1888">
      <w:pPr>
        <w:pStyle w:val="9"/>
        <w:spacing w:line="500" w:lineRule="exact"/>
        <w:rPr>
          <w:rFonts w:hint="eastAsia" w:ascii="宋体" w:hAnsi="宋体" w:eastAsia="宋体" w:cs="宋体"/>
          <w:b/>
          <w:color w:val="auto"/>
          <w:sz w:val="72"/>
          <w:szCs w:val="72"/>
          <w:highlight w:val="none"/>
        </w:rPr>
      </w:pPr>
    </w:p>
    <w:p w14:paraId="79C50CC6">
      <w:pPr>
        <w:spacing w:line="480" w:lineRule="auto"/>
        <w:ind w:firstLine="1260" w:firstLineChars="525"/>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035CE776">
      <w:pPr>
        <w:pStyle w:val="9"/>
        <w:spacing w:line="480" w:lineRule="auto"/>
        <w:ind w:firstLine="1260" w:firstLineChars="525"/>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法定代表人/负责人或委托代理人：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w:t>
      </w:r>
      <w:r>
        <w:rPr>
          <w:rFonts w:hint="eastAsia" w:hAnsi="宋体" w:cs="宋体"/>
          <w:color w:val="auto"/>
          <w:sz w:val="24"/>
          <w:highlight w:val="none"/>
          <w:lang w:val="en-US" w:eastAsia="zh-CN"/>
        </w:rPr>
        <w:t>字</w:t>
      </w:r>
      <w:r>
        <w:rPr>
          <w:rFonts w:hint="eastAsia" w:ascii="宋体" w:hAnsi="宋体" w:eastAsia="宋体" w:cs="宋体"/>
          <w:color w:val="auto"/>
          <w:sz w:val="24"/>
          <w:highlight w:val="none"/>
        </w:rPr>
        <w:t>或电子签章）</w:t>
      </w:r>
    </w:p>
    <w:p w14:paraId="2A492801">
      <w:pPr>
        <w:pStyle w:val="9"/>
        <w:spacing w:line="480" w:lineRule="auto"/>
        <w:ind w:firstLine="1260" w:firstLineChars="525"/>
        <w:rPr>
          <w:rFonts w:hint="eastAsia" w:ascii="宋体" w:hAnsi="宋体" w:eastAsia="宋体" w:cs="宋体"/>
          <w:color w:val="auto"/>
          <w:highlight w:val="non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6DFC599A">
      <w:pPr>
        <w:spacing w:line="480" w:lineRule="auto"/>
        <w:outlineLvl w:val="2"/>
        <w:rPr>
          <w:rFonts w:hint="eastAsia" w:ascii="宋体" w:hAnsi="宋体" w:eastAsia="宋体" w:cs="宋体"/>
          <w:color w:val="auto"/>
          <w:highlight w:val="none"/>
        </w:rPr>
        <w:sectPr>
          <w:footerReference r:id="rId6" w:type="default"/>
          <w:pgSz w:w="11907" w:h="16840"/>
          <w:pgMar w:top="1417" w:right="1134" w:bottom="1417" w:left="1701" w:header="1134" w:footer="850" w:gutter="0"/>
          <w:pgBorders>
            <w:top w:val="none" w:sz="0" w:space="0"/>
            <w:left w:val="none" w:sz="0" w:space="0"/>
            <w:bottom w:val="none" w:sz="0" w:space="0"/>
            <w:right w:val="none" w:sz="0" w:space="0"/>
          </w:pgBorders>
          <w:pgNumType w:fmt="decimal"/>
          <w:cols w:space="720" w:num="1"/>
          <w:docGrid w:linePitch="462" w:charSpace="0"/>
        </w:sectPr>
      </w:pPr>
      <w:bookmarkStart w:id="838" w:name="OLE_LINK37"/>
      <w:bookmarkStart w:id="839" w:name="_Toc26732"/>
    </w:p>
    <w:bookmarkEnd w:id="838"/>
    <w:bookmarkEnd w:id="839"/>
    <w:p w14:paraId="52A2A6FD">
      <w:pPr>
        <w:spacing w:line="480" w:lineRule="auto"/>
        <w:outlineLvl w:val="2"/>
        <w:rPr>
          <w:rFonts w:hint="eastAsia" w:ascii="宋体" w:hAnsi="宋体" w:eastAsia="宋体" w:cs="宋体"/>
          <w:b/>
          <w:bCs/>
          <w:color w:val="auto"/>
          <w:sz w:val="24"/>
          <w:szCs w:val="32"/>
          <w:highlight w:val="none"/>
        </w:rPr>
      </w:pPr>
      <w:bookmarkStart w:id="840" w:name="_Toc11277"/>
      <w:r>
        <w:rPr>
          <w:rFonts w:hint="eastAsia" w:ascii="宋体" w:hAnsi="宋体" w:eastAsia="宋体" w:cs="宋体"/>
          <w:b/>
          <w:bCs/>
          <w:color w:val="auto"/>
          <w:sz w:val="24"/>
          <w:szCs w:val="32"/>
          <w:highlight w:val="none"/>
        </w:rPr>
        <w:t>格式1：项目理解</w:t>
      </w:r>
    </w:p>
    <w:p w14:paraId="1F8DC21B">
      <w:pPr>
        <w:pStyle w:val="3"/>
        <w:wordWrap w:val="0"/>
        <w:spacing w:before="317" w:beforeLines="100"/>
        <w:ind w:firstLine="602" w:firstLineChars="200"/>
        <w:jc w:val="center"/>
        <w:rPr>
          <w:rFonts w:hint="eastAsia" w:eastAsia="宋体"/>
        </w:rPr>
      </w:pPr>
      <w:r>
        <w:rPr>
          <w:rFonts w:hint="eastAsia" w:eastAsia="宋体"/>
        </w:rPr>
        <w:t>项目理解</w:t>
      </w:r>
    </w:p>
    <w:p w14:paraId="7949DF04">
      <w:pPr>
        <w:wordWrap w:val="0"/>
        <w:autoSpaceDE w:val="0"/>
        <w:spacing w:line="360" w:lineRule="auto"/>
        <w:jc w:val="center"/>
        <w:rPr>
          <w:rFonts w:hint="eastAsia"/>
          <w:sz w:val="28"/>
          <w:szCs w:val="28"/>
        </w:rPr>
      </w:pPr>
      <w:r>
        <w:rPr>
          <w:rFonts w:hint="eastAsia"/>
          <w:sz w:val="28"/>
          <w:szCs w:val="28"/>
        </w:rPr>
        <w:t>(格式自拟)</w:t>
      </w:r>
    </w:p>
    <w:bookmarkEnd w:id="840"/>
    <w:p w14:paraId="72EDB7A5">
      <w:pPr>
        <w:pStyle w:val="9"/>
        <w:spacing w:line="360" w:lineRule="auto"/>
        <w:rPr>
          <w:rFonts w:hint="eastAsia" w:ascii="宋体" w:hAnsi="宋体" w:eastAsia="宋体" w:cs="宋体"/>
          <w:b/>
          <w:bCs/>
          <w:color w:val="auto"/>
          <w:sz w:val="24"/>
          <w:szCs w:val="22"/>
          <w:highlight w:val="none"/>
        </w:rPr>
      </w:pPr>
    </w:p>
    <w:p w14:paraId="4617DE90">
      <w:pPr>
        <w:pStyle w:val="15"/>
        <w:rPr>
          <w:rFonts w:hint="eastAsia" w:ascii="宋体" w:hAnsi="宋体" w:eastAsia="宋体" w:cs="宋体"/>
          <w:color w:val="auto"/>
          <w:sz w:val="24"/>
          <w:szCs w:val="24"/>
          <w:highlight w:val="none"/>
        </w:rPr>
      </w:pPr>
    </w:p>
    <w:p w14:paraId="461A9CC5">
      <w:pPr>
        <w:rPr>
          <w:rFonts w:hint="eastAsia" w:ascii="宋体" w:hAnsi="宋体" w:eastAsia="宋体" w:cs="宋体"/>
          <w:color w:val="auto"/>
          <w:sz w:val="24"/>
          <w:szCs w:val="24"/>
          <w:highlight w:val="none"/>
        </w:rPr>
      </w:pPr>
    </w:p>
    <w:p w14:paraId="641C1F4B">
      <w:pPr>
        <w:pStyle w:val="15"/>
        <w:rPr>
          <w:rFonts w:hint="eastAsia" w:ascii="宋体" w:hAnsi="宋体" w:eastAsia="宋体" w:cs="宋体"/>
          <w:color w:val="auto"/>
          <w:sz w:val="24"/>
          <w:szCs w:val="24"/>
          <w:highlight w:val="none"/>
        </w:rPr>
      </w:pPr>
    </w:p>
    <w:p w14:paraId="55176E0E">
      <w:pPr>
        <w:rPr>
          <w:rFonts w:hint="eastAsia" w:ascii="宋体" w:hAnsi="宋体" w:eastAsia="宋体" w:cs="宋体"/>
          <w:color w:val="auto"/>
          <w:sz w:val="24"/>
          <w:szCs w:val="24"/>
          <w:highlight w:val="none"/>
        </w:rPr>
      </w:pPr>
    </w:p>
    <w:p w14:paraId="792F768C">
      <w:pPr>
        <w:pStyle w:val="15"/>
        <w:rPr>
          <w:rFonts w:hint="eastAsia" w:ascii="宋体" w:hAnsi="宋体" w:eastAsia="宋体" w:cs="宋体"/>
          <w:color w:val="auto"/>
          <w:sz w:val="24"/>
          <w:szCs w:val="24"/>
          <w:highlight w:val="none"/>
        </w:rPr>
      </w:pPr>
    </w:p>
    <w:p w14:paraId="0FD8BCBB">
      <w:pPr>
        <w:rPr>
          <w:rFonts w:hint="eastAsia" w:ascii="宋体" w:hAnsi="宋体" w:eastAsia="宋体" w:cs="宋体"/>
          <w:color w:val="auto"/>
          <w:sz w:val="24"/>
          <w:szCs w:val="24"/>
          <w:highlight w:val="none"/>
        </w:rPr>
      </w:pPr>
    </w:p>
    <w:p w14:paraId="11E91E63">
      <w:pPr>
        <w:rPr>
          <w:rFonts w:hint="eastAsia" w:ascii="宋体" w:hAnsi="宋体" w:eastAsia="宋体" w:cs="宋体"/>
          <w:color w:val="auto"/>
          <w:sz w:val="24"/>
          <w:szCs w:val="24"/>
          <w:highlight w:val="none"/>
        </w:rPr>
      </w:pPr>
    </w:p>
    <w:p w14:paraId="3C0C5AAC">
      <w:pPr>
        <w:rPr>
          <w:rFonts w:hint="eastAsia" w:ascii="宋体" w:hAnsi="宋体" w:eastAsia="宋体" w:cs="宋体"/>
          <w:color w:val="auto"/>
          <w:sz w:val="24"/>
          <w:szCs w:val="24"/>
          <w:highlight w:val="none"/>
        </w:rPr>
      </w:pPr>
    </w:p>
    <w:p w14:paraId="42CAB44C">
      <w:pPr>
        <w:rPr>
          <w:rFonts w:hint="eastAsia" w:ascii="宋体" w:hAnsi="宋体" w:eastAsia="宋体" w:cs="宋体"/>
          <w:color w:val="auto"/>
          <w:sz w:val="24"/>
          <w:szCs w:val="24"/>
          <w:highlight w:val="none"/>
        </w:rPr>
      </w:pPr>
    </w:p>
    <w:p w14:paraId="562863BF">
      <w:pPr>
        <w:rPr>
          <w:rFonts w:hint="eastAsia" w:ascii="宋体" w:hAnsi="宋体" w:eastAsia="宋体" w:cs="宋体"/>
          <w:color w:val="auto"/>
          <w:sz w:val="24"/>
          <w:szCs w:val="24"/>
          <w:highlight w:val="none"/>
        </w:rPr>
      </w:pPr>
    </w:p>
    <w:p w14:paraId="3939826F">
      <w:pPr>
        <w:rPr>
          <w:rFonts w:hint="eastAsia" w:ascii="宋体" w:hAnsi="宋体" w:eastAsia="宋体" w:cs="宋体"/>
          <w:color w:val="auto"/>
          <w:sz w:val="24"/>
          <w:szCs w:val="24"/>
          <w:highlight w:val="none"/>
        </w:rPr>
      </w:pPr>
    </w:p>
    <w:p w14:paraId="10F48E03">
      <w:pPr>
        <w:rPr>
          <w:rFonts w:hint="eastAsia" w:ascii="宋体" w:hAnsi="宋体" w:eastAsia="宋体" w:cs="宋体"/>
          <w:color w:val="auto"/>
          <w:sz w:val="24"/>
          <w:szCs w:val="24"/>
          <w:highlight w:val="none"/>
        </w:rPr>
      </w:pPr>
    </w:p>
    <w:p w14:paraId="123F7A2E">
      <w:pPr>
        <w:rPr>
          <w:rFonts w:hint="eastAsia" w:ascii="宋体" w:hAnsi="宋体" w:eastAsia="宋体" w:cs="宋体"/>
          <w:color w:val="auto"/>
          <w:sz w:val="24"/>
          <w:szCs w:val="24"/>
          <w:highlight w:val="none"/>
        </w:rPr>
      </w:pPr>
    </w:p>
    <w:p w14:paraId="48620CE3">
      <w:pPr>
        <w:rPr>
          <w:rFonts w:hint="eastAsia" w:ascii="宋体" w:hAnsi="宋体" w:eastAsia="宋体" w:cs="宋体"/>
          <w:color w:val="auto"/>
          <w:sz w:val="24"/>
          <w:szCs w:val="24"/>
          <w:highlight w:val="none"/>
        </w:rPr>
      </w:pPr>
    </w:p>
    <w:p w14:paraId="5C348B82">
      <w:pPr>
        <w:rPr>
          <w:rFonts w:hint="eastAsia" w:ascii="宋体" w:hAnsi="宋体" w:eastAsia="宋体" w:cs="宋体"/>
          <w:color w:val="auto"/>
          <w:sz w:val="24"/>
          <w:szCs w:val="24"/>
          <w:highlight w:val="none"/>
        </w:rPr>
      </w:pPr>
    </w:p>
    <w:p w14:paraId="6F570017">
      <w:pPr>
        <w:rPr>
          <w:rFonts w:hint="eastAsia" w:ascii="宋体" w:hAnsi="宋体" w:eastAsia="宋体" w:cs="宋体"/>
          <w:color w:val="auto"/>
          <w:sz w:val="24"/>
          <w:szCs w:val="24"/>
          <w:highlight w:val="none"/>
        </w:rPr>
      </w:pPr>
    </w:p>
    <w:p w14:paraId="0F97C234">
      <w:pPr>
        <w:rPr>
          <w:rFonts w:hint="eastAsia" w:ascii="宋体" w:hAnsi="宋体" w:eastAsia="宋体" w:cs="宋体"/>
          <w:color w:val="auto"/>
          <w:sz w:val="24"/>
          <w:szCs w:val="24"/>
          <w:highlight w:val="none"/>
        </w:rPr>
      </w:pPr>
    </w:p>
    <w:p w14:paraId="34FEBB47">
      <w:pPr>
        <w:rPr>
          <w:rFonts w:hint="eastAsia" w:ascii="宋体" w:hAnsi="宋体" w:eastAsia="宋体" w:cs="宋体"/>
          <w:color w:val="auto"/>
          <w:sz w:val="24"/>
          <w:szCs w:val="24"/>
          <w:highlight w:val="none"/>
        </w:rPr>
      </w:pPr>
    </w:p>
    <w:p w14:paraId="72423217">
      <w:pPr>
        <w:rPr>
          <w:rFonts w:hint="eastAsia" w:ascii="宋体" w:hAnsi="宋体" w:eastAsia="宋体" w:cs="宋体"/>
          <w:color w:val="auto"/>
          <w:sz w:val="24"/>
          <w:szCs w:val="24"/>
          <w:highlight w:val="none"/>
        </w:rPr>
      </w:pPr>
    </w:p>
    <w:p w14:paraId="400A149A">
      <w:pPr>
        <w:rPr>
          <w:rFonts w:hint="eastAsia" w:ascii="宋体" w:hAnsi="宋体" w:eastAsia="宋体" w:cs="宋体"/>
          <w:color w:val="auto"/>
          <w:sz w:val="24"/>
          <w:szCs w:val="24"/>
          <w:highlight w:val="none"/>
        </w:rPr>
      </w:pPr>
    </w:p>
    <w:p w14:paraId="393E56E3">
      <w:pPr>
        <w:rPr>
          <w:rFonts w:hint="eastAsia" w:ascii="宋体" w:hAnsi="宋体" w:eastAsia="宋体" w:cs="宋体"/>
          <w:color w:val="auto"/>
          <w:sz w:val="24"/>
          <w:szCs w:val="24"/>
          <w:highlight w:val="none"/>
        </w:rPr>
      </w:pPr>
    </w:p>
    <w:p w14:paraId="60D1B57E">
      <w:pPr>
        <w:rPr>
          <w:rFonts w:hint="eastAsia" w:ascii="宋体" w:hAnsi="宋体" w:eastAsia="宋体" w:cs="宋体"/>
          <w:color w:val="auto"/>
          <w:sz w:val="24"/>
          <w:szCs w:val="24"/>
          <w:highlight w:val="none"/>
        </w:rPr>
      </w:pPr>
    </w:p>
    <w:p w14:paraId="54D26E17">
      <w:pPr>
        <w:rPr>
          <w:rFonts w:hint="eastAsia" w:ascii="宋体" w:hAnsi="宋体" w:eastAsia="宋体" w:cs="宋体"/>
          <w:color w:val="auto"/>
          <w:sz w:val="24"/>
          <w:szCs w:val="24"/>
          <w:highlight w:val="none"/>
        </w:rPr>
      </w:pPr>
    </w:p>
    <w:p w14:paraId="54949177">
      <w:pPr>
        <w:rPr>
          <w:rFonts w:hint="eastAsia" w:ascii="宋体" w:hAnsi="宋体" w:eastAsia="宋体" w:cs="宋体"/>
          <w:color w:val="auto"/>
          <w:sz w:val="24"/>
          <w:szCs w:val="24"/>
          <w:highlight w:val="none"/>
        </w:rPr>
      </w:pPr>
    </w:p>
    <w:p w14:paraId="7B65DBDD">
      <w:pPr>
        <w:rPr>
          <w:rFonts w:hint="eastAsia" w:ascii="宋体" w:hAnsi="宋体" w:eastAsia="宋体" w:cs="宋体"/>
          <w:color w:val="auto"/>
          <w:sz w:val="24"/>
          <w:szCs w:val="24"/>
          <w:highlight w:val="none"/>
        </w:rPr>
      </w:pPr>
    </w:p>
    <w:p w14:paraId="6D11AC14">
      <w:pPr>
        <w:rPr>
          <w:rFonts w:hint="eastAsia" w:ascii="宋体" w:hAnsi="宋体" w:eastAsia="宋体" w:cs="宋体"/>
          <w:color w:val="auto"/>
          <w:sz w:val="24"/>
          <w:szCs w:val="24"/>
          <w:highlight w:val="none"/>
        </w:rPr>
      </w:pPr>
    </w:p>
    <w:p w14:paraId="4091C940">
      <w:pPr>
        <w:rPr>
          <w:rFonts w:hint="eastAsia" w:ascii="宋体" w:hAnsi="宋体" w:eastAsia="宋体" w:cs="宋体"/>
          <w:color w:val="auto"/>
          <w:sz w:val="24"/>
          <w:szCs w:val="24"/>
          <w:highlight w:val="none"/>
        </w:rPr>
      </w:pPr>
    </w:p>
    <w:p w14:paraId="5E3E2ECE">
      <w:pPr>
        <w:rPr>
          <w:rFonts w:hint="eastAsia" w:ascii="宋体" w:hAnsi="宋体" w:eastAsia="宋体" w:cs="宋体"/>
          <w:color w:val="auto"/>
          <w:sz w:val="24"/>
          <w:szCs w:val="24"/>
          <w:highlight w:val="none"/>
        </w:rPr>
      </w:pPr>
    </w:p>
    <w:p w14:paraId="353BAA13">
      <w:pPr>
        <w:rPr>
          <w:rFonts w:hint="eastAsia" w:ascii="宋体" w:hAnsi="宋体" w:eastAsia="宋体" w:cs="宋体"/>
          <w:color w:val="auto"/>
          <w:sz w:val="24"/>
          <w:szCs w:val="24"/>
          <w:highlight w:val="none"/>
        </w:rPr>
      </w:pPr>
    </w:p>
    <w:p w14:paraId="21E30D12">
      <w:pPr>
        <w:rPr>
          <w:rFonts w:hint="eastAsia" w:ascii="宋体" w:hAnsi="宋体" w:eastAsia="宋体" w:cs="宋体"/>
          <w:color w:val="auto"/>
          <w:sz w:val="24"/>
          <w:szCs w:val="24"/>
          <w:highlight w:val="none"/>
        </w:rPr>
      </w:pPr>
    </w:p>
    <w:p w14:paraId="2776D9C4">
      <w:pPr>
        <w:rPr>
          <w:rFonts w:hint="eastAsia" w:ascii="宋体" w:hAnsi="宋体" w:eastAsia="宋体" w:cs="宋体"/>
          <w:color w:val="auto"/>
          <w:sz w:val="24"/>
          <w:szCs w:val="24"/>
          <w:highlight w:val="none"/>
        </w:rPr>
      </w:pPr>
    </w:p>
    <w:p w14:paraId="439F297E">
      <w:pPr>
        <w:rPr>
          <w:rFonts w:hint="eastAsia" w:ascii="宋体" w:hAnsi="宋体" w:eastAsia="宋体" w:cs="宋体"/>
          <w:color w:val="auto"/>
          <w:sz w:val="24"/>
          <w:szCs w:val="24"/>
          <w:highlight w:val="none"/>
        </w:rPr>
      </w:pPr>
    </w:p>
    <w:p w14:paraId="3764C89E">
      <w:pPr>
        <w:rPr>
          <w:rFonts w:hint="eastAsia" w:ascii="宋体" w:hAnsi="宋体" w:eastAsia="宋体" w:cs="宋体"/>
          <w:color w:val="auto"/>
          <w:sz w:val="24"/>
          <w:szCs w:val="24"/>
          <w:highlight w:val="none"/>
        </w:rPr>
      </w:pPr>
    </w:p>
    <w:p w14:paraId="56B1759B">
      <w:pPr>
        <w:bidi w:val="0"/>
        <w:outlineLvl w:val="2"/>
        <w:rPr>
          <w:rFonts w:hint="eastAsia" w:ascii="宋体" w:hAnsi="宋体" w:eastAsia="宋体" w:cs="宋体"/>
          <w:b/>
          <w:bCs/>
          <w:color w:val="auto"/>
          <w:sz w:val="24"/>
          <w:szCs w:val="32"/>
          <w:highlight w:val="none"/>
          <w:lang w:val="en-US" w:eastAsia="zh-CN"/>
        </w:rPr>
      </w:pPr>
    </w:p>
    <w:p w14:paraId="2FC37272">
      <w:pPr>
        <w:bidi w:val="0"/>
        <w:outlineLvl w:val="2"/>
        <w:rPr>
          <w:rFonts w:hint="eastAsia" w:ascii="宋体" w:hAnsi="宋体" w:eastAsia="宋体" w:cs="宋体"/>
          <w:b/>
          <w:color w:val="auto"/>
          <w:highlight w:val="none"/>
        </w:rPr>
      </w:pPr>
      <w:r>
        <w:rPr>
          <w:rFonts w:hint="eastAsia" w:ascii="宋体" w:hAnsi="宋体" w:eastAsia="宋体" w:cs="宋体"/>
          <w:b/>
          <w:bCs/>
          <w:color w:val="auto"/>
          <w:sz w:val="24"/>
          <w:szCs w:val="32"/>
          <w:highlight w:val="none"/>
          <w:lang w:val="en-US" w:eastAsia="zh-CN"/>
        </w:rPr>
        <w:t>格式2：</w:t>
      </w:r>
      <w:r>
        <w:rPr>
          <w:rFonts w:hint="eastAsia" w:ascii="Arial" w:hAnsi="Arial" w:eastAsia="宋体" w:cs="Times New Roman"/>
          <w:b/>
          <w:bCs/>
          <w:lang w:val="en-US" w:eastAsia="zh-CN"/>
        </w:rPr>
        <w:t>运营管理</w:t>
      </w:r>
      <w:r>
        <w:rPr>
          <w:rFonts w:hint="eastAsia" w:ascii="Arial" w:hAnsi="Arial" w:eastAsia="宋体" w:cs="Times New Roman"/>
          <w:b/>
          <w:bCs/>
        </w:rPr>
        <w:t>实施方案</w:t>
      </w:r>
    </w:p>
    <w:p w14:paraId="262CD4E9">
      <w:pPr>
        <w:pStyle w:val="3"/>
        <w:wordWrap w:val="0"/>
        <w:spacing w:before="317" w:beforeLines="100"/>
        <w:jc w:val="center"/>
        <w:rPr>
          <w:rFonts w:hint="eastAsia" w:eastAsia="宋体"/>
        </w:rPr>
      </w:pPr>
      <w:r>
        <w:rPr>
          <w:rFonts w:hint="eastAsia" w:ascii="Arial" w:hAnsi="Arial" w:eastAsia="宋体" w:cs="Times New Roman"/>
          <w:b/>
          <w:bCs/>
          <w:lang w:val="en-US" w:eastAsia="zh-CN"/>
        </w:rPr>
        <w:t>运营管理</w:t>
      </w:r>
      <w:r>
        <w:rPr>
          <w:rFonts w:hint="eastAsia" w:ascii="Arial" w:hAnsi="Arial" w:eastAsia="宋体" w:cs="Times New Roman"/>
          <w:b/>
          <w:bCs/>
        </w:rPr>
        <w:t>实施方案</w:t>
      </w:r>
    </w:p>
    <w:p w14:paraId="40836D5E">
      <w:pPr>
        <w:wordWrap w:val="0"/>
        <w:autoSpaceDE w:val="0"/>
        <w:spacing w:line="360" w:lineRule="auto"/>
        <w:jc w:val="center"/>
        <w:rPr>
          <w:rFonts w:hint="eastAsia"/>
          <w:sz w:val="28"/>
          <w:szCs w:val="28"/>
        </w:rPr>
      </w:pPr>
      <w:r>
        <w:rPr>
          <w:rFonts w:hint="eastAsia"/>
          <w:sz w:val="28"/>
          <w:szCs w:val="28"/>
        </w:rPr>
        <w:t>(格式自拟)</w:t>
      </w:r>
    </w:p>
    <w:p w14:paraId="70217C49">
      <w:pPr>
        <w:rPr>
          <w:rFonts w:hint="eastAsia" w:ascii="宋体" w:hAnsi="宋体" w:eastAsia="宋体" w:cs="宋体"/>
          <w:lang w:val="en-US" w:eastAsia="zh-CN"/>
        </w:rPr>
      </w:pPr>
    </w:p>
    <w:p w14:paraId="497DE72C">
      <w:pPr>
        <w:pStyle w:val="15"/>
        <w:rPr>
          <w:rFonts w:hint="eastAsia" w:ascii="宋体" w:hAnsi="宋体" w:eastAsia="宋体" w:cs="宋体"/>
          <w:lang w:val="en-US" w:eastAsia="zh-CN"/>
        </w:rPr>
      </w:pPr>
    </w:p>
    <w:p w14:paraId="526A2189">
      <w:pPr>
        <w:rPr>
          <w:rFonts w:hint="eastAsia" w:ascii="宋体" w:hAnsi="宋体" w:eastAsia="宋体" w:cs="宋体"/>
          <w:lang w:val="en-US" w:eastAsia="zh-CN"/>
        </w:rPr>
      </w:pPr>
    </w:p>
    <w:p w14:paraId="18005689">
      <w:pPr>
        <w:pStyle w:val="15"/>
        <w:rPr>
          <w:rFonts w:hint="eastAsia" w:ascii="宋体" w:hAnsi="宋体" w:eastAsia="宋体" w:cs="宋体"/>
          <w:lang w:val="en-US" w:eastAsia="zh-CN"/>
        </w:rPr>
      </w:pPr>
    </w:p>
    <w:p w14:paraId="3C11F654">
      <w:pPr>
        <w:rPr>
          <w:rFonts w:hint="eastAsia" w:ascii="宋体" w:hAnsi="宋体" w:eastAsia="宋体" w:cs="宋体"/>
          <w:lang w:val="en-US" w:eastAsia="zh-CN"/>
        </w:rPr>
      </w:pPr>
    </w:p>
    <w:p w14:paraId="672DB805">
      <w:pPr>
        <w:pStyle w:val="15"/>
        <w:rPr>
          <w:rFonts w:hint="eastAsia" w:ascii="宋体" w:hAnsi="宋体" w:eastAsia="宋体" w:cs="宋体"/>
          <w:lang w:val="en-US" w:eastAsia="zh-CN"/>
        </w:rPr>
      </w:pPr>
    </w:p>
    <w:p w14:paraId="07B47950">
      <w:pPr>
        <w:rPr>
          <w:rFonts w:hint="eastAsia" w:ascii="宋体" w:hAnsi="宋体" w:eastAsia="宋体" w:cs="宋体"/>
          <w:lang w:val="en-US" w:eastAsia="zh-CN"/>
        </w:rPr>
      </w:pPr>
    </w:p>
    <w:p w14:paraId="76DA3C78">
      <w:pPr>
        <w:pStyle w:val="15"/>
        <w:rPr>
          <w:rFonts w:hint="eastAsia" w:ascii="宋体" w:hAnsi="宋体" w:eastAsia="宋体" w:cs="宋体"/>
          <w:lang w:val="en-US" w:eastAsia="zh-CN"/>
        </w:rPr>
      </w:pPr>
    </w:p>
    <w:p w14:paraId="46917741">
      <w:pPr>
        <w:rPr>
          <w:rFonts w:hint="eastAsia" w:ascii="宋体" w:hAnsi="宋体" w:eastAsia="宋体" w:cs="宋体"/>
          <w:lang w:val="en-US" w:eastAsia="zh-CN"/>
        </w:rPr>
      </w:pPr>
    </w:p>
    <w:p w14:paraId="24C982B5">
      <w:pPr>
        <w:pStyle w:val="15"/>
        <w:rPr>
          <w:rFonts w:hint="eastAsia" w:ascii="宋体" w:hAnsi="宋体" w:eastAsia="宋体" w:cs="宋体"/>
          <w:lang w:val="en-US" w:eastAsia="zh-CN"/>
        </w:rPr>
      </w:pPr>
    </w:p>
    <w:p w14:paraId="69A16078">
      <w:pPr>
        <w:rPr>
          <w:rFonts w:hint="eastAsia" w:ascii="宋体" w:hAnsi="宋体" w:eastAsia="宋体" w:cs="宋体"/>
          <w:lang w:val="en-US" w:eastAsia="zh-CN"/>
        </w:rPr>
      </w:pPr>
    </w:p>
    <w:p w14:paraId="09880DC2">
      <w:pPr>
        <w:pStyle w:val="15"/>
        <w:rPr>
          <w:rFonts w:hint="eastAsia" w:ascii="宋体" w:hAnsi="宋体" w:eastAsia="宋体" w:cs="宋体"/>
          <w:lang w:val="en-US" w:eastAsia="zh-CN"/>
        </w:rPr>
      </w:pPr>
    </w:p>
    <w:p w14:paraId="1053735C">
      <w:pPr>
        <w:rPr>
          <w:rFonts w:hint="eastAsia" w:ascii="宋体" w:hAnsi="宋体" w:eastAsia="宋体" w:cs="宋体"/>
          <w:lang w:val="en-US" w:eastAsia="zh-CN"/>
        </w:rPr>
      </w:pPr>
    </w:p>
    <w:p w14:paraId="5C6823F8">
      <w:pPr>
        <w:pStyle w:val="15"/>
        <w:rPr>
          <w:rFonts w:hint="eastAsia" w:ascii="宋体" w:hAnsi="宋体" w:eastAsia="宋体" w:cs="宋体"/>
          <w:lang w:val="en-US" w:eastAsia="zh-CN"/>
        </w:rPr>
      </w:pPr>
    </w:p>
    <w:p w14:paraId="0E668B78">
      <w:pPr>
        <w:rPr>
          <w:rFonts w:hint="eastAsia" w:ascii="宋体" w:hAnsi="宋体" w:eastAsia="宋体" w:cs="宋体"/>
          <w:lang w:val="en-US" w:eastAsia="zh-CN"/>
        </w:rPr>
      </w:pPr>
    </w:p>
    <w:p w14:paraId="262F5C54">
      <w:pPr>
        <w:rPr>
          <w:rFonts w:hint="eastAsia" w:ascii="宋体" w:hAnsi="宋体" w:eastAsia="宋体" w:cs="宋体"/>
          <w:lang w:val="en-US" w:eastAsia="zh-CN"/>
        </w:rPr>
      </w:pPr>
    </w:p>
    <w:p w14:paraId="10D3B249">
      <w:pPr>
        <w:rPr>
          <w:rFonts w:hint="eastAsia" w:ascii="宋体" w:hAnsi="宋体" w:eastAsia="宋体" w:cs="宋体"/>
          <w:lang w:val="en-US" w:eastAsia="zh-CN"/>
        </w:rPr>
      </w:pPr>
    </w:p>
    <w:p w14:paraId="4CE7F112">
      <w:pPr>
        <w:rPr>
          <w:rFonts w:hint="eastAsia" w:ascii="宋体" w:hAnsi="宋体" w:eastAsia="宋体" w:cs="宋体"/>
          <w:lang w:val="en-US" w:eastAsia="zh-CN"/>
        </w:rPr>
      </w:pPr>
    </w:p>
    <w:p w14:paraId="73CA8939">
      <w:pPr>
        <w:rPr>
          <w:rFonts w:hint="eastAsia" w:ascii="宋体" w:hAnsi="宋体" w:eastAsia="宋体" w:cs="宋体"/>
          <w:lang w:val="en-US" w:eastAsia="zh-CN"/>
        </w:rPr>
      </w:pPr>
    </w:p>
    <w:p w14:paraId="73957AB6">
      <w:pPr>
        <w:rPr>
          <w:rFonts w:hint="eastAsia" w:ascii="宋体" w:hAnsi="宋体" w:eastAsia="宋体" w:cs="宋体"/>
          <w:lang w:val="en-US" w:eastAsia="zh-CN"/>
        </w:rPr>
      </w:pPr>
    </w:p>
    <w:p w14:paraId="36C6BE04">
      <w:pPr>
        <w:rPr>
          <w:rFonts w:hint="eastAsia" w:ascii="宋体" w:hAnsi="宋体" w:eastAsia="宋体" w:cs="宋体"/>
          <w:lang w:val="en-US" w:eastAsia="zh-CN"/>
        </w:rPr>
      </w:pPr>
    </w:p>
    <w:p w14:paraId="77E02D82">
      <w:pPr>
        <w:rPr>
          <w:rFonts w:hint="eastAsia" w:ascii="宋体" w:hAnsi="宋体" w:eastAsia="宋体" w:cs="宋体"/>
          <w:lang w:val="en-US" w:eastAsia="zh-CN"/>
        </w:rPr>
      </w:pPr>
    </w:p>
    <w:p w14:paraId="4BFD2218">
      <w:pPr>
        <w:rPr>
          <w:rFonts w:hint="eastAsia" w:ascii="宋体" w:hAnsi="宋体" w:eastAsia="宋体" w:cs="宋体"/>
          <w:lang w:val="en-US" w:eastAsia="zh-CN"/>
        </w:rPr>
      </w:pPr>
    </w:p>
    <w:p w14:paraId="26433B05">
      <w:pPr>
        <w:rPr>
          <w:rFonts w:hint="eastAsia" w:ascii="宋体" w:hAnsi="宋体" w:eastAsia="宋体" w:cs="宋体"/>
          <w:lang w:val="en-US" w:eastAsia="zh-CN"/>
        </w:rPr>
      </w:pPr>
    </w:p>
    <w:p w14:paraId="5567218C">
      <w:pPr>
        <w:rPr>
          <w:rFonts w:hint="eastAsia" w:ascii="宋体" w:hAnsi="宋体" w:eastAsia="宋体" w:cs="宋体"/>
          <w:lang w:val="en-US" w:eastAsia="zh-CN"/>
        </w:rPr>
      </w:pPr>
    </w:p>
    <w:p w14:paraId="7F6D9D28">
      <w:pPr>
        <w:rPr>
          <w:rFonts w:hint="eastAsia" w:ascii="宋体" w:hAnsi="宋体" w:eastAsia="宋体" w:cs="宋体"/>
          <w:lang w:val="en-US" w:eastAsia="zh-CN"/>
        </w:rPr>
      </w:pPr>
    </w:p>
    <w:p w14:paraId="331439B5">
      <w:pPr>
        <w:rPr>
          <w:rFonts w:hint="eastAsia" w:ascii="宋体" w:hAnsi="宋体" w:eastAsia="宋体" w:cs="宋体"/>
          <w:lang w:val="en-US" w:eastAsia="zh-CN"/>
        </w:rPr>
      </w:pPr>
    </w:p>
    <w:p w14:paraId="65E104B8">
      <w:pPr>
        <w:rPr>
          <w:rFonts w:hint="eastAsia" w:ascii="宋体" w:hAnsi="宋体" w:eastAsia="宋体" w:cs="宋体"/>
          <w:lang w:val="en-US" w:eastAsia="zh-CN"/>
        </w:rPr>
      </w:pPr>
    </w:p>
    <w:p w14:paraId="0FF2A29B">
      <w:pPr>
        <w:rPr>
          <w:rFonts w:hint="eastAsia" w:ascii="宋体" w:hAnsi="宋体" w:eastAsia="宋体" w:cs="宋体"/>
          <w:lang w:val="en-US" w:eastAsia="zh-CN"/>
        </w:rPr>
      </w:pPr>
    </w:p>
    <w:p w14:paraId="25A761E5">
      <w:pPr>
        <w:rPr>
          <w:rFonts w:hint="eastAsia" w:ascii="宋体" w:hAnsi="宋体" w:eastAsia="宋体" w:cs="宋体"/>
          <w:lang w:val="en-US" w:eastAsia="zh-CN"/>
        </w:rPr>
      </w:pPr>
    </w:p>
    <w:p w14:paraId="3EC68555">
      <w:pPr>
        <w:rPr>
          <w:rFonts w:hint="eastAsia" w:ascii="宋体" w:hAnsi="宋体" w:eastAsia="宋体" w:cs="宋体"/>
          <w:lang w:val="en-US" w:eastAsia="zh-CN"/>
        </w:rPr>
      </w:pPr>
    </w:p>
    <w:p w14:paraId="5304B8F8">
      <w:pPr>
        <w:rPr>
          <w:rFonts w:hint="eastAsia" w:ascii="宋体" w:hAnsi="宋体" w:eastAsia="宋体" w:cs="宋体"/>
          <w:lang w:val="en-US" w:eastAsia="zh-CN"/>
        </w:rPr>
      </w:pPr>
    </w:p>
    <w:p w14:paraId="6AE316A7">
      <w:pPr>
        <w:rPr>
          <w:rFonts w:hint="eastAsia" w:ascii="宋体" w:hAnsi="宋体" w:eastAsia="宋体" w:cs="宋体"/>
          <w:lang w:val="en-US" w:eastAsia="zh-CN"/>
        </w:rPr>
      </w:pPr>
    </w:p>
    <w:p w14:paraId="075DFCB8">
      <w:pPr>
        <w:rPr>
          <w:rFonts w:hint="eastAsia" w:ascii="宋体" w:hAnsi="宋体" w:eastAsia="宋体" w:cs="宋体"/>
          <w:lang w:val="en-US" w:eastAsia="zh-CN"/>
        </w:rPr>
      </w:pPr>
    </w:p>
    <w:p w14:paraId="0898974F">
      <w:pPr>
        <w:pStyle w:val="15"/>
        <w:ind w:left="0" w:leftChars="0" w:firstLine="0" w:firstLineChars="0"/>
        <w:rPr>
          <w:rFonts w:hint="eastAsia" w:ascii="宋体" w:hAnsi="宋体" w:eastAsia="宋体" w:cs="宋体"/>
          <w:lang w:val="en-US" w:eastAsia="zh-CN"/>
        </w:rPr>
      </w:pPr>
    </w:p>
    <w:p w14:paraId="63D765B6">
      <w:pPr>
        <w:spacing w:line="480" w:lineRule="auto"/>
        <w:outlineLvl w:val="2"/>
        <w:rPr>
          <w:rFonts w:hint="eastAsia" w:ascii="宋体" w:hAnsi="宋体" w:eastAsia="宋体" w:cs="宋体"/>
          <w:b/>
          <w:bCs/>
          <w:color w:val="auto"/>
          <w:sz w:val="24"/>
          <w:szCs w:val="32"/>
          <w:highlight w:val="none"/>
          <w:lang w:val="en-US" w:eastAsia="zh-CN"/>
        </w:rPr>
      </w:pPr>
      <w:r>
        <w:rPr>
          <w:rFonts w:hint="eastAsia" w:ascii="宋体" w:hAnsi="宋体" w:eastAsia="宋体" w:cs="宋体"/>
          <w:b/>
          <w:bCs/>
          <w:color w:val="auto"/>
          <w:sz w:val="24"/>
          <w:szCs w:val="18"/>
          <w:highlight w:val="none"/>
        </w:rPr>
        <w:t>格式</w:t>
      </w:r>
      <w:r>
        <w:rPr>
          <w:rFonts w:hint="eastAsia" w:ascii="宋体" w:hAnsi="宋体" w:eastAsia="宋体" w:cs="宋体"/>
          <w:b/>
          <w:bCs/>
          <w:color w:val="auto"/>
          <w:sz w:val="24"/>
          <w:szCs w:val="18"/>
          <w:highlight w:val="none"/>
          <w:lang w:val="en-US" w:eastAsia="zh-CN"/>
        </w:rPr>
        <w:t>3</w:t>
      </w:r>
      <w:r>
        <w:rPr>
          <w:rFonts w:hint="eastAsia" w:ascii="宋体" w:hAnsi="宋体" w:eastAsia="宋体" w:cs="宋体"/>
          <w:b/>
          <w:bCs/>
          <w:color w:val="auto"/>
          <w:sz w:val="24"/>
          <w:szCs w:val="18"/>
          <w:highlight w:val="none"/>
        </w:rPr>
        <w:t>：项目组织与进度控制</w:t>
      </w:r>
    </w:p>
    <w:p w14:paraId="17EFD1A2">
      <w:pPr>
        <w:pStyle w:val="3"/>
        <w:wordWrap w:val="0"/>
        <w:spacing w:before="317" w:beforeLines="100"/>
        <w:jc w:val="center"/>
        <w:rPr>
          <w:rFonts w:hint="eastAsia" w:eastAsia="宋体"/>
        </w:rPr>
      </w:pPr>
      <w:r>
        <w:rPr>
          <w:rFonts w:hint="eastAsia" w:eastAsia="宋体"/>
        </w:rPr>
        <w:t>项目组织与进度控制</w:t>
      </w:r>
    </w:p>
    <w:p w14:paraId="783752DC">
      <w:pPr>
        <w:wordWrap w:val="0"/>
        <w:autoSpaceDE w:val="0"/>
        <w:spacing w:line="360" w:lineRule="auto"/>
        <w:jc w:val="center"/>
        <w:rPr>
          <w:rFonts w:hint="eastAsia"/>
          <w:sz w:val="28"/>
          <w:szCs w:val="28"/>
        </w:rPr>
      </w:pPr>
      <w:r>
        <w:rPr>
          <w:rFonts w:hint="eastAsia"/>
          <w:sz w:val="28"/>
          <w:szCs w:val="28"/>
        </w:rPr>
        <w:t>(格式自拟)</w:t>
      </w:r>
    </w:p>
    <w:p w14:paraId="11AA5219">
      <w:pPr>
        <w:spacing w:line="360" w:lineRule="auto"/>
        <w:jc w:val="center"/>
        <w:rPr>
          <w:rFonts w:hint="eastAsia" w:ascii="宋体" w:hAnsi="宋体" w:eastAsia="宋体" w:cs="宋体"/>
          <w:b/>
          <w:color w:val="auto"/>
          <w:sz w:val="24"/>
          <w:szCs w:val="32"/>
          <w:highlight w:val="none"/>
        </w:rPr>
      </w:pPr>
    </w:p>
    <w:p w14:paraId="73305E39">
      <w:pPr>
        <w:spacing w:line="480" w:lineRule="auto"/>
        <w:rPr>
          <w:rFonts w:hint="eastAsia" w:ascii="宋体" w:hAnsi="宋体" w:eastAsia="宋体" w:cs="宋体"/>
          <w:b/>
          <w:bCs/>
          <w:color w:val="auto"/>
          <w:sz w:val="24"/>
          <w:szCs w:val="18"/>
          <w:highlight w:val="none"/>
        </w:rPr>
      </w:pPr>
    </w:p>
    <w:p w14:paraId="23320B6E">
      <w:pPr>
        <w:spacing w:line="480" w:lineRule="auto"/>
        <w:rPr>
          <w:rFonts w:hint="eastAsia" w:ascii="宋体" w:hAnsi="宋体" w:eastAsia="宋体" w:cs="宋体"/>
          <w:b/>
          <w:bCs/>
          <w:color w:val="auto"/>
          <w:sz w:val="24"/>
          <w:szCs w:val="18"/>
          <w:highlight w:val="none"/>
        </w:rPr>
      </w:pPr>
    </w:p>
    <w:p w14:paraId="46344C27">
      <w:pPr>
        <w:spacing w:line="480" w:lineRule="auto"/>
        <w:rPr>
          <w:rFonts w:hint="eastAsia" w:ascii="宋体" w:hAnsi="宋体" w:eastAsia="宋体" w:cs="宋体"/>
          <w:b/>
          <w:bCs/>
          <w:color w:val="auto"/>
          <w:sz w:val="24"/>
          <w:szCs w:val="18"/>
          <w:highlight w:val="none"/>
        </w:rPr>
      </w:pPr>
    </w:p>
    <w:p w14:paraId="26829E64">
      <w:pPr>
        <w:spacing w:line="480" w:lineRule="auto"/>
        <w:rPr>
          <w:rFonts w:hint="eastAsia" w:ascii="宋体" w:hAnsi="宋体" w:eastAsia="宋体" w:cs="宋体"/>
          <w:b/>
          <w:bCs/>
          <w:color w:val="auto"/>
          <w:sz w:val="24"/>
          <w:szCs w:val="18"/>
          <w:highlight w:val="none"/>
        </w:rPr>
      </w:pPr>
    </w:p>
    <w:p w14:paraId="2B22B0ED">
      <w:pPr>
        <w:spacing w:line="480" w:lineRule="auto"/>
        <w:rPr>
          <w:rFonts w:hint="eastAsia" w:ascii="宋体" w:hAnsi="宋体" w:eastAsia="宋体" w:cs="宋体"/>
          <w:b/>
          <w:bCs/>
          <w:color w:val="auto"/>
          <w:sz w:val="24"/>
          <w:szCs w:val="18"/>
          <w:highlight w:val="none"/>
        </w:rPr>
      </w:pPr>
    </w:p>
    <w:p w14:paraId="5DC8BD92">
      <w:pPr>
        <w:spacing w:line="480" w:lineRule="auto"/>
        <w:rPr>
          <w:rFonts w:hint="eastAsia" w:ascii="宋体" w:hAnsi="宋体" w:eastAsia="宋体" w:cs="宋体"/>
          <w:b/>
          <w:bCs/>
          <w:color w:val="auto"/>
          <w:sz w:val="24"/>
          <w:szCs w:val="18"/>
          <w:highlight w:val="none"/>
        </w:rPr>
      </w:pPr>
    </w:p>
    <w:p w14:paraId="2F0A9DCC">
      <w:pPr>
        <w:spacing w:line="480" w:lineRule="auto"/>
        <w:rPr>
          <w:rFonts w:hint="eastAsia" w:ascii="宋体" w:hAnsi="宋体" w:eastAsia="宋体" w:cs="宋体"/>
          <w:b/>
          <w:bCs/>
          <w:color w:val="auto"/>
          <w:sz w:val="24"/>
          <w:szCs w:val="18"/>
          <w:highlight w:val="none"/>
        </w:rPr>
      </w:pPr>
    </w:p>
    <w:p w14:paraId="53733B88">
      <w:pPr>
        <w:spacing w:line="480" w:lineRule="auto"/>
        <w:rPr>
          <w:rFonts w:hint="eastAsia" w:ascii="宋体" w:hAnsi="宋体" w:eastAsia="宋体" w:cs="宋体"/>
          <w:b/>
          <w:bCs/>
          <w:color w:val="auto"/>
          <w:sz w:val="24"/>
          <w:szCs w:val="18"/>
          <w:highlight w:val="none"/>
        </w:rPr>
      </w:pPr>
    </w:p>
    <w:p w14:paraId="5CA27839">
      <w:pPr>
        <w:spacing w:line="480" w:lineRule="auto"/>
        <w:rPr>
          <w:rFonts w:hint="eastAsia" w:ascii="宋体" w:hAnsi="宋体" w:eastAsia="宋体" w:cs="宋体"/>
          <w:b/>
          <w:bCs/>
          <w:color w:val="auto"/>
          <w:sz w:val="24"/>
          <w:szCs w:val="18"/>
          <w:highlight w:val="none"/>
        </w:rPr>
      </w:pPr>
    </w:p>
    <w:p w14:paraId="68360228">
      <w:pPr>
        <w:spacing w:line="480" w:lineRule="auto"/>
        <w:rPr>
          <w:rFonts w:hint="eastAsia" w:ascii="宋体" w:hAnsi="宋体" w:eastAsia="宋体" w:cs="宋体"/>
          <w:b/>
          <w:bCs/>
          <w:color w:val="auto"/>
          <w:sz w:val="24"/>
          <w:szCs w:val="18"/>
          <w:highlight w:val="none"/>
        </w:rPr>
      </w:pPr>
    </w:p>
    <w:p w14:paraId="2BECE904">
      <w:pPr>
        <w:spacing w:line="480" w:lineRule="auto"/>
        <w:rPr>
          <w:rFonts w:hint="eastAsia" w:ascii="宋体" w:hAnsi="宋体" w:eastAsia="宋体" w:cs="宋体"/>
          <w:b/>
          <w:bCs/>
          <w:color w:val="auto"/>
          <w:sz w:val="24"/>
          <w:szCs w:val="18"/>
          <w:highlight w:val="none"/>
        </w:rPr>
      </w:pPr>
    </w:p>
    <w:p w14:paraId="2580EAEE">
      <w:pPr>
        <w:spacing w:line="480" w:lineRule="auto"/>
        <w:rPr>
          <w:rFonts w:hint="eastAsia" w:ascii="宋体" w:hAnsi="宋体" w:eastAsia="宋体" w:cs="宋体"/>
          <w:b/>
          <w:bCs/>
          <w:color w:val="auto"/>
          <w:sz w:val="24"/>
          <w:szCs w:val="18"/>
          <w:highlight w:val="none"/>
        </w:rPr>
      </w:pPr>
    </w:p>
    <w:p w14:paraId="3894FD8D">
      <w:pPr>
        <w:spacing w:line="480" w:lineRule="auto"/>
        <w:rPr>
          <w:rFonts w:hint="eastAsia" w:ascii="宋体" w:hAnsi="宋体" w:eastAsia="宋体" w:cs="宋体"/>
          <w:b/>
          <w:bCs/>
          <w:color w:val="auto"/>
          <w:sz w:val="24"/>
          <w:szCs w:val="18"/>
          <w:highlight w:val="none"/>
        </w:rPr>
      </w:pPr>
    </w:p>
    <w:p w14:paraId="12775CCA">
      <w:pPr>
        <w:spacing w:line="480" w:lineRule="auto"/>
        <w:rPr>
          <w:rFonts w:hint="eastAsia" w:ascii="宋体" w:hAnsi="宋体" w:eastAsia="宋体" w:cs="宋体"/>
          <w:b/>
          <w:bCs/>
          <w:color w:val="auto"/>
          <w:sz w:val="24"/>
          <w:szCs w:val="18"/>
          <w:highlight w:val="none"/>
        </w:rPr>
      </w:pPr>
    </w:p>
    <w:p w14:paraId="3A15E36D">
      <w:pPr>
        <w:spacing w:line="480" w:lineRule="auto"/>
        <w:rPr>
          <w:rFonts w:hint="eastAsia" w:ascii="宋体" w:hAnsi="宋体" w:eastAsia="宋体" w:cs="宋体"/>
          <w:b/>
          <w:bCs/>
          <w:color w:val="auto"/>
          <w:sz w:val="24"/>
          <w:szCs w:val="18"/>
          <w:highlight w:val="none"/>
        </w:rPr>
      </w:pPr>
    </w:p>
    <w:p w14:paraId="6F6B2E32">
      <w:pPr>
        <w:spacing w:line="480" w:lineRule="auto"/>
        <w:rPr>
          <w:rFonts w:hint="eastAsia" w:ascii="宋体" w:hAnsi="宋体" w:eastAsia="宋体" w:cs="宋体"/>
          <w:b/>
          <w:bCs/>
          <w:color w:val="auto"/>
          <w:sz w:val="24"/>
          <w:szCs w:val="18"/>
          <w:highlight w:val="none"/>
        </w:rPr>
      </w:pPr>
    </w:p>
    <w:p w14:paraId="7A0FEF5C">
      <w:pPr>
        <w:spacing w:line="480" w:lineRule="auto"/>
        <w:rPr>
          <w:rFonts w:hint="eastAsia" w:ascii="宋体" w:hAnsi="宋体" w:eastAsia="宋体" w:cs="宋体"/>
          <w:b/>
          <w:bCs/>
          <w:color w:val="auto"/>
          <w:sz w:val="24"/>
          <w:szCs w:val="18"/>
          <w:highlight w:val="none"/>
        </w:rPr>
      </w:pPr>
    </w:p>
    <w:p w14:paraId="6261170D">
      <w:pPr>
        <w:spacing w:line="480" w:lineRule="auto"/>
        <w:rPr>
          <w:rFonts w:hint="eastAsia" w:ascii="宋体" w:hAnsi="宋体" w:eastAsia="宋体" w:cs="宋体"/>
          <w:b/>
          <w:bCs/>
          <w:color w:val="auto"/>
          <w:sz w:val="24"/>
          <w:szCs w:val="18"/>
          <w:highlight w:val="none"/>
        </w:rPr>
      </w:pPr>
    </w:p>
    <w:p w14:paraId="08C76DD5">
      <w:pPr>
        <w:spacing w:line="480" w:lineRule="auto"/>
        <w:rPr>
          <w:rFonts w:hint="eastAsia" w:ascii="宋体" w:hAnsi="宋体" w:eastAsia="宋体" w:cs="宋体"/>
          <w:b/>
          <w:bCs/>
          <w:color w:val="auto"/>
          <w:sz w:val="24"/>
          <w:szCs w:val="18"/>
          <w:highlight w:val="none"/>
        </w:rPr>
      </w:pPr>
    </w:p>
    <w:p w14:paraId="46606AB1">
      <w:pPr>
        <w:spacing w:line="480" w:lineRule="auto"/>
        <w:rPr>
          <w:rFonts w:hint="eastAsia" w:ascii="宋体" w:hAnsi="宋体" w:eastAsia="宋体" w:cs="宋体"/>
          <w:color w:val="auto"/>
          <w:sz w:val="22"/>
          <w:szCs w:val="28"/>
          <w:highlight w:val="none"/>
        </w:rPr>
      </w:pPr>
      <w:r>
        <w:rPr>
          <w:rFonts w:hint="eastAsia" w:ascii="宋体" w:hAnsi="宋体" w:eastAsia="宋体" w:cs="宋体"/>
          <w:b/>
          <w:bCs/>
          <w:color w:val="auto"/>
          <w:sz w:val="24"/>
          <w:szCs w:val="18"/>
          <w:highlight w:val="none"/>
        </w:rPr>
        <w:t>格式</w:t>
      </w:r>
      <w:r>
        <w:rPr>
          <w:rFonts w:hint="eastAsia" w:ascii="宋体" w:hAnsi="宋体" w:eastAsia="宋体" w:cs="宋体"/>
          <w:b/>
          <w:bCs/>
          <w:color w:val="auto"/>
          <w:sz w:val="24"/>
          <w:szCs w:val="18"/>
          <w:highlight w:val="none"/>
          <w:lang w:val="en-US" w:eastAsia="zh-CN"/>
        </w:rPr>
        <w:t>4</w:t>
      </w:r>
      <w:r>
        <w:rPr>
          <w:rFonts w:hint="eastAsia" w:ascii="宋体" w:hAnsi="宋体" w:eastAsia="宋体" w:cs="宋体"/>
          <w:b/>
          <w:bCs/>
          <w:color w:val="auto"/>
          <w:sz w:val="24"/>
          <w:szCs w:val="18"/>
          <w:highlight w:val="none"/>
        </w:rPr>
        <w:t>：服务质量承诺及保障措施</w:t>
      </w:r>
    </w:p>
    <w:p w14:paraId="16859C87">
      <w:pPr>
        <w:pStyle w:val="3"/>
        <w:wordWrap w:val="0"/>
        <w:spacing w:before="317" w:beforeLines="100"/>
        <w:jc w:val="center"/>
        <w:rPr>
          <w:rFonts w:hint="eastAsia" w:eastAsia="宋体"/>
        </w:rPr>
      </w:pPr>
      <w:r>
        <w:rPr>
          <w:rFonts w:hint="eastAsia" w:eastAsia="宋体"/>
        </w:rPr>
        <w:t>服务质量承诺及保障措施</w:t>
      </w:r>
    </w:p>
    <w:p w14:paraId="1AFAFE58">
      <w:pPr>
        <w:wordWrap w:val="0"/>
        <w:autoSpaceDE w:val="0"/>
        <w:spacing w:line="360" w:lineRule="auto"/>
        <w:jc w:val="center"/>
        <w:rPr>
          <w:rFonts w:hint="eastAsia"/>
          <w:sz w:val="28"/>
          <w:szCs w:val="28"/>
        </w:rPr>
      </w:pPr>
      <w:r>
        <w:rPr>
          <w:rFonts w:hint="eastAsia"/>
          <w:sz w:val="28"/>
          <w:szCs w:val="28"/>
        </w:rPr>
        <w:t>(格式自拟)</w:t>
      </w:r>
    </w:p>
    <w:p w14:paraId="35CBBF89">
      <w:pPr>
        <w:pStyle w:val="3"/>
        <w:wordWrap w:val="0"/>
        <w:spacing w:before="317" w:beforeLines="100"/>
        <w:jc w:val="both"/>
        <w:rPr>
          <w:rFonts w:hint="eastAsia" w:ascii="宋体" w:hAnsi="宋体" w:eastAsia="宋体" w:cs="宋体"/>
          <w:b/>
          <w:bCs/>
          <w:color w:val="auto"/>
          <w:sz w:val="24"/>
          <w:szCs w:val="18"/>
          <w:highlight w:val="none"/>
        </w:rPr>
      </w:pPr>
    </w:p>
    <w:p w14:paraId="6BD65BBC">
      <w:pPr>
        <w:pStyle w:val="3"/>
        <w:wordWrap w:val="0"/>
        <w:spacing w:before="317" w:beforeLines="100"/>
        <w:jc w:val="both"/>
        <w:rPr>
          <w:rFonts w:hint="eastAsia" w:ascii="宋体" w:hAnsi="宋体" w:eastAsia="宋体" w:cs="宋体"/>
          <w:b/>
          <w:bCs/>
          <w:color w:val="auto"/>
          <w:sz w:val="24"/>
          <w:szCs w:val="18"/>
          <w:highlight w:val="none"/>
        </w:rPr>
      </w:pPr>
    </w:p>
    <w:p w14:paraId="2602CBC2">
      <w:pPr>
        <w:pStyle w:val="3"/>
        <w:wordWrap w:val="0"/>
        <w:spacing w:before="317" w:beforeLines="100"/>
        <w:jc w:val="both"/>
        <w:rPr>
          <w:rFonts w:hint="eastAsia" w:ascii="宋体" w:hAnsi="宋体" w:eastAsia="宋体" w:cs="宋体"/>
          <w:b/>
          <w:bCs/>
          <w:color w:val="auto"/>
          <w:sz w:val="24"/>
          <w:szCs w:val="18"/>
          <w:highlight w:val="none"/>
        </w:rPr>
      </w:pPr>
    </w:p>
    <w:p w14:paraId="7690A463">
      <w:pPr>
        <w:pStyle w:val="3"/>
        <w:wordWrap w:val="0"/>
        <w:spacing w:before="317" w:beforeLines="100"/>
        <w:jc w:val="both"/>
        <w:rPr>
          <w:rFonts w:hint="eastAsia" w:ascii="宋体" w:hAnsi="宋体" w:eastAsia="宋体" w:cs="宋体"/>
          <w:b/>
          <w:bCs/>
          <w:color w:val="auto"/>
          <w:sz w:val="24"/>
          <w:szCs w:val="18"/>
          <w:highlight w:val="none"/>
        </w:rPr>
      </w:pPr>
    </w:p>
    <w:p w14:paraId="4EB1609A">
      <w:pPr>
        <w:pStyle w:val="3"/>
        <w:wordWrap w:val="0"/>
        <w:spacing w:before="317" w:beforeLines="100"/>
        <w:jc w:val="both"/>
        <w:rPr>
          <w:rFonts w:hint="eastAsia" w:ascii="宋体" w:hAnsi="宋体" w:eastAsia="宋体" w:cs="宋体"/>
          <w:b/>
          <w:bCs/>
          <w:color w:val="auto"/>
          <w:sz w:val="24"/>
          <w:szCs w:val="18"/>
          <w:highlight w:val="none"/>
        </w:rPr>
      </w:pPr>
    </w:p>
    <w:p w14:paraId="72B9BF1E">
      <w:pPr>
        <w:pStyle w:val="3"/>
        <w:wordWrap w:val="0"/>
        <w:spacing w:before="317" w:beforeLines="100"/>
        <w:jc w:val="both"/>
        <w:rPr>
          <w:rFonts w:hint="eastAsia" w:ascii="宋体" w:hAnsi="宋体" w:eastAsia="宋体" w:cs="宋体"/>
          <w:b/>
          <w:bCs/>
          <w:color w:val="auto"/>
          <w:sz w:val="24"/>
          <w:szCs w:val="18"/>
          <w:highlight w:val="none"/>
        </w:rPr>
      </w:pPr>
    </w:p>
    <w:p w14:paraId="6F419CE5">
      <w:pPr>
        <w:pStyle w:val="3"/>
        <w:wordWrap w:val="0"/>
        <w:spacing w:before="317" w:beforeLines="100"/>
        <w:jc w:val="both"/>
        <w:rPr>
          <w:rFonts w:hint="eastAsia" w:ascii="宋体" w:hAnsi="宋体" w:eastAsia="宋体" w:cs="宋体"/>
          <w:b/>
          <w:bCs/>
          <w:color w:val="auto"/>
          <w:sz w:val="24"/>
          <w:szCs w:val="18"/>
          <w:highlight w:val="none"/>
        </w:rPr>
      </w:pPr>
    </w:p>
    <w:p w14:paraId="447E468C">
      <w:pPr>
        <w:pStyle w:val="3"/>
        <w:wordWrap w:val="0"/>
        <w:spacing w:before="317" w:beforeLines="100"/>
        <w:jc w:val="both"/>
        <w:rPr>
          <w:rFonts w:hint="eastAsia" w:ascii="宋体" w:hAnsi="宋体" w:eastAsia="宋体" w:cs="宋体"/>
          <w:b/>
          <w:bCs/>
          <w:color w:val="auto"/>
          <w:sz w:val="24"/>
          <w:szCs w:val="18"/>
          <w:highlight w:val="none"/>
        </w:rPr>
      </w:pPr>
    </w:p>
    <w:p w14:paraId="02216331">
      <w:pPr>
        <w:pStyle w:val="3"/>
        <w:wordWrap w:val="0"/>
        <w:spacing w:before="317" w:beforeLines="100"/>
        <w:jc w:val="both"/>
        <w:rPr>
          <w:rFonts w:hint="eastAsia" w:ascii="宋体" w:hAnsi="宋体" w:eastAsia="宋体" w:cs="宋体"/>
          <w:b/>
          <w:bCs/>
          <w:color w:val="auto"/>
          <w:sz w:val="24"/>
          <w:szCs w:val="18"/>
          <w:highlight w:val="none"/>
        </w:rPr>
      </w:pPr>
    </w:p>
    <w:p w14:paraId="216AC253">
      <w:pPr>
        <w:pStyle w:val="3"/>
        <w:wordWrap w:val="0"/>
        <w:spacing w:before="317" w:beforeLines="100"/>
        <w:jc w:val="both"/>
        <w:rPr>
          <w:rFonts w:hint="eastAsia" w:ascii="宋体" w:hAnsi="宋体" w:eastAsia="宋体" w:cs="宋体"/>
          <w:b/>
          <w:bCs/>
          <w:color w:val="auto"/>
          <w:sz w:val="24"/>
          <w:szCs w:val="18"/>
          <w:highlight w:val="none"/>
        </w:rPr>
      </w:pPr>
    </w:p>
    <w:p w14:paraId="7B72FFEA">
      <w:pPr>
        <w:pStyle w:val="3"/>
        <w:wordWrap w:val="0"/>
        <w:spacing w:before="317" w:beforeLines="100"/>
        <w:jc w:val="both"/>
        <w:rPr>
          <w:rFonts w:hint="eastAsia" w:ascii="宋体" w:hAnsi="宋体" w:eastAsia="宋体" w:cs="宋体"/>
          <w:b/>
          <w:bCs/>
          <w:color w:val="auto"/>
          <w:sz w:val="24"/>
          <w:szCs w:val="18"/>
          <w:highlight w:val="none"/>
        </w:rPr>
      </w:pPr>
    </w:p>
    <w:p w14:paraId="31D9A279">
      <w:pPr>
        <w:pStyle w:val="3"/>
        <w:wordWrap w:val="0"/>
        <w:spacing w:before="317" w:beforeLines="100"/>
        <w:jc w:val="both"/>
        <w:rPr>
          <w:rFonts w:hint="eastAsia" w:ascii="宋体" w:hAnsi="宋体" w:eastAsia="宋体" w:cs="宋体"/>
          <w:b/>
          <w:bCs/>
          <w:color w:val="auto"/>
          <w:sz w:val="24"/>
          <w:szCs w:val="18"/>
          <w:highlight w:val="none"/>
        </w:rPr>
      </w:pPr>
    </w:p>
    <w:p w14:paraId="7CFA6ECF">
      <w:pPr>
        <w:pStyle w:val="3"/>
        <w:wordWrap w:val="0"/>
        <w:spacing w:before="317" w:beforeLines="100"/>
        <w:jc w:val="both"/>
        <w:rPr>
          <w:rFonts w:hint="eastAsia" w:ascii="宋体" w:hAnsi="宋体" w:eastAsia="宋体" w:cs="宋体"/>
          <w:b/>
          <w:bCs/>
          <w:color w:val="auto"/>
          <w:sz w:val="24"/>
          <w:szCs w:val="18"/>
          <w:highlight w:val="none"/>
        </w:rPr>
      </w:pPr>
    </w:p>
    <w:p w14:paraId="2E0ED14D">
      <w:pPr>
        <w:pStyle w:val="3"/>
        <w:wordWrap w:val="0"/>
        <w:spacing w:before="317" w:beforeLines="100"/>
        <w:jc w:val="both"/>
        <w:rPr>
          <w:rFonts w:hint="eastAsia" w:ascii="宋体" w:hAnsi="宋体" w:eastAsia="宋体" w:cs="宋体"/>
          <w:b/>
          <w:bCs/>
          <w:color w:val="auto"/>
          <w:sz w:val="24"/>
          <w:szCs w:val="18"/>
          <w:highlight w:val="none"/>
        </w:rPr>
      </w:pPr>
    </w:p>
    <w:p w14:paraId="2CA18259">
      <w:pPr>
        <w:pStyle w:val="3"/>
        <w:wordWrap w:val="0"/>
        <w:spacing w:before="317" w:beforeLines="100"/>
        <w:jc w:val="both"/>
        <w:rPr>
          <w:rFonts w:hint="eastAsia" w:ascii="宋体" w:hAnsi="宋体" w:eastAsia="宋体" w:cs="宋体"/>
          <w:b/>
          <w:bCs/>
          <w:color w:val="auto"/>
          <w:sz w:val="24"/>
          <w:szCs w:val="18"/>
          <w:highlight w:val="none"/>
        </w:rPr>
      </w:pPr>
    </w:p>
    <w:p w14:paraId="17E633C2">
      <w:pPr>
        <w:pStyle w:val="3"/>
        <w:wordWrap w:val="0"/>
        <w:spacing w:before="317" w:beforeLines="100"/>
        <w:jc w:val="both"/>
        <w:rPr>
          <w:rFonts w:hint="eastAsia" w:ascii="宋体" w:hAnsi="宋体" w:eastAsia="宋体" w:cs="宋体"/>
          <w:b/>
          <w:bCs/>
          <w:color w:val="auto"/>
          <w:sz w:val="24"/>
          <w:szCs w:val="18"/>
          <w:highlight w:val="none"/>
        </w:rPr>
      </w:pPr>
    </w:p>
    <w:p w14:paraId="1FA0D6C0">
      <w:pPr>
        <w:pStyle w:val="3"/>
        <w:wordWrap w:val="0"/>
        <w:spacing w:before="317" w:beforeLines="100"/>
        <w:jc w:val="both"/>
        <w:rPr>
          <w:rFonts w:hint="eastAsia" w:ascii="宋体" w:hAnsi="宋体" w:eastAsia="宋体" w:cs="宋体"/>
          <w:b/>
          <w:bCs/>
          <w:color w:val="auto"/>
          <w:sz w:val="24"/>
          <w:szCs w:val="18"/>
          <w:highlight w:val="none"/>
        </w:rPr>
      </w:pPr>
    </w:p>
    <w:p w14:paraId="6A23FF75">
      <w:pPr>
        <w:ind w:firstLine="3920" w:firstLineChars="1400"/>
        <w:rPr>
          <w:rFonts w:hint="eastAsia"/>
          <w:sz w:val="28"/>
          <w:szCs w:val="28"/>
        </w:rPr>
      </w:pPr>
    </w:p>
    <w:p w14:paraId="1AFA4606">
      <w:pPr>
        <w:rPr>
          <w:rFonts w:hint="eastAsia" w:ascii="宋体" w:hAnsi="宋体" w:eastAsia="宋体" w:cs="宋体"/>
          <w:b/>
          <w:bCs/>
          <w:color w:val="auto"/>
          <w:sz w:val="24"/>
          <w:szCs w:val="18"/>
          <w:highlight w:val="none"/>
        </w:rPr>
      </w:pPr>
    </w:p>
    <w:p w14:paraId="2AC38B39">
      <w:pPr>
        <w:rPr>
          <w:rFonts w:hint="eastAsia" w:ascii="宋体" w:hAnsi="宋体" w:eastAsia="宋体" w:cs="宋体"/>
          <w:b/>
          <w:bCs/>
          <w:color w:val="auto"/>
          <w:sz w:val="24"/>
          <w:szCs w:val="18"/>
          <w:highlight w:val="none"/>
        </w:rPr>
      </w:pPr>
    </w:p>
    <w:p w14:paraId="6A3B7525">
      <w:pPr>
        <w:rPr>
          <w:rFonts w:hint="eastAsia" w:ascii="宋体" w:hAnsi="宋体" w:eastAsia="宋体" w:cs="宋体"/>
          <w:b/>
          <w:bCs/>
          <w:color w:val="auto"/>
          <w:sz w:val="24"/>
          <w:szCs w:val="18"/>
          <w:highlight w:val="none"/>
          <w:lang w:eastAsia="zh-CN"/>
        </w:rPr>
      </w:pPr>
    </w:p>
    <w:p w14:paraId="36BCFC40">
      <w:pPr>
        <w:pStyle w:val="3"/>
        <w:wordWrap w:val="0"/>
        <w:spacing w:before="317" w:beforeLines="100"/>
        <w:jc w:val="both"/>
        <w:rPr>
          <w:rFonts w:hint="eastAsia" w:ascii="宋体" w:hAnsi="宋体" w:eastAsia="宋体" w:cs="宋体"/>
          <w:b/>
          <w:bCs/>
          <w:color w:val="auto"/>
          <w:sz w:val="24"/>
          <w:szCs w:val="18"/>
          <w:highlight w:val="none"/>
        </w:rPr>
      </w:pPr>
      <w:r>
        <w:rPr>
          <w:rFonts w:hint="eastAsia" w:ascii="宋体" w:hAnsi="宋体" w:eastAsia="宋体" w:cs="宋体"/>
          <w:b/>
          <w:bCs/>
          <w:color w:val="auto"/>
          <w:sz w:val="24"/>
          <w:szCs w:val="18"/>
          <w:highlight w:val="none"/>
        </w:rPr>
        <w:t>格式</w:t>
      </w:r>
      <w:r>
        <w:rPr>
          <w:rFonts w:hint="eastAsia" w:ascii="宋体" w:hAnsi="宋体" w:eastAsia="宋体" w:cs="宋体"/>
          <w:b/>
          <w:bCs/>
          <w:color w:val="auto"/>
          <w:sz w:val="24"/>
          <w:szCs w:val="18"/>
          <w:highlight w:val="none"/>
          <w:lang w:val="en-US" w:eastAsia="zh-CN"/>
        </w:rPr>
        <w:t>5</w:t>
      </w:r>
      <w:r>
        <w:rPr>
          <w:rFonts w:hint="eastAsia" w:ascii="宋体" w:hAnsi="宋体" w:eastAsia="宋体" w:cs="宋体"/>
          <w:b/>
          <w:bCs/>
          <w:color w:val="auto"/>
          <w:sz w:val="24"/>
          <w:szCs w:val="18"/>
          <w:highlight w:val="none"/>
        </w:rPr>
        <w:t>：违约责任承诺及处罚措施</w:t>
      </w:r>
    </w:p>
    <w:p w14:paraId="2FA67800">
      <w:pPr>
        <w:rPr>
          <w:rFonts w:hint="eastAsia" w:ascii="宋体" w:hAnsi="宋体" w:eastAsia="宋体" w:cs="宋体"/>
          <w:b/>
          <w:bCs/>
          <w:color w:val="auto"/>
          <w:kern w:val="0"/>
          <w:sz w:val="24"/>
          <w:szCs w:val="18"/>
          <w:highlight w:val="none"/>
          <w:lang w:val="en-US" w:eastAsia="zh-CN" w:bidi="ar-SA"/>
        </w:rPr>
      </w:pPr>
    </w:p>
    <w:p w14:paraId="6A3092DD">
      <w:pPr>
        <w:ind w:firstLine="3012" w:firstLineChars="1000"/>
        <w:rPr>
          <w:rFonts w:hint="eastAsia" w:ascii="宋体" w:hAnsi="宋体" w:eastAsia="宋体" w:cs="宋体"/>
          <w:b/>
          <w:bCs/>
          <w:color w:val="auto"/>
          <w:kern w:val="0"/>
          <w:sz w:val="30"/>
          <w:szCs w:val="30"/>
          <w:highlight w:val="none"/>
          <w:lang w:val="en-US" w:eastAsia="zh-CN" w:bidi="ar-SA"/>
        </w:rPr>
      </w:pPr>
    </w:p>
    <w:p w14:paraId="3169F6E1">
      <w:pPr>
        <w:ind w:firstLine="3012" w:firstLineChars="1000"/>
        <w:rPr>
          <w:rFonts w:hint="eastAsia" w:ascii="宋体" w:hAnsi="宋体" w:eastAsia="宋体" w:cs="宋体"/>
          <w:b/>
          <w:bCs/>
          <w:color w:val="auto"/>
          <w:kern w:val="0"/>
          <w:sz w:val="30"/>
          <w:szCs w:val="30"/>
          <w:highlight w:val="none"/>
          <w:lang w:val="en-US" w:eastAsia="zh-CN" w:bidi="ar-SA"/>
        </w:rPr>
      </w:pPr>
    </w:p>
    <w:p w14:paraId="2027A110">
      <w:pPr>
        <w:ind w:firstLine="3012" w:firstLineChars="1000"/>
        <w:rPr>
          <w:rFonts w:hint="eastAsia" w:ascii="宋体" w:hAnsi="宋体" w:eastAsia="宋体" w:cs="宋体"/>
          <w:b/>
          <w:bCs/>
          <w:color w:val="auto"/>
          <w:kern w:val="0"/>
          <w:sz w:val="30"/>
          <w:szCs w:val="30"/>
          <w:highlight w:val="none"/>
          <w:lang w:val="en-US" w:eastAsia="zh-CN" w:bidi="ar-SA"/>
        </w:rPr>
      </w:pPr>
    </w:p>
    <w:p w14:paraId="5BFB1EA4">
      <w:pPr>
        <w:ind w:firstLine="3012" w:firstLineChars="1000"/>
        <w:rPr>
          <w:rFonts w:hint="eastAsia" w:ascii="宋体" w:hAnsi="宋体" w:eastAsia="宋体" w:cs="宋体"/>
          <w:b/>
          <w:bCs/>
          <w:color w:val="auto"/>
          <w:kern w:val="0"/>
          <w:sz w:val="30"/>
          <w:szCs w:val="30"/>
          <w:highlight w:val="none"/>
          <w:lang w:val="en-US" w:eastAsia="zh-CN" w:bidi="ar-SA"/>
        </w:rPr>
      </w:pPr>
      <w:r>
        <w:rPr>
          <w:rFonts w:hint="eastAsia" w:ascii="宋体" w:hAnsi="宋体" w:eastAsia="宋体" w:cs="宋体"/>
          <w:b/>
          <w:bCs/>
          <w:color w:val="auto"/>
          <w:kern w:val="0"/>
          <w:sz w:val="30"/>
          <w:szCs w:val="30"/>
          <w:highlight w:val="none"/>
          <w:lang w:val="en-US" w:eastAsia="zh-CN" w:bidi="ar-SA"/>
        </w:rPr>
        <w:t>违约责任承诺及处罚措施</w:t>
      </w:r>
    </w:p>
    <w:p w14:paraId="5489B539">
      <w:pPr>
        <w:rPr>
          <w:rFonts w:hint="eastAsia" w:ascii="宋体" w:hAnsi="宋体" w:eastAsia="宋体" w:cs="宋体"/>
          <w:b/>
          <w:bCs/>
          <w:color w:val="auto"/>
          <w:sz w:val="24"/>
          <w:szCs w:val="18"/>
          <w:highlight w:val="none"/>
          <w:lang w:eastAsia="zh-CN"/>
        </w:rPr>
      </w:pPr>
    </w:p>
    <w:p w14:paraId="35045ABD">
      <w:pPr>
        <w:wordWrap w:val="0"/>
        <w:autoSpaceDE w:val="0"/>
        <w:spacing w:line="360" w:lineRule="auto"/>
        <w:jc w:val="center"/>
        <w:rPr>
          <w:rFonts w:hint="eastAsia"/>
          <w:sz w:val="28"/>
          <w:szCs w:val="28"/>
        </w:rPr>
      </w:pPr>
      <w:r>
        <w:rPr>
          <w:rFonts w:hint="eastAsia"/>
          <w:sz w:val="28"/>
          <w:szCs w:val="28"/>
        </w:rPr>
        <w:t>(格式自拟)</w:t>
      </w:r>
    </w:p>
    <w:p w14:paraId="3772BCB2">
      <w:pPr>
        <w:rPr>
          <w:rFonts w:hint="eastAsia" w:ascii="宋体" w:hAnsi="宋体" w:eastAsia="宋体" w:cs="宋体"/>
          <w:b/>
          <w:bCs/>
          <w:color w:val="auto"/>
          <w:sz w:val="24"/>
          <w:szCs w:val="18"/>
          <w:highlight w:val="none"/>
          <w:lang w:eastAsia="zh-CN"/>
        </w:rPr>
      </w:pPr>
    </w:p>
    <w:p w14:paraId="0E01DC89">
      <w:pPr>
        <w:rPr>
          <w:rFonts w:hint="eastAsia" w:ascii="宋体" w:hAnsi="宋体" w:eastAsia="宋体" w:cs="宋体"/>
          <w:b/>
          <w:bCs/>
          <w:color w:val="auto"/>
          <w:sz w:val="24"/>
          <w:szCs w:val="18"/>
          <w:highlight w:val="none"/>
          <w:lang w:eastAsia="zh-CN"/>
        </w:rPr>
      </w:pPr>
    </w:p>
    <w:p w14:paraId="289B5086">
      <w:pPr>
        <w:rPr>
          <w:rFonts w:hint="eastAsia" w:ascii="宋体" w:hAnsi="宋体" w:eastAsia="宋体" w:cs="宋体"/>
          <w:b/>
          <w:bCs/>
          <w:color w:val="auto"/>
          <w:sz w:val="24"/>
          <w:szCs w:val="18"/>
          <w:highlight w:val="none"/>
          <w:lang w:eastAsia="zh-CN"/>
        </w:rPr>
      </w:pPr>
    </w:p>
    <w:p w14:paraId="5531DB55">
      <w:pPr>
        <w:rPr>
          <w:rFonts w:hint="eastAsia" w:ascii="宋体" w:hAnsi="宋体" w:eastAsia="宋体" w:cs="宋体"/>
          <w:b/>
          <w:bCs/>
          <w:color w:val="auto"/>
          <w:sz w:val="24"/>
          <w:szCs w:val="18"/>
          <w:highlight w:val="none"/>
          <w:lang w:eastAsia="zh-CN"/>
        </w:rPr>
      </w:pPr>
    </w:p>
    <w:p w14:paraId="076F977E">
      <w:pPr>
        <w:rPr>
          <w:rFonts w:hint="eastAsia" w:ascii="宋体" w:hAnsi="宋体" w:eastAsia="宋体" w:cs="宋体"/>
          <w:b/>
          <w:bCs/>
          <w:color w:val="auto"/>
          <w:sz w:val="24"/>
          <w:szCs w:val="18"/>
          <w:highlight w:val="none"/>
          <w:lang w:eastAsia="zh-CN"/>
        </w:rPr>
      </w:pPr>
    </w:p>
    <w:p w14:paraId="6FB8454D">
      <w:pPr>
        <w:rPr>
          <w:rFonts w:hint="eastAsia" w:ascii="宋体" w:hAnsi="宋体" w:eastAsia="宋体" w:cs="宋体"/>
          <w:b/>
          <w:bCs/>
          <w:color w:val="auto"/>
          <w:sz w:val="24"/>
          <w:szCs w:val="18"/>
          <w:highlight w:val="none"/>
          <w:lang w:eastAsia="zh-CN"/>
        </w:rPr>
      </w:pPr>
    </w:p>
    <w:p w14:paraId="6C5745FA">
      <w:pPr>
        <w:rPr>
          <w:rFonts w:hint="eastAsia" w:ascii="宋体" w:hAnsi="宋体" w:eastAsia="宋体" w:cs="宋体"/>
          <w:b/>
          <w:bCs/>
          <w:color w:val="auto"/>
          <w:sz w:val="24"/>
          <w:szCs w:val="18"/>
          <w:highlight w:val="none"/>
          <w:lang w:eastAsia="zh-CN"/>
        </w:rPr>
      </w:pPr>
    </w:p>
    <w:p w14:paraId="01F19AD4">
      <w:pPr>
        <w:rPr>
          <w:rFonts w:hint="eastAsia" w:ascii="宋体" w:hAnsi="宋体" w:eastAsia="宋体" w:cs="宋体"/>
          <w:b/>
          <w:bCs/>
          <w:color w:val="auto"/>
          <w:sz w:val="24"/>
          <w:szCs w:val="18"/>
          <w:highlight w:val="none"/>
          <w:lang w:eastAsia="zh-CN"/>
        </w:rPr>
      </w:pPr>
    </w:p>
    <w:p w14:paraId="7AEC62F6">
      <w:pPr>
        <w:rPr>
          <w:rFonts w:hint="eastAsia" w:ascii="宋体" w:hAnsi="宋体" w:eastAsia="宋体" w:cs="宋体"/>
          <w:b/>
          <w:bCs/>
          <w:color w:val="auto"/>
          <w:sz w:val="24"/>
          <w:szCs w:val="18"/>
          <w:highlight w:val="none"/>
        </w:rPr>
      </w:pPr>
    </w:p>
    <w:p w14:paraId="0CC0189C">
      <w:pPr>
        <w:rPr>
          <w:rFonts w:hint="eastAsia" w:ascii="宋体" w:hAnsi="宋体" w:eastAsia="宋体" w:cs="宋体"/>
          <w:b/>
          <w:bCs/>
          <w:color w:val="auto"/>
          <w:sz w:val="24"/>
          <w:szCs w:val="18"/>
          <w:highlight w:val="none"/>
        </w:rPr>
      </w:pPr>
    </w:p>
    <w:p w14:paraId="1C91CAFB">
      <w:pPr>
        <w:rPr>
          <w:rFonts w:hint="eastAsia" w:ascii="宋体" w:hAnsi="宋体" w:eastAsia="宋体" w:cs="宋体"/>
          <w:b/>
          <w:bCs/>
          <w:color w:val="auto"/>
          <w:sz w:val="24"/>
          <w:szCs w:val="18"/>
          <w:highlight w:val="none"/>
        </w:rPr>
      </w:pPr>
    </w:p>
    <w:p w14:paraId="52B69438">
      <w:pPr>
        <w:rPr>
          <w:rFonts w:hint="eastAsia" w:ascii="宋体" w:hAnsi="宋体" w:eastAsia="宋体" w:cs="宋体"/>
          <w:b/>
          <w:bCs/>
          <w:color w:val="auto"/>
          <w:sz w:val="24"/>
          <w:szCs w:val="18"/>
          <w:highlight w:val="none"/>
        </w:rPr>
      </w:pPr>
    </w:p>
    <w:p w14:paraId="4E5DE3AF">
      <w:pPr>
        <w:rPr>
          <w:rFonts w:hint="eastAsia" w:ascii="宋体" w:hAnsi="宋体" w:eastAsia="宋体" w:cs="宋体"/>
          <w:b/>
          <w:bCs/>
          <w:color w:val="auto"/>
          <w:sz w:val="24"/>
          <w:szCs w:val="18"/>
          <w:highlight w:val="none"/>
        </w:rPr>
      </w:pPr>
    </w:p>
    <w:p w14:paraId="7E1BF6E4">
      <w:pPr>
        <w:rPr>
          <w:rFonts w:hint="eastAsia" w:ascii="宋体" w:hAnsi="宋体" w:eastAsia="宋体" w:cs="宋体"/>
          <w:b/>
          <w:bCs/>
          <w:color w:val="auto"/>
          <w:sz w:val="24"/>
          <w:szCs w:val="18"/>
          <w:highlight w:val="none"/>
        </w:rPr>
      </w:pPr>
    </w:p>
    <w:p w14:paraId="75ACC9C5">
      <w:pPr>
        <w:rPr>
          <w:rFonts w:hint="eastAsia" w:ascii="宋体" w:hAnsi="宋体" w:eastAsia="宋体" w:cs="宋体"/>
          <w:b/>
          <w:bCs/>
          <w:color w:val="auto"/>
          <w:sz w:val="24"/>
          <w:szCs w:val="18"/>
          <w:highlight w:val="none"/>
        </w:rPr>
      </w:pPr>
    </w:p>
    <w:p w14:paraId="29025B00">
      <w:pPr>
        <w:rPr>
          <w:rFonts w:hint="eastAsia" w:ascii="宋体" w:hAnsi="宋体" w:eastAsia="宋体" w:cs="宋体"/>
          <w:b/>
          <w:bCs/>
          <w:color w:val="auto"/>
          <w:sz w:val="24"/>
          <w:szCs w:val="18"/>
          <w:highlight w:val="none"/>
        </w:rPr>
      </w:pPr>
    </w:p>
    <w:p w14:paraId="327411FD">
      <w:pPr>
        <w:rPr>
          <w:rFonts w:hint="eastAsia" w:ascii="宋体" w:hAnsi="宋体" w:eastAsia="宋体" w:cs="宋体"/>
          <w:b/>
          <w:bCs/>
          <w:color w:val="auto"/>
          <w:sz w:val="24"/>
          <w:szCs w:val="18"/>
          <w:highlight w:val="none"/>
        </w:rPr>
      </w:pPr>
    </w:p>
    <w:p w14:paraId="558734E9">
      <w:pPr>
        <w:rPr>
          <w:rFonts w:hint="eastAsia" w:ascii="宋体" w:hAnsi="宋体" w:eastAsia="宋体" w:cs="宋体"/>
          <w:b/>
          <w:bCs/>
          <w:color w:val="auto"/>
          <w:sz w:val="24"/>
          <w:szCs w:val="18"/>
          <w:highlight w:val="none"/>
        </w:rPr>
      </w:pPr>
    </w:p>
    <w:p w14:paraId="578656AA">
      <w:pPr>
        <w:rPr>
          <w:rFonts w:hint="eastAsia" w:ascii="宋体" w:hAnsi="宋体" w:eastAsia="宋体" w:cs="宋体"/>
          <w:b/>
          <w:bCs/>
          <w:color w:val="auto"/>
          <w:sz w:val="24"/>
          <w:szCs w:val="18"/>
          <w:highlight w:val="none"/>
        </w:rPr>
      </w:pPr>
    </w:p>
    <w:p w14:paraId="1443A169">
      <w:pPr>
        <w:rPr>
          <w:rFonts w:hint="eastAsia" w:ascii="宋体" w:hAnsi="宋体" w:eastAsia="宋体" w:cs="宋体"/>
          <w:b/>
          <w:bCs/>
          <w:color w:val="auto"/>
          <w:sz w:val="24"/>
          <w:szCs w:val="18"/>
          <w:highlight w:val="none"/>
        </w:rPr>
      </w:pPr>
    </w:p>
    <w:p w14:paraId="150CE813">
      <w:pPr>
        <w:rPr>
          <w:rFonts w:hint="eastAsia" w:ascii="宋体" w:hAnsi="宋体" w:eastAsia="宋体" w:cs="宋体"/>
          <w:b/>
          <w:bCs/>
          <w:color w:val="auto"/>
          <w:sz w:val="24"/>
          <w:szCs w:val="18"/>
          <w:highlight w:val="none"/>
        </w:rPr>
      </w:pPr>
    </w:p>
    <w:p w14:paraId="20581AED">
      <w:pPr>
        <w:rPr>
          <w:rFonts w:hint="eastAsia" w:ascii="宋体" w:hAnsi="宋体" w:eastAsia="宋体" w:cs="宋体"/>
          <w:b/>
          <w:bCs/>
          <w:color w:val="auto"/>
          <w:sz w:val="24"/>
          <w:szCs w:val="18"/>
          <w:highlight w:val="none"/>
        </w:rPr>
      </w:pPr>
    </w:p>
    <w:p w14:paraId="4E360220">
      <w:pPr>
        <w:rPr>
          <w:rFonts w:hint="eastAsia" w:ascii="宋体" w:hAnsi="宋体" w:eastAsia="宋体" w:cs="宋体"/>
          <w:b/>
          <w:bCs/>
          <w:color w:val="auto"/>
          <w:sz w:val="24"/>
          <w:szCs w:val="18"/>
          <w:highlight w:val="none"/>
        </w:rPr>
      </w:pPr>
    </w:p>
    <w:p w14:paraId="57B6DA12">
      <w:pPr>
        <w:rPr>
          <w:rFonts w:hint="eastAsia" w:ascii="宋体" w:hAnsi="宋体" w:eastAsia="宋体" w:cs="宋体"/>
          <w:b/>
          <w:bCs/>
          <w:color w:val="auto"/>
          <w:sz w:val="24"/>
          <w:szCs w:val="18"/>
          <w:highlight w:val="none"/>
        </w:rPr>
      </w:pPr>
    </w:p>
    <w:p w14:paraId="326A4A77">
      <w:pPr>
        <w:rPr>
          <w:rFonts w:hint="eastAsia" w:ascii="宋体" w:hAnsi="宋体" w:eastAsia="宋体" w:cs="宋体"/>
          <w:b/>
          <w:bCs/>
          <w:color w:val="auto"/>
          <w:sz w:val="24"/>
          <w:szCs w:val="18"/>
          <w:highlight w:val="none"/>
        </w:rPr>
      </w:pPr>
    </w:p>
    <w:p w14:paraId="39496819">
      <w:pPr>
        <w:rPr>
          <w:rFonts w:hint="eastAsia" w:ascii="宋体" w:hAnsi="宋体" w:eastAsia="宋体" w:cs="宋体"/>
          <w:b/>
          <w:bCs/>
          <w:color w:val="auto"/>
          <w:sz w:val="24"/>
          <w:szCs w:val="18"/>
          <w:highlight w:val="none"/>
        </w:rPr>
      </w:pPr>
    </w:p>
    <w:p w14:paraId="0C6B0306">
      <w:pPr>
        <w:rPr>
          <w:rFonts w:hint="eastAsia" w:ascii="宋体" w:hAnsi="宋体" w:eastAsia="宋体" w:cs="宋体"/>
          <w:b/>
          <w:bCs/>
          <w:color w:val="auto"/>
          <w:sz w:val="24"/>
          <w:szCs w:val="18"/>
          <w:highlight w:val="none"/>
        </w:rPr>
      </w:pPr>
    </w:p>
    <w:p w14:paraId="4407D149">
      <w:pPr>
        <w:rPr>
          <w:rFonts w:hint="eastAsia" w:ascii="宋体" w:hAnsi="宋体" w:eastAsia="宋体" w:cs="宋体"/>
          <w:b/>
          <w:bCs/>
          <w:color w:val="auto"/>
          <w:sz w:val="24"/>
          <w:szCs w:val="18"/>
          <w:highlight w:val="none"/>
        </w:rPr>
      </w:pPr>
    </w:p>
    <w:p w14:paraId="4A6AE438">
      <w:pPr>
        <w:rPr>
          <w:rFonts w:hint="eastAsia" w:ascii="宋体" w:hAnsi="宋体" w:eastAsia="宋体" w:cs="宋体"/>
          <w:b/>
          <w:bCs/>
          <w:color w:val="auto"/>
          <w:sz w:val="24"/>
          <w:szCs w:val="18"/>
          <w:highlight w:val="none"/>
        </w:rPr>
      </w:pPr>
    </w:p>
    <w:p w14:paraId="7381DB3D">
      <w:pPr>
        <w:rPr>
          <w:rFonts w:hint="eastAsia" w:ascii="宋体" w:hAnsi="宋体" w:eastAsia="宋体" w:cs="宋体"/>
          <w:b/>
          <w:bCs/>
          <w:color w:val="auto"/>
          <w:sz w:val="24"/>
          <w:szCs w:val="18"/>
          <w:highlight w:val="none"/>
        </w:rPr>
      </w:pPr>
    </w:p>
    <w:p w14:paraId="62A91600">
      <w:pPr>
        <w:rPr>
          <w:rFonts w:hint="eastAsia" w:ascii="宋体" w:hAnsi="宋体" w:eastAsia="宋体" w:cs="宋体"/>
          <w:b/>
          <w:bCs/>
          <w:color w:val="auto"/>
          <w:sz w:val="24"/>
          <w:szCs w:val="18"/>
          <w:highlight w:val="none"/>
        </w:rPr>
      </w:pPr>
    </w:p>
    <w:p w14:paraId="7FD692A8">
      <w:pPr>
        <w:rPr>
          <w:rFonts w:hint="eastAsia" w:ascii="宋体" w:hAnsi="宋体" w:eastAsia="宋体" w:cs="宋体"/>
          <w:b/>
          <w:bCs/>
          <w:color w:val="auto"/>
          <w:sz w:val="24"/>
          <w:szCs w:val="18"/>
          <w:highlight w:val="none"/>
        </w:rPr>
      </w:pPr>
    </w:p>
    <w:p w14:paraId="61B50738">
      <w:pPr>
        <w:rPr>
          <w:rFonts w:hint="eastAsia" w:ascii="宋体" w:hAnsi="宋体" w:eastAsia="宋体" w:cs="宋体"/>
          <w:b/>
          <w:bCs/>
          <w:color w:val="auto"/>
          <w:sz w:val="24"/>
          <w:szCs w:val="18"/>
          <w:highlight w:val="none"/>
        </w:rPr>
      </w:pPr>
    </w:p>
    <w:p w14:paraId="04E47F14">
      <w:pPr>
        <w:rPr>
          <w:rFonts w:hint="eastAsia" w:ascii="宋体" w:hAnsi="宋体" w:eastAsia="宋体" w:cs="宋体"/>
          <w:b/>
          <w:bCs/>
          <w:color w:val="auto"/>
          <w:sz w:val="24"/>
          <w:szCs w:val="18"/>
          <w:highlight w:val="none"/>
        </w:rPr>
      </w:pPr>
    </w:p>
    <w:p w14:paraId="67D14D76">
      <w:pPr>
        <w:rPr>
          <w:rFonts w:hint="eastAsia" w:ascii="宋体" w:hAnsi="宋体" w:eastAsia="宋体" w:cs="宋体"/>
          <w:b/>
          <w:bCs/>
          <w:color w:val="auto"/>
          <w:sz w:val="24"/>
          <w:szCs w:val="18"/>
          <w:highlight w:val="none"/>
        </w:rPr>
      </w:pPr>
      <w:r>
        <w:rPr>
          <w:rFonts w:hint="eastAsia" w:ascii="宋体" w:hAnsi="宋体" w:eastAsia="宋体" w:cs="宋体"/>
          <w:b/>
          <w:bCs/>
          <w:color w:val="auto"/>
          <w:sz w:val="24"/>
          <w:szCs w:val="18"/>
          <w:highlight w:val="none"/>
        </w:rPr>
        <w:t>格式</w:t>
      </w:r>
      <w:r>
        <w:rPr>
          <w:rFonts w:hint="eastAsia" w:ascii="宋体" w:hAnsi="宋体" w:eastAsia="宋体" w:cs="宋体"/>
          <w:b/>
          <w:bCs/>
          <w:color w:val="auto"/>
          <w:sz w:val="24"/>
          <w:szCs w:val="18"/>
          <w:highlight w:val="none"/>
          <w:lang w:val="en-US" w:eastAsia="zh-CN"/>
        </w:rPr>
        <w:t>6</w:t>
      </w:r>
      <w:r>
        <w:rPr>
          <w:rFonts w:hint="eastAsia" w:ascii="宋体" w:hAnsi="宋体" w:eastAsia="宋体" w:cs="宋体"/>
          <w:b/>
          <w:bCs/>
          <w:color w:val="auto"/>
          <w:sz w:val="24"/>
          <w:szCs w:val="18"/>
          <w:highlight w:val="none"/>
        </w:rPr>
        <w:t>：</w:t>
      </w:r>
      <w:r>
        <w:rPr>
          <w:rFonts w:hint="eastAsia" w:ascii="宋体" w:hAnsi="宋体" w:eastAsia="宋体" w:cs="宋体"/>
          <w:b/>
          <w:bCs/>
          <w:color w:val="auto"/>
          <w:sz w:val="24"/>
          <w:szCs w:val="18"/>
          <w:highlight w:val="none"/>
          <w:lang w:val="en-US" w:eastAsia="zh-CN"/>
        </w:rPr>
        <w:t>应急工作预案</w:t>
      </w:r>
    </w:p>
    <w:p w14:paraId="18519321">
      <w:pPr>
        <w:rPr>
          <w:rFonts w:hint="eastAsia" w:ascii="宋体" w:hAnsi="宋体" w:eastAsia="宋体" w:cs="宋体"/>
          <w:b/>
          <w:bCs/>
          <w:color w:val="auto"/>
          <w:sz w:val="24"/>
          <w:szCs w:val="18"/>
          <w:highlight w:val="none"/>
          <w:lang w:val="en-US" w:eastAsia="zh-CN"/>
        </w:rPr>
      </w:pPr>
    </w:p>
    <w:p w14:paraId="3917FAD9">
      <w:pPr>
        <w:snapToGrid w:val="0"/>
        <w:spacing w:before="120" w:beforeLines="50" w:line="360" w:lineRule="auto"/>
        <w:jc w:val="center"/>
        <w:rPr>
          <w:rFonts w:hint="eastAsia" w:ascii="Arial" w:hAnsi="Arial" w:eastAsia="宋体" w:cs="Times New Roman"/>
          <w:b/>
          <w:bCs/>
          <w:sz w:val="32"/>
          <w:szCs w:val="32"/>
          <w:lang w:val="en-US" w:eastAsia="zh-CN" w:bidi="ar-SA"/>
        </w:rPr>
      </w:pPr>
      <w:r>
        <w:rPr>
          <w:rFonts w:hint="eastAsia" w:ascii="Arial" w:hAnsi="Arial" w:eastAsia="宋体" w:cs="Times New Roman"/>
          <w:b/>
          <w:bCs/>
          <w:sz w:val="32"/>
          <w:szCs w:val="32"/>
          <w:lang w:val="en-US" w:eastAsia="zh-CN" w:bidi="ar-SA"/>
        </w:rPr>
        <w:t>应急工作预案</w:t>
      </w:r>
    </w:p>
    <w:p w14:paraId="54A97563">
      <w:pPr>
        <w:wordWrap w:val="0"/>
        <w:autoSpaceDE w:val="0"/>
        <w:spacing w:line="360" w:lineRule="auto"/>
        <w:jc w:val="center"/>
        <w:rPr>
          <w:rFonts w:hint="eastAsia"/>
          <w:sz w:val="28"/>
          <w:szCs w:val="28"/>
        </w:rPr>
      </w:pPr>
      <w:r>
        <w:rPr>
          <w:rFonts w:hint="eastAsia"/>
          <w:sz w:val="28"/>
          <w:szCs w:val="28"/>
        </w:rPr>
        <w:t>(格式自拟)</w:t>
      </w:r>
    </w:p>
    <w:p w14:paraId="29F57C4C">
      <w:pPr>
        <w:rPr>
          <w:rFonts w:hint="eastAsia" w:ascii="宋体" w:hAnsi="宋体" w:eastAsia="宋体" w:cs="宋体"/>
          <w:b/>
          <w:bCs/>
          <w:color w:val="auto"/>
          <w:sz w:val="24"/>
          <w:szCs w:val="18"/>
          <w:highlight w:val="none"/>
          <w:lang w:val="en-US" w:eastAsia="zh-CN"/>
        </w:rPr>
      </w:pPr>
    </w:p>
    <w:p w14:paraId="301E6E7C">
      <w:pPr>
        <w:rPr>
          <w:rFonts w:hint="default" w:eastAsiaTheme="minorEastAsia"/>
          <w:lang w:val="en-US" w:eastAsia="zh-CN"/>
        </w:rPr>
      </w:pPr>
    </w:p>
    <w:sectPr>
      <w:pgSz w:w="11907" w:h="16840"/>
      <w:pgMar w:top="1417" w:right="1134" w:bottom="1417" w:left="1701" w:header="1134" w:footer="850" w:gutter="0"/>
      <w:pgBorders>
        <w:top w:val="none" w:sz="0" w:space="0"/>
        <w:left w:val="none" w:sz="0" w:space="0"/>
        <w:bottom w:val="none" w:sz="0" w:space="0"/>
        <w:right w:val="none" w:sz="0" w:space="0"/>
      </w:pgBorders>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roman"/>
    <w:pitch w:val="default"/>
    <w:sig w:usb0="E0002EFF" w:usb1="C000785B" w:usb2="00000009" w:usb3="00000000" w:csb0="400001FF" w:csb1="FFFF0000"/>
  </w:font>
  <w:font w:name="宋体">
    <w:panose1 w:val="02010600030101010101"/>
    <w:charset w:val="3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2312">
    <w:altName w:val="仿宋"/>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仿宋_GBK">
    <w:altName w:val="微软雅黑"/>
    <w:panose1 w:val="03000509000000000000"/>
    <w:charset w:val="86"/>
    <w:family w:val="auto"/>
    <w:pitch w:val="default"/>
    <w:sig w:usb0="00000000" w:usb1="00000000" w:usb2="00000000" w:usb3="00000000" w:csb0="00040000" w:csb1="00000000"/>
  </w:font>
  <w:font w:name="KSOFE8859BCF">
    <w:panose1 w:val="02010609060101010101"/>
    <w:charset w:val="86"/>
    <w:family w:val="auto"/>
    <w:pitch w:val="default"/>
    <w:sig w:usb0="00000001" w:usb1="00000000" w:usb2="00000000" w:usb3="00000000" w:csb0="00040001" w:csb1="00000000"/>
  </w:font>
  <w:font w:name="KSOFE8852770">
    <w:panose1 w:val="02010609060101010101"/>
    <w:charset w:val="86"/>
    <w:family w:val="auto"/>
    <w:pitch w:val="default"/>
    <w:sig w:usb0="00000001" w:usb1="00000000" w:usb2="00000000" w:usb3="00000000" w:csb0="00040001" w:csb1="00000000"/>
  </w:font>
  <w:font w:name="KSOFD8A28030">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A4B8B9">
    <w:pPr>
      <w:pStyle w:val="10"/>
      <w:framePr w:wrap="around" w:vAnchor="text" w:hAnchor="margin" w:xAlign="right" w:y="1"/>
      <w:rPr>
        <w:rStyle w:val="19"/>
      </w:rPr>
    </w:pPr>
    <w:r>
      <w:fldChar w:fldCharType="begin"/>
    </w:r>
    <w:r>
      <w:rPr>
        <w:rStyle w:val="19"/>
      </w:rPr>
      <w:instrText xml:space="preserve">PAGE  </w:instrText>
    </w:r>
    <w:r>
      <w:fldChar w:fldCharType="end"/>
    </w:r>
  </w:p>
  <w:p w14:paraId="56341589">
    <w:pPr>
      <w:pStyle w:val="10"/>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280CD8">
    <w:pPr>
      <w:pStyle w:val="1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CFE9948">
                          <w:pPr>
                            <w:pStyle w:val="10"/>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0CFE9948">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99734">
    <w:pPr>
      <w:pStyle w:val="1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3CB73C7">
                          <w:pPr>
                            <w:pStyle w:val="10"/>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style="mso-fit-shape-to-text:t;">
                <w:txbxContent>
                  <w:p w14:paraId="23CB73C7">
                    <w:pPr>
                      <w:pStyle w:val="10"/>
                    </w:pPr>
                    <w:r>
                      <w:fldChar w:fldCharType="begin"/>
                    </w:r>
                    <w:r>
                      <w:instrText xml:space="preserve"> PAGE  \* MERGEFORMAT </w:instrText>
                    </w:r>
                    <w:r>
                      <w:fldChar w:fldCharType="separate"/>
                    </w:r>
                    <w:r>
                      <w:t>2</w:t>
                    </w:r>
                    <w:r>
                      <w:fldChar w:fldCharType="end"/>
                    </w:r>
                  </w:p>
                </w:txbxContent>
              </v:textbox>
            </v:shape>
          </w:pict>
        </mc:Fallback>
      </mc:AlternateContent>
    </w:r>
    <w:r>
      <w:rPr>
        <w:rFonts w:ascii="Times New Roman"/>
      </w:rPr>
      <w:drawing>
        <wp:anchor distT="0" distB="0" distL="114300" distR="114300" simplePos="0" relativeHeight="251659264" behindDoc="1" locked="0" layoutInCell="1" allowOverlap="1">
          <wp:simplePos x="0" y="0"/>
          <wp:positionH relativeFrom="column">
            <wp:posOffset>7005955</wp:posOffset>
          </wp:positionH>
          <wp:positionV relativeFrom="page">
            <wp:posOffset>6605270</wp:posOffset>
          </wp:positionV>
          <wp:extent cx="1592580" cy="510540"/>
          <wp:effectExtent l="0" t="0" r="7620" b="3810"/>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1"/>
                  <a:stretch>
                    <a:fillRect/>
                  </a:stretch>
                </pic:blipFill>
                <pic:spPr>
                  <a:xfrm>
                    <a:off x="0" y="0"/>
                    <a:ext cx="1592580" cy="510540"/>
                  </a:xfrm>
                  <a:prstGeom prst="rect">
                    <a:avLst/>
                  </a:prstGeom>
                  <a:noFill/>
                  <a:ln>
                    <a:noFill/>
                  </a:ln>
                </pic:spPr>
              </pic:pic>
            </a:graphicData>
          </a:graphic>
        </wp:anchor>
      </w:drawing>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919317">
    <w:pPr>
      <w:pStyle w:val="11"/>
      <w:jc w:val="left"/>
      <w:rPr>
        <w:rFonts w:hint="default" w:ascii="宋体" w:hAnsi="宋体" w:cs="宋体"/>
        <w:lang w:val="en-US"/>
      </w:rPr>
    </w:pPr>
    <w:r>
      <w:rPr>
        <w:rFonts w:hint="eastAsia"/>
        <w:b/>
        <w:sz w:val="21"/>
        <w:szCs w:val="21"/>
        <w:lang w:val="en-US" w:eastAsia="zh-CN"/>
      </w:rPr>
      <w:t>剑川县生活垃圾填埋场渗滤液处理站市场化运营项目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D12071"/>
    <w:multiLevelType w:val="multilevel"/>
    <w:tmpl w:val="B3D12071"/>
    <w:lvl w:ilvl="0" w:tentative="0">
      <w:start w:val="1"/>
      <w:numFmt w:val="chineseCounting"/>
      <w:suff w:val="nothing"/>
      <w:lvlText w:val="%1、"/>
      <w:lvlJc w:val="left"/>
      <w:pPr>
        <w:ind w:left="0" w:firstLine="420"/>
      </w:pPr>
      <w:rPr>
        <w:rFonts w:hint="eastAsia"/>
        <w:sz w:val="24"/>
        <w:szCs w:val="24"/>
      </w:rPr>
    </w:lvl>
    <w:lvl w:ilvl="1" w:tentative="0">
      <w:start w:val="1"/>
      <w:numFmt w:val="decimal"/>
      <w:suff w:val="nothing"/>
      <w:lvlText w:val="%2．"/>
      <w:lvlJc w:val="left"/>
      <w:pPr>
        <w:ind w:left="0" w:firstLine="420"/>
      </w:pPr>
      <w:rPr>
        <w:rFonts w:hint="eastAsia"/>
        <w:i w:val="0"/>
        <w:iCs w:val="0"/>
        <w:u w:val="none"/>
      </w:rPr>
    </w:lvl>
    <w:lvl w:ilvl="2" w:tentative="0">
      <w:start w:val="1"/>
      <w:numFmt w:val="decimal"/>
      <w:suff w:val="nothing"/>
      <w:lvlText w:val="（%3）"/>
      <w:lvlJc w:val="left"/>
      <w:pPr>
        <w:ind w:left="0" w:firstLine="420"/>
      </w:pPr>
      <w:rPr>
        <w:rFonts w:hint="eastAsia"/>
      </w:rPr>
    </w:lvl>
    <w:lvl w:ilvl="3" w:tentative="0">
      <w:start w:val="1"/>
      <w:numFmt w:val="decimalEnclosedCircleChinese"/>
      <w:suff w:val="nothing"/>
      <w:lvlText w:val="%4"/>
      <w:lvlJc w:val="left"/>
      <w:pPr>
        <w:ind w:left="0" w:firstLine="420"/>
      </w:pPr>
      <w:rPr>
        <w:rFonts w:hint="eastAsia"/>
        <w:i w:val="0"/>
        <w:iCs w:val="0"/>
      </w:rPr>
    </w:lvl>
    <w:lvl w:ilvl="4" w:tentative="0">
      <w:start w:val="1"/>
      <w:numFmt w:val="decimal"/>
      <w:suff w:val="nothing"/>
      <w:lvlText w:val="%5）"/>
      <w:lvlJc w:val="left"/>
      <w:pPr>
        <w:ind w:left="0" w:firstLine="420"/>
      </w:pPr>
      <w:rPr>
        <w:rFonts w:hint="eastAsia"/>
      </w:rPr>
    </w:lvl>
    <w:lvl w:ilvl="5" w:tentative="0">
      <w:start w:val="1"/>
      <w:numFmt w:val="lowerLetter"/>
      <w:suff w:val="nothing"/>
      <w:lvlText w:val="%6．"/>
      <w:lvlJc w:val="left"/>
      <w:pPr>
        <w:ind w:left="0" w:firstLine="420"/>
      </w:pPr>
      <w:rPr>
        <w:rFonts w:hint="eastAsia"/>
      </w:rPr>
    </w:lvl>
    <w:lvl w:ilvl="6" w:tentative="0">
      <w:start w:val="1"/>
      <w:numFmt w:val="lowerLetter"/>
      <w:suff w:val="nothing"/>
      <w:lvlText w:val="%7）"/>
      <w:lvlJc w:val="left"/>
      <w:pPr>
        <w:ind w:left="0" w:firstLine="420"/>
      </w:pPr>
      <w:rPr>
        <w:rFonts w:hint="eastAsia"/>
      </w:rPr>
    </w:lvl>
    <w:lvl w:ilvl="7" w:tentative="0">
      <w:start w:val="1"/>
      <w:numFmt w:val="lowerRoman"/>
      <w:suff w:val="nothing"/>
      <w:lvlText w:val="%8．"/>
      <w:lvlJc w:val="left"/>
      <w:pPr>
        <w:ind w:left="0" w:firstLine="420"/>
      </w:pPr>
      <w:rPr>
        <w:rFonts w:hint="eastAsia"/>
      </w:rPr>
    </w:lvl>
    <w:lvl w:ilvl="8" w:tentative="0">
      <w:start w:val="1"/>
      <w:numFmt w:val="lowerRoman"/>
      <w:suff w:val="nothing"/>
      <w:lvlText w:val="%9）"/>
      <w:lvlJc w:val="left"/>
      <w:pPr>
        <w:ind w:left="0" w:firstLine="420"/>
      </w:pPr>
      <w:rPr>
        <w:rFonts w:hint="eastAsia"/>
      </w:rPr>
    </w:lvl>
  </w:abstractNum>
  <w:abstractNum w:abstractNumId="1">
    <w:nsid w:val="C21A93B8"/>
    <w:multiLevelType w:val="singleLevel"/>
    <w:tmpl w:val="C21A93B8"/>
    <w:lvl w:ilvl="0" w:tentative="0">
      <w:start w:val="1"/>
      <w:numFmt w:val="chineseCounting"/>
      <w:suff w:val="nothing"/>
      <w:lvlText w:val="%1、"/>
      <w:lvlJc w:val="left"/>
      <w:rPr>
        <w:rFonts w:hint="eastAsia"/>
      </w:rPr>
    </w:lvl>
  </w:abstractNum>
  <w:abstractNum w:abstractNumId="2">
    <w:nsid w:val="C3F89EA5"/>
    <w:multiLevelType w:val="singleLevel"/>
    <w:tmpl w:val="C3F89EA5"/>
    <w:lvl w:ilvl="0" w:tentative="0">
      <w:start w:val="2"/>
      <w:numFmt w:val="chineseCounting"/>
      <w:suff w:val="nothing"/>
      <w:lvlText w:val="%1、"/>
      <w:lvlJc w:val="left"/>
      <w:rPr>
        <w:rFonts w:hint="eastAsia"/>
      </w:rPr>
    </w:lvl>
  </w:abstractNum>
  <w:abstractNum w:abstractNumId="3">
    <w:nsid w:val="CFD6E991"/>
    <w:multiLevelType w:val="singleLevel"/>
    <w:tmpl w:val="CFD6E991"/>
    <w:lvl w:ilvl="0" w:tentative="0">
      <w:start w:val="1"/>
      <w:numFmt w:val="chineseCounting"/>
      <w:suff w:val="nothing"/>
      <w:lvlText w:val="%1、"/>
      <w:lvlJc w:val="left"/>
      <w:pPr>
        <w:ind w:left="0" w:firstLine="420"/>
      </w:pPr>
      <w:rPr>
        <w:rFonts w:hint="eastAsia"/>
      </w:rPr>
    </w:lvl>
  </w:abstractNum>
  <w:abstractNum w:abstractNumId="4">
    <w:nsid w:val="00617DFE"/>
    <w:multiLevelType w:val="singleLevel"/>
    <w:tmpl w:val="00617DFE"/>
    <w:lvl w:ilvl="0" w:tentative="0">
      <w:start w:val="11"/>
      <w:numFmt w:val="decimal"/>
      <w:suff w:val="nothing"/>
      <w:lvlText w:val="%1、"/>
      <w:lvlJc w:val="left"/>
    </w:lvl>
  </w:abstractNum>
  <w:abstractNum w:abstractNumId="5">
    <w:nsid w:val="174EE74E"/>
    <w:multiLevelType w:val="singleLevel"/>
    <w:tmpl w:val="174EE74E"/>
    <w:lvl w:ilvl="0" w:tentative="0">
      <w:start w:val="29"/>
      <w:numFmt w:val="decimal"/>
      <w:suff w:val="nothing"/>
      <w:lvlText w:val="%1、"/>
      <w:lvlJc w:val="left"/>
    </w:lvl>
  </w:abstractNum>
  <w:abstractNum w:abstractNumId="6">
    <w:nsid w:val="21677930"/>
    <w:multiLevelType w:val="singleLevel"/>
    <w:tmpl w:val="21677930"/>
    <w:lvl w:ilvl="0" w:tentative="0">
      <w:start w:val="1"/>
      <w:numFmt w:val="decimal"/>
      <w:suff w:val="nothing"/>
      <w:lvlText w:val="%1、"/>
      <w:lvlJc w:val="left"/>
    </w:lvl>
  </w:abstractNum>
  <w:abstractNum w:abstractNumId="7">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8">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484230EF"/>
    <w:multiLevelType w:val="multilevel"/>
    <w:tmpl w:val="484230EF"/>
    <w:lvl w:ilvl="0" w:tentative="0">
      <w:start w:val="1"/>
      <w:numFmt w:val="chineseCounting"/>
      <w:suff w:val="nothing"/>
      <w:lvlText w:val="第%1章 "/>
      <w:lvlJc w:val="left"/>
      <w:pPr>
        <w:ind w:left="0" w:firstLine="402"/>
      </w:pPr>
      <w:rPr>
        <w:rFonts w:hint="eastAsia"/>
        <w:color w:val="auto"/>
        <w:sz w:val="36"/>
        <w:szCs w:val="36"/>
      </w:rPr>
    </w:lvl>
    <w:lvl w:ilvl="1" w:tentative="0">
      <w:start w:val="1"/>
      <w:numFmt w:val="chineseCounting"/>
      <w:suff w:val="nothing"/>
      <w:lvlText w:val="%2、"/>
      <w:lvlJc w:val="left"/>
      <w:pPr>
        <w:ind w:left="228" w:firstLine="402"/>
      </w:pPr>
      <w:rPr>
        <w:rFonts w:hint="eastAsia"/>
        <w:sz w:val="28"/>
        <w:szCs w:val="28"/>
      </w:rPr>
    </w:lvl>
    <w:lvl w:ilvl="2" w:tentative="0">
      <w:start w:val="1"/>
      <w:numFmt w:val="decimal"/>
      <w:suff w:val="nothing"/>
      <w:lvlText w:val="%3．"/>
      <w:lvlJc w:val="left"/>
      <w:pPr>
        <w:ind w:left="0" w:firstLine="402"/>
      </w:pPr>
      <w:rPr>
        <w:rFonts w:hint="default"/>
        <w:sz w:val="24"/>
        <w:szCs w:val="24"/>
      </w:rPr>
    </w:lvl>
    <w:lvl w:ilvl="3" w:tentative="0">
      <w:start w:val="1"/>
      <w:numFmt w:val="decimal"/>
      <w:suff w:val="nothing"/>
      <w:lvlText w:val="（%4）"/>
      <w:lvlJc w:val="left"/>
      <w:pPr>
        <w:ind w:left="0" w:firstLine="402"/>
      </w:pPr>
      <w:rPr>
        <w:rFonts w:hint="default"/>
        <w:sz w:val="24"/>
        <w:szCs w:val="24"/>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0">
    <w:nsid w:val="63852405"/>
    <w:multiLevelType w:val="multilevel"/>
    <w:tmpl w:val="63852405"/>
    <w:lvl w:ilvl="0" w:tentative="0">
      <w:start w:val="1"/>
      <w:numFmt w:val="decimal"/>
      <w:lvlText w:val="%1."/>
      <w:lvlJc w:val="left"/>
      <w:pPr>
        <w:tabs>
          <w:tab w:val="left" w:pos="779"/>
        </w:tabs>
        <w:ind w:left="779" w:hanging="420"/>
      </w:pPr>
      <w:rPr>
        <w:rFonts w:hint="default"/>
        <w:sz w:val="20"/>
        <w:szCs w:val="20"/>
      </w:rPr>
    </w:lvl>
    <w:lvl w:ilvl="1" w:tentative="0">
      <w:start w:val="1"/>
      <w:numFmt w:val="lowerLetter"/>
      <w:lvlText w:val="%2)"/>
      <w:lvlJc w:val="left"/>
      <w:pPr>
        <w:tabs>
          <w:tab w:val="left" w:pos="1199"/>
        </w:tabs>
        <w:ind w:left="1199" w:hanging="420"/>
      </w:pPr>
    </w:lvl>
    <w:lvl w:ilvl="2" w:tentative="0">
      <w:start w:val="1"/>
      <w:numFmt w:val="lowerRoman"/>
      <w:lvlText w:val="%3."/>
      <w:lvlJc w:val="right"/>
      <w:pPr>
        <w:tabs>
          <w:tab w:val="left" w:pos="1619"/>
        </w:tabs>
        <w:ind w:left="1619" w:hanging="420"/>
      </w:pPr>
    </w:lvl>
    <w:lvl w:ilvl="3" w:tentative="0">
      <w:start w:val="1"/>
      <w:numFmt w:val="decimal"/>
      <w:lvlText w:val="%4."/>
      <w:lvlJc w:val="left"/>
      <w:pPr>
        <w:tabs>
          <w:tab w:val="left" w:pos="2039"/>
        </w:tabs>
        <w:ind w:left="2039" w:hanging="420"/>
      </w:pPr>
    </w:lvl>
    <w:lvl w:ilvl="4" w:tentative="0">
      <w:start w:val="1"/>
      <w:numFmt w:val="lowerLetter"/>
      <w:lvlText w:val="%5)"/>
      <w:lvlJc w:val="left"/>
      <w:pPr>
        <w:tabs>
          <w:tab w:val="left" w:pos="2459"/>
        </w:tabs>
        <w:ind w:left="2459" w:hanging="420"/>
      </w:pPr>
    </w:lvl>
    <w:lvl w:ilvl="5" w:tentative="0">
      <w:start w:val="1"/>
      <w:numFmt w:val="lowerRoman"/>
      <w:lvlText w:val="%6."/>
      <w:lvlJc w:val="right"/>
      <w:pPr>
        <w:tabs>
          <w:tab w:val="left" w:pos="2879"/>
        </w:tabs>
        <w:ind w:left="2879" w:hanging="420"/>
      </w:pPr>
    </w:lvl>
    <w:lvl w:ilvl="6" w:tentative="0">
      <w:start w:val="1"/>
      <w:numFmt w:val="decimal"/>
      <w:lvlText w:val="%7."/>
      <w:lvlJc w:val="left"/>
      <w:pPr>
        <w:tabs>
          <w:tab w:val="left" w:pos="3299"/>
        </w:tabs>
        <w:ind w:left="3299" w:hanging="420"/>
      </w:pPr>
    </w:lvl>
    <w:lvl w:ilvl="7" w:tentative="0">
      <w:start w:val="1"/>
      <w:numFmt w:val="lowerLetter"/>
      <w:lvlText w:val="%8)"/>
      <w:lvlJc w:val="left"/>
      <w:pPr>
        <w:tabs>
          <w:tab w:val="left" w:pos="3719"/>
        </w:tabs>
        <w:ind w:left="3719" w:hanging="420"/>
      </w:pPr>
    </w:lvl>
    <w:lvl w:ilvl="8" w:tentative="0">
      <w:start w:val="1"/>
      <w:numFmt w:val="lowerRoman"/>
      <w:lvlText w:val="%9."/>
      <w:lvlJc w:val="right"/>
      <w:pPr>
        <w:tabs>
          <w:tab w:val="left" w:pos="4139"/>
        </w:tabs>
        <w:ind w:left="4139" w:hanging="420"/>
      </w:pPr>
    </w:lvl>
  </w:abstractNum>
  <w:abstractNum w:abstractNumId="11">
    <w:nsid w:val="746CD15C"/>
    <w:multiLevelType w:val="multilevel"/>
    <w:tmpl w:val="746CD15C"/>
    <w:lvl w:ilvl="0" w:tentative="0">
      <w:start w:val="1"/>
      <w:numFmt w:val="chineseCounting"/>
      <w:suff w:val="nothing"/>
      <w:lvlText w:val="%1、"/>
      <w:lvlJc w:val="left"/>
      <w:pPr>
        <w:ind w:left="0" w:firstLine="420"/>
      </w:pPr>
      <w:rPr>
        <w:rFonts w:hint="eastAsia"/>
        <w:sz w:val="24"/>
        <w:szCs w:val="24"/>
      </w:rPr>
    </w:lvl>
    <w:lvl w:ilvl="1" w:tentative="0">
      <w:start w:val="1"/>
      <w:numFmt w:val="decimal"/>
      <w:suff w:val="nothing"/>
      <w:lvlText w:val="%2．"/>
      <w:lvlJc w:val="left"/>
      <w:pPr>
        <w:ind w:left="0" w:firstLine="420"/>
      </w:pPr>
      <w:rPr>
        <w:rFonts w:hint="eastAsia"/>
        <w:i w:val="0"/>
        <w:iCs w:val="0"/>
        <w:u w:val="none"/>
      </w:rPr>
    </w:lvl>
    <w:lvl w:ilvl="2" w:tentative="0">
      <w:start w:val="1"/>
      <w:numFmt w:val="decimal"/>
      <w:suff w:val="nothing"/>
      <w:lvlText w:val="（%3）"/>
      <w:lvlJc w:val="left"/>
      <w:pPr>
        <w:ind w:left="0" w:firstLine="420"/>
      </w:pPr>
      <w:rPr>
        <w:rFonts w:hint="eastAsia"/>
      </w:rPr>
    </w:lvl>
    <w:lvl w:ilvl="3" w:tentative="0">
      <w:start w:val="1"/>
      <w:numFmt w:val="decimalEnclosedCircleChinese"/>
      <w:suff w:val="nothing"/>
      <w:lvlText w:val="%4"/>
      <w:lvlJc w:val="left"/>
      <w:pPr>
        <w:ind w:left="0" w:firstLine="420"/>
      </w:pPr>
      <w:rPr>
        <w:rFonts w:hint="eastAsia"/>
        <w:i w:val="0"/>
        <w:iCs w:val="0"/>
      </w:rPr>
    </w:lvl>
    <w:lvl w:ilvl="4" w:tentative="0">
      <w:start w:val="1"/>
      <w:numFmt w:val="decimal"/>
      <w:suff w:val="nothing"/>
      <w:lvlText w:val="%5）"/>
      <w:lvlJc w:val="left"/>
      <w:pPr>
        <w:ind w:left="0" w:firstLine="420"/>
      </w:pPr>
      <w:rPr>
        <w:rFonts w:hint="eastAsia"/>
      </w:rPr>
    </w:lvl>
    <w:lvl w:ilvl="5" w:tentative="0">
      <w:start w:val="1"/>
      <w:numFmt w:val="lowerLetter"/>
      <w:suff w:val="nothing"/>
      <w:lvlText w:val="%6．"/>
      <w:lvlJc w:val="left"/>
      <w:pPr>
        <w:ind w:left="0" w:firstLine="420"/>
      </w:pPr>
      <w:rPr>
        <w:rFonts w:hint="eastAsia"/>
      </w:rPr>
    </w:lvl>
    <w:lvl w:ilvl="6" w:tentative="0">
      <w:start w:val="1"/>
      <w:numFmt w:val="lowerLetter"/>
      <w:suff w:val="nothing"/>
      <w:lvlText w:val="%7）"/>
      <w:lvlJc w:val="left"/>
      <w:pPr>
        <w:ind w:left="0" w:firstLine="420"/>
      </w:pPr>
      <w:rPr>
        <w:rFonts w:hint="eastAsia"/>
      </w:rPr>
    </w:lvl>
    <w:lvl w:ilvl="7" w:tentative="0">
      <w:start w:val="1"/>
      <w:numFmt w:val="lowerRoman"/>
      <w:suff w:val="nothing"/>
      <w:lvlText w:val="%8．"/>
      <w:lvlJc w:val="left"/>
      <w:pPr>
        <w:ind w:left="0" w:firstLine="420"/>
      </w:pPr>
      <w:rPr>
        <w:rFonts w:hint="eastAsia"/>
      </w:rPr>
    </w:lvl>
    <w:lvl w:ilvl="8" w:tentative="0">
      <w:start w:val="1"/>
      <w:numFmt w:val="lowerRoman"/>
      <w:suff w:val="nothing"/>
      <w:lvlText w:val="%9）"/>
      <w:lvlJc w:val="left"/>
      <w:pPr>
        <w:ind w:left="0" w:firstLine="420"/>
      </w:pPr>
      <w:rPr>
        <w:rFonts w:hint="eastAsia"/>
      </w:rPr>
    </w:lvl>
  </w:abstractNum>
  <w:abstractNum w:abstractNumId="12">
    <w:nsid w:val="758EE6AD"/>
    <w:multiLevelType w:val="singleLevel"/>
    <w:tmpl w:val="758EE6AD"/>
    <w:lvl w:ilvl="0" w:tentative="0">
      <w:start w:val="1"/>
      <w:numFmt w:val="decimal"/>
      <w:suff w:val="nothing"/>
      <w:lvlText w:val="%1、"/>
      <w:lvlJc w:val="left"/>
    </w:lvl>
  </w:abstractNum>
  <w:num w:numId="1">
    <w:abstractNumId w:val="9"/>
  </w:num>
  <w:num w:numId="2">
    <w:abstractNumId w:val="0"/>
  </w:num>
  <w:num w:numId="3">
    <w:abstractNumId w:val="11"/>
  </w:num>
  <w:num w:numId="4">
    <w:abstractNumId w:val="4"/>
  </w:num>
  <w:num w:numId="5">
    <w:abstractNumId w:val="5"/>
  </w:num>
  <w:num w:numId="6">
    <w:abstractNumId w:val="8"/>
  </w:num>
  <w:num w:numId="7">
    <w:abstractNumId w:val="2"/>
  </w:num>
  <w:num w:numId="8">
    <w:abstractNumId w:val="1"/>
  </w:num>
  <w:num w:numId="9">
    <w:abstractNumId w:val="12"/>
  </w:num>
  <w:num w:numId="10">
    <w:abstractNumId w:val="3"/>
  </w:num>
  <w:num w:numId="11">
    <w:abstractNumId w:val="7"/>
  </w:num>
  <w:num w:numId="12">
    <w:abstractNumId w:val="1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0868C2"/>
    <w:rsid w:val="003752C8"/>
    <w:rsid w:val="006A1A15"/>
    <w:rsid w:val="00D91EDB"/>
    <w:rsid w:val="013637D1"/>
    <w:rsid w:val="01981D96"/>
    <w:rsid w:val="022E26FA"/>
    <w:rsid w:val="02300221"/>
    <w:rsid w:val="02685C0C"/>
    <w:rsid w:val="02B32C00"/>
    <w:rsid w:val="046C4B65"/>
    <w:rsid w:val="053973EC"/>
    <w:rsid w:val="05614B95"/>
    <w:rsid w:val="0563090D"/>
    <w:rsid w:val="05AF3B52"/>
    <w:rsid w:val="06D002F7"/>
    <w:rsid w:val="06D51397"/>
    <w:rsid w:val="07015F71"/>
    <w:rsid w:val="074C2609"/>
    <w:rsid w:val="0847666C"/>
    <w:rsid w:val="08811C5D"/>
    <w:rsid w:val="08915791"/>
    <w:rsid w:val="089B6610"/>
    <w:rsid w:val="09120680"/>
    <w:rsid w:val="0A6D18E6"/>
    <w:rsid w:val="0AAF76F6"/>
    <w:rsid w:val="0AD27DEA"/>
    <w:rsid w:val="0C13189F"/>
    <w:rsid w:val="0C455357"/>
    <w:rsid w:val="0CDD2D53"/>
    <w:rsid w:val="0D933D59"/>
    <w:rsid w:val="0E010CC3"/>
    <w:rsid w:val="0E4A4226"/>
    <w:rsid w:val="0FDD63C0"/>
    <w:rsid w:val="10101691"/>
    <w:rsid w:val="10437036"/>
    <w:rsid w:val="10594DE6"/>
    <w:rsid w:val="11390774"/>
    <w:rsid w:val="11D72467"/>
    <w:rsid w:val="11F254F3"/>
    <w:rsid w:val="13023513"/>
    <w:rsid w:val="143A6CDD"/>
    <w:rsid w:val="15EF3AF7"/>
    <w:rsid w:val="167E55A7"/>
    <w:rsid w:val="179802E0"/>
    <w:rsid w:val="179E7583"/>
    <w:rsid w:val="18C474BD"/>
    <w:rsid w:val="1A7E4AD0"/>
    <w:rsid w:val="1AD42CA1"/>
    <w:rsid w:val="1B684130"/>
    <w:rsid w:val="1C4B14C5"/>
    <w:rsid w:val="1C6F7740"/>
    <w:rsid w:val="1C974D0A"/>
    <w:rsid w:val="1DFC3255"/>
    <w:rsid w:val="1E664171"/>
    <w:rsid w:val="1E71779F"/>
    <w:rsid w:val="20457135"/>
    <w:rsid w:val="21690AB9"/>
    <w:rsid w:val="22171248"/>
    <w:rsid w:val="2277734E"/>
    <w:rsid w:val="233F1C1A"/>
    <w:rsid w:val="23A64B10"/>
    <w:rsid w:val="23E7405F"/>
    <w:rsid w:val="243C084F"/>
    <w:rsid w:val="245426F3"/>
    <w:rsid w:val="24771887"/>
    <w:rsid w:val="248A15BB"/>
    <w:rsid w:val="251D40A6"/>
    <w:rsid w:val="26153106"/>
    <w:rsid w:val="261B5221"/>
    <w:rsid w:val="26DB60FD"/>
    <w:rsid w:val="280868C2"/>
    <w:rsid w:val="28687E65"/>
    <w:rsid w:val="28C01A4F"/>
    <w:rsid w:val="2B8E1990"/>
    <w:rsid w:val="2BEF7F55"/>
    <w:rsid w:val="2C015FA1"/>
    <w:rsid w:val="2D095047"/>
    <w:rsid w:val="2FB841CB"/>
    <w:rsid w:val="2FB950F4"/>
    <w:rsid w:val="30F46739"/>
    <w:rsid w:val="30F71D86"/>
    <w:rsid w:val="314B3E80"/>
    <w:rsid w:val="327613D0"/>
    <w:rsid w:val="3333106F"/>
    <w:rsid w:val="340A0022"/>
    <w:rsid w:val="345179FF"/>
    <w:rsid w:val="35926521"/>
    <w:rsid w:val="35D02BA5"/>
    <w:rsid w:val="35D85A37"/>
    <w:rsid w:val="37691503"/>
    <w:rsid w:val="38417D8A"/>
    <w:rsid w:val="3A316C8A"/>
    <w:rsid w:val="3BA743A8"/>
    <w:rsid w:val="3BF82E56"/>
    <w:rsid w:val="3D944C5D"/>
    <w:rsid w:val="3DAD4C4C"/>
    <w:rsid w:val="3DB931EA"/>
    <w:rsid w:val="3E290C9C"/>
    <w:rsid w:val="3F66358E"/>
    <w:rsid w:val="3F7E6670"/>
    <w:rsid w:val="40F260C6"/>
    <w:rsid w:val="42C121F4"/>
    <w:rsid w:val="43704296"/>
    <w:rsid w:val="45C049E4"/>
    <w:rsid w:val="46216785"/>
    <w:rsid w:val="46717A8D"/>
    <w:rsid w:val="49147135"/>
    <w:rsid w:val="49E32CDC"/>
    <w:rsid w:val="4B0E08CB"/>
    <w:rsid w:val="4B8A0E54"/>
    <w:rsid w:val="4C881413"/>
    <w:rsid w:val="4D5A3970"/>
    <w:rsid w:val="4DFA480C"/>
    <w:rsid w:val="4E5E123E"/>
    <w:rsid w:val="4E6D3230"/>
    <w:rsid w:val="4EA07161"/>
    <w:rsid w:val="4EAB421E"/>
    <w:rsid w:val="4FBE4E1A"/>
    <w:rsid w:val="50067498"/>
    <w:rsid w:val="51E3391E"/>
    <w:rsid w:val="52A443CF"/>
    <w:rsid w:val="53B651E3"/>
    <w:rsid w:val="54BC6CBF"/>
    <w:rsid w:val="54FF095A"/>
    <w:rsid w:val="56892BD1"/>
    <w:rsid w:val="571903F8"/>
    <w:rsid w:val="577259C8"/>
    <w:rsid w:val="5A5D3DD6"/>
    <w:rsid w:val="5B503CBD"/>
    <w:rsid w:val="5B81031A"/>
    <w:rsid w:val="5B94004E"/>
    <w:rsid w:val="5BD82550"/>
    <w:rsid w:val="5D0631CD"/>
    <w:rsid w:val="5D567D71"/>
    <w:rsid w:val="5EB0715C"/>
    <w:rsid w:val="5F443D27"/>
    <w:rsid w:val="5F8B1768"/>
    <w:rsid w:val="61D70C94"/>
    <w:rsid w:val="62214605"/>
    <w:rsid w:val="64832C36"/>
    <w:rsid w:val="649317EA"/>
    <w:rsid w:val="64E54470"/>
    <w:rsid w:val="65424FBE"/>
    <w:rsid w:val="667E1BD6"/>
    <w:rsid w:val="675114E9"/>
    <w:rsid w:val="67B850C4"/>
    <w:rsid w:val="67BD398E"/>
    <w:rsid w:val="67FF0F45"/>
    <w:rsid w:val="69FD6E54"/>
    <w:rsid w:val="6AB27AB2"/>
    <w:rsid w:val="6B297090"/>
    <w:rsid w:val="6C9500C9"/>
    <w:rsid w:val="6D286848"/>
    <w:rsid w:val="6DDB5FB0"/>
    <w:rsid w:val="6E3556C0"/>
    <w:rsid w:val="6F4F27B2"/>
    <w:rsid w:val="6F502086"/>
    <w:rsid w:val="72A746B3"/>
    <w:rsid w:val="73D50B06"/>
    <w:rsid w:val="74681C20"/>
    <w:rsid w:val="76A553AD"/>
    <w:rsid w:val="77416E84"/>
    <w:rsid w:val="78153E6C"/>
    <w:rsid w:val="78B611AB"/>
    <w:rsid w:val="78DE4F04"/>
    <w:rsid w:val="7A2D07EC"/>
    <w:rsid w:val="7B326CE2"/>
    <w:rsid w:val="7BD32074"/>
    <w:rsid w:val="7ECF66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nhideWhenUsed="0" w:uiPriority="0"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0"/>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7"/>
    <w:basedOn w:val="1"/>
    <w:next w:val="1"/>
    <w:qFormat/>
    <w:uiPriority w:val="0"/>
    <w:pPr>
      <w:keepNext/>
      <w:keepLines/>
      <w:adjustRightInd w:val="0"/>
      <w:spacing w:before="240" w:after="64" w:line="320" w:lineRule="atLeast"/>
      <w:textAlignment w:val="baseline"/>
      <w:outlineLvl w:val="6"/>
    </w:pPr>
    <w:rPr>
      <w:b/>
      <w:kern w:val="0"/>
      <w:sz w:val="24"/>
      <w:szCs w:val="20"/>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6">
    <w:name w:val="Normal Indent"/>
    <w:basedOn w:val="1"/>
    <w:unhideWhenUsed/>
    <w:qFormat/>
    <w:uiPriority w:val="0"/>
    <w:pPr>
      <w:ind w:firstLine="420" w:firstLineChars="200"/>
    </w:pPr>
  </w:style>
  <w:style w:type="paragraph" w:styleId="7">
    <w:name w:val="Body Text"/>
    <w:basedOn w:val="1"/>
    <w:next w:val="1"/>
    <w:qFormat/>
    <w:uiPriority w:val="0"/>
    <w:pPr>
      <w:tabs>
        <w:tab w:val="left" w:pos="567"/>
      </w:tabs>
      <w:spacing w:before="120" w:line="22" w:lineRule="atLeast"/>
    </w:pPr>
    <w:rPr>
      <w:rFonts w:ascii="宋体" w:hAnsi="宋体"/>
      <w:sz w:val="24"/>
    </w:rPr>
  </w:style>
  <w:style w:type="paragraph" w:styleId="8">
    <w:name w:val="Body Text Indent"/>
    <w:basedOn w:val="1"/>
    <w:qFormat/>
    <w:uiPriority w:val="0"/>
    <w:pPr>
      <w:spacing w:line="360" w:lineRule="auto"/>
      <w:ind w:firstLine="570"/>
    </w:pPr>
    <w:rPr>
      <w:sz w:val="24"/>
    </w:rPr>
  </w:style>
  <w:style w:type="paragraph" w:styleId="9">
    <w:name w:val="Plain Text"/>
    <w:basedOn w:val="1"/>
    <w:next w:val="6"/>
    <w:qFormat/>
    <w:uiPriority w:val="0"/>
    <w:rPr>
      <w:rFonts w:hint="eastAsia" w:ascii="宋体" w:hAnsi="Courier New"/>
      <w:szCs w:val="20"/>
    </w:rPr>
  </w:style>
  <w:style w:type="paragraph" w:styleId="10">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1">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13">
    <w:name w:val="toc 2"/>
    <w:basedOn w:val="1"/>
    <w:next w:val="1"/>
    <w:qFormat/>
    <w:uiPriority w:val="39"/>
    <w:pPr>
      <w:tabs>
        <w:tab w:val="right" w:leader="dot" w:pos="8937"/>
      </w:tabs>
      <w:spacing w:line="312" w:lineRule="auto"/>
      <w:ind w:left="420" w:leftChars="200"/>
    </w:pPr>
  </w:style>
  <w:style w:type="paragraph" w:styleId="14">
    <w:name w:val="Body Text First Indent"/>
    <w:basedOn w:val="7"/>
    <w:qFormat/>
    <w:uiPriority w:val="0"/>
    <w:pPr>
      <w:ind w:firstLine="420" w:firstLineChars="100"/>
    </w:pPr>
  </w:style>
  <w:style w:type="paragraph" w:styleId="15">
    <w:name w:val="Body Text First Indent 2"/>
    <w:basedOn w:val="8"/>
    <w:next w:val="1"/>
    <w:qFormat/>
    <w:uiPriority w:val="0"/>
    <w:pPr>
      <w:spacing w:after="120" w:line="480" w:lineRule="exact"/>
      <w:ind w:left="420" w:leftChars="200" w:firstLine="420" w:firstLineChars="200"/>
    </w:pPr>
    <w:rPr>
      <w:szCs w:val="20"/>
    </w:rPr>
  </w:style>
  <w:style w:type="table" w:styleId="17">
    <w:name w:val="Table Grid"/>
    <w:basedOn w:val="16"/>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9">
    <w:name w:val="page number"/>
    <w:qFormat/>
    <w:uiPriority w:val="0"/>
  </w:style>
  <w:style w:type="character" w:customStyle="1" w:styleId="20">
    <w:name w:val="标题 1 字符"/>
    <w:link w:val="2"/>
    <w:qFormat/>
    <w:uiPriority w:val="0"/>
    <w:rPr>
      <w:rFonts w:ascii="宋体"/>
      <w:b/>
      <w:kern w:val="44"/>
      <w:sz w:val="32"/>
      <w:szCs w:val="20"/>
    </w:rPr>
  </w:style>
  <w:style w:type="paragraph" w:customStyle="1" w:styleId="21">
    <w:name w:val="样式 首行缩进:  2 字符"/>
    <w:basedOn w:val="1"/>
    <w:qFormat/>
    <w:uiPriority w:val="0"/>
    <w:pPr>
      <w:spacing w:line="400" w:lineRule="exact"/>
      <w:ind w:firstLine="200" w:firstLineChars="200"/>
    </w:pPr>
    <w:rPr>
      <w:rFonts w:cs="宋体"/>
      <w:sz w:val="24"/>
    </w:rPr>
  </w:style>
  <w:style w:type="paragraph" w:customStyle="1" w:styleId="22">
    <w:name w:val="Normal_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3">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24">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80</Pages>
  <Words>23722</Words>
  <Characters>25689</Characters>
  <Lines>0</Lines>
  <Paragraphs>0</Paragraphs>
  <TotalTime>1</TotalTime>
  <ScaleCrop>false</ScaleCrop>
  <LinksUpToDate>false</LinksUpToDate>
  <CharactersWithSpaces>25889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2026-08-08T01:43:00Z</dcterms:created>
  <dc:creator>Administrator</dc:creator>
  <cp:lastModifiedBy>Administrator</cp:lastModifiedBy>
  <cp:lastPrinted>2026-08-08T02:26:00Z</cp:lastPrinted>
  <dcterms:modified xsi:type="dcterms:W3CDTF">2026-08-11T00:16:25Z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D53A6EDAAF07432496483889799781F1_11</vt:lpwstr>
  </property>
  <property fmtid="{D5CDD505-2E9C-101B-9397-08002B2CF9AE}" pid="4" name="KSOTemplateDocerSaveRecord">
    <vt:lpwstr>eyJoZGlkIjoiNGE4NTExNWE0OWU3MWY1ZWUwMDAwYzFiN2EyNDVmNjEiLCJ1c2VySWQiOiIzNTE3OTE5NTMifQ==</vt:lpwstr>
  </property>
</Properties>
</file>