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版本号：N510001202600066420260630001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2026年抗结核药品-四联(三次)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N5100012026000664</w:t>
      </w:r>
    </w:p>
    <w:p>
      <w:pPr>
        <w:pStyle w:val="null3"/>
        <w:jc w:val="left"/>
        <w:outlineLvl w:val="2"/>
      </w:pPr>
      <w:r>
        <w:rPr>
          <w:rFonts w:ascii="仿宋_GB2312" w:hAnsi="仿宋_GB2312" w:cs="仿宋_GB2312" w:eastAsia="仿宋_GB2312"/>
          <w:sz w:val="28"/>
          <w:b/>
        </w:rPr>
        <w:t>四川省疾病预防控制中心（四川省预防医学科学院）</w:t>
      </w:r>
    </w:p>
    <w:p>
      <w:pPr>
        <w:pStyle w:val="null3"/>
        <w:jc w:val="center"/>
        <w:outlineLvl w:val="2"/>
      </w:pPr>
      <w:r>
        <w:rPr>
          <w:rFonts w:ascii="仿宋_GB2312" w:hAnsi="仿宋_GB2312" w:cs="仿宋_GB2312" w:eastAsia="仿宋_GB2312"/>
          <w:sz w:val="28"/>
          <w:b/>
        </w:rPr>
        <w:t>四川汇合源招投标代理有限公司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2026年06月30日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四川汇合源招投标代理有限公司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四川省疾病预防控制中心（四川省预防医学科学院）</w:t>
      </w:r>
      <w:r>
        <w:rPr>
          <w:rFonts w:ascii="仿宋_GB2312" w:hAnsi="仿宋_GB2312" w:cs="仿宋_GB2312" w:eastAsia="仿宋_GB2312"/>
        </w:rPr>
        <w:t xml:space="preserve"> 委托，拟对 </w:t>
      </w:r>
      <w:r>
        <w:rPr>
          <w:rFonts w:ascii="仿宋_GB2312" w:hAnsi="仿宋_GB2312" w:cs="仿宋_GB2312" w:eastAsia="仿宋_GB2312"/>
        </w:rPr>
        <w:t>2026年抗结核药品-四联(三次)</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N5100012026000664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2026年抗结核药品-四联(三次)</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2026年抗结核药品(四联)采购是满足全省结核病防治需要的一项重要工作任务， 确保结核病患者能够获得高质量的抗结核药品，从而提高结核病的治愈率，减少结核病的传播，对减轻患 者的经济负担，提升结核病防治水平、保障社会公共卫生安全有重要作用。</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采购包1：专门面向小微企业采购。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符合《中华⼈⺠共和国药品管理法》、《中华⼈⺠共和国药品管理法实施条例》的要求。（描述：供应商符合《中华⼈⺠共和国药品管理法》、《中华⼈⺠共和国药品管理法实施条例》的要求，提供有效的《药品⽣产许可证》扫描件。）</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四川省疾病预防控制中心（四川省预防医学科学院）</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四川省成都市中学路6号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甄老师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87046206</w:t>
      </w:r>
    </w:p>
    <w:p>
      <w:pPr>
        <w:pStyle w:val="null3"/>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四川汇合源招投标代理有限公司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四川省成都市武侯区大合仓星商界4栋4单元302</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黄先生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85256532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采购包1：10,776,600.00元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交款方式：银行转账，支票、汇票、本票，保函</w:t>
            </w:r>
          </w:p>
          <w:p>
            <w:pPr>
              <w:pStyle w:val="null3"/>
              <w:jc w:val="left"/>
            </w:pPr>
            <w:r>
              <w:rPr>
                <w:rFonts w:ascii="仿宋_GB2312" w:hAnsi="仿宋_GB2312" w:cs="仿宋_GB2312" w:eastAsia="仿宋_GB2312"/>
              </w:rPr>
              <w:t>中标(成交)通知书发放后，政府采购合同签订前银行转账至采购人指定账户(收 款单位：四川省疾病预防控制中心  开户行：建设银行成都金河支行   银行账号：51001508608050092193)。履约保证金退还：履约完成后由供应商提出申请及提交支付凭证资料文件，以及由甲方确认本合同约定事项已经履行完毕的正式书面文件后30日内无息退还，因供应商自身原因导致无法及时退还的除外。乙方履约不合格的，履约保证 金不予退还。</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参照原国家计委《关于印发招标代理服务收费管理暂行办法的通知》（计价格〔2002〕1980号）和国家发展改革委办公厅《关于招标代理服务收费有关问题的通知》（发改办价格〔2003〕857号）文件规定的收费标准下浮20%。按成本加合理利润的原则，以中标（成交）金额作为计算基数，按照响应文件承诺的收费标准计算进行收取。收款单位：四川汇合源招投标代理有限公司账号：651001532000002162 开⼾⾏：四川天府银⾏股份有限公司成都世纪城⽀⾏</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四川省疾病预防控制中心（四川省预防医学科学院）</w:t>
      </w:r>
      <w:r>
        <w:rPr>
          <w:rFonts w:ascii="仿宋_GB2312" w:hAnsi="仿宋_GB2312" w:cs="仿宋_GB2312" w:eastAsia="仿宋_GB2312"/>
        </w:rPr>
        <w:t xml:space="preserve"> 和 </w:t>
      </w:r>
      <w:r>
        <w:rPr>
          <w:rFonts w:ascii="仿宋_GB2312" w:hAnsi="仿宋_GB2312" w:cs="仿宋_GB2312" w:eastAsia="仿宋_GB2312"/>
        </w:rPr>
        <w:t>四川汇合源招投标代理有限公司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四川省疾病预防控制中心（四川省预防医学科学院）</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四川汇合源招投标代理有限公司</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pPr>
      <w:r>
        <w:rPr>
          <w:rFonts w:ascii="仿宋_GB2312" w:hAnsi="仿宋_GB2312" w:cs="仿宋_GB2312" w:eastAsia="仿宋_GB2312"/>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完成第一批送货（全部货物50%）后，供应商提出验收申请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50</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完成第二批送货（全部货物35%）后，供应商提出验收申请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35</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3、</w:t>
      </w:r>
      <w:r>
        <w:rPr>
          <w:rFonts w:ascii="仿宋_GB2312" w:hAnsi="仿宋_GB2312" w:cs="仿宋_GB2312" w:eastAsia="仿宋_GB2312"/>
        </w:rPr>
        <w:t xml:space="preserve"> 验收条件说明： </w:t>
      </w:r>
      <w:r>
        <w:rPr>
          <w:rFonts w:ascii="仿宋_GB2312" w:hAnsi="仿宋_GB2312" w:cs="仿宋_GB2312" w:eastAsia="仿宋_GB2312"/>
        </w:rPr>
        <w:t>完成第三批送货（全部货物15%）后，供应商提出验收申请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15</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按采购人要求完成分批送货后，供应商根据分批送货实际情况据实提出 验收申请，达到验收条件起30日内，验收相应的合同金额。</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采购人按国家有关规定以及招标文件的要求、供应商的投标文件及承诺 与本项目合同约定标准进行验收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采购人按照国家有关规定以及招标文件的要求、投标人的投标文件及承 诺与本项目合同约定标准进行验收。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采购人按国家有关规定以及招标文件的要求、供应商的投标文件及承诺与本 项目合同约定标准进行验收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四川省疾病预防控制中心（四川省预防医学科学院）</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四川汇合源招投标代理有限公司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四川汇合源招投标代理有限公司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联系人：甄老师</w:t>
      </w:r>
    </w:p>
    <w:p>
      <w:pPr>
        <w:pStyle w:val="null3"/>
        <w:jc w:val="left"/>
      </w:pPr>
      <w:r>
        <w:rPr>
          <w:rFonts w:ascii="仿宋_GB2312" w:hAnsi="仿宋_GB2312" w:cs="仿宋_GB2312" w:eastAsia="仿宋_GB2312"/>
        </w:rPr>
        <w:t>联系电话：87046206</w:t>
      </w:r>
    </w:p>
    <w:p>
      <w:pPr>
        <w:pStyle w:val="null3"/>
        <w:jc w:val="left"/>
      </w:pPr>
      <w:r>
        <w:rPr>
          <w:rFonts w:ascii="仿宋_GB2312" w:hAnsi="仿宋_GB2312" w:cs="仿宋_GB2312" w:eastAsia="仿宋_GB2312"/>
        </w:rPr>
        <w:t>地址：四川省成都市中学路6号</w:t>
      </w:r>
    </w:p>
    <w:p>
      <w:pPr>
        <w:pStyle w:val="null3"/>
        <w:jc w:val="left"/>
      </w:pPr>
      <w:r>
        <w:rPr>
          <w:rFonts w:ascii="仿宋_GB2312" w:hAnsi="仿宋_GB2312" w:cs="仿宋_GB2312" w:eastAsia="仿宋_GB2312"/>
        </w:rPr>
        <w:t>邮编：610000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联系人：黄先生</w:t>
      </w:r>
    </w:p>
    <w:p>
      <w:pPr>
        <w:pStyle w:val="null3"/>
        <w:jc w:val="left"/>
      </w:pPr>
      <w:r>
        <w:rPr>
          <w:rFonts w:ascii="仿宋_GB2312" w:hAnsi="仿宋_GB2312" w:cs="仿宋_GB2312" w:eastAsia="仿宋_GB2312"/>
        </w:rPr>
        <w:t>联系电话：85256532</w:t>
      </w:r>
    </w:p>
    <w:p>
      <w:pPr>
        <w:pStyle w:val="null3"/>
        <w:jc w:val="left"/>
      </w:pPr>
      <w:r>
        <w:rPr>
          <w:rFonts w:ascii="仿宋_GB2312" w:hAnsi="仿宋_GB2312" w:cs="仿宋_GB2312" w:eastAsia="仿宋_GB2312"/>
        </w:rPr>
        <w:t>地址：成都市武侯区星狮路818号大合仓星商界4栋4单元3楼302号</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10,776,600.00</w:t>
      </w:r>
    </w:p>
    <w:p>
      <w:pPr>
        <w:pStyle w:val="null3"/>
        <w:jc w:val="left"/>
      </w:pPr>
      <w:r>
        <w:rPr>
          <w:rFonts w:ascii="仿宋_GB2312" w:hAnsi="仿宋_GB2312" w:cs="仿宋_GB2312" w:eastAsia="仿宋_GB2312"/>
        </w:rPr>
        <w:t>采购包最高限价（元）: 10,776,600.00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A07024733 抗痨胶囊</w:t>
            </w:r>
          </w:p>
        </w:tc>
        <w:tc>
          <w:tcPr>
            <w:tcW w:type="dxa" w:w="821"/>
          </w:tcPr>
          <w:p>
            <w:pPr>
              <w:pStyle w:val="null3"/>
              <w:jc w:val="left"/>
            </w:pPr>
            <w:r>
              <w:rPr>
                <w:rFonts w:ascii="仿宋_GB2312" w:hAnsi="仿宋_GB2312" w:cs="仿宋_GB2312" w:eastAsia="仿宋_GB2312"/>
              </w:rPr>
              <w:t>抗结核药品(四联复合剂)</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10,776,600.00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抗结核药品(四联复合剂)</w:t>
            </w:r>
          </w:p>
        </w:tc>
        <w:tc>
          <w:tcPr>
            <w:tcW w:type="dxa" w:w="1138"/>
          </w:tcPr>
          <w:p>
            <w:pPr>
              <w:pStyle w:val="null3"/>
              <w:jc w:val="center"/>
            </w:pPr>
            <w:r>
              <w:rPr>
                <w:rFonts w:ascii="仿宋_GB2312" w:hAnsi="仿宋_GB2312" w:cs="仿宋_GB2312" w:eastAsia="仿宋_GB2312"/>
              </w:rPr>
              <w:t>1.00（批）</w:t>
            </w:r>
          </w:p>
        </w:tc>
        <w:tc>
          <w:tcPr>
            <w:tcW w:type="dxa" w:w="1365"/>
          </w:tcPr>
          <w:p>
            <w:pPr>
              <w:pStyle w:val="null3"/>
              <w:jc w:val="center"/>
            </w:pPr>
            <w:r>
              <w:rPr>
                <w:rFonts w:ascii="仿宋_GB2312" w:hAnsi="仿宋_GB2312" w:cs="仿宋_GB2312" w:eastAsia="仿宋_GB2312"/>
              </w:rPr>
              <w:t>10,776,600.00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A07024733 抗痨胶囊</w:t>
            </w:r>
          </w:p>
        </w:tc>
        <w:tc>
          <w:tcPr>
            <w:tcW w:type="dxa" w:w="2492"/>
          </w:tcPr>
          <w:p>
            <w:pPr>
              <w:pStyle w:val="null3"/>
              <w:jc w:val="left"/>
            </w:pPr>
            <w:r>
              <w:rPr>
                <w:rFonts w:ascii="仿宋_GB2312" w:hAnsi="仿宋_GB2312" w:cs="仿宋_GB2312" w:eastAsia="仿宋_GB2312"/>
              </w:rPr>
              <w:t>抗结核药品(四联复合剂)</w:t>
            </w:r>
          </w:p>
        </w:tc>
        <w:tc>
          <w:tcPr>
            <w:tcW w:type="dxa" w:w="2492"/>
          </w:tcPr>
          <w:p>
            <w:pPr>
              <w:pStyle w:val="null3"/>
              <w:jc w:val="left"/>
            </w:pPr>
            <w:r>
              <w:rPr>
                <w:rFonts w:ascii="仿宋_GB2312" w:hAnsi="仿宋_GB2312" w:cs="仿宋_GB2312" w:eastAsia="仿宋_GB2312"/>
              </w:rPr>
              <w:t>抗结核药品(四联复合剂)</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标的名称：抗结核药品(四联复合剂)</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left"/>
            </w:pPr>
            <w:r>
              <w:rPr>
                <w:rFonts w:ascii="仿宋_GB2312" w:hAnsi="仿宋_GB2312" w:cs="仿宋_GB2312" w:eastAsia="仿宋_GB2312"/>
              </w:rPr>
              <w:t>（1）药品技术规格、数量要求</w:t>
            </w:r>
            <w:r>
              <w:br/>
            </w:r>
            <w:r>
              <w:rPr>
                <w:rFonts w:ascii="仿宋_GB2312" w:hAnsi="仿宋_GB2312" w:cs="仿宋_GB2312" w:eastAsia="仿宋_GB2312"/>
              </w:rPr>
              <w:t xml:space="preserve"> ①名称、规格及数量：异烟肼利福平吡嗪酰胺⼄胺丁醇(四联复合剂FDC-HRZE)四合⼀⽚或粒，满⾜以下规格之⼀：</w:t>
            </w:r>
            <w:r>
              <w:br/>
            </w:r>
            <w:r>
              <w:rPr>
                <w:rFonts w:ascii="仿宋_GB2312" w:hAnsi="仿宋_GB2312" w:cs="仿宋_GB2312" w:eastAsia="仿宋_GB2312"/>
              </w:rPr>
              <w:t xml:space="preserve"> 规格⼀：每⽚或粒含H(异烟肼)75mg;R(利福平)150mg;Z(吡嗪酰胺)400mg;E(⼄胺丁醇)275mg; 数量为5642220⽚/粒。</w:t>
            </w:r>
            <w:r>
              <w:br/>
            </w:r>
            <w:r>
              <w:rPr>
                <w:rFonts w:ascii="仿宋_GB2312" w:hAnsi="仿宋_GB2312" w:cs="仿宋_GB2312" w:eastAsia="仿宋_GB2312"/>
              </w:rPr>
              <w:t xml:space="preserve"> 规格⼆：每⽚或粒含H(异烟肼)37.5mg;R(利福平)75mg;Z(吡嗪酰胺)200mg;E(⼄胺丁醇)137.5mg;数量为11284440⽚/粒。</w:t>
            </w:r>
            <w:r>
              <w:br/>
            </w:r>
            <w:r>
              <w:rPr>
                <w:rFonts w:ascii="仿宋_GB2312" w:hAnsi="仿宋_GB2312" w:cs="仿宋_GB2312" w:eastAsia="仿宋_GB2312"/>
              </w:rPr>
              <w:t xml:space="preserve"> ②⽤量：强化期⽤药量；成⼈患者，每⼈每天⽤量H(异烟肼)300mg、R (利福平)600mg、Z (吡嗪酰胺)1600mg、E (⼄胺丁醇)1100mg。</w:t>
            </w:r>
            <w:r>
              <w:br/>
            </w:r>
            <w:r>
              <w:rPr>
                <w:rFonts w:ascii="仿宋_GB2312" w:hAnsi="仿宋_GB2312" w:cs="仿宋_GB2312" w:eastAsia="仿宋_GB2312"/>
              </w:rPr>
              <w:t xml:space="preserve"> ③药品有效期：药品有效期不少于24个⽉， 保证到货时⾄少有20个⽉有效期。</w:t>
            </w:r>
            <w:r>
              <w:br/>
            </w:r>
            <w:r>
              <w:rPr>
                <w:rFonts w:ascii="仿宋_GB2312" w:hAnsi="仿宋_GB2312" w:cs="仿宋_GB2312" w:eastAsia="仿宋_GB2312"/>
              </w:rPr>
              <w:t xml:space="preserve"> ④药品执⾏标准：《中华⼈⺠共和国药典》最新版。</w:t>
            </w:r>
            <w:r>
              <w:br/>
            </w:r>
            <w:r>
              <w:rPr>
                <w:rFonts w:ascii="仿宋_GB2312" w:hAnsi="仿宋_GB2312" w:cs="仿宋_GB2312" w:eastAsia="仿宋_GB2312"/>
              </w:rPr>
              <w:t xml:space="preserve"> (2)药品⽣产及注册投标产品符合《药品注册管理办法》的要求，具有药品注册证书 ，提供证书复印件，并加盖投标⼈公章。</w:t>
            </w:r>
            <w:r>
              <w:br/>
            </w:r>
            <w:r>
              <w:rPr>
                <w:rFonts w:ascii="仿宋_GB2312" w:hAnsi="仿宋_GB2312" w:cs="仿宋_GB2312" w:eastAsia="仿宋_GB2312"/>
              </w:rPr>
              <w:t xml:space="preserve"> (3)包装要求</w:t>
            </w:r>
            <w:r>
              <w:br/>
            </w:r>
            <w:r>
              <w:rPr>
                <w:rFonts w:ascii="仿宋_GB2312" w:hAnsi="仿宋_GB2312" w:cs="仿宋_GB2312" w:eastAsia="仿宋_GB2312"/>
              </w:rPr>
              <w:t xml:space="preserve"> ①所投药品的包装、标签和说明书须符合《药品说明书和标签管理规定》的规定。</w:t>
            </w:r>
            <w:r>
              <w:br/>
            </w:r>
            <w:r>
              <w:rPr>
                <w:rFonts w:ascii="仿宋_GB2312" w:hAnsi="仿宋_GB2312" w:cs="仿宋_GB2312" w:eastAsia="仿宋_GB2312"/>
              </w:rPr>
              <w:t xml:space="preserve"> ②供应商提供的货物应为原⼚包装，能够防⽌货物在转运中损坏或变质。应采取防潮、防晒、防锈防腐蚀、防震动及防⽌其它损坏的必要保护措施，从⽽保护货物能够经受多次搬运、装卸及远洋和内陆的⻓途运输。供应商应承担由于其包装或其防护措施不妥⽽引起货物锈蚀、损坏和丢失的任何损失的责任或费⽤；</w:t>
            </w:r>
            <w:r>
              <w:br/>
            </w:r>
            <w:r>
              <w:rPr>
                <w:rFonts w:ascii="仿宋_GB2312" w:hAnsi="仿宋_GB2312" w:cs="仿宋_GB2312" w:eastAsia="仿宋_GB2312"/>
              </w:rPr>
              <w:t xml:space="preserve"> ③每件包装箱内应附⼀份详细装箱清单和质量合格证；</w:t>
            </w:r>
            <w:r>
              <w:br/>
            </w:r>
            <w:r>
              <w:rPr>
                <w:rFonts w:ascii="仿宋_GB2312" w:hAnsi="仿宋_GB2312" w:cs="仿宋_GB2312" w:eastAsia="仿宋_GB2312"/>
              </w:rPr>
              <w:t xml:space="preserve"> ④需详细列出药品的具体组⽅与使⽤⽅法说明书，并明确说明每种有效成分的剂量单位和含量；</w:t>
            </w:r>
            <w:r>
              <w:br/>
            </w:r>
            <w:r>
              <w:rPr>
                <w:rFonts w:ascii="仿宋_GB2312" w:hAnsi="仿宋_GB2312" w:cs="仿宋_GB2312" w:eastAsia="仿宋_GB2312"/>
              </w:rPr>
              <w:t xml:space="preserve"> ⑤对储存有特殊要求的药品，应当在标签的醒⽬位置注明；</w:t>
            </w:r>
            <w:r>
              <w:br/>
            </w:r>
            <w:r>
              <w:rPr>
                <w:rFonts w:ascii="仿宋_GB2312" w:hAnsi="仿宋_GB2312" w:cs="仿宋_GB2312" w:eastAsia="仿宋_GB2312"/>
              </w:rPr>
              <w:t xml:space="preserve"> ⑥注明包装数量、运输注意事项或者其他标记等必要内容；</w:t>
            </w:r>
            <w:r>
              <w:br/>
            </w:r>
            <w:r>
              <w:rPr>
                <w:rFonts w:ascii="仿宋_GB2312" w:hAnsi="仿宋_GB2312" w:cs="仿宋_GB2312" w:eastAsia="仿宋_GB2312"/>
              </w:rPr>
              <w:t xml:space="preserve"> ⑦所有药品的包装箱、包装盒、包装瓶以及铝塑板上需印上“政府提供，免费药品”字样；</w:t>
            </w:r>
            <w:r>
              <w:br/>
            </w:r>
            <w:r>
              <w:rPr>
                <w:rFonts w:ascii="仿宋_GB2312" w:hAnsi="仿宋_GB2312" w:cs="仿宋_GB2312" w:eastAsia="仿宋_GB2312"/>
              </w:rPr>
              <w:t xml:space="preserve"> ⑧包装⽆破损，外包装需坚固，能适⽤铁路、公路、邮局等以上运输⽅式。</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left"/>
            </w:pPr>
            <w:r>
              <w:rPr>
                <w:rFonts w:ascii="仿宋_GB2312" w:hAnsi="仿宋_GB2312" w:cs="仿宋_GB2312" w:eastAsia="仿宋_GB2312"/>
              </w:rPr>
              <w:t>1.供应商提供质量保证方案，内容⾄少应包含：①药品⽣产质量管理；②药品质量追溯；③药品抽检机制；④药品存储管理。</w:t>
            </w:r>
            <w:r>
              <w:br/>
            </w:r>
            <w:r>
              <w:rPr>
                <w:rFonts w:ascii="仿宋_GB2312" w:hAnsi="仿宋_GB2312" w:cs="仿宋_GB2312" w:eastAsia="仿宋_GB2312"/>
              </w:rPr>
              <w:t xml:space="preserve"> 2.供应商提供配送服务方案，内容⾄少应包含：①药品分拣包装流程；②药品运输监控管理；③配送路线规划；④配送时效及能⼒。</w:t>
            </w:r>
            <w:r>
              <w:br/>
            </w:r>
            <w:r>
              <w:rPr>
                <w:rFonts w:ascii="仿宋_GB2312" w:hAnsi="仿宋_GB2312" w:cs="仿宋_GB2312" w:eastAsia="仿宋_GB2312"/>
              </w:rPr>
              <w:t xml:space="preserve"> 3.供应商提供应急措施，内容⾄少应包含：①物流备⽤路线规划及应急运⼒储备；②药品质量问题召回及药品更换；③突发事件紧急库存调配、跨区域协作；④药品运输途中事故响应及药品转移⽅案。</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⾃合同签订之⽇起360⽇</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按采购人要求分批送货，送至成都市临床公共卫生医疗中心航天院区</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1、完成第一批送货（全部货物的50%）并验收合格，达到付款条件起10日内，支付合同总金额的50.00%</w:t>
            </w:r>
          </w:p>
          <w:p>
            <w:pPr>
              <w:pStyle w:val="null3"/>
              <w:jc w:val="left"/>
            </w:pPr>
            <w:r>
              <w:rPr>
                <w:rFonts w:ascii="仿宋_GB2312" w:hAnsi="仿宋_GB2312" w:cs="仿宋_GB2312" w:eastAsia="仿宋_GB2312"/>
              </w:rPr>
              <w:t>2、完成第二批送货（全部货物的35%）并验收合格，达到付款条件起10日内，支付合同总金额的35.00%</w:t>
            </w:r>
          </w:p>
          <w:p>
            <w:pPr>
              <w:pStyle w:val="null3"/>
              <w:jc w:val="left"/>
            </w:pPr>
            <w:r>
              <w:rPr>
                <w:rFonts w:ascii="仿宋_GB2312" w:hAnsi="仿宋_GB2312" w:cs="仿宋_GB2312" w:eastAsia="仿宋_GB2312"/>
              </w:rPr>
              <w:t>3、完成第三批送货（全部货物的15%）并验收合格，达到付款条件起10日内，支付合同总金额的15.00%</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验收由采购人组织，成交供应商配合进行，验收标准按国家有关规定以及采购人谈判文件的质量要求和技术指标、成交供应商的响应文件及承诺与本合同约定标准进行验收；甲乙双方如对质量要求和技术指标的约定标准有相互抵触或异议的事项，由采购人在谈判 与响应文件中按质量要求和技术指标比较优胜的原则确定该项的约定标准进行验收；验收时如发现所交付的货物有短装、次品、损坏或其它不符合标准及本合同规定之情形者，由成交供应商免费更换；如质量验收合格，双方签署质量验收报告。如货物不能达到合同约定的质量标准，采购人有权退货，并视作成交供应商不能交付货物从而须支付违约赔偿金给采购人，采购人还可依法追究成交供应商的违约责任。其他未尽事宜应严格按照《关于进一步加强政府采购需求和履约验收管理的指导意见》(财库〔2016〕205号)、谈判文件要求、响应文件响应内容及合同约定内容进行验收。</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1.涉及的商品包装和快递包装，均应符合《商品包装政府采购需求标准（试行）》《快递包装政府采购需求标准（试行）》的要求，包装应适应于远距离运输、防潮、防震、防锈和防野蛮装卸，以确保货物安全无损运抵指定地点。2.技术要求中对包装有单独要求的，从其要求。</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1、质保期为验收合格至药品有效期止，质保期内出现质量问题，成交供应商在接到通知后24小时内响应，及时完成退换货及补供，并承担全部费用；如货物不能达到本合同约定的质量标准，视作成交供应商未能按时交货，采购人有权退货并追究成交供应商的违约责任。2、成交供应商需指派专人负责与采购人联系售后服务事宜。（供应商针对1、2两点要求还需单独提供承诺函，格式⾃拟，并加盖投标⼈电⼦章。）</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采购人和成交供应商必须遵守本项目合同并执行合同中的各项规定，保证本项目合同的正常履行。如发生违约行为，采购人有权选择按照合同约定要求其承担违约责任。</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供应商若为企业法⼈：提供三证合⼀或五证合⼀的“统⼀社会信⽤代码营业执照”；未换证的提供“营业执照、税务登记证、组织机构代码证”；（2）若为事业法⼈：提供“统⼀社会信⽤代码法⼈登记证书”；未换证的提交“事业法⼈登记证书、组织机构代码证”；（3）若为其他组织：提供“对应主管部⻔颁发的准许执业证明⽂件或营业执照”；（4）若为⾃然⼈：提供“⾝份证明材料”。</w:t>
            </w:r>
          </w:p>
        </w:tc>
        <w:tc>
          <w:tcPr>
            <w:tcW w:type="dxa" w:w="1661"/>
          </w:tcPr>
          <w:p>
            <w:pPr>
              <w:pStyle w:val="null3"/>
              <w:jc w:val="left"/>
            </w:pPr>
            <w:r>
              <w:rPr>
                <w:rFonts w:ascii="仿宋_GB2312" w:hAnsi="仿宋_GB2312" w:cs="仿宋_GB2312" w:eastAsia="仿宋_GB2312"/>
              </w:rPr>
              <w:t>响应文件封面,投标（响应）函,投标人其他资格证明材料.docx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以下证明材料中任意⼀项均可：①响应⽂件递交截⽌⽇前三年内任⼀年经第三⽅会计师事务所审计的财务报告（包括报告及报告中所附的完整内容，并由注册会计师签名、盖章以及会计师事务所盖章）；②响应⽂件递交截⽌⽇前三年度内任⼀年度内部的财务报表（包含资产负债表、利润表和现⾦流量表）；③响应⽂件递交截⽌⽇前⼀年内开户银⾏出具的资信证明；④供应商注册时间至响应文件递交截止日不足⼀年的，也可提供在⼯商备案的公司章程。注：事业单位及其他组织因经费来源不⼀样 ，此处不做统⼀要求，供应商根据单位实际情况，提供完整的财务状况证明即可。</w:t>
            </w:r>
          </w:p>
        </w:tc>
        <w:tc>
          <w:tcPr>
            <w:tcW w:type="dxa" w:w="1661"/>
          </w:tcPr>
          <w:p>
            <w:pPr>
              <w:pStyle w:val="null3"/>
              <w:jc w:val="left"/>
            </w:pPr>
            <w:r>
              <w:rPr>
                <w:rFonts w:ascii="仿宋_GB2312" w:hAnsi="仿宋_GB2312" w:cs="仿宋_GB2312" w:eastAsia="仿宋_GB2312"/>
              </w:rPr>
              <w:t>投标（响应）函,投标人其他资格证明材料.docx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1）社保证明材料：供应商提供响应⽂件递交截⽌⽇前三年内任意⼀个⽉缴纳社保的银⾏电⼦回单或社保部⻔或税务部⻔出具的社保缴纳证明材料或有效票据。（2）纳税证明材料：供应商提供响应⽂件递交截⽌⽇前三年内任意⼀个⽉缴纳税收的银⾏电⼦回单或者税务部⻔出具的纳税证明或完税证明或有效票据。注：依法免税的供应商，应提供相应⽂件证明其依法免税。</w:t>
            </w:r>
          </w:p>
        </w:tc>
        <w:tc>
          <w:tcPr>
            <w:tcW w:type="dxa" w:w="1661"/>
          </w:tcPr>
          <w:p>
            <w:pPr>
              <w:pStyle w:val="null3"/>
              <w:jc w:val="left"/>
            </w:pPr>
            <w:r>
              <w:rPr>
                <w:rFonts w:ascii="仿宋_GB2312" w:hAnsi="仿宋_GB2312" w:cs="仿宋_GB2312" w:eastAsia="仿宋_GB2312"/>
              </w:rPr>
              <w:t>投标（响应）函,投标人其他资格证明材料.docx</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为采购项目提供整体设计、规范编制或者项目管理、监理、检测等服务的供应商，可以同时承担前述服务内容，但不得再参加采购项目前述服务之外的其他采购活动。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本采购包属于专门面向小微企业采购。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供应商提供的货物由中小企业制造，即货物由中小企业生产且使用该中小企业商号或者注册商标，享受本谈判文件规定的中小企业扶持政策；供应商提供的货物既有中小企业制造货物，也有大型企业制造货物的，不享受中小企业扶持政策。</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供应商符合《中华⼈⺠共和国药品管理法》、《中华⼈⺠共和国药品管理法实施条例》的要求。</w:t>
            </w:r>
          </w:p>
        </w:tc>
        <w:tc>
          <w:tcPr>
            <w:tcW w:type="dxa" w:w="3322"/>
          </w:tcPr>
          <w:p>
            <w:pPr>
              <w:pStyle w:val="null3"/>
              <w:jc w:val="left"/>
            </w:pPr>
            <w:r>
              <w:rPr>
                <w:rFonts w:ascii="仿宋_GB2312" w:hAnsi="仿宋_GB2312" w:cs="仿宋_GB2312" w:eastAsia="仿宋_GB2312"/>
              </w:rPr>
              <w:t>供应商符合《中华⼈⺠共和国药品管理法》、《中华⼈⺠共和国药品管理法实施条例》的要求，提供有效的《药品⽣产许可证》扫描件。</w:t>
            </w:r>
          </w:p>
        </w:tc>
        <w:tc>
          <w:tcPr>
            <w:tcW w:type="dxa" w:w="1661"/>
          </w:tcPr>
          <w:p>
            <w:pPr>
              <w:pStyle w:val="null3"/>
              <w:jc w:val="left"/>
            </w:pPr>
            <w:r>
              <w:rPr>
                <w:rFonts w:ascii="仿宋_GB2312" w:hAnsi="仿宋_GB2312" w:cs="仿宋_GB2312" w:eastAsia="仿宋_GB2312"/>
              </w:rPr>
              <w:t>投标人其他资格证明材料.docx</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谈判文件实质性要求（谈判文件中不允许实质性变动的实质性要求）</w:t>
            </w:r>
          </w:p>
        </w:tc>
        <w:tc>
          <w:tcPr>
            <w:tcW w:type="dxa" w:w="3322"/>
          </w:tcPr>
          <w:p>
            <w:pPr>
              <w:pStyle w:val="null3"/>
              <w:jc w:val="left"/>
            </w:pPr>
            <w:r>
              <w:rPr>
                <w:rFonts w:ascii="仿宋_GB2312" w:hAnsi="仿宋_GB2312" w:cs="仿宋_GB2312" w:eastAsia="仿宋_GB2312"/>
              </w:rPr>
              <w:t>谈判小组应依据谈判文件规定的所有实质性要求，对符合资格的响应文件进行有效性、完整性和响应程度审查，以确定参加谈判的供应商名单。</w:t>
            </w:r>
          </w:p>
        </w:tc>
        <w:tc>
          <w:tcPr>
            <w:tcW w:type="dxa" w:w="1661"/>
          </w:tcPr>
          <w:p>
            <w:pPr>
              <w:pStyle w:val="null3"/>
              <w:jc w:val="left"/>
            </w:pPr>
            <w:r>
              <w:rPr>
                <w:rFonts w:ascii="仿宋_GB2312" w:hAnsi="仿宋_GB2312" w:cs="仿宋_GB2312" w:eastAsia="仿宋_GB2312"/>
              </w:rPr>
              <w:t>商务要求应答表.docx,报价表,技术要求应答表.docx,服务内容要求应答表.docx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2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确定2名成交候选供应商。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0.00%</w:t>
            </w:r>
          </w:p>
        </w:tc>
        <w:tc>
          <w:tcPr>
            <w:tcW w:type="dxa" w:w="2769"/>
          </w:tcPr>
          <w:p>
            <w:pPr>
              <w:pStyle w:val="null3"/>
              <w:jc w:val="left"/>
            </w:pPr>
            <w:r>
              <w:rPr>
                <w:rFonts w:ascii="仿宋_GB2312" w:hAnsi="仿宋_GB2312" w:cs="仿宋_GB2312" w:eastAsia="仿宋_GB2312"/>
              </w:rPr>
              <w:t>投标（响应）文件满足采购文件全部实质性要求，因落实政府采购政策进行价格调整的，以调整后的有效评审价由低到高顺序排列，评审价最低的投标人（供应商）为排名第一的中标（成交）候选人。注：不涉及价格扣除的评审价=最后报价，涉及价格扣除的评审价=最后报价×（1-扣除比例）。</w:t>
            </w:r>
          </w:p>
        </w:tc>
        <w:tc>
          <w:tcPr>
            <w:tcW w:type="dxa" w:w="2123"/>
          </w:tcPr>
          <w:p>
            <w:pPr>
              <w:pStyle w:val="null3"/>
              <w:jc w:val="left"/>
            </w:pPr>
            <w:r>
              <w:rPr>
                <w:rFonts w:ascii="仿宋_GB2312" w:hAnsi="仿宋_GB2312" w:cs="仿宋_GB2312" w:eastAsia="仿宋_GB2312"/>
              </w:rPr>
              <w:t>报价明细表,关于符合本国产品标准的声明函,报价表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 xml:space="preserve"> 本项目授权谈判小组在谈判报告确定的成交候选供应商名单中按顺序直接确定1名成交供应商。采购人或者代理机构应当自成交供应商确定之日起2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详见附件：商务要求应答表.docx</w:t>
      </w:r>
    </w:p>
    <w:p>
      <w:pPr>
        <w:pStyle w:val="null3"/>
        <w:ind w:firstLine="960"/>
        <w:jc w:val="left"/>
      </w:pPr>
      <w:r>
        <w:rPr>
          <w:rFonts w:ascii="仿宋_GB2312" w:hAnsi="仿宋_GB2312" w:cs="仿宋_GB2312" w:eastAsia="仿宋_GB2312"/>
        </w:rPr>
        <w:t>详见附件：服务内容要求应答表.docx</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详见附件：投标人其他资格证明材料.docx</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