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440701-2025-01098</w:t>
      </w:r>
    </w:p>
    <w:p>
      <w:pPr>
        <w:pStyle w:val="null3"/>
        <w:jc w:val="center"/>
        <w:outlineLvl w:val="3"/>
      </w:pPr>
      <w:r>
        <w:rPr>
          <w:sz w:val="24"/>
          <w:b/>
        </w:rPr>
        <w:t>采购项目编号：</w:t>
      </w:r>
      <w:r>
        <w:rPr>
          <w:sz w:val="24"/>
          <w:b/>
        </w:rPr>
        <w:t>JM2025-A015</w:t>
      </w:r>
    </w:p>
    <w:p>
      <w:pPr>
        <w:pStyle w:val="null3"/>
        <w:jc w:val="center"/>
        <w:outlineLvl w:val="3"/>
      </w:pPr>
      <w:r>
        <w:rPr>
          <w:sz w:val="24"/>
          <w:b/>
        </w:rPr>
        <w:t>项目名称：</w:t>
      </w:r>
      <w:r>
        <w:rPr>
          <w:sz w:val="24"/>
          <w:b/>
        </w:rPr>
        <w:t>广东省自然灾害能力提升工程基层防灾项目（江门市）第二轮(三次)</w:t>
      </w:r>
    </w:p>
    <w:p>
      <w:pPr>
        <w:pStyle w:val="null3"/>
        <w:jc w:val="center"/>
        <w:outlineLvl w:val="3"/>
      </w:pPr>
      <w:r>
        <w:rPr>
          <w:sz w:val="24"/>
          <w:b/>
        </w:rPr>
        <w:t>采购人：</w:t>
      </w:r>
      <w:r>
        <w:rPr>
          <w:sz w:val="24"/>
          <w:b/>
        </w:rPr>
        <w:t>江门市应急管理局</w:t>
      </w:r>
    </w:p>
    <w:p>
      <w:pPr>
        <w:pStyle w:val="null3"/>
        <w:jc w:val="center"/>
        <w:outlineLvl w:val="3"/>
      </w:pPr>
      <w:r>
        <w:rPr>
          <w:sz w:val="24"/>
          <w:b/>
        </w:rPr>
        <w:t>采购代理机构：</w:t>
      </w:r>
      <w:r>
        <w:rPr>
          <w:sz w:val="24"/>
          <w:b/>
        </w:rPr>
        <w:t>江门市政府采购中心</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江门市政府采购中心</w:t>
      </w:r>
      <w:r>
        <w:rPr/>
        <w:t>受</w:t>
      </w:r>
      <w:r>
        <w:rPr/>
        <w:t>江门市应急管理局</w:t>
      </w:r>
      <w:r>
        <w:rPr/>
        <w:t>的委托，采用</w:t>
      </w:r>
      <w:r>
        <w:rPr/>
        <w:t>公开招标</w:t>
      </w:r>
      <w:r>
        <w:rPr/>
        <w:t>方式组织采购</w:t>
      </w:r>
      <w:r>
        <w:rPr/>
        <w:t>广东省自然灾害能力提升工程基层防灾项目（江门市）第二轮(三次)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广东省自然灾害能力提升工程基层防灾项目（江门市）第二轮(三次)</w:t>
      </w:r>
    </w:p>
    <w:p>
      <w:pPr>
        <w:pStyle w:val="null3"/>
        <w:ind w:firstLine="480"/>
      </w:pPr>
      <w:r>
        <w:rPr/>
        <w:t>采购计划编号：</w:t>
      </w:r>
      <w:r>
        <w:rPr/>
        <w:t>440701-2025-01098</w:t>
      </w:r>
    </w:p>
    <w:p>
      <w:pPr>
        <w:pStyle w:val="null3"/>
        <w:ind w:firstLine="480"/>
      </w:pPr>
      <w:r>
        <w:rPr/>
        <w:t>采购项目编号：</w:t>
      </w:r>
      <w:r>
        <w:rPr/>
        <w:t>JM2025-A015</w:t>
      </w:r>
    </w:p>
    <w:p>
      <w:pPr>
        <w:pStyle w:val="null3"/>
        <w:ind w:firstLine="480"/>
      </w:pPr>
      <w:r>
        <w:rPr/>
        <w:t>采购方式：</w:t>
      </w:r>
      <w:r>
        <w:rPr/>
        <w:t>公开招标</w:t>
      </w:r>
    </w:p>
    <w:p>
      <w:pPr>
        <w:pStyle w:val="null3"/>
        <w:ind w:firstLine="480"/>
      </w:pPr>
      <w:r>
        <w:rPr/>
        <w:t>预算金额：</w:t>
      </w:r>
      <w:r>
        <w:rPr/>
        <w:t>242,000.00</w:t>
      </w:r>
      <w:r>
        <w:rPr/>
        <w:t>元</w:t>
      </w:r>
    </w:p>
    <w:p>
      <w:pPr>
        <w:pStyle w:val="null3"/>
        <w:outlineLvl w:val="3"/>
      </w:pPr>
      <w:r>
        <w:rPr>
          <w:sz w:val="24"/>
          <w:b/>
        </w:rPr>
        <w:t>2.项目内容及需求情况（采购项目技术规格、参数及要求）</w:t>
      </w:r>
    </w:p>
    <w:p>
      <w:pPr>
        <w:pStyle w:val="null3"/>
      </w:pPr>
      <w:r>
        <w:rPr/>
        <w:t>采购包1(医疗设备):</w:t>
      </w:r>
    </w:p>
    <w:p>
      <w:pPr>
        <w:pStyle w:val="null3"/>
      </w:pPr>
      <w:r>
        <w:rPr/>
        <w:t>采购包预算金额：242,000.00元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应急救援设备类</w:t>
            </w:r>
          </w:p>
        </w:tc>
        <w:tc>
          <w:tcPr>
            <w:tcW w:type="dxa" w:w="2136"/>
          </w:tcPr>
          <w:p>
            <w:pPr>
              <w:pStyle w:val="null3"/>
            </w:pPr>
            <w:r>
              <w:rPr/>
              <w:t>便携式除颤仪</w:t>
            </w:r>
          </w:p>
        </w:tc>
        <w:tc>
          <w:tcPr>
            <w:tcW w:type="dxa" w:w="1187"/>
          </w:tcPr>
          <w:p>
            <w:pPr>
              <w:pStyle w:val="null3"/>
            </w:pPr>
            <w:r>
              <w:rPr/>
              <w:t>8(个)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应急救援设备类</w:t>
            </w:r>
          </w:p>
        </w:tc>
        <w:tc>
          <w:tcPr>
            <w:tcW w:type="dxa" w:w="2136"/>
          </w:tcPr>
          <w:p>
            <w:pPr>
              <w:pStyle w:val="null3"/>
            </w:pPr>
            <w:r>
              <w:rPr/>
              <w:t>便携式担架</w:t>
            </w:r>
          </w:p>
        </w:tc>
        <w:tc>
          <w:tcPr>
            <w:tcW w:type="dxa" w:w="1187"/>
          </w:tcPr>
          <w:p>
            <w:pPr>
              <w:pStyle w:val="null3"/>
            </w:pPr>
            <w:r>
              <w:rPr/>
              <w:t>2(个)</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合同履行期限：合同签订之日起90个日历天内。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3）具有良好的商业信誉和健全的财务会计制度：在投标文件中提供财务资料（复印件，盖供应商公章）和财务会计制度（盖供应商公章）。</w:t>
      </w:r>
    </w:p>
    <w:p>
      <w:pPr>
        <w:pStyle w:val="null3"/>
      </w:pPr>
      <w:r>
        <w:rPr/>
        <w:t>4）履行合同所必需的设备和专业技术能力：提供与开展业务有关的设备的资料（照片、图片等），及开展业务有关的人员技术证明（复印件）。</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采购包1（医疗设备）：</w:t>
      </w:r>
      <w:r>
        <w:rPr/>
        <w:t>参与的供应商（联合体）提供的货物全部由符合政策要求的中小企业制造</w:t>
      </w:r>
    </w:p>
    <w:p>
      <w:pPr>
        <w:pStyle w:val="null3"/>
        <w:outlineLvl w:val="3"/>
      </w:pPr>
      <w:r>
        <w:rPr>
          <w:sz w:val="24"/>
          <w:b/>
        </w:rPr>
        <w:t>3.本项目特定的资格要求：</w:t>
      </w:r>
    </w:p>
    <w:p>
      <w:pPr>
        <w:pStyle w:val="null3"/>
      </w:pPr>
      <w:r>
        <w:rPr/>
        <w:t>采购包1（医疗设备）：</w:t>
      </w:r>
    </w:p>
    <w:p>
      <w:pPr>
        <w:pStyle w:val="null3"/>
      </w:pPr>
      <w:r>
        <w:rPr/>
        <w:t>1)供应商应符合《医疗器械监督管理条例》等相关法律法规的规定：【适用于投标人为所投产品的经销商】须具有所投“便携式除颤仪”的《医疗器械经营许可证》。 【适用于投标人为所投产品生产厂家】须具有所投“便携式除颤仪”的《医疗器械生产许可证》。另外，“便携式除颤仪”应具备《医疗器械注册证》。</w:t>
      </w:r>
    </w:p>
    <w:p>
      <w:pPr>
        <w:pStyle w:val="null3"/>
      </w:pPr>
      <w:r>
        <w:rPr/>
        <w:t>2)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3)单位负责人为同一人或者存在直接控股、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江门市应急管理局</w:t>
      </w:r>
    </w:p>
    <w:p>
      <w:pPr>
        <w:pStyle w:val="null3"/>
        <w:ind w:firstLine="480"/>
      </w:pPr>
      <w:r>
        <w:rPr/>
        <w:t xml:space="preserve"> 地址：</w:t>
      </w:r>
      <w:r>
        <w:rPr/>
        <w:t>江门市农林东路23号</w:t>
      </w:r>
    </w:p>
    <w:p>
      <w:pPr>
        <w:pStyle w:val="null3"/>
        <w:ind w:firstLine="480"/>
      </w:pPr>
      <w:r>
        <w:rPr/>
        <w:t xml:space="preserve"> 联系方式：</w:t>
      </w:r>
      <w:r>
        <w:rPr/>
        <w:t>0750-3279679</w:t>
      </w:r>
    </w:p>
    <w:p>
      <w:pPr>
        <w:pStyle w:val="null3"/>
        <w:outlineLvl w:val="3"/>
      </w:pPr>
      <w:r>
        <w:rPr>
          <w:sz w:val="24"/>
          <w:b/>
        </w:rPr>
        <w:t xml:space="preserve"> 2.采购代理机构信息</w:t>
      </w:r>
    </w:p>
    <w:p>
      <w:pPr>
        <w:pStyle w:val="null3"/>
        <w:ind w:firstLine="480"/>
      </w:pPr>
      <w:r>
        <w:rPr/>
        <w:t xml:space="preserve"> 名称：</w:t>
      </w:r>
      <w:r>
        <w:rPr/>
        <w:t>江门市政府采购中心</w:t>
      </w:r>
    </w:p>
    <w:p>
      <w:pPr>
        <w:pStyle w:val="null3"/>
        <w:ind w:firstLine="480"/>
      </w:pPr>
      <w:r>
        <w:rPr/>
        <w:t xml:space="preserve"> 地址：</w:t>
      </w:r>
      <w:r>
        <w:rPr/>
        <w:t>江门市蓬江区堤西路88号三楼</w:t>
      </w:r>
    </w:p>
    <w:p>
      <w:pPr>
        <w:pStyle w:val="null3"/>
        <w:ind w:firstLine="480"/>
      </w:pPr>
      <w:r>
        <w:rPr/>
        <w:t xml:space="preserve"> 联系方式：</w:t>
      </w:r>
      <w:r>
        <w:rPr/>
        <w:t>0750-3509013</w:t>
      </w:r>
    </w:p>
    <w:p>
      <w:pPr>
        <w:pStyle w:val="null3"/>
        <w:outlineLvl w:val="3"/>
      </w:pPr>
      <w:r>
        <w:rPr>
          <w:sz w:val="24"/>
          <w:b/>
        </w:rPr>
        <w:t xml:space="preserve"> 3.项目联系方式</w:t>
      </w:r>
    </w:p>
    <w:p>
      <w:pPr>
        <w:pStyle w:val="null3"/>
        <w:ind w:firstLine="480"/>
      </w:pPr>
      <w:r>
        <w:rPr/>
        <w:t xml:space="preserve"> 项目联系人：</w:t>
      </w:r>
      <w:r>
        <w:rPr/>
        <w:t>陈嘉俊</w:t>
      </w:r>
    </w:p>
    <w:p>
      <w:pPr>
        <w:pStyle w:val="null3"/>
        <w:ind w:firstLine="480"/>
      </w:pPr>
      <w:r>
        <w:rPr/>
        <w:t xml:space="preserve"> 电话：</w:t>
      </w:r>
      <w:r>
        <w:rPr/>
        <w:t>0750-3509013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江门市政府采购中心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说明：本项目属于货物类项目，中小企业划分标准所属行业：工业。</w:t>
      </w:r>
    </w:p>
    <w:p>
      <w:pPr>
        <w:pStyle w:val="null3"/>
        <w:jc w:val="both"/>
      </w:pPr>
      <w:r>
        <w:rPr>
          <w:sz w:val="24"/>
        </w:rPr>
        <w:t xml:space="preserve">      本项目牵头单位为：江门市应急管理局，参与单位为：新会区应急管理局、江海区应急管理局、开平市应急管理局、鹤山市应急管理局、恩平市应急管理局。</w:t>
      </w:r>
    </w:p>
    <w:p>
      <w:pPr>
        <w:pStyle w:val="null3"/>
        <w:jc w:val="both"/>
      </w:pPr>
      <w:r>
        <w:rPr>
          <w:sz w:val="24"/>
        </w:rPr>
        <w:t xml:space="preserve">      江门市应急管理局作为本项目采购人（牵头单位）实施“统采分签”政府采购，项目完成采购后，由各采购单位（县、区应急管理局）分别与中标供应商签订合同并支付对应的合同资金。</w:t>
      </w:r>
    </w:p>
    <w:p>
      <w:pPr>
        <w:pStyle w:val="null3"/>
        <w:ind w:firstLine="360"/>
        <w:jc w:val="both"/>
      </w:pPr>
      <w:r>
        <w:rPr>
          <w:sz w:val="24"/>
        </w:rPr>
        <w:t>各采购单位采购情况</w:t>
      </w:r>
      <w:r>
        <w:rPr>
          <w:sz w:val="24"/>
        </w:rPr>
        <w:t>（</w:t>
      </w:r>
      <w:r>
        <w:rPr>
          <w:sz w:val="24"/>
        </w:rPr>
        <w:t>各类设备最高限价以此表为准</w:t>
      </w:r>
      <w:r>
        <w:rPr>
          <w:sz w:val="24"/>
        </w:rPr>
        <w:t>）：</w:t>
      </w:r>
    </w:p>
    <w:tbl>
      <w:tblPr>
        <w:tblW w:w="0" w:type="auto"/>
        <w:tblBorders>
          <w:top w:val="single"/>
          <w:left w:val="single"/>
          <w:bottom w:val="single"/>
          <w:right w:val="single"/>
          <w:insideH w:val="single"/>
          <w:insideV w:val="single"/>
        </w:tblBorders>
      </w:tblPr>
      <w:tblGrid>
        <w:gridCol w:w="1776"/>
        <w:gridCol w:w="1547"/>
        <w:gridCol w:w="540"/>
        <w:gridCol w:w="540"/>
        <w:gridCol w:w="540"/>
        <w:gridCol w:w="540"/>
        <w:gridCol w:w="540"/>
        <w:gridCol w:w="540"/>
        <w:gridCol w:w="741"/>
        <w:gridCol w:w="796"/>
        <w:gridCol w:w="741"/>
        <w:gridCol w:w="741"/>
      </w:tblGrid>
      <w:tr>
        <w:tc>
          <w:tcPr>
            <w:tcW w:type="dxa" w:w="9582"/>
            <w:gridSpan w:val="12"/>
            <w:tcMar>
              <w:top w:type="dxa" w:w="15"/>
              <w:left w:type="dxa" w:w="15"/>
              <w:right w:type="dxa" w:w="15"/>
            </w:tcMar>
            <w:vAlign w:val="center"/>
          </w:tcPr>
          <w:p>
            <w:pPr>
              <w:pStyle w:val="null3"/>
              <w:jc w:val="center"/>
            </w:pPr>
            <w:r>
              <w:rPr>
                <w:sz w:val="30"/>
              </w:rPr>
              <w:t>各采购单位采购情况</w:t>
            </w:r>
          </w:p>
        </w:tc>
      </w:tr>
      <w:tr>
        <w:tc>
          <w:tcPr>
            <w:tcW w:type="dxa" w:w="177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22"/>
                <w:b/>
                <w:color w:val="000000"/>
              </w:rPr>
              <w:t>种类</w:t>
            </w:r>
          </w:p>
        </w:tc>
        <w:tc>
          <w:tcPr>
            <w:tcW w:type="dxa" w:w="154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22"/>
                <w:b/>
                <w:color w:val="000000"/>
              </w:rPr>
              <w:t>装备类型</w:t>
            </w:r>
          </w:p>
        </w:tc>
        <w:tc>
          <w:tcPr>
            <w:tcW w:type="dxa" w:w="3240"/>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22"/>
                <w:b/>
                <w:color w:val="000000"/>
              </w:rPr>
              <w:t>需求单位及购置数量(台套)</w:t>
            </w:r>
          </w:p>
        </w:tc>
        <w:tc>
          <w:tcPr>
            <w:tcW w:type="dxa" w:w="74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22"/>
                <w:b/>
                <w:color w:val="000000"/>
              </w:rPr>
              <w:t>数量合计(台套)</w:t>
            </w:r>
          </w:p>
        </w:tc>
        <w:tc>
          <w:tcPr>
            <w:tcW w:type="dxa" w:w="7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22"/>
                <w:b/>
                <w:color w:val="000000"/>
              </w:rPr>
              <w:t>单价最高限价(万元)</w:t>
            </w:r>
          </w:p>
        </w:tc>
        <w:tc>
          <w:tcPr>
            <w:tcW w:type="dxa" w:w="74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22"/>
                <w:b/>
                <w:color w:val="000000"/>
              </w:rPr>
              <w:t>单项预算(万元)</w:t>
            </w:r>
          </w:p>
        </w:tc>
        <w:tc>
          <w:tcPr>
            <w:tcW w:type="dxa" w:w="74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22"/>
                <w:b/>
                <w:color w:val="000000"/>
              </w:rPr>
              <w:t>采购包</w:t>
            </w:r>
            <w:r>
              <w:br/>
            </w:r>
            <w:r>
              <w:rPr>
                <w:sz w:val="22"/>
                <w:b/>
                <w:color w:val="000000"/>
              </w:rPr>
              <w:t xml:space="preserve"> 预算</w:t>
            </w:r>
            <w:r>
              <w:br/>
            </w:r>
            <w:r>
              <w:rPr>
                <w:sz w:val="22"/>
                <w:b/>
                <w:color w:val="000000"/>
              </w:rPr>
              <w:t xml:space="preserve"> (万元)</w:t>
            </w:r>
          </w:p>
        </w:tc>
      </w:tr>
      <w:tr>
        <w:tc>
          <w:tcPr>
            <w:tcW w:type="dxa" w:w="1776"/>
            <w:vMerge/>
            <w:tcBorders>
              <w:top w:val="single" w:color="000000" w:sz="4"/>
              <w:left w:val="single" w:color="000000" w:sz="4"/>
              <w:bottom w:val="single" w:color="000000" w:sz="4"/>
              <w:right w:val="single" w:color="000000" w:sz="4"/>
            </w:tcBorders>
          </w:tcPr>
          <w:p/>
        </w:tc>
        <w:tc>
          <w:tcPr>
            <w:tcW w:type="dxa" w:w="1547"/>
            <w:vMerge/>
            <w:tcBorders>
              <w:top w:val="single" w:color="000000" w:sz="4"/>
              <w:left w:val="single" w:color="000000" w:sz="4"/>
              <w:bottom w:val="single" w:color="000000" w:sz="4"/>
              <w:right w:val="single" w:color="000000" w:sz="4"/>
            </w:tcBorders>
          </w:tcP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22"/>
                <w:b/>
                <w:color w:val="000000"/>
              </w:rPr>
              <w:t>江门市本级</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22"/>
                <w:b/>
                <w:color w:val="000000"/>
              </w:rPr>
              <w:t>新会</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22"/>
                <w:b/>
                <w:color w:val="000000"/>
              </w:rPr>
              <w:t>开平</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22"/>
                <w:b/>
                <w:color w:val="000000"/>
              </w:rPr>
              <w:t>鹤山</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22"/>
                <w:b/>
                <w:color w:val="000000"/>
              </w:rPr>
              <w:t>恩平</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22"/>
                <w:b/>
                <w:color w:val="000000"/>
              </w:rPr>
              <w:t>江海</w:t>
            </w:r>
          </w:p>
        </w:tc>
        <w:tc>
          <w:tcPr>
            <w:tcW w:type="dxa" w:w="741"/>
            <w:vMerge/>
            <w:tcBorders>
              <w:top w:val="single" w:color="000000" w:sz="4"/>
              <w:left w:val="single" w:color="000000" w:sz="4"/>
              <w:bottom w:val="single" w:color="000000" w:sz="4"/>
              <w:right w:val="single" w:color="000000" w:sz="4"/>
            </w:tcBorders>
          </w:tcPr>
          <w:p/>
        </w:tc>
        <w:tc>
          <w:tcPr>
            <w:tcW w:type="dxa" w:w="796"/>
            <w:vMerge/>
            <w:tcBorders>
              <w:top w:val="single" w:color="000000" w:sz="4"/>
              <w:left w:val="single" w:color="000000" w:sz="4"/>
              <w:bottom w:val="single" w:color="000000" w:sz="4"/>
              <w:right w:val="single" w:color="000000" w:sz="4"/>
            </w:tcBorders>
          </w:tcPr>
          <w:p/>
        </w:tc>
        <w:tc>
          <w:tcPr>
            <w:tcW w:type="dxa" w:w="741"/>
            <w:vMerge/>
            <w:tcBorders>
              <w:top w:val="single" w:color="000000" w:sz="4"/>
              <w:left w:val="single" w:color="000000" w:sz="4"/>
              <w:bottom w:val="single" w:color="000000" w:sz="4"/>
              <w:right w:val="single" w:color="000000" w:sz="4"/>
            </w:tcBorders>
          </w:tcPr>
          <w:p/>
        </w:tc>
        <w:tc>
          <w:tcPr>
            <w:tcW w:type="dxa" w:w="741"/>
            <w:vMerge/>
            <w:tcBorders>
              <w:top w:val="single" w:color="000000" w:sz="4"/>
              <w:left w:val="single" w:color="000000" w:sz="4"/>
              <w:bottom w:val="single" w:color="000000" w:sz="4"/>
              <w:right w:val="single" w:color="000000" w:sz="4"/>
            </w:tcBorders>
          </w:tcPr>
          <w:p/>
        </w:tc>
      </w:tr>
      <w:tr>
        <w:tc>
          <w:tcPr>
            <w:tcW w:type="dxa" w:w="177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22"/>
                <w:color w:val="000000"/>
              </w:rPr>
              <w:t>综合保障</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22"/>
                <w:color w:val="000000"/>
              </w:rPr>
              <w:t>便携式除颤仪</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22"/>
                <w:color w:val="000000"/>
              </w:rPr>
              <w:t>7</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22"/>
                <w:color w:val="000000"/>
              </w:rPr>
              <w:t>1</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7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22"/>
                <w:color w:val="000000"/>
              </w:rPr>
              <w:t>8</w:t>
            </w:r>
          </w:p>
        </w:tc>
        <w:tc>
          <w:tcPr>
            <w:tcW w:type="dxa" w:w="7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22"/>
                <w:color w:val="000000"/>
              </w:rPr>
              <w:t>3</w:t>
            </w:r>
          </w:p>
        </w:tc>
        <w:tc>
          <w:tcPr>
            <w:tcW w:type="dxa" w:w="7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22"/>
                <w:color w:val="000000"/>
              </w:rPr>
              <w:t>24</w:t>
            </w:r>
          </w:p>
        </w:tc>
        <w:tc>
          <w:tcPr>
            <w:tcW w:type="dxa" w:w="741"/>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sz w:val="22"/>
                <w:color w:val="000000"/>
              </w:rPr>
              <w:t>24.2</w:t>
            </w:r>
          </w:p>
        </w:tc>
      </w:tr>
      <w:tr>
        <w:tc>
          <w:tcPr>
            <w:tcW w:type="dxa" w:w="1776"/>
            <w:vMerge/>
            <w:tcBorders>
              <w:top w:val="single" w:color="000000" w:sz="4"/>
              <w:left w:val="single" w:color="000000" w:sz="4"/>
              <w:bottom w:val="single" w:color="000000" w:sz="4"/>
              <w:right w:val="single" w:color="000000" w:sz="4"/>
            </w:tcBorders>
          </w:tcP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22"/>
                <w:color w:val="000000"/>
              </w:rPr>
              <w:t>便携式担架</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22"/>
                <w:color w:val="000000"/>
              </w:rPr>
              <w:t>2</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7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22"/>
                <w:color w:val="000000"/>
              </w:rPr>
              <w:t>2</w:t>
            </w:r>
          </w:p>
        </w:tc>
        <w:tc>
          <w:tcPr>
            <w:tcW w:type="dxa" w:w="7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22"/>
                <w:color w:val="000000"/>
              </w:rPr>
              <w:t>0.1</w:t>
            </w:r>
          </w:p>
        </w:tc>
        <w:tc>
          <w:tcPr>
            <w:tcW w:type="dxa" w:w="7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22"/>
                <w:color w:val="000000"/>
              </w:rPr>
              <w:t>0.2</w:t>
            </w:r>
          </w:p>
        </w:tc>
        <w:tc>
          <w:tcPr>
            <w:tcW w:type="dxa" w:w="741"/>
            <w:vMerge/>
            <w:tcBorders>
              <w:top w:val="single" w:color="000000" w:sz="4"/>
              <w:left w:val="single" w:color="000000" w:sz="4"/>
              <w:bottom w:val="none" w:color="000000" w:sz="4"/>
              <w:right w:val="single" w:color="000000" w:sz="4"/>
            </w:tcBorders>
          </w:tcPr>
          <w:p/>
        </w:tc>
      </w:tr>
    </w:tbl>
    <w:p>
      <w:pPr>
        <w:pStyle w:val="null3"/>
      </w:pPr>
      <w:r>
        <w:rPr/>
        <w:t>采购包1（医疗设备）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合同签订生效后次日起90个日历天内交货、安装调试并交付使用。</w:t>
            </w:r>
          </w:p>
        </w:tc>
      </w:tr>
      <w:tr>
        <w:tc>
          <w:tcPr>
            <w:tcW w:type="dxa" w:w="4153"/>
          </w:tcPr>
          <w:p>
            <w:pPr>
              <w:pStyle w:val="null3"/>
            </w:pPr>
            <w:r>
              <w:rPr/>
              <w:t>标的提供的地点</w:t>
            </w:r>
          </w:p>
        </w:tc>
        <w:tc>
          <w:tcPr>
            <w:tcW w:type="dxa" w:w="4153"/>
          </w:tcPr>
          <w:p>
            <w:pPr>
              <w:pStyle w:val="null3"/>
            </w:pPr>
            <w:r>
              <w:rPr/>
              <w:t>本项目交货地点为各使用单位所在地点。</w:t>
            </w:r>
          </w:p>
        </w:tc>
      </w:tr>
      <w:tr>
        <w:tc>
          <w:tcPr>
            <w:tcW w:type="dxa" w:w="4153"/>
          </w:tcPr>
          <w:p>
            <w:pPr>
              <w:pStyle w:val="null3"/>
            </w:pPr>
            <w:r>
              <w:rPr/>
              <w:t>付款方式</w:t>
            </w:r>
          </w:p>
        </w:tc>
        <w:tc>
          <w:tcPr>
            <w:tcW w:type="dxa" w:w="4153"/>
          </w:tcPr>
          <w:p>
            <w:pPr>
              <w:pStyle w:val="null3"/>
            </w:pPr>
            <w:r>
              <w:rPr/>
              <w:t>1期：支付比例50%,合同签订生效之日起且采购人收到等额正式发票后10个工作日内，采购人支付合同总金额的50%作为预付款</w:t>
            </w:r>
          </w:p>
          <w:p>
            <w:pPr>
              <w:pStyle w:val="null3"/>
            </w:pPr>
            <w:r>
              <w:rPr/>
              <w:t>2期：支付比例10%,本项目装备到货后初步验收合格且采购人收到等额正式发票后10个工作日内，采购人支付合同总金额的10%</w:t>
            </w:r>
          </w:p>
          <w:p>
            <w:pPr>
              <w:pStyle w:val="null3"/>
            </w:pPr>
            <w:r>
              <w:rPr/>
              <w:t>3期：支付比例40%,本项目完成安装调试并通过最终验收之日起且采购人收到等额正式发票后10个工作日内，采购人支付合同总金额的40%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安装调试验收应在采购人和中标人双方共同参加下进行。验收按相关规定、规范进行。验收时如发现所交付的设施有短装、次品、损坏或其它不符合规定之情形者，采购人应做出详尽的现场记录，或由采购人和中标人双方签署备忘录。此现场记录或备忘录可用作补充、缺失和更换损坏部件的有效证据，由此产生的有关费用由中标人承担。2.货物若有国家标准按照国家标准验收，若无国家标准按行业标准验收，为原制造商制造的全新产品，整机无污染，无侵权行为、表面无划损、无任何缺陷隐患，在中国境内可依常规安全合法使用。3.货物为原厂商未启封全新包装，具出厂合格证，序列号、包装箱号与出厂批号一致，并可追索查阅。所有随设备的附件应齐全。如商检或者货物测试中发现货物性能指标或者功能上不符合招标文件和合同要求时，将被看作性能不合格，采购人有权拒收并要求赔偿。4.中标人应将关键主机设备的用户手册、保修手册、有关单证资料及配备件、随机工具等交付给采购人，使用操作及安全须知等重要资料应附有中文说明。5.采购人组成验收小组按国家有关规定、规范进行验收，必要时邀请相关的专业人员或机构参与验收。因货物质量问题发生争议时，由本地质量技术监督部门鉴定（鉴定费用已包含在本次项目投标报价中）。 6.验收时中标人负责将全部有关技术文件、资料、及安装、测试、验收报告等到文档汇集成册交付采购人。7.中标人应依照采购文件的要求和投标文件的承诺，将设备安装并调试至正常运行的最佳状态，最终保证通过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p>
          <w:p>
            <w:pPr>
              <w:pStyle w:val="null3"/>
            </w:pPr>
            <w:r>
              <w:rPr/>
              <w:t>说明：投标人须在合同签订后 5个工作日内向采购人应当以支票、汇票、本票或者金融机构、担保机构出具的保函等非现金形式缴纳合同总价的5%作为的履约保证金，如投标人在合同签订后 5 个工作日内未按要求缴纳履约保证金或提交履约保函的，视为违约，采购人有权单方面终止采购合同。履约保证金在货物验收合格后，收到投标人退还资料(合同、退还申请等)10个工作日内无息退还。</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交货保障</w:t>
            </w:r>
          </w:p>
        </w:tc>
        <w:tc>
          <w:tcPr>
            <w:tcW w:type="dxa" w:w="2076"/>
          </w:tcPr>
          <w:p>
            <w:pPr>
              <w:pStyle w:val="null3"/>
              <w:jc w:val="left"/>
            </w:pPr>
            <w:r>
              <w:rPr/>
              <w:t>一、投标人有完善的交货保障方案及排产时间节点，保障在履约期限内完成交货、安装调试并交付使用。二、交货地点：本项目交货地点为各使用单位所在地点。三、包装、保险及发运、保管要求：1.设备材料的包装应是制造商原厂包装，其包装均应有良好的防湿、防锈、防潮、防雨、防腐及防碰撞的措施。由于包装不善导致货物锈蚀、失缺或损坏，由中标人承担一切责任。2.中标人负责将设备材料货到现场过程中的全部运输，包括装卸车、货物现场的搬运。3.各种设备应提供装箱清单，按装箱清单验收货物。4.货物在现场的保管由中标人负责，直至项目安装、验收完毕。5.货物在系统安装调试验收合格前的保险由中标人负责，中标人负责其派出的现场服务人员人身意外保险。6.设备至采购人指定的使用现场的包装、保险及发运等环节由中标人负责，相关费用已全部包含在本项目投标报价中。</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1.供应商保证其自身具有销售或供货资格，不存在任何侵犯第三方销售资质的情况，包括不限于地区独家销售权，产品独家销售权等，且货物是通过合法渠道进货、全新且未使用过的，所有权没有任何瑕疵的（即不存在资产抵押或其他可能影响货物所有权的事宜），其质量、规格及技术特征应符合采购项目技术规格、参数的要求。2.供应商应于验收后向采购人提供项目各项详细验收报告和技术文件。技术文件包括完整的软、硬件技术资料（含纸介质和光电介质）。3.供应商应以书面形式提供货物原厂家承诺的质量保证。4.质保期：供应商提供所投产品不少于2年的质保服务，质保期内供应商需承诺为本项目提供实时远程技术支持、设备维修支持、技术人员辅导、用户回访等售后服务，所需费用已全部包含在本项目投标报价中，不再另行收取。（提供承诺函，承诺函格式可参考投标文件格式）质保期自采购人、供应商双方代表在货物交付后的验收合格报告书上签字之日起计算。质保期内，供应商负责对其提供的全部货物进行上门维修和维护，所需费用已全部包含在本次投标报价中，不另向采购人收取任何费用。投标时应明确质保服务过程中提供的材料和服务的内容。质保期内非采购人的人为原因而出现货物质量及安装问题，由供应商负责包修、包换或包退，由此而产生的一切费用已包含在本次项目投标报价中；包修、包换或包退的零部件等设备，从修、换后且验收合格之日起重新起算质保期。5.保修期：质保期后，由供应商提供不少于3年的保修服务，保修期所需费用已全部包含在本次投标报价中。在维修过程中供应商只收取材料成本费，不再收取额外服务费及其相关费用。如有下列情况之一的除外：①采购人不按照供应商提供的正确方法使用而引致货物故障损坏；②采购人擅自改装货物；③各种人为因素或不可抗力事件造成的损坏。6.终身维护期：货物交付使用后以书面形式承诺维修服务，实行正常服役期内终身维护，继续提供维修、零配件供应等服务，提供终身维护期内的周转备品保障服务（相关备品备件的所有权归采购人所有），人工保修费用计入合同总价，中标供应商只收取材料成本费。供应商应提供7*24小时电话服务热线，保证在接到采购人故障报告电话后24小时内到达现场维修。如供应商未能及时响应，采购人扣除2%的履约保证金（累计计算），且采购人有权委托第三方处理，第三方处理的费用由供应商承担。遇不可抗力，不能按规定到达维修地点的，应及时通知采购人并说明原因。终身维护期内，供应商应负责货物运行的稳定性。7.供应商向采购人提供全寿命周期的主要耗损件、易损件及更换总成的目录和年度价格清单，且保证供应价格符合市场价标准，如采购人向供应商单独订购零配件，供应商应给予采购人一定的优惠。国内零配件的供应时间不得长于10天，进口零配件不得长于30天。8.供应商应建立缺陷产品召回制，因货物发生质量问题需要成批召回维修的，供应商应及时通知采购人并积极协助办理有关手续，一切费用由供应商承担。如有重大质量问题，应按照国内相关法律规定程序进行退货、更换等，并承担相关的违约责任。9.依据法律规定或直观观察等日常生活经验能够直接确认的事实，可以直接作为判断是否有质量问题的依据，无需鉴定；确需鉴定的，由供应商按采购人要求送国家消防装备质量监督检验中心检验，鉴定费用全部由供应商承担。检验报告货物不符合质量标准的，采购人有权追究供应商的责任。供应商拒绝送检的，采购人可判定货物不符合质量标准，不予通过验收并追究供应商责任。10.供应商应承诺中标后在采购人所在地有固定的售后服务机构，包括不限于维修办公场地，并具有取得授权的专业技术人员和零配件库存。供应商须委托授权采购人维修中心，对其广东省内销售的产品进行维修保养工作。（提供承诺函，承诺函格式可参考投标文件格式）11.本项目合同签订后，供应商为采购人的联勤联动单位，应提供应急救援装备物资存储、应急供应、售后响应和技术保障等服务。可建立公路、水路、铁路和航空等应急调运与配送机制。遇有重大灾害事故处置，要快速响应，选派素质好、业务精的人员进行应急供应、技术保障，提供技术支持、现场抢修等应急服务，采购人仅承担上述行动中产生的灭火药剂的费用以及消防装备器材损耗（如有）的维修费用。12.技术成果归属：采购人与供应商在项目实施过程中，产生新的技术成果的（双方先应根据惯例常识判断是否为新产生，不能对判断结果达成一致的，则按照未获得相应知识产权权利证书的即为新产生的标准适用），其相应的知识产权归采购人所有。供应商不得在未征求采购人书面同意的情况下使用或者授权他人使用该技术成果及相关信息，否则相关收益归采购人所有，供应商应另向采购人承担违约责任。</w:t>
            </w:r>
          </w:p>
        </w:tc>
      </w:tr>
      <w:tr>
        <w:tc>
          <w:tcPr>
            <w:tcW w:type="dxa" w:w="2076"/>
          </w:tcPr>
          <w:p/>
        </w:tc>
        <w:tc>
          <w:tcPr>
            <w:tcW w:type="dxa" w:w="2076"/>
          </w:tcPr>
          <w:p>
            <w:pPr>
              <w:pStyle w:val="null3"/>
              <w:jc w:val="center"/>
            </w:pPr>
            <w:r>
              <w:rPr/>
              <w:t>3</w:t>
            </w:r>
          </w:p>
        </w:tc>
        <w:tc>
          <w:tcPr>
            <w:tcW w:type="dxa" w:w="2076"/>
          </w:tcPr>
          <w:p>
            <w:pPr>
              <w:pStyle w:val="null3"/>
              <w:jc w:val="left"/>
            </w:pPr>
            <w:r>
              <w:rPr/>
              <w:t>培训要求</w:t>
            </w:r>
          </w:p>
        </w:tc>
        <w:tc>
          <w:tcPr>
            <w:tcW w:type="dxa" w:w="2076"/>
          </w:tcPr>
          <w:p>
            <w:pPr>
              <w:pStyle w:val="null3"/>
              <w:jc w:val="left"/>
            </w:pPr>
            <w:r>
              <w:rPr/>
              <w:t>1.交货后，供应商为采购人提供操作及维护培训直至采购人掌握相应的技能为止，主要内容为货物的基本结构、性能、主要部件的构造及原理，日常使用操作、保养与管理，常见故障的排除，紧急情况的处理等，普通器材培训不少于半天，新型器材、特种器材培训时间不少于1天。培训地点主要在货物安装现场或按双方协商安排。培训后形成培训记录，记录应包括培训项目和参加人员等信息，并由双方签字存档。相关培训费用已包含在本次项目投标报价中。2.供应商应建立质量跟踪档案，每季度不少于一次向采购人进行现场（或电话）回访，每年不少于一次巡检和培训，以保证货物的正常高效使用，并保存售后服务情况记录及采购人使用单位的反馈意见。如供应商已与采购人设立的维修中心签订了售后服务协议，供应商至少每半年与维修中心开展一次技术交流活动，并采取派人现场培训或入厂培训的方式对维修中心员工进行技术培训。</w:t>
            </w:r>
          </w:p>
        </w:tc>
      </w:tr>
      <w:tr>
        <w:tc>
          <w:tcPr>
            <w:tcW w:type="dxa" w:w="2076"/>
          </w:tcPr>
          <w:p/>
        </w:tc>
        <w:tc>
          <w:tcPr>
            <w:tcW w:type="dxa" w:w="2076"/>
          </w:tcPr>
          <w:p>
            <w:pPr>
              <w:pStyle w:val="null3"/>
              <w:jc w:val="center"/>
            </w:pPr>
            <w:r>
              <w:rPr/>
              <w:t>4</w:t>
            </w:r>
          </w:p>
        </w:tc>
        <w:tc>
          <w:tcPr>
            <w:tcW w:type="dxa" w:w="2076"/>
          </w:tcPr>
          <w:p>
            <w:pPr>
              <w:pStyle w:val="null3"/>
              <w:jc w:val="left"/>
            </w:pPr>
            <w:r>
              <w:rPr/>
              <w:t>违约责任</w:t>
            </w:r>
          </w:p>
        </w:tc>
        <w:tc>
          <w:tcPr>
            <w:tcW w:type="dxa" w:w="2076"/>
          </w:tcPr>
          <w:p>
            <w:pPr>
              <w:pStyle w:val="null3"/>
              <w:jc w:val="left"/>
            </w:pPr>
            <w:r>
              <w:rPr/>
              <w:t>1.统采分签甲方单位逾期支付货款或无正当理由拒收货物的，从逾期之日起每逾期1天，统采分签甲方单位向供应商支付欠款总额的3‰违约金，但累计违约金总额不超过欠款总额的5％。但因财政支付管理流程导致的支付延期除外。2.供应商逾期交付货物的，从逾期之日起每逾期1天，采购人扣除履约保证金的5%；如供应商逾期交货达30天，统采分签甲方单位有权解除本合同，并报江门市财政局处理。3.供应商交付的货物不符合约定的，统采分签甲方单位有权拒收货物，供应商应当在统采分签甲方单位指定的期限内采取补救措施。如供应商在统采分签甲方单位指定的期限内仍无法提供符合约定的货物，统采分签甲方单位有权解除本合同，并报江门市财政局处理。4.项目实施过程中，供应商必须严格遵守服务质量承诺及相关管理规定确保服务质量，对于违反服务质量承诺和服务水平约定造成服务质量下降的，统采分签甲方单位或统采分签甲方单位聘请的监理单位向供应商发出书面整改通知单，供应商应限期整改，采购人按次扣除履约保证金的10%。因服务质量下降造成统采分签甲方单位损失的，供应商应承担赔偿责任。并由采购人报江门市财政局处理。5.本条所称的违约行为造成的守约方损失包括但不限于守约方的直接经济损失以及为实现债权而支出的律师费、保全费、诉讼费、公证费、鉴定费、调查费等一切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应急救援设备类</w:t>
            </w:r>
          </w:p>
        </w:tc>
        <w:tc>
          <w:tcPr>
            <w:tcW w:type="dxa" w:w="831"/>
          </w:tcPr>
          <w:p>
            <w:pPr>
              <w:pStyle w:val="null3"/>
              <w:jc w:val="left"/>
            </w:pPr>
            <w:r>
              <w:rPr/>
              <w:t>便携式除颤仪</w:t>
            </w:r>
          </w:p>
        </w:tc>
        <w:tc>
          <w:tcPr>
            <w:tcW w:type="dxa" w:w="831"/>
          </w:tcPr>
          <w:p>
            <w:pPr>
              <w:pStyle w:val="null3"/>
              <w:jc w:val="left"/>
            </w:pPr>
            <w:r>
              <w:rPr/>
              <w:t>个</w:t>
            </w:r>
          </w:p>
        </w:tc>
        <w:tc>
          <w:tcPr>
            <w:tcW w:type="dxa" w:w="831"/>
          </w:tcPr>
          <w:p>
            <w:pPr>
              <w:pStyle w:val="null3"/>
              <w:jc w:val="right"/>
            </w:pPr>
            <w:r>
              <w:rPr/>
              <w:t>8.00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应急救援设备类</w:t>
            </w:r>
          </w:p>
        </w:tc>
        <w:tc>
          <w:tcPr>
            <w:tcW w:type="dxa" w:w="831"/>
          </w:tcPr>
          <w:p>
            <w:pPr>
              <w:pStyle w:val="null3"/>
              <w:jc w:val="left"/>
            </w:pPr>
            <w:r>
              <w:rPr/>
              <w:t>便携式担架</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便携式除颤仪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▲1.整机重量（含电池）≤2.5Kg；主机具备便携把手。</w:t>
            </w:r>
          </w:p>
          <w:p>
            <w:pPr>
              <w:pStyle w:val="null3"/>
              <w:jc w:val="both"/>
            </w:pPr>
            <w:r>
              <w:rPr>
                <w:sz w:val="24"/>
              </w:rPr>
              <w:t>▲2.应能承受在任何角度≥1.5m高度跌落后仍无功能性损坏；防尘防水级别：≥IP55。</w:t>
            </w:r>
          </w:p>
          <w:p>
            <w:pPr>
              <w:pStyle w:val="null3"/>
              <w:jc w:val="both"/>
            </w:pPr>
            <w:r>
              <w:rPr>
                <w:sz w:val="24"/>
              </w:rPr>
              <w:t>▲3.工作温度范围至少满足-5ºC～50ºC，且从室温环境下进入≤-20ºC环境后，工作时间≥60min。</w:t>
            </w:r>
          </w:p>
          <w:p>
            <w:pPr>
              <w:pStyle w:val="null3"/>
              <w:jc w:val="both"/>
            </w:pPr>
            <w:r>
              <w:rPr>
                <w:sz w:val="24"/>
              </w:rPr>
              <w:t>▲4.采用除颤脉冲双相波。输出能量：成人最大能量可支持360J，除颤能量输出精度±10%。从开机到200J放电准备就绪用时≤8s。</w:t>
            </w:r>
          </w:p>
          <w:p>
            <w:pPr>
              <w:pStyle w:val="null3"/>
              <w:jc w:val="both"/>
            </w:pPr>
            <w:r>
              <w:rPr>
                <w:sz w:val="24"/>
              </w:rPr>
              <w:t>5.提供≥7英寸的显示屏，屏幕分辨率≥780×480，支持动画指导用户执行急救操作。</w:t>
            </w:r>
          </w:p>
          <w:p>
            <w:pPr>
              <w:pStyle w:val="null3"/>
              <w:jc w:val="both"/>
            </w:pPr>
            <w:r>
              <w:rPr>
                <w:sz w:val="24"/>
              </w:rPr>
              <w:t>6.采用开盖开机方式，符合施救者直觉设计。具备录音和数据存储功能，可保存≥60min抢救现场录音。可存储ECG波形数据、事件数据、急救数据（须有急救时间、CPR 持续时间、放电次数等要素）、录音数据等，可存储≥900份自检报告。支持USB接口，可通过外部USB闪存设备导出抢救记录数据。</w:t>
            </w:r>
          </w:p>
          <w:p>
            <w:pPr>
              <w:pStyle w:val="null3"/>
              <w:jc w:val="both"/>
            </w:pPr>
            <w:r>
              <w:rPr>
                <w:sz w:val="24"/>
              </w:rPr>
              <w:t>7.具备自检功能：具备每日、每周、每月、每季度的设备自检和用户手动自检，：可根据自检结果，红灯/绿灯显示设备状态，不开机情况下可提示故障。</w:t>
            </w:r>
          </w:p>
          <w:p>
            <w:pPr>
              <w:pStyle w:val="null3"/>
              <w:jc w:val="both"/>
            </w:pPr>
            <w:r>
              <w:rPr>
                <w:sz w:val="24"/>
              </w:rPr>
              <w:t>8.一次性电池在室温温度环境下，电池有效期≥5年。配备一次性电极片20片，一次性电极片（单片）出厂有效期≥60 个月。</w:t>
            </w:r>
          </w:p>
          <w:p>
            <w:pPr>
              <w:pStyle w:val="null3"/>
              <w:jc w:val="both"/>
            </w:pPr>
            <w:r>
              <w:rPr>
                <w:sz w:val="24"/>
              </w:rPr>
              <w:t>▲9.本次所投产品必须为2023年以后上市机型。</w:t>
            </w:r>
          </w:p>
          <w:p>
            <w:pPr>
              <w:pStyle w:val="null3"/>
              <w:jc w:val="both"/>
            </w:pPr>
            <w:r>
              <w:rPr>
                <w:sz w:val="24"/>
              </w:rPr>
              <w:t>10.具备心率分析功能，心率分析时间≤5秒，并在心率分析完成后能立刻放电，实施放电应由操作者决定。</w:t>
            </w:r>
          </w:p>
          <w:p>
            <w:pPr>
              <w:pStyle w:val="null3"/>
              <w:jc w:val="both"/>
            </w:pPr>
            <w:r>
              <w:rPr>
                <w:sz w:val="24"/>
              </w:rPr>
              <w:t>11.配备培训学习机（训练机）一台、便携包、训练人体模型一套。</w:t>
            </w:r>
          </w:p>
          <w:p>
            <w:pPr>
              <w:pStyle w:val="null3"/>
              <w:jc w:val="both"/>
            </w:pPr>
            <w:r>
              <w:rPr>
                <w:sz w:val="24"/>
              </w:rPr>
              <w:t>12.自动体外除颤仪应附有配套的挂壁式机柜，机柜上应印有AED电子地图二维码，扫码即可快速查找和定位AED，电子地图应具备上传AED、地址纠错、呼叫急救志愿者等功能。</w:t>
            </w:r>
          </w:p>
          <w:p>
            <w:pPr>
              <w:pStyle w:val="null3"/>
              <w:jc w:val="both"/>
            </w:pPr>
            <w:r>
              <w:rPr>
                <w:sz w:val="24"/>
              </w:rPr>
              <w:t>13.主机使用时间≥10年。</w:t>
            </w:r>
          </w:p>
          <w:p>
            <w:pPr>
              <w:pStyle w:val="null3"/>
              <w:jc w:val="both"/>
            </w:pPr>
            <w:r>
              <w:rPr>
                <w:sz w:val="24"/>
              </w:rPr>
              <w:t>14.具备在成人模式和儿童模式下除颤能量分别自动递增功能，首次电击没有消除室颤时，第二次和第三次电击分别会自动提供更高级别能量，第三次后的后续电击维持最大能量。</w:t>
            </w:r>
          </w:p>
          <w:p>
            <w:pPr>
              <w:pStyle w:val="null3"/>
              <w:jc w:val="both"/>
            </w:pPr>
            <w:r>
              <w:rPr>
                <w:sz w:val="24"/>
              </w:rPr>
              <w:t>15.支持中英文双语播报，并且可以一键切换。</w:t>
            </w:r>
          </w:p>
          <w:p>
            <w:pPr>
              <w:pStyle w:val="null3"/>
              <w:jc w:val="both"/>
            </w:pPr>
            <w:r>
              <w:rPr>
                <w:sz w:val="24"/>
              </w:rPr>
              <w:t>16.自动识别成人、儿童电极片，并根据电极片类型自动选择对应的除颤能量；可识别电极片有效期，检测到电极片过期时给出报警提示。</w:t>
            </w:r>
          </w:p>
          <w:p>
            <w:pPr>
              <w:pStyle w:val="null3"/>
              <w:jc w:val="both"/>
            </w:pPr>
            <w:r>
              <w:rPr>
                <w:sz w:val="24"/>
              </w:rPr>
              <w:t>17.配套电极片可监测CPR按压频率，并在屏幕上实时显示，当按压频率不规范时，屏幕上可提供不同颜色反馈。</w:t>
            </w:r>
          </w:p>
          <w:p>
            <w:pPr>
              <w:pStyle w:val="null3"/>
              <w:jc w:val="both"/>
            </w:pPr>
            <w:r>
              <w:rPr>
                <w:sz w:val="24"/>
              </w:rPr>
              <w:t>18.可检测电池低电量并给出报警提示，至少可持续30分钟工作时间和至少10次200J除颤放电或至少6次360J除颤放电。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便携式担架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1.展开尺寸：≥215×55×15cm，折叠尺寸：≤55×30×20cm。</w:t>
            </w:r>
          </w:p>
          <w:p>
            <w:pPr>
              <w:pStyle w:val="null3"/>
              <w:jc w:val="both"/>
            </w:pPr>
            <w:r>
              <w:rPr>
                <w:sz w:val="24"/>
              </w:rPr>
              <w:t>2.净重：≥7.5kg。最大承重：≥160kg。</w:t>
            </w:r>
          </w:p>
          <w:p>
            <w:pPr>
              <w:pStyle w:val="null3"/>
              <w:jc w:val="both"/>
            </w:pPr>
            <w:r>
              <w:rPr>
                <w:sz w:val="24"/>
              </w:rPr>
              <w:t>3.材质：高强度铝合金制成，面料：牛津革面。</w:t>
            </w:r>
          </w:p>
          <w:p>
            <w:pPr>
              <w:pStyle w:val="null3"/>
              <w:jc w:val="both"/>
            </w:pPr>
            <w:r>
              <w:rPr>
                <w:sz w:val="24"/>
              </w:rPr>
              <w:t>4.具有四个支撑脚，在凹凸不平的场地也可对病人进行救援。</w:t>
            </w:r>
          </w:p>
          <w:p>
            <w:pPr>
              <w:pStyle w:val="null3"/>
              <w:jc w:val="both"/>
            </w:pPr>
            <w:r>
              <w:rPr>
                <w:sz w:val="24"/>
              </w:rPr>
              <w:t>5.配备两根安全绑带；把手配备防滑把手套。</w:t>
            </w:r>
          </w:p>
          <w:p>
            <w:pPr>
              <w:pStyle w:val="null3"/>
              <w:jc w:val="both"/>
            </w:pPr>
            <w:r>
              <w:rPr>
                <w:sz w:val="24"/>
              </w:rPr>
              <w:t>6.可四折叠收纳，配备可背负及手提两用箱包。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1.采购代理机构：本项目是指江门市政府采购中心，负责整个采购活动的组织，依法负责编制和发布招标文件，对招标文件拥有最终的解释权，不以任何身份出任评标委员会成员。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江门市应急管理局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兼投不兼中：兼投不兼中：本项目兼投不兼中，每个投标人最多只能被确定为1个子包的第一中标候选人。本项目按子包的顺序进行评审，依次按照评标总得分由高到低的顺序，每包组推荐三名中标候选人。 已获得子包一的第一中标候选人资格的，将不具有子包二的候选人推荐资格；子包二从具有中标候选人资格的投标人中，排名最高的投标供应商为第一中标候选人，排名次高的投标供应商为第二中标候选人，排名第三的投标供应商为第三中标候选人；以此类推确定全部各子包的中标候选供应商。 根据本项目约定的兼投不兼中原则和第一次采购的结果，拒绝第一次采购中包组1的中标供应商投标，拒绝第一次采购中包组2的中标供应商投标。 在计算最多可成为2个包组的第一中标候选人时，符合《企业关系声明函》条件之一的视同为相同的第一中标候选人（以投标人提交的《企业关系声明函》作为判定依据，《企业关系声明函》格式详见附件。如供应商与其他供应商有关，且没有提供该声明函并获得中标的，采购人报政府监督管理部门依法处理。）</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不收取。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不收取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30分钟，具体情况根据开标时现场代理机构工作人员设置为准。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江门市政府采购中心</w:t>
      </w:r>
      <w:r>
        <w:rPr/>
        <w:t>代收。具体操作要求详见</w:t>
      </w:r>
      <w:r>
        <w:rPr/>
        <w:t>江门市政府采购中心</w:t>
      </w:r>
      <w:r>
        <w:rPr/>
        <w:t>有关指引，递交事宜请自行咨询</w:t>
      </w:r>
      <w:r>
        <w:rPr/>
        <w:t>江门市政府采购中心</w:t>
      </w:r>
      <w:r>
        <w:rPr/>
        <w:t>；请各投标人在投标文件递交截止时间前按须知前附表规定的金额递交至</w:t>
      </w:r>
      <w:r>
        <w:rPr/>
        <w:t>江门市政府采购中心</w:t>
      </w:r>
      <w:r>
        <w:rPr/>
        <w:t>，到账情况以开标时</w:t>
      </w:r>
      <w:r>
        <w:rPr/>
        <w:t>江门市政府采购中心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余瑞莲</w:t>
      </w:r>
    </w:p>
    <w:p>
      <w:pPr>
        <w:pStyle w:val="null3"/>
        <w:ind w:firstLine="480"/>
      </w:pPr>
      <w:r>
        <w:rPr/>
        <w:t>电话：</w:t>
      </w:r>
      <w:r>
        <w:rPr/>
        <w:t>0750-3279679</w:t>
      </w:r>
    </w:p>
    <w:p>
      <w:pPr>
        <w:pStyle w:val="null3"/>
        <w:ind w:firstLine="480"/>
      </w:pPr>
      <w:r>
        <w:rPr/>
        <w:t>传真：</w:t>
      </w:r>
      <w:r>
        <w:rPr/>
        <w:t>-</w:t>
      </w:r>
    </w:p>
    <w:p>
      <w:pPr>
        <w:pStyle w:val="null3"/>
        <w:ind w:firstLine="480"/>
      </w:pPr>
      <w:r>
        <w:rPr/>
        <w:t>邮箱：</w:t>
      </w:r>
      <w:r>
        <w:rPr/>
        <w:t>-</w:t>
      </w:r>
    </w:p>
    <w:p>
      <w:pPr>
        <w:pStyle w:val="null3"/>
        <w:ind w:firstLine="480"/>
      </w:pPr>
      <w:r>
        <w:rPr/>
        <w:t>地址：</w:t>
      </w:r>
      <w:r>
        <w:rPr/>
        <w:t>江门市农林东路23号</w:t>
      </w:r>
    </w:p>
    <w:p>
      <w:pPr>
        <w:pStyle w:val="null3"/>
        <w:ind w:firstLine="480"/>
      </w:pPr>
      <w:r>
        <w:rPr/>
        <w:t>邮编：</w:t>
      </w:r>
      <w:r>
        <w:rPr/>
        <w:t>529000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采购包1(医疗设备)：综合评分法,是指投标文件满足招标文件全部实质性要求，且按照评审因素的量化指标评审得分最高的投标人为中标候选人的评标方法。（最低报价不是中标的唯一依据。）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江门市政府采购中心</w:t>
      </w:r>
      <w:r>
        <w:rPr/>
        <w:t>统一对外发布。</w:t>
      </w:r>
    </w:p>
    <w:p>
      <w:pPr>
        <w:pStyle w:val="null3"/>
        <w:ind w:firstLine="480"/>
      </w:pPr>
      <w:r>
        <w:rPr/>
        <w:t>（2）对</w:t>
      </w:r>
      <w:r>
        <w:rPr/>
        <w:t>江门市政府采购中心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采购包1（医疗设备）：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对获得节能产品认证证书或环境标志产品认证证书的产品给予2%的价格扣除，具体扣除比例根据节能产品或环境标志产品在采购项目中的重要性、所占比重等因素确定。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在投标文件中提供财务资料（复印件，盖供应商公章）和财务会计制度（盖供应商公章）。</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提供与开展业务有关的设备的资料（照片、图片等），及开展业务有关的人员技术证明（复印件）。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供应商应具有“便携式除颤仪”的《医疗器械经营许可证》或《医疗器械生产许可证》，且其所投的“便携式除颤仪”应具备《医疗器械注册证》。</w:t>
            </w:r>
          </w:p>
        </w:tc>
        <w:tc>
          <w:tcPr>
            <w:tcW w:type="dxa" w:w="4238"/>
          </w:tcPr>
          <w:p>
            <w:pPr>
              <w:pStyle w:val="null3"/>
            </w:pPr>
            <w:r>
              <w:rPr/>
              <w:t>供应商应符合《医疗器械监督管理条例》等相关法律法规的规定：【适用于投标人为所投产品的经销商】须具有所投“便携式除颤仪”的《医疗器械经营许可证》。 【适用于投标人为所投产品生产厂家】须具有所投“便携式除颤仪”的《医疗器械生产许可证》。另外，“便携式除颤仪”应具备《医疗器械注册证》。</w:t>
            </w:r>
          </w:p>
        </w:tc>
      </w:tr>
      <w:tr>
        <w:tc>
          <w:tcPr>
            <w:tcW w:type="dxa" w:w="890"/>
          </w:tcPr>
          <w:p>
            <w:pPr>
              <w:pStyle w:val="null3"/>
            </w:pPr>
            <w:r>
              <w:rPr/>
              <w:t>7</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参与的供应商（联合体）提供的货物全部由符合政策要求的中小企业制造</w:t>
            </w:r>
          </w:p>
        </w:tc>
      </w:tr>
    </w:tbl>
    <w:p>
      <w:pPr>
        <w:pStyle w:val="null3"/>
        <w:ind w:firstLine="480"/>
      </w:pPr>
      <w:r>
        <w:rPr/>
        <w:t>表二符合性审查表：</w:t>
      </w:r>
    </w:p>
    <w:p>
      <w:pPr>
        <w:pStyle w:val="null3"/>
      </w:pPr>
      <w:r>
        <w:rPr/>
        <w:t>采购包1（医疗设备）：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满足招标文件实质性要求</w:t>
            </w:r>
          </w:p>
        </w:tc>
        <w:tc>
          <w:tcPr>
            <w:tcW w:type="dxa" w:w="4238"/>
          </w:tcPr>
          <w:p>
            <w:pPr>
              <w:pStyle w:val="null3"/>
            </w:pPr>
            <w:r>
              <w:rPr/>
              <w:t>投标文件满足招标文件实质性要求。本项目的实质性内容为投标报价、交货期、带“★”条款，投标人必须完全满足上述实质性内容的要求，如果有一项不满足，其投标将被拒绝。</w:t>
            </w:r>
          </w:p>
        </w:tc>
      </w:tr>
      <w:tr>
        <w:tc>
          <w:tcPr>
            <w:tcW w:type="dxa" w:w="890"/>
          </w:tcPr>
          <w:p>
            <w:pPr>
              <w:pStyle w:val="null3"/>
            </w:pPr>
            <w:r>
              <w:rPr/>
              <w:t>2</w:t>
            </w:r>
          </w:p>
        </w:tc>
        <w:tc>
          <w:tcPr>
            <w:tcW w:type="dxa" w:w="3178"/>
          </w:tcPr>
          <w:p>
            <w:pPr>
              <w:pStyle w:val="null3"/>
            </w:pPr>
            <w:r>
              <w:rPr/>
              <w:t>提交有效的《投标函》和《法定代表人授权书》（或《法定代表人证明书》）</w:t>
            </w:r>
          </w:p>
        </w:tc>
        <w:tc>
          <w:tcPr>
            <w:tcW w:type="dxa" w:w="4238"/>
          </w:tcPr>
          <w:p>
            <w:pPr>
              <w:pStyle w:val="null3"/>
            </w:pPr>
            <w:r>
              <w:rPr/>
              <w:t>投标人应在投标文件提交有效的《投标函》和《法定代表人授权书》（或《法定代表人证明书》），格式可以参考“第六章 投标文件格式与要求”的相关内容。</w:t>
            </w:r>
          </w:p>
        </w:tc>
      </w:tr>
      <w:tr>
        <w:tc>
          <w:tcPr>
            <w:tcW w:type="dxa" w:w="890"/>
          </w:tcPr>
          <w:p>
            <w:pPr>
              <w:pStyle w:val="null3"/>
            </w:pPr>
            <w:r>
              <w:rPr/>
              <w:t>3</w:t>
            </w:r>
          </w:p>
        </w:tc>
        <w:tc>
          <w:tcPr>
            <w:tcW w:type="dxa" w:w="3178"/>
          </w:tcPr>
          <w:p>
            <w:pPr>
              <w:pStyle w:val="null3"/>
            </w:pPr>
            <w:r>
              <w:rPr/>
              <w:t>无其他未实质性响应文件要求</w:t>
            </w:r>
          </w:p>
        </w:tc>
        <w:tc>
          <w:tcPr>
            <w:tcW w:type="dxa" w:w="4238"/>
          </w:tcPr>
          <w:p>
            <w:pPr>
              <w:pStyle w:val="null3"/>
            </w:pPr>
            <w:r>
              <w:rPr/>
              <w:t>按招标文件对应要求签署、盖章。</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采购包1(医疗设备):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带“▲”项技术参数的响应情况 (30.0分)</w:t>
            </w:r>
          </w:p>
        </w:tc>
        <w:tc>
          <w:tcPr>
            <w:tcW w:type="dxa" w:w="5076"/>
          </w:tcPr>
          <w:p>
            <w:pPr>
              <w:pStyle w:val="null3"/>
              <w:jc w:val="left"/>
            </w:pPr>
            <w:r>
              <w:rPr/>
              <w:t>考查投标人投标产品对带“▲”项技术参数的响应程度。带“▲”项技术参数，每满足或优于一项的得6分，最高得30分（本包带“▲”项技术指标数有5个）。 投标人需根据服务的详细技术要求填写《技术和服务要求响应表》，评标小组将根据投标人填写《技术和服务要求响应表》进行评分。如投标人填写《技术和服务要求响应表》的内容与投标人投标文件提供的服务内容不一致，以《技术和服务要求响应表》填写的内容为准。 注：如投标文件技术要求中任一项指标或要求需提供相关证明文件的而未提供的，则视为不满足。 本部分评分内容为客观分，评标委员会各成员评分必须一致。</w:t>
            </w:r>
          </w:p>
        </w:tc>
      </w:tr>
      <w:tr>
        <w:tc>
          <w:tcPr>
            <w:tcW w:type="dxa" w:w="922"/>
            <w:gridSpan w:val="2"/>
            <w:vMerge/>
          </w:tcPr>
          <w:p/>
        </w:tc>
        <w:tc>
          <w:tcPr>
            <w:tcW w:type="dxa" w:w="2307"/>
          </w:tcPr>
          <w:p>
            <w:pPr>
              <w:pStyle w:val="null3"/>
              <w:jc w:val="left"/>
            </w:pPr>
            <w:r>
              <w:rPr/>
              <w:t>普通技术参数（非“▲”项）的响应情况 (21.0分)</w:t>
            </w:r>
          </w:p>
        </w:tc>
        <w:tc>
          <w:tcPr>
            <w:tcW w:type="dxa" w:w="5076"/>
          </w:tcPr>
          <w:p>
            <w:pPr>
              <w:pStyle w:val="null3"/>
              <w:jc w:val="left"/>
            </w:pPr>
            <w:r>
              <w:rPr/>
              <w:t>考查投标人投标产品对普通技术参数的响应程度。如有一项参数负偏离，则对应参数不得分，最高得21分。本包共有2个产品，其中，便携式除颤仪（共13项普通技术参数）占15分,得分=得分项参数数量/13×15分（保留2位小数），最高得15分；便携式担架（共6项普通技术参数）占6分，每项占1分，最高得6分。 注：技术参数中要求提供证明材料的，须按要求提供相关证明材料；未要求提供证明材料的指标按投标文件《技术和服务要求响应表》中的投标人填写的参数为准，未填写或未响应的视为负偏离。 本部分评分内容为客观分，评标委员会各成员评分必须一致。</w:t>
            </w:r>
          </w:p>
        </w:tc>
      </w:tr>
      <w:tr>
        <w:tc>
          <w:tcPr>
            <w:tcW w:type="dxa" w:w="922"/>
            <w:gridSpan w:val="2"/>
            <w:vMerge/>
          </w:tcPr>
          <w:p/>
        </w:tc>
        <w:tc>
          <w:tcPr>
            <w:tcW w:type="dxa" w:w="2307"/>
          </w:tcPr>
          <w:p>
            <w:pPr>
              <w:pStyle w:val="null3"/>
              <w:jc w:val="left"/>
            </w:pPr>
            <w:r>
              <w:rPr/>
              <w:t>培训方案 (3.0分)</w:t>
            </w:r>
          </w:p>
        </w:tc>
        <w:tc>
          <w:tcPr>
            <w:tcW w:type="dxa" w:w="5076"/>
          </w:tcPr>
          <w:p>
            <w:pPr>
              <w:pStyle w:val="null3"/>
              <w:jc w:val="left"/>
            </w:pPr>
            <w:r>
              <w:rPr/>
              <w:t>投标人根据采购需求中“商务要求”中的“培训要求”提供响应方案，对该方案进行评审： 1.完全满足且优于采购需求的，得3分； 2.完全满足采购需求的，得2分； 3.不完全满足采购需求的或未提供方案的，得0分。 本部分评分内容为客观分，评标委员会各成员评分必须一致。</w:t>
            </w:r>
          </w:p>
        </w:tc>
      </w:tr>
      <w:tr>
        <w:tc>
          <w:tcPr>
            <w:tcW w:type="dxa" w:w="922"/>
            <w:gridSpan w:val="2"/>
            <w:vMerge/>
          </w:tcPr>
          <w:p/>
        </w:tc>
        <w:tc>
          <w:tcPr>
            <w:tcW w:type="dxa" w:w="2307"/>
          </w:tcPr>
          <w:p>
            <w:pPr>
              <w:pStyle w:val="null3"/>
              <w:jc w:val="left"/>
            </w:pPr>
            <w:r>
              <w:rPr/>
              <w:t>交货保障方案 (3.0分)</w:t>
            </w:r>
          </w:p>
        </w:tc>
        <w:tc>
          <w:tcPr>
            <w:tcW w:type="dxa" w:w="5076"/>
          </w:tcPr>
          <w:p>
            <w:pPr>
              <w:pStyle w:val="null3"/>
              <w:jc w:val="left"/>
            </w:pPr>
            <w:r>
              <w:rPr/>
              <w:t>投标人根据采购需求中的交货要求，提供完善的交货保障方案及排产时间节点等方案，对该方案进行评审： 1.完全满足且优于采购需求的，得3分； 2.完全满足采购需求的，得2分； 3.不完全满足采购需求的或未提供方案的，得0分。 本部分评分内容为客观分，评标委员会各成员评分必须一致。</w:t>
            </w:r>
          </w:p>
        </w:tc>
      </w:tr>
      <w:tr>
        <w:tc>
          <w:tcPr>
            <w:tcW w:type="dxa" w:w="922"/>
            <w:gridSpan w:val="2"/>
            <w:vMerge/>
          </w:tcPr>
          <w:p/>
        </w:tc>
        <w:tc>
          <w:tcPr>
            <w:tcW w:type="dxa" w:w="2307"/>
          </w:tcPr>
          <w:p>
            <w:pPr>
              <w:pStyle w:val="null3"/>
              <w:jc w:val="left"/>
            </w:pPr>
            <w:r>
              <w:rPr/>
              <w:t>售后服务方案 (3.0分)</w:t>
            </w:r>
          </w:p>
        </w:tc>
        <w:tc>
          <w:tcPr>
            <w:tcW w:type="dxa" w:w="5076"/>
          </w:tcPr>
          <w:p>
            <w:pPr>
              <w:pStyle w:val="null3"/>
              <w:jc w:val="left"/>
            </w:pPr>
            <w:r>
              <w:rPr/>
              <w:t>投标人根据采购需求中“商务要求”中的“售后服务”提供响应方案，对该方案进行评审：1.完全满足且优于采购需求的，得3分； 2.完全满足采购需求的，得2分； 3.不完全满足采购需求的或未提供方案的，得0分。 本部分评分内容为客观分，评标委员会各成员评分必须一致。</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2021年1月1日以来投标人具有的同类项目（指至少包含本采购包中涉及的任意1种货物）供货或销售的业绩情况，每提供一份有效业绩得1分，满分5分。 注：1.响应人须提供合同关键页（含签订合同双方的单位名称、合同项目名称与含签订合同双方的落款盖章、签订日期的关键页）复印件。 2.若证明材料不能明确体现签订时间的，不计分，未提供以上材料或提供不全，对应的业绩不得分；3.同一项目中不同货物签订了多份合同的，视为一份业绩，不重复计算；4.业绩合同内容名称与采购货物名称不同，但功能相同，可相应得分。 本部分评分内容为客观分，评标委员会各成员评分必须一致。</w:t>
            </w:r>
          </w:p>
        </w:tc>
      </w:tr>
      <w:tr>
        <w:tc>
          <w:tcPr>
            <w:tcW w:type="dxa" w:w="922"/>
            <w:gridSpan w:val="2"/>
            <w:vMerge/>
          </w:tcPr>
          <w:p/>
        </w:tc>
        <w:tc>
          <w:tcPr>
            <w:tcW w:type="dxa" w:w="2307"/>
          </w:tcPr>
          <w:p>
            <w:pPr>
              <w:pStyle w:val="null3"/>
              <w:jc w:val="left"/>
            </w:pPr>
            <w:r>
              <w:rPr/>
              <w:t>质保期承诺 (5.0分)</w:t>
            </w:r>
          </w:p>
        </w:tc>
        <w:tc>
          <w:tcPr>
            <w:tcW w:type="dxa" w:w="5076"/>
          </w:tcPr>
          <w:p>
            <w:pPr>
              <w:pStyle w:val="null3"/>
              <w:jc w:val="left"/>
            </w:pPr>
            <w:r>
              <w:rPr/>
              <w:t>投标人在本项目的质保期限两年的基础上，承诺含在投标报价中（即不再另外收取费用）的质保服务增加1年，得1分；增加2年，得3分；增加≥3年，得5分；最多5分。 注：提供承诺函，承诺函格式自拟。 本部分评分内容为客观分，评标委员会各成员评分必须一致。</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将综合得分从高到低排出名次，总分第一名为第一中标候选供应商，第二名为第二中标候选供应商，第三名为第三中标候选供应商，以此类推。总得分相同的，按报价得分由高到低排列；总得分相同且报价得分相同的并列。（提供相同品牌产品且通过资格性审查、符合性审查的不同投标人参加同一合同项下投标的，按一家投标人计算，评审后综合得分最高的同品牌投标人获得中标人推荐资格；综合得分相同的，只推荐投标报价最低的；若综合得分和投标标价均相同，只推荐技术得分最高的；若综合得分、投标报价和技术得分均相同，由评标委员会投票确定，投票过程不得弃权，票数最多的供应商将被推荐，其余同品牌供应商不获推荐。 非单一产品采购，“相同品牌产品”以核心产品为准；多个核心产品的，全部产品品牌相同即属提供相同品牌产品。） 定标：采购人应当自收到评标报告之日起５个工作日内，在评标报告确定的中标候选人名单中按顺序确定中标人。中标候选人并列的，采购人委托评标委员会投票确定中标人，一人一票，不得弃权。</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7"/>
        </w:rPr>
        <w:t xml:space="preserve">根据 </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pStyle w:val="null3"/>
        <w:spacing w:before="0" w:after="0" w:lineRule="auto" w:line="360"/>
        <w:ind w:left="1092" w:right="0"/>
        <w:jc w:val="both"/>
      </w:pPr>
      <w:r>
        <w:rPr>
          <w:sz w:val="27"/>
          <w:b/>
        </w:rPr>
        <w:t>一、</w:t>
      </w:r>
      <w:r>
        <w:rPr>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单价</w:t>
            </w:r>
          </w:p>
          <w:p>
            <w:pPr>
              <w:pStyle w:val="null3"/>
              <w:spacing w:before="0" w:after="0"/>
              <w:ind w:left="0" w:right="0"/>
              <w:jc w:val="center"/>
            </w:pPr>
            <w:r>
              <w:rPr>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金额</w:t>
            </w:r>
          </w:p>
          <w:p>
            <w:pPr>
              <w:pStyle w:val="null3"/>
              <w:spacing w:before="0" w:after="0"/>
              <w:ind w:left="0" w:right="0"/>
              <w:jc w:val="center"/>
            </w:pPr>
            <w:r>
              <w:rPr>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p>
        </w:tc>
      </w:tr>
      <w:tr>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3516"/>
            <w:tcBorders>
              <w:top w:val="none" w:color="000000" w:sz="4"/>
              <w:left w:val="none" w:color="000000" w:sz="4"/>
              <w:bottom w:val="none" w:color="000000" w:sz="4"/>
              <w:right w:val="none" w:color="000000" w:sz="4"/>
            </w:tcBorders>
          </w:tcPr>
          <w:p>
            <w:pPr>
              <w:pStyle w:val="null3"/>
              <w:jc w:val="center"/>
            </w:pPr>
            <w:r>
              <w:rPr/>
              <w:t xml:space="preserve"> </w:t>
            </w:r>
          </w:p>
        </w:tc>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r>
    </w:tbl>
    <w:p>
      <w:pPr>
        <w:pStyle w:val="null3"/>
        <w:spacing w:before="0" w:after="0"/>
        <w:ind w:left="0" w:right="0"/>
        <w:jc w:val="both"/>
      </w:pPr>
      <w:r>
        <w:rPr>
          <w:sz w:val="32"/>
        </w:rPr>
        <w:t xml:space="preserve"> </w:t>
      </w:r>
    </w:p>
    <w:p>
      <w:pPr>
        <w:pStyle w:val="null3"/>
        <w:spacing w:before="0" w:after="0" w:lineRule="auto" w:line="360"/>
        <w:ind w:left="0" w:right="0" w:firstLine="400"/>
        <w:jc w:val="both"/>
      </w:pPr>
      <w:r>
        <w:rPr>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sz w:val="27"/>
        </w:rPr>
        <w:t>注：货物名称内容必须与投标文件中货物名称内容一致。</w:t>
      </w:r>
    </w:p>
    <w:p>
      <w:pPr>
        <w:pStyle w:val="null3"/>
        <w:spacing w:before="0" w:after="0" w:lineRule="auto" w:line="360"/>
        <w:ind w:left="1092" w:right="0"/>
        <w:jc w:val="both"/>
      </w:pPr>
      <w:r>
        <w:rPr>
          <w:sz w:val="27"/>
          <w:b/>
        </w:rPr>
        <w:t>二、</w:t>
      </w:r>
      <w:r>
        <w:rPr>
          <w:sz w:val="27"/>
          <w:b/>
        </w:rPr>
        <w:t>合同金额</w:t>
      </w:r>
    </w:p>
    <w:p>
      <w:pPr>
        <w:pStyle w:val="null3"/>
        <w:spacing w:before="0" w:after="0" w:lineRule="auto" w:line="360"/>
        <w:ind w:left="0" w:right="0"/>
        <w:jc w:val="both"/>
      </w:pPr>
      <w:r>
        <w:rPr>
          <w:sz w:val="27"/>
        </w:rPr>
        <w:t>合同金额为（大写）：_________________元（￥_______________元）人民币。</w:t>
      </w:r>
    </w:p>
    <w:p>
      <w:pPr>
        <w:pStyle w:val="null3"/>
        <w:spacing w:before="0" w:after="0" w:lineRule="auto" w:line="360"/>
        <w:ind w:left="1092" w:right="0"/>
        <w:jc w:val="both"/>
      </w:pPr>
      <w:r>
        <w:rPr>
          <w:sz w:val="27"/>
          <w:b/>
        </w:rPr>
        <w:t>三、</w:t>
      </w:r>
      <w:r>
        <w:rPr>
          <w:sz w:val="27"/>
          <w:b/>
        </w:rPr>
        <w:t>设备要求</w:t>
      </w:r>
    </w:p>
    <w:p>
      <w:pPr>
        <w:pStyle w:val="null3"/>
        <w:spacing w:before="0" w:after="0" w:lineRule="auto" w:line="360"/>
        <w:ind w:left="0" w:right="0"/>
        <w:jc w:val="both"/>
      </w:pPr>
      <w:r>
        <w:rPr>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sz w:val="27"/>
          <w:b/>
        </w:rPr>
        <w:t>四、</w:t>
      </w:r>
      <w:r>
        <w:rPr>
          <w:sz w:val="27"/>
          <w:b/>
        </w:rPr>
        <w:t>交货期、交货方式及交货地点</w:t>
      </w:r>
    </w:p>
    <w:p>
      <w:pPr>
        <w:pStyle w:val="null3"/>
        <w:spacing w:before="0" w:after="0" w:lineRule="auto" w:line="360"/>
        <w:ind w:left="0" w:right="0"/>
        <w:jc w:val="both"/>
      </w:pPr>
      <w:r>
        <w:rPr>
          <w:sz w:val="27"/>
        </w:rPr>
        <w:t xml:space="preserve">        </w:t>
      </w:r>
      <w:r>
        <w:rPr>
          <w:sz w:val="27"/>
        </w:rPr>
        <w:t>1.</w:t>
      </w:r>
      <w:r>
        <w:rPr>
          <w:sz w:val="27"/>
        </w:rPr>
        <w:t>交货期：</w:t>
      </w:r>
    </w:p>
    <w:p>
      <w:pPr>
        <w:pStyle w:val="null3"/>
        <w:spacing w:before="0" w:after="0" w:lineRule="auto" w:line="360"/>
        <w:ind w:left="0" w:right="0"/>
        <w:jc w:val="both"/>
      </w:pPr>
      <w:r>
        <w:rPr>
          <w:sz w:val="27"/>
        </w:rPr>
        <w:t xml:space="preserve">        </w:t>
      </w:r>
      <w:r>
        <w:rPr>
          <w:sz w:val="27"/>
        </w:rPr>
        <w:t>2.</w:t>
      </w:r>
      <w:r>
        <w:rPr>
          <w:sz w:val="27"/>
        </w:rPr>
        <w:t>交货方式：</w:t>
      </w:r>
    </w:p>
    <w:p>
      <w:pPr>
        <w:pStyle w:val="null3"/>
        <w:spacing w:before="0" w:after="0" w:lineRule="auto" w:line="360"/>
        <w:ind w:left="0" w:right="0"/>
        <w:jc w:val="both"/>
      </w:pPr>
      <w:r>
        <w:rPr>
          <w:sz w:val="27"/>
        </w:rPr>
        <w:t xml:space="preserve">        </w:t>
      </w:r>
      <w:r>
        <w:rPr>
          <w:sz w:val="27"/>
        </w:rPr>
        <w:t>3.</w:t>
      </w:r>
      <w:r>
        <w:rPr>
          <w:sz w:val="27"/>
        </w:rPr>
        <w:t>交货地点：</w:t>
      </w:r>
    </w:p>
    <w:p>
      <w:pPr>
        <w:pStyle w:val="null3"/>
        <w:spacing w:before="0" w:after="0" w:lineRule="auto" w:line="360"/>
        <w:ind w:left="1092" w:right="0"/>
        <w:jc w:val="both"/>
      </w:pPr>
      <w:r>
        <w:rPr>
          <w:sz w:val="27"/>
          <w:b/>
        </w:rPr>
        <w:t>五、</w:t>
      </w:r>
      <w:r>
        <w:rPr>
          <w:sz w:val="27"/>
          <w:b/>
        </w:rPr>
        <w:t>付款方式</w:t>
      </w:r>
    </w:p>
    <w:p>
      <w:pPr>
        <w:pStyle w:val="null3"/>
        <w:spacing w:before="0" w:after="0" w:lineRule="auto" w:line="360"/>
        <w:ind w:left="0" w:right="0"/>
        <w:jc w:val="both"/>
      </w:pPr>
      <w:r>
        <w:rPr>
          <w:sz w:val="27"/>
        </w:rPr>
        <w:t>由甲方按下列程序在</w:t>
      </w:r>
      <w:r>
        <w:rPr>
          <w:sz w:val="27"/>
          <w:u w:val="single"/>
        </w:rPr>
        <w:t xml:space="preserve">        </w:t>
      </w:r>
      <w:r>
        <w:rPr>
          <w:sz w:val="27"/>
        </w:rPr>
        <w:t>内付款：</w:t>
      </w:r>
      <w:r>
        <w:rPr/>
        <w:t xml:space="preserve">  </w:t>
      </w:r>
    </w:p>
    <w:p>
      <w:pPr>
        <w:pStyle w:val="null3"/>
        <w:spacing w:before="0" w:after="0" w:lineRule="auto" w:line="360"/>
        <w:ind w:left="1092" w:right="0"/>
        <w:jc w:val="both"/>
      </w:pPr>
      <w:r>
        <w:rPr>
          <w:sz w:val="27"/>
          <w:b/>
        </w:rPr>
        <w:t>六、</w:t>
      </w:r>
      <w:r>
        <w:rPr>
          <w:sz w:val="27"/>
          <w:b/>
        </w:rPr>
        <w:t>质保期及售后服务要求</w:t>
      </w:r>
    </w:p>
    <w:p>
      <w:pPr>
        <w:pStyle w:val="null3"/>
        <w:spacing w:before="0" w:after="0" w:lineRule="auto" w:line="360"/>
        <w:ind w:left="0" w:right="0"/>
        <w:jc w:val="both"/>
      </w:pPr>
      <w:r>
        <w:rPr>
          <w:sz w:val="27"/>
        </w:rPr>
        <w:t>1.</w:t>
      </w:r>
      <w:r>
        <w:rPr>
          <w:sz w:val="27"/>
        </w:rPr>
        <w:t>本合同的质量保证期（简称“质保期”）为</w:t>
      </w:r>
      <w:r>
        <w:rPr>
          <w:sz w:val="27"/>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pStyle w:val="null3"/>
        <w:spacing w:before="0" w:after="0" w:lineRule="auto" w:line="360"/>
        <w:ind w:left="0" w:right="0"/>
        <w:jc w:val="both"/>
      </w:pPr>
      <w:r>
        <w:rPr>
          <w:sz w:val="27"/>
        </w:rPr>
        <w:t>2.</w:t>
      </w:r>
      <w:r>
        <w:rPr>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sz w:val="27"/>
        </w:rPr>
        <w:t>3.</w:t>
      </w:r>
      <w:r>
        <w:rPr>
          <w:sz w:val="27"/>
        </w:rPr>
        <w:t>对甲方的服务通知，乙方在接报后</w:t>
      </w:r>
      <w:r>
        <w:rPr>
          <w:sz w:val="27"/>
          <w:u w:val="single"/>
        </w:rPr>
        <w:t xml:space="preserve">     </w:t>
      </w:r>
      <w:r>
        <w:rPr>
          <w:sz w:val="27"/>
        </w:rPr>
        <w:t>小时内响应，</w:t>
      </w:r>
      <w:r>
        <w:rPr>
          <w:sz w:val="27"/>
          <w:u w:val="single"/>
        </w:rPr>
        <w:t xml:space="preserve">     </w:t>
      </w:r>
      <w:r>
        <w:rPr>
          <w:sz w:val="27"/>
        </w:rPr>
        <w:t>小时内到达现场，</w:t>
      </w:r>
      <w:r>
        <w:rPr>
          <w:sz w:val="27"/>
          <w:u w:val="single"/>
        </w:rPr>
        <w:t xml:space="preserve">     </w:t>
      </w:r>
      <w:r>
        <w:rPr>
          <w:sz w:val="27"/>
        </w:rPr>
        <w:t>小时内处理完毕。若在48小时内仍未能有效解决，乙方须免费提供同规格的设备予甲方临时使用。</w:t>
      </w:r>
    </w:p>
    <w:p>
      <w:pPr>
        <w:pStyle w:val="null3"/>
        <w:spacing w:before="0" w:after="0" w:lineRule="auto" w:line="360"/>
        <w:ind w:left="1092" w:right="0"/>
        <w:jc w:val="both"/>
      </w:pPr>
      <w:r>
        <w:rPr>
          <w:sz w:val="27"/>
          <w:b/>
        </w:rPr>
        <w:t>七、</w:t>
      </w:r>
      <w:r>
        <w:rPr>
          <w:sz w:val="27"/>
          <w:b/>
        </w:rPr>
        <w:t>安装与调试</w:t>
      </w:r>
    </w:p>
    <w:p>
      <w:pPr>
        <w:pStyle w:val="null3"/>
        <w:spacing w:before="0" w:after="0" w:lineRule="auto" w:line="360"/>
        <w:ind w:left="0" w:right="0"/>
        <w:jc w:val="both"/>
      </w:pPr>
      <w:r>
        <w:rPr>
          <w:sz w:val="27"/>
        </w:rPr>
        <w:t>1.</w:t>
      </w:r>
      <w:r>
        <w:rPr>
          <w:sz w:val="27"/>
        </w:rPr>
        <w:t>乙方必须依照招标文件的要求和报价文件的承诺，将设备、系统安装并调试至正常运行的最佳状态。</w:t>
      </w:r>
    </w:p>
    <w:p>
      <w:pPr>
        <w:pStyle w:val="null3"/>
        <w:spacing w:before="0" w:after="0" w:lineRule="auto" w:line="360"/>
        <w:ind w:left="1092" w:right="0"/>
        <w:jc w:val="both"/>
      </w:pPr>
      <w:r>
        <w:rPr>
          <w:sz w:val="27"/>
          <w:b/>
        </w:rPr>
        <w:t>八、</w:t>
      </w:r>
      <w:r>
        <w:rPr>
          <w:sz w:val="27"/>
          <w:b/>
        </w:rPr>
        <w:t>验收：</w:t>
      </w:r>
    </w:p>
    <w:p>
      <w:pPr>
        <w:pStyle w:val="null3"/>
        <w:spacing w:before="0" w:after="0" w:lineRule="auto" w:line="360"/>
        <w:ind w:left="0" w:right="0"/>
        <w:jc w:val="both"/>
      </w:pPr>
      <w:r>
        <w:rPr>
          <w:sz w:val="27"/>
        </w:rPr>
        <w:t>1.</w:t>
      </w:r>
      <w:r>
        <w:rPr>
          <w:sz w:val="27"/>
        </w:rPr>
        <w:t>交付验收标准</w:t>
      </w:r>
      <w:r>
        <w:rPr>
          <w:sz w:val="27"/>
        </w:rPr>
        <w:t>依次序对照适用</w:t>
      </w:r>
      <w:r>
        <w:rPr>
          <w:sz w:val="27"/>
        </w:rPr>
        <w:t>标准</w:t>
      </w:r>
      <w:r>
        <w:rPr>
          <w:sz w:val="27"/>
        </w:rPr>
        <w:t>为：</w:t>
      </w:r>
      <w:r>
        <w:rPr>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sz w:val="27"/>
        </w:rPr>
        <w:t>2.</w:t>
      </w:r>
      <w:r>
        <w:rPr>
          <w:sz w:val="27"/>
        </w:rPr>
        <w:t>进口产品必须具备原产地证明和商检局的检验证明及合法进货渠道证明。</w:t>
      </w:r>
    </w:p>
    <w:p>
      <w:pPr>
        <w:pStyle w:val="null3"/>
        <w:spacing w:before="0" w:after="0" w:lineRule="auto" w:line="360"/>
        <w:ind w:left="0" w:right="0"/>
        <w:jc w:val="both"/>
      </w:pPr>
      <w:r>
        <w:rPr>
          <w:sz w:val="27"/>
        </w:rPr>
        <w:t>3.</w:t>
      </w:r>
      <w:r>
        <w:rPr>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sz w:val="27"/>
        </w:rPr>
        <w:t>4.</w:t>
      </w:r>
      <w:r>
        <w:rPr>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sz w:val="27"/>
        </w:rPr>
        <w:t>5.</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sz w:val="27"/>
          <w:b/>
        </w:rPr>
        <w:t>九、</w:t>
      </w:r>
      <w:r>
        <w:rPr>
          <w:sz w:val="27"/>
          <w:b/>
        </w:rPr>
        <w:t>违约责任与赔偿损失</w:t>
      </w:r>
    </w:p>
    <w:p>
      <w:pPr>
        <w:pStyle w:val="null3"/>
        <w:spacing w:before="0" w:after="0" w:lineRule="auto" w:line="360"/>
        <w:ind w:left="0" w:right="0"/>
        <w:jc w:val="both"/>
      </w:pPr>
      <w:r>
        <w:rPr>
          <w:sz w:val="27"/>
        </w:rPr>
        <w:t>1.</w:t>
      </w:r>
      <w:r>
        <w:rPr>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sz w:val="27"/>
        </w:rPr>
        <w:t>2.</w:t>
      </w:r>
      <w:r>
        <w:rPr>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sz w:val="27"/>
        </w:rPr>
        <w:t>3.</w:t>
      </w:r>
      <w:r>
        <w:rPr>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sz w:val="27"/>
        </w:rPr>
        <w:t xml:space="preserve">       </w:t>
      </w:r>
      <w:r>
        <w:rPr>
          <w:sz w:val="27"/>
          <w:u w:val="single"/>
        </w:rPr>
        <w:t xml:space="preserve">                                                </w:t>
      </w:r>
    </w:p>
    <w:p>
      <w:pPr>
        <w:pStyle w:val="null3"/>
        <w:spacing w:before="0" w:after="0" w:lineRule="auto" w:line="360"/>
        <w:ind w:left="0" w:right="0"/>
        <w:jc w:val="both"/>
      </w:pPr>
      <w:r>
        <w:rPr>
          <w:sz w:val="27"/>
        </w:rPr>
        <w:t>5.</w:t>
      </w:r>
      <w:r>
        <w:rPr>
          <w:sz w:val="27"/>
        </w:rPr>
        <w:t>其它违约责任按《中华人民</w:t>
      </w:r>
      <w:r>
        <w:rPr>
          <w:sz w:val="27"/>
        </w:rPr>
        <w:t>共和国民法典(合同编)》处理。</w:t>
      </w:r>
    </w:p>
    <w:p>
      <w:pPr>
        <w:pStyle w:val="null3"/>
        <w:spacing w:before="0" w:after="0" w:lineRule="auto" w:line="360"/>
        <w:ind w:left="1092" w:right="0"/>
        <w:jc w:val="both"/>
      </w:pPr>
      <w:r>
        <w:rPr>
          <w:sz w:val="27"/>
          <w:b/>
        </w:rPr>
        <w:t>十、</w:t>
      </w:r>
      <w:r>
        <w:rPr>
          <w:sz w:val="27"/>
          <w:b/>
        </w:rPr>
        <w:t>争议的解决</w:t>
      </w:r>
      <w:r>
        <w:rPr>
          <w:sz w:val="27"/>
        </w:rPr>
        <w:t xml:space="preserve">   合同执行过程中发生的任何争议，如双方不能通过友好协商解决，按相关法律法规处理。</w:t>
      </w:r>
    </w:p>
    <w:p>
      <w:pPr>
        <w:pStyle w:val="null3"/>
        <w:spacing w:before="0" w:after="0" w:lineRule="auto" w:line="360"/>
        <w:ind w:left="1092" w:right="0"/>
        <w:jc w:val="both"/>
      </w:pPr>
      <w:r>
        <w:rPr>
          <w:sz w:val="27"/>
          <w:b/>
        </w:rPr>
        <w:t>十一、不可抗力</w:t>
      </w:r>
    </w:p>
    <w:p>
      <w:pPr>
        <w:pStyle w:val="null3"/>
        <w:spacing w:before="0" w:after="0" w:lineRule="auto" w:line="360"/>
        <w:ind w:left="0" w:right="0"/>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sz w:val="27"/>
          <w:b/>
        </w:rPr>
        <w:t>十二、</w:t>
      </w:r>
      <w:r>
        <w:rPr>
          <w:sz w:val="27"/>
          <w:b/>
        </w:rPr>
        <w:t>税费</w:t>
      </w:r>
    </w:p>
    <w:p>
      <w:pPr>
        <w:pStyle w:val="null3"/>
        <w:spacing w:before="0" w:after="0" w:lineRule="auto" w:line="360"/>
        <w:ind w:left="0" w:right="0"/>
        <w:jc w:val="both"/>
      </w:pPr>
      <w:r>
        <w:rPr>
          <w:sz w:val="27"/>
        </w:rPr>
        <w:t>1.</w:t>
      </w:r>
      <w:r>
        <w:rPr>
          <w:sz w:val="27"/>
        </w:rPr>
        <w:t>在中国境内、外发生的与本合同执行有关的一切税费均由乙方负担。</w:t>
      </w:r>
    </w:p>
    <w:p>
      <w:pPr>
        <w:pStyle w:val="null3"/>
        <w:spacing w:before="0" w:after="0" w:lineRule="auto" w:line="360"/>
        <w:ind w:left="1092" w:right="0"/>
        <w:jc w:val="both"/>
      </w:pPr>
      <w:r>
        <w:rPr>
          <w:sz w:val="27"/>
          <w:b/>
        </w:rPr>
        <w:t>十三、</w:t>
      </w:r>
      <w:r>
        <w:rPr>
          <w:sz w:val="27"/>
        </w:rPr>
        <w:t xml:space="preserve"> </w:t>
      </w:r>
      <w:r>
        <w:rPr>
          <w:sz w:val="27"/>
          <w:b/>
        </w:rPr>
        <w:t>其它</w:t>
      </w:r>
    </w:p>
    <w:p>
      <w:pPr>
        <w:pStyle w:val="null3"/>
        <w:spacing w:before="0" w:after="0" w:lineRule="auto" w:line="360"/>
        <w:ind w:left="0" w:right="0"/>
        <w:jc w:val="both"/>
      </w:pPr>
      <w:r>
        <w:rPr>
          <w:sz w:val="27"/>
        </w:rPr>
        <w:t>1.</w:t>
      </w:r>
      <w:r>
        <w:rPr>
          <w:sz w:val="27"/>
        </w:rPr>
        <w:t>本合同所有附件、招标文件、投标文件、中标通知书均为合同的有效组成部分，与本合同具有同等法律效力。</w:t>
      </w:r>
    </w:p>
    <w:p>
      <w:pPr>
        <w:pStyle w:val="null3"/>
        <w:spacing w:before="0" w:after="0" w:lineRule="auto" w:line="360"/>
        <w:ind w:left="0" w:right="0"/>
        <w:jc w:val="both"/>
      </w:pPr>
      <w:r>
        <w:rPr>
          <w:sz w:val="27"/>
        </w:rPr>
        <w:t>2.</w:t>
      </w:r>
      <w:r>
        <w:rPr>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sz w:val="27"/>
        </w:rPr>
        <w:t>3.</w:t>
      </w:r>
      <w:r>
        <w:rPr>
          <w:sz w:val="27"/>
        </w:rPr>
        <w:t>如一方地址、电话、传真号码有变更，应在变更当日内书面通知对方，否则，应承担相应责任。</w:t>
      </w:r>
    </w:p>
    <w:p>
      <w:pPr>
        <w:pStyle w:val="null3"/>
        <w:spacing w:before="0" w:after="0" w:lineRule="auto" w:line="360"/>
        <w:ind w:left="0" w:right="0"/>
        <w:jc w:val="both"/>
      </w:pPr>
      <w:r>
        <w:rPr>
          <w:sz w:val="27"/>
        </w:rPr>
        <w:t>4.</w:t>
      </w:r>
      <w:r>
        <w:rPr>
          <w:sz w:val="27"/>
        </w:rPr>
        <w:t>除甲方事先书面同意外，乙方不得部分或全部转让其应履行的合同项下的义务。</w:t>
      </w:r>
    </w:p>
    <w:p>
      <w:pPr>
        <w:pStyle w:val="null3"/>
        <w:spacing w:before="0" w:after="0" w:lineRule="auto" w:line="360"/>
        <w:ind w:left="1092" w:right="0"/>
        <w:jc w:val="both"/>
      </w:pPr>
      <w:r>
        <w:rPr>
          <w:sz w:val="27"/>
          <w:b/>
        </w:rPr>
        <w:t>十四、</w:t>
      </w:r>
      <w:r>
        <w:rPr>
          <w:sz w:val="27"/>
        </w:rPr>
        <w:t xml:space="preserve">      </w:t>
      </w:r>
      <w:r>
        <w:rPr>
          <w:sz w:val="27"/>
          <w:b/>
        </w:rPr>
        <w:t>合同生效</w:t>
      </w:r>
    </w:p>
    <w:p>
      <w:pPr>
        <w:pStyle w:val="null3"/>
        <w:spacing w:before="0" w:after="0" w:lineRule="auto" w:line="360"/>
        <w:ind w:left="0" w:right="0"/>
        <w:jc w:val="both"/>
      </w:pPr>
      <w:r>
        <w:rPr>
          <w:sz w:val="27"/>
        </w:rPr>
        <w:t>1.</w:t>
      </w:r>
      <w:r>
        <w:rPr>
          <w:sz w:val="27"/>
        </w:rPr>
        <w:t>本合同在甲乙双方法人代表或其授权代表签字盖章后生效。</w:t>
      </w:r>
    </w:p>
    <w:p>
      <w:pPr>
        <w:pStyle w:val="null3"/>
        <w:spacing w:before="0" w:after="0" w:lineRule="auto" w:line="360"/>
        <w:ind w:left="0" w:right="0"/>
        <w:jc w:val="both"/>
      </w:pPr>
      <w:r>
        <w:rPr>
          <w:sz w:val="27"/>
        </w:rPr>
        <w:t>2.</w:t>
      </w:r>
      <w:r>
        <w:rPr>
          <w:sz w:val="27"/>
        </w:rPr>
        <w:t>合同一式</w:t>
      </w:r>
      <w:r>
        <w:rPr>
          <w:sz w:val="27"/>
          <w:u w:val="single"/>
        </w:rPr>
        <w:t xml:space="preserve">    </w:t>
      </w:r>
      <w:r>
        <w:rPr>
          <w:sz w:val="27"/>
        </w:rPr>
        <w:t>份。</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甲方（盖章）：</w:t>
      </w:r>
      <w:r>
        <w:rPr>
          <w:sz w:val="27"/>
          <w:b/>
        </w:rPr>
        <w:t>乙方（盖章）：</w:t>
      </w:r>
    </w:p>
    <w:p>
      <w:pPr>
        <w:pStyle w:val="null3"/>
        <w:spacing w:before="0" w:after="0" w:lineRule="auto" w:line="360"/>
        <w:ind w:left="0" w:right="0"/>
        <w:jc w:val="both"/>
      </w:pPr>
      <w:r>
        <w:rPr>
          <w:sz w:val="27"/>
          <w:b/>
        </w:rPr>
        <w:t>代表：</w:t>
      </w:r>
      <w:r>
        <w:rPr>
          <w:sz w:val="27"/>
          <w:b/>
        </w:rPr>
        <w:t>代表：</w:t>
      </w:r>
    </w:p>
    <w:p>
      <w:pPr>
        <w:pStyle w:val="null3"/>
        <w:spacing w:before="0" w:after="0" w:lineRule="auto" w:line="360"/>
        <w:ind w:left="0" w:right="0"/>
        <w:jc w:val="both"/>
      </w:pPr>
      <w:r>
        <w:rPr>
          <w:sz w:val="27"/>
        </w:rPr>
        <w:t>签订地点：</w:t>
      </w:r>
    </w:p>
    <w:p>
      <w:pPr>
        <w:pStyle w:val="null3"/>
        <w:spacing w:before="0" w:after="0" w:lineRule="auto" w:line="360"/>
        <w:ind w:left="0" w:right="0"/>
        <w:jc w:val="both"/>
      </w:pPr>
      <w:r>
        <w:rPr>
          <w:sz w:val="27"/>
        </w:rPr>
        <w:t>签订日期：　　　年　　月　　日</w:t>
      </w:r>
      <w:r>
        <w:rPr>
          <w:sz w:val="27"/>
        </w:rPr>
        <w:t>签订日期：　　　年　　月　　日</w:t>
      </w:r>
    </w:p>
    <w:p>
      <w:pPr>
        <w:pStyle w:val="null3"/>
        <w:spacing w:before="0" w:after="0" w:lineRule="auto" w:line="360"/>
        <w:ind w:left="0" w:right="0"/>
        <w:jc w:val="both"/>
      </w:pPr>
      <w:r>
        <w:rPr>
          <w:sz w:val="27"/>
        </w:rPr>
        <w:t>开户名称：</w:t>
      </w:r>
    </w:p>
    <w:p>
      <w:pPr>
        <w:pStyle w:val="null3"/>
        <w:spacing w:before="0" w:after="0" w:lineRule="auto" w:line="360"/>
        <w:ind w:left="0" w:right="0"/>
        <w:jc w:val="both"/>
      </w:pPr>
      <w:r>
        <w:rPr>
          <w:sz w:val="27"/>
        </w:rPr>
        <w:t>银行帐号：</w:t>
      </w:r>
    </w:p>
    <w:p>
      <w:pPr>
        <w:pStyle w:val="null3"/>
        <w:spacing w:before="0" w:after="0" w:lineRule="auto" w:line="360"/>
        <w:ind w:left="0" w:right="0"/>
        <w:jc w:val="both"/>
      </w:pPr>
      <w:r>
        <w:rPr>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440701-2025-01098</w:t>
      </w:r>
    </w:p>
    <w:p>
      <w:pPr>
        <w:pStyle w:val="null3"/>
        <w:jc w:val="center"/>
        <w:outlineLvl w:val="3"/>
      </w:pPr>
      <w:r>
        <w:rPr>
          <w:sz w:val="24"/>
          <w:b/>
        </w:rPr>
        <w:t>采购项目编号：</w:t>
      </w:r>
      <w:r>
        <w:rPr>
          <w:sz w:val="24"/>
          <w:b/>
        </w:rPr>
        <w:t>JM2025-A015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江门市政府采购中心</w:t>
      </w:r>
    </w:p>
    <w:p>
      <w:pPr>
        <w:pStyle w:val="null3"/>
        <w:ind w:firstLine="480"/>
      </w:pPr>
      <w:r>
        <w:rPr/>
        <w:t xml:space="preserve"> 你方组织的</w:t>
      </w:r>
      <w:r>
        <w:rPr>
          <w:u w:val="single"/>
        </w:rPr>
        <w:t>“</w:t>
      </w:r>
      <w:r>
        <w:rPr>
          <w:u w:val="single"/>
        </w:rPr>
        <w:t>广东省自然灾害能力提升工程基层防灾项目（江门市）第二轮(三次)</w:t>
      </w:r>
      <w:r>
        <w:rPr>
          <w:u w:val="single"/>
        </w:rPr>
        <w:t>”</w:t>
      </w:r>
      <w:r>
        <w:rPr/>
        <w:t>项目的招标[采购项目编号为：</w:t>
      </w:r>
      <w:r>
        <w:rPr>
          <w:u w:val="single"/>
        </w:rPr>
        <w:t>JM2025-A015</w:t>
      </w:r>
      <w:r>
        <w:rPr/>
        <w:t>]，我方愿参与投标。</w:t>
      </w:r>
    </w:p>
    <w:p>
      <w:pPr>
        <w:pStyle w:val="null3"/>
        <w:ind w:firstLine="480"/>
      </w:pPr>
      <w:r>
        <w:rPr/>
        <w:t>我方确认收到贵方提供的</w:t>
      </w:r>
      <w:r>
        <w:rPr>
          <w:u w:val="single"/>
        </w:rPr>
        <w:t>“</w:t>
      </w:r>
      <w:r>
        <w:rPr>
          <w:u w:val="single"/>
        </w:rPr>
        <w:t>广东省自然灾害能力提升工程基层防灾项目（江门市）第二轮(三次)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江门市政府采购中心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广东省自然灾害能力提升工程基层防灾项目（江门市）第二轮(三次)</w:t>
      </w:r>
      <w:r>
        <w:rPr/>
        <w:t>”项目采购[采购项目编号为</w:t>
      </w:r>
      <w:r>
        <w:rPr/>
        <w:t>JM2025-A015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江门市应急管理局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江门市政府采购中心</w:t>
      </w:r>
    </w:p>
    <w:p>
      <w:pPr>
        <w:pStyle w:val="null3"/>
        <w:ind w:firstLine="480"/>
      </w:pPr>
      <w:r>
        <w:rPr/>
        <w:t xml:space="preserve"> 如果我方在贵采购代理机构组织的</w:t>
      </w:r>
      <w:r>
        <w:rPr/>
        <w:t>广东省自然灾害能力提升工程基层防灾项目（江门市）第二轮(三次)</w:t>
      </w:r>
      <w:r>
        <w:rPr/>
        <w:t>招标中获中标（采购项目编号：</w:t>
      </w:r>
      <w:r>
        <w:rPr/>
        <w:t>JM2025-A015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江门市政府采购中心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江门市政府采购中心</w:t>
      </w:r>
    </w:p>
    <w:p>
      <w:pPr>
        <w:pStyle w:val="null3"/>
        <w:ind w:firstLine="480"/>
      </w:pPr>
      <w:r>
        <w:rPr/>
        <w:t>我单位已登记并准备参与“</w:t>
      </w:r>
      <w:r>
        <w:rPr/>
        <w:t>广东省自然灾害能力提升工程基层防灾项目（江门市）第二轮(三次)</w:t>
      </w:r>
      <w:r>
        <w:rPr/>
        <w:t>”项目（采购项目编号：</w:t>
      </w:r>
      <w:r>
        <w:rPr/>
        <w:t>JM2025-A015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