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440001-2025-07063</w:t>
      </w:r>
    </w:p>
    <w:p>
      <w:pPr>
        <w:pStyle w:val="null3"/>
        <w:jc w:val="center"/>
        <w:outlineLvl w:val="3"/>
      </w:pPr>
      <w:r>
        <w:rPr>
          <w:sz w:val="24"/>
          <w:b/>
        </w:rPr>
        <w:t>采购项目编号：</w:t>
      </w:r>
      <w:r>
        <w:rPr>
          <w:sz w:val="24"/>
          <w:b/>
        </w:rPr>
        <w:t>0809-25411GZG304000701</w:t>
      </w:r>
    </w:p>
    <w:p>
      <w:pPr>
        <w:pStyle w:val="null3"/>
        <w:jc w:val="center"/>
        <w:outlineLvl w:val="3"/>
      </w:pPr>
      <w:r>
        <w:rPr>
          <w:sz w:val="24"/>
          <w:b/>
        </w:rPr>
        <w:t>项目名称：</w:t>
      </w:r>
      <w:r>
        <w:rPr>
          <w:sz w:val="24"/>
          <w:b/>
        </w:rPr>
        <w:t>广东省番禺监狱（2025年度）政务信息化基础设施运维项目及办公设备桌面运维服务项目</w:t>
      </w:r>
    </w:p>
    <w:p>
      <w:pPr>
        <w:pStyle w:val="null3"/>
        <w:jc w:val="center"/>
        <w:outlineLvl w:val="3"/>
      </w:pPr>
      <w:r>
        <w:rPr>
          <w:sz w:val="24"/>
          <w:b/>
        </w:rPr>
        <w:t>采购人：</w:t>
      </w:r>
      <w:r>
        <w:rPr>
          <w:sz w:val="24"/>
          <w:b/>
        </w:rPr>
        <w:t>广东省番禺监狱</w:t>
      </w:r>
    </w:p>
    <w:p>
      <w:pPr>
        <w:pStyle w:val="null3"/>
        <w:jc w:val="center"/>
        <w:outlineLvl w:val="3"/>
      </w:pPr>
      <w:r>
        <w:rPr>
          <w:sz w:val="24"/>
          <w:b/>
        </w:rPr>
        <w:t>采购代理机构：</w:t>
      </w:r>
      <w:r>
        <w:rPr>
          <w:sz w:val="24"/>
          <w:b/>
        </w:rPr>
        <w:t>广东华伦招标有限公司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广东华伦招标有限公司</w:t>
      </w:r>
      <w:r>
        <w:rPr/>
        <w:t>受</w:t>
      </w:r>
      <w:r>
        <w:rPr/>
        <w:t>广东省番禺监狱</w:t>
      </w:r>
      <w:r>
        <w:rPr/>
        <w:t>的委托，采用</w:t>
      </w:r>
      <w:r>
        <w:rPr/>
        <w:t>公开招标</w:t>
      </w:r>
      <w:r>
        <w:rPr/>
        <w:t>方式组织采购</w:t>
      </w:r>
      <w:r>
        <w:rPr/>
        <w:t>广东省番禺监狱（2025年度）政务信息化基础设施运维项目及办公设备桌面运维服务项目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广东省番禺监狱（2025年度）政务信息化基础设施运维项目及办公设备桌面运维服务项目</w:t>
      </w:r>
    </w:p>
    <w:p>
      <w:pPr>
        <w:pStyle w:val="null3"/>
        <w:ind w:firstLine="480"/>
      </w:pPr>
      <w:r>
        <w:rPr/>
        <w:t>采购计划编号：</w:t>
      </w:r>
      <w:r>
        <w:rPr/>
        <w:t>440001-2025-07063</w:t>
      </w:r>
    </w:p>
    <w:p>
      <w:pPr>
        <w:pStyle w:val="null3"/>
        <w:ind w:firstLine="480"/>
      </w:pPr>
      <w:r>
        <w:rPr/>
        <w:t>采购项目编号：</w:t>
      </w:r>
      <w:r>
        <w:rPr/>
        <w:t>0809-25411GZG304000701</w:t>
      </w:r>
    </w:p>
    <w:p>
      <w:pPr>
        <w:pStyle w:val="null3"/>
        <w:ind w:firstLine="480"/>
      </w:pPr>
      <w:r>
        <w:rPr/>
        <w:t>采购方式：</w:t>
      </w:r>
      <w:r>
        <w:rPr/>
        <w:t>公开招标</w:t>
      </w:r>
    </w:p>
    <w:p>
      <w:pPr>
        <w:pStyle w:val="null3"/>
        <w:ind w:firstLine="480"/>
      </w:pPr>
      <w:r>
        <w:rPr/>
        <w:t>预算金额：</w:t>
      </w:r>
      <w:r>
        <w:rPr/>
        <w:t>989,100.00</w:t>
      </w:r>
      <w:r>
        <w:rPr/>
        <w:t>元</w:t>
      </w:r>
    </w:p>
    <w:p>
      <w:pPr>
        <w:pStyle w:val="null3"/>
        <w:outlineLvl w:val="3"/>
      </w:pPr>
      <w:r>
        <w:rPr>
          <w:sz w:val="24"/>
          <w:b/>
        </w:rPr>
        <w:t>2.项目内容及需求情况（采购项目技术规格、参数及要求）</w:t>
      </w:r>
    </w:p>
    <w:p>
      <w:pPr>
        <w:pStyle w:val="null3"/>
      </w:pPr>
      <w:r>
        <w:rPr/>
        <w:t>采购包1(广东省番禺监狱（2025年度）政务信息化基础设施运维项目及办公设备桌面运维服务项目):</w:t>
      </w:r>
    </w:p>
    <w:p>
      <w:pPr>
        <w:pStyle w:val="null3"/>
      </w:pPr>
      <w:r>
        <w:rPr/>
        <w:t>采购包预算金额：989,100.00元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硬件运维服务</w:t>
            </w:r>
          </w:p>
        </w:tc>
        <w:tc>
          <w:tcPr>
            <w:tcW w:type="dxa" w:w="2136"/>
          </w:tcPr>
          <w:p>
            <w:pPr>
              <w:pStyle w:val="null3"/>
            </w:pPr>
            <w:r>
              <w:rPr/>
              <w:t>广东省番禺监狱（2025年度）政务信息化基础设施运维项目及办公设备桌面运维服务项目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合同履行期限：政务信息化基础设施运维：以合同签订之日为服务起始时间，服务期为12个月；办公设备桌面运维服务：2025年7月1日至2026年4月30日，共十个月。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具有良好的商业信誉和健全的财务会计制度：提供2023年度财务状况报告或基本开户行（或基本存款账户行）出具的资信证明，或最近一期财务报表（适用在上一年度或本财务年度成立的法人或其他组织），或人民银行出具的个人信用报告（适用于自然人）。</w:t>
      </w:r>
    </w:p>
    <w:p>
      <w:pPr>
        <w:pStyle w:val="null3"/>
      </w:pPr>
      <w:r>
        <w:rPr/>
        <w:t>3）有依法缴纳税收和社会保障资金的良好记录：提供投标（响应）截止日前6个月内任意1个月依法缴纳税收和社会保障资金的相关材料。如依法免税或不需要缴纳社会保障资金的，提供相应证明材料。</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按投标（响应）文件格式和相关承诺要求内容提供《投标函》。</w:t>
      </w:r>
    </w:p>
    <w:p>
      <w:pPr>
        <w:pStyle w:val="null3"/>
        <w:outlineLvl w:val="3"/>
      </w:pPr>
      <w:r>
        <w:rPr>
          <w:sz w:val="24"/>
          <w:b/>
        </w:rPr>
        <w:t>2.落实政府采购政策需满足的资格要求：</w:t>
      </w:r>
    </w:p>
    <w:p>
      <w:pPr>
        <w:pStyle w:val="null3"/>
        <w:jc w:val="left"/>
      </w:pPr>
      <w:r>
        <w:rPr/>
        <w:t>采购包1（广东省番禺监狱（2025年度）政务信息化基础设施运维项目及办公设备桌面运维服务项目）：</w:t>
      </w:r>
      <w:r>
        <w:rPr/>
        <w:t>本项目属于专门面向中小微企业采购的项目，全部服务的承接方应为中小微企业、监狱企业或残疾人福利性单位【依据《中小企业声明函（服务）》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采购包1（广东省番禺监狱（2025年度）政务信息化基础设施运维项目及办公设备桌面运维服务项目）：</w:t>
      </w:r>
    </w:p>
    <w:p>
      <w:pPr>
        <w:pStyle w:val="null3"/>
      </w:pPr>
      <w:r>
        <w:rPr/>
        <w:t>1)单位负责人为同一人或者存在直接控股、管理关系的不同供应商，不得同时参加本采购项目（采购包）投标（响应）。为本项目提供整体设计、规范编制或者项目管理、监理、检测等服务的供应商，不得再参与本项目投标（响应）。按投标（响应）文件格式和相关承诺要求内容提供《投标函》。</w:t>
      </w:r>
    </w:p>
    <w:p>
      <w:pPr>
        <w:pStyle w:val="null3"/>
      </w:pPr>
      <w:r>
        <w:rP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广东省番禺监狱</w:t>
      </w:r>
    </w:p>
    <w:p>
      <w:pPr>
        <w:pStyle w:val="null3"/>
        <w:ind w:firstLine="480"/>
      </w:pPr>
      <w:r>
        <w:rPr/>
        <w:t xml:space="preserve"> 地址：</w:t>
      </w:r>
      <w:r>
        <w:rPr/>
        <w:t>广州市番禺区大石镇石中二路113号</w:t>
      </w:r>
    </w:p>
    <w:p>
      <w:pPr>
        <w:pStyle w:val="null3"/>
        <w:ind w:firstLine="480"/>
      </w:pPr>
      <w:r>
        <w:rPr/>
        <w:t xml:space="preserve"> 联系方式：</w:t>
      </w:r>
      <w:r>
        <w:rPr/>
        <w:t>020-39162740</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广东省广州市越秀区北京街道</w:t>
      </w:r>
    </w:p>
    <w:p>
      <w:pPr>
        <w:pStyle w:val="null3"/>
        <w:ind w:firstLine="480"/>
      </w:pPr>
      <w:r>
        <w:rPr/>
        <w:t xml:space="preserve"> 联系方式：</w:t>
      </w:r>
      <w:r>
        <w:rPr/>
        <w:t>020-83172166-848</w:t>
      </w:r>
    </w:p>
    <w:p>
      <w:pPr>
        <w:pStyle w:val="null3"/>
        <w:outlineLvl w:val="3"/>
      </w:pPr>
      <w:r>
        <w:rPr>
          <w:sz w:val="24"/>
          <w:b/>
        </w:rPr>
        <w:t xml:space="preserve"> 3.项目联系方式</w:t>
      </w:r>
    </w:p>
    <w:p>
      <w:pPr>
        <w:pStyle w:val="null3"/>
        <w:ind w:firstLine="480"/>
      </w:pPr>
      <w:r>
        <w:rPr/>
        <w:t xml:space="preserve"> 项目联系人：</w:t>
      </w:r>
      <w:r>
        <w:rPr/>
        <w:t>广东华伦</w:t>
      </w:r>
    </w:p>
    <w:p>
      <w:pPr>
        <w:pStyle w:val="null3"/>
        <w:ind w:firstLine="480"/>
      </w:pPr>
      <w:r>
        <w:rPr/>
        <w:t xml:space="preserve"> 电话：</w:t>
      </w:r>
      <w:r>
        <w:rPr/>
        <w:t>020-83172166-848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1.</w:t>
      </w:r>
      <w:r>
        <w:rPr>
          <w:sz w:val="24"/>
          <w:color w:val="000000"/>
        </w:rPr>
        <w:t>项目属性：本项目为服务类政府采购项目。</w:t>
      </w:r>
    </w:p>
    <w:p>
      <w:pPr>
        <w:pStyle w:val="null3"/>
        <w:ind w:firstLine="480"/>
        <w:jc w:val="both"/>
      </w:pPr>
      <w:r>
        <w:rPr>
          <w:sz w:val="24"/>
          <w:color w:val="000000"/>
        </w:rPr>
        <w:t>2.</w:t>
      </w:r>
      <w:r>
        <w:rPr>
          <w:sz w:val="24"/>
          <w:color w:val="000000"/>
        </w:rPr>
        <w:t>根据《关于印发中小企业划型标准规定的通知》（工信部联企业〔</w:t>
      </w:r>
      <w:r>
        <w:rPr>
          <w:sz w:val="24"/>
          <w:color w:val="000000"/>
        </w:rPr>
        <w:t>2011</w:t>
      </w:r>
      <w:r>
        <w:rPr>
          <w:sz w:val="24"/>
          <w:color w:val="000000"/>
        </w:rPr>
        <w:t>〕</w:t>
      </w:r>
      <w:r>
        <w:rPr>
          <w:sz w:val="24"/>
          <w:color w:val="000000"/>
        </w:rPr>
        <w:t>300</w:t>
      </w:r>
      <w:r>
        <w:rPr>
          <w:sz w:val="24"/>
          <w:color w:val="000000"/>
        </w:rPr>
        <w:t>号）规定，本项目采购标的对应的中小企业划分标准所属行业为：</w:t>
      </w:r>
      <w:r>
        <w:rPr>
          <w:sz w:val="24"/>
          <w:color w:val="000000"/>
          <w:u w:val="single"/>
        </w:rPr>
        <w:t>软件和信息技术服务业</w:t>
      </w:r>
      <w:r>
        <w:rPr>
          <w:sz w:val="24"/>
        </w:rPr>
        <w:t>。</w:t>
      </w:r>
    </w:p>
    <w:p>
      <w:pPr>
        <w:pStyle w:val="null3"/>
        <w:ind w:firstLine="480"/>
        <w:jc w:val="both"/>
      </w:pPr>
      <w:r>
        <w:rPr>
          <w:sz w:val="24"/>
        </w:rPr>
        <w:t>3.</w:t>
      </w:r>
      <w:r>
        <w:rPr>
          <w:sz w:val="24"/>
        </w:rPr>
        <w:t>本项目（采购包）属于专门面向中小微企业预留采购份额的项目（采购包）。</w:t>
      </w:r>
    </w:p>
    <w:p>
      <w:pPr>
        <w:pStyle w:val="null3"/>
        <w:ind w:firstLine="480"/>
        <w:jc w:val="both"/>
      </w:pPr>
      <w:r>
        <w:rPr>
          <w:sz w:val="24"/>
          <w:color w:val="000000"/>
        </w:rPr>
        <w:t>4.</w:t>
      </w:r>
      <w:r>
        <w:rPr>
          <w:sz w:val="24"/>
          <w:color w:val="000000"/>
        </w:rPr>
        <w:t>需要落实的政府采购政策：《政府采购促进中小企业发展管理办法》的通知（财库</w:t>
      </w:r>
      <w:r>
        <w:rPr>
          <w:sz w:val="24"/>
          <w:color w:val="000000"/>
        </w:rPr>
        <w:t>[2020]46</w:t>
      </w:r>
      <w:r>
        <w:rPr>
          <w:sz w:val="24"/>
          <w:color w:val="000000"/>
        </w:rPr>
        <w:t>号）、《关于政府采购支持监狱企业发展有关问题的通知》（财库〔</w:t>
      </w:r>
      <w:r>
        <w:rPr>
          <w:sz w:val="24"/>
          <w:color w:val="000000"/>
        </w:rPr>
        <w:t>2014</w:t>
      </w:r>
      <w:r>
        <w:rPr>
          <w:sz w:val="24"/>
          <w:color w:val="000000"/>
        </w:rPr>
        <w:t>〕</w:t>
      </w:r>
      <w:r>
        <w:rPr>
          <w:sz w:val="24"/>
          <w:color w:val="000000"/>
        </w:rPr>
        <w:t>68</w:t>
      </w:r>
      <w:r>
        <w:rPr>
          <w:sz w:val="24"/>
          <w:color w:val="000000"/>
        </w:rPr>
        <w:t>号）、《关于促进残疾人就业政府采购政策的通知》（财库〔</w:t>
      </w:r>
      <w:r>
        <w:rPr>
          <w:sz w:val="24"/>
          <w:color w:val="000000"/>
        </w:rPr>
        <w:t>2017</w:t>
      </w:r>
      <w:r>
        <w:rPr>
          <w:sz w:val="24"/>
          <w:color w:val="000000"/>
        </w:rPr>
        <w:t>〕</w:t>
      </w:r>
      <w:r>
        <w:rPr>
          <w:sz w:val="24"/>
          <w:color w:val="000000"/>
        </w:rPr>
        <w:t>141</w:t>
      </w:r>
      <w:r>
        <w:rPr>
          <w:sz w:val="24"/>
          <w:color w:val="000000"/>
        </w:rPr>
        <w:t>号）、《关于调整优化节能产品、环境标志产品政府采购执行机制的通知》（财库〔</w:t>
      </w:r>
      <w:r>
        <w:rPr>
          <w:sz w:val="24"/>
          <w:color w:val="000000"/>
        </w:rPr>
        <w:t>2019</w:t>
      </w:r>
      <w:r>
        <w:rPr>
          <w:sz w:val="24"/>
          <w:color w:val="000000"/>
        </w:rPr>
        <w:t>〕</w:t>
      </w:r>
      <w:r>
        <w:rPr>
          <w:sz w:val="24"/>
          <w:color w:val="000000"/>
        </w:rPr>
        <w:t>9</w:t>
      </w:r>
      <w:r>
        <w:rPr>
          <w:sz w:val="24"/>
          <w:color w:val="000000"/>
        </w:rPr>
        <w:t>号）、《关于印发节能产品政府采购品目清单的通知》（财库〔</w:t>
      </w:r>
      <w:r>
        <w:rPr>
          <w:sz w:val="24"/>
          <w:color w:val="000000"/>
        </w:rPr>
        <w:t>2019</w:t>
      </w:r>
      <w:r>
        <w:rPr>
          <w:sz w:val="24"/>
          <w:color w:val="000000"/>
        </w:rPr>
        <w:t>〕</w:t>
      </w:r>
      <w:r>
        <w:rPr>
          <w:sz w:val="24"/>
          <w:color w:val="000000"/>
        </w:rPr>
        <w:t>19</w:t>
      </w:r>
      <w:r>
        <w:rPr>
          <w:sz w:val="24"/>
          <w:color w:val="000000"/>
        </w:rPr>
        <w:t>号）、《关于印发环境标志产品政府采购品目清单的通知》（财库〔</w:t>
      </w:r>
      <w:r>
        <w:rPr>
          <w:sz w:val="24"/>
          <w:color w:val="000000"/>
        </w:rPr>
        <w:t>2019</w:t>
      </w:r>
      <w:r>
        <w:rPr>
          <w:sz w:val="24"/>
          <w:color w:val="000000"/>
        </w:rPr>
        <w:t>〕</w:t>
      </w:r>
      <w:r>
        <w:rPr>
          <w:sz w:val="24"/>
          <w:color w:val="000000"/>
        </w:rPr>
        <w:t>18</w:t>
      </w:r>
      <w:r>
        <w:rPr>
          <w:sz w:val="24"/>
          <w:color w:val="000000"/>
        </w:rPr>
        <w:t>号）、《商品包装政府采购需求标准（试行）》及《快递包装政府采购需求标准（试行）》（财办库〔</w:t>
      </w:r>
      <w:r>
        <w:rPr>
          <w:sz w:val="24"/>
          <w:color w:val="000000"/>
        </w:rPr>
        <w:t>2020</w:t>
      </w:r>
      <w:r>
        <w:rPr>
          <w:sz w:val="24"/>
          <w:color w:val="000000"/>
        </w:rPr>
        <w:t>〕</w:t>
      </w:r>
      <w:r>
        <w:rPr>
          <w:sz w:val="24"/>
          <w:color w:val="000000"/>
        </w:rPr>
        <w:t>123</w:t>
      </w:r>
      <w:r>
        <w:rPr>
          <w:sz w:val="24"/>
          <w:color w:val="000000"/>
        </w:rPr>
        <w:t>号）等。</w:t>
      </w:r>
    </w:p>
    <w:p>
      <w:pPr>
        <w:pStyle w:val="null3"/>
        <w:ind w:firstLine="480"/>
        <w:jc w:val="both"/>
      </w:pPr>
      <w:r>
        <w:rPr>
          <w:sz w:val="24"/>
          <w:color w:val="000000"/>
        </w:rPr>
        <w:t>5.</w:t>
      </w:r>
      <w:r>
        <w:rPr>
          <w:sz w:val="24"/>
          <w:color w:val="000000"/>
        </w:rPr>
        <w:t>凡标记“★”号的条款（如有）为必须实质性响应的要求，供应商任何负偏离（不满足要求）或不响应均导致其投标（响应）无效。凡标记“▲”号的条款（如有）为重要的要求，供应商任何负偏离（不满足要求）或不响应不导致其投标（响应）无效，但可能对其评审产生重大的影响，具体见项目评审标准。</w:t>
      </w:r>
    </w:p>
    <w:p>
      <w:pPr>
        <w:pStyle w:val="null3"/>
        <w:ind w:firstLine="480"/>
        <w:jc w:val="both"/>
      </w:pPr>
      <w:r>
        <w:rPr>
          <w:sz w:val="24"/>
          <w:color w:val="000000"/>
        </w:rPr>
        <w:t>6.</w:t>
      </w:r>
      <w:r>
        <w:rPr>
          <w:sz w:val="24"/>
          <w:color w:val="000000"/>
        </w:rPr>
        <w:t>项目基本情况：</w:t>
      </w:r>
    </w:p>
    <w:p>
      <w:pPr>
        <w:pStyle w:val="null3"/>
        <w:ind w:firstLine="480"/>
        <w:jc w:val="both"/>
      </w:pPr>
      <w:r>
        <w:rPr>
          <w:sz w:val="24"/>
          <w:color w:val="000000"/>
        </w:rPr>
        <w:t>项目总体目标</w:t>
      </w:r>
    </w:p>
    <w:p>
      <w:pPr>
        <w:pStyle w:val="null3"/>
        <w:ind w:firstLine="480"/>
        <w:jc w:val="both"/>
      </w:pPr>
      <w:r>
        <w:rPr>
          <w:sz w:val="24"/>
          <w:color w:val="000000"/>
        </w:rPr>
        <w:t>监狱信息化各种软、硬件设备投入使用多年，大部分设备已过了保修期。由于监狱的特殊性，需要设备长期不间断运行。为确保各业务系统正常运作，须邀请专业信息化运维公司对监狱的信息系统、信息化设备和安全防范设备进行维护，尽量减少和避免设备故障的发生，保证监狱工作的正常开展。</w:t>
      </w:r>
    </w:p>
    <w:p>
      <w:pPr>
        <w:pStyle w:val="null3"/>
        <w:ind w:firstLine="480"/>
        <w:jc w:val="both"/>
      </w:pPr>
      <w:r>
        <w:rPr>
          <w:sz w:val="24"/>
          <w:color w:val="000000"/>
        </w:rPr>
        <w:t>办公设备桌面运维服务项目目标为保障番禺监狱内部办公设备稳定正常进行。</w:t>
      </w:r>
    </w:p>
    <w:p>
      <w:pPr>
        <w:pStyle w:val="null3"/>
        <w:ind w:firstLine="480"/>
        <w:jc w:val="both"/>
      </w:pPr>
      <w:r>
        <w:rPr>
          <w:sz w:val="24"/>
          <w:color w:val="000000"/>
        </w:rPr>
        <w:t>项目内容简介</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361"/>
        <w:gridCol w:w="1930"/>
        <w:gridCol w:w="5238"/>
        <w:gridCol w:w="1825"/>
      </w:tblGrid>
      <w:tr>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服务项</w:t>
            </w:r>
          </w:p>
        </w:tc>
        <w:tc>
          <w:tcPr>
            <w:tcW w:type="dxa" w:w="1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运维任务</w:t>
            </w:r>
          </w:p>
        </w:tc>
        <w:tc>
          <w:tcPr>
            <w:tcW w:type="dxa" w:w="5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color w:val="000000"/>
              </w:rPr>
              <w:t>运维范围</w:t>
            </w:r>
          </w:p>
        </w:tc>
        <w:tc>
          <w:tcPr>
            <w:tcW w:type="dxa" w:w="1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服务期限</w:t>
            </w: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政务信息化</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保障支撑番禺监狱业务的核心硬件及基础设施的正常运行</w:t>
            </w:r>
          </w:p>
        </w:tc>
        <w:tc>
          <w:tcPr>
            <w:tcW w:type="dxa" w:w="5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包括：监狱安防系统、视频会议系统、会见系统、武警周界系统、行政办公智能化系统、礼堂音响系统、视频智能分析系统、超融合系统、准入系统、</w:t>
            </w:r>
            <w:r>
              <w:rPr>
                <w:sz w:val="24"/>
                <w:color w:val="000000"/>
              </w:rPr>
              <w:t>LED</w:t>
            </w:r>
            <w:r>
              <w:rPr>
                <w:sz w:val="24"/>
                <w:color w:val="000000"/>
              </w:rPr>
              <w:t>屏系统以及计算机网络终端设备的维保服务。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本项目列入</w:t>
            </w:r>
            <w:r>
              <w:rPr>
                <w:sz w:val="24"/>
                <w:color w:val="000000"/>
              </w:rPr>
              <w:t>2025</w:t>
            </w:r>
            <w:r>
              <w:rPr>
                <w:sz w:val="24"/>
                <w:color w:val="000000"/>
              </w:rPr>
              <w:t>年建设计划，自签订合同生效之日起</w:t>
            </w:r>
            <w:r>
              <w:rPr>
                <w:sz w:val="24"/>
                <w:color w:val="000000"/>
              </w:rPr>
              <w:t>1</w:t>
            </w:r>
            <w:r>
              <w:rPr>
                <w:sz w:val="24"/>
                <w:color w:val="000000"/>
              </w:rPr>
              <w:t>年。</w:t>
            </w:r>
          </w:p>
        </w:tc>
      </w:tr>
      <w:tr>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办公设备桌面运维</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保障番禺监狱内部办公设备稳定正常进行</w:t>
            </w:r>
          </w:p>
        </w:tc>
        <w:tc>
          <w:tcPr>
            <w:tcW w:type="dxa" w:w="5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服务范围：电脑、打印机、复印机、高拍仪、扫描仪、笔记本电脑、电话、碎纸机、投影仪等办公设备的维修和保养，设备线路的维护保养，配件的采购、更换及现场维修服务。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本项目列入</w:t>
            </w:r>
            <w:r>
              <w:rPr>
                <w:sz w:val="24"/>
                <w:color w:val="000000"/>
              </w:rPr>
              <w:t>2025</w:t>
            </w:r>
            <w:r>
              <w:rPr>
                <w:sz w:val="24"/>
                <w:color w:val="000000"/>
              </w:rPr>
              <w:t>年建设计划，服务期为</w:t>
            </w:r>
            <w:r>
              <w:rPr>
                <w:sz w:val="24"/>
                <w:color w:val="000000"/>
              </w:rPr>
              <w:t>10</w:t>
            </w:r>
            <w:r>
              <w:rPr>
                <w:sz w:val="24"/>
                <w:color w:val="000000"/>
              </w:rPr>
              <w:t>个月。</w:t>
            </w:r>
          </w:p>
        </w:tc>
      </w:tr>
    </w:tbl>
    <w:p>
      <w:pPr>
        <w:pStyle w:val="null3"/>
        <w:ind w:firstLine="480"/>
        <w:jc w:val="both"/>
      </w:pPr>
      <w:r>
        <w:rPr>
          <w:sz w:val="24"/>
          <w:color w:val="000000"/>
        </w:rPr>
        <w:t>7.</w:t>
      </w:r>
      <w:r>
        <w:rPr>
          <w:sz w:val="24"/>
          <w:color w:val="000000"/>
        </w:rPr>
        <w:t>政务信息化基础设施运维项目服务内容及设备维护清单：</w:t>
      </w:r>
    </w:p>
    <w:p>
      <w:pPr>
        <w:pStyle w:val="null3"/>
        <w:spacing w:after="120"/>
        <w:ind w:left="195" w:firstLine="420"/>
        <w:jc w:val="left"/>
      </w:pPr>
      <w:r>
        <w:rPr>
          <w:sz w:val="21"/>
        </w:rPr>
        <w:t>本次运行维护服务包括基础设施运行维护服务的内容。基础设施运行维护服务是针对必须保留单位自建机房所提供的基础环境和监狱信息化硬件设备系统的运行维护服务。机房基础环境运行维护服务的范围主要包括：供配电系统、</w:t>
      </w:r>
      <w:r>
        <w:rPr>
          <w:sz w:val="21"/>
        </w:rPr>
        <w:t>UPS系统、空调通风系统、综合监控系统（安全防范系统、设备及环境监控系统、KVM系统）、机柜和综合布线系统、消防系统（火灾自动报警和气体灭火系统）、接地及防雷系统等，及其附带的各类系统的例行检查及状态监控、响应支持、故障处理、性能优化等。</w:t>
      </w:r>
    </w:p>
    <w:p>
      <w:pPr>
        <w:pStyle w:val="null3"/>
        <w:spacing w:after="120"/>
        <w:ind w:left="195" w:firstLine="420"/>
        <w:jc w:val="left"/>
      </w:pPr>
      <w:r>
        <w:rPr>
          <w:sz w:val="21"/>
        </w:rPr>
        <w:t>具体运维要求如下：</w:t>
      </w:r>
    </w:p>
    <w:tbl>
      <w:tblPr>
        <w:tblW w:w="0" w:type="auto"/>
        <w:tblBorders>
          <w:top w:val="none" w:color="000000" w:sz="4"/>
          <w:left w:val="none" w:color="000000" w:sz="4"/>
          <w:bottom w:val="none" w:color="000000" w:sz="4"/>
          <w:right w:val="none" w:color="000000" w:sz="4"/>
          <w:insideH w:val="none"/>
          <w:insideV w:val="none"/>
        </w:tblBorders>
      </w:tblPr>
      <w:tblGrid>
        <w:gridCol w:w="1345"/>
        <w:gridCol w:w="2354"/>
        <w:gridCol w:w="6653"/>
      </w:tblGrid>
      <w:tr>
        <w:tc>
          <w:tcPr>
            <w:tcW w:type="dxa" w:w="1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2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相关内容</w:t>
            </w:r>
          </w:p>
        </w:tc>
        <w:tc>
          <w:tcPr>
            <w:tcW w:type="dxa" w:w="6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维护要求</w:t>
            </w:r>
          </w:p>
        </w:tc>
      </w:tr>
      <w:tr>
        <w:tc>
          <w:tcPr>
            <w:tcW w:type="dxa" w:w="1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服务器设备</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日常巡检</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根据日常巡检要求。</w:t>
            </w:r>
          </w:p>
        </w:tc>
      </w:tr>
      <w:tr>
        <w:tc>
          <w:tcPr>
            <w:tcW w:type="dxa" w:w="1345"/>
            <w:vMerge/>
            <w:tcBorders>
              <w:top w:val="none" w:color="000000" w:sz="4"/>
              <w:left w:val="single" w:color="000000" w:sz="4"/>
              <w:bottom w:val="single" w:color="000000" w:sz="4"/>
              <w:right w:val="single" w:color="000000" w:sz="4"/>
            </w:tcBorders>
          </w:tcP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服务器性能维护</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每日上班对指定服务器组人工执行重启；对服务器进行性能调优（包括操作系统性能调优）</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设备故障检测及排除</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关键业务中断：立即响应，</w:t>
            </w:r>
            <w:r>
              <w:rPr>
                <w:sz w:val="21"/>
              </w:rPr>
              <w:t>4小时内排除故障</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非关键功能失效或性能下降，但不至于中断业务：立即响应，</w:t>
            </w:r>
            <w:r>
              <w:rPr>
                <w:sz w:val="21"/>
              </w:rPr>
              <w:t>12小时内排除故障</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系统可以运行，但出现系统报错或低档平台的安装或运行出现问题：立即响应，双方协商排除故障时间。</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设备维保及备件提供</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维修部件及备件性能要求：不低于故障设备规格型号档次</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维修和备件支持周期：重要业务系统用机故障发生</w:t>
            </w:r>
            <w:r>
              <w:rPr>
                <w:sz w:val="21"/>
              </w:rPr>
              <w:t>8小时内提供，一般办公电脑故障发生24小时内提供，直至故障设备修复为止。</w:t>
            </w:r>
          </w:p>
        </w:tc>
      </w:tr>
      <w:tr>
        <w:tc>
          <w:tcPr>
            <w:tcW w:type="dxa" w:w="1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存储设备</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日常巡检</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根据日常巡检要求。</w:t>
            </w:r>
          </w:p>
        </w:tc>
      </w:tr>
      <w:tr>
        <w:tc>
          <w:tcPr>
            <w:tcW w:type="dxa" w:w="1345"/>
            <w:vMerge/>
            <w:tcBorders>
              <w:top w:val="none" w:color="000000" w:sz="4"/>
              <w:left w:val="single" w:color="000000" w:sz="4"/>
              <w:bottom w:val="single" w:color="000000" w:sz="4"/>
              <w:right w:val="single" w:color="000000" w:sz="4"/>
            </w:tcBorders>
          </w:tcP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数据备份</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根据系统需要对系统数据进行备份。</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设备故障检测及排除</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关键业务中断：立即响应，</w:t>
            </w:r>
            <w:r>
              <w:rPr>
                <w:sz w:val="21"/>
              </w:rPr>
              <w:t>4小时内排除故障</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非关键功能失效或性能下降，但不至于中断业务：立即响应，</w:t>
            </w:r>
            <w:r>
              <w:rPr>
                <w:sz w:val="21"/>
              </w:rPr>
              <w:t>12小时内排除故障</w:t>
            </w:r>
            <w:r>
              <w:rPr>
                <w:sz w:val="21"/>
              </w:rPr>
              <w:t>。</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系统可以运行，但出现系统报错或低档平台的安装或运行出现问题：立即响应，双方协商排除故障时间。</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设备维保及备件提供</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维修部件及备件性能要求：不低于故障设备规格型号档次</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维修和备件支持周期：重要业务系统用机故障发生</w:t>
            </w:r>
            <w:r>
              <w:rPr>
                <w:sz w:val="21"/>
              </w:rPr>
              <w:t>4小时内提供，一般办公电脑故障发生12小时内提供，直至故障设备修复为止。</w:t>
            </w:r>
          </w:p>
        </w:tc>
      </w:tr>
      <w:tr>
        <w:tc>
          <w:tcPr>
            <w:tcW w:type="dxa" w:w="1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网络设备</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日常巡检</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按日常巡检要求。</w:t>
            </w:r>
          </w:p>
        </w:tc>
      </w:tr>
      <w:tr>
        <w:tc>
          <w:tcPr>
            <w:tcW w:type="dxa" w:w="1345"/>
            <w:vMerge/>
            <w:tcBorders>
              <w:top w:val="none" w:color="000000" w:sz="4"/>
              <w:left w:val="single" w:color="000000" w:sz="4"/>
              <w:bottom w:val="single" w:color="000000" w:sz="4"/>
              <w:right w:val="single" w:color="000000" w:sz="4"/>
            </w:tcBorders>
          </w:tcP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网络性能检测与调优</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每半年对业务专网进行</w:t>
            </w:r>
            <w:r>
              <w:rPr>
                <w:sz w:val="21"/>
              </w:rPr>
              <w:t>1次性能测试和调优，提供性能测试报告及系统性能扩充和使用建议，以便保证网络性能不断改进并运行在最佳状态。</w:t>
            </w:r>
          </w:p>
        </w:tc>
      </w:tr>
      <w:tr>
        <w:tc>
          <w:tcPr>
            <w:tcW w:type="dxa" w:w="1345"/>
            <w:vMerge/>
            <w:tcBorders>
              <w:top w:val="none" w:color="000000" w:sz="4"/>
              <w:left w:val="single" w:color="000000" w:sz="4"/>
              <w:bottom w:val="single" w:color="000000" w:sz="4"/>
              <w:right w:val="single" w:color="000000" w:sz="4"/>
            </w:tcBorders>
          </w:tcP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网络拓扑及</w:t>
            </w:r>
            <w:r>
              <w:rPr>
                <w:sz w:val="21"/>
              </w:rPr>
              <w:t>VLAN管理</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在交换机上划分了</w:t>
            </w:r>
            <w:r>
              <w:rPr>
                <w:sz w:val="21"/>
              </w:rPr>
              <w:t>VLAN（虚拟局域网），由专职网络管理员负责VLAN的划分及日常管理，确保网络拓扑图及VLAN划分资料的准确性。</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系统故障检测及排除</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关键业务中断：立即响应，</w:t>
            </w:r>
            <w:r>
              <w:rPr>
                <w:sz w:val="21"/>
              </w:rPr>
              <w:t>4小时内排除故障</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非关键功能失效或性能下降，但不至于中断业务：立即响应，</w:t>
            </w:r>
            <w:r>
              <w:rPr>
                <w:sz w:val="21"/>
              </w:rPr>
              <w:t>12小时内排除故障</w:t>
            </w:r>
          </w:p>
        </w:tc>
      </w:tr>
      <w:tr>
        <w:tc>
          <w:tcPr>
            <w:tcW w:type="dxa" w:w="1345"/>
            <w:vMerge/>
            <w:tcBorders>
              <w:top w:val="none" w:color="000000" w:sz="4"/>
              <w:left w:val="single" w:color="000000" w:sz="4"/>
              <w:bottom w:val="single" w:color="000000" w:sz="4"/>
              <w:right w:val="single" w:color="000000" w:sz="4"/>
            </w:tcBorders>
          </w:tcP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网络系统重部署及调试</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系统可以运行，但出现系统报错或低档平台的安装或运行出现问题：立即响应，双方协商排除故障时间。</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网络设备维保及备件提供</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维修部件及备件性能要求：不低于故障设备规格型号档次</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维修和备件支持周期：重要业务系统用机故障发生</w:t>
            </w:r>
            <w:r>
              <w:rPr>
                <w:sz w:val="21"/>
              </w:rPr>
              <w:t>4小时内提供，一般办公电脑故障发生12小时内提供，直至故障设备修复为止。</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主机固件软件版本升级更新</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定期备份设备配置；</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每半年更新最新的版本固件，如工作不正常应立即恢复旧版固件。</w:t>
            </w:r>
          </w:p>
        </w:tc>
      </w:tr>
      <w:tr>
        <w:tc>
          <w:tcPr>
            <w:tcW w:type="dxa" w:w="1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网络准入及上网行为控制管理</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日常巡检</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按日常巡检要求。</w:t>
            </w:r>
          </w:p>
        </w:tc>
      </w:tr>
      <w:tr>
        <w:tc>
          <w:tcPr>
            <w:tcW w:type="dxa" w:w="1345"/>
            <w:vMerge/>
            <w:tcBorders>
              <w:top w:val="none" w:color="000000" w:sz="4"/>
              <w:left w:val="single" w:color="000000" w:sz="4"/>
              <w:bottom w:val="single" w:color="000000" w:sz="4"/>
              <w:right w:val="single" w:color="000000" w:sz="4"/>
            </w:tcBorders>
          </w:tcP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IP地址管理</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因为采用了网络准入机制，办公电脑的</w:t>
            </w:r>
            <w:r>
              <w:rPr>
                <w:sz w:val="21"/>
              </w:rPr>
              <w:t>IP地址与MAC地址是绑定的，由专职网络管理员负责IP地址管理，确保IP地址簿的准确性。</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系统故障检测及排除</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关键业务中断：立即响应，</w:t>
            </w:r>
            <w:r>
              <w:rPr>
                <w:sz w:val="21"/>
              </w:rPr>
              <w:t>4小时内排除故障</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非关键功能失效或性能下降，但不至于中断业务：立即响应，</w:t>
            </w:r>
            <w:r>
              <w:rPr>
                <w:sz w:val="21"/>
              </w:rPr>
              <w:t>12小时内排除故障</w:t>
            </w:r>
          </w:p>
        </w:tc>
      </w:tr>
      <w:tr>
        <w:tc>
          <w:tcPr>
            <w:tcW w:type="dxa" w:w="1345"/>
            <w:vMerge/>
            <w:tcBorders>
              <w:top w:val="none" w:color="000000" w:sz="4"/>
              <w:left w:val="single" w:color="000000" w:sz="4"/>
              <w:bottom w:val="single" w:color="000000" w:sz="4"/>
              <w:right w:val="single" w:color="000000" w:sz="4"/>
            </w:tcBorders>
          </w:tcP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网络系统重部署及调试</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系统可以运行，但出现系统报错或低档平台的安装或运行出现问题：立即响应，双方协商排除故障时间。</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网络设备维保及备件提供</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维修部件及备件性能要求：不低于故障设备规格型号档次</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维修和备件支持周期：重要业务系统用机故障发生</w:t>
            </w:r>
            <w:r>
              <w:rPr>
                <w:sz w:val="21"/>
              </w:rPr>
              <w:t>4小时内提供，一般办公电脑故障发生12小时内提供，直至故障设备修复为止。</w:t>
            </w:r>
          </w:p>
        </w:tc>
      </w:tr>
      <w:tr>
        <w:tc>
          <w:tcPr>
            <w:tcW w:type="dxa" w:w="1345"/>
            <w:vMerge/>
            <w:tcBorders>
              <w:top w:val="none" w:color="000000" w:sz="4"/>
              <w:left w:val="single" w:color="000000" w:sz="4"/>
              <w:bottom w:val="single" w:color="000000" w:sz="4"/>
              <w:right w:val="single" w:color="000000" w:sz="4"/>
            </w:tcBorders>
          </w:tcPr>
          <w:p/>
        </w:tc>
        <w:tc>
          <w:tcPr>
            <w:tcW w:type="dxa" w:w="2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主机固件软件版本升级更新</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定期备份设备配置；</w:t>
            </w:r>
          </w:p>
        </w:tc>
      </w:tr>
      <w:tr>
        <w:tc>
          <w:tcPr>
            <w:tcW w:type="dxa" w:w="1345"/>
            <w:vMerge/>
            <w:tcBorders>
              <w:top w:val="none" w:color="000000" w:sz="4"/>
              <w:left w:val="single" w:color="000000" w:sz="4"/>
              <w:bottom w:val="single" w:color="000000" w:sz="4"/>
              <w:right w:val="single" w:color="000000" w:sz="4"/>
            </w:tcBorders>
          </w:tcPr>
          <w:p/>
        </w:tc>
        <w:tc>
          <w:tcPr>
            <w:tcW w:type="dxa" w:w="2354"/>
            <w:vMerge/>
            <w:tcBorders>
              <w:top w:val="none" w:color="000000" w:sz="4"/>
              <w:left w:val="none" w:color="000000" w:sz="4"/>
              <w:bottom w:val="single" w:color="000000" w:sz="4"/>
              <w:right w:val="single" w:color="000000" w:sz="4"/>
            </w:tcBorders>
          </w:tcP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每半年更新最新的版本固件，如工作不正常应立即恢复旧版固件。</w:t>
            </w:r>
          </w:p>
        </w:tc>
      </w:tr>
      <w:tr>
        <w:tc>
          <w:tcPr>
            <w:tcW w:type="dxa" w:w="1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信息安全设备</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日常巡检</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按日常巡检要求。</w:t>
            </w:r>
          </w:p>
        </w:tc>
      </w:tr>
      <w:tr>
        <w:tc>
          <w:tcPr>
            <w:tcW w:type="dxa" w:w="1345"/>
            <w:vMerge/>
            <w:tcBorders>
              <w:top w:val="none" w:color="000000" w:sz="4"/>
              <w:left w:val="single" w:color="000000" w:sz="4"/>
              <w:bottom w:val="single" w:color="000000" w:sz="4"/>
              <w:right w:val="single" w:color="000000" w:sz="4"/>
            </w:tcBorders>
          </w:tcP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硬件许可及主机固件软件版本升级更新</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定期备份设备配置，设备硬件许可及固件软件版本根据安全扫描的结果进行升级。</w:t>
            </w:r>
          </w:p>
        </w:tc>
      </w:tr>
      <w:tr>
        <w:tc>
          <w:tcPr>
            <w:tcW w:type="dxa" w:w="1345"/>
            <w:vMerge/>
            <w:tcBorders>
              <w:top w:val="none" w:color="000000" w:sz="4"/>
              <w:left w:val="single" w:color="000000" w:sz="4"/>
              <w:bottom w:val="single" w:color="000000" w:sz="4"/>
              <w:right w:val="single" w:color="000000" w:sz="4"/>
            </w:tcBorders>
          </w:tcP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安全策略制定和更新</w:t>
            </w:r>
          </w:p>
        </w:tc>
        <w:tc>
          <w:tcPr>
            <w:tcW w:type="dxa" w:w="6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每年进行</w:t>
            </w:r>
            <w:r>
              <w:rPr>
                <w:sz w:val="21"/>
              </w:rPr>
              <w:t>1次安全策略制定及更新，并接受有效性检查。</w:t>
            </w:r>
          </w:p>
        </w:tc>
      </w:tr>
      <w:tr>
        <w:tc>
          <w:tcPr>
            <w:tcW w:type="dxa" w:w="13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计算机机房</w:t>
            </w:r>
          </w:p>
        </w:tc>
        <w:tc>
          <w:tcPr>
            <w:tcW w:type="dxa" w:w="2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日常巡检</w:t>
            </w:r>
          </w:p>
        </w:tc>
        <w:tc>
          <w:tcPr>
            <w:tcW w:type="dxa" w:w="6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按日常巡检要求。</w:t>
            </w:r>
          </w:p>
        </w:tc>
      </w:tr>
      <w:tr>
        <w:tc>
          <w:tcPr>
            <w:tcW w:type="dxa" w:w="1345"/>
            <w:vMerge/>
            <w:tcBorders>
              <w:top w:val="single" w:color="000000" w:sz="4"/>
              <w:left w:val="single" w:color="000000" w:sz="4"/>
              <w:bottom w:val="single" w:color="000000" w:sz="4"/>
              <w:right w:val="single" w:color="000000" w:sz="4"/>
            </w:tcBorders>
          </w:tcP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机房环境保养</w:t>
            </w: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每周督促保洁人员打扫机房卫生；每年进行</w:t>
            </w:r>
            <w:r>
              <w:rPr>
                <w:sz w:val="21"/>
              </w:rPr>
              <w:t>1次除尘、线路梳理等保养作业。</w:t>
            </w:r>
          </w:p>
        </w:tc>
      </w:tr>
      <w:tr>
        <w:tc>
          <w:tcPr>
            <w:tcW w:type="dxa" w:w="1345"/>
            <w:vMerge/>
            <w:tcBorders>
              <w:top w:val="single" w:color="000000" w:sz="4"/>
              <w:left w:val="single" w:color="000000" w:sz="4"/>
              <w:bottom w:val="single" w:color="000000" w:sz="4"/>
              <w:right w:val="single" w:color="000000" w:sz="4"/>
            </w:tcBorders>
          </w:tcPr>
          <w:p/>
        </w:tc>
        <w:tc>
          <w:tcPr>
            <w:tcW w:type="dxa" w:w="2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设备故障检测及排除</w:t>
            </w: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关键业务中断：立即响应，</w:t>
            </w:r>
            <w:r>
              <w:rPr>
                <w:sz w:val="21"/>
              </w:rPr>
              <w:t>4小时内排除故障</w:t>
            </w:r>
          </w:p>
        </w:tc>
      </w:tr>
      <w:tr>
        <w:tc>
          <w:tcPr>
            <w:tcW w:type="dxa" w:w="1345"/>
            <w:vMerge/>
            <w:tcBorders>
              <w:top w:val="single" w:color="000000" w:sz="4"/>
              <w:left w:val="single" w:color="000000" w:sz="4"/>
              <w:bottom w:val="single" w:color="000000" w:sz="4"/>
              <w:right w:val="single" w:color="000000" w:sz="4"/>
            </w:tcBorders>
          </w:tcPr>
          <w:p/>
        </w:tc>
        <w:tc>
          <w:tcPr>
            <w:tcW w:type="dxa" w:w="2354"/>
            <w:vMerge/>
            <w:tcBorders>
              <w:top w:val="none" w:color="000000" w:sz="4"/>
              <w:left w:val="single" w:color="000000" w:sz="4"/>
              <w:bottom w:val="single" w:color="000000" w:sz="4"/>
              <w:right w:val="single" w:color="000000" w:sz="4"/>
            </w:tcBorders>
          </w:tcP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非关键功能失效或性能下降，但不至于中断业务：立即响应，</w:t>
            </w:r>
            <w:r>
              <w:rPr>
                <w:sz w:val="21"/>
              </w:rPr>
              <w:t>12小时内排除故障</w:t>
            </w:r>
          </w:p>
        </w:tc>
      </w:tr>
      <w:tr>
        <w:tc>
          <w:tcPr>
            <w:tcW w:type="dxa" w:w="1345"/>
            <w:vMerge/>
            <w:tcBorders>
              <w:top w:val="single" w:color="000000" w:sz="4"/>
              <w:left w:val="single" w:color="000000" w:sz="4"/>
              <w:bottom w:val="single" w:color="000000" w:sz="4"/>
              <w:right w:val="single" w:color="000000" w:sz="4"/>
            </w:tcBorders>
          </w:tcPr>
          <w:p/>
        </w:tc>
        <w:tc>
          <w:tcPr>
            <w:tcW w:type="dxa" w:w="2354"/>
            <w:vMerge/>
            <w:tcBorders>
              <w:top w:val="none" w:color="000000" w:sz="4"/>
              <w:left w:val="single" w:color="000000" w:sz="4"/>
              <w:bottom w:val="single" w:color="000000" w:sz="4"/>
              <w:right w:val="single" w:color="000000" w:sz="4"/>
            </w:tcBorders>
          </w:tcP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系统可以运行，但出现系统报错或低档平台的安装或运行出现问题：立即响应，双方协商排除故障时间。</w:t>
            </w:r>
          </w:p>
        </w:tc>
      </w:tr>
      <w:tr>
        <w:tc>
          <w:tcPr>
            <w:tcW w:type="dxa" w:w="1345"/>
            <w:vMerge/>
            <w:tcBorders>
              <w:top w:val="single" w:color="000000" w:sz="4"/>
              <w:left w:val="single" w:color="000000" w:sz="4"/>
              <w:bottom w:val="single" w:color="000000" w:sz="4"/>
              <w:right w:val="single" w:color="000000" w:sz="4"/>
            </w:tcBorders>
          </w:tcPr>
          <w:p/>
        </w:tc>
        <w:tc>
          <w:tcPr>
            <w:tcW w:type="dxa" w:w="2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设备维保及备件提供</w:t>
            </w: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维修部件及备件性能要求：不低于故障设备规格型号档次</w:t>
            </w:r>
          </w:p>
        </w:tc>
      </w:tr>
      <w:tr>
        <w:tc>
          <w:tcPr>
            <w:tcW w:type="dxa" w:w="1345"/>
            <w:vMerge/>
            <w:tcBorders>
              <w:top w:val="single" w:color="000000" w:sz="4"/>
              <w:left w:val="single" w:color="000000" w:sz="4"/>
              <w:bottom w:val="single" w:color="000000" w:sz="4"/>
              <w:right w:val="single" w:color="000000" w:sz="4"/>
            </w:tcBorders>
          </w:tcPr>
          <w:p/>
        </w:tc>
        <w:tc>
          <w:tcPr>
            <w:tcW w:type="dxa" w:w="2354"/>
            <w:vMerge/>
            <w:tcBorders>
              <w:top w:val="none" w:color="000000" w:sz="4"/>
              <w:left w:val="single" w:color="000000" w:sz="4"/>
              <w:bottom w:val="single" w:color="000000" w:sz="4"/>
              <w:right w:val="single" w:color="000000" w:sz="4"/>
            </w:tcBorders>
          </w:tcP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维修和备件支持周期：重要业务系统用机故障发生</w:t>
            </w:r>
            <w:r>
              <w:rPr>
                <w:sz w:val="21"/>
              </w:rPr>
              <w:t>4小时内提供，一般办公电脑故障发生12小时内提供，直至故障设备修复为止。</w:t>
            </w:r>
          </w:p>
        </w:tc>
      </w:tr>
      <w:tr>
        <w:tc>
          <w:tcPr>
            <w:tcW w:type="dxa" w:w="1345"/>
            <w:vMerge/>
            <w:tcBorders>
              <w:top w:val="single" w:color="000000" w:sz="4"/>
              <w:left w:val="single" w:color="000000" w:sz="4"/>
              <w:bottom w:val="single" w:color="000000" w:sz="4"/>
              <w:right w:val="single" w:color="000000" w:sz="4"/>
            </w:tcBorders>
          </w:tcP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设备档案管理</w:t>
            </w: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记录设备使用情况、服务请求执行记录和维修备件替换情况等；维护基础设施各种运维基本信息，包括信息系统总体结构、逻辑结构，网络互联、网络拓扑结构，以及业务子网综合布线、机房布局等内容。档案纳入配置库统一管理。</w:t>
            </w:r>
          </w:p>
        </w:tc>
      </w:tr>
      <w:tr>
        <w:tc>
          <w:tcPr>
            <w:tcW w:type="dxa" w:w="1345"/>
            <w:vMerge/>
            <w:tcBorders>
              <w:top w:val="single" w:color="000000" w:sz="4"/>
              <w:left w:val="single" w:color="000000" w:sz="4"/>
              <w:bottom w:val="single" w:color="000000" w:sz="4"/>
              <w:right w:val="single" w:color="000000" w:sz="4"/>
            </w:tcBorders>
          </w:tcP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设备密码管理</w:t>
            </w: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指定专人对设备密码统一管理。</w:t>
            </w:r>
          </w:p>
        </w:tc>
      </w:tr>
      <w:tr>
        <w:tc>
          <w:tcPr>
            <w:tcW w:type="dxa" w:w="1345"/>
            <w:vMerge/>
            <w:tcBorders>
              <w:top w:val="single" w:color="000000" w:sz="4"/>
              <w:left w:val="single" w:color="000000" w:sz="4"/>
              <w:bottom w:val="single" w:color="000000" w:sz="4"/>
              <w:right w:val="single" w:color="000000" w:sz="4"/>
            </w:tcBorders>
          </w:tcPr>
          <w:p/>
        </w:tc>
        <w:tc>
          <w:tcPr>
            <w:tcW w:type="dxa" w:w="2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培训</w:t>
            </w: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每年进行</w:t>
            </w:r>
            <w:r>
              <w:rPr>
                <w:sz w:val="21"/>
              </w:rPr>
              <w:t>1次，结合</w:t>
            </w:r>
            <w:r>
              <w:rPr>
                <w:sz w:val="21"/>
              </w:rPr>
              <w:t>番禺</w:t>
            </w:r>
            <w:r>
              <w:rPr>
                <w:sz w:val="21"/>
              </w:rPr>
              <w:t>监狱信息系统的运行状况及存在的问题，提供相关的信息安全技术、管理、政策法规、实践标准的培训，培训内容包括：</w:t>
            </w:r>
          </w:p>
        </w:tc>
      </w:tr>
      <w:tr>
        <w:tc>
          <w:tcPr>
            <w:tcW w:type="dxa" w:w="1345"/>
            <w:vMerge/>
            <w:tcBorders>
              <w:top w:val="single" w:color="000000" w:sz="4"/>
              <w:left w:val="single" w:color="000000" w:sz="4"/>
              <w:bottom w:val="single" w:color="000000" w:sz="4"/>
              <w:right w:val="single" w:color="000000" w:sz="4"/>
            </w:tcBorders>
          </w:tcPr>
          <w:p/>
        </w:tc>
        <w:tc>
          <w:tcPr>
            <w:tcW w:type="dxa" w:w="2354"/>
            <w:vMerge/>
            <w:tcBorders>
              <w:top w:val="none" w:color="000000" w:sz="4"/>
              <w:left w:val="single" w:color="000000" w:sz="4"/>
              <w:bottom w:val="single" w:color="000000" w:sz="4"/>
              <w:right w:val="single" w:color="000000" w:sz="4"/>
            </w:tcBorders>
          </w:tcP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1、网络安全意识培训；</w:t>
            </w:r>
          </w:p>
        </w:tc>
      </w:tr>
      <w:tr>
        <w:tc>
          <w:tcPr>
            <w:tcW w:type="dxa" w:w="1345"/>
            <w:vMerge/>
            <w:tcBorders>
              <w:top w:val="single" w:color="000000" w:sz="4"/>
              <w:left w:val="single" w:color="000000" w:sz="4"/>
              <w:bottom w:val="single" w:color="000000" w:sz="4"/>
              <w:right w:val="single" w:color="000000" w:sz="4"/>
            </w:tcBorders>
          </w:tcPr>
          <w:p/>
        </w:tc>
        <w:tc>
          <w:tcPr>
            <w:tcW w:type="dxa" w:w="2354"/>
            <w:vMerge/>
            <w:tcBorders>
              <w:top w:val="none" w:color="000000" w:sz="4"/>
              <w:left w:val="single" w:color="000000" w:sz="4"/>
              <w:bottom w:val="single" w:color="000000" w:sz="4"/>
              <w:right w:val="single" w:color="000000" w:sz="4"/>
            </w:tcBorders>
          </w:tcP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2、网络安全基础培训；</w:t>
            </w:r>
          </w:p>
        </w:tc>
      </w:tr>
      <w:tr>
        <w:tc>
          <w:tcPr>
            <w:tcW w:type="dxa" w:w="1345"/>
            <w:vMerge/>
            <w:tcBorders>
              <w:top w:val="single" w:color="000000" w:sz="4"/>
              <w:left w:val="single" w:color="000000" w:sz="4"/>
              <w:bottom w:val="single" w:color="000000" w:sz="4"/>
              <w:right w:val="single" w:color="000000" w:sz="4"/>
            </w:tcBorders>
          </w:tcPr>
          <w:p/>
        </w:tc>
        <w:tc>
          <w:tcPr>
            <w:tcW w:type="dxa" w:w="2354"/>
            <w:vMerge/>
            <w:tcBorders>
              <w:top w:val="none" w:color="000000" w:sz="4"/>
              <w:left w:val="single" w:color="000000" w:sz="4"/>
              <w:bottom w:val="single" w:color="000000" w:sz="4"/>
              <w:right w:val="single" w:color="000000" w:sz="4"/>
            </w:tcBorders>
          </w:tcPr>
          <w:p/>
        </w:tc>
        <w:tc>
          <w:tcPr>
            <w:tcW w:type="dxa" w:w="6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sz w:val="21"/>
              </w:rPr>
              <w:t>3、机房安防、UPS等基础培训。</w:t>
            </w:r>
          </w:p>
        </w:tc>
      </w:tr>
    </w:tbl>
    <w:p>
      <w:pPr>
        <w:pStyle w:val="null3"/>
        <w:spacing w:after="120"/>
        <w:ind w:left="195" w:firstLine="200"/>
        <w:jc w:val="both"/>
      </w:pPr>
      <w:r>
        <w:rPr>
          <w:sz w:val="21"/>
        </w:rPr>
        <w:t>设备维护清单如下：</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67"/>
        <w:gridCol w:w="2718"/>
        <w:gridCol w:w="3002"/>
        <w:gridCol w:w="791"/>
        <w:gridCol w:w="776"/>
        <w:gridCol w:w="1404"/>
        <w:gridCol w:w="1075"/>
      </w:tblGrid>
      <w:tr>
        <w:tc>
          <w:tcPr>
            <w:tcW w:type="dxa" w:w="5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271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名称及类别</w:t>
            </w:r>
          </w:p>
        </w:tc>
        <w:tc>
          <w:tcPr>
            <w:tcW w:type="dxa" w:w="30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规格型号</w:t>
            </w:r>
          </w:p>
        </w:tc>
        <w:tc>
          <w:tcPr>
            <w:tcW w:type="dxa" w:w="7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数量</w:t>
            </w:r>
          </w:p>
        </w:tc>
        <w:tc>
          <w:tcPr>
            <w:tcW w:type="dxa" w:w="77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单位</w:t>
            </w:r>
          </w:p>
        </w:tc>
        <w:tc>
          <w:tcPr>
            <w:tcW w:type="dxa" w:w="140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采购时间</w:t>
            </w:r>
          </w:p>
        </w:tc>
        <w:tc>
          <w:tcPr>
            <w:tcW w:type="dxa" w:w="107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运行年限（年）</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网络流量回溯系统定位服务器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NG380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2018/12/14</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存储服务器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7932N-K4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华为机架式服务器主机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RH2288 V3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2019/12/3</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华为服务器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RH2288HV3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2019/12/20</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平台服务器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项</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2718"/>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刀片机箱及刀片服务器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UIS8000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H3C FlexServ</w:t>
            </w:r>
          </w:p>
          <w:p>
            <w:pPr>
              <w:pStyle w:val="null3"/>
              <w:jc w:val="center"/>
            </w:pPr>
            <w:r>
              <w:rPr>
                <w:sz w:val="21"/>
              </w:rPr>
              <w:t>er B390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PWR-2400W-P电源</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DDR3-8GB-SR*4-HR-V2 内存条</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32A PDU供电模块</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Red llat Enterprise L.inux6操作系统</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项</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HD-300G-SAS-10K-SP硬盘</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VCM-FlexFabric-10GE-24P VC模块</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FAN-C8000风扇</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CAB-AC Pwr CHI-3m电源线</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H3C FlexServer B390 3年7×24×4</w:t>
            </w:r>
          </w:p>
          <w:p>
            <w:pPr>
              <w:pStyle w:val="null3"/>
              <w:jc w:val="center"/>
            </w:pPr>
            <w:r>
              <w:rPr>
                <w:sz w:val="21"/>
              </w:rPr>
              <w:t>快速响应服务</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项</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H3C UIS80003年7×24×4快速响应</w:t>
            </w:r>
          </w:p>
          <w:p>
            <w:pPr>
              <w:pStyle w:val="null3"/>
              <w:jc w:val="center"/>
            </w:pPr>
            <w:r>
              <w:rPr>
                <w:sz w:val="21"/>
              </w:rPr>
              <w:t>服务</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项</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智能分析服务器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IA8500-JA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2718"/>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视频监控管理平台</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VM8500-E</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vMerge/>
            <w:tcBorders>
              <w:top w:val="none" w:color="000000" w:sz="4"/>
              <w:left w:val="single" w:color="000000" w:sz="4"/>
              <w:bottom w:val="single" w:color="000000" w:sz="4"/>
              <w:right w:val="single" w:color="000000" w:sz="4"/>
            </w:tcBorders>
          </w:tcP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VM8500-E</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IP定压终端服务器240W</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T-67240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IP定压终端服务器240W</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T-67240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IP定压终端服务器240W</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T-67240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IP定压终端服务器240W</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T-67240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视频监控管理服务器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爱数备份一体机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三层交换机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LS-5130S-52P-EI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网络主机模块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IP2000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LS-3600V2-28TP-EI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48口交换机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LS-5130-48G</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前端</w:t>
            </w:r>
            <w:r>
              <w:rPr>
                <w:sz w:val="21"/>
              </w:rPr>
              <w:t>POE交换机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前端</w:t>
            </w:r>
            <w:r>
              <w:rPr>
                <w:sz w:val="21"/>
              </w:rPr>
              <w:t>POE交换机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汇聚交换机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2019/12/3</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华三交换机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LS-5120V2-28P-LI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2019/12/3</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华三交换机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S7006E</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2019/12/3</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华三交换机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LS-5120V2-52P-LI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2019/12/3</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华三交换机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LS-5130S-52P-EI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2019/12/3</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华三交换机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LS-5560X-54F-EI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2019/12/3</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三层</w:t>
            </w:r>
            <w:r>
              <w:rPr>
                <w:sz w:val="21"/>
              </w:rPr>
              <w:t>24口百兆交换机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S3600V2-28TP-EI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DVR接入网关</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DA8500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二层</w:t>
            </w:r>
            <w:r>
              <w:rPr>
                <w:sz w:val="21"/>
              </w:rPr>
              <w:t>24口百兆交换机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S3110-26TP</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二层</w:t>
            </w:r>
            <w:r>
              <w:rPr>
                <w:sz w:val="21"/>
              </w:rPr>
              <w:t>48口百兆交换机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S3110-52TP</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三层</w:t>
            </w:r>
            <w:r>
              <w:rPr>
                <w:sz w:val="21"/>
              </w:rPr>
              <w:t>24口百兆交换机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S3600V2-28TP-EI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三层</w:t>
            </w:r>
            <w:r>
              <w:rPr>
                <w:sz w:val="21"/>
              </w:rPr>
              <w:t>48口百兆交换机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S3600V2-28TP-EI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核心交换机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S10504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汇聚交换机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2019/7/31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核心数据转发设备</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H3C LS-5560X-54F-EI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汇聚数据转发设备</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H3C LS-5130S-52S-EI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接入数据转发设备</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H3C LS-5130S-52S-EI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2022年？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2023年？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三层</w:t>
            </w:r>
            <w:r>
              <w:rPr>
                <w:sz w:val="21"/>
              </w:rPr>
              <w:t>48口千兆交换机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2024年？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千兆光纤模块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对</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2025年？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流媒体转发服务器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华为</w:t>
            </w:r>
            <w:r>
              <w:rPr>
                <w:sz w:val="21"/>
              </w:rPr>
              <w:t>IVS3800S V2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2020/7/17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视频智能分析服务器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华为</w:t>
            </w:r>
            <w:r>
              <w:rPr>
                <w:sz w:val="21"/>
              </w:rPr>
              <w:t>IVS3800C 12V</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2020/7/17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48口三层交换机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华为</w:t>
            </w:r>
            <w:r>
              <w:rPr>
                <w:sz w:val="21"/>
              </w:rPr>
              <w:t>S5720-56C-EI</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2020/7/17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监狱管理服务器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华为</w:t>
            </w:r>
            <w:r>
              <w:rPr>
                <w:sz w:val="21"/>
              </w:rPr>
              <w:t>2288HV5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2020/7/17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24口交换机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华为</w:t>
            </w:r>
            <w:r>
              <w:rPr>
                <w:sz w:val="21"/>
              </w:rPr>
              <w:t>S5720-28P-LI-AC</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2020/7/17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UTM下一代防火墙或安全网（出口）</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USG-FW-310-T-NF1600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UTM下一代防火墙或安全网关（安全域）</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USG-FW-4000-T-NF3210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等保一体机（日志审计、堡垒机、数据库审计功能整合）</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DAS-Tcloud-2000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安全隔离信息交换系统（网闸）</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SIS-3000-Z2101网闸</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终端安全准入（桌管系统）</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WS-NAC-1000BX-N</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网络管理系统</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SWP-IMC7-IMP</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备份一体机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E6010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CA系统对接</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CA系统对接（网证通）</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存储磁盘阵列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NI-VX1612-C</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存储硬盘</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MD04ABA400V</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2018/8/22</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96T存储柜</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GS6316DJ</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2018/8/22</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存储磁盘阵列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VX1600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存储主机（含</w:t>
            </w:r>
            <w:r>
              <w:rPr>
                <w:sz w:val="21"/>
              </w:rPr>
              <w:t>288T硬盘容量）</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2019/7/31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存储主机电源模块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2019/7/31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扩展柜（含</w:t>
            </w:r>
            <w:r>
              <w:rPr>
                <w:sz w:val="21"/>
              </w:rPr>
              <w:t>288T硬盘容量）</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2019/7/31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硬盘存储阵列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高清红外枪型网络摄像机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IPC-B202-IR</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12VDC工业电源</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12VDC 20A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信息插座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方形双口</w:t>
            </w:r>
            <w:r>
              <w:rPr>
                <w:sz w:val="21"/>
              </w:rPr>
              <w:t>86面板</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信息点模板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六类非屏蔽</w:t>
            </w:r>
            <w:r>
              <w:rPr>
                <w:sz w:val="21"/>
              </w:rPr>
              <w:t>RJ45模块</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强电插座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跳线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六类</w:t>
            </w:r>
            <w:r>
              <w:rPr>
                <w:sz w:val="21"/>
              </w:rPr>
              <w:t>3米</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接线盒</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86型</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配线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RVVP 3*1.0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红外双鉴探测器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LC-104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震动探测器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SS-102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继电器输出模块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4132DVR</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报警主机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VISTA-128BPT</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报警管理软件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LH-SH3001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报警器材</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定制</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指纹门禁控制器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FJC-MAT661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门禁锁</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定制</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智能型温湿度采集仪</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智能型</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控制电脑</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T3620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IP网络分控报警对讲寻呼主机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T-7802U</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VGA跳线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定制</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网线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六类非屏蔽网线</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箱</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光纤</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GYTS型层绞式24芯单模光缆轻铠</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光纤配线架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24口光纤配线架</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光纤跳线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ST-LC</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尾纤</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ST单模单芯尾纤</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耦合器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ST单模双工适配器</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线管线槽</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按需</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纯数字彩色门口机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AJB-ZJ16CCIP</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w:t>
            </w:r>
            <w:r>
              <w:rPr>
                <w:sz w:val="21"/>
              </w:rPr>
              <w:t>7寸数字彩色液晶管理机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AJB-SZ15AD</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电源</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DE-2000E</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电锁</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定制</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网线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六类非屏蔽网线</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箱</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电源线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RVV 3*1.5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安防监控专用工作站</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DELL OPTIPLEX 7080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高品质户外</w:t>
            </w:r>
            <w:r>
              <w:rPr>
                <w:sz w:val="21"/>
              </w:rPr>
              <w:t>P5全彩屏</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11.83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全彩专用电源</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屏幕控制系统发送卡（含控制软件）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张</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屏幕控制系统（视频采集接收卡）</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张</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视频处理器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普通无人机</w:t>
            </w:r>
            <w:r>
              <w:rPr>
                <w:sz w:val="21"/>
              </w:rPr>
              <w:t>1</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Mavic Pro全能套装</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辆</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普通无人机</w:t>
            </w:r>
            <w:r>
              <w:rPr>
                <w:sz w:val="21"/>
              </w:rPr>
              <w:t>2</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GD-X4 PRO2.0+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辆</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专业无人机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GD-W4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辆</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多功能无人机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GOLDEN V6</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辆</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微波图传设备</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Link AV</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4G图传设备</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GLive T90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4G流量卡</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4G</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图像上墙设备</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GD-KST-VGA200T</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网络插座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电源插座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32口软交换窗口适配器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多媒体语音软交换平台硬件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彩色半球型摄像机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服刑人员会见机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家属会见机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监听耳麦</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拾音器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数字网络硬盘录像机（</w:t>
            </w:r>
            <w:r>
              <w:rPr>
                <w:sz w:val="21"/>
              </w:rPr>
              <w:t>NVR）</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65寸液晶显示器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VGA线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FL主扩线阵音箱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FR主扩线阵音箱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SUBL主扩双18寸超重低音箱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SUBR主扩双18寸超重低音箱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台口音箱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补声音箱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舞台返听全频扬声器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C/FL主线HI功放</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C/FR主线LOW功放</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台口功放</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补声功放</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SUB超重低音功放</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话筒</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手持无线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微型领夹式话筒</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会议系统数字主控机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无线主席单元</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无线主席单元</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高级话筒充电箱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音频处理器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调音台</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专业监听耳机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电源分配器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42U机柜</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R101线阵音箱主吊架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喇叭线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喇叭线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音频接插件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音频接插件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音频接插件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音频线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安装线管</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NY-005</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安装附件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PAR1810</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DH-ZT124开关电源箱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灯光控台</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信号放大器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信号线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线材</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室内小间距</w:t>
            </w:r>
            <w:r>
              <w:rPr>
                <w:sz w:val="21"/>
              </w:rPr>
              <w:t>LED显示屏</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56.64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平方米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内置拼接控制器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HDMI矩阵</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HDMI线材</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批</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多媒体插座（含</w:t>
            </w:r>
            <w:r>
              <w:rPr>
                <w:sz w:val="21"/>
              </w:rPr>
              <w:t>HDMI、音频接口、电源接口、网络接口、电话接口，包含相关信号线、电源线及相关跳线）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2020/5/16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高清传输器（集成</w:t>
            </w:r>
            <w:r>
              <w:rPr>
                <w:sz w:val="21"/>
              </w:rPr>
              <w:t>HDMI口，音频接口）</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P3室内全彩LED显示屏</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视频发送卡</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支撑架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电源线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网线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2020/12/21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PVC管</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2021/4/20</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PDU排插</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2021/4/20</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理线架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视频会议会议室终端</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2021/11/1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视频会议会议室终端</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2021/11/1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无人机侦测系统</w:t>
            </w:r>
            <w:r>
              <w:rPr>
                <w:sz w:val="21"/>
              </w:rPr>
              <w:t>(无线电频谱探测设备)</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8口执法记录仪数据采访站</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DSJ-QP9</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2018/8/22</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执法记录采集工作站</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拯救者刃</w:t>
            </w:r>
            <w:r>
              <w:rPr>
                <w:sz w:val="21"/>
              </w:rPr>
              <w:t>9000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2018/8/22</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执法记录采集服务工作站</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PR2750GJ</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2018/8/22</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处理器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传感器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防紫外线扎带</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批</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光纤跳线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根</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线管</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批</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2017年</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98英寸智慧屏</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会议显示屏配套固定支架或移动推车支架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高清录播主机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高清视频分配处理系统</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专业音箱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音箱支架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专业功放</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专业音箱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专业功放</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UHF段液晶显示可调频无线咪(双手持）</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音频处理器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12路数字输出两编组USB录音实况音频管理控制系统</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会议座插</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8路电源时序器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控制终端</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控制主机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IPAD移动平板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电源控制器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中控系统控制软件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19寸机架式六类非屏蔽配线架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六类非屏蔽数据跳线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六类</w:t>
            </w:r>
            <w:r>
              <w:rPr>
                <w:sz w:val="21"/>
              </w:rPr>
              <w:t>4对非屏蔽UTP电缆</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12芯室内多模光缆</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110转RJ45跳线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PDU</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镀锌管</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2021/10/28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调度机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IMC-Y-TX3200D</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LCD 拼接单元(47寸)</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MW5247-HG2-C</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LCD 安装支架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HB-4731-UV</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大屏幕拼接处理器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VS-A8004*1</w:t>
            </w:r>
          </w:p>
          <w:p>
            <w:pPr>
              <w:pStyle w:val="null3"/>
              <w:jc w:val="center"/>
            </w:pPr>
            <w:r>
              <w:rPr>
                <w:sz w:val="21"/>
              </w:rPr>
              <w:t>FB-A86-V08E*2</w:t>
            </w:r>
          </w:p>
          <w:p>
            <w:pPr>
              <w:pStyle w:val="null3"/>
              <w:jc w:val="center"/>
            </w:pPr>
            <w:r>
              <w:rPr>
                <w:sz w:val="21"/>
              </w:rPr>
              <w:t>FB-A86-DD08*2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222</w:t>
            </w:r>
          </w:p>
        </w:tc>
        <w:tc>
          <w:tcPr>
            <w:tcW w:type="dxa" w:w="2718"/>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高清混合矩阵</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TS-9232H</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223</w:t>
            </w: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TS-9208DR</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224</w:t>
            </w:r>
          </w:p>
        </w:tc>
        <w:tc>
          <w:tcPr>
            <w:tcW w:type="dxa" w:w="2718"/>
            <w:vMerge/>
            <w:tcBorders>
              <w:top w:val="none" w:color="000000" w:sz="4"/>
              <w:left w:val="none" w:color="000000" w:sz="4"/>
              <w:bottom w:val="single" w:color="000000" w:sz="4"/>
              <w:right w:val="single" w:color="000000" w:sz="4"/>
            </w:tcBorders>
          </w:tcP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TS-9208DC</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高清解码器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DC2816-FH</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工作站</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Veriton D430 3055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三联控制台</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定制</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数字会议主机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TS-0604M</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纯发言式主席单元</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TS-0602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纯发言式代表单元</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TS-0602A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专业会议延长线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TS-20L</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条</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专用地插盒</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TS-8S</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音箱</w:t>
            </w:r>
            <w:r>
              <w:rPr>
                <w:sz w:val="21"/>
              </w:rPr>
              <w:t>120w</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TS-8A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专业功放</w:t>
            </w:r>
            <w:r>
              <w:rPr>
                <w:sz w:val="21"/>
              </w:rPr>
              <w:t>200W*2</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TA-H4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 路调音台</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TS-16P-2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话筒前级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TS-211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音频处理器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TS-P260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时序电源</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TS-820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音响壁托支架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TS-01A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可编程中央集中控制器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TS-9100D</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无线真彩超薄触摸屏</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TS-9169B</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电源控制模块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TS-9101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音量控制器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TS-9106M</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调光器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TS-9103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8防区扩展模块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4208SN</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CD 播放器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T-6221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CPU读卡器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JSMJD06</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 网络分控对讲寻呼系统</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T-6702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 网络广播主机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T-6700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 网络消防信号报警接口</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T-6223(A)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 桌面寻呼站</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T-6702B</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IP软件加密狗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T-6700KEY</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LED 灯管</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YZ36RR25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编程分区控制器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T-6232A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出门按钮</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电控锁</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电源时序器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T-6216</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高清红外半球网络摄像机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HIC3201E-CFIR</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高清红外半球网络摄像机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HIC3201E-CFIR</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广播话筒</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T-521A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门禁控制器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JSMJK02-20B</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门禁刷卡及控制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JSMJK02-20A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前置放大器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T-6201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声光警号</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OT7-12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数据转换</w:t>
            </w:r>
            <w:r>
              <w:rPr>
                <w:sz w:val="21"/>
              </w:rPr>
              <w:t>IP 终端</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T-6713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数字调谐器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T-6222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网络通讯模块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IP-2000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液晶显示专用键盘</w:t>
            </w:r>
            <w:r>
              <w:rPr>
                <w:sz w:val="21"/>
              </w:rPr>
              <w:t>.</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6160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摄像头</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2021/11/15</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1080P高清宽动态红外防水枪型网络摄像机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HIC2421DE-CIR5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46 寸液晶显示屏</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DS-D5047FL</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86*86MM双口面板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T3062F</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IP网络对讲报警终端</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ITC，T-6703E</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624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IP网络分控对讲寻呼系统</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ITC，T-6702</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超五类屏蔽模块</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T45148</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2472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高清高速球型网络摄像机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HIC6501EX22-5LIR-D</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高清红外半球网络摄像机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HIC3201E-CFIR</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1095</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高清红外防水枪型网络摄像机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HIC2401E-RTZIR</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高清红外枪型网络摄像机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HIC2201E-CFIR</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463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广播话筒</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T-521A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广播音频线</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RVVP2*1.5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56700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米</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紧急按钮</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EB-28</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159</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球机支架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AE-TR-WE45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全景摄像机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HTPA-D-12M-4</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三联控制台</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三联控制台</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拾音器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334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室内壁挂音箱（定压）</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T-601</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室外防水箱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定制</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室外高清高速球型网络摄像机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HIC6622HX22-5LIR，</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一机二屏工作站</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Veriton D430 3056</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一机一屏工作站</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Veriton D430 3055</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2015/12/6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半圆球摄像机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1080P高清定焦</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枪型摄像机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1080P高清定焦</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摄像机支架</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电话插座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网络插座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53</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电视插座</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拾音器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12VDC工业电源</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46寸液晶显示屏</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1920*1080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一机二屏工作站</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24寸液晶显示屏</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高清解码器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24寸液晶显示屏</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三联控制台</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报警按钮</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1080P全高清摄像头</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摄像机接入管理平台</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拾音器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触摸查询一体机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55寸壁挂一体机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1080全高清定摄像机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拾音器</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普通投影</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麦克风摄像头</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触摸查询一体机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55寸壁挂一体机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2017/11/16</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316</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MCU</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2019/7/31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317</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固定接入</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2019/7/31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318</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一体化移动会商终端</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2019/7/31</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319</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视频会议会议室终端</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个</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2021/12/17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320</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监控调用前置机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RH2288 V3</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321</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视频会议终端</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TE40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322</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可视话机</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eSpace8950</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台</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323</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一体化多功能智真</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RP200-55A</w:t>
            </w: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2018/1/18</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324</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LED大屏幕</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48.48</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平方米</w:t>
            </w:r>
          </w:p>
        </w:tc>
        <w:tc>
          <w:tcPr>
            <w:tcW w:type="dxa" w:w="140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sz w:val="21"/>
              </w:rPr>
              <w:t>2022/9/8</w:t>
            </w:r>
          </w:p>
        </w:tc>
        <w:tc>
          <w:tcPr>
            <w:tcW w:type="dxa" w:w="107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325</w:t>
            </w:r>
          </w:p>
        </w:tc>
        <w:tc>
          <w:tcPr>
            <w:tcW w:type="dxa" w:w="27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视频智能分析报警前置终端</w:t>
            </w:r>
          </w:p>
        </w:tc>
        <w:tc>
          <w:tcPr>
            <w:tcW w:type="dxa" w:w="30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594</w:t>
            </w:r>
          </w:p>
        </w:tc>
        <w:tc>
          <w:tcPr>
            <w:tcW w:type="dxa" w:w="7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套</w:t>
            </w:r>
          </w:p>
        </w:tc>
        <w:tc>
          <w:tcPr>
            <w:tcW w:type="dxa" w:w="140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2020/7/17</w:t>
            </w:r>
          </w:p>
        </w:tc>
        <w:tc>
          <w:tcPr>
            <w:tcW w:type="dxa" w:w="107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r>
    </w:tbl>
    <w:p>
      <w:pPr>
        <w:pStyle w:val="null3"/>
        <w:ind w:firstLine="480"/>
        <w:jc w:val="both"/>
      </w:pPr>
      <w:r>
        <w:rPr/>
        <w:t xml:space="preserve"> </w:t>
      </w:r>
    </w:p>
    <w:p>
      <w:pPr>
        <w:pStyle w:val="null3"/>
        <w:ind w:firstLine="480"/>
        <w:jc w:val="both"/>
      </w:pPr>
      <w:r>
        <w:rPr>
          <w:sz w:val="24"/>
          <w:color w:val="000000"/>
        </w:rPr>
        <w:t>8.</w:t>
      </w:r>
      <w:r>
        <w:rPr>
          <w:sz w:val="24"/>
          <w:color w:val="000000"/>
        </w:rPr>
        <w:t>办公设备桌面运维服务项目</w:t>
      </w:r>
      <w:r>
        <w:rPr>
          <w:sz w:val="24"/>
          <w:color w:val="000000"/>
        </w:rPr>
        <w:t>服务范围及现存维护设备清单：</w:t>
      </w:r>
    </w:p>
    <w:p>
      <w:pPr>
        <w:pStyle w:val="null3"/>
        <w:ind w:firstLine="480"/>
        <w:jc w:val="both"/>
      </w:pPr>
      <w:r>
        <w:rPr>
          <w:sz w:val="24"/>
        </w:rPr>
        <w:t>服务范围：电脑、打印机、复印机、高拍仪、扫描仪、笔记本电脑、</w:t>
      </w:r>
      <w:r>
        <w:rPr>
          <w:sz w:val="24"/>
        </w:rPr>
        <w:t>电话、碎纸机、投影仪</w:t>
      </w:r>
      <w:r>
        <w:rPr>
          <w:sz w:val="24"/>
        </w:rPr>
        <w:t>等办公设备的维修和保养，设备线路的维护保养，配件的采购、更换及现场维修服务。</w:t>
      </w:r>
    </w:p>
    <w:p>
      <w:pPr>
        <w:pStyle w:val="null3"/>
        <w:ind w:firstLine="480"/>
        <w:jc w:val="both"/>
      </w:pPr>
      <w:r>
        <w:rPr>
          <w:sz w:val="24"/>
        </w:rPr>
        <w:t>现存维护设备清单见下表：</w:t>
      </w:r>
    </w:p>
    <w:tbl>
      <w:tblPr>
        <w:tblW w:w="0" w:type="auto"/>
        <w:tblBorders>
          <w:top w:val="none" w:color="000000" w:sz="4"/>
          <w:left w:val="none" w:color="000000" w:sz="4"/>
          <w:bottom w:val="none" w:color="000000" w:sz="4"/>
          <w:right w:val="none" w:color="000000" w:sz="4"/>
          <w:insideH w:val="none"/>
          <w:insideV w:val="none"/>
        </w:tblBorders>
      </w:tblPr>
      <w:tblGrid>
        <w:gridCol w:w="5191"/>
        <w:gridCol w:w="5191"/>
      </w:tblGrid>
      <w:tr>
        <w:tc>
          <w:tcPr>
            <w:tcW w:type="dxa" w:w="5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设备名称</w:t>
            </w:r>
          </w:p>
        </w:tc>
        <w:tc>
          <w:tcPr>
            <w:tcW w:type="dxa" w:w="5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数量</w:t>
            </w:r>
          </w:p>
        </w:tc>
      </w:tr>
      <w:tr>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电脑</w:t>
            </w:r>
          </w:p>
        </w:tc>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986</w:t>
            </w:r>
          </w:p>
        </w:tc>
      </w:tr>
      <w:tr>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笔记本电脑</w:t>
            </w:r>
          </w:p>
        </w:tc>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77</w:t>
            </w:r>
          </w:p>
        </w:tc>
      </w:tr>
      <w:tr>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打印机</w:t>
            </w:r>
          </w:p>
        </w:tc>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245</w:t>
            </w:r>
          </w:p>
        </w:tc>
      </w:tr>
      <w:tr>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复印机</w:t>
            </w:r>
          </w:p>
        </w:tc>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64</w:t>
            </w:r>
          </w:p>
        </w:tc>
      </w:tr>
      <w:tr>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高拍仪</w:t>
            </w:r>
          </w:p>
        </w:tc>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72</w:t>
            </w:r>
          </w:p>
        </w:tc>
      </w:tr>
      <w:tr>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扫描仪</w:t>
            </w:r>
          </w:p>
        </w:tc>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59</w:t>
            </w:r>
          </w:p>
        </w:tc>
      </w:tr>
      <w:tr>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平板电脑（含一体机）</w:t>
            </w:r>
          </w:p>
        </w:tc>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109</w:t>
            </w:r>
          </w:p>
        </w:tc>
      </w:tr>
      <w:tr>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碎纸机</w:t>
            </w:r>
          </w:p>
        </w:tc>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55</w:t>
            </w:r>
          </w:p>
        </w:tc>
      </w:tr>
      <w:tr>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投影仪</w:t>
            </w:r>
          </w:p>
        </w:tc>
        <w:tc>
          <w:tcPr>
            <w:tcW w:type="dxa" w:w="5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4"/>
                <w:color w:val="000000"/>
              </w:rPr>
              <w:t>38</w:t>
            </w:r>
          </w:p>
        </w:tc>
      </w:tr>
    </w:tbl>
    <w:p>
      <w:pPr>
        <w:pStyle w:val="null3"/>
        <w:ind w:firstLine="480"/>
        <w:jc w:val="both"/>
      </w:pPr>
      <w:r>
        <w:rPr>
          <w:sz w:val="24"/>
        </w:rPr>
        <w:t>注：以上设备数量为现存设备，数量为约数，具体以监狱行政、企业国资系统和现场勘查为准。</w:t>
      </w:r>
    </w:p>
    <w:p>
      <w:pPr>
        <w:pStyle w:val="null3"/>
      </w:pPr>
      <w:r>
        <w:rPr/>
        <w:t>采购包1（广东省番禺监狱（2025年度）政务信息化基础设施运维项目及办公设备桌面运维服务项目）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政务信息化基础设施运维：以合同签订之日为服务起始时间，服务期为12个月；办公设备桌面运维服务：2025年7月1日至2026年4月30日，共十个月。</w:t>
            </w:r>
          </w:p>
        </w:tc>
      </w:tr>
      <w:tr>
        <w:tc>
          <w:tcPr>
            <w:tcW w:type="dxa" w:w="4153"/>
          </w:tcPr>
          <w:p>
            <w:pPr>
              <w:pStyle w:val="null3"/>
            </w:pPr>
            <w:r>
              <w:rPr/>
              <w:t>标的提供的地点</w:t>
            </w:r>
          </w:p>
        </w:tc>
        <w:tc>
          <w:tcPr>
            <w:tcW w:type="dxa" w:w="4153"/>
          </w:tcPr>
          <w:p>
            <w:pPr>
              <w:pStyle w:val="null3"/>
            </w:pPr>
            <w:r>
              <w:rPr/>
              <w:t>广东省番禺监狱办公区及监管区。</w:t>
            </w:r>
          </w:p>
        </w:tc>
      </w:tr>
      <w:tr/>
      <w:tr/>
      <w:tr>
        <w:tc>
          <w:tcPr>
            <w:tcW w:type="dxa" w:w="4153"/>
          </w:tcPr>
          <w:p>
            <w:pPr>
              <w:pStyle w:val="null3"/>
            </w:pPr>
            <w:r>
              <w:rPr/>
              <w:t>付款方式</w:t>
            </w:r>
          </w:p>
        </w:tc>
        <w:tc>
          <w:tcPr>
            <w:tcW w:type="dxa" w:w="4153"/>
          </w:tcPr>
          <w:p>
            <w:pPr>
              <w:pStyle w:val="null3"/>
            </w:pPr>
            <w:r>
              <w:rPr/>
              <w:t>第1期为(首期款)：支付比例30%，政务信息化基础设施运维：签订合同后10个工作日内，中标人书面提出支付申请函及拟支付金额等额的符合采购人财务管理要求的相应发票，采购人确认后启动首期款支付流程，支付合同金额的30%；办公设备桌面运维服务：签订合同后10个工作日内，中标人书面提出支付申请函及拟支付金额等额的符合采购人财务管理要求的相应发票，采购人确认后启动首期款支付流程，支付合同金额的30%。。</w:t>
            </w:r>
          </w:p>
          <w:p>
            <w:pPr>
              <w:pStyle w:val="null3"/>
            </w:pPr>
            <w:r>
              <w:rPr/>
              <w:t>第2期为(进度款)：支付比例30%，政务信息化基础设施运维：2025年12月，中标人书面提出支付申请函及拟支付金额等额的符合采购人财务管理要求的相应发票，项目所涉及运维内容的主要使用部门出具满意或以上的用户意见后，采购人确认后启动进度款支付流程，支付合同金额的30%；办公设备桌面运维服务：2025年12月，中标人书面提出支付申请函及拟支付金额等额的符合采购人财务管理要求的相应发票，项目所涉及运维内容的主要使用部门出具满意或以上的用户意见后，采购人确认后启动进度款支付流程，支付合同金额的30%。。</w:t>
            </w:r>
          </w:p>
          <w:p>
            <w:pPr>
              <w:pStyle w:val="null3"/>
            </w:pPr>
            <w:r>
              <w:rPr/>
              <w:t>第3期为(尾款)：支付比例40%，政务信息化基础设施运维：2026年项目通过终验后，中标人递交了服务总结报告后，项目所涉及运维内容的主要使用部门出具满意或以上的用户意见后，10个工作日内支付本项目尾款；办公设备桌面运维服务：2026年项目通过终验后，中标人递交了服务总结报告后，项目所涉及运维内容的主要使用部门出具满意或以上的用户意见后，10个工作日内支付本项目尾款。 注：付款期限自收到中标人开具的发票之日起计算，具体到帐期限以财政拨付实际到帐为准。付款方式以双方最终签订的合同为准。发票要求：监狱部分开具普通发票，企业部分需开具专用发票。。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1期：1.服务期达到合同规定的服务期限； 2.每月对运维服务质量、时效、服务、事故等方面进行考核并形成文档，作为最终验收依据； 3.服务终止前，运维公司应提交书面总结和文档资料，采购人进行验收考核。</w:t>
            </w:r>
          </w:p>
        </w:tc>
      </w:tr>
      <w:tr>
        <w:tc>
          <w:tcPr>
            <w:tcW w:type="dxa" w:w="4153"/>
          </w:tcPr>
          <w:p>
            <w:pPr>
              <w:pStyle w:val="null3"/>
            </w:pPr>
            <w:r>
              <w:rPr/>
              <w:t>履约保证金</w:t>
            </w:r>
          </w:p>
        </w:tc>
        <w:tc>
          <w:tcPr>
            <w:tcW w:type="dxa" w:w="4153"/>
          </w:tcPr>
          <w:p>
            <w:pPr>
              <w:pStyle w:val="null3"/>
            </w:pPr>
            <w:r>
              <w:rPr/>
              <w:t>收取比例：5%,说明：在合同签订后10个工作日内，中标人支付合同总金额5%的履约保证金，项目验收结束后30个工作日内采购人退回履约保证金，履约保证金不计利息。履约保证金形式：可以采用银行转账、支票、汇票、本票或者金融机构、担保机构出具的保函等非现金形式提交，以保函形式提交的保函有效期应不小于本项目维保期。 履约保证金退还：服务验收合格后，由中标人提出申请，经采购人、中标人确认，采购人收到中标人申请后30天内退还履约担保金额的100%（不计利息）。 （五）履约保证金说明：若中标人在合同履行期间违约，采购人有权从履约担保中扣除违约金，扣除后中标人须在10日内补足履约保证金，如履约保证金金额不足以扣除的部分采购人可向中标人进一步索赔。中标人不按合同规定提交履约保证金的，视为中标人违约，采购人有权单方面解除合同且不须承担任何违约责任。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本项目总预算为98.91万元。其中政务信息化基础设施运维项目预算为76.11万元，办公设备桌面运维服务项目预算为22.8万元。因项目资金来源不同，两个项目需分开签订合同。政务信息化的合同额/预算=桌面运维合同额/预算=总合同额/预算；</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其它要求</w:t>
            </w:r>
          </w:p>
        </w:tc>
        <w:tc>
          <w:tcPr>
            <w:tcW w:type="dxa" w:w="2076"/>
          </w:tcPr>
          <w:p>
            <w:pPr>
              <w:pStyle w:val="null3"/>
              <w:jc w:val="left"/>
            </w:pPr>
            <w:r>
              <w:rPr/>
              <w:t>中标供应商针对本项目的核心设备或服务需提供原厂技术支持承诺（提供承诺函，格式自拟）；</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其它要求</w:t>
            </w:r>
          </w:p>
        </w:tc>
        <w:tc>
          <w:tcPr>
            <w:tcW w:type="dxa" w:w="2076"/>
          </w:tcPr>
          <w:p>
            <w:pPr>
              <w:pStyle w:val="null3"/>
              <w:jc w:val="left"/>
            </w:pPr>
            <w:r>
              <w:rPr/>
              <w:t>按行业标准或相关规定定期对计算机终端及外设设备进行检查、保养维护；系统性能日常维护，补丁升级、安全加固、日志检查等（提供承诺函，格式自拟）。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硬件运维服务</w:t>
            </w:r>
          </w:p>
        </w:tc>
        <w:tc>
          <w:tcPr>
            <w:tcW w:type="dxa" w:w="933"/>
          </w:tcPr>
          <w:p>
            <w:pPr>
              <w:pStyle w:val="null3"/>
              <w:jc w:val="left"/>
            </w:pPr>
            <w:r>
              <w:rPr/>
              <w:t>广东省番禺监狱（2025年度）政务信息化基础设施运维项目及办公设备桌面运维服务项目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989,100.00</w:t>
            </w:r>
          </w:p>
        </w:tc>
        <w:tc>
          <w:tcPr>
            <w:tcW w:type="dxa" w:w="933"/>
          </w:tcPr>
          <w:p>
            <w:pPr>
              <w:pStyle w:val="null3"/>
              <w:jc w:val="right"/>
            </w:pPr>
            <w:r>
              <w:rPr/>
              <w:t>989,100.00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广东省番禺监狱（2025年度）政务信息化基础设施运维项目及办公设备桌面运维服务项目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政务信息化基础设施运维</w:t>
            </w:r>
          </w:p>
          <w:p>
            <w:pPr>
              <w:pStyle w:val="null3"/>
            </w:pPr>
            <w:r>
              <w:rPr/>
              <w:t>1.</w:t>
            </w:r>
            <w:r>
              <w:rPr/>
              <w:t>总体要求</w:t>
            </w:r>
          </w:p>
          <w:p>
            <w:pPr>
              <w:pStyle w:val="null3"/>
            </w:pPr>
            <w:r>
              <w:rPr/>
              <w:t>(1)</w:t>
            </w:r>
            <w:r>
              <w:rPr/>
              <w:t>中标人在服务的整个过程中，切实体现“安全、优质、舒适、高效”的要求，持续提高运维服务质量。</w:t>
            </w:r>
          </w:p>
          <w:p>
            <w:pPr>
              <w:pStyle w:val="null3"/>
            </w:pPr>
            <w:r>
              <w:rPr/>
              <w:t>(2)</w:t>
            </w:r>
            <w:r>
              <w:rPr/>
              <w:t>中标人聘用人员须严格遵守国家相关法律法规，须与被聘用人员签订劳动合同，并按有关规定为其购买社会保险。</w:t>
            </w:r>
          </w:p>
          <w:p>
            <w:pPr>
              <w:pStyle w:val="null3"/>
            </w:pPr>
            <w:r>
              <w:rPr/>
              <w:t>(3)</w:t>
            </w:r>
            <w:r>
              <w:rPr/>
              <w:t>中标人须制订切合本项目的服务方案、管理制度、岗位职责、奖惩制度和工作计划，建立专业稳定的组织机构和管理队伍。</w:t>
            </w:r>
          </w:p>
          <w:p>
            <w:pPr>
              <w:pStyle w:val="null3"/>
            </w:pPr>
            <w:r>
              <w:rPr/>
              <w:t>(4)</w:t>
            </w:r>
            <w:r>
              <w:rPr/>
              <w:t>中标人针对本项目聘用的服务人员须经过严格审查和健康检查，所聘用服务人员须遵守国家法律法规和采购人方规章制度，身体健康，有良好的服务意识、社会公德心，无刑事犯罪记录，没有参与政府明令禁止的非法组织及活动。</w:t>
            </w:r>
          </w:p>
          <w:p>
            <w:pPr>
              <w:pStyle w:val="null3"/>
            </w:pPr>
            <w:r>
              <w:rPr/>
              <w:t>(</w:t>
            </w:r>
            <w:r>
              <w:rPr/>
              <w:t>5</w:t>
            </w:r>
            <w:r>
              <w:rPr/>
              <w:t>)</w:t>
            </w:r>
            <w:r>
              <w:rPr/>
              <w:t>中标人的驻场人员须按照采购人要求在指定地点进行驻场办公，并遵守相关驻场工作管理要求。</w:t>
            </w:r>
          </w:p>
          <w:p>
            <w:pPr>
              <w:pStyle w:val="null3"/>
            </w:pPr>
            <w:r>
              <w:rPr/>
              <w:t>(</w:t>
            </w:r>
            <w:r>
              <w:rPr/>
              <w:t>6</w:t>
            </w:r>
            <w:r>
              <w:rPr/>
              <w:t>)</w:t>
            </w:r>
            <w:r>
              <w:rPr/>
              <w:t>中标人须严格遵守保密制度（中标后与采购人签订保密协议），工作中使用的各类数据、资料、信息和软件须严格保管，未经允许、不得私自拷贝、下载和转交他人使用；严禁任何人使用未经检测允许的介质（软盘、光盘等）；未经许可，任何人不得挪用和外借各类设备、资料、及物品。如出现数据或文件泄露，采购人有权交给公安机关处理，对泄密产生的后果由中标人法人代表和现场人员负全部责任。</w:t>
            </w:r>
          </w:p>
          <w:p>
            <w:pPr>
              <w:pStyle w:val="null3"/>
            </w:pPr>
            <w:r>
              <w:rPr/>
              <w:t>(</w:t>
            </w:r>
            <w:r>
              <w:rPr/>
              <w:t>7</w:t>
            </w:r>
            <w:r>
              <w:rPr/>
              <w:t>)</w:t>
            </w:r>
            <w:r>
              <w:rPr/>
              <w:t>★</w:t>
            </w:r>
            <w:r>
              <w:rPr/>
              <w:t>项目平滑过渡要求。本项目属在用系统维护，维护过程需保证原有项目系统服务的持续性。项目维护过渡期间（阶段一：本项目中标之日起合同生效日；阶段二：合同结束前与下一周期运维单位交接完成之前）向用户提供不低于原系统使用水平的全过程服务，满足过渡期间用户的连续使用。</w:t>
            </w:r>
            <w:r>
              <w:rPr/>
              <w:t>（提供承诺函，格式自拟）</w:t>
            </w:r>
          </w:p>
        </w:tc>
      </w:tr>
      <w:tr>
        <w:tc>
          <w:tcPr>
            <w:tcW w:type="dxa" w:w="2076"/>
          </w:tcPr>
          <w:p/>
        </w:tc>
        <w:tc>
          <w:tcPr>
            <w:tcW w:type="dxa" w:w="415"/>
          </w:tcPr>
          <w:p>
            <w:pPr>
              <w:pStyle w:val="null3"/>
            </w:pPr>
            <w:r>
              <w:rPr/>
              <w:t>2</w:t>
            </w:r>
          </w:p>
        </w:tc>
        <w:tc>
          <w:tcPr>
            <w:tcW w:type="dxa" w:w="5814"/>
          </w:tcPr>
          <w:p>
            <w:pPr>
              <w:pStyle w:val="null3"/>
            </w:pPr>
            <w:r>
              <w:rPr/>
              <w:t>2.</w:t>
            </w:r>
            <w:r>
              <w:rPr/>
              <w:t>驻场人员要求</w:t>
            </w:r>
          </w:p>
          <w:p>
            <w:pPr>
              <w:pStyle w:val="null3"/>
            </w:pPr>
            <w:r>
              <w:rPr/>
              <w:t>(1)</w:t>
            </w:r>
            <w:r>
              <w:rPr/>
              <w:t>本项目需安排</w:t>
            </w:r>
            <w:r>
              <w:rPr/>
              <w:t>至少</w:t>
            </w:r>
            <w:r>
              <w:rPr/>
              <w:t>4</w:t>
            </w:r>
            <w:r>
              <w:rPr/>
              <w:t>名运维工程师提供驻场服务</w:t>
            </w:r>
            <w:r>
              <w:rPr/>
              <w:t>并额外配备一位</w:t>
            </w:r>
            <w:r>
              <w:rPr/>
              <w:t>项目经理</w:t>
            </w:r>
            <w:r>
              <w:rPr/>
              <w:t>。</w:t>
            </w:r>
          </w:p>
          <w:p>
            <w:pPr>
              <w:pStyle w:val="null3"/>
            </w:pPr>
            <w:r>
              <w:rPr/>
              <w:t>(2)</w:t>
            </w:r>
            <w:r>
              <w:rPr/>
              <w:t>★</w:t>
            </w:r>
            <w:r>
              <w:rPr/>
              <w:t>驻场运维工程师资质要求：</w:t>
            </w:r>
            <w:r>
              <w:rPr/>
              <w:t>实际驻场人员应当与响应文件中拟派出驻场人员保持一致，</w:t>
            </w:r>
            <w:r>
              <w:rPr/>
              <w:t>均要求具有服务器、监控对讲报警、机房动环系统、视频会议系统等设备维护经验。如须调整服务团队成员，须书面向采购人提出申请，说明申请理由，经采购人书面同意方可调整团队人员，调入人员的资历和从业经验不低于调出人员，否则视为违约行为，采购人有权终止服务合同。</w:t>
            </w:r>
            <w:r>
              <w:rPr/>
              <w:t>（提供承诺函，格式自拟）</w:t>
            </w:r>
          </w:p>
          <w:p>
            <w:pPr>
              <w:pStyle w:val="null3"/>
            </w:pPr>
            <w:r>
              <w:rPr/>
              <w:t>(3)</w:t>
            </w:r>
            <w:r>
              <w:rPr/>
              <w:t>驻场运维工程师主要工作有：资源情况汇总，设备巡检，建立巡检设备台账；现场值守，系统日常状态监测，系统性能侦测；发现故障立即响应，现场解决；建立运维日志，故障记录，提交信息系统运维保障及系统运行分析报告；应急保障，重大活动值守保障；协助用户制定规范的安全管理制度，保障系统安全可靠，确保不发生数据丢失或泄露事件，不发生网络安全事件。</w:t>
            </w:r>
          </w:p>
          <w:p>
            <w:pPr>
              <w:pStyle w:val="null3"/>
            </w:pPr>
            <w:r>
              <w:rPr/>
              <w:t>(4)</w:t>
            </w:r>
            <w:r>
              <w:rPr/>
              <w:t>驻场人员需设立固定电话及移动电话，并保证通讯畅通。在驻场期间，我单位将对驻场人员进行考勤管理，服务提供单位应配合我单位制定相关管理办法。</w:t>
            </w:r>
          </w:p>
          <w:p>
            <w:pPr>
              <w:pStyle w:val="null3"/>
            </w:pPr>
            <w:r>
              <w:rPr/>
              <w:t>(5)</w:t>
            </w:r>
            <w:r>
              <w:rPr/>
              <w:t>派驻我单位的所有维护人员需提交与服务提供单位签订的保密协议，由我单位存档。如服务期限内，服务提供单位驻场维护人员有变动，新派驻人员保密协议须在更换时同期提交我单位存档。</w:t>
            </w:r>
          </w:p>
          <w:p>
            <w:pPr>
              <w:pStyle w:val="null3"/>
            </w:pPr>
            <w:r>
              <w:rPr/>
              <w:t>（</w:t>
            </w:r>
            <w:r>
              <w:rPr/>
              <w:t>6</w:t>
            </w:r>
            <w:r>
              <w:rPr/>
              <w:t>）项目经理资质要求：具有</w:t>
            </w:r>
            <w:r>
              <w:rPr>
                <w:sz w:val="20"/>
              </w:rPr>
              <w:t>计算机类专业学历证书，学历为本科及以上、具有</w:t>
            </w:r>
            <w:r>
              <w:rPr>
                <w:sz w:val="20"/>
              </w:rPr>
              <w:t>国家政府部门颁发的计算机技术与软件专业技术资格（水平）考试的信息系统项目管理师证书</w:t>
            </w:r>
            <w:r>
              <w:rPr>
                <w:sz w:val="20"/>
              </w:rPr>
              <w:t>、具有</w:t>
            </w:r>
            <w:r>
              <w:rPr>
                <w:sz w:val="20"/>
              </w:rPr>
              <w:t>5</w:t>
            </w:r>
            <w:r>
              <w:rPr>
                <w:sz w:val="20"/>
              </w:rPr>
              <w:t>年以上信息化项目管理经验</w:t>
            </w:r>
            <w:r>
              <w:rPr>
                <w:sz w:val="20"/>
              </w:rPr>
              <w:t>。</w:t>
            </w:r>
          </w:p>
          <w:p>
            <w:pPr>
              <w:pStyle w:val="null3"/>
              <w:jc w:val="both"/>
            </w:pPr>
            <w:r>
              <w:rPr>
                <w:sz w:val="21"/>
              </w:rPr>
              <w:t>（</w:t>
            </w:r>
            <w:r>
              <w:rPr>
                <w:sz w:val="21"/>
              </w:rPr>
              <w:t>7</w:t>
            </w:r>
            <w:r>
              <w:rPr>
                <w:sz w:val="21"/>
              </w:rPr>
              <w:t>）驻场人员资质要求：</w:t>
            </w:r>
            <w:r>
              <w:rPr>
                <w:sz w:val="21"/>
              </w:rPr>
              <w:t>具有计算机相关专业大专或以上学历、</w:t>
            </w:r>
            <w:r>
              <w:rPr>
                <w:sz w:val="20"/>
              </w:rPr>
              <w:t>具有三年或以上信息化运维工作经验、具有计算机硬件工程师</w:t>
            </w:r>
            <w:r>
              <w:rPr>
                <w:sz w:val="20"/>
              </w:rPr>
              <w:t>、具有</w:t>
            </w:r>
            <w:r>
              <w:rPr>
                <w:sz w:val="20"/>
              </w:rPr>
              <w:t>系统集成项目管理工程师</w:t>
            </w:r>
            <w:r>
              <w:rPr>
                <w:sz w:val="20"/>
              </w:rPr>
              <w:t>、具有</w:t>
            </w:r>
            <w:r>
              <w:rPr>
                <w:sz w:val="20"/>
              </w:rPr>
              <w:t>网络工程师证书</w:t>
            </w:r>
            <w:r>
              <w:rPr>
                <w:sz w:val="20"/>
              </w:rPr>
              <w:t>、具有</w:t>
            </w:r>
            <w:r>
              <w:rPr>
                <w:sz w:val="20"/>
              </w:rPr>
              <w:t>信息系统管理工程师证书</w:t>
            </w:r>
            <w:r>
              <w:rPr>
                <w:sz w:val="21"/>
              </w:rPr>
              <w:t>。</w:t>
            </w:r>
          </w:p>
        </w:tc>
      </w:tr>
      <w:tr>
        <w:tc>
          <w:tcPr>
            <w:tcW w:type="dxa" w:w="2076"/>
          </w:tcPr>
          <w:p/>
        </w:tc>
        <w:tc>
          <w:tcPr>
            <w:tcW w:type="dxa" w:w="415"/>
          </w:tcPr>
          <w:p>
            <w:pPr>
              <w:pStyle w:val="null3"/>
            </w:pPr>
            <w:r>
              <w:rPr/>
              <w:t>3</w:t>
            </w:r>
          </w:p>
        </w:tc>
        <w:tc>
          <w:tcPr>
            <w:tcW w:type="dxa" w:w="5814"/>
          </w:tcPr>
          <w:p>
            <w:pPr>
              <w:pStyle w:val="null3"/>
            </w:pPr>
            <w:r>
              <w:rPr/>
              <w:t>3.</w:t>
            </w:r>
            <w:r>
              <w:rPr/>
              <w:t>驻场时间要求</w:t>
            </w:r>
          </w:p>
          <w:p>
            <w:pPr>
              <w:pStyle w:val="null3"/>
              <w:jc w:val="both"/>
            </w:pPr>
            <w:r>
              <w:rPr>
                <w:sz w:val="21"/>
              </w:rPr>
              <w:t>每天（含周末、节假日）</w:t>
            </w:r>
            <w:r>
              <w:rPr>
                <w:sz w:val="21"/>
              </w:rPr>
              <w:t>8</w:t>
            </w:r>
            <w:r>
              <w:rPr>
                <w:sz w:val="21"/>
              </w:rPr>
              <w:t>：</w:t>
            </w:r>
            <w:r>
              <w:rPr>
                <w:sz w:val="21"/>
              </w:rPr>
              <w:t>30-17</w:t>
            </w:r>
            <w:r>
              <w:rPr>
                <w:sz w:val="21"/>
              </w:rPr>
              <w:t>：</w:t>
            </w:r>
            <w:r>
              <w:rPr>
                <w:sz w:val="21"/>
              </w:rPr>
              <w:t>30</w:t>
            </w:r>
            <w:r>
              <w:rPr>
                <w:sz w:val="21"/>
              </w:rPr>
              <w:t>驻场人员在指定的地点待命，其他时间在接到故障报修的通知后，</w:t>
            </w:r>
            <w:r>
              <w:rPr>
                <w:sz w:val="21"/>
              </w:rPr>
              <w:t>30</w:t>
            </w:r>
            <w:r>
              <w:rPr>
                <w:sz w:val="21"/>
              </w:rPr>
              <w:t>分钟内到达现场进行处理，并及时反馈处理结果。</w:t>
            </w:r>
          </w:p>
        </w:tc>
      </w:tr>
      <w:tr>
        <w:tc>
          <w:tcPr>
            <w:tcW w:type="dxa" w:w="2076"/>
          </w:tcPr>
          <w:p/>
        </w:tc>
        <w:tc>
          <w:tcPr>
            <w:tcW w:type="dxa" w:w="415"/>
          </w:tcPr>
          <w:p>
            <w:pPr>
              <w:pStyle w:val="null3"/>
            </w:pPr>
            <w:r>
              <w:rPr/>
              <w:t>4</w:t>
            </w:r>
          </w:p>
        </w:tc>
        <w:tc>
          <w:tcPr>
            <w:tcW w:type="dxa" w:w="5814"/>
          </w:tcPr>
          <w:p>
            <w:pPr>
              <w:pStyle w:val="null3"/>
            </w:pPr>
            <w:r>
              <w:rPr/>
              <w:t>4.</w:t>
            </w:r>
            <w:r>
              <w:rPr/>
              <w:t>响应时间要求</w:t>
            </w:r>
          </w:p>
          <w:p>
            <w:pPr>
              <w:pStyle w:val="null3"/>
            </w:pPr>
            <w:r>
              <w:rPr/>
              <w:t>设备维护响应时间：接到故障报修后，立即实施维护抢修。简单故障</w:t>
            </w:r>
            <w:r>
              <w:rPr/>
              <w:t>1</w:t>
            </w:r>
            <w:r>
              <w:rPr/>
              <w:t>小时内处理完毕；一般故障（板块级，如电源等）</w:t>
            </w:r>
            <w:r>
              <w:rPr/>
              <w:t>4</w:t>
            </w:r>
            <w:r>
              <w:rPr/>
              <w:t>小时内排除；较大故障（部件级）</w:t>
            </w:r>
            <w:r>
              <w:rPr/>
              <w:t>8</w:t>
            </w:r>
            <w:r>
              <w:rPr/>
              <w:t>小时内排除；重大故障（系统级，如整个监控点设备损坏等）</w:t>
            </w:r>
            <w:r>
              <w:rPr/>
              <w:t>24</w:t>
            </w:r>
            <w:r>
              <w:rPr/>
              <w:t>小时内提交修复方案，报采购人批准后，在要求时间内修复。</w:t>
            </w:r>
          </w:p>
          <w:p>
            <w:pPr>
              <w:pStyle w:val="null3"/>
            </w:pPr>
            <w:r>
              <w:rPr/>
              <w:t>工程维护响应时间：接到故障报修后，立即实施维护抢修。常规维护</w:t>
            </w:r>
            <w:r>
              <w:rPr/>
              <w:t>24</w:t>
            </w:r>
            <w:r>
              <w:rPr/>
              <w:t>小时内完成，重大损坏的特殊维护（如系统的核心设备、光缆等出现故障等）</w:t>
            </w:r>
            <w:r>
              <w:rPr/>
              <w:t>24</w:t>
            </w:r>
            <w:r>
              <w:rPr/>
              <w:t>小时内提交修复方案，报采购人批准后，在要求时间内修复。</w:t>
            </w:r>
          </w:p>
          <w:p>
            <w:pPr>
              <w:pStyle w:val="null3"/>
              <w:jc w:val="both"/>
            </w:pPr>
            <w:r>
              <w:rPr>
                <w:sz w:val="21"/>
              </w:rPr>
              <w:t>为满足运行维护服务要求，当服务期间发生紧急事件、驻场人员无法解决故障需要提供技术支持时，服务提供单位应立即调动所有技术资源，派出二线技术工程师进行支援，工作日</w:t>
            </w:r>
            <w:r>
              <w:rPr>
                <w:sz w:val="21"/>
              </w:rPr>
              <w:t>8</w:t>
            </w:r>
            <w:r>
              <w:rPr>
                <w:sz w:val="21"/>
              </w:rPr>
              <w:t>小时内到达现场，非工作日</w:t>
            </w:r>
            <w:r>
              <w:rPr>
                <w:sz w:val="21"/>
              </w:rPr>
              <w:t>24</w:t>
            </w:r>
            <w:r>
              <w:rPr>
                <w:sz w:val="21"/>
              </w:rPr>
              <w:t>小时内到达现场。</w:t>
            </w:r>
          </w:p>
        </w:tc>
      </w:tr>
      <w:tr>
        <w:tc>
          <w:tcPr>
            <w:tcW w:type="dxa" w:w="2076"/>
          </w:tcPr>
          <w:p/>
        </w:tc>
        <w:tc>
          <w:tcPr>
            <w:tcW w:type="dxa" w:w="415"/>
          </w:tcPr>
          <w:p>
            <w:pPr>
              <w:pStyle w:val="null3"/>
            </w:pPr>
            <w:r>
              <w:rPr/>
              <w:t>5</w:t>
            </w:r>
          </w:p>
        </w:tc>
        <w:tc>
          <w:tcPr>
            <w:tcW w:type="dxa" w:w="5814"/>
          </w:tcPr>
          <w:p>
            <w:pPr>
              <w:pStyle w:val="null3"/>
            </w:pPr>
            <w:r>
              <w:rPr/>
              <w:t>5.</w:t>
            </w:r>
            <w:r>
              <w:rPr/>
              <w:t>服务质量要求</w:t>
            </w:r>
          </w:p>
          <w:p>
            <w:pPr>
              <w:pStyle w:val="null3"/>
            </w:pPr>
            <w:r>
              <w:rPr/>
              <w:t>(1)</w:t>
            </w:r>
            <w:r>
              <w:rPr/>
              <w:t>应能在</w:t>
            </w:r>
            <w:r>
              <w:rPr/>
              <w:t>10</w:t>
            </w:r>
            <w:r>
              <w:rPr/>
              <w:t>分钟内准确诊断并告知用户故障原因，诊断差错率要控制在</w:t>
            </w:r>
            <w:r>
              <w:rPr/>
              <w:t>5%</w:t>
            </w:r>
            <w:r>
              <w:rPr/>
              <w:t>以内。并向最终用户解释故障发生原因，可能导致的后果，以及拟采取的措施。</w:t>
            </w:r>
          </w:p>
          <w:p>
            <w:pPr>
              <w:pStyle w:val="null3"/>
            </w:pPr>
            <w:r>
              <w:rPr/>
              <w:t>(2)</w:t>
            </w:r>
            <w:r>
              <w:rPr/>
              <w:t>故障修复过程中可能影响用户工作或对系统应用数据有影响的，要先咨询用户意见再处理。</w:t>
            </w:r>
          </w:p>
          <w:p>
            <w:pPr>
              <w:pStyle w:val="null3"/>
            </w:pPr>
            <w:r>
              <w:rPr/>
              <w:t>(3)</w:t>
            </w:r>
            <w:r>
              <w:rPr/>
              <w:t>如果配件需要送修或更换，维修期间提供同-档次的备用设备，并需要配合用户登记故障配件的型号和产品序列号，并由用户签字后再送维修。</w:t>
            </w:r>
          </w:p>
          <w:p>
            <w:pPr>
              <w:pStyle w:val="null3"/>
            </w:pPr>
            <w:r>
              <w:rPr/>
              <w:t>(4)</w:t>
            </w:r>
            <w:r>
              <w:rPr/>
              <w:t>如果机器送修，需要保护好磁盘等存贮设备。要先将用户数据备份好，再送维修。</w:t>
            </w:r>
          </w:p>
          <w:p>
            <w:pPr>
              <w:pStyle w:val="null3"/>
            </w:pPr>
            <w:r>
              <w:rPr/>
              <w:t>(5)</w:t>
            </w:r>
            <w:r>
              <w:rPr/>
              <w:t>建立巡检制度：对维护范围内的设备设施应制定定期巡检计划，巡检过程中记录设备状况，列出注意事项，发现问题及时反馈给用户。</w:t>
            </w:r>
          </w:p>
          <w:p>
            <w:pPr>
              <w:pStyle w:val="null3"/>
            </w:pPr>
            <w:r>
              <w:rPr/>
              <w:t>(6)</w:t>
            </w:r>
            <w:r>
              <w:rPr/>
              <w:t>设备维修结束后，维修人员需向用户出示服务维修单。服务维修单上需注明维修日期、维修人员、维修地点、故障、故障原因分析、修复结果、确认人等。</w:t>
            </w:r>
          </w:p>
          <w:p>
            <w:pPr>
              <w:pStyle w:val="null3"/>
            </w:pPr>
            <w:r>
              <w:rPr/>
              <w:t>(7)</w:t>
            </w:r>
            <w:r>
              <w:rPr/>
              <w:t>配件更换后，在非人为条件下，</w:t>
            </w:r>
            <w:r>
              <w:rPr/>
              <w:t>6</w:t>
            </w:r>
            <w:r>
              <w:rPr/>
              <w:t>个月内同一故障不得再次发生，如发生计为</w:t>
            </w:r>
            <w:r>
              <w:rPr/>
              <w:t>1</w:t>
            </w:r>
            <w:r>
              <w:rPr/>
              <w:t>次有效投诉。</w:t>
            </w:r>
          </w:p>
          <w:p>
            <w:pPr>
              <w:pStyle w:val="null3"/>
            </w:pPr>
            <w:r>
              <w:rPr/>
              <w:t>(8)</w:t>
            </w:r>
            <w:r>
              <w:rPr/>
              <w:t>中标人须向用户提供项目负责人及维护人员的详细联系方式。</w:t>
            </w:r>
          </w:p>
          <w:p>
            <w:pPr>
              <w:pStyle w:val="null3"/>
            </w:pPr>
            <w:r>
              <w:rPr/>
              <w:t>(9)</w:t>
            </w:r>
            <w:r>
              <w:rPr/>
              <w:t>响应类型要求：热线电话、手机支持，现场解决</w:t>
            </w:r>
          </w:p>
          <w:p>
            <w:pPr>
              <w:pStyle w:val="null3"/>
            </w:pPr>
            <w:r>
              <w:rPr/>
              <w:t>(10)</w:t>
            </w:r>
            <w:r>
              <w:rPr/>
              <w:t>服务类型要求：送修、现场、特殊服务要求（如购件、升级等）</w:t>
            </w:r>
          </w:p>
          <w:p>
            <w:pPr>
              <w:pStyle w:val="null3"/>
            </w:pPr>
            <w:r>
              <w:rPr/>
              <w:t>(11)</w:t>
            </w:r>
            <w:r>
              <w:rPr/>
              <w:t>网络运行、故障分析报告</w:t>
            </w:r>
            <w:r>
              <w:rPr/>
              <w:t>:</w:t>
            </w:r>
            <w:r>
              <w:rPr/>
              <w:t>每月统计、整理故障情况、运行报告、故障处理分析报告、其他专题报告并上报采购人。</w:t>
            </w:r>
          </w:p>
          <w:p>
            <w:pPr>
              <w:pStyle w:val="null3"/>
              <w:jc w:val="both"/>
            </w:pPr>
            <w:r>
              <w:rPr>
                <w:sz w:val="21"/>
              </w:rPr>
              <w:t>(12)</w:t>
            </w:r>
            <w:r>
              <w:rPr>
                <w:sz w:val="21"/>
              </w:rPr>
              <w:t>赔偿责任：由于中标人原因造成的设备和系统损坏、安全事故等，由中标人直接承担，并赔偿相应经济损失。</w:t>
            </w:r>
          </w:p>
        </w:tc>
      </w:tr>
      <w:tr>
        <w:tc>
          <w:tcPr>
            <w:tcW w:type="dxa" w:w="2076"/>
          </w:tcPr>
          <w:p/>
        </w:tc>
        <w:tc>
          <w:tcPr>
            <w:tcW w:type="dxa" w:w="415"/>
          </w:tcPr>
          <w:p>
            <w:pPr>
              <w:pStyle w:val="null3"/>
            </w:pPr>
            <w:r>
              <w:rPr/>
              <w:t>6</w:t>
            </w:r>
          </w:p>
        </w:tc>
        <w:tc>
          <w:tcPr>
            <w:tcW w:type="dxa" w:w="5814"/>
          </w:tcPr>
          <w:p>
            <w:pPr>
              <w:pStyle w:val="null3"/>
            </w:pPr>
            <w:r>
              <w:rPr/>
              <w:t>6.</w:t>
            </w:r>
            <w:r>
              <w:rPr/>
              <w:t>备件要求</w:t>
            </w:r>
          </w:p>
          <w:p>
            <w:pPr>
              <w:pStyle w:val="null3"/>
              <w:jc w:val="both"/>
            </w:pPr>
            <w:r>
              <w:rPr>
                <w:sz w:val="21"/>
              </w:rPr>
              <w:t>服务期间须建立备品备件库，至少能满足</w:t>
            </w:r>
            <w:r>
              <w:rPr>
                <w:sz w:val="21"/>
              </w:rPr>
              <w:t>2</w:t>
            </w:r>
            <w:r>
              <w:rPr>
                <w:sz w:val="21"/>
              </w:rPr>
              <w:t>个月故障坏件更换量，备品备件不低于原设备的性能配置参数。关于备件的报价，相同品牌、型号、款式、大小的备件单价不能高于京东平台价格。运维服务期内所产生的备件费均包含在本项目内。</w:t>
            </w:r>
          </w:p>
        </w:tc>
      </w:tr>
      <w:tr>
        <w:tc>
          <w:tcPr>
            <w:tcW w:type="dxa" w:w="2076"/>
          </w:tcPr>
          <w:p/>
        </w:tc>
        <w:tc>
          <w:tcPr>
            <w:tcW w:type="dxa" w:w="415"/>
          </w:tcPr>
          <w:p>
            <w:pPr>
              <w:pStyle w:val="null3"/>
            </w:pPr>
            <w:r>
              <w:rPr/>
              <w:t>7</w:t>
            </w:r>
          </w:p>
        </w:tc>
        <w:tc>
          <w:tcPr>
            <w:tcW w:type="dxa" w:w="5814"/>
          </w:tcPr>
          <w:p>
            <w:pPr>
              <w:pStyle w:val="null3"/>
            </w:pPr>
            <w:r>
              <w:rPr/>
              <w:t>7.</w:t>
            </w:r>
            <w:r>
              <w:rPr/>
              <w:t>安全要求</w:t>
            </w:r>
          </w:p>
          <w:p>
            <w:pPr>
              <w:pStyle w:val="null3"/>
            </w:pPr>
            <w:r>
              <w:rPr/>
              <w:t>运维服务包括业务保障安全需求与信息安全合规性要求。信息化运维设备应保障所涉及业务</w:t>
            </w:r>
            <w:r>
              <w:rPr/>
              <w:t>7*24</w:t>
            </w:r>
            <w:r>
              <w:rPr/>
              <w:t>小时无间断运行，对所涉及的升级需中断服务的，应即时采取措施。运维应保障信息的完整性，保密性，对数据的拷贝复制，存储数据的存储介质的维修使用应符合规定。</w:t>
            </w:r>
          </w:p>
          <w:p>
            <w:pPr>
              <w:pStyle w:val="null3"/>
              <w:jc w:val="both"/>
            </w:pPr>
            <w:r>
              <w:rPr>
                <w:sz w:val="21"/>
              </w:rPr>
              <w:t>中标人须严格按照国家相关安全施工管理规定执行，禁止违规操作，禁止无证上岗，确保工作环境安全、工作秩序安全、工作过程安全、工作成果安全、工作人员生命财产安全。</w:t>
            </w:r>
          </w:p>
        </w:tc>
      </w:tr>
      <w:tr>
        <w:tc>
          <w:tcPr>
            <w:tcW w:type="dxa" w:w="2076"/>
          </w:tcPr>
          <w:p/>
        </w:tc>
        <w:tc>
          <w:tcPr>
            <w:tcW w:type="dxa" w:w="415"/>
          </w:tcPr>
          <w:p>
            <w:pPr>
              <w:pStyle w:val="null3"/>
            </w:pPr>
            <w:r>
              <w:rPr/>
              <w:t>8</w:t>
            </w:r>
          </w:p>
        </w:tc>
        <w:tc>
          <w:tcPr>
            <w:tcW w:type="dxa" w:w="5814"/>
          </w:tcPr>
          <w:p>
            <w:pPr>
              <w:pStyle w:val="null3"/>
            </w:pPr>
            <w:r>
              <w:rPr/>
              <w:t>8.</w:t>
            </w:r>
            <w:r>
              <w:rPr/>
              <w:t>文档要求</w:t>
            </w:r>
          </w:p>
          <w:p>
            <w:pPr>
              <w:pStyle w:val="null3"/>
            </w:pPr>
            <w:r>
              <w:rPr/>
              <w:t>中标人须按要求提交运维工作文档，运维工作文档将作为合同验收的交付材料。最终产出的文档将根据实际情况进行调整：</w:t>
            </w:r>
          </w:p>
          <w:p>
            <w:pPr>
              <w:pStyle w:val="null3"/>
            </w:pPr>
            <w:r>
              <w:rPr/>
              <w:t>(1)</w:t>
            </w:r>
            <w:r>
              <w:rPr/>
              <w:t>运维报告：包括月报及年报。报告内容包括但不限于本月运维工作、工作总结及建议、运维事件记录和事件问题分析、遗留未决问题的解决进度、预防性运维措施等。月报每月提交。</w:t>
            </w:r>
          </w:p>
          <w:p>
            <w:pPr>
              <w:pStyle w:val="null3"/>
            </w:pPr>
            <w:r>
              <w:rPr/>
              <w:t>(2)</w:t>
            </w:r>
            <w:r>
              <w:rPr/>
              <w:t>运维台账：包括但不限于网络资源汇总表</w:t>
            </w:r>
            <w:r>
              <w:rPr/>
              <w:t>、</w:t>
            </w:r>
            <w:r>
              <w:rPr/>
              <w:t>信息化基础设施资源汇总表、备品备件使用登记表等。</w:t>
            </w:r>
          </w:p>
          <w:p>
            <w:pPr>
              <w:pStyle w:val="null3"/>
            </w:pPr>
            <w:r>
              <w:rPr/>
              <w:t>(3)</w:t>
            </w:r>
            <w:r>
              <w:rPr/>
              <w:t>故障处理文档：故障处理过程文档及解决方案。在故障处理后</w:t>
            </w:r>
            <w:r>
              <w:rPr/>
              <w:t>1</w:t>
            </w:r>
            <w:r>
              <w:rPr/>
              <w:t>个工作日内，向采购人作故障处理报告。在故障处理后</w:t>
            </w:r>
            <w:r>
              <w:rPr/>
              <w:t>3</w:t>
            </w:r>
            <w:r>
              <w:rPr/>
              <w:t>个工作日内将整体事件处理过程编制成书面报告交付给采购人，协助采购人形成故障紧急预案。</w:t>
            </w:r>
          </w:p>
          <w:p>
            <w:pPr>
              <w:pStyle w:val="null3"/>
            </w:pPr>
            <w:r>
              <w:rPr/>
              <w:t>(4)</w:t>
            </w:r>
            <w:r>
              <w:rPr/>
              <w:t>安全整改文档：安全整改报告。</w:t>
            </w:r>
          </w:p>
          <w:p>
            <w:pPr>
              <w:pStyle w:val="null3"/>
            </w:pPr>
            <w:r>
              <w:rPr/>
              <w:t>(5)</w:t>
            </w:r>
            <w:r>
              <w:rPr/>
              <w:t>知识库：建立系统和设备风险防范、故障应急处理等知识库管理。积累、丰富设备问题处理知识库，并根据日常运维服务工作进行整理、汇总、归纳和更新。</w:t>
            </w:r>
          </w:p>
          <w:p>
            <w:pPr>
              <w:pStyle w:val="null3"/>
              <w:jc w:val="both"/>
            </w:pPr>
            <w:r>
              <w:rPr>
                <w:sz w:val="21"/>
              </w:rPr>
              <w:t>(6)</w:t>
            </w:r>
            <w:r>
              <w:rPr>
                <w:sz w:val="21"/>
              </w:rPr>
              <w:t>培训文档：培训所需各种材料，包括</w:t>
            </w:r>
            <w:r>
              <w:rPr>
                <w:sz w:val="21"/>
              </w:rPr>
              <w:t>PPT</w:t>
            </w:r>
            <w:r>
              <w:rPr>
                <w:sz w:val="21"/>
              </w:rPr>
              <w:t>、演示程序、技术文档等。</w:t>
            </w:r>
          </w:p>
        </w:tc>
      </w:tr>
      <w:tr>
        <w:tc>
          <w:tcPr>
            <w:tcW w:type="dxa" w:w="2076"/>
          </w:tcPr>
          <w:p/>
        </w:tc>
        <w:tc>
          <w:tcPr>
            <w:tcW w:type="dxa" w:w="415"/>
          </w:tcPr>
          <w:p>
            <w:pPr>
              <w:pStyle w:val="null3"/>
            </w:pPr>
            <w:r>
              <w:rPr/>
              <w:t>9</w:t>
            </w:r>
          </w:p>
        </w:tc>
        <w:tc>
          <w:tcPr>
            <w:tcW w:type="dxa" w:w="5814"/>
          </w:tcPr>
          <w:p>
            <w:pPr>
              <w:pStyle w:val="null3"/>
            </w:pPr>
            <w:r>
              <w:rPr/>
              <w:t>★</w:t>
            </w:r>
            <w:r>
              <w:rPr/>
              <w:t>9.</w:t>
            </w:r>
            <w:r>
              <w:rPr/>
              <w:t>紧急现场服务要求</w:t>
            </w:r>
          </w:p>
          <w:p>
            <w:pPr>
              <w:pStyle w:val="null3"/>
              <w:jc w:val="both"/>
            </w:pPr>
            <w:r>
              <w:rPr>
                <w:sz w:val="21"/>
              </w:rPr>
              <w:t>中标人应建立二线技术支撑团队，如系统出现了重大故障、网络安全问题，或其他需现场解决的重大事件，一-线运维人员现场无法解决时，应提供二线技术工程师紧急现场支持</w:t>
            </w:r>
            <w:r>
              <w:rPr>
                <w:sz w:val="21"/>
              </w:rPr>
              <w:t>（</w:t>
            </w:r>
            <w:r>
              <w:rPr>
                <w:sz w:val="21"/>
              </w:rPr>
              <w:t>包含提供特种作业低压电工证和特种作业高处作业证人才支撑服务。</w:t>
            </w:r>
            <w:r>
              <w:rPr>
                <w:sz w:val="21"/>
              </w:rPr>
              <w:t>）</w:t>
            </w:r>
            <w:r>
              <w:rPr>
                <w:sz w:val="21"/>
              </w:rPr>
              <w:t>。紧急现场服务不限时间段，中标人应根据采购人要求随时响应。</w:t>
            </w:r>
            <w:r>
              <w:rPr>
                <w:sz w:val="21"/>
              </w:rPr>
              <w:t>（提供承诺函，格式自拟）</w:t>
            </w:r>
          </w:p>
        </w:tc>
      </w:tr>
      <w:tr>
        <w:tc>
          <w:tcPr>
            <w:tcW w:type="dxa" w:w="2076"/>
          </w:tcPr>
          <w:p/>
        </w:tc>
        <w:tc>
          <w:tcPr>
            <w:tcW w:type="dxa" w:w="415"/>
          </w:tcPr>
          <w:p>
            <w:pPr>
              <w:pStyle w:val="null3"/>
            </w:pPr>
            <w:r>
              <w:rPr/>
              <w:t>10</w:t>
            </w:r>
          </w:p>
        </w:tc>
        <w:tc>
          <w:tcPr>
            <w:tcW w:type="dxa" w:w="5814"/>
          </w:tcPr>
          <w:p>
            <w:pPr>
              <w:pStyle w:val="null3"/>
            </w:pPr>
            <w:r>
              <w:rPr/>
              <w:t>10.</w:t>
            </w:r>
            <w:r>
              <w:rPr/>
              <w:t>人员培训要求</w:t>
            </w:r>
          </w:p>
          <w:p>
            <w:pPr>
              <w:pStyle w:val="null3"/>
            </w:pPr>
            <w:r>
              <w:rPr/>
              <w:t>(1)</w:t>
            </w:r>
            <w:r>
              <w:rPr/>
              <w:t>中标人须提供信息技术日常运维服务内容方面的培训，包括对采购人和驻场人员的培训，相关的培训课程，培训应该于相关人员驻场前进行。</w:t>
            </w:r>
          </w:p>
          <w:p>
            <w:pPr>
              <w:pStyle w:val="null3"/>
            </w:pPr>
            <w:r>
              <w:rPr/>
              <w:t>(2)</w:t>
            </w:r>
            <w:r>
              <w:rPr/>
              <w:t>中标人需针对用户的角色提供培训课程，如系统管理员、普通用户、领导等角色，安排不同的培训课程。中标人须在响应文件中提出培训课程以及时间表。</w:t>
            </w:r>
          </w:p>
          <w:p>
            <w:pPr>
              <w:pStyle w:val="null3"/>
            </w:pPr>
            <w:r>
              <w:rPr/>
              <w:t>(3)</w:t>
            </w:r>
            <w:r>
              <w:rPr/>
              <w:t>对于所有培训，中标人须派出具有相应专业资格和实际工作经验的辅导人员进行培训，培训所使用的语言须是中文，否则中标人须提供相应的翻译。</w:t>
            </w:r>
          </w:p>
          <w:p>
            <w:pPr>
              <w:pStyle w:val="null3"/>
              <w:jc w:val="both"/>
            </w:pPr>
            <w:r>
              <w:rPr>
                <w:sz w:val="21"/>
              </w:rPr>
              <w:t>(4)</w:t>
            </w:r>
            <w:r>
              <w:rPr>
                <w:sz w:val="21"/>
              </w:rPr>
              <w:t>培训费用（可含场地费、教材费、讲课费等培训组织相关费用）计入总价。</w:t>
            </w:r>
          </w:p>
        </w:tc>
      </w:tr>
      <w:tr>
        <w:tc>
          <w:tcPr>
            <w:tcW w:type="dxa" w:w="2076"/>
          </w:tcPr>
          <w:p/>
        </w:tc>
        <w:tc>
          <w:tcPr>
            <w:tcW w:type="dxa" w:w="415"/>
          </w:tcPr>
          <w:p>
            <w:pPr>
              <w:pStyle w:val="null3"/>
            </w:pPr>
            <w:r>
              <w:rPr/>
              <w:t>11</w:t>
            </w:r>
          </w:p>
        </w:tc>
        <w:tc>
          <w:tcPr>
            <w:tcW w:type="dxa" w:w="5814"/>
          </w:tcPr>
          <w:p>
            <w:pPr>
              <w:pStyle w:val="null3"/>
            </w:pPr>
            <w:r>
              <w:rPr/>
              <w:t>11.</w:t>
            </w:r>
            <w:r>
              <w:rPr/>
              <w:t>运维服务绩效考核要求</w:t>
            </w:r>
          </w:p>
          <w:p>
            <w:pPr>
              <w:pStyle w:val="null3"/>
            </w:pPr>
            <w:r>
              <w:rPr/>
              <w:t>运维服务绩效考核结果作为用户对运维团队全部工作成果评价的依据，为用户对运维团队项目期内服务质量、服务水平和合同履行等完成情况提供客观的分析数据。一般情况下，每季度考核一次。</w:t>
            </w:r>
          </w:p>
          <w:p>
            <w:pPr>
              <w:pStyle w:val="null3"/>
            </w:pPr>
            <w:r>
              <w:rPr/>
              <w:t xml:space="preserve">   </w:t>
            </w:r>
            <w:r>
              <w:rPr/>
              <w:t>对中标人运维服务绩效考核指标如下：</w:t>
            </w:r>
          </w:p>
          <w:tbl>
            <w:tblPr>
              <w:tblInd w:type="dxa" w:w="120"/>
              <w:tblBorders>
                <w:top w:val="none" w:color="000000" w:sz="4"/>
                <w:left w:val="none" w:color="000000" w:sz="4"/>
                <w:bottom w:val="none" w:color="000000" w:sz="4"/>
                <w:right w:val="none" w:color="000000" w:sz="4"/>
                <w:insideH w:val="none"/>
                <w:insideV w:val="none"/>
              </w:tblBorders>
            </w:tblPr>
            <w:tblGrid>
              <w:gridCol w:w="282"/>
              <w:gridCol w:w="904"/>
              <w:gridCol w:w="542"/>
              <w:gridCol w:w="2589"/>
              <w:gridCol w:w="1198"/>
              <w:gridCol w:w="622"/>
              <w:gridCol w:w="814"/>
            </w:tblGrid>
            <w:tr>
              <w:tc>
                <w:tcPr>
                  <w:tcW w:type="dxa" w:w="6951"/>
                  <w:gridSpan w:val="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运维服务绩效考核评价表</w:t>
                  </w:r>
                </w:p>
              </w:tc>
            </w:tr>
            <w:tr>
              <w:tc>
                <w:tcPr>
                  <w:tcW w:type="dxa" w:w="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序号</w:t>
                  </w:r>
                </w:p>
              </w:tc>
              <w:tc>
                <w:tcPr>
                  <w:tcW w:type="dxa" w:w="4035"/>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项目及考核内容</w:t>
                  </w:r>
                </w:p>
              </w:tc>
              <w:tc>
                <w:tcPr>
                  <w:tcW w:type="dxa" w:w="119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分值</w:t>
                  </w:r>
                </w:p>
              </w:tc>
              <w:tc>
                <w:tcPr>
                  <w:tcW w:type="dxa" w:w="6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得分</w:t>
                  </w:r>
                </w:p>
              </w:tc>
              <w:tc>
                <w:tcPr>
                  <w:tcW w:type="dxa" w:w="8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备注</w:t>
                  </w:r>
                </w:p>
              </w:tc>
            </w:tr>
            <w:tr>
              <w:tc>
                <w:tcPr>
                  <w:tcW w:type="dxa" w:w="2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1</w:t>
                  </w:r>
                </w:p>
              </w:tc>
              <w:tc>
                <w:tcPr>
                  <w:tcW w:type="dxa" w:w="90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团队的人员稳定性</w:t>
                  </w:r>
                </w:p>
              </w:tc>
              <w:tc>
                <w:tcPr>
                  <w:tcW w:type="dxa" w:w="54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20</w:t>
                  </w: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驻点人员流动数量为</w:t>
                  </w:r>
                  <w:r>
                    <w:rPr>
                      <w:sz w:val="20"/>
                    </w:rPr>
                    <w:t>0</w:t>
                  </w:r>
                  <w:r>
                    <w:rPr>
                      <w:sz w:val="20"/>
                    </w:rPr>
                    <w:t>人。</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20</w:t>
                  </w:r>
                </w:p>
              </w:tc>
              <w:tc>
                <w:tcPr>
                  <w:tcW w:type="dxa" w:w="622"/>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8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人员流动数量当月度达到</w:t>
                  </w:r>
                  <w:r>
                    <w:rPr>
                      <w:sz w:val="20"/>
                    </w:rPr>
                    <w:t>1</w:t>
                  </w:r>
                  <w:r>
                    <w:rPr>
                      <w:sz w:val="20"/>
                    </w:rPr>
                    <w:t>人。（服务期第</w:t>
                  </w:r>
                  <w:r>
                    <w:rPr>
                      <w:sz w:val="20"/>
                    </w:rPr>
                    <w:t>1</w:t>
                  </w:r>
                  <w:r>
                    <w:rPr>
                      <w:sz w:val="20"/>
                    </w:rPr>
                    <w:t>个月的人员流动数量不计入评分）</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10-20</w:t>
                  </w:r>
                  <w:r>
                    <w:rPr>
                      <w:sz w:val="20"/>
                    </w:rPr>
                    <w:t>）</w:t>
                  </w:r>
                </w:p>
              </w:tc>
              <w:tc>
                <w:tcPr>
                  <w:tcW w:type="dxa" w:w="622"/>
                  <w:vMerge/>
                  <w:tcBorders>
                    <w:top w:val="singl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人员流动数量当月度达到</w:t>
                  </w:r>
                  <w:r>
                    <w:rPr>
                      <w:sz w:val="20"/>
                    </w:rPr>
                    <w:t>2</w:t>
                  </w:r>
                  <w:r>
                    <w:rPr>
                      <w:sz w:val="20"/>
                    </w:rPr>
                    <w:t>人。（服务期第</w:t>
                  </w:r>
                  <w:r>
                    <w:rPr>
                      <w:sz w:val="20"/>
                    </w:rPr>
                    <w:t>1</w:t>
                  </w:r>
                  <w:r>
                    <w:rPr>
                      <w:sz w:val="20"/>
                    </w:rPr>
                    <w:t>个月的人员流动数量不计入评分）</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0-10</w:t>
                  </w:r>
                  <w:r>
                    <w:rPr>
                      <w:sz w:val="20"/>
                    </w:rPr>
                    <w:t>）</w:t>
                  </w:r>
                </w:p>
              </w:tc>
              <w:tc>
                <w:tcPr>
                  <w:tcW w:type="dxa" w:w="622"/>
                  <w:vMerge/>
                  <w:tcBorders>
                    <w:top w:val="singl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90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服务时效性</w:t>
                  </w:r>
                </w:p>
              </w:tc>
              <w:tc>
                <w:tcPr>
                  <w:tcW w:type="dxa" w:w="54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20</w:t>
                  </w: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收到任务需求处理时，响应速度快，工作效率高，并在规定时间内提前完成</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20</w:t>
                  </w:r>
                </w:p>
              </w:tc>
              <w:tc>
                <w:tcPr>
                  <w:tcW w:type="dxa" w:w="62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能收到任务需求处理时，效率较高，规定时间内完成</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16-19</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工作不误期，表现符合标准</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10-15</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勉强胜任工作，无甚表现</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5-10</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工作效率低，时有差错，解决故障能力低</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0-5</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90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服务质量</w:t>
                  </w:r>
                </w:p>
              </w:tc>
              <w:tc>
                <w:tcPr>
                  <w:tcW w:type="dxa" w:w="54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20</w:t>
                  </w: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客户非常满意，或有表扬</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20</w:t>
                  </w:r>
                </w:p>
              </w:tc>
              <w:tc>
                <w:tcPr>
                  <w:tcW w:type="dxa" w:w="62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客户满意</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16-19</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客户较为满意</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10-15</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客户满意度一般</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5-10</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客户不满意，或有投诉</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0-5</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90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运维管理成效</w:t>
                  </w:r>
                </w:p>
              </w:tc>
              <w:tc>
                <w:tcPr>
                  <w:tcW w:type="dxa" w:w="54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20</w:t>
                  </w: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工作态度好，责任感强，任劳任怨，竭尽所能完成任务</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20</w:t>
                  </w:r>
                </w:p>
              </w:tc>
              <w:tc>
                <w:tcPr>
                  <w:tcW w:type="dxa" w:w="62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工作努力主动，能较好完成分内工作</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16-19</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有责任心，能自动自发</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10-15</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出勤率一般，运维工作需要督促方能完成</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5-10</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出勤率差，敷衍了事，无责任心，做事粗心大意</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0-5</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90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沟通协调</w:t>
                  </w:r>
                </w:p>
              </w:tc>
              <w:tc>
                <w:tcPr>
                  <w:tcW w:type="dxa" w:w="54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10</w:t>
                  </w: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能较好的完成与运维工作中各单位及部门之间的协调，保障工作顺利进行</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10</w:t>
                  </w:r>
                </w:p>
              </w:tc>
              <w:tc>
                <w:tcPr>
                  <w:tcW w:type="dxa" w:w="62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乐意与人沟通协调，顺利达成任务</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8-9</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尚能与人合作，达成工作要求</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5-7</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协调不善，致使工作较难开展</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3-4</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无法与人协调，致使工作无法开展</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0-3</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90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工作技能</w:t>
                  </w:r>
                </w:p>
              </w:tc>
              <w:tc>
                <w:tcPr>
                  <w:tcW w:type="dxa" w:w="54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10</w:t>
                  </w: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具有极丰富的专业技能，能充分完成本身运维服务工作</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10</w:t>
                  </w:r>
                </w:p>
              </w:tc>
              <w:tc>
                <w:tcPr>
                  <w:tcW w:type="dxa" w:w="62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有相当的专业技能，足以应付本身工作</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8-9</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专业技能一般，但对完成任务尚无障碍</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5-7</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技能程度稍感不足，执行职务常需请教他人</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3-4</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对工作必需技能不熟悉，日常工作难以完成</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w:t>
                  </w:r>
                  <w:r>
                    <w:rPr>
                      <w:sz w:val="20"/>
                    </w:rPr>
                    <w:t>0-3</w:t>
                  </w:r>
                  <w:r>
                    <w:rPr>
                      <w:sz w:val="20"/>
                    </w:rPr>
                    <w:t>）</w:t>
                  </w: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r>
            <w:tr>
              <w:tc>
                <w:tcPr>
                  <w:tcW w:type="dxa" w:w="28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90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加分项</w:t>
                  </w:r>
                </w:p>
              </w:tc>
              <w:tc>
                <w:tcPr>
                  <w:tcW w:type="dxa" w:w="54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提出创新建议，得到采纳的，相应加</w:t>
                  </w:r>
                  <w:r>
                    <w:rPr>
                      <w:sz w:val="20"/>
                    </w:rPr>
                    <w:t>1-5</w:t>
                  </w:r>
                  <w:r>
                    <w:rPr>
                      <w:sz w:val="20"/>
                    </w:rPr>
                    <w:t>分；</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62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2"/>
                  <w:vMerge/>
                  <w:tcBorders>
                    <w:top w:val="none" w:color="000000" w:sz="4"/>
                    <w:left w:val="single" w:color="000000" w:sz="4"/>
                    <w:bottom w:val="single" w:color="000000" w:sz="4"/>
                    <w:right w:val="single" w:color="000000" w:sz="4"/>
                  </w:tcBorders>
                </w:tcPr>
                <w:p/>
              </w:tc>
              <w:tc>
                <w:tcPr>
                  <w:tcW w:type="dxa" w:w="904"/>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c>
                <w:tcPr>
                  <w:tcW w:type="dxa" w:w="2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工作积极完成效果较好的，相应加</w:t>
                  </w:r>
                  <w:r>
                    <w:rPr>
                      <w:sz w:val="20"/>
                    </w:rPr>
                    <w:t>1-5</w:t>
                  </w:r>
                  <w:r>
                    <w:rPr>
                      <w:sz w:val="20"/>
                    </w:rPr>
                    <w:t>分</w:t>
                  </w:r>
                </w:p>
              </w:tc>
              <w:tc>
                <w:tcPr>
                  <w:tcW w:type="dxa" w:w="11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622"/>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9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扣分项</w:t>
                  </w:r>
                </w:p>
              </w:tc>
              <w:tc>
                <w:tcPr>
                  <w:tcW w:type="dxa" w:w="5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378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违反总体要求及具体服务要求的，或业主方以其他合理需扣分的，每项每次扣</w:t>
                  </w:r>
                  <w:r>
                    <w:rPr>
                      <w:sz w:val="20"/>
                    </w:rPr>
                    <w:t>2</w:t>
                  </w:r>
                  <w:r>
                    <w:rPr>
                      <w:sz w:val="20"/>
                    </w:rPr>
                    <w:t>分。</w:t>
                  </w:r>
                </w:p>
              </w:tc>
              <w:tc>
                <w:tcPr>
                  <w:tcW w:type="dxa" w:w="6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9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总分</w:t>
                  </w:r>
                </w:p>
              </w:tc>
              <w:tc>
                <w:tcPr>
                  <w:tcW w:type="dxa" w:w="54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100</w:t>
                  </w:r>
                </w:p>
              </w:tc>
              <w:tc>
                <w:tcPr>
                  <w:tcW w:type="dxa" w:w="378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r>
                    <w:rPr>
                      <w:sz w:val="20"/>
                    </w:rPr>
                    <w:t>最终得分</w:t>
                  </w:r>
                </w:p>
              </w:tc>
              <w:tc>
                <w:tcPr>
                  <w:tcW w:type="dxa" w:w="6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195" w:firstLine="200"/>
                    <w:jc w:val="center"/>
                  </w:pPr>
                </w:p>
              </w:tc>
              <w:tc>
                <w:tcPr>
                  <w:tcW w:type="dxa" w:w="8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951"/>
                  <w:gridSpan w:val="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注：考核结果得分</w:t>
                  </w:r>
                  <w:r>
                    <w:rPr>
                      <w:sz w:val="20"/>
                    </w:rPr>
                    <w:t>90</w:t>
                  </w:r>
                  <w:r>
                    <w:rPr>
                      <w:sz w:val="20"/>
                    </w:rPr>
                    <w:t>分以上（含本数）视为合格，低于</w:t>
                  </w:r>
                  <w:r>
                    <w:rPr>
                      <w:sz w:val="20"/>
                    </w:rPr>
                    <w:t>90</w:t>
                  </w:r>
                  <w:r>
                    <w:rPr>
                      <w:sz w:val="20"/>
                    </w:rPr>
                    <w:t>分（不含本数）视为不合格。</w:t>
                  </w:r>
                </w:p>
              </w:tc>
            </w:tr>
          </w:tbl>
          <w:p/>
        </w:tc>
      </w:tr>
      <w:tr>
        <w:tc>
          <w:tcPr>
            <w:tcW w:type="dxa" w:w="2076"/>
          </w:tcPr>
          <w:p/>
        </w:tc>
        <w:tc>
          <w:tcPr>
            <w:tcW w:type="dxa" w:w="415"/>
          </w:tcPr>
          <w:p>
            <w:pPr>
              <w:pStyle w:val="null3"/>
            </w:pPr>
            <w:r>
              <w:rPr/>
              <w:t>12</w:t>
            </w:r>
          </w:p>
        </w:tc>
        <w:tc>
          <w:tcPr>
            <w:tcW w:type="dxa" w:w="5814"/>
          </w:tcPr>
          <w:p>
            <w:pPr>
              <w:pStyle w:val="null3"/>
            </w:pPr>
            <w:r>
              <w:rPr/>
              <w:t>12.</w:t>
            </w:r>
            <w:r>
              <w:rPr/>
              <w:t>相关处罚</w:t>
            </w:r>
          </w:p>
          <w:p>
            <w:pPr>
              <w:pStyle w:val="null3"/>
            </w:pPr>
            <w:r>
              <w:rPr/>
              <w:t>如运维团队及成员出现以下问题，将进行登记，并按以下规则处罚：</w:t>
            </w:r>
          </w:p>
          <w:tbl>
            <w:tblPr>
              <w:tblBorders>
                <w:top w:val="none" w:color="000000" w:sz="4"/>
                <w:left w:val="none" w:color="000000" w:sz="4"/>
                <w:bottom w:val="none" w:color="000000" w:sz="4"/>
                <w:right w:val="none" w:color="000000" w:sz="4"/>
                <w:insideH w:val="none"/>
                <w:insideV w:val="none"/>
              </w:tblBorders>
            </w:tblPr>
            <w:tblGrid>
              <w:gridCol w:w="577"/>
              <w:gridCol w:w="464"/>
              <w:gridCol w:w="804"/>
              <w:gridCol w:w="4102"/>
              <w:gridCol w:w="254"/>
              <w:gridCol w:w="254"/>
              <w:gridCol w:w="90"/>
              <w:gridCol w:w="419"/>
            </w:tblGrid>
            <w:tr>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2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4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具体事项</w:t>
                  </w:r>
                </w:p>
              </w:tc>
              <w:tc>
                <w:tcPr>
                  <w:tcW w:type="dxa" w:w="5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扣款</w:t>
                  </w:r>
                </w:p>
              </w:tc>
              <w:tc>
                <w:tcPr>
                  <w:tcW w:type="dxa" w:w="5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备注</w:t>
                  </w:r>
                </w:p>
              </w:tc>
            </w:tr>
            <w:tr>
              <w:tc>
                <w:tcPr>
                  <w:tcW w:type="dxa" w:w="696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一、日常管理</w:t>
                  </w:r>
                </w:p>
              </w:tc>
            </w:tr>
            <w:tr>
              <w:tc>
                <w:tcPr>
                  <w:tcW w:type="dxa" w:w="696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（一）人员</w:t>
                  </w:r>
                  <w:r>
                    <w:rPr>
                      <w:sz w:val="20"/>
                    </w:rPr>
                    <w:t>/</w:t>
                  </w:r>
                  <w:r>
                    <w:rPr>
                      <w:sz w:val="20"/>
                    </w:rPr>
                    <w:t>团队</w:t>
                  </w:r>
                  <w:r>
                    <w:rPr>
                      <w:sz w:val="20"/>
                    </w:rPr>
                    <w:t>考核</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按时上下班</w:t>
                  </w:r>
                </w:p>
              </w:tc>
              <w:tc>
                <w:tcPr>
                  <w:tcW w:type="dxa" w:w="4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维护人员未按时上下班每人次扣</w:t>
                  </w:r>
                  <w:r>
                    <w:rPr>
                      <w:sz w:val="20"/>
                    </w:rPr>
                    <w:t>100</w:t>
                  </w:r>
                  <w:r>
                    <w:rPr>
                      <w:sz w:val="20"/>
                    </w:rPr>
                    <w:t>元。</w:t>
                  </w:r>
                </w:p>
              </w:tc>
              <w:tc>
                <w:tcPr>
                  <w:tcW w:type="dxa" w:w="5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旷工情况</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维护人员未上班的，每人每天次扣</w:t>
                  </w:r>
                  <w:r>
                    <w:rPr>
                      <w:sz w:val="20"/>
                    </w:rPr>
                    <w:t>200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履职情况</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未能按要求履职，或被投诉的，或故意拖延和推诿，无故不到位的每人次扣</w:t>
                  </w:r>
                  <w:r>
                    <w:rPr>
                      <w:sz w:val="20"/>
                    </w:rPr>
                    <w:t>200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着装情况</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按监狱要求着装，未按要求落实每人次扣</w:t>
                  </w:r>
                  <w:r>
                    <w:rPr>
                      <w:sz w:val="20"/>
                    </w:rPr>
                    <w:t>100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无法联系</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维护人员无法联系，扣</w:t>
                  </w:r>
                  <w:r>
                    <w:rPr>
                      <w:sz w:val="20"/>
                    </w:rPr>
                    <w:t>100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未配齐人员</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运维公司未按合同要求配齐</w:t>
                  </w:r>
                  <w:r>
                    <w:rPr>
                      <w:sz w:val="20"/>
                    </w:rPr>
                    <w:t>4</w:t>
                  </w:r>
                  <w:r>
                    <w:rPr>
                      <w:sz w:val="20"/>
                    </w:rPr>
                    <w:t>人，缺岗人数</w:t>
                  </w:r>
                  <w:r>
                    <w:rPr>
                      <w:sz w:val="20"/>
                    </w:rPr>
                    <w:t>每人每天次扣</w:t>
                  </w:r>
                  <w:r>
                    <w:rPr>
                      <w:sz w:val="20"/>
                    </w:rPr>
                    <w:t>200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未按监狱要求落实的，视情节扣</w:t>
                  </w:r>
                  <w:r>
                    <w:rPr>
                      <w:sz w:val="20"/>
                    </w:rPr>
                    <w:t>100-200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6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（二）台账管理</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2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系统台账</w:t>
                  </w:r>
                </w:p>
              </w:tc>
              <w:tc>
                <w:tcPr>
                  <w:tcW w:type="dxa" w:w="4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中标商应建立完整的信息化系统台账，对监狱各系统软硬件进行分类并登记成册。未建立台账的，扣</w:t>
                  </w:r>
                  <w:r>
                    <w:rPr>
                      <w:sz w:val="20"/>
                    </w:rPr>
                    <w:t>3000</w:t>
                  </w:r>
                  <w:r>
                    <w:rPr>
                      <w:sz w:val="20"/>
                    </w:rPr>
                    <w:t>元；台账未同步更新的，扣</w:t>
                  </w:r>
                  <w:r>
                    <w:rPr>
                      <w:sz w:val="20"/>
                    </w:rPr>
                    <w:t>1000</w:t>
                  </w:r>
                  <w:r>
                    <w:rPr>
                      <w:sz w:val="20"/>
                    </w:rPr>
                    <w:t>元。</w:t>
                  </w:r>
                </w:p>
              </w:tc>
              <w:tc>
                <w:tcPr>
                  <w:tcW w:type="dxa" w:w="5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维护手册</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建立各系统检测指南，规范系统检测步骤，最终形成维护文档库。未建成文档库的，扣</w:t>
                  </w:r>
                  <w:r>
                    <w:rPr>
                      <w:sz w:val="20"/>
                    </w:rPr>
                    <w:t>3000</w:t>
                  </w:r>
                  <w:r>
                    <w:rPr>
                      <w:sz w:val="20"/>
                    </w:rPr>
                    <w:t>元；文档库未同步更新的，扣</w:t>
                  </w:r>
                  <w:r>
                    <w:rPr>
                      <w:sz w:val="20"/>
                    </w:rPr>
                    <w:t>1000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管理制度</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建立完善的运维管理制度、工作流程、人员考核制度，缺少一项扣</w:t>
                  </w:r>
                  <w:r>
                    <w:rPr>
                      <w:sz w:val="20"/>
                    </w:rPr>
                    <w:t>1000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巡检保养台账</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每月进行</w:t>
                  </w:r>
                  <w:r>
                    <w:rPr>
                      <w:sz w:val="20"/>
                    </w:rPr>
                    <w:t>1</w:t>
                  </w:r>
                  <w:r>
                    <w:rPr>
                      <w:sz w:val="20"/>
                    </w:rPr>
                    <w:t>次全面巡检和保养，并提交巡检保养情况报告。未按要求建立台账的，扣</w:t>
                  </w:r>
                  <w:r>
                    <w:rPr>
                      <w:sz w:val="20"/>
                    </w:rPr>
                    <w:t>3000</w:t>
                  </w:r>
                  <w:r>
                    <w:rPr>
                      <w:sz w:val="20"/>
                    </w:rPr>
                    <w:t>元；未提交报告的，每一次扣</w:t>
                  </w:r>
                  <w:r>
                    <w:rPr>
                      <w:sz w:val="20"/>
                    </w:rPr>
                    <w:t>1000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其他未按监狱要求落实的，视情节扣</w:t>
                  </w:r>
                  <w:r>
                    <w:rPr>
                      <w:sz w:val="20"/>
                    </w:rPr>
                    <w:t>100-3000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分项扣款小计</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6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二、服务时效性</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级故障（系统不能工作，业务停止）</w:t>
                  </w:r>
                </w:p>
              </w:tc>
              <w:tc>
                <w:tcPr>
                  <w:tcW w:type="dxa" w:w="4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立即响应，</w:t>
                  </w:r>
                  <w:r>
                    <w:rPr>
                      <w:sz w:val="20"/>
                    </w:rPr>
                    <w:t>2</w:t>
                  </w:r>
                  <w:r>
                    <w:rPr>
                      <w:sz w:val="20"/>
                    </w:rPr>
                    <w:t>小时恢复系统正常，</w:t>
                  </w:r>
                  <w:r>
                    <w:rPr>
                      <w:sz w:val="20"/>
                    </w:rPr>
                    <w:t>8</w:t>
                  </w:r>
                  <w:r>
                    <w:rPr>
                      <w:sz w:val="20"/>
                    </w:rPr>
                    <w:t>小时内分析故障原因，提出问题分析报告和整改方案。未能按要求落实的，每次扣</w:t>
                  </w:r>
                  <w:r>
                    <w:rPr>
                      <w:sz w:val="20"/>
                    </w:rPr>
                    <w:t>300</w:t>
                  </w:r>
                  <w:r>
                    <w:rPr>
                      <w:sz w:val="20"/>
                    </w:rPr>
                    <w:t>元。</w:t>
                  </w:r>
                </w:p>
              </w:tc>
              <w:tc>
                <w:tcPr>
                  <w:tcW w:type="dxa" w:w="5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级故障（系统能够工作，但部分功能失效）</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r>
                    <w:rPr>
                      <w:sz w:val="20"/>
                    </w:rPr>
                    <w:t>分钟内响应，</w:t>
                  </w:r>
                  <w:r>
                    <w:rPr>
                      <w:sz w:val="20"/>
                    </w:rPr>
                    <w:t>4</w:t>
                  </w:r>
                  <w:r>
                    <w:rPr>
                      <w:sz w:val="20"/>
                    </w:rPr>
                    <w:t>小时内恢复系统正常，</w:t>
                  </w:r>
                  <w:r>
                    <w:rPr>
                      <w:sz w:val="20"/>
                    </w:rPr>
                    <w:t>24</w:t>
                  </w:r>
                  <w:r>
                    <w:rPr>
                      <w:sz w:val="20"/>
                    </w:rPr>
                    <w:t>小时内分析故障原因，提出问题分析报告和整改方案。未能按要求落实的，每次扣</w:t>
                  </w:r>
                  <w:r>
                    <w:rPr>
                      <w:sz w:val="20"/>
                    </w:rPr>
                    <w:t>200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级故障（系统可以运行，但出现系统报错或影响监狱使用的问题）</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r>
                    <w:rPr>
                      <w:sz w:val="20"/>
                    </w:rPr>
                    <w:t>分钟内响应，</w:t>
                  </w:r>
                  <w:r>
                    <w:rPr>
                      <w:sz w:val="20"/>
                    </w:rPr>
                    <w:t>4</w:t>
                  </w:r>
                  <w:r>
                    <w:rPr>
                      <w:sz w:val="20"/>
                    </w:rPr>
                    <w:t>小时内恢复系统正常或给出应急处理办法，</w:t>
                  </w:r>
                  <w:r>
                    <w:rPr>
                      <w:sz w:val="20"/>
                    </w:rPr>
                    <w:t>24</w:t>
                  </w:r>
                  <w:r>
                    <w:rPr>
                      <w:sz w:val="20"/>
                    </w:rPr>
                    <w:t>小时内分析故障原因，提出问题分析报告和整改方案。未能按要求落实的，每次扣</w:t>
                  </w:r>
                  <w:r>
                    <w:rPr>
                      <w:sz w:val="20"/>
                    </w:rPr>
                    <w:t>100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应急响应时效性</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法定工作时间外提供值班人员联系电话，应急响应人员应在</w:t>
                  </w:r>
                  <w:r>
                    <w:rPr>
                      <w:sz w:val="20"/>
                    </w:rPr>
                    <w:t>20</w:t>
                  </w:r>
                  <w:r>
                    <w:rPr>
                      <w:sz w:val="20"/>
                    </w:rPr>
                    <w:t>分钟内到达现场。 值班人员电话联系的，每一次扣</w:t>
                  </w:r>
                  <w:r>
                    <w:rPr>
                      <w:sz w:val="20"/>
                    </w:rPr>
                    <w:t>200</w:t>
                  </w:r>
                  <w:r>
                    <w:rPr>
                      <w:sz w:val="20"/>
                    </w:rPr>
                    <w:t>元；急响应人员未在</w:t>
                  </w:r>
                  <w:r>
                    <w:rPr>
                      <w:sz w:val="20"/>
                    </w:rPr>
                    <w:t>20</w:t>
                  </w:r>
                  <w:r>
                    <w:rPr>
                      <w:sz w:val="20"/>
                    </w:rPr>
                    <w:t>分钟内到达现场的，每一次扣</w:t>
                  </w:r>
                  <w:r>
                    <w:rPr>
                      <w:sz w:val="20"/>
                    </w:rPr>
                    <w:t>100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其他未按要求落实造成不良影响的，视情节扣</w:t>
                  </w:r>
                  <w:r>
                    <w:rPr>
                      <w:sz w:val="20"/>
                    </w:rPr>
                    <w:t>100-3000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分项扣款小计</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6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三、应用系统</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内容</w:t>
                  </w:r>
                </w:p>
              </w:tc>
              <w:tc>
                <w:tcPr>
                  <w:tcW w:type="dxa" w:w="435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具体事项</w:t>
                  </w:r>
                </w:p>
              </w:tc>
              <w:tc>
                <w:tcPr>
                  <w:tcW w:type="dxa" w:w="34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扣款</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w:t>
                  </w:r>
                  <w:r>
                    <w:rPr>
                      <w:sz w:val="20"/>
                    </w:rPr>
                    <w:t>管理</w:t>
                  </w: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常用软件与监狱业务软件安装</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没有安装应用软件的，每漏装</w:t>
                  </w:r>
                  <w:r>
                    <w:rPr>
                      <w:sz w:val="20"/>
                    </w:rPr>
                    <w:t>1</w:t>
                  </w:r>
                  <w:r>
                    <w:rPr>
                      <w:sz w:val="20"/>
                    </w:rPr>
                    <w:t>个扣</w:t>
                  </w:r>
                  <w:r>
                    <w:rPr>
                      <w:sz w:val="20"/>
                    </w:rPr>
                    <w:t>50</w:t>
                  </w:r>
                  <w:r>
                    <w:rPr>
                      <w:sz w:val="20"/>
                    </w:rPr>
                    <w:t>元。</w:t>
                  </w:r>
                </w:p>
              </w:tc>
              <w:tc>
                <w:tcPr>
                  <w:tcW w:type="dxa" w:w="34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没有设置好软件运行环境，导致软件无法正常使用的，每例扣</w:t>
                  </w:r>
                  <w:r>
                    <w:rPr>
                      <w:sz w:val="20"/>
                    </w:rPr>
                    <w:t>50</w:t>
                  </w:r>
                  <w:r>
                    <w:rPr>
                      <w:sz w:val="20"/>
                    </w:rPr>
                    <w:t>元。</w:t>
                  </w:r>
                </w:p>
              </w:tc>
            </w:tr>
            <w:tr>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计算机安全管理</w:t>
                  </w: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杀毒、审计、端口控制、监控等内网安全管理软件安装</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没有安装安全管理软件的，每漏装</w:t>
                  </w:r>
                  <w:r>
                    <w:rPr>
                      <w:sz w:val="20"/>
                    </w:rPr>
                    <w:t>1</w:t>
                  </w:r>
                  <w:r>
                    <w:rPr>
                      <w:sz w:val="20"/>
                    </w:rPr>
                    <w:t>个扣</w:t>
                  </w:r>
                  <w:r>
                    <w:rPr>
                      <w:sz w:val="20"/>
                    </w:rPr>
                    <w:t>100</w:t>
                  </w:r>
                  <w:r>
                    <w:rPr>
                      <w:sz w:val="20"/>
                    </w:rPr>
                    <w:t>元。</w:t>
                  </w:r>
                </w:p>
              </w:tc>
              <w:tc>
                <w:tcPr>
                  <w:tcW w:type="dxa" w:w="34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软件没有按要求进行设置的，每例扣</w:t>
                  </w:r>
                  <w:r>
                    <w:rPr>
                      <w:sz w:val="20"/>
                    </w:rPr>
                    <w:t>50</w:t>
                  </w:r>
                  <w:r>
                    <w:rPr>
                      <w:sz w:val="20"/>
                    </w:rPr>
                    <w:t>元。</w:t>
                  </w: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监狱内部局域网的设备安装</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没按监狱信息安全相关管理规定安装计算机或其周边设备的，每例扣</w:t>
                  </w:r>
                  <w:r>
                    <w:rPr>
                      <w:sz w:val="20"/>
                    </w:rPr>
                    <w:t>200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计算机登录保护</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没按监狱要求设置计算机</w:t>
                  </w:r>
                  <w:r>
                    <w:rPr>
                      <w:sz w:val="20"/>
                    </w:rPr>
                    <w:t>BIOS</w:t>
                  </w:r>
                  <w:r>
                    <w:rPr>
                      <w:sz w:val="20"/>
                    </w:rPr>
                    <w:t>和操作系统登入身份验证密码的，每例扣</w:t>
                  </w:r>
                  <w:r>
                    <w:rPr>
                      <w:sz w:val="20"/>
                    </w:rPr>
                    <w:t>50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计算机设备管理</w:t>
                  </w: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设备安装</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没安装在指定部位的，每例扣</w:t>
                  </w:r>
                  <w:r>
                    <w:rPr>
                      <w:sz w:val="20"/>
                    </w:rPr>
                    <w:t>50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安装后，设备摆放凌乱的，每例扣</w:t>
                  </w:r>
                  <w:r>
                    <w:rPr>
                      <w:sz w:val="20"/>
                    </w:rPr>
                    <w:t>50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安装后，设备线路凌乱的，每例扣</w:t>
                  </w:r>
                  <w:r>
                    <w:rPr>
                      <w:sz w:val="20"/>
                    </w:rPr>
                    <w:t>50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网络连接</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非人为因素，发现一台网络设备无法正常联网的，每例扣</w:t>
                  </w:r>
                  <w:r>
                    <w:rPr>
                      <w:sz w:val="20"/>
                    </w:rPr>
                    <w:t>50</w:t>
                  </w:r>
                  <w:r>
                    <w:rPr>
                      <w:sz w:val="20"/>
                    </w:rPr>
                    <w:t>元分</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硬件使用</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计算机不能顺畅使用的，每例扣</w:t>
                  </w:r>
                  <w:r>
                    <w:rPr>
                      <w:sz w:val="20"/>
                    </w:rPr>
                    <w:t>50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会议系统</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会议保障</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大型会议有视频、音频故障，每次扣</w:t>
                  </w:r>
                  <w:r>
                    <w:rPr>
                      <w:sz w:val="20"/>
                    </w:rPr>
                    <w:t>100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设备机房</w:t>
                  </w:r>
                </w:p>
                <w:p>
                  <w:pPr>
                    <w:pStyle w:val="null3"/>
                    <w:jc w:val="center"/>
                  </w:pPr>
                  <w:r>
                    <w:rPr>
                      <w:sz w:val="20"/>
                    </w:rPr>
                    <w:t>管理</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设备在线情况</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因维护人员操作不当或维护不及时导致网络设备不在线，扣</w:t>
                  </w:r>
                  <w:r>
                    <w:rPr>
                      <w:sz w:val="20"/>
                    </w:rPr>
                    <w:t>100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设备故障情况</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因维护人员操作不当或维护不及时导致网络设备无法正常使用，扣</w:t>
                  </w:r>
                  <w:r>
                    <w:rPr>
                      <w:sz w:val="20"/>
                    </w:rPr>
                    <w:t>100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设备运行环境</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机柜内线路连接不整齐的，每例扣</w:t>
                  </w:r>
                  <w:r>
                    <w:rPr>
                      <w:sz w:val="20"/>
                    </w:rPr>
                    <w:t>100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机房内设备摆放凌乱，每例扣</w:t>
                  </w:r>
                  <w:r>
                    <w:rPr>
                      <w:sz w:val="20"/>
                    </w:rPr>
                    <w:t>100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机房设备除尘工作不达标，每例扣</w:t>
                  </w:r>
                  <w:r>
                    <w:rPr>
                      <w:sz w:val="20"/>
                    </w:rPr>
                    <w:t>100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系统巡检</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巡检范围包括系统维护各项目内所包含的硬件、软件以及其运行环境等</w:t>
                  </w: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每个月检查系统、服务器运行情况，处理存在问题，保障运行环境，没有落实巡检制度的，每例扣</w:t>
                  </w:r>
                  <w:r>
                    <w:rPr>
                      <w:sz w:val="20"/>
                    </w:rPr>
                    <w:t>300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其他未按监狱要求落实造成不良影响的，视情节扣</w:t>
                  </w:r>
                  <w:r>
                    <w:rPr>
                      <w:sz w:val="20"/>
                    </w:rPr>
                    <w:t>100-300</w:t>
                  </w:r>
                  <w:r>
                    <w:rPr>
                      <w:sz w:val="20"/>
                    </w:rPr>
                    <w:t>元。</w:t>
                  </w: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分项扣款小计</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3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6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四、安防系统</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26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4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具体事项</w:t>
                  </w:r>
                </w:p>
              </w:tc>
              <w:tc>
                <w:tcPr>
                  <w:tcW w:type="dxa" w:w="50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扣款</w:t>
                  </w:r>
                </w:p>
              </w:tc>
              <w:tc>
                <w:tcPr>
                  <w:tcW w:type="dxa" w:w="5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视频监控系统</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因维护人员操作不当导致系统后台故障扣</w:t>
                  </w:r>
                  <w:r>
                    <w:rPr>
                      <w:sz w:val="20"/>
                    </w:rPr>
                    <w:t>100</w:t>
                  </w:r>
                  <w:r>
                    <w:rPr>
                      <w:sz w:val="20"/>
                    </w:rPr>
                    <w:t>元；摄像头故障每例扣</w:t>
                  </w:r>
                  <w:r>
                    <w:rPr>
                      <w:sz w:val="20"/>
                    </w:rPr>
                    <w:t>200</w:t>
                  </w:r>
                  <w:r>
                    <w:rPr>
                      <w:sz w:val="20"/>
                    </w:rPr>
                    <w:t>元；摄像头脏污、角度不正确等无效监控每例扣</w:t>
                  </w:r>
                  <w:r>
                    <w:rPr>
                      <w:sz w:val="20"/>
                    </w:rPr>
                    <w:t>100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应急报警系统</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因维护人员操作不当导致系统后台故障扣</w:t>
                  </w:r>
                  <w:r>
                    <w:rPr>
                      <w:sz w:val="20"/>
                    </w:rPr>
                    <w:t>100</w:t>
                  </w:r>
                  <w:r>
                    <w:rPr>
                      <w:sz w:val="20"/>
                    </w:rPr>
                    <w:t>元；应急报警硬件设备故障的每例扣</w:t>
                  </w:r>
                  <w:r>
                    <w:rPr>
                      <w:sz w:val="20"/>
                    </w:rPr>
                    <w:t>100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对讲监听系统</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因维护人员操作不当导致系统后台故障扣</w:t>
                  </w:r>
                  <w:r>
                    <w:rPr>
                      <w:sz w:val="20"/>
                    </w:rPr>
                    <w:t>100</w:t>
                  </w:r>
                  <w:r>
                    <w:rPr>
                      <w:sz w:val="20"/>
                    </w:rPr>
                    <w:t>元；对讲监听主机、对讲终端等设备故障每例扣</w:t>
                  </w:r>
                  <w:r>
                    <w:rPr>
                      <w:sz w:val="20"/>
                    </w:rPr>
                    <w:t>50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围墙振动光纤报警系统</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因维护人员操作不当导致振动光纤系统后台故障扣</w:t>
                  </w:r>
                  <w:r>
                    <w:rPr>
                      <w:sz w:val="20"/>
                    </w:rPr>
                    <w:t>100</w:t>
                  </w:r>
                  <w:r>
                    <w:rPr>
                      <w:sz w:val="20"/>
                    </w:rPr>
                    <w:t>元；系统相关硬件异常每例扣</w:t>
                  </w:r>
                  <w:r>
                    <w:rPr>
                      <w:sz w:val="20"/>
                    </w:rPr>
                    <w:t>50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安防体系巡检、保养</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执行巡检制度不到位扣</w:t>
                  </w:r>
                  <w:r>
                    <w:rPr>
                      <w:sz w:val="20"/>
                    </w:rPr>
                    <w:t>300</w:t>
                  </w:r>
                  <w:r>
                    <w:rPr>
                      <w:sz w:val="20"/>
                    </w:rPr>
                    <w:t>元，未执行巡检制度扣</w:t>
                  </w:r>
                  <w:r>
                    <w:rPr>
                      <w:sz w:val="20"/>
                    </w:rPr>
                    <w:t>300</w:t>
                  </w:r>
                  <w:r>
                    <w:rPr>
                      <w:sz w:val="20"/>
                    </w:rPr>
                    <w:t>元，虚假巡检台账扣</w:t>
                  </w:r>
                  <w:r>
                    <w:rPr>
                      <w:sz w:val="20"/>
                    </w:rPr>
                    <w:t>500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省局通报批评</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受省局通报批评每次扣</w:t>
                  </w:r>
                  <w:r>
                    <w:rPr>
                      <w:sz w:val="20"/>
                    </w:rPr>
                    <w:t>1000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上述未包含的安防类设备及服务合同期间新建系统的运维服务不到位的根据情形扣</w:t>
                  </w:r>
                  <w:r>
                    <w:rPr>
                      <w:sz w:val="20"/>
                    </w:rPr>
                    <w:t>50-500</w:t>
                  </w:r>
                  <w:r>
                    <w:rPr>
                      <w:sz w:val="20"/>
                    </w:rPr>
                    <w:t>元</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分项扣款小计</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E</w:t>
                  </w:r>
                </w:p>
              </w:tc>
              <w:tc>
                <w:tcPr>
                  <w:tcW w:type="dxa" w:w="12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扣款合计</w:t>
                  </w:r>
                </w:p>
              </w:tc>
              <w:tc>
                <w:tcPr>
                  <w:tcW w:type="dxa" w:w="4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以上各分项合计（</w:t>
                  </w:r>
                  <w:r>
                    <w:rPr>
                      <w:sz w:val="21"/>
                      <w:color w:val="000000"/>
                    </w:rPr>
                    <w:t>A+B+C+D）</w:t>
                  </w:r>
                </w:p>
              </w:tc>
              <w:tc>
                <w:tcPr>
                  <w:tcW w:type="dxa" w:w="5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13</w:t>
            </w:r>
          </w:p>
        </w:tc>
        <w:tc>
          <w:tcPr>
            <w:tcW w:type="dxa" w:w="5814"/>
          </w:tcPr>
          <w:p>
            <w:pPr>
              <w:pStyle w:val="null3"/>
              <w:jc w:val="both"/>
            </w:pPr>
            <w:r>
              <w:rPr>
                <w:sz w:val="18"/>
                <w:color w:val="000000"/>
              </w:rPr>
              <w:t>服务团队要求：</w:t>
            </w:r>
          </w:p>
          <w:p>
            <w:pPr>
              <w:pStyle w:val="null3"/>
              <w:jc w:val="both"/>
            </w:pPr>
            <w:r>
              <w:rPr>
                <w:sz w:val="18"/>
              </w:rPr>
              <w:t>1</w:t>
            </w:r>
            <w:r>
              <w:rPr>
                <w:sz w:val="18"/>
              </w:rPr>
              <w:t>.</w:t>
            </w:r>
            <w:r>
              <w:rPr>
                <w:sz w:val="18"/>
                <w:color w:val="000000"/>
              </w:rPr>
              <w:t>具备</w:t>
            </w:r>
            <w:r>
              <w:rPr>
                <w:sz w:val="18"/>
              </w:rPr>
              <w:t>网络工程师证书</w:t>
            </w:r>
            <w:r>
              <w:rPr>
                <w:sz w:val="18"/>
              </w:rPr>
              <w:t>；</w:t>
            </w:r>
          </w:p>
          <w:p>
            <w:pPr>
              <w:pStyle w:val="null3"/>
              <w:jc w:val="both"/>
            </w:pPr>
            <w:r>
              <w:rPr>
                <w:sz w:val="18"/>
              </w:rPr>
              <w:t>2</w:t>
            </w:r>
            <w:r>
              <w:rPr>
                <w:sz w:val="18"/>
              </w:rPr>
              <w:t>.具备系统集成项目管理工程师证书</w:t>
            </w:r>
            <w:r>
              <w:rPr>
                <w:sz w:val="18"/>
              </w:rPr>
              <w:t>；</w:t>
            </w:r>
          </w:p>
          <w:p>
            <w:pPr>
              <w:pStyle w:val="null3"/>
              <w:jc w:val="both"/>
            </w:pPr>
            <w:r>
              <w:rPr>
                <w:sz w:val="18"/>
              </w:rPr>
              <w:t>3</w:t>
            </w:r>
            <w:r>
              <w:rPr>
                <w:sz w:val="18"/>
              </w:rPr>
              <w:t>.具备计算机硬件工程师证书</w:t>
            </w:r>
            <w:r>
              <w:rPr>
                <w:sz w:val="18"/>
              </w:rPr>
              <w:t>；</w:t>
            </w:r>
          </w:p>
          <w:p>
            <w:pPr>
              <w:pStyle w:val="null3"/>
              <w:jc w:val="both"/>
            </w:pPr>
            <w:r>
              <w:rPr>
                <w:sz w:val="18"/>
              </w:rPr>
              <w:t>4</w:t>
            </w:r>
            <w:r>
              <w:rPr>
                <w:sz w:val="18"/>
              </w:rPr>
              <w:t>.具备信息系统管理工程师证书</w:t>
            </w:r>
            <w:r>
              <w:rPr>
                <w:sz w:val="18"/>
              </w:rPr>
              <w:t>；</w:t>
            </w:r>
          </w:p>
          <w:p>
            <w:pPr>
              <w:pStyle w:val="null3"/>
              <w:jc w:val="both"/>
            </w:pPr>
            <w:r>
              <w:rPr>
                <w:sz w:val="18"/>
              </w:rPr>
              <w:t>5</w:t>
            </w:r>
            <w:r>
              <w:rPr>
                <w:sz w:val="18"/>
              </w:rPr>
              <w:t>.具有信息系统项目管理师证书</w:t>
            </w:r>
            <w:r>
              <w:rPr>
                <w:sz w:val="18"/>
              </w:rPr>
              <w:t>；</w:t>
            </w:r>
          </w:p>
        </w:tc>
      </w:tr>
      <w:tr>
        <w:tc>
          <w:tcPr>
            <w:tcW w:type="dxa" w:w="2076"/>
          </w:tcPr>
          <w:p/>
        </w:tc>
        <w:tc>
          <w:tcPr>
            <w:tcW w:type="dxa" w:w="415"/>
          </w:tcPr>
          <w:p>
            <w:pPr>
              <w:pStyle w:val="null3"/>
            </w:pPr>
            <w:r>
              <w:rPr/>
              <w:t>14</w:t>
            </w:r>
          </w:p>
        </w:tc>
        <w:tc>
          <w:tcPr>
            <w:tcW w:type="dxa" w:w="5814"/>
          </w:tcPr>
          <w:p>
            <w:pPr>
              <w:pStyle w:val="null3"/>
              <w:jc w:val="both"/>
            </w:pPr>
            <w:r>
              <w:rPr>
                <w:sz w:val="21"/>
                <w:b/>
              </w:rPr>
              <w:t>办公设备桌面运维服务</w:t>
            </w:r>
          </w:p>
          <w:p>
            <w:pPr>
              <w:pStyle w:val="null3"/>
            </w:pPr>
            <w:r>
              <w:rPr/>
              <w:t>1.</w:t>
            </w:r>
            <w:r>
              <w:rPr/>
              <w:t>服务内容要求</w:t>
            </w:r>
          </w:p>
          <w:p>
            <w:pPr>
              <w:pStyle w:val="null3"/>
            </w:pPr>
            <w:r>
              <w:rPr/>
              <w:t>(1)</w:t>
            </w:r>
            <w:r>
              <w:rPr/>
              <w:t>硬件安装：所有指定维护范围内的设备及其外设的搬运、安装、调试、组装与移位等。</w:t>
            </w:r>
          </w:p>
          <w:p>
            <w:pPr>
              <w:pStyle w:val="null3"/>
            </w:pPr>
            <w:r>
              <w:rPr/>
              <w:t>(2)</w:t>
            </w:r>
            <w:r>
              <w:rPr/>
              <w:t>系统安装：设备的安装、调试及升级；相关驱动程序及软件的安装调试；经服务对象授权进行应用软件安装、升级并排除软件使用过程中的故障；解决软件冲突造成的系统故障。</w:t>
            </w:r>
          </w:p>
          <w:p>
            <w:pPr>
              <w:pStyle w:val="null3"/>
            </w:pPr>
            <w:r>
              <w:rPr/>
              <w:t>(3)</w:t>
            </w:r>
            <w:r>
              <w:rPr/>
              <w:t>故障检测与修复：包括软件故障检测与修复，硬件故障检测。</w:t>
            </w:r>
          </w:p>
          <w:p>
            <w:pPr>
              <w:pStyle w:val="null3"/>
            </w:pPr>
            <w:r>
              <w:rPr/>
              <w:t>(4)</w:t>
            </w:r>
            <w:r>
              <w:rPr/>
              <w:t>配件的更换、维修由中标人自行解决，但必须向采购人备案并接受监督，更换的配件不得低于原配件的性能和质量。对还在保修期内的设备，由中标人提供故障诊断服务，属于软件故障，由中标人负责排除，属于硬件故障由中标公司负责与保修单位沟通，如需送修，由中标人负责送修工作，如需更换配件，需更换由保修单位提供的原厂配件，采购人不为保修期内的设备支付配件费用。</w:t>
            </w:r>
          </w:p>
          <w:p>
            <w:pPr>
              <w:pStyle w:val="null3"/>
            </w:pPr>
            <w:r>
              <w:rPr/>
              <w:t>(5)</w:t>
            </w:r>
            <w:r>
              <w:rPr/>
              <w:t>设备的定期清洗和保养。</w:t>
            </w:r>
          </w:p>
          <w:p>
            <w:pPr>
              <w:pStyle w:val="null3"/>
            </w:pPr>
            <w:r>
              <w:rPr/>
              <w:t>(6)</w:t>
            </w:r>
            <w:r>
              <w:rPr/>
              <w:t>巡检：中标人应每季度为采购人软硬件设备作一次巡检，主动维护好各类设备，检查硬件实际配置是否和设备登记表相符，保障用户正常办公。在巡检过程中，要根据采购人要求做好相关工作。</w:t>
            </w:r>
          </w:p>
          <w:p>
            <w:pPr>
              <w:pStyle w:val="null3"/>
            </w:pPr>
            <w:r>
              <w:rPr/>
              <w:t>(7)</w:t>
            </w:r>
            <w:r>
              <w:rPr/>
              <w:t>对故障设备的维修，在响应时间内完成故障设备的维修，维修人员应严格遵守维修规程，对关键重点岗位及紧急的故障及时响应并及时汇报，对于故障设备的维修由指定的具体技术人员组织监督进行。</w:t>
            </w:r>
          </w:p>
          <w:p>
            <w:pPr>
              <w:pStyle w:val="null3"/>
            </w:pPr>
            <w:r>
              <w:rPr/>
              <w:t>(8)</w:t>
            </w:r>
            <w:r>
              <w:rPr/>
              <w:t>零配件更换，中标人提供的配件必须是原厂原装或相当于原厂原装，不得以降低成本为目的，以低质量配件替代，不得使用二手配件，若一旦被发现有上述操作，采购人提出限时整改意见，如不能按时整改，则追究中标人相应违约责任。由此造成的采购人一切损失，由中标人承担。</w:t>
            </w:r>
          </w:p>
          <w:p>
            <w:pPr>
              <w:pStyle w:val="null3"/>
              <w:jc w:val="both"/>
            </w:pPr>
            <w:r>
              <w:rPr>
                <w:sz w:val="21"/>
              </w:rPr>
              <w:t>(9)</w:t>
            </w:r>
            <w:r>
              <w:rPr>
                <w:sz w:val="21"/>
              </w:rPr>
              <w:t>中标人应在项目完成时，将本项目所有文档、资料汇集成册交付给采购人，所有文件要求用中文书写或有完整的中文注释。验收后，中标人按国家、省以及采购人档案管理要求，向采购人提供装订成册的纸质文档。</w:t>
            </w:r>
          </w:p>
        </w:tc>
      </w:tr>
      <w:tr>
        <w:tc>
          <w:tcPr>
            <w:tcW w:type="dxa" w:w="2076"/>
          </w:tcPr>
          <w:p/>
        </w:tc>
        <w:tc>
          <w:tcPr>
            <w:tcW w:type="dxa" w:w="415"/>
          </w:tcPr>
          <w:p>
            <w:pPr>
              <w:pStyle w:val="null3"/>
            </w:pPr>
            <w:r>
              <w:rPr/>
              <w:t>15</w:t>
            </w:r>
          </w:p>
        </w:tc>
        <w:tc>
          <w:tcPr>
            <w:tcW w:type="dxa" w:w="5814"/>
          </w:tcPr>
          <w:p>
            <w:pPr>
              <w:pStyle w:val="null3"/>
            </w:pPr>
            <w:r>
              <w:rPr/>
              <w:t>2.</w:t>
            </w:r>
            <w:r>
              <w:rPr/>
              <w:t>服务人员要求</w:t>
            </w:r>
          </w:p>
          <w:p>
            <w:pPr>
              <w:pStyle w:val="null3"/>
            </w:pPr>
            <w:r>
              <w:rPr/>
              <w:t>(1)</w:t>
            </w:r>
            <w:r>
              <w:rPr>
                <w:sz w:val="20"/>
              </w:rPr>
              <w:t>★</w:t>
            </w:r>
            <w:r>
              <w:rPr/>
              <w:t>在采购人的办公场所提供驻场服务。未经采购人同意，成交单位不得将服务分包或转包给第三方，也不得将服务外派或请非成交单位员工参与。</w:t>
            </w:r>
          </w:p>
          <w:p>
            <w:pPr>
              <w:pStyle w:val="null3"/>
            </w:pPr>
            <w:r>
              <w:rPr/>
              <w:t>(2)</w:t>
            </w:r>
            <w:r>
              <w:rPr/>
              <w:t>中标人提供的固定驻场服务人员，需具备</w:t>
            </w:r>
            <w:r>
              <w:rPr/>
              <w:t>3</w:t>
            </w:r>
            <w:r>
              <w:rPr/>
              <w:t>年以上同类办公设备维修经验，驻场服务前需经采购人考核通过。服务开始前，中标人需要提供驻场服务人员和不少于</w:t>
            </w:r>
            <w:r>
              <w:rPr/>
              <w:t>1</w:t>
            </w:r>
            <w:r>
              <w:rPr/>
              <w:t>名替班技术人员的有关资料供审核和登记备案，替班技术人员需有同样资质要求。</w:t>
            </w:r>
          </w:p>
          <w:p>
            <w:pPr>
              <w:pStyle w:val="null3"/>
            </w:pPr>
            <w:r>
              <w:rPr/>
              <w:t>(3)</w:t>
            </w:r>
            <w:r>
              <w:rPr>
                <w:sz w:val="20"/>
              </w:rPr>
              <w:t>★</w:t>
            </w:r>
            <w:r>
              <w:rPr/>
              <w:t>专人驻场服务：法定工作日提供至少</w:t>
            </w:r>
            <w:r>
              <w:rPr/>
              <w:t>1</w:t>
            </w:r>
            <w:r>
              <w:rPr/>
              <w:t>名固定的专业技术员驻场</w:t>
            </w:r>
            <w:r>
              <w:rPr/>
              <w:t>（</w:t>
            </w:r>
            <w:r>
              <w:rPr/>
              <w:t>政务信息化基础设施运维驻场人员</w:t>
            </w:r>
            <w:r>
              <w:rPr/>
              <w:t>不可兼任</w:t>
            </w:r>
            <w:r>
              <w:rPr/>
              <w:t>）</w:t>
            </w:r>
            <w:r>
              <w:rPr/>
              <w:t>，工作时间（</w:t>
            </w:r>
            <w:r>
              <w:rPr/>
              <w:t>8:30-17:30</w:t>
            </w:r>
            <w:r>
              <w:rPr/>
              <w:t>）。值班时间视具体要求确定。如驻场服务人员请假，则由已备案的技术人员代替工作，不允许出现缺岗缺位情况。若驻场人员需要中标方其他技术人员协助工作时，中标人需及时响应并派出额外工程师赶往现场，确保</w:t>
            </w:r>
            <w:r>
              <w:rPr/>
              <w:t>24</w:t>
            </w:r>
            <w:r>
              <w:rPr/>
              <w:t>小时内解决系统技术问题。如果需要调配其他资源，将顺延至下一工作日。</w:t>
            </w:r>
          </w:p>
          <w:p>
            <w:pPr>
              <w:pStyle w:val="null3"/>
            </w:pPr>
            <w:r>
              <w:rPr/>
              <w:t>(4)</w:t>
            </w:r>
            <w:r>
              <w:rPr/>
              <w:t>★</w:t>
            </w:r>
            <w:r>
              <w:rPr/>
              <w:t>服务过程中，</w:t>
            </w:r>
            <w:r>
              <w:rPr/>
              <w:t>实际驻场人员应当与响应文件中拟派出驻场人员保持一致，</w:t>
            </w:r>
            <w:r>
              <w:rPr/>
              <w:t>采购人对驻场服务人员不满意，提出更换驻场服务人员要求，中标人需在</w:t>
            </w:r>
            <w:r>
              <w:rPr/>
              <w:t>3</w:t>
            </w:r>
            <w:r>
              <w:rPr/>
              <w:t>个工作日内无条件更换。如连续更换三次仍不满意，采购人可单方解除合同，并扣除合同履约保证金。</w:t>
            </w:r>
            <w:r>
              <w:rPr/>
              <w:t>（提供承诺函，格式自拟）</w:t>
            </w:r>
          </w:p>
          <w:p>
            <w:pPr>
              <w:pStyle w:val="null3"/>
            </w:pPr>
            <w:r>
              <w:rPr/>
              <w:t>(5)</w:t>
            </w:r>
            <w:r>
              <w:rPr/>
              <w:t>中标人需另行指派高级工程师</w:t>
            </w:r>
            <w:r>
              <w:rPr/>
              <w:t>1</w:t>
            </w:r>
            <w:r>
              <w:rPr/>
              <w:t>名，每年不少于</w:t>
            </w:r>
            <w:r>
              <w:rPr/>
              <w:t>4</w:t>
            </w:r>
            <w:r>
              <w:rPr/>
              <w:t>次（</w:t>
            </w:r>
            <w:r>
              <w:rPr/>
              <w:t>1</w:t>
            </w:r>
            <w:r>
              <w:rPr/>
              <w:t>次</w:t>
            </w:r>
            <w:r>
              <w:rPr/>
              <w:t>/3</w:t>
            </w:r>
            <w:r>
              <w:rPr/>
              <w:t>月）对服务人员、服务质量、服务内容进行管理。</w:t>
            </w:r>
          </w:p>
          <w:p>
            <w:pPr>
              <w:pStyle w:val="null3"/>
              <w:jc w:val="both"/>
            </w:pPr>
            <w:r>
              <w:rPr>
                <w:sz w:val="21"/>
              </w:rPr>
              <w:t>(6)</w:t>
            </w:r>
            <w:r>
              <w:rPr>
                <w:sz w:val="21"/>
              </w:rPr>
              <w:t>驻场服务人员需每日按中标人管理规定进行考勤，如遇驻场服务人员请假，则由已备案的技术人员代替工作，不允许出现缺岗缺位的情况。</w:t>
            </w:r>
          </w:p>
        </w:tc>
      </w:tr>
      <w:tr>
        <w:tc>
          <w:tcPr>
            <w:tcW w:type="dxa" w:w="2076"/>
          </w:tcPr>
          <w:p/>
        </w:tc>
        <w:tc>
          <w:tcPr>
            <w:tcW w:type="dxa" w:w="415"/>
          </w:tcPr>
          <w:p>
            <w:pPr>
              <w:pStyle w:val="null3"/>
            </w:pPr>
            <w:r>
              <w:rPr/>
              <w:t>16</w:t>
            </w:r>
          </w:p>
        </w:tc>
        <w:tc>
          <w:tcPr>
            <w:tcW w:type="dxa" w:w="5814"/>
          </w:tcPr>
          <w:p>
            <w:pPr>
              <w:pStyle w:val="null3"/>
            </w:pPr>
            <w:r>
              <w:rPr/>
              <w:t>3.</w:t>
            </w:r>
            <w:r>
              <w:rPr/>
              <w:t>服务响应要求</w:t>
            </w:r>
          </w:p>
          <w:p>
            <w:pPr>
              <w:pStyle w:val="null3"/>
            </w:pPr>
            <w:r>
              <w:rPr/>
              <w:t>(1)</w:t>
            </w:r>
            <w:r>
              <w:rPr/>
              <w:t>要求提供</w:t>
            </w:r>
            <w:r>
              <w:rPr/>
              <w:t>7</w:t>
            </w:r>
            <w:r>
              <w:rPr/>
              <w:t>×</w:t>
            </w:r>
            <w:r>
              <w:rPr/>
              <w:t>24</w:t>
            </w:r>
            <w:r>
              <w:rPr/>
              <w:t>小时现场支持，</w:t>
            </w:r>
            <w:r>
              <w:rPr/>
              <w:t>15</w:t>
            </w:r>
            <w:r>
              <w:rPr/>
              <w:t>分钟内响应，半个小时内赶到现场，</w:t>
            </w:r>
            <w:r>
              <w:rPr/>
              <w:t>24</w:t>
            </w:r>
            <w:r>
              <w:rPr/>
              <w:t>小时内修复故障。</w:t>
            </w:r>
          </w:p>
          <w:p>
            <w:pPr>
              <w:pStyle w:val="null3"/>
              <w:jc w:val="both"/>
            </w:pPr>
            <w:r>
              <w:rPr>
                <w:sz w:val="21"/>
              </w:rPr>
              <w:t>(2)</w:t>
            </w:r>
            <w:r>
              <w:rPr>
                <w:sz w:val="21"/>
              </w:rPr>
              <w:t>采购人存在机关和监管区两个相对独立的办公区域，两个区域均须满足第</w:t>
            </w:r>
            <w:r>
              <w:rPr>
                <w:sz w:val="21"/>
              </w:rPr>
              <w:t>1</w:t>
            </w:r>
            <w:r>
              <w:rPr>
                <w:sz w:val="21"/>
              </w:rPr>
              <w:t>条的响应要求，当一名驻场人员无法满足时，中标人应当通过增加固定驻场人员或兼职人员的方式，确保两个区域的响应要求，增加的人员由中标人免费提供。</w:t>
            </w:r>
          </w:p>
        </w:tc>
      </w:tr>
      <w:tr>
        <w:tc>
          <w:tcPr>
            <w:tcW w:type="dxa" w:w="2076"/>
          </w:tcPr>
          <w:p/>
        </w:tc>
        <w:tc>
          <w:tcPr>
            <w:tcW w:type="dxa" w:w="415"/>
          </w:tcPr>
          <w:p>
            <w:pPr>
              <w:pStyle w:val="null3"/>
            </w:pPr>
            <w:r>
              <w:rPr/>
              <w:t>17</w:t>
            </w:r>
          </w:p>
        </w:tc>
        <w:tc>
          <w:tcPr>
            <w:tcW w:type="dxa" w:w="5814"/>
          </w:tcPr>
          <w:p>
            <w:pPr>
              <w:pStyle w:val="null3"/>
            </w:pPr>
            <w:r>
              <w:rPr/>
              <w:t>4.</w:t>
            </w:r>
            <w:r>
              <w:rPr/>
              <w:t>服务安全要求</w:t>
            </w:r>
          </w:p>
          <w:p>
            <w:pPr>
              <w:pStyle w:val="null3"/>
            </w:pPr>
            <w:r>
              <w:rPr/>
              <w:t>本项目要求中标人遵守保密制度，确定项目保密责任人，同时要求中标人：</w:t>
            </w:r>
          </w:p>
          <w:p>
            <w:pPr>
              <w:pStyle w:val="null3"/>
            </w:pPr>
            <w:r>
              <w:rPr/>
              <w:t>(1)</w:t>
            </w:r>
            <w:r>
              <w:rPr/>
              <w:t>中标人各级组织、人员在合同履行过程中知悉的采购人保密信息，未经采购人书面许可，中标人不得以任何方式直接或间接向第三人披露，也不得擅自使用、允许第三人使用“保密信息”，或将“保密信息”用于本项目之外的其他目的。</w:t>
            </w:r>
          </w:p>
          <w:p>
            <w:pPr>
              <w:pStyle w:val="null3"/>
            </w:pPr>
            <w:r>
              <w:rPr/>
              <w:t xml:space="preserve">(2) </w:t>
            </w:r>
            <w:r>
              <w:rPr/>
              <w:t>中标人违反保密义务，采购人有权单方面解除合同，并有权要求中标人退还已收取的费用，同时对中标人处以相当于合同总金额</w:t>
            </w:r>
            <w:r>
              <w:rPr/>
              <w:t>30%</w:t>
            </w:r>
            <w:r>
              <w:rPr/>
              <w:t>的违约金。造成采购人其他损失的仍应予以赔偿，包括但不限于实际损失，预期利益损失、因维权而产生的支出。</w:t>
            </w:r>
          </w:p>
          <w:p>
            <w:pPr>
              <w:pStyle w:val="null3"/>
            </w:pPr>
            <w:r>
              <w:rPr/>
              <w:t>(3)</w:t>
            </w:r>
            <w:r>
              <w:rPr/>
              <w:t>按照国家、省市的有关法律法规文件规定，要求中标人履行保密责任，并遵守合同中有关保密要求，中标人各级组织、人员严格履行保密职责，按照保密规定开展运维工作。</w:t>
            </w:r>
          </w:p>
          <w:p>
            <w:pPr>
              <w:pStyle w:val="null3"/>
              <w:jc w:val="both"/>
            </w:pPr>
            <w:r>
              <w:rPr>
                <w:sz w:val="21"/>
              </w:rPr>
              <w:t>(4)</w:t>
            </w:r>
            <w:r>
              <w:rPr>
                <w:sz w:val="21"/>
              </w:rPr>
              <w:t>遵守国家、省市及采购方关于网络信息安全的法律法规文件规定。</w:t>
            </w:r>
          </w:p>
        </w:tc>
      </w:tr>
      <w:tr>
        <w:tc>
          <w:tcPr>
            <w:tcW w:type="dxa" w:w="2076"/>
          </w:tcPr>
          <w:p/>
        </w:tc>
        <w:tc>
          <w:tcPr>
            <w:tcW w:type="dxa" w:w="415"/>
          </w:tcPr>
          <w:p>
            <w:pPr>
              <w:pStyle w:val="null3"/>
            </w:pPr>
            <w:r>
              <w:rPr/>
              <w:t>18</w:t>
            </w:r>
          </w:p>
        </w:tc>
        <w:tc>
          <w:tcPr>
            <w:tcW w:type="dxa" w:w="5814"/>
          </w:tcPr>
          <w:p>
            <w:pPr>
              <w:pStyle w:val="null3"/>
            </w:pPr>
            <w:r>
              <w:rPr/>
              <w:t>5.</w:t>
            </w:r>
            <w:r>
              <w:rPr/>
              <w:t>服务标准要求</w:t>
            </w:r>
          </w:p>
          <w:p>
            <w:pPr>
              <w:pStyle w:val="null3"/>
              <w:jc w:val="both"/>
            </w:pPr>
            <w:r>
              <w:rPr>
                <w:sz w:val="21"/>
              </w:rPr>
              <w:t>建立标准化、专业化的运维管理机制，按照国家、行业相关技术标准，规范、优质、按时地完成各项服务内容，保持或恢复采购人办公自动化设备的良好工作状态，提高设备运转的稳定性、可靠性和高效性，高效、及时地解决设备运维突发事故，提高采购人工作人员的设备使用能力。</w:t>
            </w:r>
          </w:p>
        </w:tc>
      </w:tr>
      <w:tr>
        <w:tc>
          <w:tcPr>
            <w:tcW w:type="dxa" w:w="2076"/>
          </w:tcPr>
          <w:p/>
        </w:tc>
        <w:tc>
          <w:tcPr>
            <w:tcW w:type="dxa" w:w="415"/>
          </w:tcPr>
          <w:p>
            <w:pPr>
              <w:pStyle w:val="null3"/>
            </w:pPr>
            <w:r>
              <w:rPr/>
              <w:t>19</w:t>
            </w:r>
          </w:p>
        </w:tc>
        <w:tc>
          <w:tcPr>
            <w:tcW w:type="dxa" w:w="5814"/>
          </w:tcPr>
          <w:p>
            <w:pPr>
              <w:pStyle w:val="null3"/>
            </w:pPr>
            <w:r>
              <w:rPr/>
              <w:t>6.采购配件要求</w:t>
            </w:r>
          </w:p>
          <w:p>
            <w:pPr>
              <w:pStyle w:val="null3"/>
            </w:pPr>
            <w:r>
              <w:rPr/>
              <w:t>成交供应商需按采购人实际要求做好设备维修，并按要求根据设备品牌、型号配置相应数量同品牌、同型号或更高型号的维护备件，包括但不限于主机、显示器、打印机、扫描仪等备用整机以及</w:t>
            </w:r>
            <w:r>
              <w:rPr/>
              <w:t>CPU</w:t>
            </w:r>
            <w:r>
              <w:rPr/>
              <w:t>、内存、主板、显卡、声卡、网卡、键盘、鼠标、连接办公设备所需网络屏蔽跳线（含五类、六类）、打印机连接线、电源线等零配件，建立相应的备件库，同时做好维修配件的备件库管理，使用后的备件（含备用整机）归采购人所有；在服务期间备件库及时更新补充，提供所有设备的备件及备件更换服务。</w:t>
            </w:r>
          </w:p>
          <w:p>
            <w:pPr>
              <w:pStyle w:val="null3"/>
            </w:pPr>
            <w:r>
              <w:rPr/>
              <w:t>紧急采购配件须在两个工作日内到货，普通配件采购须在五个工作日内到货。</w:t>
            </w:r>
          </w:p>
          <w:p>
            <w:pPr>
              <w:pStyle w:val="null3"/>
              <w:jc w:val="both"/>
            </w:pPr>
            <w:r>
              <w:rPr>
                <w:sz w:val="21"/>
              </w:rPr>
              <w:t>运维服务期内所产生的备件费均包含在本项目内。</w:t>
            </w:r>
          </w:p>
        </w:tc>
      </w:tr>
      <w:tr>
        <w:tc>
          <w:tcPr>
            <w:tcW w:type="dxa" w:w="2076"/>
          </w:tcPr>
          <w:p/>
        </w:tc>
        <w:tc>
          <w:tcPr>
            <w:tcW w:type="dxa" w:w="415"/>
          </w:tcPr>
          <w:p>
            <w:pPr>
              <w:pStyle w:val="null3"/>
            </w:pPr>
            <w:r>
              <w:rPr/>
              <w:t>20</w:t>
            </w:r>
          </w:p>
        </w:tc>
        <w:tc>
          <w:tcPr>
            <w:tcW w:type="dxa" w:w="5814"/>
          </w:tcPr>
          <w:p>
            <w:pPr>
              <w:pStyle w:val="null3"/>
            </w:pPr>
            <w:r>
              <w:rPr/>
              <w:t>7.其他要求</w:t>
            </w:r>
          </w:p>
          <w:p>
            <w:pPr>
              <w:pStyle w:val="null3"/>
            </w:pPr>
            <w:r>
              <w:rPr/>
              <w:t>1.</w:t>
            </w:r>
            <w:r>
              <w:rPr/>
              <w:t>打印机备机服务：打印机维修中需提供同等性能设备的备用机供采购人使用，直至故障设备修复为止。</w:t>
            </w:r>
          </w:p>
          <w:p>
            <w:pPr>
              <w:pStyle w:val="null3"/>
            </w:pPr>
            <w:r>
              <w:rPr/>
              <w:t>2</w:t>
            </w:r>
            <w:r>
              <w:rPr/>
              <w:t>.</w:t>
            </w:r>
            <w:r>
              <w:rPr/>
              <w:t>中标人在维护保修的工作范围内，在更换维修配件或整机保修时，同一问题连续出现两次或两次以上故障的，中标人必须无条件地更换新的零备件。</w:t>
            </w:r>
          </w:p>
          <w:p>
            <w:pPr>
              <w:pStyle w:val="null3"/>
              <w:jc w:val="both"/>
            </w:pPr>
            <w:r>
              <w:rPr>
                <w:sz w:val="21"/>
              </w:rPr>
              <w:t>3</w:t>
            </w:r>
            <w:r>
              <w:rPr>
                <w:sz w:val="21"/>
              </w:rPr>
              <w:t>.</w:t>
            </w:r>
            <w:r>
              <w:rPr>
                <w:sz w:val="21"/>
              </w:rPr>
              <w:t>中标人需根据采购人要求，与采购人前一家运维公司做好业务对接工作。</w:t>
            </w:r>
          </w:p>
        </w:tc>
      </w:tr>
      <w:tr>
        <w:tc>
          <w:tcPr>
            <w:tcW w:type="dxa" w:w="2076"/>
          </w:tcPr>
          <w:p/>
        </w:tc>
        <w:tc>
          <w:tcPr>
            <w:tcW w:type="dxa" w:w="415"/>
          </w:tcPr>
          <w:p>
            <w:pPr>
              <w:pStyle w:val="null3"/>
            </w:pPr>
            <w:r>
              <w:rPr/>
              <w:t>21</w:t>
            </w:r>
          </w:p>
        </w:tc>
        <w:tc>
          <w:tcPr>
            <w:tcW w:type="dxa" w:w="5814"/>
          </w:tcPr>
          <w:p>
            <w:pPr>
              <w:pStyle w:val="null3"/>
            </w:pPr>
            <w:r>
              <w:rPr/>
              <w:t>运维服务考核</w:t>
            </w:r>
          </w:p>
          <w:p>
            <w:pPr>
              <w:pStyle w:val="null3"/>
            </w:pPr>
            <w:r>
              <w:rPr/>
              <w:t>结合上述服务要求，每三个月为一个考核周期。</w:t>
            </w:r>
          </w:p>
          <w:tbl>
            <w:tblPr>
              <w:tblInd w:type="dxa" w:w="120"/>
              <w:tblBorders>
                <w:top w:val="none" w:color="000000" w:sz="4"/>
                <w:left w:val="none" w:color="000000" w:sz="4"/>
                <w:bottom w:val="none" w:color="000000" w:sz="4"/>
                <w:right w:val="none" w:color="000000" w:sz="4"/>
                <w:insideH w:val="none"/>
                <w:insideV w:val="none"/>
              </w:tblBorders>
            </w:tblPr>
            <w:tblGrid>
              <w:gridCol w:w="450"/>
              <w:gridCol w:w="615"/>
              <w:gridCol w:w="840"/>
              <w:gridCol w:w="2265"/>
              <w:gridCol w:w="990"/>
              <w:gridCol w:w="720"/>
              <w:gridCol w:w="330"/>
              <w:gridCol w:w="330"/>
              <w:gridCol w:w="450"/>
            </w:tblGrid>
            <w:tr>
              <w:tc>
                <w:tcPr>
                  <w:tcW w:type="dxa" w:w="6990"/>
                  <w:gridSpan w:val="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桌面运维项目考核评分表</w:t>
                  </w:r>
                </w:p>
              </w:tc>
            </w:tr>
            <w:tr>
              <w:tc>
                <w:tcPr>
                  <w:tcW w:type="dxa" w:w="450"/>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序号</w:t>
                  </w:r>
                </w:p>
              </w:tc>
              <w:tc>
                <w:tcPr>
                  <w:tcW w:type="dxa" w:w="61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类型</w:t>
                  </w:r>
                </w:p>
              </w:tc>
              <w:tc>
                <w:tcPr>
                  <w:tcW w:type="dxa" w:w="840"/>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考核内容</w:t>
                  </w:r>
                </w:p>
              </w:tc>
              <w:tc>
                <w:tcPr>
                  <w:tcW w:type="dxa" w:w="226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评分细则</w:t>
                  </w:r>
                </w:p>
              </w:tc>
              <w:tc>
                <w:tcPr>
                  <w:tcW w:type="dxa" w:w="990"/>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评分标准</w:t>
                  </w:r>
                </w:p>
              </w:tc>
              <w:tc>
                <w:tcPr>
                  <w:tcW w:type="dxa" w:w="720"/>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数据来源</w:t>
                  </w:r>
                </w:p>
              </w:tc>
              <w:tc>
                <w:tcPr>
                  <w:tcW w:type="dxa" w:w="660"/>
                  <w:gridSpan w:val="2"/>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评分结果</w:t>
                  </w:r>
                </w:p>
              </w:tc>
              <w:tc>
                <w:tcPr>
                  <w:tcW w:type="dxa" w:w="450"/>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备注</w:t>
                  </w: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w:t>
                  </w:r>
                </w:p>
              </w:tc>
              <w:tc>
                <w:tcPr>
                  <w:tcW w:type="dxa" w:w="61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效率</w:t>
                  </w:r>
                  <w:r>
                    <w:rPr>
                      <w:sz w:val="19"/>
                    </w:rPr>
                    <w:t>40%</w:t>
                  </w: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服务响应、故障处理要求</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服务响应是否及时，故障处理是否按时、按质完成，具体按照合同与技术规范书中服务要求执行。</w:t>
                  </w:r>
                </w:p>
              </w:tc>
              <w:tc>
                <w:tcPr>
                  <w:tcW w:type="dxa" w:w="99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发现一项不符合扣</w:t>
                  </w:r>
                  <w:r>
                    <w:rPr>
                      <w:sz w:val="19"/>
                    </w:rPr>
                    <w:t>5</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客户反馈</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2</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故障瞒报、不及时</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故障处理、报告不及时或存在瞒报现象</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发生一次，扣</w:t>
                  </w:r>
                  <w:r>
                    <w:rPr>
                      <w:sz w:val="19"/>
                    </w:rPr>
                    <w:t>5</w:t>
                  </w:r>
                  <w:r>
                    <w:rPr>
                      <w:sz w:val="19"/>
                    </w:rPr>
                    <w:t>分，瞒报一次扣</w:t>
                  </w:r>
                  <w:r>
                    <w:rPr>
                      <w:sz w:val="19"/>
                    </w:rPr>
                    <w:t>10</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故障报告</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3</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备品备件更换</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设备硬件故障需及时更换相关故障备件进行修复，且更换备件后需及时填写在线备件更换记录，填写信息真实、完整，不漏填、虚填。</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发现每不符合项扣</w:t>
                  </w:r>
                  <w:r>
                    <w:rPr>
                      <w:sz w:val="19"/>
                    </w:rPr>
                    <w:t>2</w:t>
                  </w:r>
                  <w:r>
                    <w:rPr>
                      <w:sz w:val="19"/>
                    </w:rPr>
                    <w:t>分。发现虚填一次扣</w:t>
                  </w:r>
                  <w:r>
                    <w:rPr>
                      <w:sz w:val="19"/>
                    </w:rPr>
                    <w:t>3</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备件更换记录与客户反馈</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4</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验收材料、服务总结报告资料完成质量以及任务完成时效性</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上述文件资料的编写质量、格式与规范。任务类及周会关注任务事项延期（包括任务质量不佳引起的延期）。</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发现一项不符合扣</w:t>
                  </w:r>
                  <w:r>
                    <w:rPr>
                      <w:sz w:val="19"/>
                    </w:rPr>
                    <w:t>5</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交付物</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5</w:t>
                  </w:r>
                </w:p>
              </w:tc>
              <w:tc>
                <w:tcPr>
                  <w:tcW w:type="dxa" w:w="61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质量</w:t>
                  </w:r>
                  <w:r>
                    <w:rPr>
                      <w:sz w:val="19"/>
                    </w:rPr>
                    <w:t>30%</w:t>
                  </w: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备品备件库</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根据运维要求，是否建立足够的备品备件库，并登记在线表格，每月清点一次，及时采购并更新在线备件库，要求填写的信息真实、完整、规范。并确保所采购备件的质量以及价格的真实性。备件要求在一周内到货。</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发现每不符合项扣</w:t>
                  </w:r>
                  <w:r>
                    <w:rPr>
                      <w:sz w:val="19"/>
                    </w:rPr>
                    <w:t>1</w:t>
                  </w:r>
                  <w:r>
                    <w:rPr>
                      <w:sz w:val="19"/>
                    </w:rPr>
                    <w:t>分。发现虚填、虚报一次扣</w:t>
                  </w:r>
                  <w:r>
                    <w:rPr>
                      <w:sz w:val="19"/>
                    </w:rPr>
                    <w:t>2</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备品备件清单与客户反馈</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6</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预防性运维检查情况</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定期对计算机终端及外设设备进行检查、保养维护；系统性能日常维护，补丁升级、安全加固、日志检查等</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发现一项不符合扣</w:t>
                  </w:r>
                  <w:r>
                    <w:rPr>
                      <w:sz w:val="19"/>
                    </w:rPr>
                    <w:t>1</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检查记录</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7</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数据备份情况</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系统文件数据、设备与系统配置文件等，备份数据的完整性、及时性、可用性。</w:t>
                  </w:r>
                </w:p>
              </w:tc>
              <w:tc>
                <w:tcPr>
                  <w:tcW w:type="dxa" w:w="99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每不符合一项扣</w:t>
                  </w:r>
                  <w:r>
                    <w:rPr>
                      <w:sz w:val="19"/>
                    </w:rPr>
                    <w:t>1</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备份数据记录</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8</w:t>
                  </w:r>
                </w:p>
              </w:tc>
              <w:tc>
                <w:tcPr>
                  <w:tcW w:type="dxa" w:w="61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管理</w:t>
                  </w:r>
                  <w:r>
                    <w:rPr>
                      <w:sz w:val="19"/>
                    </w:rPr>
                    <w:t>30%</w:t>
                  </w: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违反工作区域所在单位工作要求与纪律</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考勤、着装、办工环境要求与工作纪律等方面。</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每发生一次，扣</w:t>
                  </w:r>
                  <w:r>
                    <w:rPr>
                      <w:sz w:val="19"/>
                    </w:rPr>
                    <w:t>1</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客户反馈</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9</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服务人员要求与及时到岗率</w:t>
                  </w:r>
                  <w:r>
                    <w:rPr>
                      <w:sz w:val="19"/>
                    </w:rPr>
                    <w:t>≥</w:t>
                  </w:r>
                  <w:r>
                    <w:rPr>
                      <w:sz w:val="19"/>
                    </w:rPr>
                    <w:t>99%</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驻点人员应满足服务人员要求，具体参照技术规范书中服务人员要求执行；驻点人员不得擅自调整，因人员问题或采购人要求换人，需在</w:t>
                  </w:r>
                  <w:r>
                    <w:rPr>
                      <w:sz w:val="19"/>
                    </w:rPr>
                    <w:t>2</w:t>
                  </w:r>
                  <w:r>
                    <w:rPr>
                      <w:sz w:val="19"/>
                    </w:rPr>
                    <w:t>周内安排合适人员到岗。</w:t>
                  </w:r>
                </w:p>
              </w:tc>
              <w:tc>
                <w:tcPr>
                  <w:tcW w:type="dxa" w:w="99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低于及时率每次扣</w:t>
                  </w:r>
                  <w:r>
                    <w:rPr>
                      <w:sz w:val="19"/>
                    </w:rPr>
                    <w:t>1</w:t>
                  </w:r>
                  <w:r>
                    <w:rPr>
                      <w:sz w:val="19"/>
                    </w:rPr>
                    <w:t>分；每晚一天扣</w:t>
                  </w:r>
                  <w:r>
                    <w:rPr>
                      <w:sz w:val="19"/>
                    </w:rPr>
                    <w:t>1</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客户反馈</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10</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运维日报</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运维日报采用在线填写登记的方式上报，并实行每日工作群汇报制。要求填写信息真实、完整、正确。如发现填写不规范，不安时填写、漏报、隐瞒、虚报等情况。</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发现一项不符合扣</w:t>
                  </w:r>
                  <w:r>
                    <w:rPr>
                      <w:sz w:val="19"/>
                    </w:rPr>
                    <w:t>1</w:t>
                  </w:r>
                  <w:r>
                    <w:rPr>
                      <w:sz w:val="19"/>
                    </w:rPr>
                    <w:t>分；发现隐瞒、虚报一次扣</w:t>
                  </w:r>
                  <w:r>
                    <w:rPr>
                      <w:sz w:val="19"/>
                    </w:rPr>
                    <w:t>2</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在线运维日报与运维工作群</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11</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运维服务报告</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采用邮件的方式进行汇报，运维服务报告根据模板格式要求编写，要求编写的信息真实、完整、规范。不晚于每季度最后一个工作日下午</w:t>
                  </w:r>
                  <w:r>
                    <w:rPr>
                      <w:sz w:val="19"/>
                    </w:rPr>
                    <w:t>6:00</w:t>
                  </w:r>
                  <w:r>
                    <w:rPr>
                      <w:sz w:val="19"/>
                    </w:rPr>
                    <w:t>前发送。</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发现每不符合项扣</w:t>
                  </w:r>
                  <w:r>
                    <w:rPr>
                      <w:sz w:val="19"/>
                    </w:rPr>
                    <w:t>1</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季度服务报告</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12</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设备硬件与系统巡检并保存完整巡检记录</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日检、季度巡检、节假日前巡检、重大保障巡检等。</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每缺一次扣</w:t>
                  </w:r>
                  <w:r>
                    <w:rPr>
                      <w:sz w:val="19"/>
                    </w:rPr>
                    <w:t>1</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巡检报告</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13</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培训、例会以及各种会议要求</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无故不参加与运维工作相关的培训、例会会以及验收、沟通会议等，并按模板要求输出会议记要。</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每缺</w:t>
                  </w:r>
                  <w:r>
                    <w:rPr>
                      <w:sz w:val="19"/>
                    </w:rPr>
                    <w:t>1</w:t>
                  </w:r>
                  <w:r>
                    <w:rPr>
                      <w:sz w:val="19"/>
                    </w:rPr>
                    <w:t>次，扣</w:t>
                  </w:r>
                  <w:r>
                    <w:rPr>
                      <w:sz w:val="19"/>
                    </w:rPr>
                    <w:t>2</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会议纪要</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14</w:t>
                  </w:r>
                </w:p>
              </w:tc>
              <w:tc>
                <w:tcPr>
                  <w:tcW w:type="dxa" w:w="61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奖惩分</w:t>
                  </w: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培训服务激励</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鼓励推进知识、经验、技能分享，提高知识转移率与分享水平。如提交培训材料通过数广项目组审核，且完成在线培训服务，可获得</w:t>
                  </w:r>
                  <w:r>
                    <w:rPr>
                      <w:sz w:val="19"/>
                    </w:rPr>
                    <w:t>3-5</w:t>
                  </w:r>
                  <w:r>
                    <w:rPr>
                      <w:sz w:val="19"/>
                    </w:rPr>
                    <w:t>分的加分，具体加分以培训效果评价确定。</w:t>
                  </w:r>
                </w:p>
              </w:tc>
              <w:tc>
                <w:tcPr>
                  <w:tcW w:type="dxa" w:w="9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每完成</w:t>
                  </w:r>
                  <w:r>
                    <w:rPr>
                      <w:sz w:val="19"/>
                    </w:rPr>
                    <w:t>1</w:t>
                  </w:r>
                  <w:r>
                    <w:rPr>
                      <w:sz w:val="19"/>
                    </w:rPr>
                    <w:t>次培训，加</w:t>
                  </w:r>
                  <w:r>
                    <w:rPr>
                      <w:sz w:val="19"/>
                    </w:rPr>
                    <w:t>3-5</w:t>
                  </w:r>
                  <w:r>
                    <w:rPr>
                      <w:sz w:val="19"/>
                    </w:rPr>
                    <w:t>分不等</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培训材料</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19"/>
                    </w:rPr>
                    <w:t>15</w:t>
                  </w:r>
                </w:p>
              </w:tc>
              <w:tc>
                <w:tcPr>
                  <w:tcW w:type="dxa" w:w="615"/>
                  <w:vMerge/>
                  <w:tcBorders>
                    <w:top w:val="none" w:color="000000" w:sz="4"/>
                    <w:left w:val="none" w:color="000000" w:sz="4"/>
                    <w:bottom w:val="single" w:color="000000" w:sz="4"/>
                    <w:right w:val="single" w:color="000000" w:sz="4"/>
                  </w:tcBorders>
                </w:tcPr>
                <w:p/>
              </w:tc>
              <w:tc>
                <w:tcPr>
                  <w:tcW w:type="dxa" w:w="8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经双方认可的有效投诉和正式表扬</w:t>
                  </w:r>
                </w:p>
              </w:tc>
              <w:tc>
                <w:tcPr>
                  <w:tcW w:type="dxa" w:w="22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正式表扬须提供邮件、书面等文件证明。收到表扬可获得</w:t>
                  </w:r>
                  <w:r>
                    <w:rPr>
                      <w:sz w:val="19"/>
                    </w:rPr>
                    <w:t>1-3</w:t>
                  </w:r>
                  <w:r>
                    <w:rPr>
                      <w:sz w:val="19"/>
                    </w:rPr>
                    <w:t>分的加分，具体看影响效果；如收到客户投诉反馈将扣</w:t>
                  </w:r>
                  <w:r>
                    <w:rPr>
                      <w:sz w:val="19"/>
                    </w:rPr>
                    <w:t>1-3</w:t>
                  </w:r>
                  <w:r>
                    <w:rPr>
                      <w:sz w:val="19"/>
                    </w:rPr>
                    <w:t>分，具体看造成影响后果。</w:t>
                  </w:r>
                </w:p>
              </w:tc>
              <w:tc>
                <w:tcPr>
                  <w:tcW w:type="dxa" w:w="99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rPr>
                    <w:t>表扬一次加</w:t>
                  </w:r>
                  <w:r>
                    <w:rPr>
                      <w:sz w:val="19"/>
                    </w:rPr>
                    <w:t>1-3</w:t>
                  </w:r>
                  <w:r>
                    <w:rPr>
                      <w:sz w:val="19"/>
                    </w:rPr>
                    <w:t>分，投诉一次扣</w:t>
                  </w:r>
                  <w:r>
                    <w:rPr>
                      <w:sz w:val="19"/>
                    </w:rPr>
                    <w:t>1-3</w:t>
                  </w:r>
                  <w:r>
                    <w:rPr>
                      <w:sz w:val="19"/>
                    </w:rPr>
                    <w:t>分</w:t>
                  </w:r>
                </w:p>
              </w:tc>
              <w:tc>
                <w:tcPr>
                  <w:tcW w:type="dxa" w:w="7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rPr>
                    <w:t>邮件或纸质文件</w:t>
                  </w:r>
                </w:p>
              </w:tc>
              <w:tc>
                <w:tcPr>
                  <w:tcW w:type="dxa" w:w="660"/>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p>
              </w:tc>
              <w:tc>
                <w:tcPr>
                  <w:tcW w:type="dxa" w:w="4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5160"/>
                  <w:gridSpan w:val="5"/>
                  <w:tcBorders>
                    <w:top w:val="none" w:color="000000" w:sz="4"/>
                    <w:left w:val="single" w:color="000000" w:sz="4"/>
                    <w:bottom w:val="single" w:color="000000" w:sz="4"/>
                    <w:right w:val="single" w:color="000000" w:sz="4"/>
                  </w:tcBorders>
                  <w:shd w:fill="F2F2F2"/>
                  <w:tcMar>
                    <w:top w:type="dxa" w:w="15"/>
                    <w:left w:type="dxa" w:w="15"/>
                    <w:bottom w:type="dxa" w:w="0"/>
                    <w:right w:type="dxa" w:w="15"/>
                  </w:tcMar>
                  <w:vAlign w:val="top"/>
                </w:tcPr>
                <w:p>
                  <w:pPr>
                    <w:pStyle w:val="null3"/>
                  </w:pPr>
                  <w:r>
                    <w:rPr>
                      <w:sz w:val="19"/>
                    </w:rPr>
                    <w:t>最终得分</w:t>
                  </w:r>
                </w:p>
              </w:tc>
              <w:tc>
                <w:tcPr>
                  <w:tcW w:type="dxa" w:w="1050"/>
                  <w:gridSpan w:val="2"/>
                  <w:tcBorders>
                    <w:top w:val="none" w:color="000000" w:sz="4"/>
                    <w:left w:val="none" w:color="000000" w:sz="4"/>
                    <w:bottom w:val="single" w:color="000000" w:sz="4"/>
                    <w:right w:val="single" w:color="000000" w:sz="4"/>
                  </w:tcBorders>
                  <w:shd w:fill="F2F2F2"/>
                  <w:tcMar>
                    <w:top w:type="dxa" w:w="15"/>
                    <w:left w:type="dxa" w:w="15"/>
                    <w:bottom w:type="dxa" w:w="0"/>
                    <w:right w:type="dxa" w:w="15"/>
                  </w:tcMar>
                  <w:vAlign w:val="top"/>
                </w:tcPr>
                <w:p>
                  <w:pPr>
                    <w:pStyle w:val="null3"/>
                  </w:pPr>
                </w:p>
              </w:tc>
              <w:tc>
                <w:tcPr>
                  <w:tcW w:type="dxa" w:w="780"/>
                  <w:gridSpan w:val="2"/>
                  <w:tcBorders>
                    <w:top w:val="none" w:color="000000" w:sz="4"/>
                    <w:left w:val="none" w:color="000000" w:sz="4"/>
                    <w:bottom w:val="single" w:color="000000" w:sz="4"/>
                    <w:right w:val="single" w:color="000000" w:sz="4"/>
                  </w:tcBorders>
                  <w:shd w:fill="F2F2F2"/>
                  <w:tcMar>
                    <w:top w:type="dxa" w:w="15"/>
                    <w:left w:type="dxa" w:w="15"/>
                    <w:bottom w:type="dxa" w:w="0"/>
                    <w:right w:type="dxa" w:w="15"/>
                  </w:tcMar>
                  <w:vAlign w:val="top"/>
                </w:tcPr>
                <w:p/>
              </w:tc>
            </w:tr>
          </w:tbl>
          <w:p>
            <w:pPr>
              <w:pStyle w:val="null3"/>
            </w:pPr>
            <w:r>
              <w:rPr/>
              <w:t>考核基础分为</w:t>
            </w:r>
            <w:r>
              <w:rPr/>
              <w:t>100</w:t>
            </w:r>
            <w:r>
              <w:rPr/>
              <w:t>分，一个周期内扣分累计达到</w:t>
            </w:r>
            <w:r>
              <w:rPr/>
              <w:t>30</w:t>
            </w:r>
            <w:r>
              <w:rPr/>
              <w:t>分及以上，或当期考核分数低于</w:t>
            </w:r>
            <w:r>
              <w:rPr/>
              <w:t>80</w:t>
            </w:r>
            <w:r>
              <w:rPr/>
              <w:t>分，视为不及格。</w:t>
            </w:r>
          </w:p>
          <w:p>
            <w:pPr>
              <w:pStyle w:val="null3"/>
            </w:pPr>
            <w:r>
              <w:rPr/>
              <w:t>中标人</w:t>
            </w:r>
            <w:r>
              <w:rPr/>
              <w:t>未</w:t>
            </w:r>
            <w:r>
              <w:rPr/>
              <w:t>按约定</w:t>
            </w:r>
            <w:r>
              <w:rPr/>
              <w:t>提供服务或</w:t>
            </w:r>
            <w:r>
              <w:rPr/>
              <w:t>当期服务考核不及格的</w:t>
            </w:r>
            <w:r>
              <w:rPr/>
              <w:t>，应按</w:t>
            </w:r>
            <w:r>
              <w:rPr/>
              <w:t>采购人</w:t>
            </w:r>
            <w:r>
              <w:rPr/>
              <w:t>的要求限期整改，逾期未改的，每逾期一天，应按当年度服务总金额的</w:t>
            </w:r>
            <w:r>
              <w:rPr/>
              <w:t>1</w:t>
            </w:r>
            <w:r>
              <w:rPr/>
              <w:t>‰</w:t>
            </w:r>
            <w:r>
              <w:rPr/>
              <w:t>向</w:t>
            </w:r>
            <w:r>
              <w:rPr/>
              <w:t>采购人</w:t>
            </w:r>
            <w:r>
              <w:rPr/>
              <w:t>支付违约金。如若</w:t>
            </w:r>
            <w:r>
              <w:rPr/>
              <w:t>中标人</w:t>
            </w:r>
            <w:r>
              <w:rPr/>
              <w:t>逾期整改的天数超过</w:t>
            </w:r>
            <w:r>
              <w:rPr/>
              <w:t>15</w:t>
            </w:r>
            <w:r>
              <w:rPr/>
              <w:t>天，</w:t>
            </w:r>
            <w:r>
              <w:rPr/>
              <w:t>采购人</w:t>
            </w:r>
            <w:r>
              <w:rPr/>
              <w:t>有权要求</w:t>
            </w:r>
            <w:r>
              <w:rPr/>
              <w:t>中标人</w:t>
            </w:r>
            <w:r>
              <w:rPr/>
              <w:t>按</w:t>
            </w:r>
            <w:r>
              <w:rPr/>
              <w:t>采购人</w:t>
            </w:r>
            <w:r>
              <w:rPr/>
              <w:t>已付服务费总额的</w:t>
            </w:r>
            <w:r>
              <w:rPr/>
              <w:t>10%</w:t>
            </w:r>
            <w:r>
              <w:rPr/>
              <w:t>支付违约金，并责令</w:t>
            </w:r>
            <w:r>
              <w:rPr/>
              <w:t>中标人</w:t>
            </w:r>
            <w:r>
              <w:rPr/>
              <w:t>必须在要求的天数内完成相关整改工作。如若</w:t>
            </w:r>
            <w:r>
              <w:rPr/>
              <w:t>中标人</w:t>
            </w:r>
            <w:r>
              <w:rPr/>
              <w:t>仍未在</w:t>
            </w:r>
            <w:r>
              <w:rPr/>
              <w:t>采购人</w:t>
            </w:r>
            <w:r>
              <w:rPr/>
              <w:t>要求的天数内完成相关整改工作，视为</w:t>
            </w:r>
            <w:r>
              <w:rPr/>
              <w:t>中标人</w:t>
            </w:r>
            <w:r>
              <w:rPr/>
              <w:t>根本性违约，</w:t>
            </w:r>
            <w:r>
              <w:rPr/>
              <w:t>采购人</w:t>
            </w:r>
            <w:r>
              <w:rPr/>
              <w:t>有权单方</w:t>
            </w:r>
            <w:r>
              <w:rPr/>
              <w:t>面</w:t>
            </w:r>
            <w:r>
              <w:rPr/>
              <w:t>即时解除</w:t>
            </w:r>
            <w:r>
              <w:rPr/>
              <w:t>服务</w:t>
            </w:r>
            <w:r>
              <w:rPr/>
              <w:t>合同并要求</w:t>
            </w:r>
            <w:r>
              <w:rPr/>
              <w:t>中标人</w:t>
            </w:r>
            <w:r>
              <w:rPr/>
              <w:t>退回合同</w:t>
            </w:r>
            <w:r>
              <w:rPr/>
              <w:t>已付</w:t>
            </w:r>
            <w:r>
              <w:rPr/>
              <w:t>总金额</w:t>
            </w:r>
            <w:r>
              <w:rPr/>
              <w:t>的</w:t>
            </w:r>
            <w:r>
              <w:rPr/>
              <w:t>100%</w:t>
            </w:r>
            <w:r>
              <w:rPr/>
              <w:t>，</w:t>
            </w:r>
            <w:r>
              <w:rPr/>
              <w:t>并扣除履约保证金</w:t>
            </w:r>
            <w:r>
              <w:rPr/>
              <w:t>。与此同时，如因</w:t>
            </w:r>
            <w:r>
              <w:rPr/>
              <w:t>中标人</w:t>
            </w:r>
            <w:r>
              <w:rPr/>
              <w:t>的违约行为给</w:t>
            </w:r>
            <w:r>
              <w:rPr/>
              <w:t>采购人</w:t>
            </w:r>
            <w:r>
              <w:rPr/>
              <w:t>造成损失，</w:t>
            </w:r>
            <w:r>
              <w:rPr/>
              <w:t>采购人</w:t>
            </w:r>
            <w:r>
              <w:rPr/>
              <w:t>有权另行追究</w:t>
            </w:r>
            <w:r>
              <w:rPr/>
              <w:t>中标人</w:t>
            </w:r>
            <w:r>
              <w:rPr/>
              <w:t>的赔偿责任。</w:t>
            </w:r>
          </w:p>
          <w:p>
            <w:pPr>
              <w:pStyle w:val="null3"/>
              <w:jc w:val="both"/>
            </w:pPr>
            <w:r>
              <w:rPr>
                <w:sz w:val="21"/>
              </w:rPr>
              <w:t>如若</w:t>
            </w:r>
            <w:r>
              <w:rPr>
                <w:sz w:val="21"/>
              </w:rPr>
              <w:t>中标人</w:t>
            </w:r>
            <w:r>
              <w:rPr>
                <w:sz w:val="21"/>
              </w:rPr>
              <w:t>当年年中任何两</w:t>
            </w:r>
            <w:r>
              <w:rPr>
                <w:sz w:val="21"/>
              </w:rPr>
              <w:t>次</w:t>
            </w:r>
            <w:r>
              <w:rPr>
                <w:sz w:val="21"/>
              </w:rPr>
              <w:t>服务</w:t>
            </w:r>
            <w:r>
              <w:rPr>
                <w:sz w:val="21"/>
              </w:rPr>
              <w:t>考核</w:t>
            </w:r>
            <w:r>
              <w:rPr>
                <w:sz w:val="21"/>
              </w:rPr>
              <w:t>评价结果为不合格或当年年终任何三</w:t>
            </w:r>
            <w:r>
              <w:rPr>
                <w:sz w:val="21"/>
              </w:rPr>
              <w:t>次服务考核</w:t>
            </w:r>
            <w:r>
              <w:rPr>
                <w:sz w:val="21"/>
              </w:rPr>
              <w:t>评价结果为不合格，即视为</w:t>
            </w:r>
            <w:r>
              <w:rPr>
                <w:sz w:val="21"/>
              </w:rPr>
              <w:t>中标人</w:t>
            </w:r>
            <w:r>
              <w:rPr>
                <w:sz w:val="21"/>
              </w:rPr>
              <w:t>当年的年中考核或年终验收考核不合格，</w:t>
            </w:r>
            <w:r>
              <w:rPr>
                <w:sz w:val="21"/>
              </w:rPr>
              <w:t>中标人</w:t>
            </w:r>
            <w:r>
              <w:rPr>
                <w:sz w:val="21"/>
              </w:rPr>
              <w:t>有权不予支付当期服务费。</w:t>
            </w:r>
          </w:p>
        </w:tc>
      </w:tr>
      <w:tr>
        <w:tc>
          <w:tcPr>
            <w:tcW w:type="dxa" w:w="2076"/>
          </w:tcPr>
          <w:p>
            <w:pPr>
              <w:pStyle w:val="null3"/>
            </w:pPr>
            <w:r>
              <w:rPr/>
              <w:t>★</w:t>
            </w:r>
          </w:p>
        </w:tc>
        <w:tc>
          <w:tcPr>
            <w:tcW w:type="dxa" w:w="415"/>
          </w:tcPr>
          <w:p>
            <w:pPr>
              <w:pStyle w:val="null3"/>
            </w:pPr>
            <w:r>
              <w:rPr/>
              <w:t>22</w:t>
            </w:r>
          </w:p>
        </w:tc>
        <w:tc>
          <w:tcPr>
            <w:tcW w:type="dxa" w:w="5814"/>
          </w:tcPr>
          <w:p>
            <w:pPr>
              <w:pStyle w:val="null3"/>
              <w:jc w:val="both"/>
            </w:pPr>
            <w:r>
              <w:rPr>
                <w:sz w:val="21"/>
              </w:rPr>
              <w:t>★</w:t>
            </w:r>
            <w:r>
              <w:rPr>
                <w:sz w:val="21"/>
              </w:rPr>
              <w:t>项目平滑过渡要求。本项目属在用系统维护，维护过程需保证原有项目系统服务的持续性。项目维护过渡期间（阶段一：本项目中标之日起合同生效日；阶段二：合同结束前与下一周期运维单位交接完成之前）向用户提供不低于原系统使用水平的全过程服务，满足过渡期间用户的连续使用。</w:t>
            </w:r>
            <w:r>
              <w:rPr>
                <w:sz w:val="21"/>
              </w:rPr>
              <w:t>（提供承诺函，格式自拟）</w:t>
            </w:r>
          </w:p>
          <w:p>
            <w:pPr>
              <w:pStyle w:val="null3"/>
            </w:pPr>
            <w:r>
              <w:rPr/>
              <w:t>★</w:t>
            </w:r>
            <w:r>
              <w:rPr/>
              <w:t>驻场运维工程师资质要求：</w:t>
            </w:r>
            <w:r>
              <w:rPr/>
              <w:t>实际驻场人员应当与响应文件中拟派出驻场人员保持一致，</w:t>
            </w:r>
            <w:r>
              <w:rPr/>
              <w:t>均要求具有服务器、监控对讲报警、机房动环系统、视频会议系统等设备维护经验。如须调整服务团队成员，须书面向采购人提出申请，说明申请理由，经采购人书面同意方可调整团队人员，调入人员的资历和从业经验不低于调出人员，否则视为违约行为，采购人有权终止服务合同。</w:t>
            </w:r>
            <w:r>
              <w:rPr/>
              <w:t>（提供承诺函，格式自拟）</w:t>
            </w:r>
          </w:p>
          <w:p>
            <w:pPr>
              <w:pStyle w:val="null3"/>
              <w:jc w:val="both"/>
            </w:pPr>
            <w:r>
              <w:rPr>
                <w:sz w:val="21"/>
              </w:rPr>
              <w:t>★</w:t>
            </w:r>
            <w:r>
              <w:rPr>
                <w:sz w:val="21"/>
              </w:rPr>
              <w:t>中标人应建立二线技术支撑团队，如系统出现了重大故障、网络安全问题，或其他需现场解决的重大事件，一-线运维人员现场无法解决时，应提供二线技术工程师紧急现场支持</w:t>
            </w:r>
            <w:r>
              <w:rPr>
                <w:sz w:val="21"/>
              </w:rPr>
              <w:t>（</w:t>
            </w:r>
            <w:r>
              <w:rPr>
                <w:sz w:val="21"/>
              </w:rPr>
              <w:t>包含提供特种作业低压电工证和特种作业高处作业证人才支撑服务。</w:t>
            </w:r>
            <w:r>
              <w:rPr>
                <w:sz w:val="21"/>
              </w:rPr>
              <w:t>）</w:t>
            </w:r>
            <w:r>
              <w:rPr>
                <w:sz w:val="21"/>
              </w:rPr>
              <w:t>。紧急现场服务不限时间段，中标人应根据采购人要求随时响应。</w:t>
            </w:r>
            <w:r>
              <w:rPr>
                <w:sz w:val="21"/>
              </w:rPr>
              <w:t>（提供承诺函，格式自拟）</w:t>
            </w:r>
          </w:p>
          <w:p>
            <w:pPr>
              <w:pStyle w:val="null3"/>
              <w:jc w:val="both"/>
            </w:pPr>
            <w:r>
              <w:rPr>
                <w:sz w:val="20"/>
              </w:rPr>
              <w:t>★</w:t>
            </w:r>
            <w:r>
              <w:rPr>
                <w:sz w:val="21"/>
              </w:rPr>
              <w:t>在采购人的办公场所提供驻场服务。未经采购人同意，成交单位不得将服务分包或转包给第三方，也不得将服务外派或请非成交单位员工参与。</w:t>
            </w:r>
          </w:p>
          <w:p>
            <w:pPr>
              <w:pStyle w:val="null3"/>
            </w:pPr>
            <w:r>
              <w:rPr>
                <w:sz w:val="20"/>
              </w:rPr>
              <w:t>★</w:t>
            </w:r>
            <w:r>
              <w:rPr/>
              <w:t>专人驻场服务：法定工作日提供至少</w:t>
            </w:r>
            <w:r>
              <w:rPr/>
              <w:t>1</w:t>
            </w:r>
            <w:r>
              <w:rPr/>
              <w:t>名固定的专业技术员驻场</w:t>
            </w:r>
            <w:r>
              <w:rPr/>
              <w:t>（</w:t>
            </w:r>
            <w:r>
              <w:rPr/>
              <w:t>政务信息化基础设施运维驻场人员</w:t>
            </w:r>
            <w:r>
              <w:rPr/>
              <w:t>不可兼任</w:t>
            </w:r>
            <w:r>
              <w:rPr/>
              <w:t>）</w:t>
            </w:r>
            <w:r>
              <w:rPr/>
              <w:t>，工作时间（</w:t>
            </w:r>
            <w:r>
              <w:rPr/>
              <w:t>8:30-17:30</w:t>
            </w:r>
            <w:r>
              <w:rPr/>
              <w:t>）。值班时间视具体要求确定。如驻场服务人员请假，则由已备案的技术人员代替工作，不允许出现缺岗缺位情况。若驻场人员需要中标方其他技术人员协助工作时，中标人需及时响应并派出额外工程师赶往现场，确保</w:t>
            </w:r>
            <w:r>
              <w:rPr/>
              <w:t>24</w:t>
            </w:r>
            <w:r>
              <w:rPr/>
              <w:t>小时内解决系统技术问题。如果需要调配其他资源，将顺延至下一工作日。</w:t>
            </w:r>
          </w:p>
          <w:p>
            <w:pPr>
              <w:pStyle w:val="null3"/>
            </w:pPr>
            <w:r>
              <w:rPr/>
              <w:t>★</w:t>
            </w:r>
            <w:r>
              <w:rPr/>
              <w:t>服务过程中，</w:t>
            </w:r>
            <w:r>
              <w:rPr/>
              <w:t>实际驻场人员应当与响应文件中拟派出驻场人员保持一致，</w:t>
            </w:r>
            <w:r>
              <w:rPr/>
              <w:t>采购人对驻场服务人员不满意，提出更换驻场服务人员要求，中标人需在</w:t>
            </w:r>
            <w:r>
              <w:rPr/>
              <w:t>3</w:t>
            </w:r>
            <w:r>
              <w:rPr/>
              <w:t>个工作日内无条件更换。如连续更换三次仍不满意，采购人可单方解除合同，并扣除合同履约保证金。</w:t>
            </w:r>
            <w:r>
              <w:rPr/>
              <w:t>（提供承诺函，格式自拟）</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广东省番禺监狱</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金额1000万元以下项目代理服务费参照国家发展计划委印发的（计价格[2002]1980号）、国家发改委印发的（发改办价格[2003]857号）及（发改办价格[2011]534号）文件规定的收费标准收取，中标金额1000万元以上（含）的项目按前述标准下浮30%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关于开展省级政府采购合同融资工作的通知》（粤财采购〔2020〕6号）等。 2、本项目采用远程电子开标，投标人应注意： 1）请供应商按“远程开标”有关要求，在投标截止时间前上传加密的电子投标文件，未按要求上传的将视为自动放弃投标。 2）在投标截止时间前，请各供应商核实并确认填写授权代表的姓名与手机号码，若因填写的授权代表信息有误而导致的不良后果，由供应商自行承担。 3）参与全流程云平台采购项目的供应商登录云平台通过“新开标大厅”进行签到及投标文件的解密。在投标截止时间前30分钟，供应商应当登录云平台开标大厅进行签到，不需要委派代表前往开标现场。若供应商有需要，供应商亦可委派代表携带CA-key、存储有非加密投标文件的U盘及纸质投标文件前往开标现场进行签到、解密。 4）开标时，供应商应当使用编制本项目（采购包）电子投标文件时加密所用数字证书进行解密，解密时限根据开标时现场代理机构人员设置为准，供应商不按要求进行解密，视为无效投标。 5）各供应商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；请各投标人在投标文件递交截止时间前按须知前附表规定的金额递交至</w:t>
      </w:r>
      <w:r>
        <w:rPr/>
        <w:t>广东华伦招标有限公司</w:t>
      </w:r>
      <w:r>
        <w:rPr/>
        <w:t>，到账情况以开标时</w:t>
      </w:r>
      <w:r>
        <w:rPr/>
        <w:t>广东华伦招标有限公司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冉工</w:t>
      </w:r>
    </w:p>
    <w:p>
      <w:pPr>
        <w:pStyle w:val="null3"/>
        <w:ind w:firstLine="480"/>
      </w:pPr>
      <w:r>
        <w:rPr/>
        <w:t>电话：</w:t>
      </w:r>
      <w:r>
        <w:rPr/>
        <w:t>020-83172166-848</w:t>
      </w:r>
    </w:p>
    <w:p>
      <w:pPr>
        <w:pStyle w:val="null3"/>
        <w:ind w:firstLine="480"/>
      </w:pPr>
      <w:r>
        <w:rPr/>
        <w:t>传真：</w:t>
      </w:r>
      <w:r>
        <w:rPr/>
        <w:t>020-83172223</w:t>
      </w:r>
    </w:p>
    <w:p>
      <w:pPr>
        <w:pStyle w:val="null3"/>
        <w:ind w:firstLine="480"/>
      </w:pPr>
      <w:r>
        <w:rPr/>
        <w:t>邮箱：</w:t>
      </w:r>
      <w:r>
        <w:rPr/>
        <w:t>hualunsibu@163.com</w:t>
      </w:r>
    </w:p>
    <w:p>
      <w:pPr>
        <w:pStyle w:val="null3"/>
        <w:ind w:firstLine="480"/>
      </w:pPr>
      <w:r>
        <w:rPr/>
        <w:t>地址：</w:t>
      </w:r>
      <w:r>
        <w:rPr/>
        <w:t>广州市越秀区广仁路1号广仁大厦7楼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番禺监狱（2025年度）政务信息化基础设施运维项目及办公设备桌面运维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采购包1（广东省番禺监狱（2025年度）政务信息化基础设施运维项目及办公设备桌面运维服务项目）：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采购包1（广东省番禺监狱（2025年度）政务信息化基础设施运维项目及办公设备桌面运维服务项目）：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或基本存款账户行）出具的资信证明，或最近一期财务报表（适用在上一年度或本财务年度成立的法人或其他组织），或人民银行出具的个人信用报告（适用于自然人）。</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提供投标（响应）截止日前6个月内任意1个月依法缴纳税收和社会保障资金的相关材料。如依法免税或不需要缴纳社会保障资金的，提供相应证明材料。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按投标（响应）文件格式和相关承诺要求内容提供《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响应）。为本项目提供整体设计、规范编制或者项目管理、监理、检测等服务的供应商，不得再参与本项目投标（响应）。按投标（响应）文件格式和相关承诺要求内容提供《投标函》。</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服务）》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采购包1（广东省番禺监狱（2025年度）政务信息化基础设施运维项目及办公设备桌面运维服务项目）：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投标保证金（若要求）</w:t>
            </w:r>
          </w:p>
        </w:tc>
        <w:tc>
          <w:tcPr>
            <w:tcW w:type="dxa" w:w="4238"/>
          </w:tcPr>
          <w:p>
            <w:pPr>
              <w:pStyle w:val="null3"/>
            </w:pPr>
            <w:r>
              <w:rPr/>
              <w:t>按招标文件规定的金额和办法缴纳了投标保证金。</w:t>
            </w:r>
          </w:p>
        </w:tc>
      </w:tr>
      <w:tr>
        <w:tc>
          <w:tcPr>
            <w:tcW w:type="dxa" w:w="890"/>
          </w:tcPr>
          <w:p>
            <w:pPr>
              <w:pStyle w:val="null3"/>
            </w:pPr>
            <w:r>
              <w:rPr/>
              <w:t>2</w:t>
            </w:r>
          </w:p>
        </w:tc>
        <w:tc>
          <w:tcPr>
            <w:tcW w:type="dxa" w:w="3178"/>
          </w:tcPr>
          <w:p>
            <w:pPr>
              <w:pStyle w:val="null3"/>
            </w:pPr>
            <w:r>
              <w:rPr/>
              <w:t>法定代表人/负责人资格证明书及授权委托书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“★”号条款响应</w:t>
            </w:r>
          </w:p>
        </w:tc>
        <w:tc>
          <w:tcPr>
            <w:tcW w:type="dxa" w:w="4238"/>
          </w:tcPr>
          <w:p>
            <w:pPr>
              <w:pStyle w:val="null3"/>
            </w:pPr>
            <w:r>
              <w:rPr/>
              <w:t>实质性响应招标文件中“★”号条款要求。</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 （3）如有，对评标委员会按照招标文件规定修正后的投标报价，投标人按规定书面确认； （4）如评标委员会认为投标人的报价明显低于（总价或折扣率报价时）或高于（优惠率或下浮率报价时）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未发现存在如下其他无效投标情形之一： （1）评审期间，供应商没有按评标委员会的要求提交有效的澄清、说明、补正，或提交的澄清、说明、补正改变了投标文件的实质性内容； （2）招标文件中规定的其他无效投标情形； （3）法律法规规定属于投标无效的其他情形。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采购包1(广东省番禺监狱（2025年度）政务信息化基础设施运维项目及办公设备桌面运维服务项目):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机房基础环境运行维护方案 (8.0分)</w:t>
            </w:r>
          </w:p>
        </w:tc>
        <w:tc>
          <w:tcPr>
            <w:tcW w:type="dxa" w:w="5076"/>
          </w:tcPr>
          <w:p>
            <w:pPr>
              <w:pStyle w:val="null3"/>
              <w:jc w:val="left"/>
            </w:pPr>
            <w:r>
              <w:rPr/>
              <w:t>对采购文件“第二章采购需求”中的“一、项目概况”中“7、政务信息化基础设施运维项目服务内容及设备维护清单进行响应，并提供机房基础设施运行维护方案，根据各供应商的响应情况及方案进行综合评分，其中： 1.完全响应对应章节内容、方案内容全面，完全满足或优于采购需求，得8分； 2.完全响应对应章节内容、方案内容全面，基本满足采购需求，得5分； 3.存在负偏离或未响应对应章节内容的或方案不能满足采购需求，得2分； 4.未提供响应表或方案的不得分。 注：须提供《技术和服务要求响应表》及方案，响应表中未注明偏离情况视为未响应。</w:t>
            </w:r>
          </w:p>
        </w:tc>
      </w:tr>
      <w:tr>
        <w:tc>
          <w:tcPr>
            <w:tcW w:type="dxa" w:w="922"/>
            <w:gridSpan w:val="2"/>
            <w:vMerge/>
          </w:tcPr>
          <w:p/>
        </w:tc>
        <w:tc>
          <w:tcPr>
            <w:tcW w:type="dxa" w:w="2307"/>
          </w:tcPr>
          <w:p>
            <w:pPr>
              <w:pStyle w:val="null3"/>
              <w:jc w:val="left"/>
            </w:pPr>
            <w:r>
              <w:rPr/>
              <w:t>硬件设备系统的运行维护方案 (7.0分)</w:t>
            </w:r>
          </w:p>
        </w:tc>
        <w:tc>
          <w:tcPr>
            <w:tcW w:type="dxa" w:w="5076"/>
          </w:tcPr>
          <w:p>
            <w:pPr>
              <w:pStyle w:val="null3"/>
              <w:jc w:val="left"/>
            </w:pPr>
            <w:r>
              <w:rPr/>
              <w:t>对采购文件“第二章采购需求”中的“一、项目概况”中“7、政务信息化基础设施运维项目服务内容及设备维护清单进行响应，并提供硬件设备系统运行维护方案，根据各供应商的响应情况及方案进行综合评分，其中： 1.完全响应对应章节内容、方案内容全面，完全满足或优于采购需求，得7分； 2.完全响应对应章节内容、方案内容全面，基本满足采购需求，得5分； 3.存在负偏离或未响应对应章节内容的或方案不能满足采购需求，得2分； 4.未提供响应表或方案的不得分。 注：须提供《技术和服务要求响应表》及方案，响应表中未注明偏离情况视为未响应。</w:t>
            </w:r>
          </w:p>
        </w:tc>
      </w:tr>
      <w:tr>
        <w:tc>
          <w:tcPr>
            <w:tcW w:type="dxa" w:w="922"/>
            <w:gridSpan w:val="2"/>
            <w:vMerge/>
          </w:tcPr>
          <w:p/>
        </w:tc>
        <w:tc>
          <w:tcPr>
            <w:tcW w:type="dxa" w:w="2307"/>
          </w:tcPr>
          <w:p>
            <w:pPr>
              <w:pStyle w:val="null3"/>
              <w:jc w:val="left"/>
            </w:pPr>
            <w:r>
              <w:rPr/>
              <w:t>运维管理制度 (5.0分)</w:t>
            </w:r>
          </w:p>
        </w:tc>
        <w:tc>
          <w:tcPr>
            <w:tcW w:type="dxa" w:w="5076"/>
          </w:tcPr>
          <w:p>
            <w:pPr>
              <w:pStyle w:val="null3"/>
              <w:jc w:val="left"/>
            </w:pPr>
            <w:r>
              <w:rPr/>
              <w:t>对采购文件“第二章采购需求”中的“附表一：政务信息化基础设施运维”的“1.总体要求”中“第（3）项”进行响应，并提供服务方案、管理制度、岗位职责、奖惩制度和工作计划，根据各供应商的响应情况及方案进行综合评分，其中： 1.完全响应对应章节内容、方案内容全面，完全满足或优于采购需求，得5分； 2.完全响应对应章节内容、方案内容全面，基本满足采购需求，得3分； 3.存在负偏离或未响应对应章节内容的或方案不能满足采购需求，得1分； 4.未提供响应表或方案的不得分。 注：须提供《技术和服务要求响应表》及方案，响应表中未注明偏离情况视为未响应。</w:t>
            </w:r>
          </w:p>
        </w:tc>
      </w:tr>
      <w:tr>
        <w:tc>
          <w:tcPr>
            <w:tcW w:type="dxa" w:w="922"/>
            <w:gridSpan w:val="2"/>
            <w:vMerge/>
          </w:tcPr>
          <w:p/>
        </w:tc>
        <w:tc>
          <w:tcPr>
            <w:tcW w:type="dxa" w:w="2307"/>
          </w:tcPr>
          <w:p>
            <w:pPr>
              <w:pStyle w:val="null3"/>
              <w:jc w:val="left"/>
            </w:pPr>
            <w:r>
              <w:rPr/>
              <w:t>项目平滑过渡方案 (5.0分)</w:t>
            </w:r>
          </w:p>
        </w:tc>
        <w:tc>
          <w:tcPr>
            <w:tcW w:type="dxa" w:w="5076"/>
          </w:tcPr>
          <w:p>
            <w:pPr>
              <w:pStyle w:val="null3"/>
              <w:jc w:val="left"/>
            </w:pPr>
            <w:r>
              <w:rPr/>
              <w:t>对采购文件“第二章采购需求”中的“附表一：政务信息化基础设施运维”的“1.总体要求”中“第（7）项”、办公设备桌面运维服务”的“7.其它要求”中“第（3）项”进行响应，并提供项目平滑过渡方案，根据各供应商的响应情况及方案进行综合评分，其中： 1.完全响应对应章节内容、方案内容全面，完全满足或优于采购需求，得5分； 2.完全响应对应章节内容、方案内容全面，基本满足采购需求，得3分； 3.存在负偏离或未响应对应章节内容的或方案不能满足采购需求，得1分； 4.未提供响应表或方案的不得分。 注：须提供《技术和服务要求响应表》及方案，响应表中未注明偏离情况视为未响应。</w:t>
            </w:r>
          </w:p>
        </w:tc>
      </w:tr>
      <w:tr>
        <w:tc>
          <w:tcPr>
            <w:tcW w:type="dxa" w:w="922"/>
            <w:gridSpan w:val="2"/>
            <w:vMerge/>
          </w:tcPr>
          <w:p/>
        </w:tc>
        <w:tc>
          <w:tcPr>
            <w:tcW w:type="dxa" w:w="2307"/>
          </w:tcPr>
          <w:p>
            <w:pPr>
              <w:pStyle w:val="null3"/>
              <w:jc w:val="left"/>
            </w:pPr>
            <w:r>
              <w:rPr/>
              <w:t>保障信息安全方案 (5.0分)</w:t>
            </w:r>
          </w:p>
        </w:tc>
        <w:tc>
          <w:tcPr>
            <w:tcW w:type="dxa" w:w="5076"/>
          </w:tcPr>
          <w:p>
            <w:pPr>
              <w:pStyle w:val="null3"/>
              <w:jc w:val="left"/>
            </w:pPr>
            <w:r>
              <w:rPr/>
              <w:t>对采购文件“第二章采购需求”中的“附表一：政务信息化基础设施运维”的“7.安全要求”进行响应，并提供项目信息安全方案，根据各供应商的响应情况及方案进行综合评分，其中： 1.完全响应对应章节内容、方案内容全面，完全满足或优于采购需求，得5分； 2.完全响应对应章节内容、方案内容全面，基本满足采购需求，得3分； 3.存在负偏离或未响应对应章节内容的或方案不能满足采购需求，得1分； 4.未提供响应表或方案的不得分。 注：须提供《技术和服务要求响应表》及方案，响应表中未注明偏离情况视为未响应。</w:t>
            </w:r>
          </w:p>
        </w:tc>
      </w:tr>
      <w:tr>
        <w:tc>
          <w:tcPr>
            <w:tcW w:type="dxa" w:w="922"/>
            <w:gridSpan w:val="2"/>
            <w:vMerge/>
          </w:tcPr>
          <w:p/>
        </w:tc>
        <w:tc>
          <w:tcPr>
            <w:tcW w:type="dxa" w:w="2307"/>
          </w:tcPr>
          <w:p>
            <w:pPr>
              <w:pStyle w:val="null3"/>
              <w:jc w:val="left"/>
            </w:pPr>
            <w:r>
              <w:rPr/>
              <w:t>文档管理方案 (5.0分)</w:t>
            </w:r>
          </w:p>
        </w:tc>
        <w:tc>
          <w:tcPr>
            <w:tcW w:type="dxa" w:w="5076"/>
          </w:tcPr>
          <w:p>
            <w:pPr>
              <w:pStyle w:val="null3"/>
              <w:jc w:val="left"/>
            </w:pPr>
            <w:r>
              <w:rPr/>
              <w:t>对采购文件“第二章采购需求”中的“附表一：政务信息化基础设施运维”的“8.文档要求”进行响应，并提供项目文档管理方案，根据各供应商的响应情况及方案进行综合评分，其中： 1.完全响应对应章节内容、方案内容全面，完全满足或优于采购需求，得5分； 2.完全响应对应章节内容、方案内容全面，基本满足采购需求，得3分； 3.存在负偏离或未响应对应章节内容的或方案不能满足采购需求，得1分； 4.未提供响应表或方案的不得分。 注：须提供《技术和服务要求响应表》及方案，响应表中未注明偏离情况视为未响应。</w:t>
            </w:r>
          </w:p>
        </w:tc>
      </w:tr>
      <w:tr>
        <w:tc>
          <w:tcPr>
            <w:tcW w:type="dxa" w:w="922"/>
            <w:gridSpan w:val="2"/>
            <w:vMerge/>
          </w:tcPr>
          <w:p/>
        </w:tc>
        <w:tc>
          <w:tcPr>
            <w:tcW w:type="dxa" w:w="2307"/>
          </w:tcPr>
          <w:p>
            <w:pPr>
              <w:pStyle w:val="null3"/>
              <w:jc w:val="left"/>
            </w:pPr>
            <w:r>
              <w:rPr/>
              <w:t>人员培训方案 (5.0分)</w:t>
            </w:r>
          </w:p>
        </w:tc>
        <w:tc>
          <w:tcPr>
            <w:tcW w:type="dxa" w:w="5076"/>
          </w:tcPr>
          <w:p>
            <w:pPr>
              <w:pStyle w:val="null3"/>
              <w:jc w:val="left"/>
            </w:pPr>
            <w:r>
              <w:rPr/>
              <w:t>对采购文件“第二章采购需求”中的“附表一：政务信息化基础设施运维”的“10.人员培训要求”进行响应，并提供培训方案，根据各供应商的响应情况及方案进行综合评分，其中： 1.完全响应对应章节内容、方案内容全面，完全满足或优于采购需求，得5分； 2.完全响应对应章节内容、方案内容全面，基本满足采购需求，得3分； 3.存在负偏离或未响应对应章节内容的或方案不能满足采购需求，得1分； 4.未提供响应表或方案的不得分。 注：须提供《技术和服务要求响应表》及方案，响应表中未注明偏离情况视为未响应。</w:t>
            </w:r>
          </w:p>
        </w:tc>
      </w:tr>
      <w:tr>
        <w:tc>
          <w:tcPr>
            <w:tcW w:type="dxa" w:w="922"/>
            <w:gridSpan w:val="2"/>
            <w:vMerge/>
          </w:tcPr>
          <w:p/>
        </w:tc>
        <w:tc>
          <w:tcPr>
            <w:tcW w:type="dxa" w:w="2307"/>
          </w:tcPr>
          <w:p>
            <w:pPr>
              <w:pStyle w:val="null3"/>
              <w:jc w:val="left"/>
            </w:pPr>
            <w:r>
              <w:rPr/>
              <w:t>办公设备桌面设备运维维护方案 (5.0分)</w:t>
            </w:r>
          </w:p>
        </w:tc>
        <w:tc>
          <w:tcPr>
            <w:tcW w:type="dxa" w:w="5076"/>
          </w:tcPr>
          <w:p>
            <w:pPr>
              <w:pStyle w:val="null3"/>
              <w:jc w:val="left"/>
            </w:pPr>
            <w:r>
              <w:rPr/>
              <w:t>对采购文件“第二章采购需求”中的“一、项目概况”中“8.办公设备桌面运维服务项目服务范围及现存维护设备清单”进行响应，并提供办公设备运行维护方案，根据各供应商的响应情况及方案进行综合评分，其中： 1.完全响应对应章节内容、方案内容全面，完全满足或优于采购需求，得5分； 2.完全响应对应章节内容、方案内容全面，基本满足采购需求，得3分； 3.存在负偏离或未响应对应章节内容的或方案不能满足采购需求，得1分； 4.未提供响应表或方案的不得分。 注：须提供《技术和服务要求响应表》及方案，响应表中未注明偏离情况视为未响应。</w:t>
            </w:r>
          </w:p>
        </w:tc>
      </w:tr>
      <w:tr>
        <w:tc>
          <w:tcPr>
            <w:tcW w:type="dxa" w:w="922"/>
            <w:gridSpan w:val="2"/>
            <w:vMerge/>
          </w:tcPr>
          <w:p/>
        </w:tc>
        <w:tc>
          <w:tcPr>
            <w:tcW w:type="dxa" w:w="2307"/>
          </w:tcPr>
          <w:p>
            <w:pPr>
              <w:pStyle w:val="null3"/>
              <w:jc w:val="left"/>
            </w:pPr>
            <w:r>
              <w:rPr/>
              <w:t>备品备件管理方案 (5.0分)</w:t>
            </w:r>
          </w:p>
        </w:tc>
        <w:tc>
          <w:tcPr>
            <w:tcW w:type="dxa" w:w="5076"/>
          </w:tcPr>
          <w:p>
            <w:pPr>
              <w:pStyle w:val="null3"/>
              <w:jc w:val="left"/>
            </w:pPr>
            <w:r>
              <w:rPr/>
              <w:t>对采购文件“第二章采购需求”中的“附表一：政务信息化基础设施运维”的“6.备件要求”和对采购文件“第二章采购需求”中的“办公设备桌面运维服务”的“6.采购配件要求”，并提供备品备件管理方案，根据各供应商的响应情况及方案进行综合评分，其中： 1.完全响应对应章节内容、方案内容全面，完全满足或优于采购需求，得5分； 2.完全响应对应章节内容、方案内容全面，基本满足采购需求，得3分； 3.存在负偏离或未响应对应章节内容的或方案不能满足采购需求，得1分； 4.未提供响应表或方案的不得分。 注：须提供《技术和服务要求响应表》及方案，响应表中未注明偏离情况视为未响应。</w:t>
            </w:r>
          </w:p>
        </w:tc>
      </w:tr>
      <w:tr>
        <w:tc>
          <w:tcPr>
            <w:tcW w:type="dxa" w:w="922"/>
            <w:gridSpan w:val="2"/>
            <w:vMerge/>
          </w:tcPr>
          <w:p/>
        </w:tc>
        <w:tc>
          <w:tcPr>
            <w:tcW w:type="dxa" w:w="2307"/>
          </w:tcPr>
          <w:p>
            <w:pPr>
              <w:pStyle w:val="null3"/>
              <w:jc w:val="left"/>
            </w:pPr>
            <w:r>
              <w:rPr/>
              <w:t>支撑运维服务工具软件 (5.0分)</w:t>
            </w:r>
          </w:p>
        </w:tc>
        <w:tc>
          <w:tcPr>
            <w:tcW w:type="dxa" w:w="5076"/>
          </w:tcPr>
          <w:p>
            <w:pPr>
              <w:pStyle w:val="null3"/>
              <w:jc w:val="left"/>
            </w:pPr>
            <w:r>
              <w:rPr/>
              <w:t>根据投标人为保障运维服务，考察投标人具有的运维服务工具软件情况，此项5分。 ①具有2个及以上投标人自主或非投标人自主运维服务工具，得5分，具有1个投标人自主运维服务工具的，得2.5分； ②不具有运维服务工具的，不得分。 注：提供以上服务工具软件著作权证书证明文件并加盖公章。（提供的服务工具非投标人自主所有的，需额外提供投标人与服务工具所有人签订的购买合同或租赁合同或其他相关证明材料，并加盖公章）。如未按要求提供证明材料，视为该证明材料无效。提供上述多个同类的软件著作权证书，均不重复计算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供应商综合实力 (9.0分)</w:t>
            </w:r>
          </w:p>
        </w:tc>
        <w:tc>
          <w:tcPr>
            <w:tcW w:type="dxa" w:w="5076"/>
          </w:tcPr>
          <w:p>
            <w:pPr>
              <w:pStyle w:val="null3"/>
              <w:jc w:val="left"/>
            </w:pPr>
            <w:r>
              <w:rPr/>
              <w:t>评分内容： 1.投标人具备有效的质量管理体系认证证书，得3分； 2.投标人具备有效的职业健康安全管理体系认证证书，得3分； 3.投标人具备有效的环境管理体系认证证书，得3分； （二）评分依据： 1.要求提供有效的认证证书作为得分依据。 2.以上资料均要求提供扫描件（或官方网站截图）。评分中出现无证明资料或专家无法凭所提供资料判断是否得分的情况，一律作不得分处理。 【注：（1）提供有效期内的：①认证证书复印件、②在国家认监委网站（网址：http://www.cnca.gov.cn/）对证书的信息查询截图作为评审依据（以http://www.cnca.gov.cn/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项目经理资质 (5.0分)</w:t>
            </w:r>
          </w:p>
        </w:tc>
        <w:tc>
          <w:tcPr>
            <w:tcW w:type="dxa" w:w="5076"/>
          </w:tcPr>
          <w:p>
            <w:pPr>
              <w:pStyle w:val="null3"/>
              <w:jc w:val="left"/>
            </w:pPr>
            <w:r>
              <w:rPr/>
              <w:t>投标人拟安排投入本项目的项目经理（1名）应具备信息化工作经验（工作经验须提供投标单位盖章的个人工作履历），在满足信息化工作经验的基础上，要求如下： 1、具备计算机类专业学历证书，学历为本科及以上，得1分； 2、具有信息系统项目管理师证书，得2分； 3、具有5年以上信息化项目管理经验，得2分。 注：（1）以上资质均需提供有效证书复印并加盖公章，未提交的不得分；（2）除提供以上证明材料外还需提供以上人员的相关证书及投标截止前三个月内任意一个月由响应供应商缴纳的社保缴交凭证，凭证须由社保部门加盖业务专用章或提供劳动合同。无或未按要求提供证明材料不得分。（3）项目经理需由投标人单位配备，否则不予认定。</w:t>
            </w:r>
          </w:p>
        </w:tc>
      </w:tr>
      <w:tr>
        <w:tc>
          <w:tcPr>
            <w:tcW w:type="dxa" w:w="922"/>
            <w:gridSpan w:val="2"/>
            <w:vMerge/>
          </w:tcPr>
          <w:p/>
        </w:tc>
        <w:tc>
          <w:tcPr>
            <w:tcW w:type="dxa" w:w="2307"/>
          </w:tcPr>
          <w:p>
            <w:pPr>
              <w:pStyle w:val="null3"/>
              <w:jc w:val="left"/>
            </w:pPr>
            <w:r>
              <w:rPr/>
              <w:t>驻场人员资质 (10.0分)</w:t>
            </w:r>
          </w:p>
        </w:tc>
        <w:tc>
          <w:tcPr>
            <w:tcW w:type="dxa" w:w="5076"/>
          </w:tcPr>
          <w:p>
            <w:pPr>
              <w:pStyle w:val="null3"/>
              <w:jc w:val="left"/>
            </w:pPr>
            <w:r>
              <w:rPr/>
              <w:t>驻场人员为投标人需投入满足采购需求服务人员要求的驻场服务团队人员（不包含项目经理、二线技术人员），共5人。 1、驻场人员每人具有计算机相关专业大专或以上学历每个得0.5分，满分2.5分。 2、驻场人员每人具有三年信息化运维工作经验或以上每个得0.7分，满分3.5分。（工作经验须提供投标单位盖章的个人工作履历） 3、桌面运维项目驻场人员具有三年打印机维修经验或以上，得2分。（工作经验须提供投标单位盖章的个人工作履历） 4、具备计算机硬件工程师证书，得0.5分；具备系统集成项目管理工程师证书，得0.5分；具备网络工程师证书，得0.5分；具备信息系统管理工程师证书，得0.5分。上述一人具备多个证书，或多人具备同一证书，均不可重复得分。满分2分。 注：（1）以上资质均需提供有效证书复印并加盖公章，未提交的不得分；（2）除提供以上证明材料外，还需提供以上人员的相关证书及投标截止前三个月内任意一个月由响应供应商缴纳的社保缴交凭证，凭证须由社保部门加盖业务专用章或提供劳动合同。无或未按要求提供证明材料不得分。</w:t>
            </w:r>
          </w:p>
        </w:tc>
      </w:tr>
      <w:tr>
        <w:tc>
          <w:tcPr>
            <w:tcW w:type="dxa" w:w="922"/>
            <w:gridSpan w:val="2"/>
            <w:vMerge/>
          </w:tcPr>
          <w:p/>
        </w:tc>
        <w:tc>
          <w:tcPr>
            <w:tcW w:type="dxa" w:w="2307"/>
          </w:tcPr>
          <w:p>
            <w:pPr>
              <w:pStyle w:val="null3"/>
              <w:jc w:val="left"/>
            </w:pPr>
            <w:r>
              <w:rPr/>
              <w:t>二线人员，供应商服务团队资质 (5.0分)</w:t>
            </w:r>
          </w:p>
        </w:tc>
        <w:tc>
          <w:tcPr>
            <w:tcW w:type="dxa" w:w="5076"/>
          </w:tcPr>
          <w:p>
            <w:pPr>
              <w:pStyle w:val="null3"/>
              <w:jc w:val="left"/>
            </w:pPr>
            <w:r>
              <w:rPr/>
              <w:t>二线人员为二线服务团队人员（不包含项目经理、驻场服务技术人员）。 1、具备网络工程师证书，得1分；具备系统集成项目管理工程师证书，得1分；具备计算机硬件工程师证书，得1分；具备信息系统管理工程师证书，得1分；具有信息系统项目管理师证书，得1分。满分5分。 注：（1）以上资质均需提供有效证书复印并加盖公章，未提交的不得分；（2）除提供以上证明材料外，还需提供以上人员的相关证书及投标截止前三个月内任意一个月由响应供应商缴纳的社保缴交凭证，凭证须由社保部门加盖业务专用章或提供劳动合同。无或未按要求提供证明材料不得分。</w:t>
            </w:r>
          </w:p>
        </w:tc>
      </w:tr>
      <w:tr>
        <w:tc>
          <w:tcPr>
            <w:tcW w:type="dxa" w:w="922"/>
            <w:gridSpan w:val="2"/>
            <w:vMerge/>
          </w:tcPr>
          <w:p/>
        </w:tc>
        <w:tc>
          <w:tcPr>
            <w:tcW w:type="dxa" w:w="2307"/>
          </w:tcPr>
          <w:p>
            <w:pPr>
              <w:pStyle w:val="null3"/>
              <w:jc w:val="left"/>
            </w:pPr>
            <w:r>
              <w:rPr/>
              <w:t>同类项目案例 (6.0分)</w:t>
            </w:r>
          </w:p>
        </w:tc>
        <w:tc>
          <w:tcPr>
            <w:tcW w:type="dxa" w:w="5076"/>
          </w:tcPr>
          <w:p>
            <w:pPr>
              <w:pStyle w:val="null3"/>
              <w:jc w:val="left"/>
            </w:pPr>
            <w:r>
              <w:rPr/>
              <w:t>响应供应商具有2021年1月1日（以合同签订时间为准）以来项目业绩经验（至少包含信息化运维服务项目或办公设备桌面运维项目内容），每提供一个得1.2分，本项最高得6分。提供合同关键页（关键页包括合同首页、含标的内容页、落款盖章页）进行评审，分支机构投标的，总公司（总所）业绩可纳入评审。如未按要求提供证明材料，视为该证明材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pPr>
      <w:r>
        <w:rPr>
          <w:sz w:val="32"/>
          <w:b/>
          <w:color w:val="000000"/>
        </w:rPr>
        <w:t>广东省番禺监狱（</w:t>
      </w:r>
      <w:r>
        <w:rPr>
          <w:sz w:val="32"/>
          <w:b/>
          <w:color w:val="000000"/>
        </w:rPr>
        <w:t>2025</w:t>
      </w:r>
      <w:r>
        <w:rPr>
          <w:sz w:val="32"/>
          <w:b/>
          <w:color w:val="000000"/>
        </w:rPr>
        <w:t>年度）政务信息化基础设施运维项目</w:t>
      </w:r>
    </w:p>
    <w:p>
      <w:pPr>
        <w:pStyle w:val="null3"/>
        <w:jc w:val="center"/>
      </w:pPr>
      <w:r>
        <w:rPr>
          <w:sz w:val="32"/>
          <w:b/>
        </w:rPr>
        <w:t>合同书</w:t>
      </w:r>
    </w:p>
    <w:tbl>
      <w:tblPr>
        <w:tblW w:w="0" w:type="auto"/>
        <w:tblBorders>
          <w:top w:val="none" w:color="000000" w:sz="4"/>
          <w:left w:val="none" w:color="000000" w:sz="4"/>
          <w:bottom w:val="none" w:color="000000" w:sz="4"/>
          <w:right w:val="none" w:color="000000" w:sz="4"/>
          <w:insideH w:val="none"/>
          <w:insideV w:val="none"/>
        </w:tblBorders>
      </w:tblPr>
      <w:tblGrid>
        <w:gridCol w:w="4094"/>
        <w:gridCol w:w="6273"/>
      </w:tblGrid>
      <w:tr>
        <w:tc>
          <w:tcPr>
            <w:tcW w:type="dxa" w:w="40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center"/>
            </w:pPr>
            <w:r>
              <w:rPr>
                <w:sz w:val="24"/>
              </w:rPr>
              <w:t>项目名称</w:t>
            </w:r>
            <w:r>
              <w:rPr>
                <w:sz w:val="21"/>
              </w:rPr>
              <w:t xml:space="preserve">     </w:t>
            </w:r>
            <w:r>
              <w:rPr>
                <w:sz w:val="24"/>
              </w:rPr>
              <w:t>：</w:t>
            </w:r>
          </w:p>
        </w:tc>
        <w:tc>
          <w:tcPr>
            <w:tcW w:type="dxa" w:w="6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广东省番禺监狱（</w:t>
            </w:r>
            <w:r>
              <w:rPr>
                <w:sz w:val="24"/>
              </w:rPr>
              <w:t>2025</w:t>
            </w:r>
            <w:r>
              <w:rPr>
                <w:sz w:val="24"/>
              </w:rPr>
              <w:t>年度）政务信息化基础设施运维项目</w:t>
            </w:r>
          </w:p>
        </w:tc>
      </w:tr>
      <w:tr>
        <w:tc>
          <w:tcPr>
            <w:tcW w:type="dxa" w:w="40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both"/>
            </w:pPr>
            <w:r>
              <w:rPr>
                <w:sz w:val="24"/>
              </w:rPr>
              <w:t>委托方（甲方）：</w:t>
            </w:r>
          </w:p>
        </w:tc>
        <w:tc>
          <w:tcPr>
            <w:tcW w:type="dxa" w:w="6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广东省</w:t>
            </w:r>
            <w:r>
              <w:rPr>
                <w:sz w:val="24"/>
              </w:rPr>
              <w:t>番禺</w:t>
            </w:r>
            <w:r>
              <w:rPr>
                <w:sz w:val="24"/>
              </w:rPr>
              <w:t>监狱</w:t>
            </w:r>
          </w:p>
        </w:tc>
      </w:tr>
      <w:tr>
        <w:tc>
          <w:tcPr>
            <w:tcW w:type="dxa" w:w="40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both"/>
            </w:pPr>
            <w:r>
              <w:rPr>
                <w:sz w:val="24"/>
              </w:rPr>
              <w:t>受托方（乙方）：</w:t>
            </w:r>
          </w:p>
        </w:tc>
        <w:tc>
          <w:tcPr>
            <w:tcW w:type="dxa" w:w="6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0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1"/>
              </w:rPr>
              <w:t xml:space="preserve"> </w:t>
            </w:r>
            <w:r>
              <w:rPr>
                <w:sz w:val="24"/>
              </w:rPr>
              <w:t xml:space="preserve">    </w:t>
            </w:r>
            <w:r>
              <w:rPr>
                <w:sz w:val="24"/>
              </w:rPr>
              <w:t>：</w:t>
            </w:r>
          </w:p>
        </w:tc>
        <w:tc>
          <w:tcPr>
            <w:tcW w:type="dxa" w:w="6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年</w:t>
            </w:r>
            <w:r>
              <w:rPr>
                <w:sz w:val="21"/>
              </w:rPr>
              <w:t xml:space="preserve">  </w:t>
            </w:r>
            <w:r>
              <w:rPr>
                <w:sz w:val="24"/>
              </w:rPr>
              <w:t>月</w:t>
            </w:r>
          </w:p>
        </w:tc>
      </w:tr>
      <w:tr>
        <w:tc>
          <w:tcPr>
            <w:tcW w:type="dxa" w:w="40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both"/>
            </w:pPr>
            <w:r>
              <w:rPr>
                <w:sz w:val="24"/>
              </w:rPr>
              <w:t>签订地点</w:t>
            </w:r>
            <w:r>
              <w:rPr>
                <w:sz w:val="21"/>
              </w:rPr>
              <w:t xml:space="preserve"> </w:t>
            </w:r>
            <w:r>
              <w:rPr>
                <w:sz w:val="24"/>
              </w:rPr>
              <w:t xml:space="preserve">    </w:t>
            </w:r>
            <w:r>
              <w:rPr>
                <w:sz w:val="24"/>
              </w:rPr>
              <w:t>：</w:t>
            </w:r>
          </w:p>
        </w:tc>
        <w:tc>
          <w:tcPr>
            <w:tcW w:type="dxa" w:w="6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广东</w:t>
            </w:r>
            <w:r>
              <w:rPr>
                <w:sz w:val="24"/>
              </w:rPr>
              <w:t>省</w:t>
            </w:r>
            <w:r>
              <w:rPr>
                <w:sz w:val="21"/>
              </w:rPr>
              <w:t xml:space="preserve"> </w:t>
            </w:r>
            <w:r>
              <w:rPr>
                <w:sz w:val="24"/>
              </w:rPr>
              <w:t xml:space="preserve">  </w:t>
            </w:r>
            <w:r>
              <w:rPr>
                <w:sz w:val="24"/>
              </w:rPr>
              <w:t>市</w:t>
            </w:r>
            <w:r>
              <w:rPr>
                <w:sz w:val="24"/>
              </w:rPr>
              <w:t xml:space="preserve">   </w:t>
            </w:r>
            <w:r>
              <w:rPr>
                <w:sz w:val="24"/>
              </w:rPr>
              <w:t>区</w:t>
            </w:r>
          </w:p>
        </w:tc>
      </w:tr>
    </w:tbl>
    <w:p>
      <w:pPr>
        <w:pStyle w:val="null3"/>
        <w:numPr>
          <w:ilvl w:val="0"/>
          <w:numId w:val="1"/>
        </w:numPr>
        <w:jc w:val="both"/>
      </w:pPr>
      <w:r>
        <w:rPr>
          <w:sz w:val="36"/>
          <w:b/>
        </w:rPr>
        <w:t>服务内容及服务期限</w:t>
      </w:r>
    </w:p>
    <w:p>
      <w:pPr>
        <w:pStyle w:val="null3"/>
        <w:spacing w:after="120"/>
        <w:ind w:left="195" w:firstLine="400"/>
        <w:jc w:val="both"/>
      </w:pPr>
      <w:r>
        <w:rPr>
          <w:sz w:val="20"/>
        </w:rPr>
        <w:t>本次运行维护服务包括基础设施运行维护服务的内容。基础设施运行维护服务是针对必须保留单位自建机房所提供的基础环境和监狱信息化硬件设备系统的运行维护服务。机房基础环境运行维护服务的范围主要包括：供配电系统、</w:t>
      </w:r>
      <w:r>
        <w:rPr>
          <w:sz w:val="20"/>
        </w:rPr>
        <w:t>UPS系统、空调通风系统、综合监控系统（安全防范系统、设备及环境监控系统、KVM系统）、机柜和综合布线系统、消防系统（火灾自动报警和气体灭火系统）、接地及防雷系统等，及其附带的各类系统的例行检查及状态监控、响应支持、故障处理、性能优化等。</w:t>
      </w:r>
    </w:p>
    <w:p>
      <w:pPr>
        <w:pStyle w:val="null3"/>
        <w:spacing w:after="120"/>
        <w:ind w:left="195" w:firstLine="400"/>
        <w:jc w:val="both"/>
      </w:pPr>
      <w:r>
        <w:rPr>
          <w:sz w:val="20"/>
        </w:rPr>
        <w:t>一、具体运维要求如下：</w:t>
      </w:r>
    </w:p>
    <w:tbl>
      <w:tblPr>
        <w:tblW w:w="0" w:type="auto"/>
        <w:tblBorders>
          <w:top w:val="none" w:color="000000" w:sz="4"/>
          <w:left w:val="none" w:color="000000" w:sz="4"/>
          <w:bottom w:val="none" w:color="000000" w:sz="4"/>
          <w:right w:val="none" w:color="000000" w:sz="4"/>
          <w:insideH w:val="none"/>
          <w:insideV w:val="none"/>
        </w:tblBorders>
      </w:tblPr>
      <w:tblGrid>
        <w:gridCol w:w="1346"/>
        <w:gridCol w:w="2367"/>
        <w:gridCol w:w="6661"/>
      </w:tblGrid>
      <w:tr>
        <w:tc>
          <w:tcPr>
            <w:tcW w:type="dxa" w:w="1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名称</w:t>
            </w:r>
          </w:p>
        </w:tc>
        <w:tc>
          <w:tcPr>
            <w:tcW w:type="dxa" w:w="2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相关内容</w:t>
            </w:r>
          </w:p>
        </w:tc>
        <w:tc>
          <w:tcPr>
            <w:tcW w:type="dxa" w:w="6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pPr>
            <w:r>
              <w:rPr>
                <w:sz w:val="20"/>
              </w:rPr>
              <w:t>维护要求</w:t>
            </w:r>
          </w:p>
        </w:tc>
      </w:tr>
      <w:tr>
        <w:tc>
          <w:tcPr>
            <w:tcW w:type="dxa" w:w="1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服务器设备</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日常巡检</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根据日常巡检要求。</w:t>
            </w:r>
          </w:p>
        </w:tc>
      </w:tr>
      <w:tr>
        <w:tc>
          <w:tcPr>
            <w:tcW w:type="dxa" w:w="1346"/>
            <w:vMerge/>
            <w:tcBorders>
              <w:top w:val="none" w:color="000000" w:sz="4"/>
              <w:left w:val="single" w:color="000000" w:sz="4"/>
              <w:bottom w:val="single" w:color="000000" w:sz="4"/>
              <w:right w:val="single" w:color="000000" w:sz="4"/>
            </w:tcBorders>
          </w:tcP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服务器性能维护</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每日上班对指定服务器组人工执行重启；对服务器进行性能调优（包括操作系统性能调优）</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设备故障检测及排除</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关键业务中断：立即响应，</w:t>
            </w:r>
            <w:r>
              <w:rPr>
                <w:sz w:val="20"/>
              </w:rPr>
              <w:t>4小时内排除故障</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非关键功能失效或性能下降，但不至于中断业务：立即响应，</w:t>
            </w:r>
            <w:r>
              <w:rPr>
                <w:sz w:val="20"/>
              </w:rPr>
              <w:t>12小时内排除故障</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系统可以运行，但出现系统报错或低档平台的安装或运行出现问题：立即响应，双方协商排除故障时间。</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设备维保及备件提供</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维修部件及备件性能要求：不低于故障设备规格型号档次</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pPr>
            <w:r>
              <w:rPr>
                <w:sz w:val="20"/>
              </w:rPr>
              <w:t>维修和备件支持周期：重要业务系统用机故障发生</w:t>
            </w:r>
            <w:r>
              <w:rPr>
                <w:sz w:val="20"/>
              </w:rPr>
              <w:t>8小时内提供，一般办公电脑故障发生24小时内提供，直至故障设备修复为止。</w:t>
            </w:r>
          </w:p>
        </w:tc>
      </w:tr>
      <w:tr>
        <w:tc>
          <w:tcPr>
            <w:tcW w:type="dxa" w:w="1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存储设备</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日常巡检</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根据日常巡检要求。</w:t>
            </w:r>
          </w:p>
        </w:tc>
      </w:tr>
      <w:tr>
        <w:tc>
          <w:tcPr>
            <w:tcW w:type="dxa" w:w="1346"/>
            <w:vMerge/>
            <w:tcBorders>
              <w:top w:val="none" w:color="000000" w:sz="4"/>
              <w:left w:val="single" w:color="000000" w:sz="4"/>
              <w:bottom w:val="single" w:color="000000" w:sz="4"/>
              <w:right w:val="single" w:color="000000" w:sz="4"/>
            </w:tcBorders>
          </w:tcP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数据备份</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根据系统需要对系统数据进行备份。</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设备故障检测及排除</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关键业务中断：立即响应，</w:t>
            </w:r>
            <w:r>
              <w:rPr>
                <w:sz w:val="20"/>
              </w:rPr>
              <w:t>4小时内排除故障</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非关键功能失效或性能下降，但不至于中断业务：立即响应，</w:t>
            </w:r>
            <w:r>
              <w:rPr>
                <w:sz w:val="20"/>
              </w:rPr>
              <w:t>12小时内排除故障</w:t>
            </w:r>
            <w:r>
              <w:rPr>
                <w:sz w:val="20"/>
              </w:rPr>
              <w:t>。</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系统可以运行，但出现系统报错或低档平台的安装或运行出现问题：立即响应，双方协商排除故障时间。</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设备维保及备件提供</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维修部件及备件性能要求：不低于故障设备规格型号档次</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维修和备件支持周期：重要业务系统用机故障发生</w:t>
            </w:r>
            <w:r>
              <w:rPr>
                <w:sz w:val="20"/>
              </w:rPr>
              <w:t>4小时内提供，一般办公电脑故障发生12小时内提供，直至故障设备修复为止。</w:t>
            </w:r>
          </w:p>
        </w:tc>
      </w:tr>
      <w:tr>
        <w:tc>
          <w:tcPr>
            <w:tcW w:type="dxa" w:w="1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网络设备</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日常巡检</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按日常巡检要求。</w:t>
            </w:r>
          </w:p>
        </w:tc>
      </w:tr>
      <w:tr>
        <w:tc>
          <w:tcPr>
            <w:tcW w:type="dxa" w:w="1346"/>
            <w:vMerge/>
            <w:tcBorders>
              <w:top w:val="none" w:color="000000" w:sz="4"/>
              <w:left w:val="single" w:color="000000" w:sz="4"/>
              <w:bottom w:val="single" w:color="000000" w:sz="4"/>
              <w:right w:val="single" w:color="000000" w:sz="4"/>
            </w:tcBorders>
          </w:tcP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网络性能检测与调优</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每半年对业务专网进行</w:t>
            </w:r>
            <w:r>
              <w:rPr>
                <w:sz w:val="20"/>
              </w:rPr>
              <w:t>1次性能测试和调优，提供性能测试报告及系统性能扩充和使用建议，以便保证网络性能不断改进并运行在最佳状态。</w:t>
            </w:r>
          </w:p>
        </w:tc>
      </w:tr>
      <w:tr>
        <w:tc>
          <w:tcPr>
            <w:tcW w:type="dxa" w:w="1346"/>
            <w:vMerge/>
            <w:tcBorders>
              <w:top w:val="none" w:color="000000" w:sz="4"/>
              <w:left w:val="single" w:color="000000" w:sz="4"/>
              <w:bottom w:val="single" w:color="000000" w:sz="4"/>
              <w:right w:val="single" w:color="000000" w:sz="4"/>
            </w:tcBorders>
          </w:tcP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网络拓扑及</w:t>
            </w:r>
            <w:r>
              <w:rPr>
                <w:sz w:val="20"/>
              </w:rPr>
              <w:t>VLAN管理</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在交换机上划分了</w:t>
            </w:r>
            <w:r>
              <w:rPr>
                <w:sz w:val="20"/>
              </w:rPr>
              <w:t>VLAN（虚拟局域网），由专职网络管理员负责VLAN的划分及日常管理，确保网络拓扑图及VLAN划分资料的准确性。</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系统故障检测及排除</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关键业务中断：立即响应，</w:t>
            </w:r>
            <w:r>
              <w:rPr>
                <w:sz w:val="20"/>
              </w:rPr>
              <w:t>4小时内排除故障</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非关键功能失效或性能下降，但不至于中断业务：立即响应，</w:t>
            </w:r>
            <w:r>
              <w:rPr>
                <w:sz w:val="20"/>
              </w:rPr>
              <w:t>12小时内排除故障</w:t>
            </w:r>
          </w:p>
        </w:tc>
      </w:tr>
      <w:tr>
        <w:tc>
          <w:tcPr>
            <w:tcW w:type="dxa" w:w="1346"/>
            <w:vMerge/>
            <w:tcBorders>
              <w:top w:val="none" w:color="000000" w:sz="4"/>
              <w:left w:val="single" w:color="000000" w:sz="4"/>
              <w:bottom w:val="single" w:color="000000" w:sz="4"/>
              <w:right w:val="single" w:color="000000" w:sz="4"/>
            </w:tcBorders>
          </w:tcP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网络系统重部署及调试</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系统可以运行，但出现系统报错或低档平台的安装或运行出现问题：立即响应，双方协商排除故障时间。</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网络设备维保及备件提供</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维修部件及备件性能要求：不低于故障设备规格型号档次</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维修和备件支持周期：重要业务系统用机故障发生</w:t>
            </w:r>
            <w:r>
              <w:rPr>
                <w:sz w:val="20"/>
              </w:rPr>
              <w:t>4小时内提供，一般办公电脑故障发生12小时内提供，直至故障设备修复为止。</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主机固件软件版本升级更新</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定期备份设备配置；</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每半年更新最新的版本固件，如工作不正常应立即恢复旧版固件。</w:t>
            </w:r>
          </w:p>
        </w:tc>
      </w:tr>
      <w:tr>
        <w:tc>
          <w:tcPr>
            <w:tcW w:type="dxa" w:w="1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网络准入及上网行为控制管理</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日常巡检</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按日常巡检要求。</w:t>
            </w:r>
          </w:p>
        </w:tc>
      </w:tr>
      <w:tr>
        <w:tc>
          <w:tcPr>
            <w:tcW w:type="dxa" w:w="1346"/>
            <w:vMerge/>
            <w:tcBorders>
              <w:top w:val="none" w:color="000000" w:sz="4"/>
              <w:left w:val="single" w:color="000000" w:sz="4"/>
              <w:bottom w:val="single" w:color="000000" w:sz="4"/>
              <w:right w:val="single" w:color="000000" w:sz="4"/>
            </w:tcBorders>
          </w:tcP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IP地址管理</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因为采用了网络准入机制，办公电脑的</w:t>
            </w:r>
            <w:r>
              <w:rPr>
                <w:sz w:val="20"/>
              </w:rPr>
              <w:t>IP地址与MAC地址是绑定的，由专职网络管理员负责IP地址管理，确保IP地址簿的准确性。</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系统故障检测及排除</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关键业务中断：立即响应，</w:t>
            </w:r>
            <w:r>
              <w:rPr>
                <w:sz w:val="20"/>
              </w:rPr>
              <w:t>4小时内排除故障</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非关键功能失效或性能下降，但不至于中断业务：立即响应，</w:t>
            </w:r>
            <w:r>
              <w:rPr>
                <w:sz w:val="20"/>
              </w:rPr>
              <w:t>12小时内排除故障</w:t>
            </w:r>
          </w:p>
        </w:tc>
      </w:tr>
      <w:tr>
        <w:tc>
          <w:tcPr>
            <w:tcW w:type="dxa" w:w="1346"/>
            <w:vMerge/>
            <w:tcBorders>
              <w:top w:val="none" w:color="000000" w:sz="4"/>
              <w:left w:val="single" w:color="000000" w:sz="4"/>
              <w:bottom w:val="single" w:color="000000" w:sz="4"/>
              <w:right w:val="single" w:color="000000" w:sz="4"/>
            </w:tcBorders>
          </w:tcP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网络系统重部署及调试</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系统可以运行，但出现系统报错或低档平台的安装或运行出现问题：立即响应，双方协商排除故障时间。</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网络设备维保及备件提供</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维修部件及备件性能要求：不低于故障设备规格型号档次</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维修和备件支持周期：重要业务系统用机故障发生</w:t>
            </w:r>
            <w:r>
              <w:rPr>
                <w:sz w:val="20"/>
              </w:rPr>
              <w:t>4小时内提供，一般办公电脑故障发生12小时内提供，直至故障设备修复为止。</w:t>
            </w:r>
          </w:p>
        </w:tc>
      </w:tr>
      <w:tr>
        <w:tc>
          <w:tcPr>
            <w:tcW w:type="dxa" w:w="1346"/>
            <w:vMerge/>
            <w:tcBorders>
              <w:top w:val="none" w:color="000000" w:sz="4"/>
              <w:left w:val="single" w:color="000000" w:sz="4"/>
              <w:bottom w:val="single" w:color="000000" w:sz="4"/>
              <w:right w:val="single" w:color="000000" w:sz="4"/>
            </w:tcBorders>
          </w:tcPr>
          <w:p/>
        </w:tc>
        <w:tc>
          <w:tcPr>
            <w:tcW w:type="dxa" w:w="23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主机固件软件版本升级更新</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定期备份设备配置；</w:t>
            </w:r>
          </w:p>
        </w:tc>
      </w:tr>
      <w:tr>
        <w:tc>
          <w:tcPr>
            <w:tcW w:type="dxa" w:w="1346"/>
            <w:vMerge/>
            <w:tcBorders>
              <w:top w:val="none" w:color="000000" w:sz="4"/>
              <w:left w:val="single" w:color="000000" w:sz="4"/>
              <w:bottom w:val="single" w:color="000000" w:sz="4"/>
              <w:right w:val="single" w:color="000000" w:sz="4"/>
            </w:tcBorders>
          </w:tcPr>
          <w:p/>
        </w:tc>
        <w:tc>
          <w:tcPr>
            <w:tcW w:type="dxa" w:w="2367"/>
            <w:vMerge/>
            <w:tcBorders>
              <w:top w:val="none" w:color="000000" w:sz="4"/>
              <w:left w:val="none" w:color="000000" w:sz="4"/>
              <w:bottom w:val="single" w:color="000000" w:sz="4"/>
              <w:right w:val="single" w:color="000000" w:sz="4"/>
            </w:tcBorders>
          </w:tcP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每半年更新最新的版本固件，如工作不正常应立即恢复旧版固件。</w:t>
            </w:r>
          </w:p>
        </w:tc>
      </w:tr>
      <w:tr>
        <w:tc>
          <w:tcPr>
            <w:tcW w:type="dxa" w:w="1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信息安全设备</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日常巡检</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按日常巡检要求。</w:t>
            </w:r>
          </w:p>
        </w:tc>
      </w:tr>
      <w:tr>
        <w:tc>
          <w:tcPr>
            <w:tcW w:type="dxa" w:w="1346"/>
            <w:vMerge/>
            <w:tcBorders>
              <w:top w:val="none" w:color="000000" w:sz="4"/>
              <w:left w:val="single" w:color="000000" w:sz="4"/>
              <w:bottom w:val="single" w:color="000000" w:sz="4"/>
              <w:right w:val="single" w:color="000000" w:sz="4"/>
            </w:tcBorders>
          </w:tcP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硬件许可及主机固件软件版本升级更新</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定期备份设备配置，设备硬件许可及固件软件版本根据安全扫描的结果进行升级。</w:t>
            </w:r>
          </w:p>
        </w:tc>
      </w:tr>
      <w:tr>
        <w:tc>
          <w:tcPr>
            <w:tcW w:type="dxa" w:w="1346"/>
            <w:vMerge/>
            <w:tcBorders>
              <w:top w:val="none" w:color="000000" w:sz="4"/>
              <w:left w:val="single" w:color="000000" w:sz="4"/>
              <w:bottom w:val="single" w:color="000000" w:sz="4"/>
              <w:right w:val="single" w:color="000000" w:sz="4"/>
            </w:tcBorders>
          </w:tcP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安全策略制定和更新</w:t>
            </w:r>
          </w:p>
        </w:tc>
        <w:tc>
          <w:tcPr>
            <w:tcW w:type="dxa" w:w="6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每年进行</w:t>
            </w:r>
            <w:r>
              <w:rPr>
                <w:sz w:val="20"/>
              </w:rPr>
              <w:t>1次安全策略制定及更新，并接受有效性检查。</w:t>
            </w:r>
          </w:p>
        </w:tc>
      </w:tr>
      <w:tr>
        <w:tc>
          <w:tcPr>
            <w:tcW w:type="dxa" w:w="134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计算机机房</w:t>
            </w:r>
          </w:p>
        </w:tc>
        <w:tc>
          <w:tcPr>
            <w:tcW w:type="dxa" w:w="2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日常巡检</w:t>
            </w:r>
          </w:p>
        </w:tc>
        <w:tc>
          <w:tcPr>
            <w:tcW w:type="dxa" w:w="6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按日常巡检要求。</w:t>
            </w:r>
          </w:p>
        </w:tc>
      </w:tr>
      <w:tr>
        <w:tc>
          <w:tcPr>
            <w:tcW w:type="dxa" w:w="1346"/>
            <w:vMerge/>
            <w:tcBorders>
              <w:top w:val="single" w:color="000000" w:sz="4"/>
              <w:left w:val="single" w:color="000000" w:sz="4"/>
              <w:bottom w:val="single" w:color="000000" w:sz="4"/>
              <w:right w:val="single" w:color="000000" w:sz="4"/>
            </w:tcBorders>
          </w:tcPr>
          <w:p/>
        </w:tc>
        <w:tc>
          <w:tcPr>
            <w:tcW w:type="dxa" w:w="2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机房环境保养</w:t>
            </w: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每周督促保洁人员打扫机房卫生；每年进行</w:t>
            </w:r>
            <w:r>
              <w:rPr>
                <w:sz w:val="20"/>
              </w:rPr>
              <w:t>1次除尘、线路梳理等保养作业。</w:t>
            </w:r>
          </w:p>
        </w:tc>
      </w:tr>
      <w:tr>
        <w:tc>
          <w:tcPr>
            <w:tcW w:type="dxa" w:w="1346"/>
            <w:vMerge/>
            <w:tcBorders>
              <w:top w:val="single" w:color="000000" w:sz="4"/>
              <w:left w:val="single" w:color="000000" w:sz="4"/>
              <w:bottom w:val="single" w:color="000000" w:sz="4"/>
              <w:right w:val="single" w:color="000000" w:sz="4"/>
            </w:tcBorders>
          </w:tcPr>
          <w:p/>
        </w:tc>
        <w:tc>
          <w:tcPr>
            <w:tcW w:type="dxa" w:w="2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设备故障检测及排除</w:t>
            </w: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关键业务中断：立即响应，</w:t>
            </w:r>
            <w:r>
              <w:rPr>
                <w:sz w:val="20"/>
              </w:rPr>
              <w:t>4小时内排除故障</w:t>
            </w:r>
          </w:p>
        </w:tc>
      </w:tr>
      <w:tr>
        <w:tc>
          <w:tcPr>
            <w:tcW w:type="dxa" w:w="1346"/>
            <w:vMerge/>
            <w:tcBorders>
              <w:top w:val="single" w:color="000000" w:sz="4"/>
              <w:left w:val="single" w:color="000000" w:sz="4"/>
              <w:bottom w:val="single" w:color="000000" w:sz="4"/>
              <w:right w:val="single" w:color="000000" w:sz="4"/>
            </w:tcBorders>
          </w:tcPr>
          <w:p/>
        </w:tc>
        <w:tc>
          <w:tcPr>
            <w:tcW w:type="dxa" w:w="2367"/>
            <w:vMerge/>
            <w:tcBorders>
              <w:top w:val="none" w:color="000000" w:sz="4"/>
              <w:left w:val="single" w:color="000000" w:sz="4"/>
              <w:bottom w:val="single" w:color="000000" w:sz="4"/>
              <w:right w:val="single" w:color="000000" w:sz="4"/>
            </w:tcBorders>
          </w:tcP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非关键功能失效或性能下降，但不至于中断业务：立即响应，</w:t>
            </w:r>
            <w:r>
              <w:rPr>
                <w:sz w:val="20"/>
              </w:rPr>
              <w:t>12小时内排除故障</w:t>
            </w:r>
          </w:p>
        </w:tc>
      </w:tr>
      <w:tr>
        <w:tc>
          <w:tcPr>
            <w:tcW w:type="dxa" w:w="1346"/>
            <w:vMerge/>
            <w:tcBorders>
              <w:top w:val="single" w:color="000000" w:sz="4"/>
              <w:left w:val="single" w:color="000000" w:sz="4"/>
              <w:bottom w:val="single" w:color="000000" w:sz="4"/>
              <w:right w:val="single" w:color="000000" w:sz="4"/>
            </w:tcBorders>
          </w:tcPr>
          <w:p/>
        </w:tc>
        <w:tc>
          <w:tcPr>
            <w:tcW w:type="dxa" w:w="2367"/>
            <w:vMerge/>
            <w:tcBorders>
              <w:top w:val="none" w:color="000000" w:sz="4"/>
              <w:left w:val="single" w:color="000000" w:sz="4"/>
              <w:bottom w:val="single" w:color="000000" w:sz="4"/>
              <w:right w:val="single" w:color="000000" w:sz="4"/>
            </w:tcBorders>
          </w:tcP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系统可以运行，但出现系统报错或低档平台的安装或运行出现问题：立即响应，双方协商排除故障时间。</w:t>
            </w:r>
          </w:p>
        </w:tc>
      </w:tr>
      <w:tr>
        <w:tc>
          <w:tcPr>
            <w:tcW w:type="dxa" w:w="1346"/>
            <w:vMerge/>
            <w:tcBorders>
              <w:top w:val="single" w:color="000000" w:sz="4"/>
              <w:left w:val="single" w:color="000000" w:sz="4"/>
              <w:bottom w:val="single" w:color="000000" w:sz="4"/>
              <w:right w:val="single" w:color="000000" w:sz="4"/>
            </w:tcBorders>
          </w:tcPr>
          <w:p/>
        </w:tc>
        <w:tc>
          <w:tcPr>
            <w:tcW w:type="dxa" w:w="2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设备维保及备件提供</w:t>
            </w: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维修部件及备件性能要求：不低于故障设备规格型号档次</w:t>
            </w:r>
          </w:p>
        </w:tc>
      </w:tr>
      <w:tr>
        <w:tc>
          <w:tcPr>
            <w:tcW w:type="dxa" w:w="1346"/>
            <w:vMerge/>
            <w:tcBorders>
              <w:top w:val="single" w:color="000000" w:sz="4"/>
              <w:left w:val="single" w:color="000000" w:sz="4"/>
              <w:bottom w:val="single" w:color="000000" w:sz="4"/>
              <w:right w:val="single" w:color="000000" w:sz="4"/>
            </w:tcBorders>
          </w:tcPr>
          <w:p/>
        </w:tc>
        <w:tc>
          <w:tcPr>
            <w:tcW w:type="dxa" w:w="2367"/>
            <w:vMerge/>
            <w:tcBorders>
              <w:top w:val="none" w:color="000000" w:sz="4"/>
              <w:left w:val="single" w:color="000000" w:sz="4"/>
              <w:bottom w:val="single" w:color="000000" w:sz="4"/>
              <w:right w:val="single" w:color="000000" w:sz="4"/>
            </w:tcBorders>
          </w:tcP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维修和备件支持周期：重要业务系统用机故障发生</w:t>
            </w:r>
            <w:r>
              <w:rPr>
                <w:sz w:val="20"/>
              </w:rPr>
              <w:t>4小时内提供，一般办公电脑故障发生12小时内提供，直至故障设备修复为止。</w:t>
            </w:r>
          </w:p>
        </w:tc>
      </w:tr>
      <w:tr>
        <w:tc>
          <w:tcPr>
            <w:tcW w:type="dxa" w:w="1346"/>
            <w:vMerge/>
            <w:tcBorders>
              <w:top w:val="single" w:color="000000" w:sz="4"/>
              <w:left w:val="single" w:color="000000" w:sz="4"/>
              <w:bottom w:val="single" w:color="000000" w:sz="4"/>
              <w:right w:val="single" w:color="000000" w:sz="4"/>
            </w:tcBorders>
          </w:tcPr>
          <w:p/>
        </w:tc>
        <w:tc>
          <w:tcPr>
            <w:tcW w:type="dxa" w:w="2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设备档案管理</w:t>
            </w: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记录设备使用情况、服务请求执行记录和维修备件替换情况等；维护基础设施各种运维基本信息，包括信息系统总体结构、逻辑结构，网络互联、网络拓扑结构，以及业务子网综合布线、机房布局等内容。档案纳入配置库统一管理。</w:t>
            </w:r>
          </w:p>
        </w:tc>
      </w:tr>
      <w:tr>
        <w:tc>
          <w:tcPr>
            <w:tcW w:type="dxa" w:w="1346"/>
            <w:vMerge/>
            <w:tcBorders>
              <w:top w:val="single" w:color="000000" w:sz="4"/>
              <w:left w:val="single" w:color="000000" w:sz="4"/>
              <w:bottom w:val="single" w:color="000000" w:sz="4"/>
              <w:right w:val="single" w:color="000000" w:sz="4"/>
            </w:tcBorders>
          </w:tcPr>
          <w:p/>
        </w:tc>
        <w:tc>
          <w:tcPr>
            <w:tcW w:type="dxa" w:w="2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设备密码管理</w:t>
            </w: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指定专人对设备密码统一管理。</w:t>
            </w:r>
          </w:p>
        </w:tc>
      </w:tr>
      <w:tr>
        <w:tc>
          <w:tcPr>
            <w:tcW w:type="dxa" w:w="1346"/>
            <w:vMerge/>
            <w:tcBorders>
              <w:top w:val="single" w:color="000000" w:sz="4"/>
              <w:left w:val="single" w:color="000000" w:sz="4"/>
              <w:bottom w:val="single" w:color="000000" w:sz="4"/>
              <w:right w:val="single" w:color="000000" w:sz="4"/>
            </w:tcBorders>
          </w:tcPr>
          <w:p/>
        </w:tc>
        <w:tc>
          <w:tcPr>
            <w:tcW w:type="dxa" w:w="2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培训</w:t>
            </w: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每年进行</w:t>
            </w:r>
            <w:r>
              <w:rPr>
                <w:sz w:val="20"/>
              </w:rPr>
              <w:t>1次，结合</w:t>
            </w:r>
            <w:r>
              <w:rPr>
                <w:sz w:val="20"/>
              </w:rPr>
              <w:t>番禺</w:t>
            </w:r>
            <w:r>
              <w:rPr>
                <w:sz w:val="20"/>
              </w:rPr>
              <w:t>监狱信息系统的运行状况及存在的问题，提供相关的信息安全技术、管理、政策法规、实践标准的培训，培训内容包括：</w:t>
            </w:r>
          </w:p>
        </w:tc>
      </w:tr>
      <w:tr>
        <w:tc>
          <w:tcPr>
            <w:tcW w:type="dxa" w:w="1346"/>
            <w:vMerge/>
            <w:tcBorders>
              <w:top w:val="single" w:color="000000" w:sz="4"/>
              <w:left w:val="single" w:color="000000" w:sz="4"/>
              <w:bottom w:val="single" w:color="000000" w:sz="4"/>
              <w:right w:val="single" w:color="000000" w:sz="4"/>
            </w:tcBorders>
          </w:tcPr>
          <w:p/>
        </w:tc>
        <w:tc>
          <w:tcPr>
            <w:tcW w:type="dxa" w:w="2367"/>
            <w:vMerge/>
            <w:tcBorders>
              <w:top w:val="none" w:color="000000" w:sz="4"/>
              <w:left w:val="single" w:color="000000" w:sz="4"/>
              <w:bottom w:val="single" w:color="000000" w:sz="4"/>
              <w:right w:val="single" w:color="000000" w:sz="4"/>
            </w:tcBorders>
          </w:tcP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1、网络安全意识培训；</w:t>
            </w:r>
          </w:p>
        </w:tc>
      </w:tr>
      <w:tr>
        <w:tc>
          <w:tcPr>
            <w:tcW w:type="dxa" w:w="1346"/>
            <w:vMerge/>
            <w:tcBorders>
              <w:top w:val="single" w:color="000000" w:sz="4"/>
              <w:left w:val="single" w:color="000000" w:sz="4"/>
              <w:bottom w:val="single" w:color="000000" w:sz="4"/>
              <w:right w:val="single" w:color="000000" w:sz="4"/>
            </w:tcBorders>
          </w:tcPr>
          <w:p/>
        </w:tc>
        <w:tc>
          <w:tcPr>
            <w:tcW w:type="dxa" w:w="2367"/>
            <w:vMerge/>
            <w:tcBorders>
              <w:top w:val="none" w:color="000000" w:sz="4"/>
              <w:left w:val="single" w:color="000000" w:sz="4"/>
              <w:bottom w:val="single" w:color="000000" w:sz="4"/>
              <w:right w:val="single" w:color="000000" w:sz="4"/>
            </w:tcBorders>
          </w:tcP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2、网络安全基础培训；</w:t>
            </w:r>
          </w:p>
        </w:tc>
      </w:tr>
      <w:tr>
        <w:tc>
          <w:tcPr>
            <w:tcW w:type="dxa" w:w="1346"/>
            <w:vMerge/>
            <w:tcBorders>
              <w:top w:val="single" w:color="000000" w:sz="4"/>
              <w:left w:val="single" w:color="000000" w:sz="4"/>
              <w:bottom w:val="single" w:color="000000" w:sz="4"/>
              <w:right w:val="single" w:color="000000" w:sz="4"/>
            </w:tcBorders>
          </w:tcPr>
          <w:p/>
        </w:tc>
        <w:tc>
          <w:tcPr>
            <w:tcW w:type="dxa" w:w="2367"/>
            <w:vMerge/>
            <w:tcBorders>
              <w:top w:val="none" w:color="000000" w:sz="4"/>
              <w:left w:val="single" w:color="000000" w:sz="4"/>
              <w:bottom w:val="single" w:color="000000" w:sz="4"/>
              <w:right w:val="single" w:color="000000" w:sz="4"/>
            </w:tcBorders>
          </w:tcPr>
          <w:p/>
        </w:tc>
        <w:tc>
          <w:tcPr>
            <w:tcW w:type="dxa" w:w="6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3、机房安防、UPS等基础培训。</w:t>
            </w:r>
          </w:p>
        </w:tc>
      </w:tr>
    </w:tbl>
    <w:p>
      <w:pPr>
        <w:pStyle w:val="null3"/>
        <w:jc w:val="left"/>
      </w:pPr>
      <w:r>
        <w:rPr>
          <w:sz w:val="20"/>
        </w:rPr>
        <w:t>二、服务要求</w:t>
      </w:r>
    </w:p>
    <w:p>
      <w:pPr>
        <w:pStyle w:val="null3"/>
        <w:spacing w:after="120"/>
        <w:ind w:firstLine="400"/>
        <w:jc w:val="both"/>
      </w:pPr>
      <w:r>
        <w:rPr>
          <w:sz w:val="20"/>
        </w:rPr>
        <w:t>（</w:t>
      </w:r>
      <w:r>
        <w:rPr>
          <w:sz w:val="20"/>
        </w:rPr>
        <w:t>一</w:t>
      </w:r>
      <w:r>
        <w:rPr>
          <w:sz w:val="20"/>
        </w:rPr>
        <w:t>）总体要求</w:t>
      </w:r>
    </w:p>
    <w:p>
      <w:pPr>
        <w:pStyle w:val="null3"/>
        <w:spacing w:after="120"/>
        <w:ind w:firstLine="400"/>
        <w:jc w:val="both"/>
      </w:pPr>
      <w:r>
        <w:rPr>
          <w:sz w:val="20"/>
        </w:rPr>
        <w:t>1、</w:t>
      </w:r>
      <w:r>
        <w:rPr>
          <w:sz w:val="20"/>
        </w:rPr>
        <w:t>乙方</w:t>
      </w:r>
      <w:r>
        <w:rPr>
          <w:sz w:val="20"/>
        </w:rPr>
        <w:t>在服务的整个过程中，切实体现</w:t>
      </w:r>
      <w:r>
        <w:rPr>
          <w:sz w:val="20"/>
        </w:rPr>
        <w:t>“安全、优质、舒适、高效”的要求，持续提高运维服务质量。</w:t>
      </w:r>
    </w:p>
    <w:p>
      <w:pPr>
        <w:pStyle w:val="null3"/>
        <w:spacing w:after="120"/>
        <w:ind w:firstLine="400"/>
        <w:jc w:val="both"/>
      </w:pPr>
      <w:r>
        <w:rPr>
          <w:sz w:val="20"/>
        </w:rPr>
        <w:t>2、</w:t>
      </w:r>
      <w:r>
        <w:rPr>
          <w:sz w:val="20"/>
        </w:rPr>
        <w:t>乙方</w:t>
      </w:r>
      <w:r>
        <w:rPr>
          <w:sz w:val="20"/>
        </w:rPr>
        <w:t>聘用人员须严格遵守国家相关法律法规，须与被聘用人员签订劳动合同，并按有关规定为其购买社会保险。</w:t>
      </w:r>
    </w:p>
    <w:p>
      <w:pPr>
        <w:pStyle w:val="null3"/>
        <w:spacing w:after="120"/>
        <w:ind w:firstLine="400"/>
        <w:jc w:val="both"/>
      </w:pPr>
      <w:r>
        <w:rPr>
          <w:sz w:val="20"/>
        </w:rPr>
        <w:t>3、</w:t>
      </w:r>
      <w:r>
        <w:rPr>
          <w:sz w:val="20"/>
        </w:rPr>
        <w:t>乙方</w:t>
      </w:r>
      <w:r>
        <w:rPr>
          <w:sz w:val="20"/>
        </w:rPr>
        <w:t>须制订切合本项目的服务方案、管理制度、岗位职责、奖惩制度和工作计划，建立专业稳定的组织机构和管理队伍。</w:t>
      </w:r>
    </w:p>
    <w:p>
      <w:pPr>
        <w:pStyle w:val="null3"/>
        <w:spacing w:after="120"/>
        <w:ind w:firstLine="400"/>
        <w:jc w:val="both"/>
      </w:pPr>
      <w:r>
        <w:rPr>
          <w:sz w:val="20"/>
        </w:rPr>
        <w:t>4、</w:t>
      </w:r>
      <w:r>
        <w:rPr>
          <w:sz w:val="20"/>
        </w:rPr>
        <w:t>乙方</w:t>
      </w:r>
      <w:r>
        <w:rPr>
          <w:sz w:val="20"/>
        </w:rPr>
        <w:t>针对本项目聘用的服务人员须经过严格审查和健康检查，所聘用服务人员须遵守国家法律法规和</w:t>
      </w:r>
      <w:r>
        <w:rPr>
          <w:sz w:val="20"/>
        </w:rPr>
        <w:t>甲方</w:t>
      </w:r>
      <w:r>
        <w:rPr>
          <w:sz w:val="20"/>
        </w:rPr>
        <w:t>方规章制度，身体健康，有良好的服务意识、社会公德心，无刑事犯罪记录，没有参与政府明令禁止的非法组织及活动。</w:t>
      </w:r>
    </w:p>
    <w:p>
      <w:pPr>
        <w:pStyle w:val="null3"/>
        <w:spacing w:after="120"/>
        <w:ind w:firstLine="400"/>
        <w:jc w:val="both"/>
      </w:pPr>
      <w:r>
        <w:rPr>
          <w:sz w:val="20"/>
        </w:rPr>
        <w:t>5、</w:t>
      </w:r>
      <w:r>
        <w:rPr>
          <w:sz w:val="20"/>
        </w:rPr>
        <w:t>乙方</w:t>
      </w:r>
      <w:r>
        <w:rPr>
          <w:sz w:val="20"/>
        </w:rPr>
        <w:t>的驻场人员须按照</w:t>
      </w:r>
      <w:r>
        <w:rPr>
          <w:sz w:val="20"/>
        </w:rPr>
        <w:t>甲方</w:t>
      </w:r>
      <w:r>
        <w:rPr>
          <w:sz w:val="20"/>
        </w:rPr>
        <w:t>要求在指定地点进行驻场办公，并遵守相关驻场工作管理要求。</w:t>
      </w:r>
    </w:p>
    <w:p>
      <w:pPr>
        <w:pStyle w:val="null3"/>
        <w:spacing w:after="120"/>
        <w:ind w:firstLine="400"/>
        <w:jc w:val="both"/>
      </w:pPr>
      <w:r>
        <w:rPr>
          <w:sz w:val="20"/>
        </w:rPr>
        <w:t>6、</w:t>
      </w:r>
      <w:r>
        <w:rPr>
          <w:sz w:val="20"/>
        </w:rPr>
        <w:t>乙方</w:t>
      </w:r>
      <w:r>
        <w:rPr>
          <w:sz w:val="20"/>
        </w:rPr>
        <w:t>须严格遵守保密制度（与</w:t>
      </w:r>
      <w:r>
        <w:rPr>
          <w:sz w:val="20"/>
        </w:rPr>
        <w:t>甲方</w:t>
      </w:r>
      <w:r>
        <w:rPr>
          <w:sz w:val="20"/>
        </w:rPr>
        <w:t>签订保密协议），工作中使用的各类数据、资料、信息和软件须严格保管，未经允许、不得私自拷贝、下载和转交他人使用；严禁任何人使用未经检测允许的介质（软盘、光盘等）；未经许可，任何人不得挪用和外借各类设备、资料、及物品。如出现数据或文件泄露，</w:t>
      </w:r>
      <w:r>
        <w:rPr>
          <w:sz w:val="20"/>
        </w:rPr>
        <w:t>甲方</w:t>
      </w:r>
      <w:r>
        <w:rPr>
          <w:sz w:val="20"/>
        </w:rPr>
        <w:t>有权交给公安机关处理，对泄密产生的后果由</w:t>
      </w:r>
      <w:r>
        <w:rPr>
          <w:sz w:val="20"/>
        </w:rPr>
        <w:t>乙方</w:t>
      </w:r>
      <w:r>
        <w:rPr>
          <w:sz w:val="20"/>
        </w:rPr>
        <w:t>法人代表和现场人员负全部责任。</w:t>
      </w:r>
    </w:p>
    <w:p>
      <w:pPr>
        <w:pStyle w:val="null3"/>
        <w:spacing w:after="120"/>
        <w:ind w:firstLine="400"/>
        <w:jc w:val="both"/>
      </w:pPr>
      <w:r>
        <w:rPr>
          <w:sz w:val="20"/>
        </w:rPr>
        <w:t>7、</w:t>
      </w:r>
      <w:r>
        <w:rPr>
          <w:sz w:val="20"/>
        </w:rPr>
        <w:t>项目平滑过渡要求。本项目属在用系统维护，维护过程需保证原有项目系统服务的持续性。项目维护过渡期间（阶段一：本项目中标之日起</w:t>
      </w:r>
      <w:r>
        <w:rPr>
          <w:sz w:val="20"/>
        </w:rPr>
        <w:t>至</w:t>
      </w:r>
      <w:r>
        <w:rPr>
          <w:sz w:val="20"/>
        </w:rPr>
        <w:t>合同生效日；阶段二：合同</w:t>
      </w:r>
      <w:r>
        <w:rPr>
          <w:sz w:val="20"/>
        </w:rPr>
        <w:t>期满日至</w:t>
      </w:r>
      <w:r>
        <w:rPr>
          <w:sz w:val="20"/>
        </w:rPr>
        <w:t>下一周期运维单位交接完成</w:t>
      </w:r>
      <w:r>
        <w:rPr>
          <w:sz w:val="20"/>
        </w:rPr>
        <w:t>日</w:t>
      </w:r>
      <w:r>
        <w:rPr>
          <w:sz w:val="20"/>
        </w:rPr>
        <w:t>）向用户提供不低于原系统使用水平的全过程服务，满足过渡期间用户的连续使用。</w:t>
      </w:r>
    </w:p>
    <w:p>
      <w:pPr>
        <w:pStyle w:val="null3"/>
        <w:ind w:firstLine="400"/>
        <w:jc w:val="both"/>
      </w:pPr>
      <w:r>
        <w:rPr>
          <w:sz w:val="20"/>
        </w:rPr>
        <w:t>（二）驻场人员要求</w:t>
      </w:r>
    </w:p>
    <w:p>
      <w:pPr>
        <w:pStyle w:val="null3"/>
        <w:ind w:firstLine="400"/>
        <w:jc w:val="both"/>
      </w:pPr>
      <w:r>
        <w:rPr>
          <w:sz w:val="20"/>
        </w:rPr>
        <w:t>1、本项目需安排至少4名运维工程师提供驻场服务。</w:t>
      </w:r>
    </w:p>
    <w:p>
      <w:pPr>
        <w:pStyle w:val="null3"/>
        <w:ind w:firstLine="400"/>
        <w:jc w:val="both"/>
      </w:pPr>
      <w:r>
        <w:rPr>
          <w:sz w:val="20"/>
        </w:rPr>
        <w:t>2、驻场运维工程师资质要求：均要求具有服务器、监控对讲报警、机房动环系统、视频会议系统等设备维护经验。实际驻场人员应当与投标书中拟派出驻场人员保持一致，如须调整服务团队成员，须书面向</w:t>
      </w:r>
      <w:r>
        <w:rPr>
          <w:sz w:val="20"/>
        </w:rPr>
        <w:t>甲方</w:t>
      </w:r>
      <w:r>
        <w:rPr>
          <w:sz w:val="20"/>
        </w:rPr>
        <w:t>提出申请，说明申请理由，经</w:t>
      </w:r>
      <w:r>
        <w:rPr>
          <w:sz w:val="20"/>
        </w:rPr>
        <w:t>甲方</w:t>
      </w:r>
      <w:r>
        <w:rPr>
          <w:sz w:val="20"/>
        </w:rPr>
        <w:t>书面同意方可调整团队人员，调入人员的资历和从业经验不低于调出人员，否则视为违约行为，</w:t>
      </w:r>
      <w:r>
        <w:rPr>
          <w:sz w:val="20"/>
        </w:rPr>
        <w:t>甲方</w:t>
      </w:r>
      <w:r>
        <w:rPr>
          <w:sz w:val="20"/>
        </w:rPr>
        <w:t>有权</w:t>
      </w:r>
      <w:r>
        <w:rPr>
          <w:sz w:val="20"/>
        </w:rPr>
        <w:t>拒绝接收并扣除相关服务费用，乙方在三天内未重新安排符合约定的人员的，甲方有权解除</w:t>
      </w:r>
      <w:r>
        <w:rPr>
          <w:sz w:val="20"/>
        </w:rPr>
        <w:t>服务合同。</w:t>
      </w:r>
    </w:p>
    <w:p>
      <w:pPr>
        <w:pStyle w:val="null3"/>
        <w:ind w:firstLine="400"/>
        <w:jc w:val="both"/>
      </w:pPr>
      <w:r>
        <w:rPr>
          <w:sz w:val="20"/>
        </w:rPr>
        <w:t>3、驻场运维工程师主要工作有：资源情况汇总，设备巡检，建立巡检设备台账；现场值守，系统日常状态监测，系统性能侦测；发现故障立即响应，现场解决；建立运维日志，故障记录，提交信息系统运维保障及系统运行分析报告；应急保障，重大活动值守保障；协助用户制定规范的安全管理制度，保障系统安全可靠，确保不发生数据丢失或泄露事件，不发生网络安全事件。</w:t>
      </w:r>
    </w:p>
    <w:p>
      <w:pPr>
        <w:pStyle w:val="null3"/>
        <w:ind w:firstLine="400"/>
        <w:jc w:val="both"/>
      </w:pPr>
      <w:r>
        <w:rPr>
          <w:sz w:val="20"/>
        </w:rPr>
        <w:t>4、驻场人员需设立固定电话及移动电话，并保证通讯畅通。在驻场期间，</w:t>
      </w:r>
      <w:r>
        <w:rPr>
          <w:sz w:val="20"/>
        </w:rPr>
        <w:t>甲方</w:t>
      </w:r>
      <w:r>
        <w:rPr>
          <w:sz w:val="20"/>
        </w:rPr>
        <w:t>将对驻场人员进行考勤管理，</w:t>
      </w:r>
      <w:r>
        <w:rPr>
          <w:sz w:val="20"/>
        </w:rPr>
        <w:t>乙方及乙方派驻人员</w:t>
      </w:r>
      <w:r>
        <w:rPr>
          <w:sz w:val="20"/>
        </w:rPr>
        <w:t>应配合</w:t>
      </w:r>
      <w:r>
        <w:rPr>
          <w:sz w:val="20"/>
        </w:rPr>
        <w:t>甲方</w:t>
      </w:r>
      <w:r>
        <w:rPr>
          <w:sz w:val="20"/>
        </w:rPr>
        <w:t>制定相关管理办法。</w:t>
      </w:r>
    </w:p>
    <w:p>
      <w:pPr>
        <w:pStyle w:val="null3"/>
        <w:ind w:firstLine="400"/>
        <w:jc w:val="both"/>
      </w:pPr>
      <w:r>
        <w:rPr>
          <w:sz w:val="20"/>
        </w:rPr>
        <w:t>5、派驻</w:t>
      </w:r>
      <w:r>
        <w:rPr>
          <w:sz w:val="20"/>
        </w:rPr>
        <w:t>甲方</w:t>
      </w:r>
      <w:r>
        <w:rPr>
          <w:sz w:val="20"/>
        </w:rPr>
        <w:t>的所有维护人员需提交与</w:t>
      </w:r>
      <w:r>
        <w:rPr>
          <w:sz w:val="20"/>
        </w:rPr>
        <w:t>乙方</w:t>
      </w:r>
      <w:r>
        <w:rPr>
          <w:sz w:val="20"/>
        </w:rPr>
        <w:t>签订的保密协议，由</w:t>
      </w:r>
      <w:r>
        <w:rPr>
          <w:sz w:val="20"/>
        </w:rPr>
        <w:t>甲方</w:t>
      </w:r>
      <w:r>
        <w:rPr>
          <w:sz w:val="20"/>
        </w:rPr>
        <w:t>存档。如服务期限内，</w:t>
      </w:r>
      <w:r>
        <w:rPr>
          <w:sz w:val="20"/>
        </w:rPr>
        <w:t>乙方</w:t>
      </w:r>
      <w:r>
        <w:rPr>
          <w:sz w:val="20"/>
        </w:rPr>
        <w:t>驻场维护人员有变动，新派驻人员保密协议须在更换时同期提交</w:t>
      </w:r>
      <w:r>
        <w:rPr>
          <w:sz w:val="20"/>
        </w:rPr>
        <w:t>甲方</w:t>
      </w:r>
      <w:r>
        <w:rPr>
          <w:sz w:val="20"/>
        </w:rPr>
        <w:t>存档。</w:t>
      </w:r>
    </w:p>
    <w:p>
      <w:pPr>
        <w:pStyle w:val="null3"/>
        <w:ind w:firstLine="400"/>
        <w:jc w:val="both"/>
      </w:pPr>
      <w:r>
        <w:rPr>
          <w:sz w:val="20"/>
        </w:rPr>
        <w:t>（三）驻场时间要求</w:t>
      </w:r>
    </w:p>
    <w:p>
      <w:pPr>
        <w:pStyle w:val="null3"/>
        <w:ind w:firstLine="400"/>
        <w:jc w:val="both"/>
      </w:pPr>
      <w:r>
        <w:rPr>
          <w:sz w:val="20"/>
        </w:rPr>
        <w:t>每天（含周末、节假日）</w:t>
      </w:r>
      <w:r>
        <w:rPr>
          <w:sz w:val="20"/>
        </w:rPr>
        <w:t>8：30-17：30驻场人员在指定的地点待命，其他时间在接到故障报修的通知后，30分钟内到达现场进行处理，并及时反馈处理结果。</w:t>
      </w:r>
    </w:p>
    <w:p>
      <w:pPr>
        <w:pStyle w:val="null3"/>
        <w:jc w:val="both"/>
      </w:pPr>
      <w:r>
        <w:rPr>
          <w:sz w:val="20"/>
        </w:rPr>
        <w:t>其他内容及要求详见《</w:t>
      </w:r>
      <w:r>
        <w:rPr>
          <w:sz w:val="20"/>
        </w:rPr>
        <w:t>广东省番禺监狱（</w:t>
      </w:r>
      <w:r>
        <w:rPr>
          <w:sz w:val="20"/>
        </w:rPr>
        <w:t>2025年度）政务信息化基础设施运维项目及办公设备桌面运维服务项目需求书</w:t>
      </w:r>
      <w:r>
        <w:rPr>
          <w:sz w:val="20"/>
        </w:rPr>
        <w:t>》。</w:t>
      </w:r>
    </w:p>
    <w:p>
      <w:pPr>
        <w:pStyle w:val="null3"/>
        <w:jc w:val="both"/>
      </w:pPr>
      <w:r>
        <w:rPr>
          <w:sz w:val="20"/>
        </w:rPr>
        <w:t>三、服务期限</w:t>
      </w:r>
    </w:p>
    <w:p>
      <w:pPr>
        <w:pStyle w:val="null3"/>
        <w:ind w:firstLine="400"/>
        <w:jc w:val="both"/>
      </w:pPr>
      <w:r>
        <w:rPr>
          <w:sz w:val="20"/>
          <w:color w:val="000000"/>
        </w:rPr>
        <w:t>服务期为</w:t>
      </w:r>
      <w:r>
        <w:rPr>
          <w:sz w:val="20"/>
          <w:color w:val="000000"/>
        </w:rPr>
        <w:t>2025年5月1日至2026年4月30日；</w:t>
      </w:r>
      <w:r>
        <w:rPr>
          <w:sz w:val="20"/>
        </w:rPr>
        <w:t>服务期为</w:t>
      </w:r>
      <w:r>
        <w:rPr>
          <w:sz w:val="20"/>
        </w:rPr>
        <w:t>12个月。</w:t>
      </w:r>
    </w:p>
    <w:p>
      <w:pPr>
        <w:pStyle w:val="null3"/>
        <w:numPr>
          <w:ilvl w:val="0"/>
          <w:numId w:val="1"/>
        </w:numPr>
        <w:spacing w:after="120"/>
        <w:jc w:val="both"/>
      </w:pPr>
      <w:r>
        <w:rPr>
          <w:sz w:val="20"/>
          <w:b/>
        </w:rPr>
        <w:t>合同金额与结算方式</w:t>
      </w:r>
    </w:p>
    <w:p>
      <w:pPr>
        <w:pStyle w:val="null3"/>
        <w:ind w:left="420"/>
        <w:jc w:val="both"/>
      </w:pPr>
      <w:r>
        <w:rPr>
          <w:sz w:val="20"/>
          <w:b/>
        </w:rPr>
        <w:t>一、</w:t>
      </w:r>
      <w:r>
        <w:rPr>
          <w:sz w:val="20"/>
          <w:b/>
        </w:rPr>
        <w:t>合同金额</w:t>
      </w:r>
    </w:p>
    <w:p>
      <w:pPr>
        <w:pStyle w:val="null3"/>
        <w:ind w:firstLine="400"/>
        <w:jc w:val="both"/>
      </w:pPr>
      <w:r>
        <w:rPr>
          <w:sz w:val="20"/>
        </w:rPr>
        <w:t>合同总金额为（大写）：人民币</w:t>
      </w:r>
      <w:r>
        <w:rPr>
          <w:sz w:val="21"/>
          <w:u w:val="single"/>
        </w:rPr>
        <w:t xml:space="preserve">               </w:t>
      </w:r>
      <w:r>
        <w:rPr>
          <w:sz w:val="21"/>
        </w:rPr>
        <w:t xml:space="preserve"> </w:t>
      </w:r>
      <w:r>
        <w:rPr>
          <w:sz w:val="20"/>
        </w:rPr>
        <w:t>，本合同总金额为乙方按照合同约定完成合同全部义务后所适用的含税总价格。</w:t>
      </w:r>
    </w:p>
    <w:p>
      <w:pPr>
        <w:pStyle w:val="null3"/>
        <w:ind w:left="420"/>
        <w:jc w:val="both"/>
      </w:pPr>
      <w:r>
        <w:rPr>
          <w:sz w:val="20"/>
          <w:b/>
        </w:rPr>
        <w:t>二、</w:t>
      </w:r>
      <w:r>
        <w:rPr>
          <w:sz w:val="20"/>
          <w:b/>
        </w:rPr>
        <w:t>结算方式</w:t>
      </w:r>
    </w:p>
    <w:p>
      <w:pPr>
        <w:pStyle w:val="null3"/>
        <w:jc w:val="both"/>
      </w:pPr>
      <w:r>
        <w:rPr>
          <w:sz w:val="20"/>
          <w:b/>
        </w:rPr>
        <w:t>（</w:t>
      </w:r>
      <w:r>
        <w:rPr>
          <w:sz w:val="20"/>
          <w:b/>
        </w:rPr>
        <w:t>一</w:t>
      </w:r>
      <w:r>
        <w:rPr>
          <w:sz w:val="20"/>
          <w:b/>
        </w:rPr>
        <w:t>）</w:t>
      </w:r>
      <w:r>
        <w:rPr>
          <w:sz w:val="20"/>
          <w:b/>
        </w:rPr>
        <w:t>费用结算方式</w:t>
      </w:r>
    </w:p>
    <w:p>
      <w:pPr>
        <w:pStyle w:val="null3"/>
        <w:ind w:firstLine="400"/>
      </w:pPr>
      <w:r>
        <w:rPr>
          <w:sz w:val="20"/>
        </w:rPr>
        <w:t>1、在合同签订后10个工作日内，乙方支付合同总金额5%的履约保证金，项目验收结束后30个工作日内，甲方根据本合同约定退回履约保证金余款（乙方无违约时全额退回，有违约时将可能发生部分扣款或者全额扣款），履约保证金不计利息。履约保证金形式：可以采用银行转账、支票、汇票、本票或者金融机构、担保机构出具的保函等非现金形式提交，以保函形式提交的保函有效期应不小于本项目维保期。</w:t>
      </w:r>
    </w:p>
    <w:p>
      <w:pPr>
        <w:pStyle w:val="null3"/>
        <w:ind w:firstLine="400"/>
      </w:pPr>
      <w:r>
        <w:rPr>
          <w:sz w:val="20"/>
        </w:rPr>
        <w:t>2、本项目分 3 期支付，具体支付方式和时间如下：</w:t>
      </w:r>
    </w:p>
    <w:p>
      <w:pPr>
        <w:pStyle w:val="null3"/>
        <w:ind w:firstLine="400"/>
      </w:pPr>
      <w:r>
        <w:rPr>
          <w:sz w:val="20"/>
        </w:rPr>
        <w:t>（</w:t>
      </w:r>
      <w:r>
        <w:rPr>
          <w:sz w:val="20"/>
        </w:rPr>
        <w:t>1）首期款：签订合同后10个工作日内，乙方书面提出支付申请函及拟支付金额等额的符合甲方财务管理要求的相应发票，甲方确认后启动首期款支付流程，支付合同金额的30%，即人民币</w:t>
      </w:r>
      <w:r>
        <w:rPr>
          <w:u w:val="single"/>
        </w:rPr>
        <w:t xml:space="preserve">               </w:t>
      </w:r>
      <w:r>
        <w:rPr>
          <w:sz w:val="20"/>
        </w:rPr>
        <w:t>。</w:t>
      </w:r>
    </w:p>
    <w:p>
      <w:pPr>
        <w:pStyle w:val="null3"/>
        <w:ind w:firstLine="400"/>
      </w:pPr>
      <w:r>
        <w:rPr>
          <w:sz w:val="20"/>
        </w:rPr>
        <w:t>（</w:t>
      </w:r>
      <w:r>
        <w:rPr>
          <w:sz w:val="20"/>
        </w:rPr>
        <w:t>2）进度款：2025年12月，乙方书面提出支付申请函及拟支付金额等额的符合甲方财务管理要求的相应发票，项目所涉及运维内容的主要使用部门出具满意或以上的用户意见后，甲方确认后启动进度款支付流程，支付合同金额的30%，即人民币</w:t>
      </w:r>
      <w:r>
        <w:rPr>
          <w:u w:val="single"/>
        </w:rPr>
        <w:t xml:space="preserve">               </w:t>
      </w:r>
      <w:r>
        <w:rPr>
          <w:sz w:val="20"/>
        </w:rPr>
        <w:t>。</w:t>
      </w:r>
    </w:p>
    <w:p>
      <w:pPr>
        <w:pStyle w:val="null3"/>
        <w:ind w:firstLine="400"/>
      </w:pPr>
      <w:r>
        <w:rPr>
          <w:sz w:val="20"/>
        </w:rPr>
        <w:t>（</w:t>
      </w:r>
      <w:r>
        <w:rPr>
          <w:sz w:val="20"/>
        </w:rPr>
        <w:t>3）尾款：2026年项目通过终验后，乙方递交了服务总结报告后，项目所涉及运维内容的主要使用部门出具满意或以上的用户意见后，10个工作日内支付本项目尾款，即人民币</w:t>
      </w:r>
      <w:r>
        <w:rPr>
          <w:u w:val="single"/>
        </w:rPr>
        <w:t xml:space="preserve">               </w:t>
      </w:r>
      <w:r>
        <w:rPr>
          <w:sz w:val="20"/>
        </w:rPr>
        <w:t>。</w:t>
      </w:r>
    </w:p>
    <w:p>
      <w:pPr>
        <w:pStyle w:val="null3"/>
        <w:ind w:firstLine="400"/>
      </w:pPr>
      <w:r>
        <w:rPr>
          <w:sz w:val="20"/>
          <w:b/>
        </w:rPr>
        <w:t>三、</w:t>
      </w:r>
      <w:r>
        <w:rPr>
          <w:sz w:val="20"/>
          <w:b/>
        </w:rPr>
        <w:t>乙方账号信息</w:t>
      </w:r>
    </w:p>
    <w:p>
      <w:pPr>
        <w:pStyle w:val="null3"/>
        <w:ind w:firstLine="400"/>
      </w:pPr>
      <w:r>
        <w:rPr>
          <w:sz w:val="20"/>
        </w:rPr>
        <w:t>开户名称：</w:t>
      </w:r>
    </w:p>
    <w:p>
      <w:pPr>
        <w:pStyle w:val="null3"/>
        <w:ind w:firstLine="400"/>
      </w:pPr>
      <w:r>
        <w:rPr>
          <w:sz w:val="20"/>
        </w:rPr>
        <w:t>开户银行：</w:t>
      </w:r>
    </w:p>
    <w:p>
      <w:pPr>
        <w:pStyle w:val="null3"/>
        <w:ind w:firstLine="400"/>
      </w:pPr>
      <w:r>
        <w:rPr>
          <w:sz w:val="20"/>
        </w:rPr>
        <w:t>银行账号：</w:t>
      </w:r>
    </w:p>
    <w:p>
      <w:pPr>
        <w:pStyle w:val="null3"/>
        <w:ind w:firstLine="400"/>
      </w:pPr>
      <w:r>
        <w:rPr>
          <w:sz w:val="20"/>
        </w:rPr>
        <w:t>甲方向上述账户汇出款项后，即视为甲方已履行付款义务，在汇款过程中因乙方账户原因（包括但不限于账号被注销、被冻结等）导致其无法收取款项的，由乙方承担相应后果。甲方有权直接在应付款项中扣除乙方应承担的违约金或赔偿金等对应款项。</w:t>
      </w:r>
    </w:p>
    <w:p>
      <w:pPr>
        <w:pStyle w:val="null3"/>
        <w:ind w:firstLine="400"/>
      </w:pPr>
      <w:r>
        <w:rPr>
          <w:sz w:val="20"/>
          <w:b/>
        </w:rPr>
        <w:t>四、</w:t>
      </w:r>
      <w:r>
        <w:rPr>
          <w:sz w:val="20"/>
          <w:b/>
        </w:rPr>
        <w:t>其他</w:t>
      </w:r>
    </w:p>
    <w:p>
      <w:pPr>
        <w:pStyle w:val="null3"/>
        <w:ind w:firstLine="400"/>
      </w:pPr>
      <w:r>
        <w:rPr>
          <w:sz w:val="20"/>
        </w:rPr>
        <w:t>除本合同明确约定的费用外，甲方无需对乙方支付任何额外费用和承担任何额外义务。在实际合同履行过程中，如果乙方未完全履行合同义务或履行的合同义务不符合约定的，则未履行或履行不符合合同约定的内容所对应的价款由甲方直接从上述约定的合同金额中扣除。</w:t>
      </w:r>
    </w:p>
    <w:p>
      <w:pPr>
        <w:pStyle w:val="null3"/>
        <w:numPr>
          <w:ilvl w:val="0"/>
          <w:numId w:val="1"/>
        </w:numPr>
        <w:spacing w:after="120"/>
        <w:jc w:val="both"/>
      </w:pPr>
      <w:r>
        <w:rPr>
          <w:sz w:val="20"/>
          <w:b/>
        </w:rPr>
        <w:t>服务</w:t>
      </w:r>
      <w:r>
        <w:rPr>
          <w:sz w:val="20"/>
          <w:b/>
        </w:rPr>
        <w:t>考核及</w:t>
      </w:r>
      <w:r>
        <w:rPr>
          <w:sz w:val="20"/>
          <w:b/>
        </w:rPr>
        <w:t>验收</w:t>
      </w:r>
    </w:p>
    <w:p>
      <w:pPr>
        <w:pStyle w:val="null3"/>
        <w:spacing w:after="120"/>
        <w:ind w:firstLine="400"/>
        <w:jc w:val="both"/>
      </w:pPr>
      <w:r>
        <w:rPr>
          <w:sz w:val="20"/>
        </w:rPr>
        <w:t>运维服务绩效考核结果作为用户对运维团队全部工作成果评价的依据，为用户对运维团队项目期内服务质量、服务水平和合同履行等完成情况提供客观的分析数据。一般情况下，每季度考核一次。</w:t>
      </w:r>
    </w:p>
    <w:p>
      <w:pPr>
        <w:pStyle w:val="null3"/>
        <w:spacing w:after="120"/>
        <w:jc w:val="both"/>
      </w:pPr>
      <w:r>
        <w:rPr>
          <w:sz w:val="20"/>
        </w:rPr>
        <w:t xml:space="preserve">   </w:t>
      </w:r>
      <w:r>
        <w:rPr>
          <w:sz w:val="20"/>
        </w:rPr>
        <w:t>对</w:t>
      </w:r>
      <w:r>
        <w:rPr>
          <w:sz w:val="20"/>
        </w:rPr>
        <w:t>乙方</w:t>
      </w:r>
      <w:r>
        <w:rPr>
          <w:sz w:val="20"/>
        </w:rPr>
        <w:t>运维服务绩效考核指标如下：</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80"/>
        <w:gridCol w:w="1056"/>
        <w:gridCol w:w="810"/>
        <w:gridCol w:w="4833"/>
        <w:gridCol w:w="1056"/>
        <w:gridCol w:w="897"/>
        <w:gridCol w:w="998"/>
      </w:tblGrid>
      <w:tr>
        <w:tc>
          <w:tcPr>
            <w:tcW w:type="dxa" w:w="10330"/>
            <w:gridSpan w:val="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运维服务绩效考核评价表</w:t>
            </w:r>
          </w:p>
        </w:tc>
      </w:tr>
      <w:tr>
        <w:tc>
          <w:tcPr>
            <w:tcW w:type="dxa" w:w="6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序号</w:t>
            </w:r>
          </w:p>
        </w:tc>
        <w:tc>
          <w:tcPr>
            <w:tcW w:type="dxa" w:w="6699"/>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项目及考核内容</w:t>
            </w:r>
          </w:p>
        </w:tc>
        <w:tc>
          <w:tcPr>
            <w:tcW w:type="dxa" w:w="10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分值</w:t>
            </w:r>
          </w:p>
        </w:tc>
        <w:tc>
          <w:tcPr>
            <w:tcW w:type="dxa" w:w="89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得分</w:t>
            </w:r>
          </w:p>
        </w:tc>
        <w:tc>
          <w:tcPr>
            <w:tcW w:type="dxa" w:w="99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备注</w:t>
            </w:r>
          </w:p>
        </w:tc>
      </w:tr>
      <w:tr>
        <w:tc>
          <w:tcPr>
            <w:tcW w:type="dxa" w:w="68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1</w:t>
            </w:r>
          </w:p>
        </w:tc>
        <w:tc>
          <w:tcPr>
            <w:tcW w:type="dxa" w:w="105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团队的人员稳定性</w:t>
            </w:r>
          </w:p>
        </w:tc>
        <w:tc>
          <w:tcPr>
            <w:tcW w:type="dxa" w:w="81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20</w:t>
            </w: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0"/>
              </w:rPr>
              <w:t>驻点人员流动数量为</w:t>
            </w:r>
            <w:r>
              <w:rPr>
                <w:sz w:val="20"/>
              </w:rPr>
              <w:t>0人。</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20</w:t>
            </w:r>
          </w:p>
        </w:tc>
        <w:tc>
          <w:tcPr>
            <w:tcW w:type="dxa" w:w="897"/>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99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人员流动数量当月度达到</w:t>
            </w:r>
            <w:r>
              <w:rPr>
                <w:sz w:val="20"/>
              </w:rPr>
              <w:t>1人。（服务期第1个月的人员流动数量不计入评分）</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10-20）</w:t>
            </w:r>
          </w:p>
        </w:tc>
        <w:tc>
          <w:tcPr>
            <w:tcW w:type="dxa" w:w="897"/>
            <w:vMerge/>
            <w:tcBorders>
              <w:top w:val="singl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人员流动数量当月度达到</w:t>
            </w:r>
            <w:r>
              <w:rPr>
                <w:sz w:val="20"/>
              </w:rPr>
              <w:t>2人。（服务期第1个月的人员流动数量不计入评分）</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0-10）</w:t>
            </w:r>
          </w:p>
        </w:tc>
        <w:tc>
          <w:tcPr>
            <w:tcW w:type="dxa" w:w="897"/>
            <w:vMerge/>
            <w:tcBorders>
              <w:top w:val="singl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05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服务时效性</w:t>
            </w:r>
          </w:p>
        </w:tc>
        <w:tc>
          <w:tcPr>
            <w:tcW w:type="dxa" w:w="81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20</w:t>
            </w: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0"/>
              </w:rPr>
              <w:t>收到任务需求处理时，响应速度快，工作效率高，并在规定时间内提前完成</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20</w:t>
            </w:r>
          </w:p>
        </w:tc>
        <w:tc>
          <w:tcPr>
            <w:tcW w:type="dxa" w:w="89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能收到任务需求处理时，效率较高，规定时间内完成</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16-19）</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工作不误期，表现符合标准</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10-15）</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勉强胜任工作，无甚表现</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5-10）</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工作效率低，时有差错，解决故障能力低</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0-5）</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105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服务质量</w:t>
            </w:r>
          </w:p>
        </w:tc>
        <w:tc>
          <w:tcPr>
            <w:tcW w:type="dxa" w:w="81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20</w:t>
            </w: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0"/>
              </w:rPr>
              <w:t>客户非常满意，或有表扬</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20</w:t>
            </w:r>
          </w:p>
        </w:tc>
        <w:tc>
          <w:tcPr>
            <w:tcW w:type="dxa" w:w="89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客户满意</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16-19）</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客户较为满意</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10-15）</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客户满意度一般</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5-10）</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客户不满意，或有投诉</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0-5）</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105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运维管理成效</w:t>
            </w:r>
          </w:p>
        </w:tc>
        <w:tc>
          <w:tcPr>
            <w:tcW w:type="dxa" w:w="81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20</w:t>
            </w: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0"/>
              </w:rPr>
              <w:t>工作态度好，责任感强，任劳任怨，竭尽所能完成任务</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20</w:t>
            </w:r>
          </w:p>
        </w:tc>
        <w:tc>
          <w:tcPr>
            <w:tcW w:type="dxa" w:w="89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工作努力主动，能较好完成分内工作</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16-19）</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有责任心，能自动自发</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10-15）</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出勤率一般，运维工作需要督促方能完成</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5-10）</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出勤率差，敷衍了事，无责任心，做事粗心大意</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0-5）</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105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沟通协调</w:t>
            </w:r>
          </w:p>
        </w:tc>
        <w:tc>
          <w:tcPr>
            <w:tcW w:type="dxa" w:w="81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10</w:t>
            </w: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0"/>
              </w:rPr>
              <w:t>能较好的完成与运维工作中各单位及部门之间的协调，保障工作顺利进行</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10</w:t>
            </w:r>
          </w:p>
        </w:tc>
        <w:tc>
          <w:tcPr>
            <w:tcW w:type="dxa" w:w="89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乐意与人沟通协调，顺利达成任务</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8-9）</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尚能与人合作，达成工作要求</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5-7）</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协调不善，致使工作较难开展</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3-4）</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无法与人协调，致使工作无法开展</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0-3）</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105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工作技能</w:t>
            </w:r>
          </w:p>
        </w:tc>
        <w:tc>
          <w:tcPr>
            <w:tcW w:type="dxa" w:w="81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10</w:t>
            </w: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0"/>
              </w:rPr>
              <w:t>具有极丰富的专业技能，能充分完成本身运维服务工作</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10</w:t>
            </w:r>
          </w:p>
        </w:tc>
        <w:tc>
          <w:tcPr>
            <w:tcW w:type="dxa" w:w="89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有相当的专业技能，足以应付本身工作</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8-9）</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专业技能一般，但对完成任务尚无障碍</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5-7）</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技能程度稍感不足，执行职务常需请教他人</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3-4）</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对工作必需技能不熟悉，日常工作难以完成</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w:t>
            </w:r>
            <w:r>
              <w:rPr>
                <w:sz w:val="20"/>
              </w:rPr>
              <w:t>0-3）</w:t>
            </w: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r>
      <w:tr>
        <w:tc>
          <w:tcPr>
            <w:tcW w:type="dxa" w:w="68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105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加分项</w:t>
            </w:r>
          </w:p>
        </w:tc>
        <w:tc>
          <w:tcPr>
            <w:tcW w:type="dxa" w:w="810"/>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提出创新建议，得到采纳的，相应加</w:t>
            </w:r>
            <w:r>
              <w:rPr>
                <w:sz w:val="20"/>
              </w:rPr>
              <w:t>1-5分；</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p>
        </w:tc>
        <w:tc>
          <w:tcPr>
            <w:tcW w:type="dxa" w:w="89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80"/>
            <w:vMerge/>
            <w:tcBorders>
              <w:top w:val="none" w:color="000000" w:sz="4"/>
              <w:left w:val="single" w:color="000000" w:sz="4"/>
              <w:bottom w:val="single" w:color="000000" w:sz="4"/>
              <w:right w:val="single" w:color="000000" w:sz="4"/>
            </w:tcBorders>
          </w:tcPr>
          <w:p/>
        </w:tc>
        <w:tc>
          <w:tcPr>
            <w:tcW w:type="dxa" w:w="1056"/>
            <w:vMerge/>
            <w:tcBorders>
              <w:top w:val="none" w:color="000000" w:sz="4"/>
              <w:left w:val="none" w:color="000000" w:sz="4"/>
              <w:bottom w:val="single" w:color="000000" w:sz="4"/>
              <w:right w:val="single" w:color="000000" w:sz="4"/>
            </w:tcBorders>
          </w:tcPr>
          <w:p/>
        </w:tc>
        <w:tc>
          <w:tcPr>
            <w:tcW w:type="dxa" w:w="810"/>
            <w:vMerge/>
            <w:tcBorders>
              <w:top w:val="none" w:color="000000" w:sz="4"/>
              <w:left w:val="none" w:color="000000" w:sz="4"/>
              <w:bottom w:val="single" w:color="000000" w:sz="4"/>
              <w:right w:val="single" w:color="000000" w:sz="4"/>
            </w:tcBorders>
          </w:tcPr>
          <w:p/>
        </w:tc>
        <w:tc>
          <w:tcPr>
            <w:tcW w:type="dxa" w:w="48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工作积极完成效果较好的，相应加</w:t>
            </w:r>
            <w:r>
              <w:rPr>
                <w:sz w:val="20"/>
              </w:rPr>
              <w:t>1-5分</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p>
        </w:tc>
        <w:tc>
          <w:tcPr>
            <w:tcW w:type="dxa" w:w="897"/>
            <w:vMerge/>
            <w:tcBorders>
              <w:top w:val="none" w:color="000000" w:sz="4"/>
              <w:left w:val="none" w:color="000000" w:sz="4"/>
              <w:bottom w:val="single" w:color="000000" w:sz="4"/>
              <w:right w:val="single" w:color="000000" w:sz="4"/>
            </w:tcBorders>
          </w:tc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扣分项</w:t>
            </w:r>
          </w:p>
        </w:tc>
        <w:tc>
          <w:tcPr>
            <w:tcW w:type="dxa" w:w="8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5889"/>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违反总体要求及具体服务要求的，或业主方以其他合理需扣分的，每项每次扣</w:t>
            </w:r>
            <w:r>
              <w:rPr>
                <w:sz w:val="20"/>
              </w:rPr>
              <w:t>2分。</w:t>
            </w:r>
          </w:p>
        </w:tc>
        <w:tc>
          <w:tcPr>
            <w:tcW w:type="dxa" w:w="8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6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0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总分</w:t>
            </w:r>
          </w:p>
        </w:tc>
        <w:tc>
          <w:tcPr>
            <w:tcW w:type="dxa" w:w="8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100</w:t>
            </w:r>
          </w:p>
        </w:tc>
        <w:tc>
          <w:tcPr>
            <w:tcW w:type="dxa" w:w="5889"/>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0"/>
              </w:rPr>
              <w:t>最终得分</w:t>
            </w:r>
          </w:p>
        </w:tc>
        <w:tc>
          <w:tcPr>
            <w:tcW w:type="dxa" w:w="89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p>
        </w:tc>
        <w:tc>
          <w:tcPr>
            <w:tcW w:type="dxa" w:w="9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0330"/>
            <w:gridSpan w:val="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注：考核结果得分</w:t>
            </w:r>
            <w:r>
              <w:rPr>
                <w:sz w:val="20"/>
              </w:rPr>
              <w:t>90分以上（含本数）视为合格，低于90分（不含本数）视为不合格。</w:t>
            </w:r>
          </w:p>
        </w:tc>
      </w:tr>
    </w:tbl>
    <w:p>
      <w:pPr>
        <w:pStyle w:val="null3"/>
        <w:numPr>
          <w:ilvl w:val="0"/>
          <w:numId w:val="1"/>
        </w:numPr>
        <w:spacing w:after="120"/>
        <w:jc w:val="both"/>
      </w:pPr>
      <w:r>
        <w:rPr>
          <w:sz w:val="20"/>
          <w:b/>
        </w:rPr>
        <w:t>相关处罚</w:t>
      </w:r>
    </w:p>
    <w:p>
      <w:pPr>
        <w:pStyle w:val="null3"/>
        <w:spacing w:after="120"/>
        <w:jc w:val="both"/>
      </w:pPr>
      <w:r>
        <w:rPr>
          <w:sz w:val="20"/>
        </w:rPr>
        <w:t>如运维团队及成员出现以下问题，将进行登记，并按以下规则处罚：</w:t>
      </w:r>
    </w:p>
    <w:tbl>
      <w:tblPr>
        <w:tblW w:w="0" w:type="auto"/>
        <w:tblBorders>
          <w:top w:val="none" w:color="000000" w:sz="4"/>
          <w:left w:val="none" w:color="000000" w:sz="4"/>
          <w:bottom w:val="none" w:color="000000" w:sz="4"/>
          <w:right w:val="none" w:color="000000" w:sz="4"/>
          <w:insideH w:val="none"/>
          <w:insideV w:val="none"/>
        </w:tblBorders>
      </w:tblPr>
      <w:tblGrid>
        <w:gridCol w:w="850"/>
        <w:gridCol w:w="694"/>
        <w:gridCol w:w="1190"/>
        <w:gridCol w:w="6094"/>
        <w:gridCol w:w="382"/>
        <w:gridCol w:w="382"/>
        <w:gridCol w:w="127"/>
        <w:gridCol w:w="623"/>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序号</w:t>
            </w:r>
          </w:p>
        </w:tc>
        <w:tc>
          <w:tcPr>
            <w:tcW w:type="dxa" w:w="188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项目</w:t>
            </w:r>
          </w:p>
        </w:tc>
        <w:tc>
          <w:tcPr>
            <w:tcW w:type="dxa" w:w="6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具体事项</w:t>
            </w:r>
          </w:p>
        </w:tc>
        <w:tc>
          <w:tcPr>
            <w:tcW w:type="dxa" w:w="7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扣款</w:t>
            </w:r>
          </w:p>
        </w:tc>
        <w:tc>
          <w:tcPr>
            <w:tcW w:type="dxa" w:w="7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备注</w:t>
            </w:r>
          </w:p>
        </w:tc>
      </w:tr>
      <w:tr>
        <w:tc>
          <w:tcPr>
            <w:tcW w:type="dxa" w:w="1034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一、日常管理</w:t>
            </w:r>
          </w:p>
        </w:tc>
      </w:tr>
      <w:tr>
        <w:tc>
          <w:tcPr>
            <w:tcW w:type="dxa" w:w="1034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（一）人员</w:t>
            </w:r>
            <w:r>
              <w:rPr>
                <w:sz w:val="20"/>
              </w:rPr>
              <w:t>/团队</w:t>
            </w:r>
            <w:r>
              <w:rPr>
                <w:sz w:val="20"/>
              </w:rPr>
              <w:t>考核</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w:t>
            </w:r>
          </w:p>
        </w:tc>
        <w:tc>
          <w:tcPr>
            <w:tcW w:type="dxa" w:w="188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按时上下班</w:t>
            </w:r>
          </w:p>
        </w:tc>
        <w:tc>
          <w:tcPr>
            <w:tcW w:type="dxa" w:w="6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维护人员未按时上下班每人次扣</w:t>
            </w:r>
            <w:r>
              <w:rPr>
                <w:sz w:val="20"/>
              </w:rPr>
              <w:t>100元。</w:t>
            </w:r>
          </w:p>
        </w:tc>
        <w:tc>
          <w:tcPr>
            <w:tcW w:type="dxa" w:w="7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旷工情况</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维护人员未上班的，每人每天次扣</w:t>
            </w:r>
            <w:r>
              <w:rPr>
                <w:sz w:val="20"/>
              </w:rPr>
              <w:t>200元。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履职情况</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未能按要求履职，或被投诉的，或故意拖延和推诿，无故不到位的每人次扣</w:t>
            </w:r>
            <w:r>
              <w:rPr>
                <w:sz w:val="20"/>
              </w:rPr>
              <w:t>200元。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着装情况</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按监狱要求着装，未按要求落实每人次扣</w:t>
            </w:r>
            <w:r>
              <w:rPr>
                <w:sz w:val="20"/>
              </w:rPr>
              <w:t>100元。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无法联系</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维护人员无法联系，扣</w:t>
            </w:r>
            <w:r>
              <w:rPr>
                <w:sz w:val="20"/>
              </w:rPr>
              <w:t>100元。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未配齐人员</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运维公司未按合同要求配齐</w:t>
            </w:r>
            <w:r>
              <w:rPr>
                <w:sz w:val="20"/>
              </w:rPr>
              <w:t>4人，缺岗人数</w:t>
            </w:r>
            <w:r>
              <w:rPr>
                <w:sz w:val="20"/>
              </w:rPr>
              <w:t>每人每天次扣</w:t>
            </w:r>
            <w:r>
              <w:rPr>
                <w:sz w:val="20"/>
              </w:rPr>
              <w:t>200元。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其他</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未按监狱要求落实的，视情节扣</w:t>
            </w:r>
            <w:r>
              <w:rPr>
                <w:sz w:val="20"/>
              </w:rPr>
              <w:t>100-200元。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4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（二）台账管理</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7</w:t>
            </w:r>
          </w:p>
        </w:tc>
        <w:tc>
          <w:tcPr>
            <w:tcW w:type="dxa" w:w="188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系统台账</w:t>
            </w:r>
          </w:p>
        </w:tc>
        <w:tc>
          <w:tcPr>
            <w:tcW w:type="dxa" w:w="6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中标商应建立完整的信息化系统台账，对监狱各系统软硬件进行分类并登记成册。未建立台账的，扣</w:t>
            </w:r>
            <w:r>
              <w:rPr>
                <w:sz w:val="20"/>
              </w:rPr>
              <w:t>3000元；台账未同步更新的，扣1000元。</w:t>
            </w:r>
          </w:p>
        </w:tc>
        <w:tc>
          <w:tcPr>
            <w:tcW w:type="dxa" w:w="7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维护手册</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建立各系统检测指南，规范系统检测步骤，最终形成维护文档库。未建成文档库的，扣</w:t>
            </w:r>
            <w:r>
              <w:rPr>
                <w:sz w:val="20"/>
              </w:rPr>
              <w:t>3000元；文档库未同步更新的，扣1000元。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管理制度</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建立完善的运维管理制度、工作流程、人员考核制度，缺少一项扣</w:t>
            </w:r>
            <w:r>
              <w:rPr>
                <w:sz w:val="20"/>
              </w:rPr>
              <w:t>1000元。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巡检保养台账</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每月进行</w:t>
            </w:r>
            <w:r>
              <w:rPr>
                <w:sz w:val="20"/>
              </w:rPr>
              <w:t>1次全面巡检和保养，并提交巡检保养情况报告。未按要求建立台账的，扣3000元；未提交报告的，每一次扣1000元。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其他</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其他未按监狱要求落实的，视情节扣</w:t>
            </w:r>
            <w:r>
              <w:rPr>
                <w:sz w:val="20"/>
              </w:rPr>
              <w:t>100-3000元。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A</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分项扣款小计</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4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二、服务时效性</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w:t>
            </w:r>
          </w:p>
        </w:tc>
        <w:tc>
          <w:tcPr>
            <w:tcW w:type="dxa" w:w="188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1级故障（系统不能工作，业务停止）</w:t>
            </w:r>
          </w:p>
        </w:tc>
        <w:tc>
          <w:tcPr>
            <w:tcW w:type="dxa" w:w="6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立即响应，</w:t>
            </w:r>
            <w:r>
              <w:rPr>
                <w:sz w:val="20"/>
              </w:rPr>
              <w:t>2小时恢复系统正常，8小时内分析故障原因，提出问题分析报告和整改方案。未能按要求落实的，每次扣300元。</w:t>
            </w:r>
          </w:p>
        </w:tc>
        <w:tc>
          <w:tcPr>
            <w:tcW w:type="dxa" w:w="7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2级故障（系统能够工作，但部分功能失效）</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30分钟内响应，4小时内恢复系统正常，24小时内分析故障原因，提出问题分析报告和整改方案。未能按要求落实的，每次扣200元。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3级故障（系统可以运行，但出现系统报错或影响监狱使用的问题）</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30分钟内响应，4小时内恢复系统正常或给出应急处理办法，24小时内分析故障原因，提出问题分析报告和整改方案。未能按要求落实的，每次扣100元。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应急响应时效性</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法定工作时间外提供值班人员联系电话，应急响应人员应在</w:t>
            </w:r>
            <w:r>
              <w:rPr>
                <w:sz w:val="20"/>
              </w:rPr>
              <w:t>20分钟内到达现场。 值班人员电话联系的，每一次扣200元；急响应人员未在20分钟内到达现场的，每一次扣100元。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其他</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其他未按要求落实造成不良影响的，视情节扣</w:t>
            </w:r>
            <w:r>
              <w:rPr>
                <w:sz w:val="20"/>
              </w:rPr>
              <w:t>100-3000元。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B</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分项扣款小计</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4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三、应用系统</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序号</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项目</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内容</w:t>
            </w:r>
          </w:p>
        </w:tc>
        <w:tc>
          <w:tcPr>
            <w:tcW w:type="dxa" w:w="647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具体事项</w:t>
            </w:r>
          </w:p>
        </w:tc>
        <w:tc>
          <w:tcPr>
            <w:tcW w:type="dxa" w:w="5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扣款</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备注</w:t>
            </w: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系统</w:t>
            </w:r>
            <w:r>
              <w:rPr>
                <w:sz w:val="20"/>
              </w:rPr>
              <w:t>管理</w:t>
            </w:r>
          </w:p>
        </w:tc>
        <w:tc>
          <w:tcPr>
            <w:tcW w:type="dxa" w:w="11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常用软件与监狱业务软件安装</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没有安装应用软件的，每漏装</w:t>
            </w:r>
            <w:r>
              <w:rPr>
                <w:sz w:val="20"/>
              </w:rPr>
              <w:t>1个扣50元。</w:t>
            </w:r>
          </w:p>
        </w:tc>
        <w:tc>
          <w:tcPr>
            <w:tcW w:type="dxa" w:w="50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vMerge/>
            <w:tcBorders>
              <w:top w:val="none" w:color="000000" w:sz="4"/>
              <w:left w:val="none" w:color="000000" w:sz="4"/>
              <w:bottom w:val="single" w:color="000000" w:sz="4"/>
              <w:right w:val="single" w:color="000000" w:sz="4"/>
            </w:tcBorders>
          </w:tcP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没有设置好软件运行环境，导致软件无法正常使用的，每例扣</w:t>
            </w:r>
            <w:r>
              <w:rPr>
                <w:sz w:val="20"/>
              </w:rPr>
              <w:t>50元。</w:t>
            </w: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2</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计算机安全管理</w:t>
            </w:r>
          </w:p>
        </w:tc>
        <w:tc>
          <w:tcPr>
            <w:tcW w:type="dxa" w:w="11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杀毒、审计、端口控制、监控等内网安全管理软件安装</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没有安装安全管理软件的，每漏装</w:t>
            </w:r>
            <w:r>
              <w:rPr>
                <w:sz w:val="20"/>
              </w:rPr>
              <w:t>1个扣100元。</w:t>
            </w:r>
          </w:p>
        </w:tc>
        <w:tc>
          <w:tcPr>
            <w:tcW w:type="dxa" w:w="50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vMerge/>
            <w:tcBorders>
              <w:top w:val="none" w:color="000000" w:sz="4"/>
              <w:left w:val="none" w:color="000000" w:sz="4"/>
              <w:bottom w:val="single" w:color="000000" w:sz="4"/>
              <w:right w:val="single" w:color="000000" w:sz="4"/>
            </w:tcBorders>
          </w:tcP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软件没有按要求进行设置的，每例扣</w:t>
            </w:r>
            <w:r>
              <w:rPr>
                <w:sz w:val="20"/>
              </w:rPr>
              <w:t>50元。</w:t>
            </w: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监狱内部局域网的设备安装</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没按监狱信息安全相关管理规定安装计算机或其周边设备的，每例扣</w:t>
            </w:r>
            <w:r>
              <w:rPr>
                <w:sz w:val="20"/>
              </w:rPr>
              <w:t>200元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计算机登录保护</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没按监狱要求设置计算机</w:t>
            </w:r>
            <w:r>
              <w:rPr>
                <w:sz w:val="20"/>
              </w:rPr>
              <w:t>BIOS和操作系统登入身份验证密码的，每例扣50元。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计算机设备管理</w:t>
            </w:r>
          </w:p>
        </w:tc>
        <w:tc>
          <w:tcPr>
            <w:tcW w:type="dxa" w:w="11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设备安装</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没安装在指定部位的，每例扣</w:t>
            </w:r>
            <w:r>
              <w:rPr>
                <w:sz w:val="20"/>
              </w:rPr>
              <w:t>50元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vMerge/>
            <w:tcBorders>
              <w:top w:val="none" w:color="000000" w:sz="4"/>
              <w:left w:val="none" w:color="000000" w:sz="4"/>
              <w:bottom w:val="single" w:color="000000" w:sz="4"/>
              <w:right w:val="single" w:color="000000" w:sz="4"/>
            </w:tcBorders>
          </w:tcP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安装后，设备摆放凌乱的，每例扣</w:t>
            </w:r>
            <w:r>
              <w:rPr>
                <w:sz w:val="20"/>
              </w:rPr>
              <w:t>50元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vMerge/>
            <w:tcBorders>
              <w:top w:val="none" w:color="000000" w:sz="4"/>
              <w:left w:val="none" w:color="000000" w:sz="4"/>
              <w:bottom w:val="single" w:color="000000" w:sz="4"/>
              <w:right w:val="single" w:color="000000" w:sz="4"/>
            </w:tcBorders>
          </w:tcP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安装后，设备线路凌乱的，每例扣</w:t>
            </w:r>
            <w:r>
              <w:rPr>
                <w:sz w:val="20"/>
              </w:rPr>
              <w:t>50元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网络连接</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非人为因素，发现一台网络设备无法正常联网的，每例扣</w:t>
            </w:r>
            <w:r>
              <w:rPr>
                <w:sz w:val="20"/>
              </w:rPr>
              <w:t>50元分</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硬件使用</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计算机不能顺畅使用的，每例扣</w:t>
            </w:r>
            <w:r>
              <w:rPr>
                <w:sz w:val="20"/>
              </w:rPr>
              <w:t>50元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会议系统</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会议保障</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大型会议有视频、音频故障，每次扣</w:t>
            </w:r>
            <w:r>
              <w:rPr>
                <w:sz w:val="20"/>
              </w:rPr>
              <w:t>100元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6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设备机房</w:t>
            </w:r>
          </w:p>
          <w:p>
            <w:pPr>
              <w:pStyle w:val="null3"/>
              <w:spacing w:after="120"/>
              <w:jc w:val="both"/>
            </w:pPr>
            <w:r>
              <w:rPr>
                <w:sz w:val="20"/>
              </w:rPr>
              <w:t>管理</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设备在线情况</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因维护人员操作不当或维护不及时导致网络设备不在线，扣</w:t>
            </w:r>
            <w:r>
              <w:rPr>
                <w:sz w:val="20"/>
              </w:rPr>
              <w:t>100元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设备故障情况</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因维护人员操作不当或维护不及时导致网络设备无法正常使用，扣</w:t>
            </w:r>
            <w:r>
              <w:rPr>
                <w:sz w:val="20"/>
              </w:rPr>
              <w:t>100元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设备运行环境</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机柜内线路连接不整齐的，每例扣</w:t>
            </w:r>
            <w:r>
              <w:rPr>
                <w:sz w:val="20"/>
              </w:rPr>
              <w:t>100元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vMerge/>
            <w:tcBorders>
              <w:top w:val="none" w:color="000000" w:sz="4"/>
              <w:left w:val="none" w:color="000000" w:sz="4"/>
              <w:bottom w:val="single" w:color="000000" w:sz="4"/>
              <w:right w:val="single" w:color="000000" w:sz="4"/>
            </w:tcBorders>
          </w:tcP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机房内设备摆放凌乱，每例扣</w:t>
            </w:r>
            <w:r>
              <w:rPr>
                <w:sz w:val="20"/>
              </w:rPr>
              <w:t>100元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vMerge/>
            <w:tcBorders>
              <w:top w:val="none" w:color="000000" w:sz="4"/>
              <w:left w:val="single" w:color="000000" w:sz="4"/>
              <w:bottom w:val="single" w:color="000000" w:sz="4"/>
              <w:right w:val="single" w:color="000000" w:sz="4"/>
            </w:tcBorders>
          </w:tcPr>
          <w:p/>
        </w:tc>
        <w:tc>
          <w:tcPr>
            <w:tcW w:type="dxa" w:w="694"/>
            <w:vMerge/>
            <w:tcBorders>
              <w:top w:val="none" w:color="000000" w:sz="4"/>
              <w:left w:val="none" w:color="000000" w:sz="4"/>
              <w:bottom w:val="single" w:color="000000" w:sz="4"/>
              <w:right w:val="single" w:color="000000" w:sz="4"/>
            </w:tcBorders>
          </w:tcPr>
          <w:p/>
        </w:tc>
        <w:tc>
          <w:tcPr>
            <w:tcW w:type="dxa" w:w="1190"/>
            <w:vMerge/>
            <w:tcBorders>
              <w:top w:val="none" w:color="000000" w:sz="4"/>
              <w:left w:val="none" w:color="000000" w:sz="4"/>
              <w:bottom w:val="single" w:color="000000" w:sz="4"/>
              <w:right w:val="single" w:color="000000" w:sz="4"/>
            </w:tcBorders>
          </w:tcP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机房设备除尘工作不达标，每例扣</w:t>
            </w:r>
            <w:r>
              <w:rPr>
                <w:sz w:val="20"/>
              </w:rPr>
              <w:t>100元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系统巡检</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巡检范围包括系统维护各项目内所包含的硬件、软件以及其运行环境等</w:t>
            </w: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每个月检查系统、服务器运行情况，处理存在问题，保障运行环境，没有落实巡检制度的，每例扣</w:t>
            </w:r>
            <w:r>
              <w:rPr>
                <w:sz w:val="20"/>
              </w:rPr>
              <w:t>300元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其他</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其他未按监狱要求落实造成不良影响的，视情节扣</w:t>
            </w:r>
            <w:r>
              <w:rPr>
                <w:sz w:val="20"/>
              </w:rPr>
              <w:t>100-300元。</w:t>
            </w: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C</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分项扣款小计</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64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342"/>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四、安防系统</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序号</w:t>
            </w:r>
          </w:p>
        </w:tc>
        <w:tc>
          <w:tcPr>
            <w:tcW w:type="dxa" w:w="188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项目</w:t>
            </w:r>
          </w:p>
        </w:tc>
        <w:tc>
          <w:tcPr>
            <w:tcW w:type="dxa" w:w="6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具体事项</w:t>
            </w:r>
          </w:p>
        </w:tc>
        <w:tc>
          <w:tcPr>
            <w:tcW w:type="dxa" w:w="7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扣款</w:t>
            </w:r>
          </w:p>
        </w:tc>
        <w:tc>
          <w:tcPr>
            <w:tcW w:type="dxa" w:w="7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备注</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视频监控系统</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因维护人员操作不当导致系统后台故障扣</w:t>
            </w:r>
            <w:r>
              <w:rPr>
                <w:sz w:val="20"/>
              </w:rPr>
              <w:t>100元；摄像头故障每例扣200元；摄像头脏污、角度不正确等无效监控每例扣100元。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应急报警系统</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因维护人员操作不当导致系统后台故障扣</w:t>
            </w:r>
            <w:r>
              <w:rPr>
                <w:sz w:val="20"/>
              </w:rPr>
              <w:t>100元；应急报警硬件设备故障的每例扣100元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对讲监听系统</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因维护人员操作不当导致系统后台故障扣</w:t>
            </w:r>
            <w:r>
              <w:rPr>
                <w:sz w:val="20"/>
              </w:rPr>
              <w:t>100元；对讲监听主机、对讲终端等设备故障每例扣50元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围墙振动光纤报警系统</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因维护人员操作不当导致振动光纤系统后台故障扣</w:t>
            </w:r>
            <w:r>
              <w:rPr>
                <w:sz w:val="20"/>
              </w:rPr>
              <w:t>100元；系统相关硬件异常每例扣50元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安防体系巡检、保养</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执行巡检制度不到位扣</w:t>
            </w:r>
            <w:r>
              <w:rPr>
                <w:sz w:val="20"/>
              </w:rPr>
              <w:t>300元，未执行巡检制度扣300元，虚假巡检台账扣500元。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省局通报批评</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受省局通报批评每次扣</w:t>
            </w:r>
            <w:r>
              <w:rPr>
                <w:sz w:val="20"/>
              </w:rPr>
              <w:t>1000元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其他</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上述未包含的安防类设备及服务合同期间新建系统的运维服务不到位的根据情形扣</w:t>
            </w:r>
            <w:r>
              <w:rPr>
                <w:sz w:val="20"/>
              </w:rPr>
              <w:t>50-500元</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D</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分项扣款小计</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E</w:t>
            </w:r>
          </w:p>
        </w:tc>
        <w:tc>
          <w:tcPr>
            <w:tcW w:type="dxa" w:w="18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扣款合计</w:t>
            </w:r>
          </w:p>
        </w:tc>
        <w:tc>
          <w:tcPr>
            <w:tcW w:type="dxa" w:w="6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以上各分项合计（</w:t>
            </w:r>
            <w:r>
              <w:rPr>
                <w:sz w:val="20"/>
              </w:rPr>
              <w:t>A+B+C+D）</w:t>
            </w:r>
          </w:p>
        </w:tc>
        <w:tc>
          <w:tcPr>
            <w:tcW w:type="dxa" w:w="7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c>
          <w:tcPr>
            <w:tcW w:type="dxa" w:w="7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numPr>
          <w:ilvl w:val="0"/>
          <w:numId w:val="1"/>
        </w:numPr>
        <w:jc w:val="center"/>
      </w:pPr>
      <w:r>
        <w:rPr>
          <w:sz w:val="20"/>
          <w:b/>
        </w:rPr>
        <w:t>不可抗力</w:t>
      </w:r>
    </w:p>
    <w:p>
      <w:pPr>
        <w:pStyle w:val="null3"/>
        <w:ind w:firstLine="400"/>
      </w:pPr>
      <w:r>
        <w:rPr>
          <w:sz w:val="20"/>
        </w:rPr>
        <w:t>（</w:t>
      </w:r>
      <w:r>
        <w:rPr>
          <w:sz w:val="20"/>
        </w:rPr>
        <w:t>1）本合同所称的不可抗力是指合同任一方所遭受的诸如地震</w:t>
      </w:r>
      <w:r>
        <w:rPr>
          <w:sz w:val="20"/>
        </w:rPr>
        <w:t>、</w:t>
      </w:r>
      <w:r>
        <w:rPr>
          <w:sz w:val="20"/>
        </w:rPr>
        <w:t>台风</w:t>
      </w:r>
      <w:r>
        <w:rPr>
          <w:sz w:val="20"/>
        </w:rPr>
        <w:t>、</w:t>
      </w:r>
      <w:r>
        <w:rPr>
          <w:sz w:val="20"/>
        </w:rPr>
        <w:t>水灾</w:t>
      </w:r>
      <w:r>
        <w:rPr>
          <w:sz w:val="20"/>
        </w:rPr>
        <w:t>、</w:t>
      </w:r>
      <w:r>
        <w:rPr>
          <w:sz w:val="20"/>
        </w:rPr>
        <w:t>战争等不能预见并且对其发生和后果不能防止或不能避免且不可克服的客观情况。</w:t>
      </w:r>
    </w:p>
    <w:p>
      <w:pPr>
        <w:pStyle w:val="null3"/>
        <w:ind w:firstLine="400"/>
      </w:pPr>
      <w:r>
        <w:rPr>
          <w:sz w:val="20"/>
        </w:rPr>
        <w:t>（</w:t>
      </w:r>
      <w:r>
        <w:rPr>
          <w:sz w:val="20"/>
        </w:rPr>
        <w:t>2）合同任一方因不可抗力不能履行或不能完全履行本合同的义务时，应在自不可抗力发生之日起立即通知合同对方，并于10日内向对方提供由事故发生地的有权机关出具的有关不可抗力的证明。</w:t>
      </w:r>
    </w:p>
    <w:p>
      <w:pPr>
        <w:pStyle w:val="null3"/>
        <w:ind w:firstLine="400"/>
      </w:pPr>
      <w:r>
        <w:rPr>
          <w:sz w:val="20"/>
        </w:rPr>
        <w:t>（</w:t>
      </w:r>
      <w:r>
        <w:rPr>
          <w:sz w:val="20"/>
        </w:rPr>
        <w:t>3）因不可抗力而受影响的一方可中止履行并自动延长履行期，延长时间与中止时间相等。但该方应采取适当手段尽量减少或消除不可抗力事件的影响，并尽可能在最短的时间内试图恢复履行被不可抗力事件延误或阻碍履行的义务。</w:t>
      </w:r>
    </w:p>
    <w:p>
      <w:pPr>
        <w:pStyle w:val="null3"/>
        <w:ind w:firstLine="400"/>
      </w:pPr>
      <w:r>
        <w:rPr>
          <w:sz w:val="20"/>
        </w:rPr>
        <w:t>（</w:t>
      </w:r>
      <w:r>
        <w:rPr>
          <w:sz w:val="20"/>
        </w:rPr>
        <w:t>4）因不可抗力不能或不能完全履行合同的，应根据不可抗力影响的程度，双方协商一致部分或全部免除违约责任。</w:t>
      </w:r>
    </w:p>
    <w:p>
      <w:pPr>
        <w:pStyle w:val="null3"/>
        <w:ind w:firstLine="400"/>
      </w:pPr>
      <w:r>
        <w:rPr>
          <w:sz w:val="20"/>
        </w:rPr>
        <w:t>（</w:t>
      </w:r>
      <w:r>
        <w:rPr>
          <w:sz w:val="20"/>
        </w:rPr>
        <w:t>5）若本合同因受不可抗力的影响而中止履行达[30]天以上，则任何一方均有权通知另一方终止本合同。但任一方不能由此而免除不可抗力发生之前应承担的责任。</w:t>
      </w:r>
    </w:p>
    <w:p>
      <w:pPr>
        <w:pStyle w:val="null3"/>
        <w:numPr>
          <w:ilvl w:val="0"/>
          <w:numId w:val="1"/>
        </w:numPr>
        <w:spacing w:before="315" w:after="315"/>
        <w:jc w:val="center"/>
      </w:pPr>
      <w:r>
        <w:rPr>
          <w:sz w:val="20"/>
          <w:b/>
        </w:rPr>
        <w:t>违约处理</w:t>
      </w:r>
    </w:p>
    <w:p>
      <w:pPr>
        <w:pStyle w:val="null3"/>
        <w:numPr>
          <w:ilvl w:val="0"/>
          <w:numId w:val="1"/>
        </w:numPr>
        <w:jc w:val="both"/>
      </w:pPr>
      <w:r>
        <w:rPr>
          <w:sz w:val="20"/>
          <w:b/>
        </w:rPr>
        <w:t>甲方违约赔偿责任</w:t>
      </w:r>
    </w:p>
    <w:p>
      <w:pPr>
        <w:pStyle w:val="null3"/>
        <w:ind w:firstLine="400"/>
      </w:pPr>
      <w:r>
        <w:rPr>
          <w:sz w:val="20"/>
        </w:rPr>
        <w:t>（</w:t>
      </w:r>
      <w:r>
        <w:rPr>
          <w:sz w:val="20"/>
        </w:rPr>
        <w:t>1）甲方未按照本合同约定，及时足额向乙方支付相应的合同金额，则乙方有权向甲方发出书面催告，如甲方在收到书面催告通知后的</w:t>
      </w:r>
      <w:r>
        <w:rPr>
          <w:sz w:val="20"/>
          <w:u w:val="single"/>
        </w:rPr>
        <w:t>30</w:t>
      </w:r>
      <w:r>
        <w:rPr>
          <w:sz w:val="20"/>
        </w:rPr>
        <w:t>日内仍未能支付的，则甲方除应支付应付未付的合同金额外，还应自收到书面催告通知后第</w:t>
      </w:r>
      <w:r>
        <w:rPr>
          <w:sz w:val="20"/>
          <w:u w:val="single"/>
        </w:rPr>
        <w:t xml:space="preserve"> </w:t>
      </w:r>
      <w:r>
        <w:rPr>
          <w:sz w:val="20"/>
          <w:u w:val="single"/>
        </w:rPr>
        <w:t xml:space="preserve">30 </w:t>
      </w:r>
      <w:r>
        <w:rPr>
          <w:sz w:val="20"/>
        </w:rPr>
        <w:t>日起每日按照应付未付金额</w:t>
      </w:r>
      <w:r>
        <w:rPr>
          <w:u w:val="single"/>
        </w:rPr>
        <w:t xml:space="preserve">  </w:t>
      </w:r>
      <w:r>
        <w:rPr>
          <w:sz w:val="20"/>
          <w:u w:val="single"/>
        </w:rPr>
        <w:t>1</w:t>
      </w:r>
      <w:r>
        <w:rPr>
          <w:u w:val="single"/>
        </w:rPr>
        <w:t xml:space="preserve">  </w:t>
      </w:r>
      <w:r>
        <w:rPr>
          <w:sz w:val="20"/>
        </w:rPr>
        <w:t>‰的数额向乙方支付违约金。但因财政支付管理流程导致的支付延期除外。</w:t>
      </w:r>
    </w:p>
    <w:p>
      <w:pPr>
        <w:pStyle w:val="null3"/>
        <w:ind w:firstLine="400"/>
      </w:pPr>
      <w:r>
        <w:rPr>
          <w:sz w:val="20"/>
        </w:rPr>
        <w:t>（</w:t>
      </w:r>
      <w:r>
        <w:rPr>
          <w:sz w:val="20"/>
        </w:rPr>
        <w:t>2）付款时间为甲方向财政部门提出支付申请的时间，而非款项实际到达乙方账户的时间。如因政府财政支付流程导致的支付延期，甲方不承担责任，也不能作为乙方延迟履行或不履行合同义务的抗辩理由。</w:t>
      </w:r>
    </w:p>
    <w:p>
      <w:pPr>
        <w:pStyle w:val="null3"/>
        <w:ind w:firstLine="400"/>
      </w:pPr>
      <w:r>
        <w:rPr>
          <w:sz w:val="20"/>
        </w:rPr>
        <w:t>（</w:t>
      </w:r>
      <w:r>
        <w:rPr>
          <w:sz w:val="20"/>
        </w:rPr>
        <w:t>3）甲方无正当理由迟延组织</w:t>
      </w:r>
      <w:r>
        <w:rPr>
          <w:sz w:val="20"/>
        </w:rPr>
        <w:t>考核</w:t>
      </w:r>
      <w:r>
        <w:rPr>
          <w:sz w:val="20"/>
        </w:rPr>
        <w:t>或拒收乙方提供的、符合本合同约定的服务，每迟延一日，应按合同总</w:t>
      </w:r>
      <w:r>
        <w:rPr>
          <w:sz w:val="20"/>
        </w:rPr>
        <w:t>金</w:t>
      </w:r>
      <w:r>
        <w:rPr>
          <w:sz w:val="20"/>
        </w:rPr>
        <w:t>额的</w:t>
      </w:r>
      <w:r>
        <w:rPr>
          <w:u w:val="single"/>
        </w:rPr>
        <w:t xml:space="preserve">  </w:t>
      </w:r>
      <w:r>
        <w:rPr>
          <w:sz w:val="20"/>
          <w:u w:val="single"/>
        </w:rPr>
        <w:t>1</w:t>
      </w:r>
      <w:r>
        <w:rPr>
          <w:u w:val="single"/>
        </w:rPr>
        <w:t xml:space="preserve">   </w:t>
      </w:r>
      <w:r>
        <w:rPr>
          <w:sz w:val="20"/>
        </w:rPr>
        <w:t>‰向乙方支付违约金。迟延累计超过</w:t>
      </w:r>
      <w:r>
        <w:rPr>
          <w:sz w:val="20"/>
          <w:u w:val="single"/>
        </w:rPr>
        <w:t>30</w:t>
      </w:r>
      <w:r>
        <w:rPr>
          <w:sz w:val="20"/>
        </w:rPr>
        <w:t>日（含</w:t>
      </w:r>
      <w:r>
        <w:rPr>
          <w:sz w:val="20"/>
        </w:rPr>
        <w:t>30日），乙方有权</w:t>
      </w:r>
      <w:r>
        <w:rPr>
          <w:sz w:val="20"/>
        </w:rPr>
        <w:t>解除</w:t>
      </w:r>
      <w:r>
        <w:rPr>
          <w:sz w:val="20"/>
        </w:rPr>
        <w:t>合同，甲方仍应承担上述违约责任并向乙方支付已完成内容的全部款项。</w:t>
      </w:r>
    </w:p>
    <w:p>
      <w:pPr>
        <w:pStyle w:val="null3"/>
        <w:ind w:firstLine="400"/>
      </w:pPr>
      <w:r>
        <w:rPr>
          <w:sz w:val="20"/>
        </w:rPr>
        <w:t>（</w:t>
      </w:r>
      <w:r>
        <w:rPr>
          <w:sz w:val="20"/>
        </w:rPr>
        <w:t>4）甲方支付的违约金总额不超过本合同金额的</w:t>
      </w:r>
      <w:r>
        <w:rPr>
          <w:u w:val="single"/>
        </w:rPr>
        <w:t xml:space="preserve">  </w:t>
      </w:r>
      <w:r>
        <w:rPr>
          <w:sz w:val="20"/>
          <w:u w:val="single"/>
        </w:rPr>
        <w:t>5</w:t>
      </w:r>
      <w:r>
        <w:rPr>
          <w:u w:val="single"/>
        </w:rPr>
        <w:t xml:space="preserve">  </w:t>
      </w:r>
      <w:r>
        <w:rPr>
          <w:sz w:val="20"/>
        </w:rPr>
        <w:t>%。</w:t>
      </w:r>
    </w:p>
    <w:p>
      <w:pPr>
        <w:pStyle w:val="null3"/>
        <w:ind w:firstLine="400"/>
        <w:jc w:val="both"/>
      </w:pPr>
      <w:r>
        <w:rPr>
          <w:sz w:val="20"/>
        </w:rPr>
        <w:t>（</w:t>
      </w:r>
      <w:r>
        <w:rPr>
          <w:sz w:val="20"/>
        </w:rPr>
        <w:t>1）服务交付延误</w:t>
      </w:r>
    </w:p>
    <w:p>
      <w:pPr>
        <w:pStyle w:val="null3"/>
        <w:ind w:firstLine="400"/>
        <w:jc w:val="both"/>
      </w:pPr>
      <w:r>
        <w:rPr>
          <w:sz w:val="20"/>
        </w:rPr>
        <w:t>因乙方原因导致未能在本合同约定期限内交付服务的，乙方应从逾期之日起每日按对</w:t>
      </w:r>
      <w:r>
        <w:rPr>
          <w:sz w:val="20"/>
        </w:rPr>
        <w:t>合同总金额</w:t>
      </w:r>
      <w:r>
        <w:rPr>
          <w:sz w:val="20"/>
        </w:rPr>
        <w:t>的</w:t>
      </w:r>
      <w:r>
        <w:rPr>
          <w:sz w:val="21"/>
          <w:u w:val="single"/>
        </w:rPr>
        <w:t xml:space="preserve">  </w:t>
      </w:r>
      <w:r>
        <w:rPr>
          <w:sz w:val="20"/>
          <w:u w:val="single"/>
        </w:rPr>
        <w:t>1</w:t>
      </w:r>
      <w:r>
        <w:rPr>
          <w:sz w:val="21"/>
          <w:u w:val="single"/>
        </w:rPr>
        <w:t xml:space="preserve">  </w:t>
      </w:r>
      <w:r>
        <w:rPr>
          <w:sz w:val="20"/>
        </w:rPr>
        <w:t>‰的数额向甲方支付违约金，同时甲方有权委托第三方提供服务，因此产生的费用由乙方承担，逾期三十日以上的，甲方有权单方解除合同，并要求乙方</w:t>
      </w:r>
      <w:r>
        <w:rPr>
          <w:sz w:val="20"/>
        </w:rPr>
        <w:t>退还全部已收款项并</w:t>
      </w:r>
      <w:r>
        <w:rPr>
          <w:sz w:val="20"/>
        </w:rPr>
        <w:t>赔偿损失。</w:t>
      </w:r>
    </w:p>
    <w:p>
      <w:pPr>
        <w:pStyle w:val="null3"/>
        <w:ind w:firstLine="400"/>
        <w:jc w:val="both"/>
      </w:pPr>
      <w:r>
        <w:rPr>
          <w:sz w:val="20"/>
        </w:rPr>
        <w:t>（</w:t>
      </w:r>
      <w:r>
        <w:rPr>
          <w:sz w:val="20"/>
        </w:rPr>
        <w:t>2）服务违约责任</w:t>
      </w:r>
    </w:p>
    <w:p>
      <w:pPr>
        <w:pStyle w:val="null3"/>
        <w:ind w:firstLine="400"/>
      </w:pPr>
      <w:r>
        <w:rPr>
          <w:sz w:val="20"/>
        </w:rPr>
        <w:t>乙方服务期限内须严格遵守服务质量承诺及相关管理规定确保服务质量，对于违反服务质量承诺和服务水平约定造成服务质量下降的，乙方应向甲方承担相应的违约责任。驻点运维服务团队月度运维服务考核评价不合格，一次扣</w:t>
      </w:r>
      <w:r>
        <w:rPr>
          <w:sz w:val="20"/>
        </w:rPr>
        <w:t>合同总金额的</w:t>
      </w:r>
      <w:r>
        <w:rPr>
          <w:sz w:val="20"/>
        </w:rPr>
        <w:t>2%</w:t>
      </w:r>
      <w:r>
        <w:rPr>
          <w:sz w:val="20"/>
        </w:rPr>
        <w:t>。累计三个月的考核结果不合格，甲方有权</w:t>
      </w:r>
      <w:r>
        <w:rPr>
          <w:sz w:val="20"/>
        </w:rPr>
        <w:t>单方解除</w:t>
      </w:r>
      <w:r>
        <w:rPr>
          <w:sz w:val="20"/>
        </w:rPr>
        <w:t>与乙方的合同，并要求乙方赔偿损失。</w:t>
      </w:r>
    </w:p>
    <w:p>
      <w:pPr>
        <w:pStyle w:val="null3"/>
        <w:ind w:firstLine="400"/>
        <w:jc w:val="both"/>
      </w:pPr>
      <w:r>
        <w:rPr>
          <w:sz w:val="20"/>
        </w:rPr>
        <w:t>（</w:t>
      </w:r>
      <w:r>
        <w:rPr>
          <w:sz w:val="20"/>
        </w:rPr>
        <w:t>3）质量违约责任</w:t>
      </w:r>
    </w:p>
    <w:p>
      <w:pPr>
        <w:pStyle w:val="null3"/>
        <w:ind w:firstLine="400"/>
        <w:jc w:val="both"/>
      </w:pPr>
      <w:r>
        <w:rPr>
          <w:sz w:val="20"/>
        </w:rPr>
        <w:t>项目实施过程中，甲方有权向乙方发出</w:t>
      </w:r>
      <w:r>
        <w:rPr>
          <w:sz w:val="20"/>
        </w:rPr>
        <w:t>限期</w:t>
      </w:r>
      <w:r>
        <w:rPr>
          <w:sz w:val="20"/>
        </w:rPr>
        <w:t>整改通知单，乙方收到</w:t>
      </w:r>
      <w:r>
        <w:rPr>
          <w:sz w:val="20"/>
        </w:rPr>
        <w:t>限期</w:t>
      </w:r>
      <w:r>
        <w:rPr>
          <w:sz w:val="20"/>
        </w:rPr>
        <w:t>整改通知单，除按要求整改外，还应承担相应违约金，具体如下：乙方自收到第</w:t>
      </w:r>
      <w:r>
        <w:rPr>
          <w:sz w:val="20"/>
          <w:u w:val="single"/>
        </w:rPr>
        <w:t>4</w:t>
      </w:r>
      <w:r>
        <w:rPr>
          <w:sz w:val="20"/>
        </w:rPr>
        <w:t>份整改通知单起，乙方应承担的违约金为</w:t>
      </w:r>
      <w:r>
        <w:rPr>
          <w:sz w:val="20"/>
        </w:rPr>
        <w:t>2,000</w:t>
      </w:r>
      <w:r>
        <w:rPr>
          <w:sz w:val="20"/>
        </w:rPr>
        <w:t>元</w:t>
      </w:r>
      <w:r>
        <w:rPr>
          <w:sz w:val="20"/>
        </w:rPr>
        <w:t>/份。以上违约金经甲方确认后，甲方有权从</w:t>
      </w:r>
      <w:r>
        <w:rPr>
          <w:sz w:val="20"/>
        </w:rPr>
        <w:t>应付乙方的任何一笔款项</w:t>
      </w:r>
      <w:r>
        <w:rPr>
          <w:sz w:val="20"/>
        </w:rPr>
        <w:t>中直接扣除，若违约金累计超过</w:t>
      </w:r>
      <w:r>
        <w:rPr>
          <w:sz w:val="20"/>
        </w:rPr>
        <w:t>甲方应付款</w:t>
      </w:r>
      <w:r>
        <w:rPr>
          <w:sz w:val="20"/>
        </w:rPr>
        <w:t>金额，则甲方有权就差额部分向乙方追索。</w:t>
      </w:r>
    </w:p>
    <w:p>
      <w:pPr>
        <w:pStyle w:val="null3"/>
        <w:ind w:firstLine="400"/>
        <w:jc w:val="both"/>
      </w:pPr>
      <w:r>
        <w:rPr>
          <w:sz w:val="20"/>
        </w:rPr>
        <w:t>乙方交付的服务不能满足甲方要求，甲方有权要求乙方</w:t>
      </w:r>
      <w:r>
        <w:rPr>
          <w:sz w:val="20"/>
        </w:rPr>
        <w:t>限期</w:t>
      </w:r>
      <w:r>
        <w:rPr>
          <w:sz w:val="20"/>
        </w:rPr>
        <w:t>整改，并由乙方承担由此产生的费用。乙方在甲方指定期限内拒绝整改或整改后仍不符合要求的，甲方有权委托第三方提供服务，因此产生的费用由乙方承担</w:t>
      </w:r>
      <w:r>
        <w:rPr>
          <w:sz w:val="20"/>
        </w:rPr>
        <w:t>，</w:t>
      </w:r>
      <w:r>
        <w:rPr>
          <w:sz w:val="20"/>
        </w:rPr>
        <w:t>并有权</w:t>
      </w:r>
      <w:r>
        <w:rPr>
          <w:sz w:val="20"/>
        </w:rPr>
        <w:t>单方</w:t>
      </w:r>
      <w:r>
        <w:rPr>
          <w:sz w:val="20"/>
        </w:rPr>
        <w:t>解除合同和要求乙方赔偿损失。</w:t>
      </w:r>
    </w:p>
    <w:p>
      <w:pPr>
        <w:pStyle w:val="null3"/>
        <w:ind w:firstLine="400"/>
        <w:jc w:val="both"/>
      </w:pPr>
      <w:r>
        <w:rPr>
          <w:sz w:val="20"/>
        </w:rPr>
        <w:t>（</w:t>
      </w:r>
      <w:r>
        <w:rPr>
          <w:sz w:val="20"/>
        </w:rPr>
        <w:t>4</w:t>
      </w:r>
      <w:r>
        <w:rPr>
          <w:sz w:val="20"/>
        </w:rPr>
        <w:t>）本合同所称损失包括但不限于</w:t>
      </w:r>
      <w:r>
        <w:rPr>
          <w:sz w:val="20"/>
        </w:rPr>
        <w:t>合同总价的</w:t>
      </w:r>
      <w:r>
        <w:rPr>
          <w:sz w:val="20"/>
        </w:rPr>
        <w:t>差价损失、</w:t>
      </w:r>
      <w:r>
        <w:rPr>
          <w:sz w:val="20"/>
        </w:rPr>
        <w:t>直接经济损失、委托第三方提供服务产生的费用、支付给第三方的赔偿</w:t>
      </w:r>
      <w:r>
        <w:rPr>
          <w:sz w:val="20"/>
        </w:rPr>
        <w:t>、</w:t>
      </w:r>
      <w:r>
        <w:rPr>
          <w:sz w:val="20"/>
        </w:rPr>
        <w:t>补偿、以及为实现债权而支出的律师费、保全费、诉讼费、公证费、鉴定费、调查费等一切费用）。</w:t>
      </w:r>
    </w:p>
    <w:p>
      <w:pPr>
        <w:pStyle w:val="null3"/>
        <w:ind w:firstLine="400"/>
        <w:jc w:val="both"/>
      </w:pPr>
      <w:r>
        <w:rPr>
          <w:sz w:val="20"/>
        </w:rPr>
        <w:t>在履行本合同期间内，如甲、乙双方就履行合同发生争议，双方应通过友好协商方法解决；如协商不成，双方向甲方所在地人民法院诉讼解决。</w:t>
      </w:r>
    </w:p>
    <w:p>
      <w:pPr>
        <w:pStyle w:val="null3"/>
        <w:ind w:firstLine="400"/>
        <w:jc w:val="both"/>
      </w:pPr>
      <w:r>
        <w:rPr>
          <w:sz w:val="20"/>
        </w:rPr>
        <w:t>（</w:t>
      </w:r>
      <w:r>
        <w:rPr>
          <w:sz w:val="20"/>
        </w:rPr>
        <w:t>1）乙方须</w:t>
      </w:r>
      <w:r>
        <w:rPr>
          <w:sz w:val="20"/>
        </w:rPr>
        <w:t>向甲方提交保密承诺作为合同附件，</w:t>
      </w:r>
      <w:r>
        <w:rPr>
          <w:sz w:val="20"/>
        </w:rPr>
        <w:t>乙方及乙方工作人员在合同</w:t>
      </w:r>
      <w:r>
        <w:rPr>
          <w:sz w:val="20"/>
        </w:rPr>
        <w:t>订立及</w:t>
      </w:r>
      <w:r>
        <w:rPr>
          <w:sz w:val="20"/>
        </w:rPr>
        <w:t>履行过程中知悉的甲方保密信息，未经甲方书面许可，乙方不得以任何方式直接或间接向第三人披露，也不得擅自使用允许第三人使用</w:t>
      </w:r>
      <w:r>
        <w:rPr>
          <w:sz w:val="20"/>
        </w:rPr>
        <w:t>“保密信息”，或将“保密信息”用于本协议项目之外的其他目的。</w:t>
      </w:r>
    </w:p>
    <w:p>
      <w:pPr>
        <w:pStyle w:val="null3"/>
        <w:ind w:firstLine="400"/>
        <w:jc w:val="both"/>
      </w:pPr>
      <w:r>
        <w:rPr>
          <w:sz w:val="20"/>
        </w:rPr>
        <w:t>（</w:t>
      </w:r>
      <w:r>
        <w:rPr>
          <w:sz w:val="20"/>
        </w:rPr>
        <w:t>2）乙方违反保密义务，甲方有权单方面解除合同，并有权对乙方处以相当于合同总金额</w:t>
      </w:r>
      <w:r>
        <w:rPr>
          <w:sz w:val="20"/>
        </w:rPr>
        <w:t>2</w:t>
      </w:r>
      <w:r>
        <w:rPr>
          <w:sz w:val="20"/>
        </w:rPr>
        <w:t>0%的违约金。造成甲方其他损失的仍应予以赔偿，包括但不限于实际损失，预算利益损失、因维权而产生的支出。</w:t>
      </w:r>
    </w:p>
    <w:p>
      <w:pPr>
        <w:pStyle w:val="null3"/>
        <w:ind w:firstLine="400"/>
        <w:jc w:val="both"/>
      </w:pPr>
      <w:r>
        <w:rPr>
          <w:sz w:val="20"/>
        </w:rPr>
        <w:t>（</w:t>
      </w:r>
      <w:r>
        <w:rPr>
          <w:sz w:val="20"/>
        </w:rPr>
        <w:t>1）本合同自双方签字盖章之日起生效。</w:t>
      </w:r>
    </w:p>
    <w:p>
      <w:pPr>
        <w:pStyle w:val="null3"/>
        <w:ind w:firstLine="400"/>
        <w:jc w:val="both"/>
      </w:pPr>
      <w:r>
        <w:rPr>
          <w:sz w:val="20"/>
        </w:rPr>
        <w:t>（</w:t>
      </w:r>
      <w:r>
        <w:rPr>
          <w:sz w:val="20"/>
        </w:rPr>
        <w:t>2）本合同为甲乙双方起草，且在任何情形下，应视为由甲乙双方共同起草。</w:t>
      </w:r>
    </w:p>
    <w:p>
      <w:pPr>
        <w:pStyle w:val="null3"/>
        <w:ind w:firstLine="400"/>
        <w:jc w:val="both"/>
      </w:pPr>
      <w:r>
        <w:rPr>
          <w:sz w:val="20"/>
        </w:rPr>
        <w:t>（</w:t>
      </w:r>
      <w:r>
        <w:rPr>
          <w:sz w:val="20"/>
        </w:rPr>
        <w:t>3）甲、乙双方可就本合同之任何未尽事宜签订补充合同。合同附件是本合同的组成部分，与本合同具有同等法律效力。</w:t>
      </w:r>
    </w:p>
    <w:p>
      <w:pPr>
        <w:pStyle w:val="null3"/>
        <w:ind w:firstLine="400"/>
        <w:jc w:val="both"/>
      </w:pPr>
      <w:r>
        <w:rPr>
          <w:sz w:val="20"/>
        </w:rPr>
        <w:t>（</w:t>
      </w:r>
      <w:r>
        <w:rPr>
          <w:sz w:val="20"/>
        </w:rPr>
        <w:t>4）本合同载明的地址为双方往来联系、争议解决的法律文书的送达地址，如一方地址、电话变更，应在变更当日内书面通知对方，因载明的地址有误或者未及时告知变更后的地址，导致相关文书及诉讼文书未能实际被接收、邮寄送达的，相关文书及诉讼文书发出之日视为送达之日。</w:t>
      </w:r>
    </w:p>
    <w:p>
      <w:pPr>
        <w:pStyle w:val="null3"/>
        <w:ind w:firstLine="400"/>
        <w:jc w:val="both"/>
      </w:pPr>
      <w:r>
        <w:rPr>
          <w:sz w:val="20"/>
        </w:rPr>
        <w:t>（</w:t>
      </w:r>
      <w:r>
        <w:rPr>
          <w:sz w:val="20"/>
        </w:rPr>
        <w:t>5）本合同一式</w:t>
      </w:r>
      <w:r>
        <w:rPr>
          <w:sz w:val="20"/>
        </w:rPr>
        <w:t>伍</w:t>
      </w:r>
      <w:r>
        <w:rPr>
          <w:sz w:val="20"/>
        </w:rPr>
        <w:t>份</w:t>
      </w:r>
      <w:r>
        <w:rPr>
          <w:sz w:val="20"/>
        </w:rPr>
        <w:t>,</w:t>
      </w:r>
      <w:r>
        <w:rPr>
          <w:sz w:val="20"/>
        </w:rPr>
        <w:t>甲方叁份，乙方</w:t>
      </w:r>
      <w:r>
        <w:rPr>
          <w:sz w:val="20"/>
        </w:rPr>
        <w:t>贰份</w:t>
      </w:r>
      <w:r>
        <w:rPr>
          <w:sz w:val="20"/>
        </w:rPr>
        <w:t>,每份具有同等法律约束力。</w:t>
      </w:r>
    </w:p>
    <w:p>
      <w:pPr>
        <w:pStyle w:val="null3"/>
        <w:ind w:firstLine="400"/>
        <w:jc w:val="both"/>
      </w:pPr>
      <w:r>
        <w:rPr>
          <w:sz w:val="20"/>
        </w:rPr>
        <w:t>附件：</w:t>
      </w:r>
      <w:r>
        <w:rPr>
          <w:sz w:val="20"/>
        </w:rPr>
        <w:t>详细需求书、</w:t>
      </w:r>
      <w:r>
        <w:rPr>
          <w:sz w:val="20"/>
        </w:rPr>
        <w:t>保密承诺书</w:t>
      </w:r>
      <w:r>
        <w:rPr>
          <w:sz w:val="20"/>
        </w:rPr>
        <w:t>、运维人员名单</w:t>
      </w:r>
    </w:p>
    <w:p>
      <w:pPr>
        <w:pStyle w:val="null3"/>
        <w:jc w:val="both"/>
      </w:pPr>
      <w:r>
        <w:rPr>
          <w:sz w:val="20"/>
        </w:rPr>
        <w:t>（</w:t>
      </w:r>
      <w:r>
        <w:rPr>
          <w:sz w:val="20"/>
        </w:rPr>
        <w:t>以下为签署页</w:t>
      </w:r>
      <w:r>
        <w:rPr>
          <w:sz w:val="20"/>
        </w:rPr>
        <w:t>）</w:t>
      </w:r>
    </w:p>
    <w:p>
      <w:pPr>
        <w:pStyle w:val="null3"/>
        <w:jc w:val="both"/>
      </w:pPr>
      <w:r>
        <w:rPr>
          <w:sz w:val="20"/>
        </w:rPr>
        <w:t>委托方（甲方）：（盖章）</w:t>
      </w:r>
    </w:p>
    <w:p>
      <w:pPr>
        <w:pStyle w:val="null3"/>
        <w:jc w:val="both"/>
      </w:pPr>
      <w:r>
        <w:rPr>
          <w:sz w:val="20"/>
        </w:rPr>
        <w:t>住</w:t>
      </w:r>
      <w:r>
        <w:rPr>
          <w:sz w:val="20"/>
        </w:rPr>
        <w:t xml:space="preserve">  </w:t>
      </w:r>
      <w:r>
        <w:rPr>
          <w:sz w:val="20"/>
        </w:rPr>
        <w:t>所</w:t>
      </w:r>
      <w:r>
        <w:rPr>
          <w:sz w:val="20"/>
        </w:rPr>
        <w:t xml:space="preserve">  </w:t>
      </w:r>
      <w:r>
        <w:rPr>
          <w:sz w:val="20"/>
        </w:rPr>
        <w:t>地：</w:t>
      </w:r>
    </w:p>
    <w:p>
      <w:pPr>
        <w:pStyle w:val="null3"/>
        <w:jc w:val="both"/>
      </w:pPr>
      <w:r>
        <w:rPr>
          <w:sz w:val="20"/>
        </w:rPr>
        <w:t>法定代表人</w:t>
      </w:r>
      <w:r>
        <w:rPr>
          <w:sz w:val="20"/>
        </w:rPr>
        <w:t>/委托代理人：（签名/章）</w:t>
      </w:r>
    </w:p>
    <w:p>
      <w:pPr>
        <w:pStyle w:val="null3"/>
        <w:jc w:val="both"/>
      </w:pPr>
      <w:r>
        <w:rPr>
          <w:sz w:val="20"/>
        </w:rPr>
        <w:t>项目联系人：</w:t>
      </w:r>
    </w:p>
    <w:p>
      <w:pPr>
        <w:pStyle w:val="null3"/>
        <w:jc w:val="both"/>
      </w:pPr>
      <w:r>
        <w:rPr>
          <w:sz w:val="20"/>
        </w:rPr>
        <w:t>联系方式</w:t>
      </w:r>
      <w:r>
        <w:rPr>
          <w:sz w:val="20"/>
        </w:rPr>
        <w:t>：</w:t>
      </w:r>
    </w:p>
    <w:p>
      <w:pPr>
        <w:pStyle w:val="null3"/>
        <w:jc w:val="both"/>
      </w:pPr>
      <w:r>
        <w:rPr>
          <w:sz w:val="20"/>
        </w:rPr>
        <w:t>通讯地址：</w:t>
      </w:r>
    </w:p>
    <w:p>
      <w:pPr>
        <w:pStyle w:val="null3"/>
        <w:jc w:val="both"/>
      </w:pPr>
      <w:r>
        <w:rPr>
          <w:sz w:val="20"/>
        </w:rPr>
        <w:t>电　　话：</w:t>
      </w:r>
    </w:p>
    <w:p>
      <w:pPr>
        <w:pStyle w:val="null3"/>
        <w:jc w:val="both"/>
      </w:pPr>
      <w:r>
        <w:rPr>
          <w:sz w:val="20"/>
        </w:rPr>
        <w:t>传　　真：</w:t>
      </w:r>
    </w:p>
    <w:p>
      <w:pPr>
        <w:pStyle w:val="null3"/>
        <w:jc w:val="both"/>
      </w:pPr>
      <w:r>
        <w:rPr>
          <w:sz w:val="20"/>
        </w:rPr>
        <w:t>电子信箱：</w:t>
      </w:r>
    </w:p>
    <w:p>
      <w:pPr>
        <w:pStyle w:val="null3"/>
        <w:ind w:firstLine="2000"/>
        <w:jc w:val="both"/>
      </w:pPr>
      <w:r>
        <w:rPr>
          <w:sz w:val="20"/>
        </w:rPr>
        <w:t>年</w:t>
      </w:r>
      <w:r>
        <w:rPr>
          <w:sz w:val="20"/>
        </w:rPr>
        <w:t xml:space="preserve">       </w:t>
      </w:r>
      <w:r>
        <w:rPr>
          <w:sz w:val="20"/>
        </w:rPr>
        <w:t>月</w:t>
      </w:r>
      <w:r>
        <w:rPr>
          <w:sz w:val="20"/>
        </w:rPr>
        <w:t xml:space="preserve">      </w:t>
      </w:r>
      <w:r>
        <w:rPr>
          <w:sz w:val="20"/>
        </w:rPr>
        <w:t>日</w:t>
      </w:r>
    </w:p>
    <w:p>
      <w:pPr>
        <w:pStyle w:val="null3"/>
        <w:jc w:val="both"/>
      </w:pPr>
      <w:r>
        <w:rPr>
          <w:sz w:val="20"/>
        </w:rPr>
        <w:t>受托方（乙方）：（盖章）</w:t>
      </w:r>
    </w:p>
    <w:p>
      <w:pPr>
        <w:pStyle w:val="null3"/>
        <w:jc w:val="both"/>
      </w:pPr>
      <w:r>
        <w:rPr>
          <w:sz w:val="20"/>
        </w:rPr>
        <w:t>住</w:t>
      </w:r>
      <w:r>
        <w:rPr>
          <w:sz w:val="20"/>
        </w:rPr>
        <w:t xml:space="preserve">  </w:t>
      </w:r>
      <w:r>
        <w:rPr>
          <w:sz w:val="20"/>
        </w:rPr>
        <w:t>所</w:t>
      </w:r>
      <w:r>
        <w:rPr>
          <w:sz w:val="20"/>
        </w:rPr>
        <w:t xml:space="preserve">  </w:t>
      </w:r>
      <w:r>
        <w:rPr>
          <w:sz w:val="20"/>
        </w:rPr>
        <w:t>地：</w:t>
      </w:r>
    </w:p>
    <w:p>
      <w:pPr>
        <w:pStyle w:val="null3"/>
        <w:jc w:val="both"/>
      </w:pPr>
      <w:r>
        <w:rPr>
          <w:sz w:val="20"/>
        </w:rPr>
        <w:t>法定代表人</w:t>
      </w:r>
      <w:r>
        <w:rPr>
          <w:sz w:val="20"/>
        </w:rPr>
        <w:t>/委托代理人：（签名/章）</w:t>
      </w:r>
    </w:p>
    <w:p>
      <w:pPr>
        <w:pStyle w:val="null3"/>
        <w:jc w:val="both"/>
      </w:pPr>
      <w:r>
        <w:rPr>
          <w:sz w:val="20"/>
        </w:rPr>
        <w:t>项目联系人：</w:t>
      </w:r>
    </w:p>
    <w:p>
      <w:pPr>
        <w:pStyle w:val="null3"/>
        <w:jc w:val="both"/>
      </w:pPr>
      <w:r>
        <w:rPr>
          <w:sz w:val="20"/>
        </w:rPr>
        <w:t>联系方式</w:t>
      </w:r>
      <w:r>
        <w:rPr>
          <w:sz w:val="20"/>
        </w:rPr>
        <w:t>：</w:t>
      </w:r>
    </w:p>
    <w:p>
      <w:pPr>
        <w:pStyle w:val="null3"/>
        <w:jc w:val="both"/>
      </w:pPr>
      <w:r>
        <w:rPr>
          <w:sz w:val="20"/>
        </w:rPr>
        <w:t>通讯地址：</w:t>
      </w:r>
    </w:p>
    <w:p>
      <w:pPr>
        <w:pStyle w:val="null3"/>
        <w:jc w:val="both"/>
      </w:pPr>
      <w:r>
        <w:rPr>
          <w:sz w:val="20"/>
        </w:rPr>
        <w:t>电　　话：</w:t>
      </w:r>
    </w:p>
    <w:p>
      <w:pPr>
        <w:pStyle w:val="null3"/>
        <w:jc w:val="both"/>
      </w:pPr>
      <w:r>
        <w:rPr>
          <w:sz w:val="20"/>
        </w:rPr>
        <w:t>传　　真：</w:t>
      </w:r>
    </w:p>
    <w:p>
      <w:pPr>
        <w:pStyle w:val="null3"/>
        <w:jc w:val="both"/>
      </w:pPr>
      <w:r>
        <w:rPr>
          <w:sz w:val="20"/>
        </w:rPr>
        <w:t>电子信箱：</w:t>
      </w:r>
    </w:p>
    <w:p>
      <w:pPr>
        <w:pStyle w:val="null3"/>
        <w:ind w:firstLine="2000"/>
        <w:jc w:val="both"/>
      </w:pPr>
      <w:r>
        <w:rPr>
          <w:sz w:val="20"/>
        </w:rPr>
        <w:t>年</w:t>
      </w:r>
      <w:r>
        <w:rPr>
          <w:sz w:val="20"/>
        </w:rPr>
        <w:t xml:space="preserve">       </w:t>
      </w:r>
      <w:r>
        <w:rPr>
          <w:sz w:val="20"/>
        </w:rPr>
        <w:t>月</w:t>
      </w:r>
      <w:r>
        <w:rPr>
          <w:sz w:val="20"/>
        </w:rPr>
        <w:t xml:space="preserve">      </w:t>
      </w:r>
      <w:r>
        <w:rPr>
          <w:sz w:val="20"/>
        </w:rPr>
        <w:t>日</w:t>
      </w:r>
    </w:p>
    <w:p>
      <w:pPr>
        <w:pStyle w:val="null3"/>
        <w:numPr>
          <w:ilvl w:val="0"/>
          <w:numId w:val="2"/>
        </w:numPr>
        <w:jc w:val="both"/>
      </w:pPr>
      <w:r>
        <w:rPr>
          <w:sz w:val="20"/>
          <w:b/>
        </w:rPr>
        <w:t>乙方违约赔偿责任</w:t>
      </w:r>
    </w:p>
    <w:p>
      <w:pPr>
        <w:pStyle w:val="null3"/>
        <w:numPr>
          <w:ilvl w:val="1"/>
          <w:numId w:val="2"/>
        </w:numPr>
        <w:spacing w:before="315" w:after="315"/>
        <w:jc w:val="center"/>
      </w:pPr>
      <w:r>
        <w:rPr>
          <w:sz w:val="20"/>
          <w:b/>
        </w:rPr>
        <w:t>争议解决</w:t>
      </w:r>
    </w:p>
    <w:p>
      <w:pPr>
        <w:pStyle w:val="null3"/>
        <w:numPr>
          <w:ilvl w:val="1"/>
          <w:numId w:val="2"/>
        </w:numPr>
        <w:spacing w:before="315" w:after="315"/>
        <w:jc w:val="center"/>
      </w:pPr>
      <w:r>
        <w:rPr>
          <w:sz w:val="20"/>
          <w:b/>
        </w:rPr>
        <w:t>保密条款</w:t>
      </w:r>
    </w:p>
    <w:p>
      <w:pPr>
        <w:pStyle w:val="null3"/>
        <w:numPr>
          <w:ilvl w:val="1"/>
          <w:numId w:val="2"/>
        </w:numPr>
        <w:spacing w:before="315" w:after="315"/>
        <w:jc w:val="center"/>
      </w:pPr>
      <w:r>
        <w:rPr>
          <w:sz w:val="20"/>
          <w:b/>
        </w:rPr>
        <w:t>合同生效及其他</w:t>
      </w:r>
    </w:p>
    <w:p>
      <w:pPr>
        <w:pStyle w:val="null3"/>
      </w:pPr>
      <w:r>
        <w:rPr>
          <w:sz w:val="20"/>
          <w:b/>
        </w:rPr>
        <w:t>保密承诺书</w:t>
      </w:r>
    </w:p>
    <w:p>
      <w:pPr>
        <w:pStyle w:val="null3"/>
        <w:ind w:left="465"/>
        <w:jc w:val="both"/>
      </w:pPr>
      <w:r>
        <w:rPr>
          <w:sz w:val="20"/>
        </w:rPr>
        <w:t>致：广东省</w:t>
      </w:r>
      <w:r>
        <w:rPr>
          <w:sz w:val="20"/>
        </w:rPr>
        <w:t>番禺</w:t>
      </w:r>
      <w:r>
        <w:rPr>
          <w:sz w:val="20"/>
        </w:rPr>
        <w:t>监狱</w:t>
      </w:r>
    </w:p>
    <w:p>
      <w:pPr>
        <w:pStyle w:val="null3"/>
        <w:ind w:left="15" w:firstLine="390"/>
        <w:jc w:val="both"/>
      </w:pPr>
      <w:r>
        <w:rPr>
          <w:sz w:val="20"/>
        </w:rPr>
        <w:t>为保护贵单位的合法利益，保证合作双方实现顺利合作，避免因信息泄露而给甲方造成损失，本项目的服务方我公司以及参与本项目的我公司所有员工承诺遵守本保密承诺书内容。</w:t>
      </w:r>
    </w:p>
    <w:p>
      <w:pPr>
        <w:pStyle w:val="null3"/>
        <w:ind w:left="15" w:firstLine="390"/>
        <w:jc w:val="both"/>
      </w:pPr>
      <w:r>
        <w:rPr>
          <w:sz w:val="20"/>
        </w:rPr>
        <w:t>一、保密信息定义</w:t>
      </w:r>
    </w:p>
    <w:p>
      <w:pPr>
        <w:pStyle w:val="null3"/>
        <w:ind w:left="15" w:firstLine="390"/>
        <w:jc w:val="both"/>
      </w:pPr>
      <w:r>
        <w:rPr>
          <w:sz w:val="20"/>
        </w:rPr>
        <w:t>本承诺书所称的</w:t>
      </w:r>
      <w:r>
        <w:rPr>
          <w:sz w:val="20"/>
        </w:rPr>
        <w:t>“保密信息”是指所有涉密信息、商业秘密、技术秘密、通信或与该项目相关的其他信息，无论是书面的、口头的、图形的、电磁的或其它任何形式的信息，包括（但不限于）数据、用户名、口令、产品、文件、规划、方案、技术、方法、仪器设备和其它信息及文档等，上述信息在本项目以如下形式确定：</w:t>
      </w:r>
    </w:p>
    <w:p>
      <w:pPr>
        <w:pStyle w:val="null3"/>
        <w:ind w:left="15" w:firstLine="390"/>
        <w:jc w:val="both"/>
      </w:pPr>
      <w:r>
        <w:rPr>
          <w:sz w:val="20"/>
        </w:rPr>
        <w:t>1.贵单位在</w:t>
      </w:r>
      <w:r>
        <w:rPr>
          <w:sz w:val="20"/>
        </w:rPr>
        <w:t>合同订立过程中及</w:t>
      </w:r>
      <w:r>
        <w:rPr>
          <w:sz w:val="20"/>
        </w:rPr>
        <w:t>项目实施中为我公司及我公司工作人员提供必要的数据、程序、用户名、口令和资料等；</w:t>
      </w:r>
    </w:p>
    <w:p>
      <w:pPr>
        <w:pStyle w:val="null3"/>
        <w:ind w:left="15" w:firstLine="390"/>
        <w:jc w:val="both"/>
      </w:pPr>
      <w:r>
        <w:rPr>
          <w:sz w:val="20"/>
        </w:rPr>
        <w:t>2.其他贵单位合理认为并申明属于保密信息的内容。</w:t>
      </w:r>
    </w:p>
    <w:p>
      <w:pPr>
        <w:pStyle w:val="null3"/>
        <w:ind w:left="15" w:firstLine="390"/>
        <w:jc w:val="both"/>
      </w:pPr>
      <w:r>
        <w:rPr>
          <w:sz w:val="20"/>
        </w:rPr>
        <w:t>二、保密要求</w:t>
      </w:r>
    </w:p>
    <w:p>
      <w:pPr>
        <w:pStyle w:val="null3"/>
        <w:ind w:left="15" w:firstLine="410"/>
        <w:jc w:val="both"/>
      </w:pPr>
      <w:r>
        <w:rPr>
          <w:sz w:val="20"/>
        </w:rPr>
        <w:t>我公司在国家相关法律法规、规章政策所规定的前提下，全力限制</w:t>
      </w:r>
      <w:r>
        <w:rPr>
          <w:sz w:val="20"/>
        </w:rPr>
        <w:t>“保密信息”的使用范围以利保密防范，并仅用于为贵单位提供服务。在未经贵单位书面形式授权下，我公司不会直接或间接使用“项目资料”的利益或目的性的任何专有信息，亦不会把任何专用信息披露给第三方,我公司的所有员工均有义务受约束，并负有保密的义务。</w:t>
      </w:r>
    </w:p>
    <w:p>
      <w:pPr>
        <w:pStyle w:val="null3"/>
        <w:ind w:left="15" w:firstLine="410"/>
        <w:jc w:val="both"/>
      </w:pPr>
      <w:r>
        <w:rPr>
          <w:sz w:val="20"/>
        </w:rPr>
        <w:t>1.我公司及所有员工始终对保密资料保密，不在项目之外使用贵单位提供的保密信息及因履行本项目而掌握的保密信息。</w:t>
      </w:r>
    </w:p>
    <w:p>
      <w:pPr>
        <w:pStyle w:val="null3"/>
        <w:ind w:left="15" w:firstLine="410"/>
        <w:jc w:val="both"/>
      </w:pPr>
      <w:r>
        <w:rPr>
          <w:sz w:val="20"/>
        </w:rPr>
        <w:t>2.未经贵单位书面同意，不向任何第三方提供保密信息以及可以接触上述保密信息的手段，包括在公开场合展览，公开对外宣传，作为文章、讯息、参考数据发表等。</w:t>
      </w:r>
    </w:p>
    <w:p>
      <w:pPr>
        <w:pStyle w:val="null3"/>
        <w:ind w:left="15" w:firstLine="410"/>
        <w:jc w:val="both"/>
      </w:pPr>
      <w:r>
        <w:rPr>
          <w:sz w:val="20"/>
        </w:rPr>
        <w:t>3.只向项目相关人员（包括各自的领导﹑同事和雇员等）为商讨合作项目而有需要知悉保密信息的人士披露保密信息；并保证上述各相关人员的行为将会符合本守则的规定。</w:t>
      </w:r>
    </w:p>
    <w:p>
      <w:pPr>
        <w:pStyle w:val="null3"/>
        <w:ind w:left="15" w:firstLine="410"/>
        <w:jc w:val="both"/>
      </w:pPr>
      <w:r>
        <w:rPr>
          <w:sz w:val="20"/>
        </w:rPr>
        <w:t>4.在商讨合作项目的过程中，若需向第三方披露贵单位的保密信息，应取得贵单位书面许可，并要求该第三方不得向任何其它人士泄露保密信息。</w:t>
      </w:r>
    </w:p>
    <w:p>
      <w:pPr>
        <w:pStyle w:val="null3"/>
        <w:ind w:left="15" w:firstLine="410"/>
        <w:jc w:val="both"/>
      </w:pPr>
      <w:r>
        <w:rPr>
          <w:sz w:val="20"/>
        </w:rPr>
        <w:t>5.有关保密的内容和义务，长期有效。</w:t>
      </w:r>
    </w:p>
    <w:p>
      <w:pPr>
        <w:pStyle w:val="null3"/>
        <w:ind w:left="15" w:firstLine="410"/>
        <w:jc w:val="both"/>
      </w:pPr>
      <w:r>
        <w:rPr>
          <w:sz w:val="20"/>
        </w:rPr>
        <w:t>承诺人</w:t>
      </w:r>
      <w:r>
        <w:rPr>
          <w:sz w:val="20"/>
        </w:rPr>
        <w:t xml:space="preserve">:                                  </w:t>
      </w:r>
    </w:p>
    <w:p>
      <w:pPr>
        <w:pStyle w:val="null3"/>
        <w:jc w:val="center"/>
      </w:pPr>
      <w:r>
        <w:rPr>
          <w:sz w:val="21"/>
        </w:rPr>
        <w:t xml:space="preserve">                           </w:t>
      </w:r>
      <w:r>
        <w:rPr>
          <w:sz w:val="20"/>
        </w:rPr>
        <w:t>法定代表人或委托代理人</w:t>
      </w:r>
      <w:r>
        <w:rPr>
          <w:sz w:val="20"/>
        </w:rPr>
        <w:t>：</w:t>
      </w:r>
    </w:p>
    <w:p>
      <w:pPr>
        <w:pStyle w:val="null3"/>
        <w:ind w:firstLine="3600"/>
        <w:jc w:val="both"/>
      </w:pPr>
      <w:r>
        <w:rPr>
          <w:sz w:val="20"/>
        </w:rPr>
        <w:t>日期：</w:t>
      </w:r>
      <w:r>
        <w:rPr>
          <w:sz w:val="20"/>
        </w:rPr>
        <w:t xml:space="preserve">     </w:t>
      </w:r>
      <w:r>
        <w:rPr>
          <w:sz w:val="21"/>
        </w:rPr>
        <w:t xml:space="preserve">    </w:t>
      </w:r>
    </w:p>
    <w:p>
      <w:pPr>
        <w:pStyle w:val="null3"/>
        <w:ind w:left="420"/>
        <w:jc w:val="left"/>
      </w:pPr>
      <w:r>
        <w:rPr>
          <w:sz w:val="20"/>
          <w:b/>
        </w:rPr>
        <w:t>运维人员名单</w:t>
      </w:r>
    </w:p>
    <w:tbl>
      <w:tblPr>
        <w:tblW w:w="0" w:type="auto"/>
        <w:tblBorders>
          <w:top w:val="none" w:color="000000" w:sz="4"/>
          <w:left w:val="none" w:color="000000" w:sz="4"/>
          <w:bottom w:val="none" w:color="000000" w:sz="4"/>
          <w:right w:val="none" w:color="000000" w:sz="4"/>
          <w:insideH w:val="none"/>
          <w:insideV w:val="none"/>
        </w:tblBorders>
      </w:tblPr>
      <w:tblGrid>
        <w:gridCol w:w="1535"/>
        <w:gridCol w:w="1623"/>
        <w:gridCol w:w="1520"/>
        <w:gridCol w:w="1769"/>
        <w:gridCol w:w="2032"/>
        <w:gridCol w:w="1857"/>
      </w:tblGrid>
      <w:tr>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0"/>
              </w:rPr>
              <w:t>序号</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0"/>
              </w:rPr>
              <w:t>姓名</w:t>
            </w:r>
          </w:p>
        </w:tc>
        <w:tc>
          <w:tcPr>
            <w:tcW w:type="dxa" w:w="1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0"/>
              </w:rPr>
              <w:t>岗位</w:t>
            </w:r>
          </w:p>
        </w:tc>
        <w:tc>
          <w:tcPr>
            <w:tcW w:type="dxa" w:w="1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0"/>
              </w:rPr>
              <w:t>联系电话</w:t>
            </w:r>
          </w:p>
        </w:tc>
        <w:tc>
          <w:tcPr>
            <w:tcW w:type="dxa" w:w="2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0"/>
              </w:rPr>
              <w:t>身份证号</w:t>
            </w:r>
          </w:p>
        </w:tc>
        <w:tc>
          <w:tcPr>
            <w:tcW w:type="dxa" w:w="1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0"/>
              </w:rPr>
              <w:t>资质情况</w:t>
            </w: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0"/>
              </w:rPr>
              <w:t>1</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8"/>
          <w:b/>
        </w:rPr>
        <w:t>桌面运维合同模板</w:t>
      </w:r>
    </w:p>
    <w:p>
      <w:pPr>
        <w:pStyle w:val="null3"/>
        <w:jc w:val="both"/>
      </w:pPr>
      <w:r>
        <w:rPr>
          <w:sz w:val="20"/>
          <w:b/>
        </w:rPr>
        <w:t>甲</w:t>
      </w:r>
      <w:r>
        <w:rPr>
          <w:sz w:val="20"/>
          <w:b/>
        </w:rPr>
        <w:t xml:space="preserve">    </w:t>
      </w:r>
      <w:r>
        <w:rPr>
          <w:sz w:val="20"/>
          <w:b/>
        </w:rPr>
        <w:t>方</w:t>
      </w:r>
      <w:r>
        <w:rPr>
          <w:sz w:val="20"/>
        </w:rPr>
        <w:t>（采购人）</w:t>
      </w:r>
      <w:r>
        <w:rPr>
          <w:sz w:val="20"/>
          <w:b/>
        </w:rPr>
        <w:t>：</w:t>
      </w:r>
    </w:p>
    <w:p>
      <w:pPr>
        <w:pStyle w:val="null3"/>
        <w:jc w:val="both"/>
      </w:pPr>
      <w:r>
        <w:rPr>
          <w:sz w:val="20"/>
        </w:rPr>
        <w:t>电</w:t>
      </w:r>
      <w:r>
        <w:rPr>
          <w:sz w:val="20"/>
        </w:rPr>
        <w:t xml:space="preserve">    </w:t>
      </w:r>
      <w:r>
        <w:rPr>
          <w:sz w:val="20"/>
        </w:rPr>
        <w:t>话：</w:t>
      </w:r>
      <w:r>
        <w:rPr>
          <w:sz w:val="20"/>
        </w:rPr>
        <w:t xml:space="preserve">              </w:t>
      </w:r>
      <w:r>
        <w:rPr>
          <w:sz w:val="20"/>
        </w:rPr>
        <w:t>传</w:t>
      </w:r>
      <w:r>
        <w:rPr>
          <w:sz w:val="20"/>
        </w:rPr>
        <w:t xml:space="preserve">  </w:t>
      </w:r>
      <w:r>
        <w:rPr>
          <w:sz w:val="20"/>
        </w:rPr>
        <w:t>真：</w:t>
      </w:r>
      <w:r>
        <w:rPr>
          <w:sz w:val="20"/>
        </w:rPr>
        <w:t xml:space="preserve">           </w:t>
      </w:r>
      <w:r>
        <w:rPr>
          <w:sz w:val="20"/>
        </w:rPr>
        <w:t>住</w:t>
      </w:r>
      <w:r>
        <w:rPr>
          <w:sz w:val="20"/>
        </w:rPr>
        <w:t xml:space="preserve">  </w:t>
      </w:r>
      <w:r>
        <w:rPr>
          <w:sz w:val="20"/>
        </w:rPr>
        <w:t>所：</w:t>
      </w:r>
    </w:p>
    <w:p>
      <w:pPr>
        <w:pStyle w:val="null3"/>
        <w:jc w:val="both"/>
      </w:pPr>
      <w:r>
        <w:rPr>
          <w:sz w:val="20"/>
          <w:b/>
        </w:rPr>
        <w:t>乙</w:t>
      </w:r>
      <w:r>
        <w:rPr>
          <w:sz w:val="20"/>
          <w:b/>
        </w:rPr>
        <w:t xml:space="preserve">    </w:t>
      </w:r>
      <w:r>
        <w:rPr>
          <w:sz w:val="20"/>
          <w:b/>
        </w:rPr>
        <w:t>方</w:t>
      </w:r>
      <w:r>
        <w:rPr>
          <w:sz w:val="20"/>
        </w:rPr>
        <w:t>（成交供应商）</w:t>
      </w:r>
      <w:r>
        <w:rPr>
          <w:sz w:val="20"/>
          <w:b/>
        </w:rPr>
        <w:t>：</w:t>
      </w:r>
    </w:p>
    <w:p>
      <w:pPr>
        <w:pStyle w:val="null3"/>
        <w:jc w:val="both"/>
      </w:pPr>
      <w:r>
        <w:rPr>
          <w:sz w:val="20"/>
        </w:rPr>
        <w:t>电</w:t>
      </w:r>
      <w:r>
        <w:rPr>
          <w:sz w:val="20"/>
        </w:rPr>
        <w:t xml:space="preserve">    </w:t>
      </w:r>
      <w:r>
        <w:rPr>
          <w:sz w:val="20"/>
        </w:rPr>
        <w:t>话：</w:t>
      </w:r>
      <w:r>
        <w:rPr>
          <w:sz w:val="20"/>
        </w:rPr>
        <w:t xml:space="preserve">                </w:t>
      </w:r>
      <w:r>
        <w:rPr>
          <w:sz w:val="20"/>
        </w:rPr>
        <w:t>传</w:t>
      </w:r>
      <w:r>
        <w:rPr>
          <w:sz w:val="20"/>
        </w:rPr>
        <w:t xml:space="preserve">  </w:t>
      </w:r>
      <w:r>
        <w:rPr>
          <w:sz w:val="20"/>
        </w:rPr>
        <w:t>真：</w:t>
      </w:r>
      <w:r>
        <w:rPr>
          <w:sz w:val="20"/>
        </w:rPr>
        <w:t xml:space="preserve">           </w:t>
      </w:r>
      <w:r>
        <w:rPr>
          <w:sz w:val="20"/>
        </w:rPr>
        <w:t>住</w:t>
      </w:r>
      <w:r>
        <w:rPr>
          <w:sz w:val="20"/>
        </w:rPr>
        <w:t xml:space="preserve">  </w:t>
      </w:r>
      <w:r>
        <w:rPr>
          <w:sz w:val="20"/>
        </w:rPr>
        <w:t>所：</w:t>
      </w:r>
      <w:r>
        <w:rPr>
          <w:sz w:val="20"/>
        </w:rPr>
        <w:t xml:space="preserve">   </w:t>
      </w:r>
    </w:p>
    <w:p>
      <w:pPr>
        <w:pStyle w:val="null3"/>
        <w:jc w:val="both"/>
      </w:pPr>
      <w:r>
        <w:rPr>
          <w:sz w:val="20"/>
        </w:rPr>
        <w:t>项目名称：</w:t>
      </w:r>
      <w:r>
        <w:rPr>
          <w:sz w:val="20"/>
        </w:rPr>
        <w:t xml:space="preserve">                                   </w:t>
      </w:r>
      <w:r>
        <w:rPr>
          <w:sz w:val="20"/>
        </w:rPr>
        <w:t>项目</w:t>
      </w:r>
      <w:r>
        <w:rPr>
          <w:sz w:val="20"/>
        </w:rPr>
        <w:t>编号：</w:t>
      </w:r>
      <w:r>
        <w:rPr>
          <w:sz w:val="20"/>
        </w:rPr>
        <w:t xml:space="preserve">  </w:t>
      </w:r>
    </w:p>
    <w:p>
      <w:pPr>
        <w:pStyle w:val="null3"/>
        <w:ind w:firstLine="400"/>
        <w:jc w:val="both"/>
      </w:pPr>
      <w:r>
        <w:rPr>
          <w:sz w:val="20"/>
        </w:rPr>
        <w:t>根据</w:t>
      </w:r>
      <w:r>
        <w:rPr>
          <w:sz w:val="20"/>
          <w:u w:val="single"/>
        </w:rPr>
        <w:t>202</w:t>
      </w:r>
      <w:r>
        <w:rPr>
          <w:sz w:val="20"/>
          <w:u w:val="single"/>
        </w:rPr>
        <w:t>5</w:t>
      </w:r>
      <w:r>
        <w:rPr>
          <w:sz w:val="20"/>
          <w:u w:val="single"/>
        </w:rPr>
        <w:t>年度办公设备桌面运维服务项目</w:t>
      </w:r>
      <w:r>
        <w:rPr>
          <w:sz w:val="20"/>
        </w:rPr>
        <w:t>（项目编号：）</w:t>
      </w:r>
      <w:r>
        <w:rPr>
          <w:sz w:val="20"/>
        </w:rPr>
        <w:t>的采购结果，按照《中华人民共和国民法典》的规定，</w:t>
      </w:r>
      <w:r>
        <w:rPr>
          <w:sz w:val="20"/>
        </w:rPr>
        <w:t>经双方协商，</w:t>
      </w:r>
      <w:r>
        <w:rPr>
          <w:sz w:val="20"/>
        </w:rPr>
        <w:t>本着平等互利和诚实信用的原则，</w:t>
      </w:r>
      <w:r>
        <w:rPr>
          <w:sz w:val="20"/>
        </w:rPr>
        <w:t>一致同意签订本合同如下</w:t>
      </w:r>
      <w:r>
        <w:rPr>
          <w:sz w:val="20"/>
        </w:rPr>
        <w:t>：</w:t>
      </w:r>
    </w:p>
    <w:p>
      <w:pPr>
        <w:pStyle w:val="null3"/>
        <w:ind w:left="510"/>
        <w:jc w:val="both"/>
      </w:pPr>
      <w:r>
        <w:rPr>
          <w:sz w:val="20"/>
          <w:b/>
        </w:rPr>
        <w:t>采购标的、数量</w:t>
      </w:r>
    </w:p>
    <w:tbl>
      <w:tblPr>
        <w:tblW w:w="0" w:type="auto"/>
        <w:tblBorders>
          <w:top w:val="none" w:color="000000" w:sz="4"/>
          <w:left w:val="none" w:color="000000" w:sz="4"/>
          <w:bottom w:val="none" w:color="000000" w:sz="4"/>
          <w:right w:val="none" w:color="000000" w:sz="4"/>
          <w:insideH w:val="none"/>
          <w:insideV w:val="none"/>
        </w:tblBorders>
      </w:tblPr>
      <w:tblGrid>
        <w:gridCol w:w="1023"/>
        <w:gridCol w:w="4153"/>
        <w:gridCol w:w="2588"/>
        <w:gridCol w:w="2588"/>
      </w:tblGrid>
      <w:tr>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2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履行期限</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w:t>
            </w:r>
            <w:r>
              <w:rPr>
                <w:sz w:val="20"/>
              </w:rPr>
              <w:t>5</w:t>
            </w:r>
            <w:r>
              <w:rPr>
                <w:sz w:val="20"/>
              </w:rPr>
              <w:t>年度办公设备桌面运维服务</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自合同约定日期起，服务期限为</w:t>
            </w:r>
            <w:r>
              <w:rPr>
                <w:sz w:val="20"/>
              </w:rPr>
              <w:t>十个月</w:t>
            </w:r>
            <w:r>
              <w:rPr>
                <w:sz w:val="20"/>
              </w:rPr>
              <w:t>。</w:t>
            </w:r>
          </w:p>
        </w:tc>
      </w:tr>
    </w:tbl>
    <w:p>
      <w:pPr>
        <w:pStyle w:val="null3"/>
        <w:ind w:left="510"/>
        <w:jc w:val="both"/>
      </w:pPr>
      <w:r>
        <w:rPr>
          <w:sz w:val="20"/>
          <w:b/>
        </w:rPr>
        <w:t>合同金额</w:t>
      </w:r>
    </w:p>
    <w:p>
      <w:pPr>
        <w:pStyle w:val="null3"/>
        <w:ind w:firstLine="400"/>
        <w:jc w:val="both"/>
      </w:pPr>
      <w:r>
        <w:rPr>
          <w:sz w:val="20"/>
        </w:rPr>
        <w:t>合同金额为（大写）：</w:t>
      </w:r>
      <w:r>
        <w:rPr>
          <w:sz w:val="20"/>
        </w:rPr>
        <w:t>_________________元（￥_______________元）。</w:t>
      </w:r>
    </w:p>
    <w:p>
      <w:pPr>
        <w:pStyle w:val="null3"/>
        <w:ind w:left="510"/>
        <w:jc w:val="both"/>
      </w:pPr>
      <w:r>
        <w:rPr>
          <w:sz w:val="20"/>
          <w:b/>
        </w:rPr>
        <w:t>服务内容</w:t>
      </w:r>
    </w:p>
    <w:p>
      <w:pPr>
        <w:pStyle w:val="null3"/>
        <w:numPr>
          <w:ilvl w:val="0"/>
          <w:numId w:val="1"/>
        </w:numPr>
        <w:spacing w:after="120"/>
        <w:jc w:val="both"/>
      </w:pPr>
      <w:r>
        <w:rPr>
          <w:sz w:val="20"/>
          <w:b/>
        </w:rPr>
        <w:t>服务内容要求</w:t>
      </w:r>
    </w:p>
    <w:p>
      <w:pPr>
        <w:pStyle w:val="null3"/>
        <w:spacing w:after="120"/>
        <w:ind w:firstLine="400"/>
        <w:jc w:val="both"/>
      </w:pPr>
      <w:r>
        <w:rPr>
          <w:sz w:val="20"/>
        </w:rPr>
        <w:t>1、硬件安装：所有指定维护范围内的设备及其外设的搬运、安装、调试、组装与移位等。</w:t>
      </w:r>
    </w:p>
    <w:p>
      <w:pPr>
        <w:pStyle w:val="null3"/>
        <w:spacing w:after="120"/>
        <w:ind w:firstLine="400"/>
        <w:jc w:val="both"/>
      </w:pPr>
      <w:r>
        <w:rPr>
          <w:sz w:val="20"/>
        </w:rPr>
        <w:t>2、系统安装：设备的安装、调试及升级；相关驱动程序及软件的安装调试；经服务对象授权进行应用软件安装、升级并排除软件使用过程中的故障；解决软件冲突造成的系统故障。</w:t>
      </w:r>
    </w:p>
    <w:p>
      <w:pPr>
        <w:pStyle w:val="null3"/>
        <w:spacing w:after="120"/>
        <w:ind w:firstLine="400"/>
        <w:jc w:val="both"/>
      </w:pPr>
      <w:r>
        <w:rPr>
          <w:sz w:val="20"/>
        </w:rPr>
        <w:t>3、故障检测与修复：包括软件故障检测与修复，硬件故障检测。</w:t>
      </w:r>
    </w:p>
    <w:p>
      <w:pPr>
        <w:pStyle w:val="null3"/>
        <w:spacing w:after="120"/>
        <w:ind w:firstLine="400"/>
        <w:jc w:val="both"/>
      </w:pPr>
      <w:r>
        <w:rPr>
          <w:sz w:val="20"/>
        </w:rPr>
        <w:t>4、配件的更换、维修由</w:t>
      </w:r>
      <w:r>
        <w:rPr>
          <w:sz w:val="20"/>
        </w:rPr>
        <w:t>乙方</w:t>
      </w:r>
      <w:r>
        <w:rPr>
          <w:sz w:val="20"/>
        </w:rPr>
        <w:t>自行解决，但必须向</w:t>
      </w:r>
      <w:r>
        <w:rPr>
          <w:sz w:val="20"/>
        </w:rPr>
        <w:t>甲方</w:t>
      </w:r>
      <w:r>
        <w:rPr>
          <w:sz w:val="20"/>
        </w:rPr>
        <w:t>备案并接受监督，更换的配件不得低于原配件的性能和质量。对还在保修期内的设备，由</w:t>
      </w:r>
      <w:r>
        <w:rPr>
          <w:sz w:val="20"/>
        </w:rPr>
        <w:t>乙方</w:t>
      </w:r>
      <w:r>
        <w:rPr>
          <w:sz w:val="20"/>
        </w:rPr>
        <w:t>提供故障诊断服务，属于软件故障，由</w:t>
      </w:r>
      <w:r>
        <w:rPr>
          <w:sz w:val="20"/>
        </w:rPr>
        <w:t>乙方</w:t>
      </w:r>
      <w:r>
        <w:rPr>
          <w:sz w:val="20"/>
        </w:rPr>
        <w:t>负责排除，属于硬件故障由</w:t>
      </w:r>
      <w:r>
        <w:rPr>
          <w:sz w:val="20"/>
        </w:rPr>
        <w:t>乙方</w:t>
      </w:r>
      <w:r>
        <w:rPr>
          <w:sz w:val="20"/>
        </w:rPr>
        <w:t>负责与保修单位沟通，如需送修，由</w:t>
      </w:r>
      <w:r>
        <w:rPr>
          <w:sz w:val="20"/>
        </w:rPr>
        <w:t>乙方</w:t>
      </w:r>
      <w:r>
        <w:rPr>
          <w:sz w:val="20"/>
        </w:rPr>
        <w:t>负责送修工作，如需更换配件，需更换由保修单位提供的原厂配件，</w:t>
      </w:r>
      <w:r>
        <w:rPr>
          <w:sz w:val="20"/>
        </w:rPr>
        <w:t>甲方</w:t>
      </w:r>
      <w:r>
        <w:rPr>
          <w:sz w:val="20"/>
        </w:rPr>
        <w:t>不为保修期内的设备支付配件费用。</w:t>
      </w:r>
    </w:p>
    <w:p>
      <w:pPr>
        <w:pStyle w:val="null3"/>
        <w:spacing w:after="120"/>
        <w:ind w:firstLine="400"/>
        <w:jc w:val="both"/>
      </w:pPr>
      <w:r>
        <w:rPr>
          <w:sz w:val="20"/>
        </w:rPr>
        <w:t>5、设备的定期清洗和保养。</w:t>
      </w:r>
    </w:p>
    <w:p>
      <w:pPr>
        <w:pStyle w:val="null3"/>
        <w:spacing w:after="120"/>
        <w:ind w:firstLine="400"/>
        <w:jc w:val="both"/>
      </w:pPr>
      <w:r>
        <w:rPr>
          <w:sz w:val="20"/>
        </w:rPr>
        <w:t>6、巡检：</w:t>
      </w:r>
      <w:r>
        <w:rPr>
          <w:sz w:val="20"/>
        </w:rPr>
        <w:t>乙方</w:t>
      </w:r>
      <w:r>
        <w:rPr>
          <w:sz w:val="20"/>
        </w:rPr>
        <w:t>应每季度为</w:t>
      </w:r>
      <w:r>
        <w:rPr>
          <w:sz w:val="20"/>
        </w:rPr>
        <w:t>甲方</w:t>
      </w:r>
      <w:r>
        <w:rPr>
          <w:sz w:val="20"/>
        </w:rPr>
        <w:t>软硬件设备作一次巡检，主动维护好各类设备，检查硬件实际配置是否和设备登记表相符，保障用户正常办公。在巡检过程中，要根据</w:t>
      </w:r>
      <w:r>
        <w:rPr>
          <w:sz w:val="20"/>
        </w:rPr>
        <w:t>甲方</w:t>
      </w:r>
      <w:r>
        <w:rPr>
          <w:sz w:val="20"/>
        </w:rPr>
        <w:t>要求做好相关工作。</w:t>
      </w:r>
    </w:p>
    <w:p>
      <w:pPr>
        <w:pStyle w:val="null3"/>
        <w:spacing w:after="120"/>
        <w:ind w:firstLine="400"/>
        <w:jc w:val="both"/>
      </w:pPr>
      <w:r>
        <w:rPr>
          <w:sz w:val="20"/>
        </w:rPr>
        <w:t>7、对故障设备的维修，在响应时间内完成故障设备的维修，维修人员应严格遵守维修规程，对关键重点岗位及紧急的故障及时响应并及时汇报，对于故障设备的维修由指定的具体技术人员组织监督进行。</w:t>
      </w:r>
    </w:p>
    <w:p>
      <w:pPr>
        <w:pStyle w:val="null3"/>
        <w:spacing w:after="120"/>
        <w:ind w:firstLine="400"/>
        <w:jc w:val="both"/>
      </w:pPr>
      <w:r>
        <w:rPr>
          <w:sz w:val="20"/>
        </w:rPr>
        <w:t>8、零配件更换，</w:t>
      </w:r>
      <w:r>
        <w:rPr>
          <w:sz w:val="20"/>
        </w:rPr>
        <w:t>乙方</w:t>
      </w:r>
      <w:r>
        <w:rPr>
          <w:sz w:val="20"/>
        </w:rPr>
        <w:t>提供的配件必须是原厂原装或相当于原厂原装，不得以降低成本为目的，以低质量配件替代，不得使用二手配件，若一旦被发现有上述操作，</w:t>
      </w:r>
      <w:r>
        <w:rPr>
          <w:sz w:val="20"/>
        </w:rPr>
        <w:t>甲方</w:t>
      </w:r>
      <w:r>
        <w:rPr>
          <w:sz w:val="20"/>
        </w:rPr>
        <w:t>提出限时整改意见，如不能按时整改，则追究</w:t>
      </w:r>
      <w:r>
        <w:rPr>
          <w:sz w:val="20"/>
        </w:rPr>
        <w:t>乙方</w:t>
      </w:r>
      <w:r>
        <w:rPr>
          <w:sz w:val="20"/>
        </w:rPr>
        <w:t>相应违约责任。由此造成的</w:t>
      </w:r>
      <w:r>
        <w:rPr>
          <w:sz w:val="20"/>
        </w:rPr>
        <w:t>甲方</w:t>
      </w:r>
      <w:r>
        <w:rPr>
          <w:sz w:val="20"/>
        </w:rPr>
        <w:t>一切损失，由</w:t>
      </w:r>
      <w:r>
        <w:rPr>
          <w:sz w:val="20"/>
        </w:rPr>
        <w:t>乙方</w:t>
      </w:r>
      <w:r>
        <w:rPr>
          <w:sz w:val="20"/>
        </w:rPr>
        <w:t>承担。</w:t>
      </w:r>
    </w:p>
    <w:p>
      <w:pPr>
        <w:pStyle w:val="null3"/>
        <w:spacing w:after="120"/>
        <w:ind w:firstLine="400"/>
        <w:jc w:val="both"/>
      </w:pPr>
      <w:r>
        <w:rPr>
          <w:sz w:val="20"/>
        </w:rPr>
        <w:t>9、</w:t>
      </w:r>
      <w:r>
        <w:rPr>
          <w:sz w:val="20"/>
        </w:rPr>
        <w:t>乙方</w:t>
      </w:r>
      <w:r>
        <w:rPr>
          <w:sz w:val="20"/>
        </w:rPr>
        <w:t>应在项目完成时，将本项目所有文档、资料汇集成册交付给</w:t>
      </w:r>
      <w:r>
        <w:rPr>
          <w:sz w:val="20"/>
        </w:rPr>
        <w:t>甲方</w:t>
      </w:r>
      <w:r>
        <w:rPr>
          <w:sz w:val="20"/>
        </w:rPr>
        <w:t>，所有文件要求用中文书写或有完整的中文注释。验收后，</w:t>
      </w:r>
      <w:r>
        <w:rPr>
          <w:sz w:val="20"/>
        </w:rPr>
        <w:t>乙方</w:t>
      </w:r>
      <w:r>
        <w:rPr>
          <w:sz w:val="20"/>
        </w:rPr>
        <w:t>按国家、省以及</w:t>
      </w:r>
      <w:r>
        <w:rPr>
          <w:sz w:val="20"/>
        </w:rPr>
        <w:t>甲方</w:t>
      </w:r>
      <w:r>
        <w:rPr>
          <w:sz w:val="20"/>
        </w:rPr>
        <w:t>档案管理要求，向</w:t>
      </w:r>
      <w:r>
        <w:rPr>
          <w:sz w:val="20"/>
        </w:rPr>
        <w:t>甲方</w:t>
      </w:r>
      <w:r>
        <w:rPr>
          <w:sz w:val="20"/>
        </w:rPr>
        <w:t>提供装订成册的纸质文档。</w:t>
      </w:r>
    </w:p>
    <w:p>
      <w:pPr>
        <w:pStyle w:val="null3"/>
        <w:numPr>
          <w:ilvl w:val="0"/>
          <w:numId w:val="1"/>
        </w:numPr>
        <w:spacing w:after="120"/>
        <w:jc w:val="both"/>
      </w:pPr>
      <w:r>
        <w:rPr>
          <w:sz w:val="20"/>
          <w:b/>
        </w:rPr>
        <w:t>服务人员要求</w:t>
      </w:r>
    </w:p>
    <w:p>
      <w:pPr>
        <w:pStyle w:val="null3"/>
        <w:numPr>
          <w:ilvl w:val="0"/>
          <w:numId w:val="1"/>
        </w:numPr>
        <w:spacing w:after="120"/>
        <w:jc w:val="both"/>
      </w:pPr>
      <w:r>
        <w:rPr>
          <w:sz w:val="20"/>
        </w:rPr>
        <w:t>在</w:t>
      </w:r>
      <w:r>
        <w:rPr>
          <w:sz w:val="20"/>
        </w:rPr>
        <w:t>甲方</w:t>
      </w:r>
      <w:r>
        <w:rPr>
          <w:sz w:val="20"/>
        </w:rPr>
        <w:t>的办公场所提供驻场服务。未经</w:t>
      </w:r>
      <w:r>
        <w:rPr>
          <w:sz w:val="20"/>
        </w:rPr>
        <w:t>甲方</w:t>
      </w:r>
      <w:r>
        <w:rPr>
          <w:sz w:val="20"/>
        </w:rPr>
        <w:t>同意，</w:t>
      </w:r>
      <w:r>
        <w:rPr>
          <w:sz w:val="20"/>
        </w:rPr>
        <w:t>乙方</w:t>
      </w:r>
      <w:r>
        <w:rPr>
          <w:sz w:val="20"/>
        </w:rPr>
        <w:t>不得将服务分包或转包给第三方，也不得将服务外派或请非</w:t>
      </w:r>
      <w:r>
        <w:rPr>
          <w:sz w:val="20"/>
        </w:rPr>
        <w:t>乙方</w:t>
      </w:r>
      <w:r>
        <w:rPr>
          <w:sz w:val="20"/>
        </w:rPr>
        <w:t>单位员工参与。</w:t>
      </w:r>
    </w:p>
    <w:p>
      <w:pPr>
        <w:pStyle w:val="null3"/>
        <w:numPr>
          <w:ilvl w:val="0"/>
          <w:numId w:val="1"/>
        </w:numPr>
        <w:spacing w:after="120"/>
        <w:jc w:val="both"/>
      </w:pPr>
      <w:r>
        <w:rPr>
          <w:sz w:val="20"/>
        </w:rPr>
        <w:t>乙方</w:t>
      </w:r>
      <w:r>
        <w:rPr>
          <w:sz w:val="20"/>
        </w:rPr>
        <w:t>提供的固定驻场服务人员，需具备计算机应用与维护相关专业助理工程师或以上职称，或</w:t>
      </w:r>
      <w:r>
        <w:rPr>
          <w:sz w:val="20"/>
        </w:rPr>
        <w:t>3年以上同类办公设备维修经验，驻场服务前需经</w:t>
      </w:r>
      <w:r>
        <w:rPr>
          <w:sz w:val="20"/>
        </w:rPr>
        <w:t>甲方</w:t>
      </w:r>
      <w:r>
        <w:rPr>
          <w:sz w:val="20"/>
        </w:rPr>
        <w:t>考核通过。服务开始前，</w:t>
      </w:r>
      <w:r>
        <w:rPr>
          <w:sz w:val="20"/>
        </w:rPr>
        <w:t>乙方</w:t>
      </w:r>
      <w:r>
        <w:rPr>
          <w:sz w:val="20"/>
        </w:rPr>
        <w:t>需要提供驻场服务人员和不少于</w:t>
      </w:r>
      <w:r>
        <w:rPr>
          <w:sz w:val="20"/>
        </w:rPr>
        <w:t>1名替班技术人员的有关资料供审核和登记备案，替班技术人员需有同样资质要求。</w:t>
      </w:r>
    </w:p>
    <w:p>
      <w:pPr>
        <w:pStyle w:val="null3"/>
        <w:numPr>
          <w:ilvl w:val="0"/>
          <w:numId w:val="1"/>
        </w:numPr>
        <w:spacing w:after="120"/>
        <w:jc w:val="both"/>
      </w:pPr>
      <w:r>
        <w:rPr>
          <w:sz w:val="20"/>
        </w:rPr>
        <w:t>专人驻场服务：</w:t>
      </w:r>
      <w:r>
        <w:rPr>
          <w:sz w:val="20"/>
        </w:rPr>
        <w:t>每</w:t>
      </w:r>
      <w:r>
        <w:rPr>
          <w:sz w:val="20"/>
        </w:rPr>
        <w:t>日提供至少</w:t>
      </w:r>
      <w:r>
        <w:rPr>
          <w:sz w:val="20"/>
        </w:rPr>
        <w:t>1名固定的专业技术员驻场，工作时间（8:30-17:30）。值班时间视具体要求确定。如驻场服务人员请假，则由已备案的技术人员代替工作，不允许出现缺岗缺位情况。若驻场人员需要</w:t>
      </w:r>
      <w:r>
        <w:rPr>
          <w:sz w:val="20"/>
        </w:rPr>
        <w:t>乙方</w:t>
      </w:r>
      <w:r>
        <w:rPr>
          <w:sz w:val="20"/>
        </w:rPr>
        <w:t>其他技术人员协助工作时，</w:t>
      </w:r>
      <w:r>
        <w:rPr>
          <w:sz w:val="20"/>
        </w:rPr>
        <w:t>乙方</w:t>
      </w:r>
      <w:r>
        <w:rPr>
          <w:sz w:val="20"/>
        </w:rPr>
        <w:t>需及时响应并派出额外工程师赶往现场，确保</w:t>
      </w:r>
      <w:r>
        <w:rPr>
          <w:sz w:val="20"/>
        </w:rPr>
        <w:t>24小时内解决系统技术问题。如果需要调配其他资源，将顺延至下一工作日。</w:t>
      </w:r>
    </w:p>
    <w:p>
      <w:pPr>
        <w:pStyle w:val="null3"/>
        <w:numPr>
          <w:ilvl w:val="0"/>
          <w:numId w:val="1"/>
        </w:numPr>
        <w:spacing w:after="120"/>
        <w:jc w:val="both"/>
      </w:pPr>
      <w:r>
        <w:rPr>
          <w:sz w:val="20"/>
        </w:rPr>
        <w:t>服务过程中，</w:t>
      </w:r>
      <w:r>
        <w:rPr>
          <w:sz w:val="20"/>
        </w:rPr>
        <w:t>实际驻场人员应当与投标书中拟派出驻场人员保持一致，</w:t>
      </w:r>
      <w:r>
        <w:rPr>
          <w:sz w:val="20"/>
        </w:rPr>
        <w:t>甲方</w:t>
      </w:r>
      <w:r>
        <w:rPr>
          <w:sz w:val="20"/>
        </w:rPr>
        <w:t>对驻场服务人员不满意，提出更换驻场服务人员要求，</w:t>
      </w:r>
      <w:r>
        <w:rPr>
          <w:sz w:val="20"/>
        </w:rPr>
        <w:t>乙方</w:t>
      </w:r>
      <w:r>
        <w:rPr>
          <w:sz w:val="20"/>
        </w:rPr>
        <w:t>需在</w:t>
      </w:r>
      <w:r>
        <w:rPr>
          <w:sz w:val="20"/>
        </w:rPr>
        <w:t>3个工作日内无条件更换。如连续更换三次仍不满意，</w:t>
      </w:r>
      <w:r>
        <w:rPr>
          <w:sz w:val="20"/>
        </w:rPr>
        <w:t>甲方</w:t>
      </w:r>
      <w:r>
        <w:rPr>
          <w:sz w:val="20"/>
        </w:rPr>
        <w:t>可单方解除合同，并扣除合同履约保证金。</w:t>
      </w:r>
    </w:p>
    <w:p>
      <w:pPr>
        <w:pStyle w:val="null3"/>
        <w:numPr>
          <w:ilvl w:val="0"/>
          <w:numId w:val="1"/>
        </w:numPr>
        <w:spacing w:after="120"/>
        <w:jc w:val="both"/>
      </w:pPr>
      <w:r>
        <w:rPr>
          <w:sz w:val="20"/>
        </w:rPr>
        <w:t>项目负责人要求：乙方</w:t>
      </w:r>
      <w:r>
        <w:rPr>
          <w:sz w:val="20"/>
        </w:rPr>
        <w:t>需另行指派</w:t>
      </w:r>
      <w:r>
        <w:rPr>
          <w:sz w:val="20"/>
        </w:rPr>
        <w:t>信息类相关专业中级或以上</w:t>
      </w:r>
      <w:r>
        <w:rPr>
          <w:sz w:val="20"/>
        </w:rPr>
        <w:t>工程师</w:t>
      </w:r>
      <w:r>
        <w:rPr>
          <w:sz w:val="20"/>
        </w:rPr>
        <w:t>1名，每年不少于4次（1次/3月）对服务人员、服务质量、服务内容进行管理。</w:t>
      </w:r>
    </w:p>
    <w:p>
      <w:pPr>
        <w:pStyle w:val="null3"/>
        <w:numPr>
          <w:ilvl w:val="0"/>
          <w:numId w:val="1"/>
        </w:numPr>
        <w:spacing w:after="120"/>
        <w:jc w:val="both"/>
      </w:pPr>
      <w:r>
        <w:rPr>
          <w:sz w:val="20"/>
        </w:rPr>
        <w:t>驻场服务人员需每日按</w:t>
      </w:r>
      <w:r>
        <w:rPr>
          <w:sz w:val="20"/>
        </w:rPr>
        <w:t>甲方</w:t>
      </w:r>
      <w:r>
        <w:rPr>
          <w:sz w:val="20"/>
        </w:rPr>
        <w:t>管理规定进行考勤，如遇驻场服务人员请假，则由已备案的技术人员代替工作，不允许出现缺岗缺位的情况。</w:t>
      </w:r>
    </w:p>
    <w:p>
      <w:pPr>
        <w:pStyle w:val="null3"/>
        <w:numPr>
          <w:ilvl w:val="0"/>
          <w:numId w:val="1"/>
        </w:numPr>
        <w:spacing w:after="120"/>
        <w:jc w:val="both"/>
      </w:pPr>
      <w:r>
        <w:rPr>
          <w:sz w:val="20"/>
          <w:b/>
        </w:rPr>
        <w:t>服务响应要求</w:t>
      </w:r>
    </w:p>
    <w:p>
      <w:pPr>
        <w:pStyle w:val="null3"/>
        <w:numPr>
          <w:ilvl w:val="0"/>
          <w:numId w:val="1"/>
        </w:numPr>
        <w:spacing w:after="120"/>
        <w:jc w:val="both"/>
      </w:pPr>
      <w:r>
        <w:rPr>
          <w:sz w:val="20"/>
        </w:rPr>
        <w:t>要求提供</w:t>
      </w:r>
      <w:r>
        <w:rPr>
          <w:sz w:val="20"/>
        </w:rPr>
        <w:t>7×24小时现场支持，</w:t>
      </w:r>
      <w:r>
        <w:rPr>
          <w:sz w:val="21"/>
          <w:u w:val="single"/>
        </w:rPr>
        <w:t xml:space="preserve">    </w:t>
      </w:r>
      <w:r>
        <w:rPr>
          <w:sz w:val="20"/>
        </w:rPr>
        <w:t>分钟内响应，</w:t>
      </w:r>
      <w:r>
        <w:rPr>
          <w:sz w:val="21"/>
          <w:u w:val="single"/>
        </w:rPr>
        <w:t xml:space="preserve">   </w:t>
      </w:r>
      <w:r>
        <w:rPr>
          <w:sz w:val="20"/>
        </w:rPr>
        <w:t>分钟</w:t>
      </w:r>
      <w:r>
        <w:rPr>
          <w:sz w:val="20"/>
        </w:rPr>
        <w:t>内赶到现场，</w:t>
      </w:r>
      <w:r>
        <w:rPr>
          <w:sz w:val="20"/>
        </w:rPr>
        <w:t>24小时内修复故障。</w:t>
      </w:r>
    </w:p>
    <w:p>
      <w:pPr>
        <w:pStyle w:val="null3"/>
        <w:numPr>
          <w:ilvl w:val="0"/>
          <w:numId w:val="1"/>
        </w:numPr>
        <w:spacing w:after="120"/>
        <w:jc w:val="both"/>
      </w:pPr>
      <w:r>
        <w:rPr>
          <w:sz w:val="20"/>
        </w:rPr>
        <w:t>甲方</w:t>
      </w:r>
      <w:r>
        <w:rPr>
          <w:sz w:val="20"/>
        </w:rPr>
        <w:t>存在机关和监管区两个相对独立的办公区域，两个区域均须满足第</w:t>
      </w:r>
      <w:r>
        <w:rPr>
          <w:sz w:val="20"/>
        </w:rPr>
        <w:t>1条的响应要求，当一名驻场人员无法满足时，</w:t>
      </w:r>
      <w:r>
        <w:rPr>
          <w:sz w:val="20"/>
        </w:rPr>
        <w:t>乙方</w:t>
      </w:r>
      <w:r>
        <w:rPr>
          <w:sz w:val="20"/>
        </w:rPr>
        <w:t>应当通过增加固定驻场人员或兼职人员的方式，确保两个区域的响应要求，增加的人员由</w:t>
      </w:r>
      <w:r>
        <w:rPr>
          <w:sz w:val="20"/>
        </w:rPr>
        <w:t>乙方</w:t>
      </w:r>
      <w:r>
        <w:rPr>
          <w:sz w:val="20"/>
        </w:rPr>
        <w:t>免费提供。</w:t>
      </w:r>
    </w:p>
    <w:p>
      <w:pPr>
        <w:pStyle w:val="null3"/>
        <w:numPr>
          <w:ilvl w:val="0"/>
          <w:numId w:val="1"/>
        </w:numPr>
        <w:spacing w:after="120"/>
        <w:jc w:val="both"/>
      </w:pPr>
      <w:r>
        <w:rPr>
          <w:sz w:val="20"/>
          <w:b/>
        </w:rPr>
        <w:t>质量控制</w:t>
      </w:r>
      <w:r>
        <w:rPr>
          <w:sz w:val="20"/>
          <w:b/>
        </w:rPr>
        <w:t>要求</w:t>
      </w:r>
    </w:p>
    <w:p>
      <w:pPr>
        <w:pStyle w:val="null3"/>
        <w:spacing w:after="120"/>
        <w:jc w:val="both"/>
      </w:pPr>
      <w:r>
        <w:rPr>
          <w:sz w:val="20"/>
        </w:rPr>
        <w:t>（</w:t>
      </w:r>
      <w:r>
        <w:rPr>
          <w:sz w:val="20"/>
        </w:rPr>
        <w:t>1）要求</w:t>
      </w:r>
      <w:r>
        <w:rPr>
          <w:sz w:val="20"/>
        </w:rPr>
        <w:t>乙方</w:t>
      </w:r>
      <w:r>
        <w:rPr>
          <w:sz w:val="20"/>
        </w:rPr>
        <w:t>应能准确诊断并告知</w:t>
      </w:r>
      <w:r>
        <w:rPr>
          <w:sz w:val="20"/>
        </w:rPr>
        <w:t>甲方</w:t>
      </w:r>
      <w:r>
        <w:rPr>
          <w:sz w:val="20"/>
        </w:rPr>
        <w:t>故障原因，诊断差错率要控制在</w:t>
      </w:r>
      <w:r>
        <w:rPr>
          <w:sz w:val="20"/>
        </w:rPr>
        <w:t>5%以内。并最终向</w:t>
      </w:r>
      <w:r>
        <w:rPr>
          <w:sz w:val="20"/>
        </w:rPr>
        <w:t>甲方</w:t>
      </w:r>
      <w:r>
        <w:rPr>
          <w:sz w:val="20"/>
        </w:rPr>
        <w:t>解释故障发生原因，可能导致的后果，以及拟采取的措施。</w:t>
      </w:r>
    </w:p>
    <w:p>
      <w:pPr>
        <w:pStyle w:val="null3"/>
        <w:spacing w:after="120"/>
        <w:jc w:val="both"/>
      </w:pPr>
      <w:r>
        <w:rPr>
          <w:sz w:val="20"/>
        </w:rPr>
        <w:t>（</w:t>
      </w:r>
      <w:r>
        <w:rPr>
          <w:sz w:val="20"/>
        </w:rPr>
        <w:t>2）故障修复过程中可能影响</w:t>
      </w:r>
      <w:r>
        <w:rPr>
          <w:sz w:val="20"/>
        </w:rPr>
        <w:t>甲方</w:t>
      </w:r>
      <w:r>
        <w:rPr>
          <w:sz w:val="20"/>
        </w:rPr>
        <w:t>工作或对系统应用数据有影响的，要先咨询</w:t>
      </w:r>
      <w:r>
        <w:rPr>
          <w:sz w:val="20"/>
        </w:rPr>
        <w:t>甲方</w:t>
      </w:r>
      <w:r>
        <w:rPr>
          <w:sz w:val="20"/>
        </w:rPr>
        <w:t>意见后方可进行处理。</w:t>
      </w:r>
    </w:p>
    <w:p>
      <w:pPr>
        <w:pStyle w:val="null3"/>
        <w:spacing w:after="120"/>
        <w:jc w:val="both"/>
      </w:pPr>
      <w:r>
        <w:rPr>
          <w:sz w:val="20"/>
        </w:rPr>
        <w:t>（</w:t>
      </w:r>
      <w:r>
        <w:rPr>
          <w:sz w:val="20"/>
        </w:rPr>
        <w:t>3）如果配件需要送修或更换，并需要配合</w:t>
      </w:r>
      <w:r>
        <w:rPr>
          <w:sz w:val="20"/>
        </w:rPr>
        <w:t>甲方</w:t>
      </w:r>
      <w:r>
        <w:rPr>
          <w:sz w:val="20"/>
        </w:rPr>
        <w:t>登记故障配件的型号和产品序列号，并由</w:t>
      </w:r>
      <w:r>
        <w:rPr>
          <w:sz w:val="20"/>
        </w:rPr>
        <w:t>甲方</w:t>
      </w:r>
      <w:r>
        <w:rPr>
          <w:sz w:val="20"/>
        </w:rPr>
        <w:t>签字后再送维修。</w:t>
      </w:r>
    </w:p>
    <w:p>
      <w:pPr>
        <w:pStyle w:val="null3"/>
        <w:spacing w:after="120"/>
        <w:jc w:val="both"/>
      </w:pPr>
      <w:r>
        <w:rPr>
          <w:sz w:val="20"/>
        </w:rPr>
        <w:t>（</w:t>
      </w:r>
      <w:r>
        <w:rPr>
          <w:sz w:val="20"/>
        </w:rPr>
        <w:t>4）如果机器送修，需要保护好磁盘等存贮设备。要先将</w:t>
      </w:r>
      <w:r>
        <w:rPr>
          <w:sz w:val="20"/>
        </w:rPr>
        <w:t>甲方</w:t>
      </w:r>
      <w:r>
        <w:rPr>
          <w:sz w:val="20"/>
        </w:rPr>
        <w:t>数据备份好，再送维修。</w:t>
      </w:r>
    </w:p>
    <w:p>
      <w:pPr>
        <w:pStyle w:val="null3"/>
        <w:spacing w:after="120"/>
        <w:jc w:val="both"/>
      </w:pPr>
      <w:r>
        <w:rPr>
          <w:sz w:val="20"/>
        </w:rPr>
        <w:t>（</w:t>
      </w:r>
      <w:r>
        <w:rPr>
          <w:sz w:val="20"/>
        </w:rPr>
        <w:t>5）建立巡检制度：所有设备进行季度的巡检检查，记录设备状况，列出注意事项，并反馈给</w:t>
      </w:r>
      <w:r>
        <w:rPr>
          <w:sz w:val="20"/>
        </w:rPr>
        <w:t>甲方</w:t>
      </w:r>
      <w:r>
        <w:rPr>
          <w:sz w:val="20"/>
        </w:rPr>
        <w:t>。要求按照</w:t>
      </w:r>
      <w:r>
        <w:rPr>
          <w:sz w:val="20"/>
        </w:rPr>
        <w:t>以下甲方</w:t>
      </w:r>
      <w:r>
        <w:rPr>
          <w:sz w:val="20"/>
        </w:rPr>
        <w:t>提供的区域分片区进行常规性巡检服务，要求在正常上班期间对各计算机及终端设备进行分片分时巡查，并做好记录。</w:t>
      </w:r>
    </w:p>
    <w:p>
      <w:pPr>
        <w:pStyle w:val="null3"/>
        <w:spacing w:after="120"/>
        <w:jc w:val="both"/>
      </w:pPr>
      <w:r>
        <w:rPr>
          <w:sz w:val="20"/>
        </w:rPr>
        <w:t>（</w:t>
      </w:r>
      <w:r>
        <w:rPr>
          <w:sz w:val="20"/>
        </w:rPr>
        <w:t>6）设备维修结束后，维修人员需向</w:t>
      </w:r>
      <w:r>
        <w:rPr>
          <w:sz w:val="20"/>
        </w:rPr>
        <w:t>甲方</w:t>
      </w:r>
      <w:r>
        <w:rPr>
          <w:sz w:val="20"/>
        </w:rPr>
        <w:t>出示服务维修单。服务维修单上需注明维修日期、维修人员、维修地点、故障、故障原因分析、修复结果等。</w:t>
      </w:r>
    </w:p>
    <w:p>
      <w:pPr>
        <w:pStyle w:val="null3"/>
        <w:spacing w:after="120"/>
        <w:jc w:val="both"/>
      </w:pPr>
      <w:r>
        <w:rPr>
          <w:sz w:val="20"/>
        </w:rPr>
        <w:t>（</w:t>
      </w:r>
      <w:r>
        <w:rPr>
          <w:sz w:val="20"/>
        </w:rPr>
        <w:t>7）在每个结算周期中，单位监管部门接到有效投诉超过5次，</w:t>
      </w:r>
      <w:r>
        <w:rPr>
          <w:sz w:val="20"/>
        </w:rPr>
        <w:t>甲方</w:t>
      </w:r>
      <w:r>
        <w:rPr>
          <w:sz w:val="20"/>
        </w:rPr>
        <w:t>有权中止与响应供应商的合约。</w:t>
      </w:r>
    </w:p>
    <w:p>
      <w:pPr>
        <w:pStyle w:val="null3"/>
        <w:spacing w:after="120"/>
        <w:jc w:val="both"/>
      </w:pPr>
      <w:r>
        <w:rPr>
          <w:sz w:val="20"/>
        </w:rPr>
        <w:t>（</w:t>
      </w:r>
      <w:r>
        <w:rPr>
          <w:sz w:val="20"/>
        </w:rPr>
        <w:t>8）</w:t>
      </w:r>
      <w:r>
        <w:rPr>
          <w:sz w:val="20"/>
        </w:rPr>
        <w:t>乙方</w:t>
      </w:r>
      <w:r>
        <w:rPr>
          <w:sz w:val="20"/>
        </w:rPr>
        <w:t>须向</w:t>
      </w:r>
      <w:r>
        <w:rPr>
          <w:sz w:val="20"/>
        </w:rPr>
        <w:t>甲方</w:t>
      </w:r>
      <w:r>
        <w:rPr>
          <w:sz w:val="20"/>
        </w:rPr>
        <w:t>提供项目负责人及维护人员的详细联系方式。</w:t>
      </w:r>
    </w:p>
    <w:p>
      <w:pPr>
        <w:pStyle w:val="null3"/>
        <w:spacing w:after="120"/>
        <w:jc w:val="both"/>
      </w:pPr>
      <w:r>
        <w:rPr>
          <w:sz w:val="20"/>
        </w:rPr>
        <w:t>（</w:t>
      </w:r>
      <w:r>
        <w:rPr>
          <w:sz w:val="20"/>
        </w:rPr>
        <w:t>9）响应类型要求：上门现场解决，热线电话、手机支持。</w:t>
      </w:r>
    </w:p>
    <w:p>
      <w:pPr>
        <w:pStyle w:val="null3"/>
        <w:spacing w:after="120"/>
        <w:jc w:val="both"/>
      </w:pPr>
      <w:r>
        <w:rPr>
          <w:sz w:val="20"/>
        </w:rPr>
        <w:t>（</w:t>
      </w:r>
      <w:r>
        <w:rPr>
          <w:sz w:val="20"/>
        </w:rPr>
        <w:t>10）服务类型要求：送修、现场、特殊服务要求（如购件、升级等）。</w:t>
      </w:r>
    </w:p>
    <w:p>
      <w:pPr>
        <w:pStyle w:val="null3"/>
        <w:spacing w:after="120"/>
        <w:jc w:val="both"/>
      </w:pPr>
      <w:r>
        <w:rPr>
          <w:sz w:val="20"/>
        </w:rPr>
        <w:t>（</w:t>
      </w:r>
      <w:r>
        <w:rPr>
          <w:sz w:val="20"/>
        </w:rPr>
        <w:t>11）每月月度报告：每月总结以及维护统计。</w:t>
      </w:r>
    </w:p>
    <w:p>
      <w:pPr>
        <w:pStyle w:val="null3"/>
        <w:spacing w:after="120"/>
        <w:jc w:val="both"/>
      </w:pPr>
      <w:r>
        <w:rPr>
          <w:sz w:val="20"/>
        </w:rPr>
        <w:t>（</w:t>
      </w:r>
      <w:r>
        <w:rPr>
          <w:sz w:val="20"/>
        </w:rPr>
        <w:t>12）现场维护确认表：工程师现场维护填写现场维护表，故障排除后由</w:t>
      </w:r>
      <w:r>
        <w:rPr>
          <w:sz w:val="20"/>
        </w:rPr>
        <w:t>甲方</w:t>
      </w:r>
      <w:r>
        <w:rPr>
          <w:sz w:val="20"/>
        </w:rPr>
        <w:t>签名确认。</w:t>
      </w:r>
    </w:p>
    <w:p>
      <w:pPr>
        <w:pStyle w:val="null3"/>
        <w:numPr>
          <w:ilvl w:val="0"/>
          <w:numId w:val="1"/>
        </w:numPr>
        <w:spacing w:after="120"/>
        <w:jc w:val="both"/>
      </w:pPr>
      <w:r>
        <w:rPr>
          <w:sz w:val="20"/>
          <w:b/>
        </w:rPr>
        <w:t>服务安全要求</w:t>
      </w:r>
    </w:p>
    <w:p>
      <w:pPr>
        <w:pStyle w:val="null3"/>
        <w:spacing w:after="120"/>
        <w:ind w:firstLine="400"/>
        <w:jc w:val="both"/>
      </w:pPr>
      <w:r>
        <w:rPr>
          <w:sz w:val="20"/>
        </w:rPr>
        <w:t>1、本项目要求</w:t>
      </w:r>
      <w:r>
        <w:rPr>
          <w:sz w:val="20"/>
        </w:rPr>
        <w:t>乙方</w:t>
      </w:r>
      <w:r>
        <w:rPr>
          <w:sz w:val="20"/>
        </w:rPr>
        <w:t>遵守保密制度，确定项目保密责任人，同时要求</w:t>
      </w:r>
      <w:r>
        <w:rPr>
          <w:sz w:val="20"/>
        </w:rPr>
        <w:t>乙方切实做好以下工作</w:t>
      </w:r>
      <w:r>
        <w:rPr>
          <w:sz w:val="20"/>
        </w:rPr>
        <w:t>：</w:t>
      </w:r>
    </w:p>
    <w:p>
      <w:pPr>
        <w:pStyle w:val="null3"/>
        <w:spacing w:after="120"/>
        <w:ind w:firstLine="400"/>
        <w:jc w:val="both"/>
      </w:pPr>
      <w:r>
        <w:rPr>
          <w:sz w:val="20"/>
        </w:rPr>
        <w:t>1.1</w:t>
      </w:r>
      <w:r>
        <w:rPr>
          <w:sz w:val="20"/>
        </w:rPr>
        <w:t>乙方</w:t>
      </w:r>
      <w:r>
        <w:rPr>
          <w:sz w:val="20"/>
        </w:rPr>
        <w:t>各级组织、人员在合同履行过程中知悉的</w:t>
      </w:r>
      <w:r>
        <w:rPr>
          <w:sz w:val="20"/>
        </w:rPr>
        <w:t>甲方</w:t>
      </w:r>
      <w:r>
        <w:rPr>
          <w:sz w:val="20"/>
        </w:rPr>
        <w:t>保密信息，未经</w:t>
      </w:r>
      <w:r>
        <w:rPr>
          <w:sz w:val="20"/>
        </w:rPr>
        <w:t>甲方</w:t>
      </w:r>
      <w:r>
        <w:rPr>
          <w:sz w:val="20"/>
        </w:rPr>
        <w:t>书面许可，</w:t>
      </w:r>
      <w:r>
        <w:rPr>
          <w:sz w:val="20"/>
        </w:rPr>
        <w:t>乙方</w:t>
      </w:r>
      <w:r>
        <w:rPr>
          <w:sz w:val="20"/>
        </w:rPr>
        <w:t>不得以任何方式直接或间接向第三人披露，也不得擅自使用、允许第三人使用</w:t>
      </w:r>
      <w:r>
        <w:rPr>
          <w:sz w:val="20"/>
        </w:rPr>
        <w:t>“保密信息”，或将“保密信息”用于本项目之外的其他目的。</w:t>
      </w:r>
    </w:p>
    <w:p>
      <w:pPr>
        <w:pStyle w:val="null3"/>
        <w:spacing w:after="120"/>
        <w:ind w:firstLine="400"/>
        <w:jc w:val="both"/>
      </w:pPr>
      <w:r>
        <w:rPr>
          <w:sz w:val="20"/>
        </w:rPr>
        <w:t xml:space="preserve">1.2 </w:t>
      </w:r>
      <w:r>
        <w:rPr>
          <w:sz w:val="20"/>
        </w:rPr>
        <w:t>乙方</w:t>
      </w:r>
      <w:r>
        <w:rPr>
          <w:sz w:val="20"/>
        </w:rPr>
        <w:t>违反保密义务，甲方有权单方面解除合同，同时对乙方处以相当于合同总金额</w:t>
      </w:r>
      <w:r>
        <w:rPr>
          <w:sz w:val="20"/>
        </w:rPr>
        <w:t>30%的违约金。造成甲方其他损失的仍应予以赔偿，包括但不限于实际损失，预期利益损失、因维权而产生的支出。</w:t>
      </w:r>
    </w:p>
    <w:p>
      <w:pPr>
        <w:pStyle w:val="null3"/>
        <w:spacing w:after="120"/>
        <w:ind w:firstLine="400"/>
        <w:jc w:val="both"/>
      </w:pPr>
      <w:r>
        <w:rPr>
          <w:sz w:val="20"/>
        </w:rPr>
        <w:t>1.3按照国家、省市的有关法律法规文件规定，要求</w:t>
      </w:r>
      <w:r>
        <w:rPr>
          <w:sz w:val="20"/>
        </w:rPr>
        <w:t>乙方</w:t>
      </w:r>
      <w:r>
        <w:rPr>
          <w:sz w:val="20"/>
        </w:rPr>
        <w:t>履行保密责任，并遵守合同中有关保密要求，</w:t>
      </w:r>
      <w:r>
        <w:rPr>
          <w:sz w:val="20"/>
        </w:rPr>
        <w:t>乙方</w:t>
      </w:r>
      <w:r>
        <w:rPr>
          <w:sz w:val="20"/>
        </w:rPr>
        <w:t>各级组织、人员严格履行保密职责，按照保密规定开展运维工作。</w:t>
      </w:r>
    </w:p>
    <w:p>
      <w:pPr>
        <w:pStyle w:val="null3"/>
        <w:spacing w:after="120"/>
        <w:ind w:firstLine="400"/>
        <w:jc w:val="both"/>
      </w:pPr>
      <w:r>
        <w:rPr>
          <w:sz w:val="20"/>
        </w:rPr>
        <w:t>2、遵守国家、省市及采购方关于网络信息安全的法律法规文件规定。</w:t>
      </w:r>
    </w:p>
    <w:p>
      <w:pPr>
        <w:pStyle w:val="null3"/>
        <w:numPr>
          <w:ilvl w:val="0"/>
          <w:numId w:val="1"/>
        </w:numPr>
        <w:spacing w:after="120"/>
        <w:jc w:val="both"/>
      </w:pPr>
      <w:r>
        <w:rPr>
          <w:sz w:val="20"/>
          <w:b/>
        </w:rPr>
        <w:t>服务标准要求</w:t>
      </w:r>
    </w:p>
    <w:p>
      <w:pPr>
        <w:pStyle w:val="null3"/>
        <w:spacing w:after="120"/>
        <w:ind w:firstLine="400"/>
        <w:jc w:val="both"/>
      </w:pPr>
      <w:r>
        <w:rPr>
          <w:sz w:val="20"/>
        </w:rPr>
        <w:t>建立标准化、专业化的运维管理机制，按照国家、行业相关技术标准，规范、优质、按时地完成各项服务内容，保持或恢复</w:t>
      </w:r>
      <w:r>
        <w:rPr>
          <w:sz w:val="20"/>
        </w:rPr>
        <w:t>甲方</w:t>
      </w:r>
      <w:r>
        <w:rPr>
          <w:sz w:val="20"/>
        </w:rPr>
        <w:t>办公自动化设备的良好工作状态，提高设备运转的稳定性、可靠性和高效性，高效、及时地解决设备运维突发事故，提高</w:t>
      </w:r>
      <w:r>
        <w:rPr>
          <w:sz w:val="20"/>
        </w:rPr>
        <w:t>甲方</w:t>
      </w:r>
      <w:r>
        <w:rPr>
          <w:sz w:val="20"/>
        </w:rPr>
        <w:t>工作人员的设备使用能力。</w:t>
      </w:r>
    </w:p>
    <w:p>
      <w:pPr>
        <w:pStyle w:val="null3"/>
        <w:spacing w:after="120"/>
        <w:jc w:val="both"/>
      </w:pPr>
      <w:r>
        <w:rPr>
          <w:sz w:val="20"/>
          <w:b/>
        </w:rPr>
        <w:t>（</w:t>
      </w:r>
      <w:r>
        <w:rPr>
          <w:sz w:val="20"/>
          <w:b/>
        </w:rPr>
        <w:t>七</w:t>
      </w:r>
      <w:r>
        <w:rPr>
          <w:sz w:val="20"/>
          <w:b/>
        </w:rPr>
        <w:t>）</w:t>
      </w:r>
      <w:r>
        <w:rPr>
          <w:sz w:val="20"/>
          <w:b/>
        </w:rPr>
        <w:t>采购配件要求</w:t>
      </w:r>
    </w:p>
    <w:p>
      <w:pPr>
        <w:pStyle w:val="null3"/>
        <w:spacing w:after="120"/>
        <w:ind w:firstLine="400"/>
        <w:jc w:val="both"/>
      </w:pPr>
      <w:r>
        <w:rPr>
          <w:sz w:val="20"/>
        </w:rPr>
        <w:t>乙方</w:t>
      </w:r>
      <w:r>
        <w:rPr>
          <w:sz w:val="20"/>
        </w:rPr>
        <w:t>需按</w:t>
      </w:r>
      <w:r>
        <w:rPr>
          <w:sz w:val="20"/>
        </w:rPr>
        <w:t>甲方</w:t>
      </w:r>
      <w:r>
        <w:rPr>
          <w:sz w:val="20"/>
        </w:rPr>
        <w:t>实际要求做好设备维修，并按要求根据设备品牌、型号配置相应数量同品牌、同型号或更高型号的维护备件，包括但不限于主机、显示器、打印机、扫描仪等备用整机以及</w:t>
      </w:r>
      <w:r>
        <w:rPr>
          <w:sz w:val="20"/>
        </w:rPr>
        <w:t>CPU 、内存、主板、显卡、声卡、网卡、键盘、鼠标、连接办公设备所需网络屏蔽跳线（含五类、六类）、打印机连接线、电源线等零配件，建立相应的备件库，同时做好维修配件的备件库管理，使用后的备件（含备用整机）归</w:t>
      </w:r>
      <w:r>
        <w:rPr>
          <w:sz w:val="20"/>
        </w:rPr>
        <w:t>甲方</w:t>
      </w:r>
      <w:r>
        <w:rPr>
          <w:sz w:val="20"/>
        </w:rPr>
        <w:t>所有；在服务期间备件库及时更新补充，提供所有设备的备件及备件更换服务。</w:t>
      </w:r>
    </w:p>
    <w:p>
      <w:pPr>
        <w:pStyle w:val="null3"/>
        <w:spacing w:after="120"/>
        <w:ind w:firstLine="400"/>
        <w:jc w:val="both"/>
      </w:pPr>
      <w:r>
        <w:rPr>
          <w:sz w:val="20"/>
        </w:rPr>
        <w:t>紧急采购配件须在两个工作日内到货，普通配件采购须在五个工作日内到货。</w:t>
      </w:r>
    </w:p>
    <w:p>
      <w:pPr>
        <w:pStyle w:val="null3"/>
        <w:spacing w:after="120"/>
        <w:ind w:firstLine="402"/>
        <w:jc w:val="both"/>
      </w:pPr>
      <w:r>
        <w:rPr>
          <w:sz w:val="20"/>
          <w:b/>
        </w:rPr>
        <w:t>运维服务期内所产生的</w:t>
      </w:r>
      <w:r>
        <w:rPr>
          <w:sz w:val="20"/>
          <w:b/>
        </w:rPr>
        <w:t>配件购买费用及</w:t>
      </w:r>
      <w:r>
        <w:rPr>
          <w:sz w:val="20"/>
          <w:b/>
        </w:rPr>
        <w:t>备件费均包含在本项目</w:t>
      </w:r>
      <w:r>
        <w:rPr>
          <w:sz w:val="20"/>
          <w:b/>
        </w:rPr>
        <w:t>合同金额</w:t>
      </w:r>
      <w:r>
        <w:rPr>
          <w:sz w:val="20"/>
          <w:b/>
        </w:rPr>
        <w:t>内</w:t>
      </w:r>
      <w:r>
        <w:rPr>
          <w:sz w:val="20"/>
          <w:b/>
        </w:rPr>
        <w:t>，</w:t>
      </w:r>
      <w:r>
        <w:rPr>
          <w:sz w:val="20"/>
          <w:b/>
        </w:rPr>
        <w:t>甲方不再另行支付其他费用</w:t>
      </w:r>
      <w:r>
        <w:rPr>
          <w:sz w:val="20"/>
          <w:b/>
        </w:rPr>
        <w:t>。</w:t>
      </w:r>
    </w:p>
    <w:p>
      <w:pPr>
        <w:pStyle w:val="null3"/>
        <w:spacing w:after="120"/>
        <w:jc w:val="both"/>
      </w:pPr>
      <w:r>
        <w:rPr>
          <w:sz w:val="20"/>
          <w:b/>
        </w:rPr>
        <w:t>（</w:t>
      </w:r>
      <w:r>
        <w:rPr>
          <w:sz w:val="20"/>
          <w:b/>
        </w:rPr>
        <w:t>八</w:t>
      </w:r>
      <w:r>
        <w:rPr>
          <w:sz w:val="20"/>
          <w:b/>
        </w:rPr>
        <w:t>）</w:t>
      </w:r>
      <w:r>
        <w:rPr>
          <w:sz w:val="20"/>
          <w:b/>
        </w:rPr>
        <w:t>其他要求</w:t>
      </w:r>
    </w:p>
    <w:p>
      <w:pPr>
        <w:pStyle w:val="null3"/>
        <w:spacing w:after="120"/>
        <w:ind w:firstLine="400"/>
        <w:jc w:val="both"/>
      </w:pPr>
      <w:r>
        <w:rPr>
          <w:sz w:val="20"/>
        </w:rPr>
        <w:t>1</w:t>
      </w:r>
      <w:r>
        <w:rPr>
          <w:sz w:val="20"/>
        </w:rPr>
        <w:t>、打印机备机服务：打印机维修中需提供同等性能设备的备用机供</w:t>
      </w:r>
      <w:r>
        <w:rPr>
          <w:sz w:val="20"/>
        </w:rPr>
        <w:t>甲方</w:t>
      </w:r>
      <w:r>
        <w:rPr>
          <w:sz w:val="20"/>
        </w:rPr>
        <w:t>使用，直至故障设备修复为止。</w:t>
      </w:r>
    </w:p>
    <w:p>
      <w:pPr>
        <w:pStyle w:val="null3"/>
        <w:spacing w:after="120"/>
        <w:ind w:firstLine="400"/>
        <w:jc w:val="both"/>
      </w:pPr>
      <w:r>
        <w:rPr>
          <w:sz w:val="20"/>
        </w:rPr>
        <w:t>2</w:t>
      </w:r>
      <w:r>
        <w:rPr>
          <w:sz w:val="20"/>
        </w:rPr>
        <w:t>、</w:t>
      </w:r>
      <w:r>
        <w:rPr>
          <w:sz w:val="20"/>
        </w:rPr>
        <w:t>乙方</w:t>
      </w:r>
      <w:r>
        <w:rPr>
          <w:sz w:val="20"/>
        </w:rPr>
        <w:t>在维护保修的工作范围内，在更换维修配件或整机保修时，同一问题连续出现两次或两次以上故障的，</w:t>
      </w:r>
      <w:r>
        <w:rPr>
          <w:sz w:val="20"/>
        </w:rPr>
        <w:t>乙方</w:t>
      </w:r>
      <w:r>
        <w:rPr>
          <w:sz w:val="20"/>
        </w:rPr>
        <w:t>必须无条件地更换新的零备件。</w:t>
      </w:r>
    </w:p>
    <w:p>
      <w:pPr>
        <w:pStyle w:val="null3"/>
        <w:spacing w:after="120"/>
        <w:ind w:firstLine="400"/>
        <w:jc w:val="both"/>
      </w:pPr>
      <w:r>
        <w:rPr>
          <w:sz w:val="20"/>
        </w:rPr>
        <w:t>3</w:t>
      </w:r>
      <w:r>
        <w:rPr>
          <w:sz w:val="20"/>
        </w:rPr>
        <w:t>、</w:t>
      </w:r>
      <w:r>
        <w:rPr>
          <w:sz w:val="20"/>
        </w:rPr>
        <w:t>乙方</w:t>
      </w:r>
      <w:r>
        <w:rPr>
          <w:sz w:val="20"/>
        </w:rPr>
        <w:t>需根据</w:t>
      </w:r>
      <w:r>
        <w:rPr>
          <w:sz w:val="20"/>
        </w:rPr>
        <w:t>甲方</w:t>
      </w:r>
      <w:r>
        <w:rPr>
          <w:sz w:val="20"/>
        </w:rPr>
        <w:t>要求，与</w:t>
      </w:r>
      <w:r>
        <w:rPr>
          <w:sz w:val="20"/>
        </w:rPr>
        <w:t>甲方</w:t>
      </w:r>
      <w:r>
        <w:rPr>
          <w:sz w:val="20"/>
        </w:rPr>
        <w:t>做好业务对接工作。</w:t>
      </w:r>
    </w:p>
    <w:p>
      <w:pPr>
        <w:pStyle w:val="null3"/>
        <w:spacing w:after="120"/>
        <w:ind w:firstLine="400"/>
        <w:jc w:val="both"/>
      </w:pPr>
      <w:r>
        <w:rPr>
          <w:sz w:val="20"/>
          <w:b/>
        </w:rPr>
        <w:t>（</w:t>
      </w:r>
      <w:r>
        <w:rPr>
          <w:sz w:val="20"/>
          <w:b/>
        </w:rPr>
        <w:t>九</w:t>
      </w:r>
      <w:r>
        <w:rPr>
          <w:sz w:val="20"/>
          <w:b/>
        </w:rPr>
        <w:t>）培训服务要求：</w:t>
      </w:r>
      <w:r>
        <w:rPr>
          <w:sz w:val="20"/>
        </w:rPr>
        <w:t>乙方</w:t>
      </w:r>
      <w:r>
        <w:rPr>
          <w:sz w:val="20"/>
        </w:rPr>
        <w:t>应就本项目为</w:t>
      </w:r>
      <w:r>
        <w:rPr>
          <w:sz w:val="20"/>
        </w:rPr>
        <w:t>甲方</w:t>
      </w:r>
      <w:r>
        <w:rPr>
          <w:sz w:val="20"/>
        </w:rPr>
        <w:t>提供故障案例分析服务、多发故障解决方案或建议服务和专业培训服务</w:t>
      </w:r>
      <w:r>
        <w:rPr>
          <w:sz w:val="20"/>
        </w:rPr>
        <w:t>。</w:t>
      </w:r>
    </w:p>
    <w:p>
      <w:pPr>
        <w:pStyle w:val="null3"/>
        <w:ind w:left="510"/>
        <w:jc w:val="both"/>
      </w:pPr>
      <w:r>
        <w:rPr>
          <w:sz w:val="20"/>
          <w:b/>
        </w:rPr>
        <w:t>售后服务承诺</w:t>
      </w:r>
    </w:p>
    <w:p>
      <w:pPr>
        <w:pStyle w:val="null3"/>
        <w:numPr>
          <w:ilvl w:val="0"/>
          <w:numId w:val="1"/>
        </w:numPr>
        <w:ind w:left="105"/>
      </w:pPr>
      <w:r>
        <w:rPr>
          <w:sz w:val="20"/>
        </w:rPr>
        <w:t>对于电话方式无法解决的问题，乙方必须在</w:t>
      </w:r>
      <w:r>
        <w:rPr>
          <w:sz w:val="20"/>
          <w:u w:val="single"/>
        </w:rPr>
        <w:t>0.5</w:t>
      </w:r>
      <w:r>
        <w:rPr>
          <w:sz w:val="20"/>
        </w:rPr>
        <w:t>小时之内派人到甲方现场维护。</w:t>
      </w:r>
    </w:p>
    <w:p>
      <w:pPr>
        <w:pStyle w:val="null3"/>
        <w:ind w:left="510"/>
        <w:jc w:val="both"/>
      </w:pPr>
      <w:r>
        <w:rPr>
          <w:sz w:val="20"/>
          <w:b/>
        </w:rPr>
        <w:t>甲方乙方的权利和义务</w:t>
      </w:r>
    </w:p>
    <w:p>
      <w:pPr>
        <w:pStyle w:val="null3"/>
        <w:numPr>
          <w:ilvl w:val="0"/>
          <w:numId w:val="1"/>
        </w:numPr>
        <w:jc w:val="both"/>
      </w:pPr>
      <w:r>
        <w:rPr>
          <w:sz w:val="20"/>
        </w:rPr>
        <w:t>甲方的权利和义务</w:t>
      </w:r>
    </w:p>
    <w:p>
      <w:pPr>
        <w:pStyle w:val="null3"/>
        <w:ind w:left="45"/>
        <w:jc w:val="both"/>
      </w:pPr>
      <w:r>
        <w:rPr>
          <w:sz w:val="21"/>
          <w:u w:val="single"/>
        </w:rPr>
        <w:t xml:space="preserve">                          </w:t>
      </w:r>
    </w:p>
    <w:p>
      <w:pPr>
        <w:pStyle w:val="null3"/>
        <w:numPr>
          <w:ilvl w:val="0"/>
          <w:numId w:val="1"/>
        </w:numPr>
        <w:jc w:val="both"/>
      </w:pPr>
      <w:r>
        <w:rPr>
          <w:sz w:val="20"/>
        </w:rPr>
        <w:t>乙方的权利和义务</w:t>
      </w:r>
    </w:p>
    <w:p>
      <w:pPr>
        <w:pStyle w:val="null3"/>
        <w:ind w:firstLine="480"/>
      </w:pPr>
      <w:r>
        <w:rPr>
          <w:u w:val="single"/>
        </w:rPr>
        <w:t xml:space="preserve">                           </w:t>
      </w:r>
    </w:p>
    <w:p>
      <w:pPr>
        <w:pStyle w:val="null3"/>
        <w:ind w:left="510"/>
        <w:jc w:val="both"/>
      </w:pPr>
      <w:r>
        <w:rPr>
          <w:sz w:val="20"/>
          <w:b/>
        </w:rPr>
        <w:t>采购项目交付（实施）的时间（期限）和地点（范围）</w:t>
      </w:r>
      <w:r>
        <w:rPr>
          <w:sz w:val="20"/>
          <w:b/>
        </w:rPr>
        <w:t>：</w:t>
      </w:r>
      <w:r>
        <w:rPr>
          <w:sz w:val="20"/>
        </w:rPr>
        <w:t>详见本</w:t>
      </w:r>
      <w:r>
        <w:rPr>
          <w:sz w:val="20"/>
        </w:rPr>
        <w:t>采购</w:t>
      </w:r>
      <w:r>
        <w:rPr>
          <w:sz w:val="20"/>
        </w:rPr>
        <w:t>文件采购需求</w:t>
      </w:r>
    </w:p>
    <w:p>
      <w:pPr>
        <w:pStyle w:val="null3"/>
        <w:ind w:left="510"/>
        <w:jc w:val="both"/>
      </w:pPr>
      <w:r>
        <w:rPr>
          <w:sz w:val="20"/>
          <w:b/>
        </w:rPr>
        <w:t>付款方式：</w:t>
      </w:r>
      <w:r>
        <w:rPr>
          <w:sz w:val="20"/>
        </w:rPr>
        <w:t>详见本</w:t>
      </w:r>
      <w:r>
        <w:rPr>
          <w:sz w:val="20"/>
        </w:rPr>
        <w:t>采购</w:t>
      </w:r>
      <w:r>
        <w:rPr>
          <w:sz w:val="20"/>
        </w:rPr>
        <w:t>文件采购需求</w:t>
      </w:r>
    </w:p>
    <w:p>
      <w:pPr>
        <w:pStyle w:val="null3"/>
        <w:ind w:left="510"/>
        <w:jc w:val="both"/>
      </w:pPr>
      <w:r>
        <w:rPr>
          <w:sz w:val="20"/>
          <w:b/>
        </w:rPr>
        <w:t>验收要求：</w:t>
      </w:r>
    </w:p>
    <w:p>
      <w:pPr>
        <w:pStyle w:val="null3"/>
        <w:numPr>
          <w:ilvl w:val="0"/>
          <w:numId w:val="1"/>
        </w:numPr>
        <w:ind w:left="255"/>
        <w:jc w:val="both"/>
      </w:pPr>
      <w:r>
        <w:rPr>
          <w:sz w:val="20"/>
          <w:shd w:fill="FFFFFF" w:val="clear"/>
        </w:rPr>
        <w:t>完成全部合同约定的服务内容且甲方收到验收申请后</w:t>
      </w:r>
      <w:r>
        <w:rPr>
          <w:sz w:val="20"/>
          <w:shd w:fill="FFFFFF" w:val="clear"/>
        </w:rPr>
        <w:t>7</w:t>
      </w:r>
      <w:r>
        <w:rPr>
          <w:sz w:val="20"/>
          <w:shd w:fill="FFFFFF" w:val="clear"/>
        </w:rPr>
        <w:t>日</w:t>
      </w:r>
      <w:r>
        <w:rPr>
          <w:sz w:val="20"/>
          <w:shd w:fill="FFFFFF" w:val="clear"/>
        </w:rPr>
        <w:t>内进行验收。</w:t>
      </w:r>
    </w:p>
    <w:p>
      <w:pPr>
        <w:pStyle w:val="null3"/>
        <w:numPr>
          <w:ilvl w:val="0"/>
          <w:numId w:val="1"/>
        </w:numPr>
        <w:ind w:left="255"/>
        <w:jc w:val="both"/>
      </w:pPr>
      <w:r>
        <w:rPr>
          <w:sz w:val="20"/>
          <w:shd w:fill="FFFFFF" w:val="clear"/>
        </w:rPr>
        <w:t>技术服务或者技术培训按</w:t>
      </w:r>
      <w:r>
        <w:rPr>
          <w:sz w:val="20"/>
          <w:shd w:fill="FFFFFF" w:val="clear"/>
        </w:rPr>
        <w:t>采购文件及乙方响应文件</w:t>
      </w:r>
      <w:r>
        <w:rPr>
          <w:sz w:val="20"/>
          <w:shd w:fill="FFFFFF" w:val="clear"/>
        </w:rPr>
        <w:t>标准，，由</w:t>
      </w:r>
      <w:r>
        <w:rPr>
          <w:sz w:val="20"/>
          <w:shd w:fill="FFFFFF" w:val="clear"/>
        </w:rPr>
        <w:t>甲</w:t>
      </w:r>
      <w:r>
        <w:rPr>
          <w:sz w:val="20"/>
          <w:shd w:fill="FFFFFF" w:val="clear"/>
        </w:rPr>
        <w:t>方出具服务或者培训项目验收证明。</w:t>
      </w:r>
    </w:p>
    <w:p>
      <w:pPr>
        <w:pStyle w:val="null3"/>
        <w:ind w:left="510"/>
        <w:jc w:val="both"/>
      </w:pPr>
      <w:r>
        <w:rPr>
          <w:sz w:val="20"/>
          <w:b/>
        </w:rPr>
        <w:t>知识产权归属</w:t>
      </w:r>
    </w:p>
    <w:p>
      <w:pPr>
        <w:pStyle w:val="null3"/>
        <w:ind w:firstLine="400"/>
        <w:jc w:val="both"/>
      </w:pPr>
      <w:r>
        <w:rPr>
          <w:sz w:val="20"/>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left="510"/>
        <w:jc w:val="both"/>
      </w:pPr>
      <w:r>
        <w:rPr>
          <w:sz w:val="20"/>
          <w:b/>
        </w:rPr>
        <w:t>保密</w:t>
      </w:r>
    </w:p>
    <w:p>
      <w:pPr>
        <w:pStyle w:val="null3"/>
        <w:numPr>
          <w:ilvl w:val="1"/>
          <w:numId w:val="3"/>
        </w:numPr>
      </w:pPr>
      <w:r>
        <w:rPr>
          <w:sz w:val="20"/>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numPr>
          <w:ilvl w:val="1"/>
          <w:numId w:val="3"/>
        </w:numPr>
        <w:jc w:val="both"/>
      </w:pPr>
      <w:r>
        <w:rPr>
          <w:sz w:val="20"/>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numPr>
          <w:ilvl w:val="1"/>
          <w:numId w:val="3"/>
        </w:numPr>
        <w:jc w:val="both"/>
      </w:pPr>
      <w:r>
        <w:rPr>
          <w:sz w:val="20"/>
        </w:rPr>
        <w:t>除了合同本身之外，上款所列举的任何物件均是甲方的财产。如果甲方有要求，乙方在完成合同后应将这些物件及全部复制件还给甲方。</w:t>
      </w:r>
    </w:p>
    <w:p>
      <w:pPr>
        <w:pStyle w:val="null3"/>
        <w:ind w:left="510"/>
        <w:jc w:val="both"/>
      </w:pPr>
      <w:r>
        <w:rPr>
          <w:sz w:val="20"/>
          <w:b/>
        </w:rPr>
        <w:t>违约责任与赔偿损失</w:t>
      </w:r>
    </w:p>
    <w:p>
      <w:pPr>
        <w:pStyle w:val="null3"/>
        <w:numPr>
          <w:ilvl w:val="0"/>
          <w:numId w:val="3"/>
        </w:numPr>
        <w:ind w:left="105"/>
        <w:jc w:val="both"/>
      </w:pPr>
      <w:r>
        <w:rPr>
          <w:sz w:val="20"/>
        </w:rPr>
        <w:t>乙方提供的服务不符合磋商文件、响应文件或本合同规定的，甲方有权拒收，并且乙方须向甲方支付本合同总价</w:t>
      </w:r>
      <w:r>
        <w:rPr>
          <w:sz w:val="20"/>
        </w:rPr>
        <w:t>5%的违约金。</w:t>
      </w:r>
    </w:p>
    <w:p>
      <w:pPr>
        <w:pStyle w:val="null3"/>
        <w:numPr>
          <w:ilvl w:val="0"/>
          <w:numId w:val="3"/>
        </w:numPr>
        <w:ind w:left="105" w:right="45"/>
        <w:jc w:val="both"/>
      </w:pPr>
      <w:r>
        <w:rPr>
          <w:sz w:val="20"/>
        </w:rPr>
        <w:t>乙方未能按本合同规定的交货时间提供服务，从逾期之日起每日按本合同总价</w:t>
      </w:r>
      <w:r>
        <w:rPr>
          <w:sz w:val="20"/>
        </w:rPr>
        <w:t>3‰的数额向甲方支付违约金；逾期15天以上（含15天）的，甲方有权终止合同，要求乙方支付违约金，并且给甲方造成的经济损失由乙方承担赔偿责任。</w:t>
      </w:r>
    </w:p>
    <w:p>
      <w:pPr>
        <w:pStyle w:val="null3"/>
        <w:numPr>
          <w:ilvl w:val="0"/>
          <w:numId w:val="3"/>
        </w:numPr>
        <w:ind w:left="105"/>
        <w:jc w:val="both"/>
      </w:pPr>
      <w:r>
        <w:rPr>
          <w:sz w:val="20"/>
        </w:rPr>
        <w:t>甲方无正当理由拒收接受服务，到期拒付服务款项的，甲方向乙方偿付本合同总价</w:t>
      </w:r>
      <w:r>
        <w:rPr>
          <w:sz w:val="20"/>
        </w:rPr>
        <w:t>5%的违约金。甲方逾期付款，则每日按本合同总价的3‰向乙方偿付违约金。</w:t>
      </w:r>
    </w:p>
    <w:p>
      <w:pPr>
        <w:pStyle w:val="null3"/>
        <w:numPr>
          <w:ilvl w:val="0"/>
          <w:numId w:val="3"/>
        </w:numPr>
        <w:ind w:left="105"/>
        <w:jc w:val="both"/>
      </w:pPr>
      <w:r>
        <w:rPr>
          <w:sz w:val="20"/>
        </w:rPr>
        <w:t>其它违约责任按《中华人民共和国民法典》处理。</w:t>
      </w:r>
    </w:p>
    <w:p>
      <w:pPr>
        <w:pStyle w:val="null3"/>
        <w:ind w:left="510"/>
        <w:jc w:val="both"/>
      </w:pPr>
      <w:r>
        <w:rPr>
          <w:sz w:val="20"/>
          <w:b/>
        </w:rPr>
        <w:t>争端的解决</w:t>
      </w:r>
    </w:p>
    <w:p>
      <w:pPr>
        <w:pStyle w:val="null3"/>
        <w:ind w:firstLine="400"/>
        <w:jc w:val="both"/>
      </w:pPr>
      <w:r>
        <w:rPr>
          <w:sz w:val="20"/>
        </w:rPr>
        <w:t>合同执行过程中发生的任何争议，如双方不能通过友好协商解决，甲、乙双方一致同意向甲方所在地人民法院提起诉讼。</w:t>
      </w:r>
    </w:p>
    <w:p>
      <w:pPr>
        <w:pStyle w:val="null3"/>
        <w:ind w:left="510"/>
        <w:jc w:val="both"/>
      </w:pPr>
      <w:r>
        <w:rPr>
          <w:sz w:val="20"/>
          <w:b/>
        </w:rPr>
        <w:t>不可抗力</w:t>
      </w:r>
    </w:p>
    <w:p>
      <w:pPr>
        <w:pStyle w:val="null3"/>
        <w:ind w:firstLine="400"/>
        <w:jc w:val="both"/>
      </w:pP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ind w:left="510"/>
        <w:jc w:val="both"/>
      </w:pPr>
      <w:r>
        <w:rPr>
          <w:sz w:val="20"/>
          <w:b/>
        </w:rPr>
        <w:t>税费</w:t>
      </w:r>
    </w:p>
    <w:p>
      <w:pPr>
        <w:pStyle w:val="null3"/>
        <w:ind w:firstLine="400"/>
        <w:jc w:val="both"/>
      </w:pPr>
      <w:r>
        <w:rPr>
          <w:sz w:val="20"/>
        </w:rPr>
        <w:t>在中国境内、外发生的与本合同执行有关的一切税费均由乙方负担。</w:t>
      </w:r>
    </w:p>
    <w:p>
      <w:pPr>
        <w:pStyle w:val="null3"/>
        <w:ind w:left="510"/>
        <w:jc w:val="both"/>
      </w:pPr>
      <w:r>
        <w:rPr>
          <w:sz w:val="20"/>
          <w:b/>
        </w:rPr>
        <w:t>其它</w:t>
      </w:r>
    </w:p>
    <w:p>
      <w:pPr>
        <w:pStyle w:val="null3"/>
        <w:numPr>
          <w:ilvl w:val="0"/>
          <w:numId w:val="3"/>
        </w:numPr>
        <w:ind w:left="105"/>
        <w:jc w:val="both"/>
      </w:pPr>
      <w:r>
        <w:rPr>
          <w:sz w:val="20"/>
        </w:rPr>
        <w:t>本合同所有附件、磋商文件、响应文件、成交通知书均为合同的有效组成部分，与本合同具有同等法律效力。</w:t>
      </w:r>
    </w:p>
    <w:p>
      <w:pPr>
        <w:pStyle w:val="null3"/>
        <w:numPr>
          <w:ilvl w:val="0"/>
          <w:numId w:val="3"/>
        </w:numPr>
        <w:ind w:left="105"/>
        <w:jc w:val="both"/>
      </w:pPr>
      <w:r>
        <w:rPr>
          <w:sz w:val="20"/>
        </w:rPr>
        <w:t>在执行本合同的过程中，所有经双方签署确认的文件（包括会议纪要、补充协议、往来信函）即成为本合同的有效组成部分。</w:t>
      </w:r>
    </w:p>
    <w:p>
      <w:pPr>
        <w:pStyle w:val="null3"/>
        <w:numPr>
          <w:ilvl w:val="0"/>
          <w:numId w:val="3"/>
        </w:numPr>
        <w:ind w:left="105"/>
        <w:jc w:val="both"/>
      </w:pPr>
      <w:r>
        <w:rPr>
          <w:sz w:val="20"/>
        </w:rPr>
        <w:t>如一方地址、电话、传真号码有变更，应在变更当日内书面通知对方，否则，应承担相应责任。</w:t>
      </w:r>
    </w:p>
    <w:p>
      <w:pPr>
        <w:pStyle w:val="null3"/>
        <w:numPr>
          <w:ilvl w:val="0"/>
          <w:numId w:val="3"/>
        </w:numPr>
        <w:ind w:left="105"/>
        <w:jc w:val="both"/>
      </w:pPr>
      <w:r>
        <w:rPr>
          <w:sz w:val="20"/>
        </w:rPr>
        <w:t>除甲方事先书面同意外，乙方不得部分或全部转让其应履行的合同项下的义务。</w:t>
      </w:r>
    </w:p>
    <w:p>
      <w:pPr>
        <w:pStyle w:val="null3"/>
        <w:ind w:left="510"/>
        <w:jc w:val="both"/>
      </w:pPr>
      <w:r>
        <w:rPr>
          <w:sz w:val="20"/>
          <w:b/>
        </w:rPr>
        <w:t>合同生效</w:t>
      </w:r>
    </w:p>
    <w:p>
      <w:pPr>
        <w:pStyle w:val="null3"/>
        <w:numPr>
          <w:ilvl w:val="0"/>
          <w:numId w:val="3"/>
        </w:numPr>
        <w:ind w:left="105"/>
        <w:jc w:val="both"/>
      </w:pPr>
      <w:r>
        <w:rPr>
          <w:sz w:val="20"/>
        </w:rPr>
        <w:t>合同自甲乙双方法人代表或其授权代表签字盖章之日起生效。</w:t>
      </w:r>
    </w:p>
    <w:p>
      <w:pPr>
        <w:pStyle w:val="null3"/>
        <w:numPr>
          <w:ilvl w:val="0"/>
          <w:numId w:val="3"/>
        </w:numPr>
        <w:ind w:left="105"/>
        <w:jc w:val="both"/>
      </w:pPr>
      <w:r>
        <w:rPr>
          <w:sz w:val="20"/>
        </w:rPr>
        <w:t>合同壹式份，其中甲乙双方各执</w:t>
      </w:r>
      <w:r>
        <w:rPr>
          <w:sz w:val="21"/>
          <w:u w:val="single"/>
        </w:rPr>
        <w:t xml:space="preserve"> </w:t>
      </w:r>
      <w:r>
        <w:rPr>
          <w:sz w:val="21"/>
          <w:u w:val="single"/>
        </w:rPr>
        <w:t xml:space="preserve">   </w:t>
      </w:r>
      <w:r>
        <w:rPr>
          <w:sz w:val="20"/>
        </w:rPr>
        <w:t>份，采购代理机构执壹份</w:t>
      </w:r>
      <w:r>
        <w:rPr>
          <w:sz w:val="20"/>
        </w:rPr>
        <w:t>。</w:t>
      </w:r>
    </w:p>
    <w:p>
      <w:pPr>
        <w:pStyle w:val="null3"/>
        <w:jc w:val="both"/>
      </w:pPr>
      <w:r>
        <w:rPr>
          <w:sz w:val="20"/>
        </w:rPr>
        <w:t>甲方（盖章）：</w:t>
      </w:r>
      <w:r>
        <w:rPr>
          <w:sz w:val="20"/>
        </w:rPr>
        <w:t xml:space="preserve">                          </w:t>
      </w:r>
      <w:r>
        <w:rPr>
          <w:sz w:val="20"/>
        </w:rPr>
        <w:t>乙方（盖章）：</w:t>
      </w:r>
    </w:p>
    <w:p>
      <w:pPr>
        <w:pStyle w:val="null3"/>
        <w:jc w:val="both"/>
      </w:pPr>
      <w:r>
        <w:rPr>
          <w:sz w:val="20"/>
        </w:rPr>
        <w:t>代表：</w:t>
      </w:r>
      <w:r>
        <w:rPr>
          <w:sz w:val="20"/>
        </w:rPr>
        <w:t xml:space="preserve">                                  </w:t>
      </w:r>
      <w:r>
        <w:rPr>
          <w:sz w:val="20"/>
        </w:rPr>
        <w:t>代表：</w:t>
      </w:r>
    </w:p>
    <w:p>
      <w:pPr>
        <w:pStyle w:val="null3"/>
        <w:jc w:val="both"/>
      </w:pPr>
      <w:r>
        <w:rPr>
          <w:sz w:val="20"/>
        </w:rPr>
        <w:t>签订地点：</w:t>
      </w:r>
    </w:p>
    <w:p>
      <w:pPr>
        <w:pStyle w:val="null3"/>
        <w:jc w:val="both"/>
      </w:pPr>
      <w:r>
        <w:rPr>
          <w:sz w:val="20"/>
        </w:rPr>
        <w:t>签订日期：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签订日期：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p>
    <w:p>
      <w:pPr>
        <w:pStyle w:val="null3"/>
        <w:ind w:firstLine="4000"/>
        <w:jc w:val="both"/>
      </w:pPr>
      <w:r>
        <w:rPr>
          <w:sz w:val="20"/>
        </w:rPr>
        <w:t>开户名称：</w:t>
      </w:r>
    </w:p>
    <w:p>
      <w:pPr>
        <w:pStyle w:val="null3"/>
        <w:ind w:firstLine="4000"/>
        <w:jc w:val="both"/>
      </w:pPr>
      <w:r>
        <w:rPr>
          <w:sz w:val="20"/>
        </w:rPr>
        <w:t>银行账号：</w:t>
      </w:r>
    </w:p>
    <w:p>
      <w:pPr>
        <w:pStyle w:val="null3"/>
        <w:ind w:firstLine="4000"/>
        <w:jc w:val="both"/>
      </w:pPr>
      <w:r>
        <w:rPr>
          <w:sz w:val="20"/>
        </w:rPr>
        <w:t>开</w:t>
      </w:r>
      <w:r>
        <w:rPr>
          <w:sz w:val="20"/>
        </w:rPr>
        <w:t>户</w:t>
      </w:r>
      <w:r>
        <w:rPr>
          <w:sz w:val="20"/>
        </w:rPr>
        <w:t>行：</w:t>
      </w:r>
    </w:p>
    <w:p>
      <w:pPr>
        <w:pStyle w:val="null3"/>
        <w:ind w:firstLine="400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440001-2025-07063</w:t>
      </w:r>
    </w:p>
    <w:p>
      <w:pPr>
        <w:pStyle w:val="null3"/>
        <w:jc w:val="center"/>
        <w:outlineLvl w:val="3"/>
      </w:pPr>
      <w:r>
        <w:rPr>
          <w:sz w:val="24"/>
          <w:b/>
        </w:rPr>
        <w:t>采购项目编号：</w:t>
      </w:r>
      <w:r>
        <w:rPr>
          <w:sz w:val="24"/>
          <w:b/>
        </w:rPr>
        <w:t>0809-25411GZG304000701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广东省番禺监狱（2025年度）政务信息化基础设施运维项目及办公设备桌面运维服务项目</w:t>
      </w:r>
      <w:r>
        <w:rPr>
          <w:u w:val="single"/>
        </w:rPr>
        <w:t>”</w:t>
      </w:r>
      <w:r>
        <w:rPr/>
        <w:t>项目的招标[采购项目编号为：</w:t>
      </w:r>
      <w:r>
        <w:rPr>
          <w:u w:val="single"/>
        </w:rPr>
        <w:t>0809-25411GZG304000701</w:t>
      </w:r>
      <w:r>
        <w:rPr/>
        <w:t>]，我方愿参与投标。</w:t>
      </w:r>
    </w:p>
    <w:p>
      <w:pPr>
        <w:pStyle w:val="null3"/>
        <w:ind w:firstLine="480"/>
      </w:pPr>
      <w:r>
        <w:rPr/>
        <w:t>我方确认收到贵方提供的</w:t>
      </w:r>
      <w:r>
        <w:rPr>
          <w:u w:val="single"/>
        </w:rPr>
        <w:t>“</w:t>
      </w:r>
      <w:r>
        <w:rPr>
          <w:u w:val="single"/>
        </w:rPr>
        <w:t>广东省番禺监狱（2025年度）政务信息化基础设施运维项目及办公设备桌面运维服务项目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广东省番禺监狱（2025年度）政务信息化基础设施运维项目及办公设备桌面运维服务项目</w:t>
      </w:r>
      <w:r>
        <w:rPr/>
        <w:t>”项目采购[采购项目编号为</w:t>
      </w:r>
      <w:r>
        <w:rPr/>
        <w:t>0809-25411GZG304000701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广东省番禺监狱</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广东省番禺监狱（2025年度）政务信息化基础设施运维项目及办公设备桌面运维服务项目</w:t>
      </w:r>
      <w:r>
        <w:rPr/>
        <w:t>招标中获中标（采购项目编号：</w:t>
      </w:r>
      <w:r>
        <w:rPr/>
        <w:t>0809-25411GZG304000701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广东华伦招标有限公司</w:t>
      </w:r>
    </w:p>
    <w:p>
      <w:pPr>
        <w:pStyle w:val="null3"/>
        <w:ind w:firstLine="480"/>
      </w:pPr>
      <w:r>
        <w:rPr/>
        <w:t>我单位已登记并准备参与“</w:t>
      </w:r>
      <w:r>
        <w:rPr/>
        <w:t>广东省番禺监狱（2025年度）政务信息化基础设施运维项目及办公设备桌面运维服务项目</w:t>
      </w:r>
      <w:r>
        <w:rPr/>
        <w:t>”项目（采购项目编号：</w:t>
      </w:r>
      <w:r>
        <w:rPr/>
        <w:t>0809-25411GZG304000701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lvl w:ilvl="1">
      <w:start w:val="1"/>
      <w:numFmt w:val="bullet"/>
      <w:lvlText w:val=""/>
      <w:lvlJc w:val="left"/>
      <w:pPr>
        <w:ind w:left="360"/>
      </w:pPr>
      <w:rPr>
        <w:rFonts w:ascii="Wingdings" w:hAnsi="Wingdings" w:hint="default"/>
      </w:rPr>
    </w:lvl>
  </w:abstractNum>
  <w:abstractNum w:abstractNumId="2">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