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B19324">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cs="Times New Roman"/>
          <w:b/>
          <w:bCs/>
          <w:kern w:val="2"/>
          <w:sz w:val="32"/>
          <w:szCs w:val="32"/>
        </w:rPr>
      </w:pPr>
      <w:r>
        <w:rPr>
          <w:rFonts w:hint="eastAsia" w:ascii="宋体" w:hAnsi="宋体" w:eastAsia="宋体" w:cs="宋体"/>
          <w:b/>
          <w:bCs/>
          <w:kern w:val="2"/>
          <w:sz w:val="32"/>
          <w:szCs w:val="32"/>
          <w:lang w:val="en-US" w:eastAsia="zh-CN" w:bidi="ar"/>
        </w:rPr>
        <w:t>云南中医药大学“中药类”专业核心课程建设项目竞争性磋商公告</w:t>
      </w:r>
    </w:p>
    <w:p w14:paraId="7A7461A6">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line="360" w:lineRule="auto"/>
        <w:ind w:left="0" w:right="0" w:firstLine="480" w:firstLineChars="200"/>
        <w:jc w:val="both"/>
        <w:rPr>
          <w:rFonts w:hint="eastAsia" w:ascii="宋体" w:hAnsi="宋体" w:eastAsia="宋体" w:cs="宋体"/>
          <w:kern w:val="2"/>
          <w:sz w:val="24"/>
          <w:szCs w:val="24"/>
          <w:bdr w:val="none" w:color="auto" w:sz="0" w:space="0"/>
        </w:rPr>
      </w:pPr>
      <w:bookmarkStart w:id="0" w:name="_Toc348011915"/>
      <w:bookmarkEnd w:id="0"/>
      <w:bookmarkStart w:id="1" w:name="_Toc439777194"/>
      <w:bookmarkEnd w:id="1"/>
      <w:bookmarkStart w:id="2" w:name="_Toc373844156"/>
      <w:bookmarkEnd w:id="2"/>
      <w:bookmarkStart w:id="3" w:name="_Toc427339159"/>
      <w:bookmarkEnd w:id="3"/>
      <w:bookmarkStart w:id="4" w:name="_Toc86124033"/>
      <w:bookmarkEnd w:id="4"/>
      <w:bookmarkStart w:id="5" w:name="_Toc373844089"/>
      <w:bookmarkEnd w:id="5"/>
      <w:bookmarkStart w:id="6" w:name="_Toc427306778"/>
      <w:r>
        <w:rPr>
          <w:rFonts w:hint="eastAsia" w:ascii="宋体" w:hAnsi="宋体" w:eastAsia="宋体" w:cs="宋体"/>
          <w:kern w:val="2"/>
          <w:sz w:val="24"/>
          <w:szCs w:val="24"/>
          <w:bdr w:val="none" w:color="auto" w:sz="0" w:space="0"/>
          <w:lang w:val="en-US" w:eastAsia="zh-CN" w:bidi="ar"/>
        </w:rPr>
        <w:t>项目概况</w:t>
      </w:r>
      <w:bookmarkEnd w:id="6"/>
    </w:p>
    <w:p w14:paraId="72979D55">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line="360" w:lineRule="auto"/>
        <w:ind w:left="0" w:right="0" w:firstLine="480" w:firstLineChars="200"/>
        <w:jc w:val="both"/>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u w:val="single"/>
          <w:bdr w:val="none" w:color="auto" w:sz="0" w:space="0"/>
          <w:lang w:val="en-US" w:eastAsia="zh-CN" w:bidi="ar"/>
        </w:rPr>
        <w:t>云南中医药大学“中药类”专业核心课程建设项目</w:t>
      </w:r>
      <w:r>
        <w:rPr>
          <w:rFonts w:hint="eastAsia" w:ascii="宋体" w:hAnsi="宋体" w:eastAsia="宋体" w:cs="宋体"/>
          <w:kern w:val="2"/>
          <w:sz w:val="24"/>
          <w:szCs w:val="24"/>
          <w:bdr w:val="none" w:color="auto" w:sz="0" w:space="0"/>
          <w:lang w:val="en-US" w:eastAsia="zh-CN" w:bidi="ar"/>
        </w:rPr>
        <w:t>的潜在供应商应在</w:t>
      </w:r>
      <w:r>
        <w:rPr>
          <w:rFonts w:hint="eastAsia" w:ascii="宋体" w:hAnsi="宋体" w:eastAsia="宋体" w:cs="宋体"/>
          <w:kern w:val="2"/>
          <w:sz w:val="24"/>
          <w:szCs w:val="24"/>
          <w:u w:val="single"/>
          <w:bdr w:val="none" w:color="auto" w:sz="0" w:space="0"/>
          <w:lang w:val="en-US" w:eastAsia="zh-CN" w:bidi="ar"/>
        </w:rPr>
        <w:t>政采云平台(https：//www.zcygov.cn/)线上</w:t>
      </w:r>
      <w:r>
        <w:rPr>
          <w:rFonts w:hint="eastAsia" w:ascii="宋体" w:hAnsi="宋体" w:eastAsia="宋体" w:cs="宋体"/>
          <w:kern w:val="2"/>
          <w:sz w:val="24"/>
          <w:szCs w:val="24"/>
          <w:bdr w:val="none" w:color="auto" w:sz="0" w:space="0"/>
          <w:lang w:val="en-US" w:eastAsia="zh-CN" w:bidi="ar"/>
        </w:rPr>
        <w:t>获取采购文件，并于</w:t>
      </w:r>
      <w:r>
        <w:rPr>
          <w:rFonts w:hint="eastAsia" w:ascii="宋体" w:hAnsi="宋体" w:eastAsia="宋体" w:cs="宋体"/>
          <w:kern w:val="2"/>
          <w:sz w:val="24"/>
          <w:szCs w:val="24"/>
          <w:u w:val="single"/>
          <w:bdr w:val="none" w:color="auto" w:sz="0" w:space="0"/>
          <w:lang w:val="en-US" w:eastAsia="zh-CN" w:bidi="ar"/>
        </w:rPr>
        <w:t>2025年9月5日14时00分</w:t>
      </w:r>
      <w:r>
        <w:rPr>
          <w:rFonts w:hint="eastAsia" w:ascii="宋体" w:hAnsi="宋体" w:eastAsia="宋体" w:cs="宋体"/>
          <w:bCs/>
          <w:kern w:val="2"/>
          <w:sz w:val="24"/>
          <w:szCs w:val="24"/>
          <w:u w:val="single"/>
          <w:bdr w:val="none" w:color="auto" w:sz="0" w:space="0"/>
          <w:lang w:val="en-US" w:eastAsia="zh-CN" w:bidi="ar"/>
        </w:rPr>
        <w:t>（北京时间）</w:t>
      </w:r>
      <w:r>
        <w:rPr>
          <w:rFonts w:hint="eastAsia" w:ascii="宋体" w:hAnsi="宋体" w:eastAsia="宋体" w:cs="宋体"/>
          <w:bCs/>
          <w:kern w:val="2"/>
          <w:sz w:val="24"/>
          <w:szCs w:val="24"/>
          <w:bdr w:val="none" w:color="auto" w:sz="0" w:space="0"/>
          <w:lang w:val="en-US" w:eastAsia="zh-CN" w:bidi="ar"/>
        </w:rPr>
        <w:t>前提交响应文件</w:t>
      </w:r>
      <w:r>
        <w:rPr>
          <w:rFonts w:hint="eastAsia" w:ascii="宋体" w:hAnsi="宋体" w:eastAsia="宋体" w:cs="宋体"/>
          <w:kern w:val="2"/>
          <w:sz w:val="24"/>
          <w:szCs w:val="24"/>
          <w:bdr w:val="none" w:color="auto" w:sz="0" w:space="0"/>
          <w:lang w:val="en-US" w:eastAsia="zh-CN" w:bidi="ar"/>
        </w:rPr>
        <w:t>。</w:t>
      </w:r>
    </w:p>
    <w:p w14:paraId="539BCCF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7" w:name="_Toc28359012"/>
      <w:bookmarkEnd w:id="7"/>
      <w:bookmarkStart w:id="8" w:name="_Toc35393798"/>
      <w:bookmarkEnd w:id="8"/>
      <w:bookmarkStart w:id="9" w:name="_Toc35393629"/>
      <w:bookmarkEnd w:id="9"/>
      <w:bookmarkStart w:id="10" w:name="_Toc28359089"/>
      <w:r>
        <w:rPr>
          <w:rFonts w:hint="eastAsia" w:ascii="宋体" w:hAnsi="宋体" w:eastAsia="宋体" w:cs="宋体"/>
          <w:b/>
          <w:bCs w:val="0"/>
          <w:kern w:val="2"/>
          <w:sz w:val="24"/>
          <w:szCs w:val="24"/>
          <w:lang w:val="en-US" w:eastAsia="zh-CN" w:bidi="ar"/>
        </w:rPr>
        <w:t>一、项目基本情况</w:t>
      </w:r>
      <w:bookmarkEnd w:id="10"/>
    </w:p>
    <w:p w14:paraId="455D3C7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1.项目编号：YDCOF20251468，采购计划编号：4530000JH202515312</w:t>
      </w:r>
    </w:p>
    <w:p w14:paraId="6270E32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2.项目名称：云南中医药大学“中药类”专业核心课程建设项目</w:t>
      </w:r>
    </w:p>
    <w:p w14:paraId="4CA2398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3.采购方式：竞争性磋商</w:t>
      </w:r>
    </w:p>
    <w:p w14:paraId="653514F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4.预算金额（万元）：90.00</w:t>
      </w:r>
    </w:p>
    <w:p w14:paraId="2813328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5.最高限价（万元）：90.00</w:t>
      </w:r>
    </w:p>
    <w:p w14:paraId="4E7AFEE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lang w:val="en-US" w:eastAsia="zh-CN" w:bidi="ar"/>
        </w:rPr>
        <w:t>6.服务</w:t>
      </w:r>
      <w:r>
        <w:rPr>
          <w:rFonts w:hint="eastAsia" w:ascii="宋体" w:hAnsi="宋体" w:eastAsia="宋体" w:cs="宋体"/>
          <w:kern w:val="0"/>
          <w:sz w:val="24"/>
          <w:szCs w:val="24"/>
          <w:lang w:val="en-US" w:eastAsia="zh-CN" w:bidi="ar"/>
        </w:rPr>
        <w:t>需求：云南中医药大学“中药类”专业核心课程建设项目，计划对原有知识图谱的5门（中药学类）课程进行智慧升级、新建基于知识图谱的AI智慧课程5门（中药学类）、专业图谱、虚拟展厅、虚拟教研室等。</w:t>
      </w:r>
    </w:p>
    <w:tbl>
      <w:tblPr>
        <w:tblStyle w:val="2"/>
        <w:tblW w:w="4995"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Layout w:type="autofit"/>
        <w:tblCellMar>
          <w:top w:w="0" w:type="dxa"/>
          <w:left w:w="108" w:type="dxa"/>
          <w:bottom w:w="0" w:type="dxa"/>
          <w:right w:w="108" w:type="dxa"/>
        </w:tblCellMar>
      </w:tblPr>
      <w:tblGrid>
        <w:gridCol w:w="752"/>
        <w:gridCol w:w="2906"/>
        <w:gridCol w:w="1191"/>
        <w:gridCol w:w="794"/>
        <w:gridCol w:w="1195"/>
        <w:gridCol w:w="2666"/>
      </w:tblGrid>
      <w:tr w14:paraId="61DA3B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83" w:hRule="atLeast"/>
        </w:trPr>
        <w:tc>
          <w:tcPr>
            <w:tcW w:w="395" w:type="pct"/>
            <w:tcBorders>
              <w:top w:val="single" w:color="000000" w:sz="8" w:space="0"/>
              <w:left w:val="single" w:color="000000" w:sz="8" w:space="0"/>
              <w:bottom w:val="single" w:color="000000" w:sz="8" w:space="0"/>
              <w:right w:val="single" w:color="000000" w:sz="8" w:space="0"/>
            </w:tcBorders>
            <w:shd w:val="clear"/>
            <w:vAlign w:val="center"/>
          </w:tcPr>
          <w:p w14:paraId="28BF63C5">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b/>
                <w:bCs/>
                <w:kern w:val="2"/>
                <w:sz w:val="24"/>
                <w:szCs w:val="24"/>
                <w:bdr w:val="none" w:color="auto" w:sz="0" w:space="0"/>
              </w:rPr>
            </w:pPr>
            <w:r>
              <w:rPr>
                <w:rFonts w:hint="eastAsia" w:ascii="宋体" w:hAnsi="宋体" w:eastAsia="宋体" w:cs="宋体"/>
                <w:b/>
                <w:bCs/>
                <w:kern w:val="0"/>
                <w:sz w:val="24"/>
                <w:szCs w:val="24"/>
                <w:bdr w:val="none" w:color="auto" w:sz="0" w:space="0"/>
                <w:lang w:val="en-US" w:eastAsia="zh-CN" w:bidi="ar"/>
              </w:rPr>
              <w:t>序号</w:t>
            </w:r>
          </w:p>
        </w:tc>
        <w:tc>
          <w:tcPr>
            <w:tcW w:w="1527" w:type="pct"/>
            <w:tcBorders>
              <w:top w:val="single" w:color="000000" w:sz="8" w:space="0"/>
              <w:left w:val="single" w:color="000000" w:sz="8" w:space="0"/>
              <w:bottom w:val="single" w:color="000000" w:sz="8" w:space="0"/>
              <w:right w:val="single" w:color="000000" w:sz="8" w:space="0"/>
            </w:tcBorders>
            <w:shd w:val="clear"/>
            <w:vAlign w:val="center"/>
          </w:tcPr>
          <w:p w14:paraId="1279847A">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b/>
                <w:bCs/>
                <w:kern w:val="2"/>
                <w:sz w:val="24"/>
                <w:szCs w:val="24"/>
                <w:bdr w:val="none" w:color="auto" w:sz="0" w:space="0"/>
              </w:rPr>
            </w:pPr>
            <w:r>
              <w:rPr>
                <w:rFonts w:hint="eastAsia" w:ascii="宋体" w:hAnsi="宋体" w:eastAsia="宋体" w:cs="宋体"/>
                <w:b/>
                <w:bCs/>
                <w:kern w:val="0"/>
                <w:sz w:val="24"/>
                <w:szCs w:val="24"/>
                <w:bdr w:val="none" w:color="auto" w:sz="0" w:space="0"/>
                <w:lang w:val="en-US" w:eastAsia="zh-CN" w:bidi="ar"/>
              </w:rPr>
              <w:t>项目（产品）名称</w:t>
            </w:r>
          </w:p>
        </w:tc>
        <w:tc>
          <w:tcPr>
            <w:tcW w:w="626" w:type="pct"/>
            <w:tcBorders>
              <w:top w:val="single" w:color="000000" w:sz="8" w:space="0"/>
              <w:left w:val="single" w:color="000000" w:sz="8" w:space="0"/>
              <w:bottom w:val="single" w:color="000000" w:sz="8" w:space="0"/>
              <w:right w:val="single" w:color="000000" w:sz="8" w:space="0"/>
            </w:tcBorders>
            <w:shd w:val="clear"/>
            <w:vAlign w:val="center"/>
          </w:tcPr>
          <w:p w14:paraId="3DBB24EA">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b/>
                <w:bCs/>
                <w:kern w:val="2"/>
                <w:sz w:val="24"/>
                <w:szCs w:val="24"/>
                <w:bdr w:val="none" w:color="auto" w:sz="0" w:space="0"/>
              </w:rPr>
            </w:pPr>
            <w:r>
              <w:rPr>
                <w:rFonts w:hint="eastAsia" w:ascii="宋体" w:hAnsi="宋体" w:eastAsia="宋体" w:cs="宋体"/>
                <w:b/>
                <w:bCs/>
                <w:kern w:val="0"/>
                <w:sz w:val="24"/>
                <w:szCs w:val="24"/>
                <w:bdr w:val="none" w:color="auto" w:sz="0" w:space="0"/>
                <w:lang w:val="en-US" w:eastAsia="zh-CN" w:bidi="ar"/>
              </w:rPr>
              <w:t>是否接受进口产品</w:t>
            </w:r>
          </w:p>
        </w:tc>
        <w:tc>
          <w:tcPr>
            <w:tcW w:w="417" w:type="pct"/>
            <w:tcBorders>
              <w:top w:val="single" w:color="000000" w:sz="8" w:space="0"/>
              <w:left w:val="single" w:color="000000" w:sz="8" w:space="0"/>
              <w:bottom w:val="single" w:color="000000" w:sz="8" w:space="0"/>
              <w:right w:val="single" w:color="000000" w:sz="8" w:space="0"/>
            </w:tcBorders>
            <w:shd w:val="clear"/>
            <w:vAlign w:val="center"/>
          </w:tcPr>
          <w:p w14:paraId="58032EA2">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b/>
                <w:bCs/>
                <w:kern w:val="2"/>
                <w:sz w:val="24"/>
                <w:szCs w:val="24"/>
                <w:bdr w:val="none" w:color="auto" w:sz="0" w:space="0"/>
              </w:rPr>
            </w:pPr>
            <w:r>
              <w:rPr>
                <w:rFonts w:hint="eastAsia" w:ascii="宋体" w:hAnsi="宋体" w:eastAsia="宋体" w:cs="宋体"/>
                <w:b/>
                <w:bCs/>
                <w:kern w:val="0"/>
                <w:sz w:val="24"/>
                <w:szCs w:val="24"/>
                <w:bdr w:val="none" w:color="auto" w:sz="0" w:space="0"/>
                <w:lang w:val="en-US" w:eastAsia="zh-CN" w:bidi="ar"/>
              </w:rPr>
              <w:t>数量</w:t>
            </w:r>
          </w:p>
        </w:tc>
        <w:tc>
          <w:tcPr>
            <w:tcW w:w="628" w:type="pct"/>
            <w:tcBorders>
              <w:top w:val="single" w:color="000000" w:sz="8" w:space="0"/>
              <w:left w:val="single" w:color="000000" w:sz="8" w:space="0"/>
              <w:bottom w:val="single" w:color="000000" w:sz="8" w:space="0"/>
              <w:right w:val="single" w:color="000000" w:sz="8" w:space="0"/>
            </w:tcBorders>
            <w:shd w:val="clear"/>
            <w:vAlign w:val="center"/>
          </w:tcPr>
          <w:p w14:paraId="3FF3B806">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b/>
                <w:bCs/>
                <w:kern w:val="2"/>
                <w:sz w:val="24"/>
                <w:szCs w:val="24"/>
                <w:bdr w:val="none" w:color="auto" w:sz="0" w:space="0"/>
              </w:rPr>
            </w:pPr>
            <w:r>
              <w:rPr>
                <w:rFonts w:hint="eastAsia" w:ascii="宋体" w:hAnsi="宋体" w:eastAsia="宋体" w:cs="宋体"/>
                <w:b/>
                <w:bCs/>
                <w:kern w:val="0"/>
                <w:sz w:val="24"/>
                <w:szCs w:val="24"/>
                <w:bdr w:val="none" w:color="auto" w:sz="0" w:space="0"/>
                <w:lang w:val="en-US" w:eastAsia="zh-CN" w:bidi="ar"/>
              </w:rPr>
              <w:t>计量单位</w:t>
            </w:r>
          </w:p>
        </w:tc>
        <w:tc>
          <w:tcPr>
            <w:tcW w:w="1401" w:type="pct"/>
            <w:tcBorders>
              <w:top w:val="single" w:color="000000" w:sz="8" w:space="0"/>
              <w:left w:val="single" w:color="000000" w:sz="8" w:space="0"/>
              <w:bottom w:val="single" w:color="000000" w:sz="8" w:space="0"/>
              <w:right w:val="single" w:color="000000" w:sz="8" w:space="0"/>
            </w:tcBorders>
            <w:shd w:val="clear"/>
            <w:vAlign w:val="center"/>
          </w:tcPr>
          <w:p w14:paraId="3CFFF679">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b/>
                <w:bCs/>
                <w:kern w:val="2"/>
                <w:sz w:val="24"/>
                <w:szCs w:val="24"/>
                <w:bdr w:val="none" w:color="auto" w:sz="0" w:space="0"/>
              </w:rPr>
            </w:pPr>
            <w:r>
              <w:rPr>
                <w:rFonts w:hint="eastAsia" w:ascii="宋体" w:hAnsi="宋体" w:eastAsia="宋体" w:cs="宋体"/>
                <w:b/>
                <w:bCs/>
                <w:kern w:val="0"/>
                <w:sz w:val="24"/>
                <w:szCs w:val="24"/>
                <w:bdr w:val="none" w:color="auto" w:sz="0" w:space="0"/>
                <w:lang w:val="en-US" w:eastAsia="zh-CN" w:bidi="ar"/>
              </w:rPr>
              <w:t>采购标的对应的中小企业划分标准所属行业</w:t>
            </w:r>
          </w:p>
        </w:tc>
      </w:tr>
      <w:tr w14:paraId="309C03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0" w:type="dxa"/>
            <w:left w:w="108" w:type="dxa"/>
            <w:bottom w:w="0" w:type="dxa"/>
            <w:right w:w="108" w:type="dxa"/>
          </w:tblCellMar>
        </w:tblPrEx>
        <w:trPr>
          <w:trHeight w:val="380" w:hRule="atLeast"/>
        </w:trPr>
        <w:tc>
          <w:tcPr>
            <w:tcW w:w="395" w:type="pct"/>
            <w:tcBorders>
              <w:top w:val="single" w:color="000000" w:sz="8" w:space="0"/>
              <w:left w:val="single" w:color="000000" w:sz="8" w:space="0"/>
              <w:bottom w:val="single" w:color="000000" w:sz="8" w:space="0"/>
              <w:right w:val="single" w:color="000000" w:sz="8" w:space="0"/>
            </w:tcBorders>
            <w:shd w:val="clear"/>
            <w:vAlign w:val="center"/>
          </w:tcPr>
          <w:p w14:paraId="7B5AAEEF">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rPr>
            </w:pPr>
            <w:r>
              <w:rPr>
                <w:rFonts w:hint="eastAsia" w:ascii="宋体" w:hAnsi="宋体" w:eastAsia="宋体" w:cs="宋体"/>
                <w:kern w:val="0"/>
                <w:sz w:val="24"/>
                <w:szCs w:val="24"/>
                <w:bdr w:val="none" w:color="auto" w:sz="0" w:space="0"/>
                <w:lang w:val="en-US" w:eastAsia="zh-CN" w:bidi="ar"/>
              </w:rPr>
              <w:t>1</w:t>
            </w:r>
          </w:p>
        </w:tc>
        <w:tc>
          <w:tcPr>
            <w:tcW w:w="2939" w:type="dxa"/>
            <w:tcBorders>
              <w:top w:val="single" w:color="000000" w:sz="8" w:space="0"/>
              <w:left w:val="single" w:color="000000" w:sz="8" w:space="0"/>
              <w:bottom w:val="single" w:color="000000" w:sz="8" w:space="0"/>
              <w:right w:val="single" w:color="000000" w:sz="8" w:space="0"/>
            </w:tcBorders>
            <w:shd w:val="clear"/>
            <w:vAlign w:val="center"/>
          </w:tcPr>
          <w:p w14:paraId="7B4C7877">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0"/>
                <w:sz w:val="24"/>
                <w:szCs w:val="24"/>
                <w:bdr w:val="none" w:color="auto" w:sz="0" w:space="0"/>
              </w:rPr>
            </w:pPr>
            <w:r>
              <w:rPr>
                <w:rFonts w:hint="eastAsia" w:ascii="宋体" w:hAnsi="宋体" w:eastAsia="宋体" w:cs="宋体"/>
                <w:kern w:val="2"/>
                <w:sz w:val="24"/>
                <w:szCs w:val="24"/>
                <w:bdr w:val="none" w:color="auto" w:sz="0" w:space="0"/>
                <w:lang w:val="en-US" w:eastAsia="zh-CN" w:bidi="ar"/>
              </w:rPr>
              <w:t>基于知识图谱的AI智慧课程（升级）</w:t>
            </w:r>
          </w:p>
        </w:tc>
        <w:tc>
          <w:tcPr>
            <w:tcW w:w="1207" w:type="dxa"/>
            <w:tcBorders>
              <w:top w:val="single" w:color="000000" w:sz="8" w:space="0"/>
              <w:left w:val="single" w:color="000000" w:sz="8" w:space="0"/>
              <w:bottom w:val="single" w:color="000000" w:sz="8" w:space="0"/>
              <w:right w:val="single" w:color="000000" w:sz="8" w:space="0"/>
            </w:tcBorders>
            <w:shd w:val="clear"/>
            <w:vAlign w:val="center"/>
          </w:tcPr>
          <w:p w14:paraId="5089B5EE">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否</w:t>
            </w:r>
          </w:p>
        </w:tc>
        <w:tc>
          <w:tcPr>
            <w:tcW w:w="805" w:type="dxa"/>
            <w:tcBorders>
              <w:top w:val="single" w:color="000000" w:sz="8" w:space="0"/>
              <w:left w:val="single" w:color="000000" w:sz="8" w:space="0"/>
              <w:bottom w:val="single" w:color="000000" w:sz="8" w:space="0"/>
              <w:right w:val="single" w:color="000000" w:sz="8" w:space="0"/>
            </w:tcBorders>
            <w:shd w:val="clear"/>
            <w:vAlign w:val="center"/>
          </w:tcPr>
          <w:p w14:paraId="25E4E778">
            <w:pPr>
              <w:keepNext w:val="0"/>
              <w:keepLines w:val="0"/>
              <w:widowControl/>
              <w:suppressLineNumbers w:val="0"/>
              <w:autoSpaceDE w:val="0"/>
              <w:autoSpaceDN/>
              <w:spacing w:before="0" w:beforeAutospacing="0" w:after="0" w:afterAutospacing="0" w:line="360" w:lineRule="auto"/>
              <w:ind w:left="0" w:right="0" w:firstLine="0" w:firstLineChars="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5</w:t>
            </w:r>
          </w:p>
        </w:tc>
        <w:tc>
          <w:tcPr>
            <w:tcW w:w="1209" w:type="dxa"/>
            <w:tcBorders>
              <w:top w:val="single" w:color="000000" w:sz="8" w:space="0"/>
              <w:left w:val="single" w:color="000000" w:sz="8" w:space="0"/>
              <w:bottom w:val="single" w:color="000000" w:sz="8" w:space="0"/>
              <w:right w:val="single" w:color="000000" w:sz="8" w:space="0"/>
            </w:tcBorders>
            <w:shd w:val="clear"/>
            <w:vAlign w:val="center"/>
          </w:tcPr>
          <w:p w14:paraId="6CA20347">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1"/>
                <w:sz w:val="24"/>
                <w:szCs w:val="24"/>
                <w:bdr w:val="none" w:color="auto" w:sz="0" w:space="0"/>
              </w:rPr>
            </w:pPr>
            <w:r>
              <w:rPr>
                <w:rFonts w:hint="eastAsia" w:ascii="宋体" w:hAnsi="宋体" w:eastAsia="宋体" w:cs="宋体"/>
                <w:kern w:val="2"/>
                <w:sz w:val="24"/>
                <w:szCs w:val="24"/>
                <w:bdr w:val="none" w:color="auto" w:sz="0" w:space="0"/>
                <w:lang w:val="en-US" w:eastAsia="zh-CN" w:bidi="ar"/>
              </w:rPr>
              <w:t>门</w:t>
            </w:r>
          </w:p>
        </w:tc>
        <w:tc>
          <w:tcPr>
            <w:tcW w:w="1401" w:type="pct"/>
            <w:tcBorders>
              <w:top w:val="single" w:color="000000" w:sz="8" w:space="0"/>
              <w:left w:val="single" w:color="000000" w:sz="8" w:space="0"/>
              <w:bottom w:val="single" w:color="000000" w:sz="8" w:space="0"/>
              <w:right w:val="single" w:color="000000" w:sz="8" w:space="0"/>
            </w:tcBorders>
            <w:shd w:val="clear"/>
            <w:vAlign w:val="center"/>
          </w:tcPr>
          <w:p w14:paraId="7282C4B4">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shd w:val="clear" w:fill="FFFFFF"/>
                <w:lang w:val="en-US" w:eastAsia="zh-CN" w:bidi="ar"/>
              </w:rPr>
              <w:t>软件和信息技术服务业</w:t>
            </w:r>
          </w:p>
        </w:tc>
      </w:tr>
      <w:tr w14:paraId="4676CC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0" w:type="dxa"/>
            <w:left w:w="108" w:type="dxa"/>
            <w:bottom w:w="0" w:type="dxa"/>
            <w:right w:w="108" w:type="dxa"/>
          </w:tblCellMar>
        </w:tblPrEx>
        <w:trPr>
          <w:trHeight w:val="380" w:hRule="atLeast"/>
        </w:trPr>
        <w:tc>
          <w:tcPr>
            <w:tcW w:w="395" w:type="pct"/>
            <w:tcBorders>
              <w:top w:val="single" w:color="000000" w:sz="8" w:space="0"/>
              <w:left w:val="single" w:color="000000" w:sz="8" w:space="0"/>
              <w:bottom w:val="single" w:color="000000" w:sz="8" w:space="0"/>
              <w:right w:val="single" w:color="000000" w:sz="8" w:space="0"/>
            </w:tcBorders>
            <w:shd w:val="clear"/>
            <w:vAlign w:val="center"/>
          </w:tcPr>
          <w:p w14:paraId="437FE670">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0"/>
                <w:sz w:val="24"/>
                <w:szCs w:val="24"/>
                <w:bdr w:val="none" w:color="auto" w:sz="0" w:space="0"/>
              </w:rPr>
            </w:pPr>
            <w:r>
              <w:rPr>
                <w:rFonts w:hint="eastAsia" w:ascii="宋体" w:hAnsi="宋体" w:eastAsia="宋体" w:cs="宋体"/>
                <w:kern w:val="0"/>
                <w:sz w:val="24"/>
                <w:szCs w:val="24"/>
                <w:bdr w:val="none" w:color="auto" w:sz="0" w:space="0"/>
                <w:lang w:val="en-US" w:eastAsia="zh-CN" w:bidi="ar"/>
              </w:rPr>
              <w:t>2</w:t>
            </w:r>
          </w:p>
        </w:tc>
        <w:tc>
          <w:tcPr>
            <w:tcW w:w="2939" w:type="dxa"/>
            <w:tcBorders>
              <w:top w:val="single" w:color="000000" w:sz="8" w:space="0"/>
              <w:left w:val="single" w:color="000000" w:sz="8" w:space="0"/>
              <w:bottom w:val="single" w:color="000000" w:sz="8" w:space="0"/>
              <w:right w:val="single" w:color="000000" w:sz="8" w:space="0"/>
            </w:tcBorders>
            <w:shd w:val="clear"/>
            <w:vAlign w:val="center"/>
          </w:tcPr>
          <w:p w14:paraId="5D12A75F">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基于知识图谱的AI智慧课程（新建）</w:t>
            </w:r>
          </w:p>
        </w:tc>
        <w:tc>
          <w:tcPr>
            <w:tcW w:w="1207" w:type="dxa"/>
            <w:tcBorders>
              <w:top w:val="single" w:color="000000" w:sz="8" w:space="0"/>
              <w:left w:val="single" w:color="000000" w:sz="8" w:space="0"/>
              <w:bottom w:val="single" w:color="000000" w:sz="8" w:space="0"/>
              <w:right w:val="single" w:color="000000" w:sz="8" w:space="0"/>
            </w:tcBorders>
            <w:shd w:val="clear"/>
            <w:vAlign w:val="center"/>
          </w:tcPr>
          <w:p w14:paraId="0F748CC6">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否</w:t>
            </w:r>
          </w:p>
        </w:tc>
        <w:tc>
          <w:tcPr>
            <w:tcW w:w="805" w:type="dxa"/>
            <w:tcBorders>
              <w:top w:val="single" w:color="000000" w:sz="8" w:space="0"/>
              <w:left w:val="single" w:color="000000" w:sz="8" w:space="0"/>
              <w:bottom w:val="single" w:color="000000" w:sz="8" w:space="0"/>
              <w:right w:val="single" w:color="000000" w:sz="8" w:space="0"/>
            </w:tcBorders>
            <w:shd w:val="clear"/>
            <w:vAlign w:val="center"/>
          </w:tcPr>
          <w:p w14:paraId="39F5A84F">
            <w:pPr>
              <w:keepNext w:val="0"/>
              <w:keepLines w:val="0"/>
              <w:widowControl/>
              <w:suppressLineNumbers w:val="0"/>
              <w:autoSpaceDE w:val="0"/>
              <w:autoSpaceDN/>
              <w:spacing w:before="0" w:beforeAutospacing="0" w:after="0" w:afterAutospacing="0" w:line="360" w:lineRule="auto"/>
              <w:ind w:left="0" w:right="0" w:firstLine="0" w:firstLineChars="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5</w:t>
            </w:r>
          </w:p>
        </w:tc>
        <w:tc>
          <w:tcPr>
            <w:tcW w:w="1209" w:type="dxa"/>
            <w:tcBorders>
              <w:top w:val="single" w:color="000000" w:sz="8" w:space="0"/>
              <w:left w:val="single" w:color="000000" w:sz="8" w:space="0"/>
              <w:bottom w:val="single" w:color="000000" w:sz="8" w:space="0"/>
              <w:right w:val="single" w:color="000000" w:sz="8" w:space="0"/>
            </w:tcBorders>
            <w:shd w:val="clear"/>
            <w:vAlign w:val="center"/>
          </w:tcPr>
          <w:p w14:paraId="00A1484C">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门</w:t>
            </w:r>
          </w:p>
        </w:tc>
        <w:tc>
          <w:tcPr>
            <w:tcW w:w="1401" w:type="pct"/>
            <w:tcBorders>
              <w:top w:val="single" w:color="000000" w:sz="8" w:space="0"/>
              <w:left w:val="single" w:color="000000" w:sz="8" w:space="0"/>
              <w:bottom w:val="single" w:color="000000" w:sz="8" w:space="0"/>
              <w:right w:val="single" w:color="000000" w:sz="8" w:space="0"/>
            </w:tcBorders>
            <w:shd w:val="clear"/>
            <w:vAlign w:val="center"/>
          </w:tcPr>
          <w:p w14:paraId="5627F59C">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shd w:val="clear" w:fill="FFFFFF"/>
              </w:rPr>
            </w:pPr>
            <w:r>
              <w:rPr>
                <w:rFonts w:hint="eastAsia" w:ascii="宋体" w:hAnsi="宋体" w:eastAsia="宋体" w:cs="宋体"/>
                <w:kern w:val="0"/>
                <w:sz w:val="24"/>
                <w:szCs w:val="24"/>
                <w:bdr w:val="none" w:color="auto" w:sz="0" w:space="0"/>
                <w:lang w:val="en-US" w:eastAsia="zh-CN" w:bidi="ar"/>
              </w:rPr>
              <w:t>软件和信息技术服务业</w:t>
            </w:r>
          </w:p>
        </w:tc>
      </w:tr>
      <w:tr w14:paraId="016B7D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0" w:type="dxa"/>
            <w:left w:w="108" w:type="dxa"/>
            <w:bottom w:w="0" w:type="dxa"/>
            <w:right w:w="108" w:type="dxa"/>
          </w:tblCellMar>
        </w:tblPrEx>
        <w:trPr>
          <w:trHeight w:val="380" w:hRule="atLeast"/>
        </w:trPr>
        <w:tc>
          <w:tcPr>
            <w:tcW w:w="395" w:type="pct"/>
            <w:tcBorders>
              <w:top w:val="single" w:color="000000" w:sz="8" w:space="0"/>
              <w:left w:val="single" w:color="000000" w:sz="8" w:space="0"/>
              <w:bottom w:val="single" w:color="000000" w:sz="8" w:space="0"/>
              <w:right w:val="single" w:color="000000" w:sz="8" w:space="0"/>
            </w:tcBorders>
            <w:shd w:val="clear"/>
            <w:vAlign w:val="center"/>
          </w:tcPr>
          <w:p w14:paraId="7186F0A1">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0"/>
                <w:sz w:val="24"/>
                <w:szCs w:val="24"/>
                <w:bdr w:val="none" w:color="auto" w:sz="0" w:space="0"/>
              </w:rPr>
            </w:pPr>
            <w:r>
              <w:rPr>
                <w:rFonts w:hint="eastAsia" w:ascii="宋体" w:hAnsi="宋体" w:eastAsia="宋体" w:cs="宋体"/>
                <w:kern w:val="0"/>
                <w:sz w:val="24"/>
                <w:szCs w:val="24"/>
                <w:bdr w:val="none" w:color="auto" w:sz="0" w:space="0"/>
                <w:lang w:val="en-US" w:eastAsia="zh-CN" w:bidi="ar"/>
              </w:rPr>
              <w:t>3</w:t>
            </w:r>
          </w:p>
        </w:tc>
        <w:tc>
          <w:tcPr>
            <w:tcW w:w="2939" w:type="dxa"/>
            <w:tcBorders>
              <w:top w:val="single" w:color="000000" w:sz="8" w:space="0"/>
              <w:left w:val="single" w:color="000000" w:sz="8" w:space="0"/>
              <w:bottom w:val="single" w:color="000000" w:sz="8" w:space="0"/>
              <w:right w:val="single" w:color="000000" w:sz="8" w:space="0"/>
            </w:tcBorders>
            <w:shd w:val="clear"/>
            <w:vAlign w:val="center"/>
          </w:tcPr>
          <w:p w14:paraId="243275EA">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虚拟教研室</w:t>
            </w:r>
          </w:p>
        </w:tc>
        <w:tc>
          <w:tcPr>
            <w:tcW w:w="1207" w:type="dxa"/>
            <w:tcBorders>
              <w:top w:val="single" w:color="000000" w:sz="8" w:space="0"/>
              <w:left w:val="single" w:color="000000" w:sz="8" w:space="0"/>
              <w:bottom w:val="single" w:color="000000" w:sz="8" w:space="0"/>
              <w:right w:val="single" w:color="000000" w:sz="8" w:space="0"/>
            </w:tcBorders>
            <w:shd w:val="clear"/>
            <w:vAlign w:val="center"/>
          </w:tcPr>
          <w:p w14:paraId="01173747">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否</w:t>
            </w:r>
          </w:p>
        </w:tc>
        <w:tc>
          <w:tcPr>
            <w:tcW w:w="805" w:type="dxa"/>
            <w:tcBorders>
              <w:top w:val="single" w:color="000000" w:sz="8" w:space="0"/>
              <w:left w:val="single" w:color="000000" w:sz="8" w:space="0"/>
              <w:bottom w:val="single" w:color="000000" w:sz="8" w:space="0"/>
              <w:right w:val="single" w:color="000000" w:sz="8" w:space="0"/>
            </w:tcBorders>
            <w:shd w:val="clear"/>
            <w:vAlign w:val="center"/>
          </w:tcPr>
          <w:p w14:paraId="27C87F63">
            <w:pPr>
              <w:keepNext w:val="0"/>
              <w:keepLines w:val="0"/>
              <w:widowControl/>
              <w:suppressLineNumbers w:val="0"/>
              <w:autoSpaceDE w:val="0"/>
              <w:autoSpaceDN/>
              <w:spacing w:before="0" w:beforeAutospacing="0" w:after="0" w:afterAutospacing="0" w:line="360" w:lineRule="auto"/>
              <w:ind w:left="0" w:right="0" w:firstLine="0" w:firstLineChars="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10</w:t>
            </w:r>
          </w:p>
        </w:tc>
        <w:tc>
          <w:tcPr>
            <w:tcW w:w="1209" w:type="dxa"/>
            <w:tcBorders>
              <w:top w:val="single" w:color="000000" w:sz="8" w:space="0"/>
              <w:left w:val="single" w:color="000000" w:sz="8" w:space="0"/>
              <w:bottom w:val="single" w:color="000000" w:sz="8" w:space="0"/>
              <w:right w:val="single" w:color="000000" w:sz="8" w:space="0"/>
            </w:tcBorders>
            <w:shd w:val="clear"/>
            <w:vAlign w:val="center"/>
          </w:tcPr>
          <w:p w14:paraId="0B774B76">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门</w:t>
            </w:r>
          </w:p>
        </w:tc>
        <w:tc>
          <w:tcPr>
            <w:tcW w:w="1401" w:type="pct"/>
            <w:tcBorders>
              <w:top w:val="single" w:color="000000" w:sz="8" w:space="0"/>
              <w:left w:val="single" w:color="000000" w:sz="8" w:space="0"/>
              <w:bottom w:val="single" w:color="000000" w:sz="8" w:space="0"/>
              <w:right w:val="single" w:color="000000" w:sz="8" w:space="0"/>
            </w:tcBorders>
            <w:shd w:val="clear"/>
            <w:vAlign w:val="center"/>
          </w:tcPr>
          <w:p w14:paraId="3C73F2AA">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shd w:val="clear" w:fill="FFFFFF"/>
              </w:rPr>
            </w:pPr>
            <w:r>
              <w:rPr>
                <w:rFonts w:hint="eastAsia" w:ascii="宋体" w:hAnsi="宋体" w:eastAsia="宋体" w:cs="宋体"/>
                <w:kern w:val="0"/>
                <w:sz w:val="24"/>
                <w:szCs w:val="24"/>
                <w:bdr w:val="none" w:color="auto" w:sz="0" w:space="0"/>
                <w:lang w:val="en-US" w:eastAsia="zh-CN" w:bidi="ar"/>
              </w:rPr>
              <w:t>软件和信息技术服务业</w:t>
            </w:r>
          </w:p>
        </w:tc>
      </w:tr>
      <w:tr w14:paraId="1D4C83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0" w:type="dxa"/>
            <w:left w:w="108" w:type="dxa"/>
            <w:bottom w:w="0" w:type="dxa"/>
            <w:right w:w="108" w:type="dxa"/>
          </w:tblCellMar>
        </w:tblPrEx>
        <w:trPr>
          <w:trHeight w:val="380" w:hRule="atLeast"/>
        </w:trPr>
        <w:tc>
          <w:tcPr>
            <w:tcW w:w="395" w:type="pct"/>
            <w:tcBorders>
              <w:top w:val="single" w:color="000000" w:sz="8" w:space="0"/>
              <w:left w:val="single" w:color="000000" w:sz="8" w:space="0"/>
              <w:bottom w:val="single" w:color="000000" w:sz="8" w:space="0"/>
              <w:right w:val="single" w:color="000000" w:sz="8" w:space="0"/>
            </w:tcBorders>
            <w:shd w:val="clear"/>
            <w:vAlign w:val="center"/>
          </w:tcPr>
          <w:p w14:paraId="759A4EA9">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rPr>
            </w:pPr>
            <w:r>
              <w:rPr>
                <w:rFonts w:hint="eastAsia" w:ascii="宋体" w:hAnsi="宋体" w:eastAsia="宋体" w:cs="宋体"/>
                <w:kern w:val="0"/>
                <w:sz w:val="24"/>
                <w:szCs w:val="24"/>
                <w:bdr w:val="none" w:color="auto" w:sz="0" w:space="0"/>
                <w:lang w:val="en-US" w:eastAsia="zh-CN" w:bidi="ar"/>
              </w:rPr>
              <w:t>4</w:t>
            </w:r>
          </w:p>
        </w:tc>
        <w:tc>
          <w:tcPr>
            <w:tcW w:w="2939" w:type="dxa"/>
            <w:tcBorders>
              <w:top w:val="single" w:color="000000" w:sz="8" w:space="0"/>
              <w:left w:val="single" w:color="000000" w:sz="8" w:space="0"/>
              <w:bottom w:val="single" w:color="000000" w:sz="8" w:space="0"/>
              <w:right w:val="single" w:color="000000" w:sz="8" w:space="0"/>
            </w:tcBorders>
            <w:shd w:val="clear"/>
            <w:vAlign w:val="center"/>
          </w:tcPr>
          <w:p w14:paraId="76875B01">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0"/>
                <w:sz w:val="24"/>
                <w:szCs w:val="24"/>
                <w:bdr w:val="none" w:color="auto" w:sz="0" w:space="0"/>
              </w:rPr>
            </w:pPr>
            <w:r>
              <w:rPr>
                <w:rFonts w:hint="eastAsia" w:ascii="宋体" w:hAnsi="宋体" w:eastAsia="宋体" w:cs="宋体"/>
                <w:kern w:val="2"/>
                <w:sz w:val="24"/>
                <w:szCs w:val="24"/>
                <w:bdr w:val="none" w:color="auto" w:sz="0" w:space="0"/>
                <w:lang w:val="en-US" w:eastAsia="zh-CN" w:bidi="ar"/>
              </w:rPr>
              <w:t>专业图谱</w:t>
            </w:r>
          </w:p>
        </w:tc>
        <w:tc>
          <w:tcPr>
            <w:tcW w:w="1207" w:type="dxa"/>
            <w:tcBorders>
              <w:top w:val="single" w:color="000000" w:sz="8" w:space="0"/>
              <w:left w:val="single" w:color="000000" w:sz="8" w:space="0"/>
              <w:bottom w:val="single" w:color="000000" w:sz="8" w:space="0"/>
              <w:right w:val="single" w:color="000000" w:sz="8" w:space="0"/>
            </w:tcBorders>
            <w:shd w:val="clear"/>
            <w:vAlign w:val="center"/>
          </w:tcPr>
          <w:p w14:paraId="515CB4A8">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否</w:t>
            </w:r>
          </w:p>
        </w:tc>
        <w:tc>
          <w:tcPr>
            <w:tcW w:w="805" w:type="dxa"/>
            <w:tcBorders>
              <w:top w:val="single" w:color="000000" w:sz="8" w:space="0"/>
              <w:left w:val="single" w:color="000000" w:sz="8" w:space="0"/>
              <w:bottom w:val="single" w:color="000000" w:sz="8" w:space="0"/>
              <w:right w:val="single" w:color="000000" w:sz="8" w:space="0"/>
            </w:tcBorders>
            <w:shd w:val="clear"/>
            <w:vAlign w:val="center"/>
          </w:tcPr>
          <w:p w14:paraId="0A5F1961">
            <w:pPr>
              <w:keepNext w:val="0"/>
              <w:keepLines w:val="0"/>
              <w:widowControl/>
              <w:suppressLineNumbers w:val="0"/>
              <w:autoSpaceDE w:val="0"/>
              <w:autoSpaceDN/>
              <w:spacing w:before="0" w:beforeAutospacing="0" w:after="0" w:afterAutospacing="0" w:line="360" w:lineRule="auto"/>
              <w:ind w:left="0" w:right="0" w:firstLine="0" w:firstLineChars="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1</w:t>
            </w:r>
          </w:p>
        </w:tc>
        <w:tc>
          <w:tcPr>
            <w:tcW w:w="1209" w:type="dxa"/>
            <w:tcBorders>
              <w:top w:val="single" w:color="000000" w:sz="8" w:space="0"/>
              <w:left w:val="single" w:color="000000" w:sz="8" w:space="0"/>
              <w:bottom w:val="single" w:color="000000" w:sz="8" w:space="0"/>
              <w:right w:val="single" w:color="000000" w:sz="8" w:space="0"/>
            </w:tcBorders>
            <w:shd w:val="clear"/>
            <w:vAlign w:val="center"/>
          </w:tcPr>
          <w:p w14:paraId="6C1823A5">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1"/>
                <w:sz w:val="24"/>
                <w:szCs w:val="24"/>
                <w:bdr w:val="none" w:color="auto" w:sz="0" w:space="0"/>
              </w:rPr>
            </w:pPr>
            <w:r>
              <w:rPr>
                <w:rFonts w:hint="eastAsia" w:ascii="宋体" w:hAnsi="宋体" w:eastAsia="宋体" w:cs="宋体"/>
                <w:kern w:val="2"/>
                <w:sz w:val="24"/>
                <w:szCs w:val="24"/>
                <w:bdr w:val="none" w:color="auto" w:sz="0" w:space="0"/>
                <w:lang w:val="en-US" w:eastAsia="zh-CN" w:bidi="ar"/>
              </w:rPr>
              <w:t>个</w:t>
            </w:r>
          </w:p>
        </w:tc>
        <w:tc>
          <w:tcPr>
            <w:tcW w:w="1401" w:type="pct"/>
            <w:tcBorders>
              <w:top w:val="single" w:color="000000" w:sz="8" w:space="0"/>
              <w:left w:val="single" w:color="000000" w:sz="8" w:space="0"/>
              <w:bottom w:val="single" w:color="000000" w:sz="8" w:space="0"/>
              <w:right w:val="single" w:color="000000" w:sz="8" w:space="0"/>
            </w:tcBorders>
            <w:shd w:val="clear"/>
            <w:vAlign w:val="center"/>
          </w:tcPr>
          <w:p w14:paraId="7CEBE104">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shd w:val="clear" w:fill="FFFFFF"/>
                <w:lang w:val="en-US" w:eastAsia="zh-CN" w:bidi="ar"/>
              </w:rPr>
              <w:t>软件和信息技术服务业</w:t>
            </w:r>
          </w:p>
        </w:tc>
      </w:tr>
      <w:tr w14:paraId="4567F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tblCellMar>
            <w:top w:w="0" w:type="dxa"/>
            <w:left w:w="108" w:type="dxa"/>
            <w:bottom w:w="0" w:type="dxa"/>
            <w:right w:w="108" w:type="dxa"/>
          </w:tblCellMar>
        </w:tblPrEx>
        <w:trPr>
          <w:trHeight w:val="380" w:hRule="atLeast"/>
        </w:trPr>
        <w:tc>
          <w:tcPr>
            <w:tcW w:w="395" w:type="pct"/>
            <w:tcBorders>
              <w:top w:val="single" w:color="000000" w:sz="8" w:space="0"/>
              <w:left w:val="single" w:color="000000" w:sz="8" w:space="0"/>
              <w:bottom w:val="single" w:color="000000" w:sz="8" w:space="0"/>
              <w:right w:val="single" w:color="000000" w:sz="8" w:space="0"/>
            </w:tcBorders>
            <w:shd w:val="clear"/>
            <w:vAlign w:val="center"/>
          </w:tcPr>
          <w:p w14:paraId="373BE01C">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0"/>
                <w:sz w:val="24"/>
                <w:szCs w:val="24"/>
                <w:bdr w:val="none" w:color="auto" w:sz="0" w:space="0"/>
              </w:rPr>
            </w:pPr>
            <w:r>
              <w:rPr>
                <w:rFonts w:hint="eastAsia" w:ascii="宋体" w:hAnsi="宋体" w:eastAsia="宋体" w:cs="宋体"/>
                <w:kern w:val="0"/>
                <w:sz w:val="24"/>
                <w:szCs w:val="24"/>
                <w:bdr w:val="none" w:color="auto" w:sz="0" w:space="0"/>
                <w:lang w:val="en-US" w:eastAsia="zh-CN" w:bidi="ar"/>
              </w:rPr>
              <w:t>5</w:t>
            </w:r>
          </w:p>
        </w:tc>
        <w:tc>
          <w:tcPr>
            <w:tcW w:w="2939" w:type="dxa"/>
            <w:tcBorders>
              <w:top w:val="single" w:color="000000" w:sz="8" w:space="0"/>
              <w:left w:val="single" w:color="000000" w:sz="8" w:space="0"/>
              <w:bottom w:val="single" w:color="000000" w:sz="8" w:space="0"/>
              <w:right w:val="single" w:color="000000" w:sz="8" w:space="0"/>
            </w:tcBorders>
            <w:shd w:val="clear"/>
            <w:vAlign w:val="center"/>
          </w:tcPr>
          <w:p w14:paraId="64C43DEA">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专业虚拟展厅</w:t>
            </w:r>
          </w:p>
        </w:tc>
        <w:tc>
          <w:tcPr>
            <w:tcW w:w="1207" w:type="dxa"/>
            <w:tcBorders>
              <w:top w:val="single" w:color="000000" w:sz="8" w:space="0"/>
              <w:left w:val="single" w:color="000000" w:sz="8" w:space="0"/>
              <w:bottom w:val="single" w:color="000000" w:sz="8" w:space="0"/>
              <w:right w:val="single" w:color="000000" w:sz="8" w:space="0"/>
            </w:tcBorders>
            <w:shd w:val="clear"/>
            <w:vAlign w:val="center"/>
          </w:tcPr>
          <w:p w14:paraId="6B510361">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否</w:t>
            </w:r>
          </w:p>
        </w:tc>
        <w:tc>
          <w:tcPr>
            <w:tcW w:w="805" w:type="dxa"/>
            <w:tcBorders>
              <w:top w:val="single" w:color="000000" w:sz="8" w:space="0"/>
              <w:left w:val="single" w:color="000000" w:sz="8" w:space="0"/>
              <w:bottom w:val="single" w:color="000000" w:sz="8" w:space="0"/>
              <w:right w:val="single" w:color="000000" w:sz="8" w:space="0"/>
            </w:tcBorders>
            <w:shd w:val="clear"/>
            <w:vAlign w:val="center"/>
          </w:tcPr>
          <w:p w14:paraId="041987CC">
            <w:pPr>
              <w:keepNext w:val="0"/>
              <w:keepLines w:val="0"/>
              <w:widowControl/>
              <w:suppressLineNumbers w:val="0"/>
              <w:autoSpaceDE w:val="0"/>
              <w:autoSpaceDN/>
              <w:spacing w:before="0" w:beforeAutospacing="0" w:after="0" w:afterAutospacing="0" w:line="360" w:lineRule="auto"/>
              <w:ind w:left="0" w:right="0" w:firstLine="0" w:firstLineChars="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1</w:t>
            </w:r>
          </w:p>
        </w:tc>
        <w:tc>
          <w:tcPr>
            <w:tcW w:w="1209" w:type="dxa"/>
            <w:tcBorders>
              <w:top w:val="single" w:color="000000" w:sz="8" w:space="0"/>
              <w:left w:val="single" w:color="000000" w:sz="8" w:space="0"/>
              <w:bottom w:val="single" w:color="000000" w:sz="8" w:space="0"/>
              <w:right w:val="single" w:color="000000" w:sz="8" w:space="0"/>
            </w:tcBorders>
            <w:shd w:val="clear"/>
            <w:vAlign w:val="center"/>
          </w:tcPr>
          <w:p w14:paraId="1B3F1CB7">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个</w:t>
            </w:r>
          </w:p>
        </w:tc>
        <w:tc>
          <w:tcPr>
            <w:tcW w:w="1401" w:type="pct"/>
            <w:tcBorders>
              <w:top w:val="single" w:color="000000" w:sz="8" w:space="0"/>
              <w:left w:val="single" w:color="000000" w:sz="8" w:space="0"/>
              <w:bottom w:val="single" w:color="000000" w:sz="8" w:space="0"/>
              <w:right w:val="single" w:color="000000" w:sz="8" w:space="0"/>
            </w:tcBorders>
            <w:shd w:val="clear"/>
            <w:vAlign w:val="center"/>
          </w:tcPr>
          <w:p w14:paraId="1D24643E">
            <w:pPr>
              <w:keepNext w:val="0"/>
              <w:keepLines w:val="0"/>
              <w:widowControl/>
              <w:suppressLineNumbers w:val="0"/>
              <w:autoSpaceDE w:val="0"/>
              <w:autoSpaceDN/>
              <w:spacing w:before="0" w:beforeAutospacing="0" w:after="0" w:afterAutospacing="0" w:line="360" w:lineRule="auto"/>
              <w:ind w:left="0" w:right="0"/>
              <w:jc w:val="center"/>
              <w:textAlignment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shd w:val="clear" w:fill="FFFFFF"/>
                <w:lang w:val="en-US" w:eastAsia="zh-CN" w:bidi="ar"/>
              </w:rPr>
              <w:t>软件和信息技术服务业</w:t>
            </w:r>
          </w:p>
        </w:tc>
      </w:tr>
    </w:tbl>
    <w:p w14:paraId="5706AF78">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▲7.交付期限（合同履行期限）：合同签订生效后90日历天内完成交付。</w:t>
      </w:r>
    </w:p>
    <w:p w14:paraId="5ED99EC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8.本项目不接受联合体参加。</w:t>
      </w:r>
    </w:p>
    <w:p w14:paraId="7410F08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11" w:name="_Toc35393630"/>
      <w:bookmarkEnd w:id="11"/>
      <w:bookmarkStart w:id="12" w:name="_Toc35393799"/>
      <w:bookmarkEnd w:id="12"/>
      <w:bookmarkStart w:id="13" w:name="_Toc28359013"/>
      <w:bookmarkEnd w:id="13"/>
      <w:bookmarkStart w:id="14" w:name="_Toc28359090"/>
      <w:r>
        <w:rPr>
          <w:rFonts w:hint="eastAsia" w:ascii="宋体" w:hAnsi="宋体" w:eastAsia="宋体" w:cs="宋体"/>
          <w:b/>
          <w:bCs w:val="0"/>
          <w:kern w:val="2"/>
          <w:sz w:val="24"/>
          <w:szCs w:val="24"/>
          <w:lang w:val="en-US" w:eastAsia="zh-CN" w:bidi="ar"/>
        </w:rPr>
        <w:t>二、申请人的资格要求</w:t>
      </w:r>
      <w:bookmarkEnd w:id="14"/>
    </w:p>
    <w:p w14:paraId="2367632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bookmarkStart w:id="15" w:name="_Toc35393631"/>
      <w:bookmarkEnd w:id="15"/>
      <w:bookmarkStart w:id="16" w:name="_Toc28359014"/>
      <w:bookmarkEnd w:id="16"/>
      <w:bookmarkStart w:id="17" w:name="_Toc35393800"/>
      <w:bookmarkEnd w:id="17"/>
      <w:bookmarkStart w:id="18" w:name="_Toc28359091"/>
      <w:r>
        <w:rPr>
          <w:rFonts w:hint="eastAsia" w:ascii="宋体" w:hAnsi="宋体" w:eastAsia="宋体" w:cs="宋体"/>
          <w:kern w:val="2"/>
          <w:sz w:val="24"/>
          <w:szCs w:val="24"/>
          <w:lang w:val="en-US" w:eastAsia="zh-CN" w:bidi="ar"/>
        </w:rPr>
        <w:t>1.满足《中华人民共和国政府采购法》第二十二条规定，具体要求如下：</w:t>
      </w:r>
      <w:bookmarkEnd w:id="18"/>
    </w:p>
    <w:p w14:paraId="293810D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1.1供应商须具有独立承担民事责任的能力，在中华人民共和国境内登记或注册，供应商为独立法人资格、其他组织或者自然人。</w:t>
      </w:r>
    </w:p>
    <w:p w14:paraId="6A40463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1.2供应商须具有良好的商业信誉和健全的财务会计制度：</w:t>
      </w:r>
    </w:p>
    <w:p w14:paraId="59A4536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1.2.1良好的商业信誉：供应商在本项目响应文件提交截止时间前，在“中国政府采购网（www.ccgp.gov.cn）”政府采购严重违法失信行为记录名单内无不良信息记录及“信用中国”网站（www.creditchina.gov.cn）查询的“失信被执行人（按网站要求链接到中国执行信息网（http：//zxgk.court.gov.cn/shixin）查询）、重大税收违法失信主体”未出现不良信用信息记录（查询结果以采购人、采购代理机构在开标当天查询结果为准）。</w:t>
      </w:r>
    </w:p>
    <w:p w14:paraId="43DEC88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1.2.2健全的财务会计制度指：提供2023年度或2024年度经第三方审计的审计报告及财务报表（注：提供的财务报表应包含资产负债表、现金流量表、利润表（损益表）、所有者权益变动表及其附注），或提供自本项目响应文件提交截止时间前三个月内基本开户银行出具的资信证明。新成立企业且成立时间不足一年的，提供自本项目响应文件提交截止时间前三个月内基本开户银行出具的资信证明或自成立至今经第三方审计的审计报告及财务报表（注：提供的财务报表应包含资产负债表、现金流量表、利润表（损益表）、所有者权益变动表及其附注）。</w:t>
      </w:r>
    </w:p>
    <w:p w14:paraId="11C15B2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1.3供应商须具有履行合同所必需的设备和专业技术能力：供应商须提供具有履行合同所必需的设备和专业技术能力证明材料或书面声明。</w:t>
      </w:r>
    </w:p>
    <w:p w14:paraId="4BA765E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1.4供应商须具有依法缴纳税收和社会保障资金的良好记录：</w:t>
      </w:r>
    </w:p>
    <w:p w14:paraId="129D495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1.4.1供应商须提供缴税所属时间在提交磋商响应文件截止之日前十二个月内任意连续3个月的税务局税收通用缴款书复印件或银行电子缴税（费）凭证复印件或税务局出具纳税情况的相关证明；企业成立时间不足3个月的，提供自成立以来的税务局税收通用缴款书复印件或银行电子缴税（费）凭证复印件或税务局出具纳税情况的相关证明；供应商依法免税的，应提供依法免税的相关证明文件。</w:t>
      </w:r>
    </w:p>
    <w:p w14:paraId="4F1BB66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1.4.2供应商须提供缴费所属时间在提交磋商响应文件截止之日前十二个月内任意连续3个月的社会保险费缴款书复印件或银行电子缴税（费）凭证复印件或社保管理部门出具的有效的缴款证明；企业成立时间不足3个月的，提供自成立以来的社会保险费缴款书复印件或银行电子缴税（费）凭证复印件或社保管理部门出具的有效的缴款证明；供应商依法免缴的，应提供依法免缴的相关证明文件。</w:t>
      </w:r>
    </w:p>
    <w:p w14:paraId="5EBF0FF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1.5参加政府采购活动前三年内，在经营活动中没有重大违法记录：供应商须提供参加政府采购活动前三年内，在经营活动中没有重大违法记录（重大违法记录，是指供应商因违法经营受到刑事处罚或者责令停产停业、吊销许可证或者执照、较大数额罚款等行政处罚）的书面声明。</w:t>
      </w:r>
    </w:p>
    <w:p w14:paraId="60A46C1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1.6法律、行政法规规定的其他条件：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78B75F5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2.落实政府采购政策需满足的资格要求：本项目不属于专门面向中小企业采购的项目，小微企业价格扣除优惠比例10%。</w:t>
      </w:r>
    </w:p>
    <w:p w14:paraId="3107F1C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shd w:val="clear" w:fill="FFFFFF"/>
        </w:rPr>
      </w:pPr>
      <w:r>
        <w:rPr>
          <w:rFonts w:hint="eastAsia" w:ascii="宋体" w:hAnsi="宋体" w:eastAsia="宋体" w:cs="宋体"/>
          <w:kern w:val="2"/>
          <w:sz w:val="24"/>
          <w:szCs w:val="24"/>
          <w:lang w:val="en-US" w:eastAsia="zh-CN" w:bidi="ar"/>
        </w:rPr>
        <w:t>3.本项目的特定资格要求：</w:t>
      </w:r>
      <w:bookmarkStart w:id="54" w:name="_GoBack"/>
      <w:r>
        <w:rPr>
          <w:rFonts w:hint="eastAsia" w:ascii="宋体" w:hAnsi="宋体" w:eastAsia="宋体" w:cs="宋体"/>
          <w:kern w:val="2"/>
          <w:sz w:val="24"/>
          <w:szCs w:val="24"/>
          <w:lang w:val="en-US" w:eastAsia="zh-CN" w:bidi="ar"/>
        </w:rPr>
        <w:t>本项目不接受联合体参加。</w:t>
      </w:r>
      <w:bookmarkEnd w:id="54"/>
    </w:p>
    <w:p w14:paraId="216A913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三、获取采购文件</w:t>
      </w:r>
    </w:p>
    <w:p w14:paraId="14CCC4DE">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1.时间：2025-8-23 06：00至2025-08-29 23：59，每天上午06：00至12：00，下午12：00至23：59（北京时间，法定节假日除外）</w:t>
      </w:r>
    </w:p>
    <w:p w14:paraId="3775B6D6">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地点：供应商可自行在“政采云”平台(http：//www.zcygov.cn)下载采购文件(操作路径：登录“政采云”平台-项目采购-获取采购文件-找到本项目-点击“申请获取采购文件”)，电子响应文件制作需要基于“政采云”平台(http：//www.zcygov.cn)获取的采购文件编制。</w:t>
      </w:r>
    </w:p>
    <w:p w14:paraId="1DDA9E57">
      <w:pPr>
        <w:keepNext w:val="0"/>
        <w:keepLines w:val="0"/>
        <w:widowControl w:val="0"/>
        <w:suppressLineNumbers w:val="0"/>
        <w:wordWrap w:val="0"/>
        <w:spacing w:before="0" w:beforeAutospacing="0" w:after="0" w:afterAutospacing="0" w:line="360" w:lineRule="auto"/>
        <w:ind w:left="0" w:right="0" w:firstLine="539"/>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3.方式：线上获取，凡有意参加的供应商，须在政采云平台办理数字证书(CA)，CA 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0B86BD62">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4.售价(元)：0元。</w:t>
      </w:r>
    </w:p>
    <w:p w14:paraId="124A320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19" w:name="_Toc28359015"/>
      <w:bookmarkEnd w:id="19"/>
      <w:bookmarkStart w:id="20" w:name="_Toc35393632"/>
      <w:bookmarkEnd w:id="20"/>
      <w:bookmarkStart w:id="21" w:name="_Toc28359092"/>
      <w:bookmarkEnd w:id="21"/>
      <w:bookmarkStart w:id="22" w:name="_Toc35393801"/>
      <w:r>
        <w:rPr>
          <w:rFonts w:hint="eastAsia" w:ascii="宋体" w:hAnsi="宋体" w:eastAsia="宋体" w:cs="宋体"/>
          <w:b/>
          <w:bCs w:val="0"/>
          <w:kern w:val="2"/>
          <w:sz w:val="24"/>
          <w:szCs w:val="24"/>
          <w:lang w:val="en-US" w:eastAsia="zh-CN" w:bidi="ar"/>
        </w:rPr>
        <w:t>四、磋商响应文件提交</w:t>
      </w:r>
      <w:bookmarkEnd w:id="22"/>
    </w:p>
    <w:p w14:paraId="11204CB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1.时间：2025年9月5日14时00分（北京时间）。</w:t>
      </w:r>
    </w:p>
    <w:p w14:paraId="5B82725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u w:val="single"/>
        </w:rPr>
      </w:pPr>
      <w:r>
        <w:rPr>
          <w:rFonts w:hint="eastAsia" w:ascii="宋体" w:hAnsi="宋体" w:eastAsia="宋体" w:cs="宋体"/>
          <w:kern w:val="2"/>
          <w:sz w:val="24"/>
          <w:szCs w:val="24"/>
          <w:lang w:val="en-US" w:eastAsia="zh-CN" w:bidi="ar"/>
        </w:rPr>
        <w:t>2.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877673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23" w:name="_Toc28359093"/>
      <w:bookmarkEnd w:id="23"/>
      <w:bookmarkStart w:id="24" w:name="_Toc28359016"/>
      <w:bookmarkEnd w:id="24"/>
      <w:bookmarkStart w:id="25" w:name="_Toc35393633"/>
      <w:bookmarkEnd w:id="25"/>
      <w:bookmarkStart w:id="26" w:name="_Toc35393802"/>
      <w:r>
        <w:rPr>
          <w:rFonts w:hint="eastAsia" w:ascii="宋体" w:hAnsi="宋体" w:eastAsia="宋体" w:cs="宋体"/>
          <w:b/>
          <w:bCs w:val="0"/>
          <w:kern w:val="2"/>
          <w:sz w:val="24"/>
          <w:szCs w:val="24"/>
          <w:lang w:val="en-US" w:eastAsia="zh-CN" w:bidi="ar"/>
        </w:rPr>
        <w:t>五、开启</w:t>
      </w:r>
      <w:bookmarkEnd w:id="26"/>
    </w:p>
    <w:p w14:paraId="4308646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1.时间：2025年9月5日14时00分（北京时间）</w:t>
      </w:r>
    </w:p>
    <w:p w14:paraId="6F8A720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u w:val="single"/>
        </w:rPr>
      </w:pPr>
      <w:r>
        <w:rPr>
          <w:rFonts w:hint="eastAsia" w:ascii="宋体" w:hAnsi="宋体" w:eastAsia="宋体" w:cs="宋体"/>
          <w:kern w:val="2"/>
          <w:sz w:val="24"/>
          <w:szCs w:val="24"/>
          <w:lang w:val="en-US" w:eastAsia="zh-CN" w:bidi="ar"/>
        </w:rPr>
        <w:t>2.地点：“政采云”平台开标大厅，会议地点为云南元大工程咨询有限责任公司1509会议室。</w:t>
      </w:r>
    </w:p>
    <w:p w14:paraId="77903E6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27" w:name="_Toc28359017"/>
      <w:bookmarkEnd w:id="27"/>
      <w:bookmarkStart w:id="28" w:name="_Toc28359094"/>
      <w:bookmarkEnd w:id="28"/>
      <w:bookmarkStart w:id="29" w:name="_Toc35393634"/>
      <w:bookmarkEnd w:id="29"/>
      <w:bookmarkStart w:id="30" w:name="_Toc35393803"/>
      <w:r>
        <w:rPr>
          <w:rFonts w:hint="eastAsia" w:ascii="宋体" w:hAnsi="宋体" w:eastAsia="宋体" w:cs="宋体"/>
          <w:b/>
          <w:bCs w:val="0"/>
          <w:kern w:val="2"/>
          <w:sz w:val="24"/>
          <w:szCs w:val="24"/>
          <w:lang w:val="en-US" w:eastAsia="zh-CN" w:bidi="ar"/>
        </w:rPr>
        <w:t>六、公告期限</w:t>
      </w:r>
      <w:bookmarkEnd w:id="30"/>
    </w:p>
    <w:p w14:paraId="2CE0287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自本公告发布之日起5个工作日。</w:t>
      </w:r>
    </w:p>
    <w:p w14:paraId="1A1D0DA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31" w:name="_Toc35393635"/>
      <w:bookmarkEnd w:id="31"/>
      <w:bookmarkStart w:id="32" w:name="_Toc35393804"/>
      <w:r>
        <w:rPr>
          <w:rFonts w:hint="eastAsia" w:ascii="宋体" w:hAnsi="宋体" w:eastAsia="宋体" w:cs="宋体"/>
          <w:b/>
          <w:bCs w:val="0"/>
          <w:kern w:val="2"/>
          <w:sz w:val="24"/>
          <w:szCs w:val="24"/>
          <w:lang w:val="en-US" w:eastAsia="zh-CN" w:bidi="ar"/>
        </w:rPr>
        <w:t>七、其他补充事宜</w:t>
      </w:r>
      <w:bookmarkEnd w:id="32"/>
    </w:p>
    <w:p w14:paraId="0DCA4B1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1.开标方式：网上开标</w:t>
      </w:r>
    </w:p>
    <w:p w14:paraId="5020063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2.是否需要缴纳磋商保证金：是</w:t>
      </w:r>
    </w:p>
    <w:p w14:paraId="72B3C1F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3.保证金缴纳金额(元)：人民币玖仟元整</w:t>
      </w:r>
    </w:p>
    <w:p w14:paraId="3D605BC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4.保证金缴纳方式：支票、汇票、本票、保函；其他非现金形式：银行转账或电汇等非现金形式。</w:t>
      </w:r>
    </w:p>
    <w:p w14:paraId="3F27B62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5.保证金缴纳截止时间：2025年9月5日14时00分（北京时间）</w:t>
      </w:r>
    </w:p>
    <w:p w14:paraId="31330C7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6.其他：</w:t>
      </w:r>
    </w:p>
    <w:p w14:paraId="0D46146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6.1本次竞争性磋商公告在《云南省政府采购网》《云南中医药大学校务公开专栏》上发布。</w:t>
      </w:r>
    </w:p>
    <w:p w14:paraId="4BE8F55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6.2本项目执行政府采购促进中小企业发展、支持监狱企业、促进残疾人就业、强制采购和优先采购节能、环保产品等政府采购政策。</w:t>
      </w:r>
    </w:p>
    <w:p w14:paraId="41510AF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6.3注意事项：(1)本项目为不见面开标，供应商无需到达现场；(2)本项目实行网上投标，采用电子响应文件；(3)因未注册入库、未办理CA数字证书等原因造成无法投标或投标失败等后果由供应商自行承担。(4)供应商将政采云电子交易客户端下载、安装完成后，可通过账号密码或CA登录客户端进行响应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(5)获取采购文件的方式：有意参加投标的供应商需要在政采云平台办理数字证书（CA）。完成数字证书（CA）办理后，供应商需要在政采云平台绑定数字证书(CA)，并在平台上获取采购文件和其他相关采购资料。注：CA办理链接：</w:t>
      </w:r>
      <w:r>
        <w:rPr>
          <w:rFonts w:hint="eastAsia" w:ascii="宋体" w:hAnsi="宋体" w:eastAsia="宋体" w:cs="宋体"/>
          <w:spacing w:val="-17"/>
          <w:kern w:val="2"/>
          <w:sz w:val="24"/>
          <w:szCs w:val="24"/>
          <w:lang w:val="en-US" w:eastAsia="zh-CN" w:bidi="ar"/>
        </w:rPr>
        <w:t>http：//yzt.ynsmartcert.cn/cms/yztmdkj.html或者https：//middle.zcygov.cn/ca/apply/list?_app_=zcy.sys</w:t>
      </w:r>
      <w:r>
        <w:rPr>
          <w:rFonts w:hint="eastAsia" w:ascii="宋体" w:hAnsi="宋体" w:eastAsia="宋体" w:cs="宋体"/>
          <w:kern w:val="2"/>
          <w:sz w:val="24"/>
          <w:szCs w:val="24"/>
          <w:lang w:val="en-US" w:eastAsia="zh-CN" w:bidi="ar"/>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1614788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bookmarkStart w:id="33" w:name="_Toc35393805"/>
      <w:bookmarkEnd w:id="33"/>
      <w:bookmarkStart w:id="34" w:name="_Toc28359095"/>
      <w:bookmarkEnd w:id="34"/>
      <w:bookmarkStart w:id="35" w:name="_Toc28359018"/>
      <w:bookmarkEnd w:id="35"/>
      <w:bookmarkStart w:id="36" w:name="_Toc35393636"/>
      <w:r>
        <w:rPr>
          <w:rFonts w:hint="eastAsia" w:ascii="宋体" w:hAnsi="宋体" w:eastAsia="宋体" w:cs="宋体"/>
          <w:b/>
          <w:bCs w:val="0"/>
          <w:kern w:val="2"/>
          <w:sz w:val="24"/>
          <w:szCs w:val="24"/>
          <w:lang w:val="en-US" w:eastAsia="zh-CN" w:bidi="ar"/>
        </w:rPr>
        <w:t>八、凡对本次采购提出询问，请按以下方式联系</w:t>
      </w:r>
      <w:bookmarkEnd w:id="36"/>
    </w:p>
    <w:p w14:paraId="7DDAFB0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bookmarkStart w:id="37" w:name="_Toc35393637"/>
      <w:bookmarkEnd w:id="37"/>
      <w:bookmarkStart w:id="38" w:name="_Toc28359096"/>
      <w:bookmarkEnd w:id="38"/>
      <w:bookmarkStart w:id="39" w:name="_Toc35393806"/>
      <w:bookmarkEnd w:id="39"/>
      <w:bookmarkStart w:id="40" w:name="_Toc28359019"/>
      <w:r>
        <w:rPr>
          <w:rFonts w:hint="eastAsia" w:ascii="宋体" w:hAnsi="宋体" w:eastAsia="宋体" w:cs="宋体"/>
          <w:kern w:val="2"/>
          <w:sz w:val="24"/>
          <w:szCs w:val="24"/>
          <w:lang w:val="en-US" w:eastAsia="zh-CN" w:bidi="ar"/>
        </w:rPr>
        <w:t>1.采购人信息</w:t>
      </w:r>
      <w:bookmarkEnd w:id="40"/>
    </w:p>
    <w:p w14:paraId="36780A2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名称：云南中医药大学</w:t>
      </w:r>
    </w:p>
    <w:p w14:paraId="612DDA4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地址：云南省昆明市呈贡区雨花路1076号</w:t>
      </w:r>
    </w:p>
    <w:p w14:paraId="7A820CD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联系方式：</w:t>
      </w:r>
      <w:bookmarkStart w:id="41" w:name="_Toc28359020"/>
      <w:bookmarkEnd w:id="41"/>
      <w:bookmarkStart w:id="42" w:name="_Toc35393638"/>
      <w:bookmarkEnd w:id="42"/>
      <w:bookmarkStart w:id="43" w:name="_Toc28359097"/>
      <w:bookmarkEnd w:id="43"/>
      <w:bookmarkStart w:id="44" w:name="_Toc35393807"/>
      <w:r>
        <w:rPr>
          <w:rFonts w:hint="eastAsia" w:ascii="宋体" w:hAnsi="宋体" w:eastAsia="宋体" w:cs="宋体"/>
          <w:kern w:val="2"/>
          <w:sz w:val="24"/>
          <w:szCs w:val="24"/>
          <w:lang w:val="en-US" w:eastAsia="zh-CN" w:bidi="ar"/>
        </w:rPr>
        <w:t>张老师（0871-65919731）</w:t>
      </w:r>
      <w:bookmarkEnd w:id="44"/>
    </w:p>
    <w:p w14:paraId="728E065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2.采购代理机构信息</w:t>
      </w:r>
    </w:p>
    <w:p w14:paraId="6755987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名称：云南元大工程咨询有限责任公司</w:t>
      </w:r>
    </w:p>
    <w:p w14:paraId="6099AE1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地址：云南省昆明市盘龙区联盟路与万宏路交汇处万宏嘉园沣苑（地块三）B座15层（奥斯迪商务中心B座15层）</w:t>
      </w:r>
    </w:p>
    <w:p w14:paraId="67443AA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联系方式：</w:t>
      </w:r>
      <w:bookmarkStart w:id="45" w:name="_Toc28359098"/>
      <w:bookmarkEnd w:id="45"/>
      <w:bookmarkStart w:id="46" w:name="_Toc35393808"/>
      <w:bookmarkEnd w:id="46"/>
      <w:bookmarkStart w:id="47" w:name="_Toc35393639"/>
      <w:bookmarkEnd w:id="47"/>
      <w:bookmarkStart w:id="48" w:name="_Toc28359021"/>
      <w:r>
        <w:rPr>
          <w:rFonts w:hint="eastAsia" w:ascii="宋体" w:hAnsi="宋体" w:eastAsia="宋体" w:cs="宋体"/>
          <w:kern w:val="2"/>
          <w:sz w:val="24"/>
          <w:szCs w:val="24"/>
          <w:lang w:val="en-US" w:eastAsia="zh-CN" w:bidi="ar"/>
        </w:rPr>
        <w:t>沈娜、段坤彦、王永坤、程吉鹏（0871-63338509）</w:t>
      </w:r>
      <w:bookmarkEnd w:id="48"/>
    </w:p>
    <w:p w14:paraId="152A9CA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3.项目联系方式</w:t>
      </w:r>
    </w:p>
    <w:p w14:paraId="748185D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项目联系人：张老师（采购人）、沈娜、段坤彦、王永坤、程吉鹏（采购代理机构）</w:t>
      </w:r>
    </w:p>
    <w:p w14:paraId="5EA524C1">
      <w:pPr>
        <w:keepNext w:val="0"/>
        <w:keepLines w:val="0"/>
        <w:widowControl w:val="0"/>
        <w:suppressLineNumbers w:val="0"/>
        <w:spacing w:before="0" w:beforeAutospacing="0" w:after="0" w:afterAutospacing="0" w:line="360" w:lineRule="auto"/>
        <w:ind w:left="0" w:right="0" w:firstLine="480" w:firstLineChars="200"/>
        <w:jc w:val="both"/>
      </w:pPr>
      <w:r>
        <w:rPr>
          <w:rFonts w:hint="eastAsia" w:ascii="宋体" w:hAnsi="宋体" w:eastAsia="宋体" w:cs="宋体"/>
          <w:kern w:val="2"/>
          <w:sz w:val="24"/>
          <w:szCs w:val="24"/>
          <w:lang w:val="en-US" w:eastAsia="zh-CN" w:bidi="ar"/>
        </w:rPr>
        <w:t>电话：</w:t>
      </w:r>
      <w:bookmarkStart w:id="49" w:name="_Toc23419"/>
      <w:bookmarkEnd w:id="49"/>
      <w:bookmarkStart w:id="50" w:name="_Toc16794"/>
      <w:bookmarkEnd w:id="50"/>
      <w:bookmarkStart w:id="51" w:name="_Toc5498"/>
      <w:bookmarkEnd w:id="51"/>
      <w:bookmarkStart w:id="52" w:name="_Toc13994"/>
      <w:bookmarkEnd w:id="52"/>
      <w:bookmarkStart w:id="53" w:name="_Toc8120"/>
      <w:bookmarkEnd w:id="53"/>
      <w:r>
        <w:rPr>
          <w:rFonts w:hint="eastAsia" w:ascii="宋体" w:hAnsi="宋体" w:eastAsia="宋体" w:cs="宋体"/>
          <w:kern w:val="2"/>
          <w:sz w:val="24"/>
          <w:szCs w:val="24"/>
          <w:lang w:val="en-US" w:eastAsia="zh-CN" w:bidi="ar"/>
        </w:rPr>
        <w:t>（0871）63338509</w:t>
      </w:r>
    </w:p>
    <w:sectPr>
      <w:pgSz w:w="11906" w:h="16838"/>
      <w:pgMar w:top="1304" w:right="1304" w:bottom="1304"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7F4801"/>
    <w:rsid w:val="221D1D08"/>
    <w:rsid w:val="467F4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宋体" w:cs="Times New Roman"/>
      <w:sz w:val="20"/>
      <w:szCs w:val="20"/>
    </w:rPr>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1</Lines>
  <Paragraphs>1</Paragraphs>
  <TotalTime>10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2025-08-23T09:46:00Z</dcterms:created>
  <dc:creator>Vivian</dc:creator>
  <cp:lastModifiedBy>Vivian</cp:lastModifiedBy>
  <dcterms:modified xsi:type="dcterms:W3CDTF">2025-08-23T09:59:21Z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1A1E8D4673A9420CBD586B127BD8D051_11</vt:lpwstr>
  </property>
  <property fmtid="{D5CDD505-2E9C-101B-9397-08002B2CF9AE}" pid="4" name="KSOTemplateDocerSaveRecord">
    <vt:lpwstr>eyJoZGlkIjoiY2I1ZmZiZTA4Nzk0ZjhjMTg3OGNiZDhjODg1Y2JkNGYiLCJ1c2VySWQiOiI2NTk2MTc0OTIifQ==</vt:lpwstr>
  </property>
</Properties>
</file>