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正文</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（工程类）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海口市龙华区龙泉镇2026年永昌村委会和美乡村建设项目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HNZY-CG2026-0630</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海口市龙华区龙泉镇人民政府</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海南中言项目管理有限公司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ind w:firstLine="480"/>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海口市龙华区龙泉镇人民政府</w:t>
      </w:r>
      <w:r>
        <w:rPr>
          <w:rFonts w:ascii="仿宋_GB2312" w:hAnsi="仿宋_GB2312" w:cs="仿宋_GB2312" w:eastAsia="仿宋_GB2312"/>
        </w:rPr>
        <w:t xml:space="preserve"> 的委托， </w:t>
      </w:r>
      <w:r>
        <w:rPr>
          <w:rFonts w:ascii="仿宋_GB2312" w:hAnsi="仿宋_GB2312" w:cs="仿宋_GB2312" w:eastAsia="仿宋_GB2312"/>
        </w:rPr>
        <w:t>海南中言项目管理有限公司</w:t>
      </w:r>
      <w:r>
        <w:rPr>
          <w:rFonts w:ascii="仿宋_GB2312" w:hAnsi="仿宋_GB2312" w:cs="仿宋_GB2312" w:eastAsia="仿宋_GB2312"/>
        </w:rPr>
        <w:t xml:space="preserve"> 对 </w:t>
      </w:r>
      <w:r>
        <w:rPr>
          <w:rFonts w:ascii="仿宋_GB2312" w:hAnsi="仿宋_GB2312" w:cs="仿宋_GB2312" w:eastAsia="仿宋_GB2312"/>
        </w:rPr>
        <w:t>海口市龙华区龙泉镇2026年永昌村委会和美乡村建设项目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HNZY-CG2026-0630</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海口市龙华区龙泉镇2026年永昌村委会和美乡村建设项目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1,500,000.00元</w:t>
      </w:r>
      <w:r>
        <w:rPr>
          <w:rFonts w:ascii="仿宋_GB2312" w:hAnsi="仿宋_GB2312" w:cs="仿宋_GB2312" w:eastAsia="仿宋_GB2312"/>
        </w:rPr>
        <w:t>壹佰伍拾万元整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90日历天</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3.本项目的特定资格要求：（如项目接受联合体响应，对联合体应提出相关资格要求；如属于特定行业项目，供应商应当具备特定行业法定准入要求。）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资质要求：具有建设行政主管部门核发的市政公用工程施工总承包叁级（含）以上资质或换发新证的市政公用工程施工总承包乙级（含）以上资质，并具有有效的安全生产许可证，拟派项目经理须具备市政公用工程专业贰级（含）以上注册建造师执业资格，具备有效的安全生产考核合格证书（B证）且无在建项目：提供有效的资质证书复印件、安全生产许可证复印件、注册建造师证书复印件、安考B证，无在建项目承诺函原件（格式自拟）。</w:t>
      </w:r>
    </w:p>
    <w:p>
      <w:pPr>
        <w:pStyle w:val="null3"/>
        <w:jc w:val="left"/>
      </w:pPr>
      <w:r>
        <w:rPr>
          <w:rFonts w:ascii="仿宋_GB2312" w:hAnsi="仿宋_GB2312" w:cs="仿宋_GB2312" w:eastAsia="仿宋_GB2312"/>
        </w:rPr>
        <w:t>2、具备《海南省建筑企业诚信档案手册》：具备《海南省建筑企业诚信档案手册》：供应商在海南省住房和城乡建设厅海南省房屋建筑工程全过程监管信息平台完成《海南省建筑企业诚信档案手册》登记，并填报项目名称、项目地址、派驻的项目班子人员信息证明截图。（提供诚信档案手册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 本项目采购信息指定发布媒体为中国政府采购网（网址www.ccgp.gov.cn）、海南省政府采购网(网址https://ccgp-hainan.gov.cn/maincms-web/)。关于本项目采购文件的补遗、澄清及变更信息以上述网站公告为准，代理机构不再另行通知，采购文件与更正公告的内容相互矛盾时，以最后发出的更正公告内容为准。2. 投标人须在海南政府采购网(https://ccgp-hainan.gov.cn/maincms-web/)中的海南省政府采购智慧云平台进行注册并完善信息，然后下载参与投标项目电子招标文件（数据包）及其他文件；3. 本项目不收取投标保证金；4.本项目采用不见面开标形式，投标单位远程参加开标会。远程参与开标流程的投标人需提前在海南省政府采购智慧云平台-服务专区中下载电子交易系统操作手册，并按照操作手册的要求参与开标会。投标人使用交易系统遇到问题可致电技术支持：4001691288。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海口市龙华区龙泉镇人民政府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海口市龙华区龙泉镇便民街2号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0898-65520008</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海南中言项目管理有限公司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海南省海口市国家高新技术产业开发区科技大道22号海口国科中心A栋505室-2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0898-66265767</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自响应文件递交截止之日起90日历天。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代理服务费收费标准：参照《海南省物价局关于降低部分招标代理服务收费标准的通知》(琼价费管[2011]225号文)、发改价格[2011]534号文计取。金额：10508.00元。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采购单位授权评标委员会按照采购文件规定的方式确定中标（成交）供应商。</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已标价工程量清单应由注册在本单位的一级或二级造价工程师使用本单位实名的计价软件编制。委托工程造价咨询企业编制的，应在投标文件中提供加盖双方单位公章的委托书，并在已标价工程量清单上加盖负责编制的工程造价咨询企业公章以及负责审核的一级注册造价师执业印章（如由本单位造价人员进行编制的，无需复核人签字或盖章）。2.工程造价咨询机构在同一采购项目中，只可以接受采购人或一个供应商的委托并编制 招标控制价或磋商响应报价，不得为同一磋商项目的两个或者两个以上供应商编制磋 商响应报价，亦不得既为采购人编制招标控制价同时又为供应商编制响应报价，否则 其编制的招标控制价和响应报价无效并视为存在相互串通磋商行为。3.签字和（或）盖章要求：3.1电子标盖章要求：使用CA锁在响应文件制作工具中逐页加盖单位公 章。3.2电子标签字以下四种形式之一均有效：(1)响应文件制作工具中加盖签名章或签字章；(2)响应文件制作工具中使用“手写签名”签字；(3)响应文件打印为文本签字后扫描上传；(4)响应文件打印为文本盖签名章或签字章后扫描上传。 3.3电子系统中所涉及签章均可以是加盖单位公章。4.由委托代理人签字的，投标文件应附有法定代表人授权书。因投标人原因导致无法读取电子版投标文件，视为无效投标。 5、其他要求 5.1、本项目管理机构主要管理人员配备数量要求：项目负责人1名，项目技术负责人1名（可兼任）、施工员1名，专职安全生产管理人员1名、质量员1名（可兼任）、劳资专管员1名（可兼任）、资料员1名（可兼任）。 5.2、施工项目部关键岗位人员要求： 1）项目负责人（项目经理）：在本单位注册的市政公用工程专业贰级（含）以上注册建造师执业资格，具备有效的安全生产考核合格证书（B证）且不得担任其他在施建设工程项目的项目负责人（项目经理）。证明材料：响应文件中提供证书复印件； 2）项目技术负责人：具有市政工程相关专业中级（含）以上工程师职称。证明材料：响应文件中提供证书复印件； 3）施工员：取得省级住房和城乡建设主管部门或符合要求的机构颁发的施工员岗位资格证书或电子培训合格证。证明材料：响应文件中提供证书复印件； 4）安全员：取得省级住房和城乡建设主管部门或其委托的管理机构颁发的安全员岗位资格证书或安全生产考核合格证书或电子培训合格证。证明材料：响应文件中提供证书复印件； 5）质量员：取得省级住房和城乡建设主管部门或符合要求的机构颁发的质量员岗位资格证书或电子培训合格证。证明材料：响应文件中提供证书复印件； 6）劳资专管员：如已展开劳资专管员岗位培训的地区并已获取劳资专管员岗位证书，提供岗位相关证书；未展开劳资专管员岗位培训的地区或未获取劳资专管员岗位证书，只需提供该岗位人员身份证、投标人自行出具的岗位任命。（格式自拟） 7）资料员：取得省级住房和城乡建设主管部门或符合要求的机构颁发的资料员岗位资格证书或电子培训合格证。 证明材料：响应文件中提供证书复印件、2026年1月1日至今任意一个月在本单位（或分支机构）缴纳的社保凭证复印件加盖公章。6、方案编制应精简、文字宜精炼、内容应具有针对性，总体控制在1000页以内。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“采购单位”指磋商文件中所述所有工程、相关货物、相关服务的甲方。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 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 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供应商应在响应文件中提供证明其所投工程、相关货物、相关服务的合格性和符合磋商文件规定的相关证明文件。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供应商应在响应文件中完整表达履行本采购项目的相关工程量清单、技术方案、方法和措施，及证明其成交后具有良好履约能力的说明材料。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 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8.1.1根据采购人确定的成交结果，采购代理机构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联系人：刘工</w:t>
      </w:r>
    </w:p>
    <w:p>
      <w:pPr>
        <w:pStyle w:val="null3"/>
        <w:jc w:val="left"/>
      </w:pPr>
      <w:r>
        <w:rPr>
          <w:rFonts w:ascii="仿宋_GB2312" w:hAnsi="仿宋_GB2312" w:cs="仿宋_GB2312" w:eastAsia="仿宋_GB2312"/>
        </w:rPr>
        <w:t>联系电话：0898-66265767</w:t>
      </w:r>
    </w:p>
    <w:p>
      <w:pPr>
        <w:pStyle w:val="null3"/>
        <w:jc w:val="left"/>
      </w:pPr>
      <w:r>
        <w:rPr>
          <w:rFonts w:ascii="仿宋_GB2312" w:hAnsi="仿宋_GB2312" w:cs="仿宋_GB2312" w:eastAsia="仿宋_GB2312"/>
        </w:rPr>
        <w:t>地址：海南省海口市国家高新技术产业开发区科技大道22号海口国科中心A栋505室-2</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rPr>
        <w:t>1、道路改造工程</w:t>
      </w:r>
      <w:r>
        <w:br/>
      </w:r>
      <w:r>
        <w:rPr>
          <w:rFonts w:ascii="仿宋_GB2312" w:hAnsi="仿宋_GB2312" w:cs="仿宋_GB2312" w:eastAsia="仿宋_GB2312"/>
        </w:rPr>
        <w:t xml:space="preserve"> （1）积水支路改造：改造积水支路2条，总长156.9m，均宽3.5m，改造面积1021m²；</w:t>
      </w:r>
      <w:r>
        <w:br/>
      </w:r>
      <w:r>
        <w:rPr>
          <w:rFonts w:ascii="仿宋_GB2312" w:hAnsi="仿宋_GB2312" w:cs="仿宋_GB2312" w:eastAsia="仿宋_GB2312"/>
        </w:rPr>
        <w:t xml:space="preserve"> （2）破损支路改造：改造破损支路1条，总长123.4m，均宽3m，改造面积374.3m²；</w:t>
      </w:r>
      <w:r>
        <w:br/>
      </w:r>
      <w:r>
        <w:rPr>
          <w:rFonts w:ascii="仿宋_GB2312" w:hAnsi="仿宋_GB2312" w:cs="仿宋_GB2312" w:eastAsia="仿宋_GB2312"/>
        </w:rPr>
        <w:t xml:space="preserve"> （3）破损路面拆除：拆除原有废弃、破损水泥路面383.8m²。</w:t>
      </w:r>
      <w:r>
        <w:br/>
      </w:r>
      <w:r>
        <w:rPr>
          <w:rFonts w:ascii="仿宋_GB2312" w:hAnsi="仿宋_GB2312" w:cs="仿宋_GB2312" w:eastAsia="仿宋_GB2312"/>
        </w:rPr>
        <w:t xml:space="preserve"> 2、给水改造工程</w:t>
      </w:r>
      <w:r>
        <w:br/>
      </w:r>
      <w:r>
        <w:rPr>
          <w:rFonts w:ascii="仿宋_GB2312" w:hAnsi="仿宋_GB2312" w:cs="仿宋_GB2312" w:eastAsia="仿宋_GB2312"/>
        </w:rPr>
        <w:t xml:space="preserve"> （1）管网敷设：敷设DN100给水管1800.5m、DN65给水管276.8m、DN50给水管396.5m、DN40给水管601.3m、优化供水管网布局，提升供水压力与输送能力；</w:t>
      </w:r>
      <w:r>
        <w:br/>
      </w:r>
      <w:r>
        <w:rPr>
          <w:rFonts w:ascii="仿宋_GB2312" w:hAnsi="仿宋_GB2312" w:cs="仿宋_GB2312" w:eastAsia="仿宋_GB2312"/>
        </w:rPr>
        <w:t xml:space="preserve"> （2）阀门与控制设施：安装DN100球阀8个、DN65球阀1个、DN50球阀1个，实现管网分区控制，便于后期维修养护。</w:t>
      </w:r>
      <w:r>
        <w:br/>
      </w:r>
      <w:r>
        <w:rPr>
          <w:rFonts w:ascii="仿宋_GB2312" w:hAnsi="仿宋_GB2312" w:cs="仿宋_GB2312" w:eastAsia="仿宋_GB2312"/>
        </w:rPr>
        <w:t xml:space="preserve"> 3、入户供水系统：安装入户水表组90组，敷设DN20入户管1800m，实现一户一表。</w:t>
      </w:r>
      <w:r>
        <w:br/>
      </w:r>
      <w:r>
        <w:rPr>
          <w:rFonts w:ascii="仿宋_GB2312" w:hAnsi="仿宋_GB2312" w:cs="仿宋_GB2312" w:eastAsia="仿宋_GB2312"/>
        </w:rPr>
        <w:t xml:space="preserve"> 4、道路破除与恢复：因管网施工需破除现状道路477.2m²，施工完成后按原标准恢复路面。</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1,254,733.89</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B99000000-其他建筑工程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建筑业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B99000000-其他建筑工程</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1,254,733.89</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标的名称：B99000000-其他建筑工程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以《图纸和工程量清单》为准。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1．计划工期、建设地点、施工范围、工程质量：</w:t>
            </w:r>
          </w:p>
          <w:p>
            <w:pPr>
              <w:pStyle w:val="null3"/>
              <w:jc w:val="left"/>
            </w:pPr>
            <w:r>
              <w:rPr>
                <w:rFonts w:ascii="仿宋_GB2312" w:hAnsi="仿宋_GB2312" w:cs="仿宋_GB2312" w:eastAsia="仿宋_GB2312"/>
              </w:rPr>
              <w:t>(1)计划工期：90日历天。</w:t>
            </w:r>
          </w:p>
          <w:p>
            <w:pPr>
              <w:pStyle w:val="null3"/>
              <w:jc w:val="left"/>
            </w:pPr>
            <w:r>
              <w:rPr>
                <w:rFonts w:ascii="仿宋_GB2312" w:hAnsi="仿宋_GB2312" w:cs="仿宋_GB2312" w:eastAsia="仿宋_GB2312"/>
              </w:rPr>
              <w:t>(2)建设地点：海口市龙华区龙泉镇永昌村委会永昌村。</w:t>
            </w:r>
          </w:p>
          <w:p>
            <w:pPr>
              <w:pStyle w:val="null3"/>
              <w:jc w:val="left"/>
            </w:pPr>
            <w:r>
              <w:rPr>
                <w:rFonts w:ascii="仿宋_GB2312" w:hAnsi="仿宋_GB2312" w:cs="仿宋_GB2312" w:eastAsia="仿宋_GB2312"/>
              </w:rPr>
              <w:t>(3)施工范围：施工总承包（具体以工程量清单及施工图纸为准）。</w:t>
            </w:r>
          </w:p>
          <w:p>
            <w:pPr>
              <w:pStyle w:val="null3"/>
              <w:jc w:val="left"/>
            </w:pPr>
            <w:r>
              <w:rPr>
                <w:rFonts w:ascii="仿宋_GB2312" w:hAnsi="仿宋_GB2312" w:cs="仿宋_GB2312" w:eastAsia="仿宋_GB2312"/>
              </w:rPr>
              <w:t>(4)工程质量：符合国家现行有关工程施工验收规范和标准要求的合格。</w:t>
            </w:r>
          </w:p>
          <w:p>
            <w:pPr>
              <w:pStyle w:val="null3"/>
              <w:jc w:val="left"/>
            </w:pPr>
            <w:r>
              <w:rPr>
                <w:rFonts w:ascii="仿宋_GB2312" w:hAnsi="仿宋_GB2312" w:cs="仿宋_GB2312" w:eastAsia="仿宋_GB2312"/>
              </w:rPr>
              <w:t>2.付款时间、方式及条件（以实际签署合同为准）：</w:t>
            </w:r>
          </w:p>
          <w:p>
            <w:pPr>
              <w:pStyle w:val="null3"/>
              <w:jc w:val="left"/>
            </w:pPr>
            <w:r>
              <w:rPr>
                <w:rFonts w:ascii="仿宋_GB2312" w:hAnsi="仿宋_GB2312" w:cs="仿宋_GB2312" w:eastAsia="仿宋_GB2312"/>
              </w:rPr>
              <w:t>2.1、合同签订后，承包人进场施工后给予预付合同价的30%。</w:t>
            </w:r>
            <w:r>
              <w:br/>
            </w:r>
            <w:r>
              <w:rPr>
                <w:rFonts w:ascii="仿宋_GB2312" w:hAnsi="仿宋_GB2312" w:cs="仿宋_GB2312" w:eastAsia="仿宋_GB2312"/>
              </w:rPr>
              <w:t xml:space="preserve"> 2.2、待本工程竣工结算审计审核完成后付至结算价的97%，剩余结算价的3%作为质 保 金，工程质保期期间届满后，双方确认合同项下全部工程正常运行、未出现任何质量问题后一次性付清。</w:t>
            </w:r>
          </w:p>
          <w:p>
            <w:pPr>
              <w:pStyle w:val="null3"/>
              <w:jc w:val="left"/>
            </w:pPr>
            <w:r>
              <w:rPr>
                <w:rFonts w:ascii="仿宋_GB2312" w:hAnsi="仿宋_GB2312" w:cs="仿宋_GB2312" w:eastAsia="仿宋_GB2312"/>
              </w:rPr>
              <w:t>3、缺陷责任期：自竣工验收之日起12个月。</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其他材料 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其他材料 供应商应提交的相关证明材料</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供应商资质要求</w:t>
            </w:r>
          </w:p>
        </w:tc>
        <w:tc>
          <w:tcPr>
            <w:tcW w:type="dxa" w:w="3322"/>
          </w:tcPr>
          <w:p>
            <w:pPr>
              <w:pStyle w:val="null3"/>
              <w:jc w:val="left"/>
            </w:pPr>
            <w:r>
              <w:rPr>
                <w:rFonts w:ascii="仿宋_GB2312" w:hAnsi="仿宋_GB2312" w:cs="仿宋_GB2312" w:eastAsia="仿宋_GB2312"/>
              </w:rPr>
              <w:t>具有建设行政主管部门核发的市政公用工程施工总承包叁级（含）以上资质或换发新证的市政公用工程施工总承包乙级（含）以上资质，并具有有效的安全生产许可证，拟派项目经理须具备市政公用工程专业贰级（含）以上注册建造师执业资格，具备有效的安全生产考核合格证书（B证）且无在建项目：提供有效的资质证书复印件、安全生产许可证复印件、注册建造师证书复印件、安考B证，无在建项目承诺函原件（格式自拟）。</w:t>
            </w:r>
          </w:p>
        </w:tc>
        <w:tc>
          <w:tcPr>
            <w:tcW w:type="dxa" w:w="1661"/>
          </w:tcPr>
          <w:p>
            <w:pPr>
              <w:pStyle w:val="null3"/>
              <w:jc w:val="left"/>
            </w:pPr>
            <w:r>
              <w:rPr>
                <w:rFonts w:ascii="仿宋_GB2312" w:hAnsi="仿宋_GB2312" w:cs="仿宋_GB2312" w:eastAsia="仿宋_GB2312"/>
              </w:rPr>
              <w:t>其他材料 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具备《海南省建筑企业诚信档案手册》</w:t>
            </w:r>
          </w:p>
        </w:tc>
        <w:tc>
          <w:tcPr>
            <w:tcW w:type="dxa" w:w="3322"/>
          </w:tcPr>
          <w:p>
            <w:pPr>
              <w:pStyle w:val="null3"/>
              <w:jc w:val="left"/>
            </w:pPr>
            <w:r>
              <w:rPr>
                <w:rFonts w:ascii="仿宋_GB2312" w:hAnsi="仿宋_GB2312" w:cs="仿宋_GB2312" w:eastAsia="仿宋_GB2312"/>
              </w:rPr>
              <w:t>具备《海南省建筑企业诚信档案手册》：供应商在海南省住房和城乡建设厅海南省房屋建筑工程全过程监管信息平台完成《海南省建筑企业诚信档案手册》登记，并填报项目名称、项目地址、派驻的项目班子人员信息证明截图。（提供诚信档案手册加盖公章）。</w:t>
            </w:r>
          </w:p>
        </w:tc>
        <w:tc>
          <w:tcPr>
            <w:tcW w:type="dxa" w:w="1661"/>
          </w:tcPr>
          <w:p>
            <w:pPr>
              <w:pStyle w:val="null3"/>
              <w:jc w:val="left"/>
            </w:pPr>
            <w:r>
              <w:rPr>
                <w:rFonts w:ascii="仿宋_GB2312" w:hAnsi="仿宋_GB2312" w:cs="仿宋_GB2312" w:eastAsia="仿宋_GB2312"/>
              </w:rPr>
              <w:t>其他材料 供应商应提交的相关证明材料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项目管理人员情况表 中小企业声明函 商务应答表 自觉抵制政府采购领域商业贿赂行为承诺书 商业信誉、财务会计制度、缴纳税收和社保的承诺函 封面 具有独立承担民事责任的能力证明文件 供应商承诺函 其他材料 残疾人福利性单位声明函 供应商应提交的相关证明材料 无重大违法记录声明函 法定代表人资格证明书或法定代表人授权委托书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其他材料 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其他材料 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其他材料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其他材料 供应商应提交的相关证明材料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其他材料 供应商应提交的相关证明材料</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施工方案与技术措施</w:t>
            </w:r>
          </w:p>
        </w:tc>
        <w:tc>
          <w:tcPr>
            <w:tcW w:type="dxa" w:w="2492"/>
          </w:tcPr>
          <w:p>
            <w:pPr>
              <w:pStyle w:val="null3"/>
              <w:jc w:val="left"/>
            </w:pPr>
            <w:r>
              <w:rPr>
                <w:rFonts w:ascii="仿宋_GB2312" w:hAnsi="仿宋_GB2312" w:cs="仿宋_GB2312" w:eastAsia="仿宋_GB2312"/>
              </w:rPr>
              <w:t>根据响应单位制定的施工方案与技术措施进行评审，包含但不限于①施工现场管理组织机构②施工总体部署和规划③施工程序和施工方法④安全文明施工目标⑤保证措施等内容。方案中包含以上5项要素且上述内容完整得15分，每缺少一项内容扣3分。存在一处缺陷扣1分，每项内容存在缺陷最多扣2分（内容缺陷是指：内容非专门针对本项目或不适用项目特性的情形、内容不够完整或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质量管理体系与措施</w:t>
            </w:r>
          </w:p>
        </w:tc>
        <w:tc>
          <w:tcPr>
            <w:tcW w:type="dxa" w:w="2492"/>
          </w:tcPr>
          <w:p>
            <w:pPr>
              <w:pStyle w:val="null3"/>
              <w:jc w:val="left"/>
            </w:pPr>
            <w:r>
              <w:rPr>
                <w:rFonts w:ascii="仿宋_GB2312" w:hAnsi="仿宋_GB2312" w:cs="仿宋_GB2312" w:eastAsia="仿宋_GB2312"/>
              </w:rPr>
              <w:t>根据响应单位制定的质量管理体系与措施方案进行评审，评审内容包含但不限于①质量保障措施②质量保障承诺③安全保障措施④安全保障承诺等描述内容。方案中包含以上4项要素且上述内容完整得12分，每缺少一项内容扣3分。存在一处缺陷扣1分，每项内容存在缺陷最多扣2分（内容缺陷是指：内容非专门针对本项目或不适用项目特性的情形、内容不够完整或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安全管理体系与措施</w:t>
            </w:r>
          </w:p>
        </w:tc>
        <w:tc>
          <w:tcPr>
            <w:tcW w:type="dxa" w:w="2492"/>
          </w:tcPr>
          <w:p>
            <w:pPr>
              <w:pStyle w:val="null3"/>
              <w:jc w:val="left"/>
            </w:pPr>
            <w:r>
              <w:rPr>
                <w:rFonts w:ascii="仿宋_GB2312" w:hAnsi="仿宋_GB2312" w:cs="仿宋_GB2312" w:eastAsia="仿宋_GB2312"/>
              </w:rPr>
              <w:t>根据响应单位制定的安全管理体系与措施方案进行评审，评审内容包含但不限于：①施工安全生产保障体系②施工安全生产目标、现场管理人员安全生产职责③针对项目特点、周边环境和施工工艺制定的防护措施等内容。方案中包含以上3项要素且上述内容完整得12分，每缺少一项内容扣4分。存在一处缺陷扣1分，每项内容存在缺陷最多扣2分（内容缺陷是指：内容非专门针对本项目或不适用项目特性的情形、内容不够完整或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环保管理体系与措施</w:t>
            </w:r>
          </w:p>
        </w:tc>
        <w:tc>
          <w:tcPr>
            <w:tcW w:type="dxa" w:w="2492"/>
          </w:tcPr>
          <w:p>
            <w:pPr>
              <w:pStyle w:val="null3"/>
              <w:jc w:val="left"/>
            </w:pPr>
            <w:r>
              <w:rPr>
                <w:rFonts w:ascii="仿宋_GB2312" w:hAnsi="仿宋_GB2312" w:cs="仿宋_GB2312" w:eastAsia="仿宋_GB2312"/>
              </w:rPr>
              <w:t>根据响应单位制定的环境保护管理体系与措施进行评审，评审内容包含但不限于①环境保护措施②创文明工地目标措施③施工现场扬尘治理措施④噪声保证措施等内容。方案中包含以上4项要素且上述内容完整得12分，每缺少一项内容扣3分。存在一处缺陷扣1分，每项内容存在缺陷最多扣2分（内容缺陷是指：内容非专门针对本项目或不适用项目特性的情形、内容不够完整或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工程进度计划与措施</w:t>
            </w:r>
          </w:p>
        </w:tc>
        <w:tc>
          <w:tcPr>
            <w:tcW w:type="dxa" w:w="2492"/>
          </w:tcPr>
          <w:p>
            <w:pPr>
              <w:pStyle w:val="null3"/>
              <w:jc w:val="left"/>
            </w:pPr>
            <w:r>
              <w:rPr>
                <w:rFonts w:ascii="仿宋_GB2312" w:hAnsi="仿宋_GB2312" w:cs="仿宋_GB2312" w:eastAsia="仿宋_GB2312"/>
              </w:rPr>
              <w:t>根据响应单位制定的工程进度计划与措施进行评审，评审内容包含但不限于①整体的施工进度计划②关键节点的控制措施③绘制横道图或网络图等内容。方案中包含以上3项要素且上述内容完整得9分，每缺少一项内容扣3分。存在一处缺陷扣1分，每项内容存在缺陷最多扣2分（内容缺陷是指：内容非专门针对本项目或不适用项目特性的情形、内容不够完整或缺少关键节点、套用其他项目方案、内容前后矛盾、涉及的规范及标准错误、不利于项目实施、不可能实现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供应商自2023年1月1日至今承接过类似项目施工业绩的每个得10分，最高得30分。证明材料：合同协议书（关键页）复印件加盖公章（以合同签订时间为准）。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HNZY-CG2026-0630</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海口市龙华区龙泉镇2026年永昌村委会和美乡村建设项目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1(海口市龙华区龙泉镇2026年永昌村委会和美乡村建设项目)</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施工范围</w:t>
            </w:r>
          </w:p>
        </w:tc>
        <w:tc>
          <w:tcPr>
            <w:tcW w:type="dxa" w:w="1038"/>
          </w:tcPr>
          <w:p>
            <w:pPr>
              <w:pStyle w:val="null3"/>
              <w:jc w:val="left"/>
            </w:pPr>
            <w:r>
              <w:rPr>
                <w:rFonts w:ascii="仿宋_GB2312" w:hAnsi="仿宋_GB2312" w:cs="仿宋_GB2312" w:eastAsia="仿宋_GB2312"/>
              </w:rPr>
              <w:t xml:space="preserve"> 施工工期</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B99000000-其他建筑工程</w:t>
            </w:r>
          </w:p>
        </w:tc>
        <w:tc>
          <w:tcPr>
            <w:tcW w:type="dxa" w:w="1038"/>
          </w:tcPr>
          <w:p>
            <w:pPr>
              <w:pStyle w:val="null3"/>
              <w:jc w:val="left"/>
            </w:pPr>
            <w:r>
              <w:rPr>
                <w:rFonts w:ascii="仿宋_GB2312" w:hAnsi="仿宋_GB2312" w:cs="仿宋_GB2312" w:eastAsia="仿宋_GB2312"/>
              </w:rPr>
              <w:t xml:space="preserve"> 1.00套</w:t>
            </w:r>
          </w:p>
        </w:tc>
        <w:tc>
          <w:tcPr>
            <w:tcW w:type="dxa" w:w="1038"/>
          </w:tcPr>
          <w:p>
            <w:pPr>
              <w:pStyle w:val="null3"/>
              <w:jc w:val="left"/>
            </w:pPr>
            <w:r>
              <w:rPr>
                <w:rFonts w:ascii="仿宋_GB2312" w:hAnsi="仿宋_GB2312" w:cs="仿宋_GB2312" w:eastAsia="仿宋_GB2312"/>
              </w:rPr>
              <w:t xml:space="preserve"> 1254733.89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jc w:val="left"/>
      </w:pPr>
      <w:r>
        <w:rPr>
          <w:rFonts w:ascii="仿宋_GB2312" w:hAnsi="仿宋_GB2312" w:cs="仿宋_GB2312" w:eastAsia="仿宋_GB2312"/>
        </w:rPr>
        <w:t>项目管理机构</w:t>
      </w:r>
    </w:p>
    <w:p>
      <w:pPr>
        <w:pStyle w:val="null3"/>
        <w:jc w:val="left"/>
      </w:pPr>
      <w:r>
        <w:rPr>
          <w:rFonts w:ascii="仿宋_GB2312" w:hAnsi="仿宋_GB2312" w:cs="仿宋_GB2312" w:eastAsia="仿宋_GB2312"/>
        </w:rPr>
        <w:t>项目管理机构人员表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vMerge w:val="restart"/>
          </w:tcPr>
          <w:p>
            <w:pPr>
              <w:pStyle w:val="null3"/>
              <w:jc w:val="left"/>
            </w:pPr>
            <w:r>
              <w:rPr>
                <w:rFonts w:ascii="仿宋_GB2312" w:hAnsi="仿宋_GB2312" w:cs="仿宋_GB2312" w:eastAsia="仿宋_GB2312"/>
              </w:rPr>
              <w:t>序号</w:t>
            </w:r>
          </w:p>
        </w:tc>
        <w:tc>
          <w:tcPr>
            <w:tcW w:type="dxa" w:w="1187"/>
            <w:vMerge w:val="restart"/>
          </w:tcPr>
          <w:p>
            <w:pPr>
              <w:pStyle w:val="null3"/>
              <w:jc w:val="left"/>
            </w:pPr>
            <w:r>
              <w:rPr>
                <w:rFonts w:ascii="仿宋_GB2312" w:hAnsi="仿宋_GB2312" w:cs="仿宋_GB2312" w:eastAsia="仿宋_GB2312"/>
              </w:rPr>
              <w:t>职务</w:t>
            </w:r>
          </w:p>
        </w:tc>
        <w:tc>
          <w:tcPr>
            <w:tcW w:type="dxa" w:w="1187"/>
            <w:vMerge w:val="restart"/>
          </w:tcPr>
          <w:p>
            <w:pPr>
              <w:pStyle w:val="null3"/>
              <w:jc w:val="left"/>
            </w:pPr>
            <w:r>
              <w:rPr>
                <w:rFonts w:ascii="仿宋_GB2312" w:hAnsi="仿宋_GB2312" w:cs="仿宋_GB2312" w:eastAsia="仿宋_GB2312"/>
              </w:rPr>
              <w:t>姓名</w:t>
            </w:r>
          </w:p>
        </w:tc>
        <w:tc>
          <w:tcPr>
            <w:tcW w:type="dxa" w:w="4748"/>
            <w:gridSpan w:val="4"/>
          </w:tcPr>
          <w:p>
            <w:pPr>
              <w:pStyle w:val="null3"/>
              <w:jc w:val="left"/>
            </w:pPr>
            <w:r>
              <w:rPr>
                <w:rFonts w:ascii="仿宋_GB2312" w:hAnsi="仿宋_GB2312" w:cs="仿宋_GB2312" w:eastAsia="仿宋_GB2312"/>
              </w:rPr>
              <w:t>执业或职业资格</w:t>
            </w:r>
          </w:p>
        </w:tc>
      </w:tr>
      <w:tr>
        <w:tc>
          <w:tcPr>
            <w:tcW w:type="dxa" w:w="1187"/>
            <w:vMerge/>
          </w:tcPr>
          <w:p/>
        </w:tc>
        <w:tc>
          <w:tcPr>
            <w:tcW w:type="dxa" w:w="1187"/>
            <w:vMerge/>
          </w:tcPr>
          <w:p/>
        </w:tc>
        <w:tc>
          <w:tcPr>
            <w:tcW w:type="dxa" w:w="1187"/>
            <w:vMerge/>
          </w:tcPr>
          <w:p/>
        </w:tc>
        <w:tc>
          <w:tcPr>
            <w:tcW w:type="dxa" w:w="1187"/>
          </w:tcPr>
          <w:p>
            <w:pPr>
              <w:pStyle w:val="null3"/>
              <w:jc w:val="left"/>
            </w:pPr>
            <w:r>
              <w:rPr>
                <w:rFonts w:ascii="仿宋_GB2312" w:hAnsi="仿宋_GB2312" w:cs="仿宋_GB2312" w:eastAsia="仿宋_GB2312"/>
              </w:rPr>
              <w:t>证书名称</w:t>
            </w:r>
          </w:p>
        </w:tc>
        <w:tc>
          <w:tcPr>
            <w:tcW w:type="dxa" w:w="1187"/>
          </w:tcPr>
          <w:p>
            <w:pPr>
              <w:pStyle w:val="null3"/>
              <w:jc w:val="left"/>
            </w:pPr>
            <w:r>
              <w:rPr>
                <w:rFonts w:ascii="仿宋_GB2312" w:hAnsi="仿宋_GB2312" w:cs="仿宋_GB2312" w:eastAsia="仿宋_GB2312"/>
              </w:rPr>
              <w:t>证书编号</w:t>
            </w:r>
          </w:p>
        </w:tc>
        <w:tc>
          <w:tcPr>
            <w:tcW w:type="dxa" w:w="1187"/>
          </w:tcPr>
          <w:p>
            <w:pPr>
              <w:pStyle w:val="null3"/>
              <w:jc w:val="left"/>
            </w:pPr>
            <w:r>
              <w:rPr>
                <w:rFonts w:ascii="仿宋_GB2312" w:hAnsi="仿宋_GB2312" w:cs="仿宋_GB2312" w:eastAsia="仿宋_GB2312"/>
              </w:rPr>
              <w:t>证书专业</w:t>
            </w:r>
          </w:p>
        </w:tc>
        <w:tc>
          <w:tcPr>
            <w:tcW w:type="dxa" w:w="1187"/>
          </w:tcPr>
          <w:p>
            <w:pPr>
              <w:pStyle w:val="null3"/>
              <w:jc w:val="left"/>
            </w:pPr>
            <w:r>
              <w:rPr>
                <w:rFonts w:ascii="仿宋_GB2312" w:hAnsi="仿宋_GB2312" w:cs="仿宋_GB2312" w:eastAsia="仿宋_GB2312"/>
              </w:rPr>
              <w:t>安全生产B证证书编号</w:t>
            </w:r>
          </w:p>
        </w:tc>
      </w:tr>
      <w:tr>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pBdr>
          <w:top w:val="dotted" w:color="C1C1C1" w:sz="4"/>
          <w:left w:val="dotted" w:color="C1C1C1" w:sz="4"/>
          <w:bottom w:val="dotted" w:color="C1C1C1" w:sz="4"/>
          <w:right w:val="dotted" w:color="C1C1C1" w:sz="4"/>
        </w:pBdr>
        <w:jc w:val="center"/>
      </w:pPr>
      <w:r>
        <w:rPr>
          <w:rFonts w:ascii="仿宋_GB2312" w:hAnsi="仿宋_GB2312" w:cs="仿宋_GB2312" w:eastAsia="仿宋_GB2312"/>
          <w:color w:val="666666"/>
        </w:rPr>
        <w:t>增加行</w:t>
      </w:r>
    </w:p>
    <w:p>
      <w:pPr>
        <w:pStyle w:val="null3"/>
        <w:spacing w:before="300"/>
        <w:jc w:val="left"/>
      </w:pPr>
      <w:r>
        <w:rPr>
          <w:rFonts w:ascii="仿宋_GB2312" w:hAnsi="仿宋_GB2312" w:cs="仿宋_GB2312" w:eastAsia="仿宋_GB2312"/>
        </w:rPr>
        <w:t>备注：项目经理(负责人)应当与随机抽取确认或者资格预审申请文件确定的项目经理信息一致。</w:t>
      </w:r>
    </w:p>
    <w:p>
      <w:pPr>
        <w:pStyle w:val="null3"/>
        <w:jc w:val="left"/>
      </w:pPr>
      <w:r>
        <w:rPr>
          <w:rFonts w:ascii="仿宋_GB2312" w:hAnsi="仿宋_GB2312" w:cs="仿宋_GB2312" w:eastAsia="仿宋_GB2312"/>
        </w:rPr>
        <w:t xml:space="preserve"> 供应商名称：</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jc w:val="left"/>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