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2CB48">
      <w:pPr>
        <w:pStyle w:val="4"/>
        <w:jc w:val="center"/>
        <w:outlineLvl w:val="1"/>
      </w:pPr>
      <w:r>
        <w:rPr>
          <w:rFonts w:ascii="仿宋_GB2312" w:hAnsi="仿宋_GB2312" w:eastAsia="仿宋_GB2312" w:cs="仿宋_GB2312"/>
          <w:b/>
          <w:sz w:val="36"/>
        </w:rPr>
        <w:t xml:space="preserve"> 技术、服务及其他要求</w:t>
      </w:r>
    </w:p>
    <w:p w14:paraId="4B07961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B65D4DB">
      <w:pPr>
        <w:pStyle w:val="4"/>
        <w:jc w:val="left"/>
        <w:outlineLvl w:val="2"/>
      </w:pPr>
      <w:r>
        <w:rPr>
          <w:rFonts w:ascii="仿宋_GB2312" w:hAnsi="仿宋_GB2312" w:eastAsia="仿宋_GB2312" w:cs="仿宋_GB2312"/>
          <w:b/>
          <w:sz w:val="28"/>
        </w:rPr>
        <w:t>3.1.采购内容</w:t>
      </w:r>
    </w:p>
    <w:p w14:paraId="0D00DF0F">
      <w:pPr>
        <w:pStyle w:val="4"/>
        <w:jc w:val="left"/>
      </w:pPr>
      <w:r>
        <w:rPr>
          <w:rFonts w:ascii="仿宋_GB2312" w:hAnsi="仿宋_GB2312" w:eastAsia="仿宋_GB2312" w:cs="仿宋_GB2312"/>
        </w:rPr>
        <w:t>采购包1：</w:t>
      </w:r>
    </w:p>
    <w:p w14:paraId="414A19DC">
      <w:pPr>
        <w:pStyle w:val="4"/>
        <w:jc w:val="left"/>
      </w:pPr>
      <w:r>
        <w:rPr>
          <w:rFonts w:ascii="仿宋_GB2312" w:hAnsi="仿宋_GB2312" w:eastAsia="仿宋_GB2312" w:cs="仿宋_GB2312"/>
        </w:rPr>
        <w:t>采购包预算金额（元）: 24,530,365.00</w:t>
      </w:r>
    </w:p>
    <w:p w14:paraId="3BA09F86">
      <w:pPr>
        <w:pStyle w:val="4"/>
        <w:jc w:val="left"/>
      </w:pPr>
      <w:r>
        <w:rPr>
          <w:rFonts w:ascii="仿宋_GB2312" w:hAnsi="仿宋_GB2312" w:eastAsia="仿宋_GB2312" w:cs="仿宋_GB2312"/>
        </w:rPr>
        <w:t>采购包最高限价（元）: 24,530,365.00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8"/>
        <w:gridCol w:w="782"/>
        <w:gridCol w:w="745"/>
        <w:gridCol w:w="820"/>
        <w:gridCol w:w="1516"/>
        <w:gridCol w:w="782"/>
        <w:gridCol w:w="745"/>
        <w:gridCol w:w="745"/>
        <w:gridCol w:w="745"/>
        <w:gridCol w:w="597"/>
        <w:gridCol w:w="597"/>
      </w:tblGrid>
      <w:tr w14:paraId="54D32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2E912D4">
            <w:pPr>
              <w:pStyle w:val="4"/>
              <w:jc w:val="center"/>
            </w:pPr>
            <w:r>
              <w:rPr>
                <w:rFonts w:ascii="仿宋_GB2312" w:hAnsi="仿宋_GB2312" w:eastAsia="仿宋_GB2312" w:cs="仿宋_GB2312"/>
              </w:rPr>
              <w:t>序号</w:t>
            </w:r>
          </w:p>
        </w:tc>
        <w:tc>
          <w:tcPr>
            <w:tcW w:w="821" w:type="dxa"/>
          </w:tcPr>
          <w:p w14:paraId="3F0BC215">
            <w:pPr>
              <w:pStyle w:val="4"/>
              <w:jc w:val="center"/>
            </w:pPr>
            <w:r>
              <w:rPr>
                <w:rFonts w:ascii="仿宋_GB2312" w:hAnsi="仿宋_GB2312" w:eastAsia="仿宋_GB2312" w:cs="仿宋_GB2312"/>
              </w:rPr>
              <w:t>采购品目名称</w:t>
            </w:r>
          </w:p>
        </w:tc>
        <w:tc>
          <w:tcPr>
            <w:tcW w:w="821" w:type="dxa"/>
          </w:tcPr>
          <w:p w14:paraId="451F101B">
            <w:pPr>
              <w:pStyle w:val="4"/>
              <w:jc w:val="center"/>
            </w:pPr>
            <w:r>
              <w:rPr>
                <w:rFonts w:ascii="仿宋_GB2312" w:hAnsi="仿宋_GB2312" w:eastAsia="仿宋_GB2312" w:cs="仿宋_GB2312"/>
              </w:rPr>
              <w:t>标的名称</w:t>
            </w:r>
          </w:p>
        </w:tc>
        <w:tc>
          <w:tcPr>
            <w:tcW w:w="821" w:type="dxa"/>
          </w:tcPr>
          <w:p w14:paraId="20FEB9C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ABC74CE">
            <w:pPr>
              <w:pStyle w:val="4"/>
              <w:jc w:val="center"/>
            </w:pPr>
            <w:r>
              <w:rPr>
                <w:rFonts w:ascii="仿宋_GB2312" w:hAnsi="仿宋_GB2312" w:eastAsia="仿宋_GB2312" w:cs="仿宋_GB2312"/>
              </w:rPr>
              <w:t>标的金额 （元）</w:t>
            </w:r>
          </w:p>
        </w:tc>
        <w:tc>
          <w:tcPr>
            <w:tcW w:w="821" w:type="dxa"/>
          </w:tcPr>
          <w:p w14:paraId="330A0A83">
            <w:pPr>
              <w:pStyle w:val="4"/>
              <w:jc w:val="center"/>
            </w:pPr>
            <w:r>
              <w:rPr>
                <w:rFonts w:ascii="仿宋_GB2312" w:hAnsi="仿宋_GB2312" w:eastAsia="仿宋_GB2312" w:cs="仿宋_GB2312"/>
              </w:rPr>
              <w:t>所属行业</w:t>
            </w:r>
          </w:p>
        </w:tc>
        <w:tc>
          <w:tcPr>
            <w:tcW w:w="821" w:type="dxa"/>
          </w:tcPr>
          <w:p w14:paraId="193FF566">
            <w:pPr>
              <w:pStyle w:val="4"/>
              <w:jc w:val="center"/>
            </w:pPr>
            <w:r>
              <w:rPr>
                <w:rFonts w:ascii="仿宋_GB2312" w:hAnsi="仿宋_GB2312" w:eastAsia="仿宋_GB2312" w:cs="仿宋_GB2312"/>
              </w:rPr>
              <w:t>是否涉及核心产品</w:t>
            </w:r>
          </w:p>
        </w:tc>
        <w:tc>
          <w:tcPr>
            <w:tcW w:w="821" w:type="dxa"/>
          </w:tcPr>
          <w:p w14:paraId="37C58992">
            <w:pPr>
              <w:pStyle w:val="4"/>
              <w:jc w:val="center"/>
            </w:pPr>
            <w:r>
              <w:rPr>
                <w:rFonts w:ascii="仿宋_GB2312" w:hAnsi="仿宋_GB2312" w:eastAsia="仿宋_GB2312" w:cs="仿宋_GB2312"/>
              </w:rPr>
              <w:t>是否涉及采购进口产品</w:t>
            </w:r>
          </w:p>
        </w:tc>
        <w:tc>
          <w:tcPr>
            <w:tcW w:w="821" w:type="dxa"/>
          </w:tcPr>
          <w:p w14:paraId="49C7CFCC">
            <w:pPr>
              <w:pStyle w:val="4"/>
              <w:jc w:val="center"/>
            </w:pPr>
            <w:r>
              <w:rPr>
                <w:rFonts w:ascii="仿宋_GB2312" w:hAnsi="仿宋_GB2312" w:eastAsia="仿宋_GB2312" w:cs="仿宋_GB2312"/>
              </w:rPr>
              <w:t>是否涉及强制采购节能产品</w:t>
            </w:r>
          </w:p>
        </w:tc>
        <w:tc>
          <w:tcPr>
            <w:tcW w:w="639" w:type="dxa"/>
          </w:tcPr>
          <w:p w14:paraId="3D692771">
            <w:pPr>
              <w:pStyle w:val="4"/>
              <w:jc w:val="center"/>
            </w:pPr>
            <w:r>
              <w:rPr>
                <w:rFonts w:ascii="仿宋_GB2312" w:hAnsi="仿宋_GB2312" w:eastAsia="仿宋_GB2312" w:cs="仿宋_GB2312"/>
              </w:rPr>
              <w:t>是否涉及优先采购节能产品</w:t>
            </w:r>
          </w:p>
        </w:tc>
        <w:tc>
          <w:tcPr>
            <w:tcW w:w="639" w:type="dxa"/>
          </w:tcPr>
          <w:p w14:paraId="38B42BB0">
            <w:pPr>
              <w:pStyle w:val="4"/>
              <w:jc w:val="center"/>
            </w:pPr>
            <w:r>
              <w:rPr>
                <w:rFonts w:ascii="仿宋_GB2312" w:hAnsi="仿宋_GB2312" w:eastAsia="仿宋_GB2312" w:cs="仿宋_GB2312"/>
              </w:rPr>
              <w:t>是否涉及优先采购环境标志产品</w:t>
            </w:r>
          </w:p>
        </w:tc>
      </w:tr>
      <w:tr w14:paraId="328597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9F9CD15">
            <w:pPr>
              <w:pStyle w:val="4"/>
              <w:jc w:val="left"/>
            </w:pPr>
            <w:r>
              <w:rPr>
                <w:rFonts w:ascii="仿宋_GB2312" w:hAnsi="仿宋_GB2312" w:eastAsia="仿宋_GB2312" w:cs="仿宋_GB2312"/>
              </w:rPr>
              <w:t>1</w:t>
            </w:r>
          </w:p>
        </w:tc>
        <w:tc>
          <w:tcPr>
            <w:tcW w:w="821" w:type="dxa"/>
          </w:tcPr>
          <w:p w14:paraId="26DAF98F">
            <w:pPr>
              <w:pStyle w:val="4"/>
              <w:jc w:val="left"/>
            </w:pPr>
            <w:r>
              <w:rPr>
                <w:rFonts w:ascii="仿宋_GB2312" w:hAnsi="仿宋_GB2312" w:eastAsia="仿宋_GB2312" w:cs="仿宋_GB2312"/>
              </w:rPr>
              <w:t>其他农副食品，动、植物油制品</w:t>
            </w:r>
          </w:p>
        </w:tc>
        <w:tc>
          <w:tcPr>
            <w:tcW w:w="821" w:type="dxa"/>
          </w:tcPr>
          <w:p w14:paraId="62689588">
            <w:pPr>
              <w:pStyle w:val="4"/>
              <w:jc w:val="left"/>
            </w:pPr>
            <w:r>
              <w:rPr>
                <w:rFonts w:ascii="仿宋_GB2312" w:hAnsi="仿宋_GB2312" w:eastAsia="仿宋_GB2312" w:cs="仿宋_GB2312"/>
              </w:rPr>
              <w:t>米面油肉蛋奶等</w:t>
            </w:r>
          </w:p>
        </w:tc>
        <w:tc>
          <w:tcPr>
            <w:tcW w:w="821" w:type="dxa"/>
          </w:tcPr>
          <w:p w14:paraId="33FF1E6C">
            <w:pPr>
              <w:pStyle w:val="4"/>
              <w:jc w:val="right"/>
            </w:pPr>
            <w:r>
              <w:rPr>
                <w:rFonts w:ascii="仿宋_GB2312" w:hAnsi="仿宋_GB2312" w:eastAsia="仿宋_GB2312" w:cs="仿宋_GB2312"/>
              </w:rPr>
              <w:t>6.00（项）</w:t>
            </w:r>
          </w:p>
        </w:tc>
        <w:tc>
          <w:tcPr>
            <w:tcW w:w="821" w:type="dxa"/>
          </w:tcPr>
          <w:p w14:paraId="6551FFB3">
            <w:pPr>
              <w:pStyle w:val="4"/>
              <w:jc w:val="right"/>
            </w:pPr>
            <w:r>
              <w:rPr>
                <w:rFonts w:ascii="仿宋_GB2312" w:hAnsi="仿宋_GB2312" w:eastAsia="仿宋_GB2312" w:cs="仿宋_GB2312"/>
              </w:rPr>
              <w:t>24,530,365.00</w:t>
            </w:r>
          </w:p>
        </w:tc>
        <w:tc>
          <w:tcPr>
            <w:tcW w:w="821" w:type="dxa"/>
          </w:tcPr>
          <w:p w14:paraId="0D6D7314">
            <w:pPr>
              <w:pStyle w:val="4"/>
              <w:jc w:val="left"/>
            </w:pPr>
            <w:r>
              <w:rPr>
                <w:rFonts w:ascii="仿宋_GB2312" w:hAnsi="仿宋_GB2312" w:eastAsia="仿宋_GB2312" w:cs="仿宋_GB2312"/>
              </w:rPr>
              <w:t>农、林、牧、渔业</w:t>
            </w:r>
          </w:p>
        </w:tc>
        <w:tc>
          <w:tcPr>
            <w:tcW w:w="821" w:type="dxa"/>
          </w:tcPr>
          <w:p w14:paraId="1E89437A">
            <w:pPr>
              <w:pStyle w:val="4"/>
              <w:jc w:val="left"/>
            </w:pPr>
            <w:r>
              <w:rPr>
                <w:rFonts w:ascii="仿宋_GB2312" w:hAnsi="仿宋_GB2312" w:eastAsia="仿宋_GB2312" w:cs="仿宋_GB2312"/>
              </w:rPr>
              <w:t>是</w:t>
            </w:r>
          </w:p>
        </w:tc>
        <w:tc>
          <w:tcPr>
            <w:tcW w:w="821" w:type="dxa"/>
          </w:tcPr>
          <w:p w14:paraId="2AD82ADE">
            <w:pPr>
              <w:pStyle w:val="4"/>
              <w:jc w:val="left"/>
            </w:pPr>
            <w:r>
              <w:rPr>
                <w:rFonts w:ascii="仿宋_GB2312" w:hAnsi="仿宋_GB2312" w:eastAsia="仿宋_GB2312" w:cs="仿宋_GB2312"/>
              </w:rPr>
              <w:t>否</w:t>
            </w:r>
          </w:p>
        </w:tc>
        <w:tc>
          <w:tcPr>
            <w:tcW w:w="821" w:type="dxa"/>
          </w:tcPr>
          <w:p w14:paraId="0F91C6F1">
            <w:pPr>
              <w:pStyle w:val="4"/>
              <w:jc w:val="left"/>
            </w:pPr>
            <w:r>
              <w:rPr>
                <w:rFonts w:ascii="仿宋_GB2312" w:hAnsi="仿宋_GB2312" w:eastAsia="仿宋_GB2312" w:cs="仿宋_GB2312"/>
              </w:rPr>
              <w:t>否</w:t>
            </w:r>
          </w:p>
        </w:tc>
        <w:tc>
          <w:tcPr>
            <w:tcW w:w="639" w:type="dxa"/>
          </w:tcPr>
          <w:p w14:paraId="1F0F0641">
            <w:pPr>
              <w:pStyle w:val="4"/>
              <w:jc w:val="left"/>
            </w:pPr>
            <w:r>
              <w:rPr>
                <w:rFonts w:ascii="仿宋_GB2312" w:hAnsi="仿宋_GB2312" w:eastAsia="仿宋_GB2312" w:cs="仿宋_GB2312"/>
              </w:rPr>
              <w:t>否</w:t>
            </w:r>
          </w:p>
        </w:tc>
        <w:tc>
          <w:tcPr>
            <w:tcW w:w="639" w:type="dxa"/>
          </w:tcPr>
          <w:p w14:paraId="03A3AFA7">
            <w:pPr>
              <w:pStyle w:val="4"/>
              <w:jc w:val="left"/>
            </w:pPr>
            <w:r>
              <w:rPr>
                <w:rFonts w:ascii="仿宋_GB2312" w:hAnsi="仿宋_GB2312" w:eastAsia="仿宋_GB2312" w:cs="仿宋_GB2312"/>
              </w:rPr>
              <w:t>否</w:t>
            </w:r>
          </w:p>
        </w:tc>
      </w:tr>
    </w:tbl>
    <w:p w14:paraId="18CE5DAF">
      <w:pPr>
        <w:pStyle w:val="4"/>
        <w:jc w:val="left"/>
        <w:outlineLvl w:val="3"/>
      </w:pPr>
      <w:r>
        <w:rPr>
          <w:rFonts w:ascii="仿宋_GB2312" w:hAnsi="仿宋_GB2312" w:eastAsia="仿宋_GB2312" w:cs="仿宋_GB2312"/>
          <w:b/>
          <w:sz w:val="24"/>
        </w:rPr>
        <w:t>报价要求</w:t>
      </w:r>
    </w:p>
    <w:p w14:paraId="0131219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73F2CD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32F0809">
            <w:pPr>
              <w:pStyle w:val="4"/>
              <w:jc w:val="center"/>
            </w:pPr>
            <w:r>
              <w:rPr>
                <w:rFonts w:ascii="仿宋_GB2312" w:hAnsi="仿宋_GB2312" w:eastAsia="仿宋_GB2312" w:cs="仿宋_GB2312"/>
              </w:rPr>
              <w:t>序号</w:t>
            </w:r>
          </w:p>
        </w:tc>
        <w:tc>
          <w:tcPr>
            <w:tcW w:w="1759" w:type="dxa"/>
          </w:tcPr>
          <w:p w14:paraId="0EAB1339">
            <w:pPr>
              <w:pStyle w:val="4"/>
              <w:jc w:val="center"/>
            </w:pPr>
            <w:r>
              <w:rPr>
                <w:rFonts w:ascii="仿宋_GB2312" w:hAnsi="仿宋_GB2312" w:eastAsia="仿宋_GB2312" w:cs="仿宋_GB2312"/>
              </w:rPr>
              <w:t>报价内容</w:t>
            </w:r>
          </w:p>
        </w:tc>
        <w:tc>
          <w:tcPr>
            <w:tcW w:w="977" w:type="dxa"/>
          </w:tcPr>
          <w:p w14:paraId="42C044E6">
            <w:pPr>
              <w:pStyle w:val="4"/>
              <w:jc w:val="center"/>
            </w:pPr>
            <w:r>
              <w:rPr>
                <w:rFonts w:ascii="仿宋_GB2312" w:hAnsi="仿宋_GB2312" w:eastAsia="仿宋_GB2312" w:cs="仿宋_GB2312"/>
              </w:rPr>
              <w:t>计量单位</w:t>
            </w:r>
          </w:p>
        </w:tc>
        <w:tc>
          <w:tcPr>
            <w:tcW w:w="977" w:type="dxa"/>
          </w:tcPr>
          <w:p w14:paraId="4441671F">
            <w:pPr>
              <w:pStyle w:val="4"/>
              <w:jc w:val="center"/>
            </w:pPr>
            <w:r>
              <w:rPr>
                <w:rFonts w:ascii="仿宋_GB2312" w:hAnsi="仿宋_GB2312" w:eastAsia="仿宋_GB2312" w:cs="仿宋_GB2312"/>
              </w:rPr>
              <w:t>报价单位</w:t>
            </w:r>
          </w:p>
        </w:tc>
        <w:tc>
          <w:tcPr>
            <w:tcW w:w="1466" w:type="dxa"/>
          </w:tcPr>
          <w:p w14:paraId="7F3A709D">
            <w:pPr>
              <w:pStyle w:val="4"/>
              <w:jc w:val="center"/>
            </w:pPr>
            <w:r>
              <w:rPr>
                <w:rFonts w:ascii="仿宋_GB2312" w:hAnsi="仿宋_GB2312" w:eastAsia="仿宋_GB2312" w:cs="仿宋_GB2312"/>
              </w:rPr>
              <w:t>最高限价</w:t>
            </w:r>
          </w:p>
        </w:tc>
        <w:tc>
          <w:tcPr>
            <w:tcW w:w="977" w:type="dxa"/>
          </w:tcPr>
          <w:p w14:paraId="132AACD2">
            <w:pPr>
              <w:pStyle w:val="4"/>
              <w:jc w:val="center"/>
            </w:pPr>
            <w:r>
              <w:rPr>
                <w:rFonts w:ascii="仿宋_GB2312" w:hAnsi="仿宋_GB2312" w:eastAsia="仿宋_GB2312" w:cs="仿宋_GB2312"/>
              </w:rPr>
              <w:t>价款形式</w:t>
            </w:r>
          </w:p>
        </w:tc>
        <w:tc>
          <w:tcPr>
            <w:tcW w:w="1466" w:type="dxa"/>
          </w:tcPr>
          <w:p w14:paraId="7140DCBB">
            <w:pPr>
              <w:pStyle w:val="4"/>
              <w:jc w:val="center"/>
            </w:pPr>
            <w:r>
              <w:rPr>
                <w:rFonts w:ascii="仿宋_GB2312" w:hAnsi="仿宋_GB2312" w:eastAsia="仿宋_GB2312" w:cs="仿宋_GB2312"/>
              </w:rPr>
              <w:t>报价说明</w:t>
            </w:r>
          </w:p>
        </w:tc>
      </w:tr>
      <w:tr w14:paraId="23D115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BA7AEEE">
            <w:pPr>
              <w:pStyle w:val="4"/>
              <w:jc w:val="center"/>
            </w:pPr>
            <w:r>
              <w:rPr>
                <w:rFonts w:ascii="仿宋_GB2312" w:hAnsi="仿宋_GB2312" w:eastAsia="仿宋_GB2312" w:cs="仿宋_GB2312"/>
              </w:rPr>
              <w:t>1</w:t>
            </w:r>
          </w:p>
        </w:tc>
        <w:tc>
          <w:tcPr>
            <w:tcW w:w="1759" w:type="dxa"/>
          </w:tcPr>
          <w:p w14:paraId="3506689F">
            <w:pPr>
              <w:pStyle w:val="4"/>
              <w:jc w:val="center"/>
            </w:pPr>
            <w:r>
              <w:rPr>
                <w:rFonts w:ascii="仿宋_GB2312" w:hAnsi="仿宋_GB2312" w:eastAsia="仿宋_GB2312" w:cs="仿宋_GB2312"/>
              </w:rPr>
              <w:t>大米</w:t>
            </w:r>
          </w:p>
        </w:tc>
        <w:tc>
          <w:tcPr>
            <w:tcW w:w="977" w:type="dxa"/>
          </w:tcPr>
          <w:p w14:paraId="34EB6275">
            <w:pPr>
              <w:pStyle w:val="4"/>
              <w:jc w:val="center"/>
            </w:pPr>
            <w:r>
              <w:rPr>
                <w:rFonts w:ascii="仿宋_GB2312" w:hAnsi="仿宋_GB2312" w:eastAsia="仿宋_GB2312" w:cs="仿宋_GB2312"/>
              </w:rPr>
              <w:t>项</w:t>
            </w:r>
          </w:p>
        </w:tc>
        <w:tc>
          <w:tcPr>
            <w:tcW w:w="977" w:type="dxa"/>
          </w:tcPr>
          <w:p w14:paraId="54C20A26">
            <w:pPr>
              <w:pStyle w:val="4"/>
              <w:jc w:val="center"/>
            </w:pPr>
            <w:r>
              <w:rPr>
                <w:rFonts w:ascii="仿宋_GB2312" w:hAnsi="仿宋_GB2312" w:eastAsia="仿宋_GB2312" w:cs="仿宋_GB2312"/>
              </w:rPr>
              <w:t>%</w:t>
            </w:r>
          </w:p>
        </w:tc>
        <w:tc>
          <w:tcPr>
            <w:tcW w:w="1466" w:type="dxa"/>
          </w:tcPr>
          <w:p w14:paraId="47725A31">
            <w:pPr>
              <w:pStyle w:val="4"/>
              <w:jc w:val="center"/>
            </w:pPr>
            <w:r>
              <w:rPr>
                <w:rFonts w:ascii="仿宋_GB2312" w:hAnsi="仿宋_GB2312" w:eastAsia="仿宋_GB2312" w:cs="仿宋_GB2312"/>
              </w:rPr>
              <w:t>100.00</w:t>
            </w:r>
          </w:p>
        </w:tc>
        <w:tc>
          <w:tcPr>
            <w:tcW w:w="977" w:type="dxa"/>
          </w:tcPr>
          <w:p w14:paraId="1C924C6B">
            <w:pPr>
              <w:pStyle w:val="4"/>
              <w:jc w:val="center"/>
            </w:pPr>
            <w:r>
              <w:rPr>
                <w:rFonts w:ascii="仿宋_GB2312" w:hAnsi="仿宋_GB2312" w:eastAsia="仿宋_GB2312" w:cs="仿宋_GB2312"/>
              </w:rPr>
              <w:t>百分比</w:t>
            </w:r>
          </w:p>
        </w:tc>
        <w:tc>
          <w:tcPr>
            <w:tcW w:w="1466" w:type="dxa"/>
          </w:tcPr>
          <w:p w14:paraId="40208378">
            <w:pPr>
              <w:pStyle w:val="4"/>
              <w:jc w:val="left"/>
            </w:pPr>
            <w:r>
              <w:rPr>
                <w:rFonts w:ascii="仿宋_GB2312" w:hAnsi="仿宋_GB2312" w:eastAsia="仿宋_GB2312" w:cs="仿宋_GB2312"/>
              </w:rPr>
              <w:t>超出最高限价的报价作无效响应。</w:t>
            </w:r>
          </w:p>
        </w:tc>
      </w:tr>
      <w:tr w14:paraId="68EAF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463190A">
            <w:pPr>
              <w:pStyle w:val="4"/>
              <w:jc w:val="center"/>
            </w:pPr>
            <w:r>
              <w:rPr>
                <w:rFonts w:ascii="仿宋_GB2312" w:hAnsi="仿宋_GB2312" w:eastAsia="仿宋_GB2312" w:cs="仿宋_GB2312"/>
              </w:rPr>
              <w:t>2</w:t>
            </w:r>
          </w:p>
        </w:tc>
        <w:tc>
          <w:tcPr>
            <w:tcW w:w="1759" w:type="dxa"/>
          </w:tcPr>
          <w:p w14:paraId="3C18099D">
            <w:pPr>
              <w:pStyle w:val="4"/>
              <w:jc w:val="center"/>
            </w:pPr>
            <w:r>
              <w:rPr>
                <w:rFonts w:ascii="仿宋_GB2312" w:hAnsi="仿宋_GB2312" w:eastAsia="仿宋_GB2312" w:cs="仿宋_GB2312"/>
              </w:rPr>
              <w:t>面粉</w:t>
            </w:r>
          </w:p>
        </w:tc>
        <w:tc>
          <w:tcPr>
            <w:tcW w:w="977" w:type="dxa"/>
          </w:tcPr>
          <w:p w14:paraId="2C321E23">
            <w:pPr>
              <w:pStyle w:val="4"/>
              <w:jc w:val="center"/>
            </w:pPr>
            <w:r>
              <w:rPr>
                <w:rFonts w:ascii="仿宋_GB2312" w:hAnsi="仿宋_GB2312" w:eastAsia="仿宋_GB2312" w:cs="仿宋_GB2312"/>
              </w:rPr>
              <w:t>项</w:t>
            </w:r>
          </w:p>
        </w:tc>
        <w:tc>
          <w:tcPr>
            <w:tcW w:w="977" w:type="dxa"/>
          </w:tcPr>
          <w:p w14:paraId="6ECD39CB">
            <w:pPr>
              <w:pStyle w:val="4"/>
              <w:jc w:val="center"/>
            </w:pPr>
            <w:r>
              <w:rPr>
                <w:rFonts w:ascii="仿宋_GB2312" w:hAnsi="仿宋_GB2312" w:eastAsia="仿宋_GB2312" w:cs="仿宋_GB2312"/>
              </w:rPr>
              <w:t>%</w:t>
            </w:r>
          </w:p>
        </w:tc>
        <w:tc>
          <w:tcPr>
            <w:tcW w:w="1466" w:type="dxa"/>
          </w:tcPr>
          <w:p w14:paraId="76CEA90B">
            <w:pPr>
              <w:pStyle w:val="4"/>
              <w:jc w:val="center"/>
            </w:pPr>
            <w:r>
              <w:rPr>
                <w:rFonts w:ascii="仿宋_GB2312" w:hAnsi="仿宋_GB2312" w:eastAsia="仿宋_GB2312" w:cs="仿宋_GB2312"/>
              </w:rPr>
              <w:t>100.00</w:t>
            </w:r>
          </w:p>
        </w:tc>
        <w:tc>
          <w:tcPr>
            <w:tcW w:w="977" w:type="dxa"/>
          </w:tcPr>
          <w:p w14:paraId="1013D594">
            <w:pPr>
              <w:pStyle w:val="4"/>
              <w:jc w:val="center"/>
            </w:pPr>
            <w:r>
              <w:rPr>
                <w:rFonts w:ascii="仿宋_GB2312" w:hAnsi="仿宋_GB2312" w:eastAsia="仿宋_GB2312" w:cs="仿宋_GB2312"/>
              </w:rPr>
              <w:t>百分比</w:t>
            </w:r>
          </w:p>
        </w:tc>
        <w:tc>
          <w:tcPr>
            <w:tcW w:w="1466" w:type="dxa"/>
          </w:tcPr>
          <w:p w14:paraId="56A16960">
            <w:pPr>
              <w:pStyle w:val="4"/>
              <w:jc w:val="left"/>
            </w:pPr>
            <w:r>
              <w:rPr>
                <w:rFonts w:ascii="仿宋_GB2312" w:hAnsi="仿宋_GB2312" w:eastAsia="仿宋_GB2312" w:cs="仿宋_GB2312"/>
              </w:rPr>
              <w:t>超出最高限价的报价作无效响应。</w:t>
            </w:r>
          </w:p>
        </w:tc>
      </w:tr>
      <w:tr w14:paraId="6BEFEF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728C9AD">
            <w:pPr>
              <w:pStyle w:val="4"/>
              <w:jc w:val="center"/>
            </w:pPr>
            <w:r>
              <w:rPr>
                <w:rFonts w:ascii="仿宋_GB2312" w:hAnsi="仿宋_GB2312" w:eastAsia="仿宋_GB2312" w:cs="仿宋_GB2312"/>
              </w:rPr>
              <w:t>3</w:t>
            </w:r>
          </w:p>
        </w:tc>
        <w:tc>
          <w:tcPr>
            <w:tcW w:w="1759" w:type="dxa"/>
          </w:tcPr>
          <w:p w14:paraId="341B1DC8">
            <w:pPr>
              <w:pStyle w:val="4"/>
              <w:jc w:val="center"/>
            </w:pPr>
            <w:r>
              <w:rPr>
                <w:rFonts w:ascii="仿宋_GB2312" w:hAnsi="仿宋_GB2312" w:eastAsia="仿宋_GB2312" w:cs="仿宋_GB2312"/>
              </w:rPr>
              <w:t>菜籽油</w:t>
            </w:r>
          </w:p>
        </w:tc>
        <w:tc>
          <w:tcPr>
            <w:tcW w:w="977" w:type="dxa"/>
          </w:tcPr>
          <w:p w14:paraId="1E84B74E">
            <w:pPr>
              <w:pStyle w:val="4"/>
              <w:jc w:val="center"/>
            </w:pPr>
            <w:r>
              <w:rPr>
                <w:rFonts w:ascii="仿宋_GB2312" w:hAnsi="仿宋_GB2312" w:eastAsia="仿宋_GB2312" w:cs="仿宋_GB2312"/>
              </w:rPr>
              <w:t>项</w:t>
            </w:r>
          </w:p>
        </w:tc>
        <w:tc>
          <w:tcPr>
            <w:tcW w:w="977" w:type="dxa"/>
          </w:tcPr>
          <w:p w14:paraId="3E454D7D">
            <w:pPr>
              <w:pStyle w:val="4"/>
              <w:jc w:val="center"/>
            </w:pPr>
            <w:r>
              <w:rPr>
                <w:rFonts w:ascii="仿宋_GB2312" w:hAnsi="仿宋_GB2312" w:eastAsia="仿宋_GB2312" w:cs="仿宋_GB2312"/>
              </w:rPr>
              <w:t>%</w:t>
            </w:r>
          </w:p>
        </w:tc>
        <w:tc>
          <w:tcPr>
            <w:tcW w:w="1466" w:type="dxa"/>
          </w:tcPr>
          <w:p w14:paraId="3F8DB93C">
            <w:pPr>
              <w:pStyle w:val="4"/>
              <w:jc w:val="center"/>
            </w:pPr>
            <w:r>
              <w:rPr>
                <w:rFonts w:ascii="仿宋_GB2312" w:hAnsi="仿宋_GB2312" w:eastAsia="仿宋_GB2312" w:cs="仿宋_GB2312"/>
              </w:rPr>
              <w:t>100.00</w:t>
            </w:r>
          </w:p>
        </w:tc>
        <w:tc>
          <w:tcPr>
            <w:tcW w:w="977" w:type="dxa"/>
          </w:tcPr>
          <w:p w14:paraId="14B8C271">
            <w:pPr>
              <w:pStyle w:val="4"/>
              <w:jc w:val="center"/>
            </w:pPr>
            <w:r>
              <w:rPr>
                <w:rFonts w:ascii="仿宋_GB2312" w:hAnsi="仿宋_GB2312" w:eastAsia="仿宋_GB2312" w:cs="仿宋_GB2312"/>
              </w:rPr>
              <w:t>百分比</w:t>
            </w:r>
          </w:p>
        </w:tc>
        <w:tc>
          <w:tcPr>
            <w:tcW w:w="1466" w:type="dxa"/>
          </w:tcPr>
          <w:p w14:paraId="7329B5DB">
            <w:pPr>
              <w:pStyle w:val="4"/>
              <w:jc w:val="left"/>
            </w:pPr>
            <w:r>
              <w:rPr>
                <w:rFonts w:ascii="仿宋_GB2312" w:hAnsi="仿宋_GB2312" w:eastAsia="仿宋_GB2312" w:cs="仿宋_GB2312"/>
              </w:rPr>
              <w:t>超出最高限价的报价作无效响应。</w:t>
            </w:r>
          </w:p>
        </w:tc>
      </w:tr>
      <w:tr w14:paraId="2FF6D2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0B72AB8">
            <w:pPr>
              <w:pStyle w:val="4"/>
              <w:jc w:val="center"/>
            </w:pPr>
            <w:r>
              <w:rPr>
                <w:rFonts w:ascii="仿宋_GB2312" w:hAnsi="仿宋_GB2312" w:eastAsia="仿宋_GB2312" w:cs="仿宋_GB2312"/>
              </w:rPr>
              <w:t>4</w:t>
            </w:r>
          </w:p>
        </w:tc>
        <w:tc>
          <w:tcPr>
            <w:tcW w:w="1759" w:type="dxa"/>
          </w:tcPr>
          <w:p w14:paraId="484A665A">
            <w:pPr>
              <w:pStyle w:val="4"/>
              <w:jc w:val="center"/>
            </w:pPr>
            <w:r>
              <w:rPr>
                <w:rFonts w:ascii="仿宋_GB2312" w:hAnsi="仿宋_GB2312" w:eastAsia="仿宋_GB2312" w:cs="仿宋_GB2312"/>
              </w:rPr>
              <w:t>牛奶</w:t>
            </w:r>
          </w:p>
        </w:tc>
        <w:tc>
          <w:tcPr>
            <w:tcW w:w="977" w:type="dxa"/>
          </w:tcPr>
          <w:p w14:paraId="6966A801">
            <w:pPr>
              <w:pStyle w:val="4"/>
              <w:jc w:val="center"/>
            </w:pPr>
            <w:r>
              <w:rPr>
                <w:rFonts w:ascii="仿宋_GB2312" w:hAnsi="仿宋_GB2312" w:eastAsia="仿宋_GB2312" w:cs="仿宋_GB2312"/>
              </w:rPr>
              <w:t>项</w:t>
            </w:r>
          </w:p>
        </w:tc>
        <w:tc>
          <w:tcPr>
            <w:tcW w:w="977" w:type="dxa"/>
          </w:tcPr>
          <w:p w14:paraId="4D9CB300">
            <w:pPr>
              <w:pStyle w:val="4"/>
              <w:jc w:val="center"/>
            </w:pPr>
            <w:r>
              <w:rPr>
                <w:rFonts w:ascii="仿宋_GB2312" w:hAnsi="仿宋_GB2312" w:eastAsia="仿宋_GB2312" w:cs="仿宋_GB2312"/>
              </w:rPr>
              <w:t>%</w:t>
            </w:r>
          </w:p>
        </w:tc>
        <w:tc>
          <w:tcPr>
            <w:tcW w:w="1466" w:type="dxa"/>
          </w:tcPr>
          <w:p w14:paraId="0EACBAE2">
            <w:pPr>
              <w:pStyle w:val="4"/>
              <w:jc w:val="center"/>
            </w:pPr>
            <w:r>
              <w:rPr>
                <w:rFonts w:ascii="仿宋_GB2312" w:hAnsi="仿宋_GB2312" w:eastAsia="仿宋_GB2312" w:cs="仿宋_GB2312"/>
              </w:rPr>
              <w:t>100.00</w:t>
            </w:r>
          </w:p>
        </w:tc>
        <w:tc>
          <w:tcPr>
            <w:tcW w:w="977" w:type="dxa"/>
          </w:tcPr>
          <w:p w14:paraId="59F1770E">
            <w:pPr>
              <w:pStyle w:val="4"/>
              <w:jc w:val="center"/>
            </w:pPr>
            <w:r>
              <w:rPr>
                <w:rFonts w:ascii="仿宋_GB2312" w:hAnsi="仿宋_GB2312" w:eastAsia="仿宋_GB2312" w:cs="仿宋_GB2312"/>
              </w:rPr>
              <w:t>百分比</w:t>
            </w:r>
          </w:p>
        </w:tc>
        <w:tc>
          <w:tcPr>
            <w:tcW w:w="1466" w:type="dxa"/>
          </w:tcPr>
          <w:p w14:paraId="7F10DFB9">
            <w:pPr>
              <w:pStyle w:val="4"/>
              <w:jc w:val="left"/>
            </w:pPr>
            <w:r>
              <w:rPr>
                <w:rFonts w:ascii="仿宋_GB2312" w:hAnsi="仿宋_GB2312" w:eastAsia="仿宋_GB2312" w:cs="仿宋_GB2312"/>
              </w:rPr>
              <w:t>超出最高限价的报价作无效响应。</w:t>
            </w:r>
          </w:p>
        </w:tc>
      </w:tr>
      <w:tr w14:paraId="5B67E6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406C806">
            <w:pPr>
              <w:pStyle w:val="4"/>
              <w:jc w:val="center"/>
            </w:pPr>
            <w:r>
              <w:rPr>
                <w:rFonts w:ascii="仿宋_GB2312" w:hAnsi="仿宋_GB2312" w:eastAsia="仿宋_GB2312" w:cs="仿宋_GB2312"/>
              </w:rPr>
              <w:t>5</w:t>
            </w:r>
          </w:p>
        </w:tc>
        <w:tc>
          <w:tcPr>
            <w:tcW w:w="1759" w:type="dxa"/>
          </w:tcPr>
          <w:p w14:paraId="74276629">
            <w:pPr>
              <w:pStyle w:val="4"/>
              <w:jc w:val="center"/>
            </w:pPr>
            <w:r>
              <w:rPr>
                <w:rFonts w:ascii="仿宋_GB2312" w:hAnsi="仿宋_GB2312" w:eastAsia="仿宋_GB2312" w:cs="仿宋_GB2312"/>
              </w:rPr>
              <w:t>肉类</w:t>
            </w:r>
          </w:p>
        </w:tc>
        <w:tc>
          <w:tcPr>
            <w:tcW w:w="977" w:type="dxa"/>
          </w:tcPr>
          <w:p w14:paraId="24301D0F">
            <w:pPr>
              <w:pStyle w:val="4"/>
              <w:jc w:val="center"/>
            </w:pPr>
            <w:r>
              <w:rPr>
                <w:rFonts w:ascii="仿宋_GB2312" w:hAnsi="仿宋_GB2312" w:eastAsia="仿宋_GB2312" w:cs="仿宋_GB2312"/>
              </w:rPr>
              <w:t>项</w:t>
            </w:r>
          </w:p>
        </w:tc>
        <w:tc>
          <w:tcPr>
            <w:tcW w:w="977" w:type="dxa"/>
          </w:tcPr>
          <w:p w14:paraId="03E42382">
            <w:pPr>
              <w:pStyle w:val="4"/>
              <w:jc w:val="center"/>
            </w:pPr>
            <w:r>
              <w:rPr>
                <w:rFonts w:ascii="仿宋_GB2312" w:hAnsi="仿宋_GB2312" w:eastAsia="仿宋_GB2312" w:cs="仿宋_GB2312"/>
              </w:rPr>
              <w:t>%</w:t>
            </w:r>
          </w:p>
        </w:tc>
        <w:tc>
          <w:tcPr>
            <w:tcW w:w="1466" w:type="dxa"/>
          </w:tcPr>
          <w:p w14:paraId="3D70AB3A">
            <w:pPr>
              <w:pStyle w:val="4"/>
              <w:jc w:val="center"/>
            </w:pPr>
            <w:r>
              <w:rPr>
                <w:rFonts w:ascii="仿宋_GB2312" w:hAnsi="仿宋_GB2312" w:eastAsia="仿宋_GB2312" w:cs="仿宋_GB2312"/>
              </w:rPr>
              <w:t>100.00</w:t>
            </w:r>
          </w:p>
        </w:tc>
        <w:tc>
          <w:tcPr>
            <w:tcW w:w="977" w:type="dxa"/>
          </w:tcPr>
          <w:p w14:paraId="77F3F31A">
            <w:pPr>
              <w:pStyle w:val="4"/>
              <w:jc w:val="center"/>
            </w:pPr>
            <w:r>
              <w:rPr>
                <w:rFonts w:ascii="仿宋_GB2312" w:hAnsi="仿宋_GB2312" w:eastAsia="仿宋_GB2312" w:cs="仿宋_GB2312"/>
              </w:rPr>
              <w:t>百分比</w:t>
            </w:r>
          </w:p>
        </w:tc>
        <w:tc>
          <w:tcPr>
            <w:tcW w:w="1466" w:type="dxa"/>
          </w:tcPr>
          <w:p w14:paraId="5D0CAED6">
            <w:pPr>
              <w:pStyle w:val="4"/>
              <w:jc w:val="left"/>
            </w:pPr>
            <w:r>
              <w:rPr>
                <w:rFonts w:ascii="仿宋_GB2312" w:hAnsi="仿宋_GB2312" w:eastAsia="仿宋_GB2312" w:cs="仿宋_GB2312"/>
              </w:rPr>
              <w:t>超出最高限价的报价作无效响应。</w:t>
            </w:r>
          </w:p>
        </w:tc>
      </w:tr>
      <w:tr w14:paraId="65DAAE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490357C">
            <w:pPr>
              <w:pStyle w:val="4"/>
              <w:jc w:val="center"/>
            </w:pPr>
            <w:r>
              <w:rPr>
                <w:rFonts w:ascii="仿宋_GB2312" w:hAnsi="仿宋_GB2312" w:eastAsia="仿宋_GB2312" w:cs="仿宋_GB2312"/>
              </w:rPr>
              <w:t>6</w:t>
            </w:r>
          </w:p>
        </w:tc>
        <w:tc>
          <w:tcPr>
            <w:tcW w:w="1759" w:type="dxa"/>
          </w:tcPr>
          <w:p w14:paraId="1380062D">
            <w:pPr>
              <w:pStyle w:val="4"/>
              <w:jc w:val="center"/>
            </w:pPr>
            <w:r>
              <w:rPr>
                <w:rFonts w:ascii="仿宋_GB2312" w:hAnsi="仿宋_GB2312" w:eastAsia="仿宋_GB2312" w:cs="仿宋_GB2312"/>
              </w:rPr>
              <w:t>鲜鸡蛋</w:t>
            </w:r>
          </w:p>
        </w:tc>
        <w:tc>
          <w:tcPr>
            <w:tcW w:w="977" w:type="dxa"/>
          </w:tcPr>
          <w:p w14:paraId="336BEB5D">
            <w:pPr>
              <w:pStyle w:val="4"/>
              <w:jc w:val="center"/>
            </w:pPr>
            <w:r>
              <w:rPr>
                <w:rFonts w:ascii="仿宋_GB2312" w:hAnsi="仿宋_GB2312" w:eastAsia="仿宋_GB2312" w:cs="仿宋_GB2312"/>
              </w:rPr>
              <w:t>项</w:t>
            </w:r>
          </w:p>
        </w:tc>
        <w:tc>
          <w:tcPr>
            <w:tcW w:w="977" w:type="dxa"/>
          </w:tcPr>
          <w:p w14:paraId="76DCA330">
            <w:pPr>
              <w:pStyle w:val="4"/>
              <w:jc w:val="center"/>
            </w:pPr>
            <w:r>
              <w:rPr>
                <w:rFonts w:ascii="仿宋_GB2312" w:hAnsi="仿宋_GB2312" w:eastAsia="仿宋_GB2312" w:cs="仿宋_GB2312"/>
              </w:rPr>
              <w:t>%</w:t>
            </w:r>
          </w:p>
        </w:tc>
        <w:tc>
          <w:tcPr>
            <w:tcW w:w="1466" w:type="dxa"/>
          </w:tcPr>
          <w:p w14:paraId="23E99F54">
            <w:pPr>
              <w:pStyle w:val="4"/>
              <w:jc w:val="center"/>
            </w:pPr>
            <w:r>
              <w:rPr>
                <w:rFonts w:ascii="仿宋_GB2312" w:hAnsi="仿宋_GB2312" w:eastAsia="仿宋_GB2312" w:cs="仿宋_GB2312"/>
              </w:rPr>
              <w:t>100.00</w:t>
            </w:r>
          </w:p>
        </w:tc>
        <w:tc>
          <w:tcPr>
            <w:tcW w:w="977" w:type="dxa"/>
          </w:tcPr>
          <w:p w14:paraId="48E34B00">
            <w:pPr>
              <w:pStyle w:val="4"/>
              <w:jc w:val="center"/>
            </w:pPr>
            <w:r>
              <w:rPr>
                <w:rFonts w:ascii="仿宋_GB2312" w:hAnsi="仿宋_GB2312" w:eastAsia="仿宋_GB2312" w:cs="仿宋_GB2312"/>
              </w:rPr>
              <w:t>百分比</w:t>
            </w:r>
          </w:p>
        </w:tc>
        <w:tc>
          <w:tcPr>
            <w:tcW w:w="1466" w:type="dxa"/>
          </w:tcPr>
          <w:p w14:paraId="18ECB896">
            <w:pPr>
              <w:pStyle w:val="4"/>
              <w:jc w:val="left"/>
            </w:pPr>
            <w:r>
              <w:rPr>
                <w:rFonts w:ascii="仿宋_GB2312" w:hAnsi="仿宋_GB2312" w:eastAsia="仿宋_GB2312" w:cs="仿宋_GB2312"/>
              </w:rPr>
              <w:t>超出最高限价的报价作无效响应。</w:t>
            </w:r>
          </w:p>
        </w:tc>
      </w:tr>
    </w:tbl>
    <w:p w14:paraId="1F97D3AD">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0C6F994">
      <w:pPr>
        <w:pStyle w:val="4"/>
        <w:jc w:val="left"/>
        <w:outlineLvl w:val="3"/>
      </w:pPr>
      <w:r>
        <w:rPr>
          <w:rFonts w:ascii="仿宋_GB2312" w:hAnsi="仿宋_GB2312" w:eastAsia="仿宋_GB2312" w:cs="仿宋_GB2312"/>
          <w:b/>
          <w:sz w:val="24"/>
        </w:rPr>
        <w:t>本项目涉及核心产品：</w:t>
      </w:r>
    </w:p>
    <w:p w14:paraId="5E5072F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FC2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1C7946">
            <w:pPr>
              <w:pStyle w:val="4"/>
              <w:jc w:val="center"/>
            </w:pPr>
            <w:r>
              <w:rPr>
                <w:rFonts w:ascii="仿宋_GB2312" w:hAnsi="仿宋_GB2312" w:eastAsia="仿宋_GB2312" w:cs="仿宋_GB2312"/>
              </w:rPr>
              <w:t>序号</w:t>
            </w:r>
          </w:p>
        </w:tc>
        <w:tc>
          <w:tcPr>
            <w:tcW w:w="2492" w:type="dxa"/>
          </w:tcPr>
          <w:p w14:paraId="64E8D51F">
            <w:pPr>
              <w:pStyle w:val="4"/>
              <w:jc w:val="center"/>
            </w:pPr>
            <w:r>
              <w:rPr>
                <w:rFonts w:ascii="仿宋_GB2312" w:hAnsi="仿宋_GB2312" w:eastAsia="仿宋_GB2312" w:cs="仿宋_GB2312"/>
              </w:rPr>
              <w:t>采购品目名称</w:t>
            </w:r>
          </w:p>
        </w:tc>
        <w:tc>
          <w:tcPr>
            <w:tcW w:w="2492" w:type="dxa"/>
          </w:tcPr>
          <w:p w14:paraId="58DBE068">
            <w:pPr>
              <w:pStyle w:val="4"/>
              <w:jc w:val="center"/>
            </w:pPr>
            <w:r>
              <w:rPr>
                <w:rFonts w:ascii="仿宋_GB2312" w:hAnsi="仿宋_GB2312" w:eastAsia="仿宋_GB2312" w:cs="仿宋_GB2312"/>
              </w:rPr>
              <w:t>标的名称</w:t>
            </w:r>
          </w:p>
        </w:tc>
        <w:tc>
          <w:tcPr>
            <w:tcW w:w="2492" w:type="dxa"/>
          </w:tcPr>
          <w:p w14:paraId="6BCD3FC5">
            <w:pPr>
              <w:pStyle w:val="4"/>
              <w:jc w:val="center"/>
            </w:pPr>
            <w:r>
              <w:rPr>
                <w:rFonts w:ascii="仿宋_GB2312" w:hAnsi="仿宋_GB2312" w:eastAsia="仿宋_GB2312" w:cs="仿宋_GB2312"/>
              </w:rPr>
              <w:t>产品名称</w:t>
            </w:r>
          </w:p>
        </w:tc>
      </w:tr>
      <w:tr w14:paraId="6AD8B1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1447B1">
            <w:pPr>
              <w:pStyle w:val="4"/>
              <w:jc w:val="left"/>
            </w:pPr>
            <w:r>
              <w:rPr>
                <w:rFonts w:ascii="仿宋_GB2312" w:hAnsi="仿宋_GB2312" w:eastAsia="仿宋_GB2312" w:cs="仿宋_GB2312"/>
              </w:rPr>
              <w:t>1</w:t>
            </w:r>
          </w:p>
        </w:tc>
        <w:tc>
          <w:tcPr>
            <w:tcW w:w="2492" w:type="dxa"/>
          </w:tcPr>
          <w:p w14:paraId="30ECCDCB">
            <w:pPr>
              <w:pStyle w:val="4"/>
              <w:jc w:val="left"/>
            </w:pPr>
            <w:r>
              <w:rPr>
                <w:rFonts w:ascii="仿宋_GB2312" w:hAnsi="仿宋_GB2312" w:eastAsia="仿宋_GB2312" w:cs="仿宋_GB2312"/>
              </w:rPr>
              <w:t>其他农副食品，动、植物油制品</w:t>
            </w:r>
          </w:p>
        </w:tc>
        <w:tc>
          <w:tcPr>
            <w:tcW w:w="2492" w:type="dxa"/>
          </w:tcPr>
          <w:p w14:paraId="0647D98B">
            <w:pPr>
              <w:pStyle w:val="4"/>
              <w:jc w:val="left"/>
            </w:pPr>
            <w:r>
              <w:rPr>
                <w:rFonts w:ascii="仿宋_GB2312" w:hAnsi="仿宋_GB2312" w:eastAsia="仿宋_GB2312" w:cs="仿宋_GB2312"/>
              </w:rPr>
              <w:t>米面油肉蛋奶等</w:t>
            </w:r>
          </w:p>
        </w:tc>
        <w:tc>
          <w:tcPr>
            <w:tcW w:w="2492" w:type="dxa"/>
          </w:tcPr>
          <w:p w14:paraId="080966AD">
            <w:pPr>
              <w:pStyle w:val="4"/>
              <w:jc w:val="left"/>
            </w:pPr>
            <w:r>
              <w:rPr>
                <w:rFonts w:ascii="仿宋_GB2312" w:hAnsi="仿宋_GB2312" w:eastAsia="仿宋_GB2312" w:cs="仿宋_GB2312"/>
              </w:rPr>
              <w:t>大米</w:t>
            </w:r>
          </w:p>
        </w:tc>
      </w:tr>
    </w:tbl>
    <w:p w14:paraId="601C7668">
      <w:pPr>
        <w:pStyle w:val="4"/>
        <w:ind w:firstLine="480"/>
        <w:jc w:val="left"/>
      </w:pPr>
      <w:r>
        <w:rPr>
          <w:rFonts w:ascii="仿宋_GB2312" w:hAnsi="仿宋_GB2312" w:eastAsia="仿宋_GB2312" w:cs="仿宋_GB2312"/>
        </w:rPr>
        <w:t>注：涉及核心产品的，具体评审规定见第五章。</w:t>
      </w:r>
    </w:p>
    <w:p w14:paraId="4336FAC2">
      <w:pPr>
        <w:pStyle w:val="4"/>
        <w:jc w:val="left"/>
        <w:outlineLvl w:val="3"/>
      </w:pPr>
      <w:r>
        <w:rPr>
          <w:rFonts w:ascii="仿宋_GB2312" w:hAnsi="仿宋_GB2312" w:eastAsia="仿宋_GB2312" w:cs="仿宋_GB2312"/>
          <w:b/>
          <w:sz w:val="24"/>
        </w:rPr>
        <w:t>本项目涉及采购进口产品：</w:t>
      </w:r>
    </w:p>
    <w:p w14:paraId="6DA7619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D1C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664EC9">
            <w:pPr>
              <w:pStyle w:val="4"/>
              <w:jc w:val="center"/>
            </w:pPr>
            <w:r>
              <w:rPr>
                <w:rFonts w:ascii="仿宋_GB2312" w:hAnsi="仿宋_GB2312" w:eastAsia="仿宋_GB2312" w:cs="仿宋_GB2312"/>
              </w:rPr>
              <w:t>序号</w:t>
            </w:r>
          </w:p>
        </w:tc>
        <w:tc>
          <w:tcPr>
            <w:tcW w:w="2492" w:type="dxa"/>
          </w:tcPr>
          <w:p w14:paraId="05386D67">
            <w:pPr>
              <w:pStyle w:val="4"/>
              <w:jc w:val="center"/>
            </w:pPr>
            <w:r>
              <w:rPr>
                <w:rFonts w:ascii="仿宋_GB2312" w:hAnsi="仿宋_GB2312" w:eastAsia="仿宋_GB2312" w:cs="仿宋_GB2312"/>
              </w:rPr>
              <w:t>采购品目名称</w:t>
            </w:r>
          </w:p>
        </w:tc>
        <w:tc>
          <w:tcPr>
            <w:tcW w:w="2492" w:type="dxa"/>
          </w:tcPr>
          <w:p w14:paraId="52535C4C">
            <w:pPr>
              <w:pStyle w:val="4"/>
              <w:jc w:val="center"/>
            </w:pPr>
            <w:r>
              <w:rPr>
                <w:rFonts w:ascii="仿宋_GB2312" w:hAnsi="仿宋_GB2312" w:eastAsia="仿宋_GB2312" w:cs="仿宋_GB2312"/>
              </w:rPr>
              <w:t>标的名称</w:t>
            </w:r>
          </w:p>
        </w:tc>
        <w:tc>
          <w:tcPr>
            <w:tcW w:w="2492" w:type="dxa"/>
          </w:tcPr>
          <w:p w14:paraId="6B3D911F">
            <w:pPr>
              <w:pStyle w:val="4"/>
              <w:jc w:val="center"/>
            </w:pPr>
            <w:r>
              <w:rPr>
                <w:rFonts w:ascii="仿宋_GB2312" w:hAnsi="仿宋_GB2312" w:eastAsia="仿宋_GB2312" w:cs="仿宋_GB2312"/>
              </w:rPr>
              <w:t>产品名称</w:t>
            </w:r>
          </w:p>
        </w:tc>
      </w:tr>
      <w:tr w14:paraId="734A8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6E2516">
            <w:pPr>
              <w:pStyle w:val="4"/>
              <w:jc w:val="center"/>
            </w:pPr>
            <w:r>
              <w:rPr>
                <w:rFonts w:ascii="仿宋_GB2312" w:hAnsi="仿宋_GB2312" w:eastAsia="仿宋_GB2312" w:cs="仿宋_GB2312"/>
              </w:rPr>
              <w:t>不涉及</w:t>
            </w:r>
          </w:p>
        </w:tc>
      </w:tr>
    </w:tbl>
    <w:p w14:paraId="1E484980">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B8A1412">
      <w:pPr>
        <w:pStyle w:val="4"/>
        <w:jc w:val="left"/>
        <w:outlineLvl w:val="3"/>
      </w:pPr>
      <w:r>
        <w:rPr>
          <w:rFonts w:ascii="仿宋_GB2312" w:hAnsi="仿宋_GB2312" w:eastAsia="仿宋_GB2312" w:cs="仿宋_GB2312"/>
          <w:b/>
          <w:sz w:val="24"/>
        </w:rPr>
        <w:t>本项目涉及强制采购节能产品：</w:t>
      </w:r>
    </w:p>
    <w:p w14:paraId="12B1616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FCFD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7F2B3C">
            <w:pPr>
              <w:pStyle w:val="4"/>
              <w:jc w:val="center"/>
            </w:pPr>
            <w:r>
              <w:rPr>
                <w:rFonts w:ascii="仿宋_GB2312" w:hAnsi="仿宋_GB2312" w:eastAsia="仿宋_GB2312" w:cs="仿宋_GB2312"/>
              </w:rPr>
              <w:t>序号</w:t>
            </w:r>
          </w:p>
        </w:tc>
        <w:tc>
          <w:tcPr>
            <w:tcW w:w="2492" w:type="dxa"/>
          </w:tcPr>
          <w:p w14:paraId="2A164F9F">
            <w:pPr>
              <w:pStyle w:val="4"/>
              <w:jc w:val="center"/>
            </w:pPr>
            <w:r>
              <w:rPr>
                <w:rFonts w:ascii="仿宋_GB2312" w:hAnsi="仿宋_GB2312" w:eastAsia="仿宋_GB2312" w:cs="仿宋_GB2312"/>
              </w:rPr>
              <w:t>采购品目名称</w:t>
            </w:r>
          </w:p>
        </w:tc>
        <w:tc>
          <w:tcPr>
            <w:tcW w:w="2492" w:type="dxa"/>
          </w:tcPr>
          <w:p w14:paraId="47351205">
            <w:pPr>
              <w:pStyle w:val="4"/>
              <w:jc w:val="center"/>
            </w:pPr>
            <w:r>
              <w:rPr>
                <w:rFonts w:ascii="仿宋_GB2312" w:hAnsi="仿宋_GB2312" w:eastAsia="仿宋_GB2312" w:cs="仿宋_GB2312"/>
              </w:rPr>
              <w:t>标的名称</w:t>
            </w:r>
          </w:p>
        </w:tc>
        <w:tc>
          <w:tcPr>
            <w:tcW w:w="2492" w:type="dxa"/>
          </w:tcPr>
          <w:p w14:paraId="75EB4E3B">
            <w:pPr>
              <w:pStyle w:val="4"/>
              <w:jc w:val="center"/>
            </w:pPr>
            <w:r>
              <w:rPr>
                <w:rFonts w:ascii="仿宋_GB2312" w:hAnsi="仿宋_GB2312" w:eastAsia="仿宋_GB2312" w:cs="仿宋_GB2312"/>
              </w:rPr>
              <w:t>产品名称</w:t>
            </w:r>
          </w:p>
        </w:tc>
      </w:tr>
      <w:tr w14:paraId="6FD5D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FD09E89">
            <w:pPr>
              <w:pStyle w:val="4"/>
              <w:jc w:val="center"/>
            </w:pPr>
            <w:r>
              <w:rPr>
                <w:rFonts w:ascii="仿宋_GB2312" w:hAnsi="仿宋_GB2312" w:eastAsia="仿宋_GB2312" w:cs="仿宋_GB2312"/>
              </w:rPr>
              <w:t>不涉及</w:t>
            </w:r>
          </w:p>
        </w:tc>
      </w:tr>
    </w:tbl>
    <w:p w14:paraId="4A7ABE9A">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778F9D1">
      <w:pPr>
        <w:pStyle w:val="4"/>
        <w:jc w:val="left"/>
      </w:pPr>
      <w:r>
        <w:rPr>
          <w:rFonts w:ascii="仿宋_GB2312" w:hAnsi="仿宋_GB2312" w:eastAsia="仿宋_GB2312" w:cs="仿宋_GB2312"/>
          <w:b/>
        </w:rPr>
        <w:t>本项目涉及优先采购节能产品：</w:t>
      </w:r>
    </w:p>
    <w:p w14:paraId="3779539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84C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E318C6">
            <w:pPr>
              <w:pStyle w:val="4"/>
              <w:jc w:val="center"/>
            </w:pPr>
            <w:r>
              <w:rPr>
                <w:rFonts w:ascii="仿宋_GB2312" w:hAnsi="仿宋_GB2312" w:eastAsia="仿宋_GB2312" w:cs="仿宋_GB2312"/>
              </w:rPr>
              <w:t>序号</w:t>
            </w:r>
          </w:p>
        </w:tc>
        <w:tc>
          <w:tcPr>
            <w:tcW w:w="2492" w:type="dxa"/>
          </w:tcPr>
          <w:p w14:paraId="5512C249">
            <w:pPr>
              <w:pStyle w:val="4"/>
              <w:jc w:val="center"/>
            </w:pPr>
            <w:r>
              <w:rPr>
                <w:rFonts w:ascii="仿宋_GB2312" w:hAnsi="仿宋_GB2312" w:eastAsia="仿宋_GB2312" w:cs="仿宋_GB2312"/>
              </w:rPr>
              <w:t>采购品目名称</w:t>
            </w:r>
          </w:p>
        </w:tc>
        <w:tc>
          <w:tcPr>
            <w:tcW w:w="2492" w:type="dxa"/>
          </w:tcPr>
          <w:p w14:paraId="1AC62429">
            <w:pPr>
              <w:pStyle w:val="4"/>
              <w:jc w:val="center"/>
            </w:pPr>
            <w:r>
              <w:rPr>
                <w:rFonts w:ascii="仿宋_GB2312" w:hAnsi="仿宋_GB2312" w:eastAsia="仿宋_GB2312" w:cs="仿宋_GB2312"/>
              </w:rPr>
              <w:t>标的名称</w:t>
            </w:r>
          </w:p>
        </w:tc>
        <w:tc>
          <w:tcPr>
            <w:tcW w:w="2492" w:type="dxa"/>
          </w:tcPr>
          <w:p w14:paraId="680A03B7">
            <w:pPr>
              <w:pStyle w:val="4"/>
              <w:jc w:val="center"/>
            </w:pPr>
            <w:r>
              <w:rPr>
                <w:rFonts w:ascii="仿宋_GB2312" w:hAnsi="仿宋_GB2312" w:eastAsia="仿宋_GB2312" w:cs="仿宋_GB2312"/>
              </w:rPr>
              <w:t>产品名称</w:t>
            </w:r>
          </w:p>
        </w:tc>
      </w:tr>
      <w:tr w14:paraId="0B0956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36C6AB4">
            <w:pPr>
              <w:pStyle w:val="4"/>
              <w:jc w:val="center"/>
            </w:pPr>
            <w:r>
              <w:rPr>
                <w:rFonts w:ascii="仿宋_GB2312" w:hAnsi="仿宋_GB2312" w:eastAsia="仿宋_GB2312" w:cs="仿宋_GB2312"/>
              </w:rPr>
              <w:t>不涉及</w:t>
            </w:r>
          </w:p>
        </w:tc>
      </w:tr>
    </w:tbl>
    <w:p w14:paraId="56BD0E76">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79FBB5D">
      <w:pPr>
        <w:pStyle w:val="4"/>
        <w:jc w:val="left"/>
        <w:outlineLvl w:val="3"/>
      </w:pPr>
      <w:r>
        <w:rPr>
          <w:rFonts w:ascii="仿宋_GB2312" w:hAnsi="仿宋_GB2312" w:eastAsia="仿宋_GB2312" w:cs="仿宋_GB2312"/>
          <w:b/>
          <w:sz w:val="24"/>
        </w:rPr>
        <w:t>本项目涉及优先采购环境标志产品：</w:t>
      </w:r>
    </w:p>
    <w:p w14:paraId="6452F88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3122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717294">
            <w:pPr>
              <w:pStyle w:val="4"/>
              <w:jc w:val="center"/>
            </w:pPr>
            <w:r>
              <w:rPr>
                <w:rFonts w:ascii="仿宋_GB2312" w:hAnsi="仿宋_GB2312" w:eastAsia="仿宋_GB2312" w:cs="仿宋_GB2312"/>
              </w:rPr>
              <w:t>序号</w:t>
            </w:r>
          </w:p>
        </w:tc>
        <w:tc>
          <w:tcPr>
            <w:tcW w:w="2492" w:type="dxa"/>
          </w:tcPr>
          <w:p w14:paraId="43E2CAE2">
            <w:pPr>
              <w:pStyle w:val="4"/>
              <w:jc w:val="center"/>
            </w:pPr>
            <w:r>
              <w:rPr>
                <w:rFonts w:ascii="仿宋_GB2312" w:hAnsi="仿宋_GB2312" w:eastAsia="仿宋_GB2312" w:cs="仿宋_GB2312"/>
              </w:rPr>
              <w:t>采购品目名称</w:t>
            </w:r>
          </w:p>
        </w:tc>
        <w:tc>
          <w:tcPr>
            <w:tcW w:w="2492" w:type="dxa"/>
          </w:tcPr>
          <w:p w14:paraId="16D3F67A">
            <w:pPr>
              <w:pStyle w:val="4"/>
              <w:jc w:val="center"/>
            </w:pPr>
            <w:r>
              <w:rPr>
                <w:rFonts w:ascii="仿宋_GB2312" w:hAnsi="仿宋_GB2312" w:eastAsia="仿宋_GB2312" w:cs="仿宋_GB2312"/>
              </w:rPr>
              <w:t>标的名称</w:t>
            </w:r>
          </w:p>
        </w:tc>
        <w:tc>
          <w:tcPr>
            <w:tcW w:w="2492" w:type="dxa"/>
          </w:tcPr>
          <w:p w14:paraId="0B6B207D">
            <w:pPr>
              <w:pStyle w:val="4"/>
              <w:jc w:val="center"/>
            </w:pPr>
            <w:r>
              <w:rPr>
                <w:rFonts w:ascii="仿宋_GB2312" w:hAnsi="仿宋_GB2312" w:eastAsia="仿宋_GB2312" w:cs="仿宋_GB2312"/>
              </w:rPr>
              <w:t>产品名称</w:t>
            </w:r>
          </w:p>
        </w:tc>
      </w:tr>
      <w:tr w14:paraId="39977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8EDB979">
            <w:pPr>
              <w:pStyle w:val="4"/>
              <w:jc w:val="center"/>
            </w:pPr>
            <w:r>
              <w:rPr>
                <w:rFonts w:ascii="仿宋_GB2312" w:hAnsi="仿宋_GB2312" w:eastAsia="仿宋_GB2312" w:cs="仿宋_GB2312"/>
              </w:rPr>
              <w:t>不涉及</w:t>
            </w:r>
          </w:p>
        </w:tc>
      </w:tr>
    </w:tbl>
    <w:p w14:paraId="23F32C89">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FE16DBF">
      <w:pPr>
        <w:pStyle w:val="4"/>
        <w:jc w:val="left"/>
        <w:outlineLvl w:val="2"/>
      </w:pPr>
      <w:r>
        <w:rPr>
          <w:rFonts w:ascii="仿宋_GB2312" w:hAnsi="仿宋_GB2312" w:eastAsia="仿宋_GB2312" w:cs="仿宋_GB2312"/>
          <w:b/>
          <w:sz w:val="28"/>
        </w:rPr>
        <w:t>3.2.技术要求</w:t>
      </w:r>
    </w:p>
    <w:p w14:paraId="53A61420">
      <w:pPr>
        <w:pStyle w:val="4"/>
        <w:jc w:val="left"/>
      </w:pPr>
      <w:r>
        <w:rPr>
          <w:rFonts w:ascii="仿宋_GB2312" w:hAnsi="仿宋_GB2312" w:eastAsia="仿宋_GB2312" w:cs="仿宋_GB2312"/>
        </w:rPr>
        <w:t>采购包1：</w:t>
      </w:r>
    </w:p>
    <w:p w14:paraId="4A01DBEA">
      <w:pPr>
        <w:pStyle w:val="4"/>
        <w:jc w:val="left"/>
      </w:pPr>
      <w:r>
        <w:rPr>
          <w:rFonts w:ascii="仿宋_GB2312" w:hAnsi="仿宋_GB2312" w:eastAsia="仿宋_GB2312" w:cs="仿宋_GB2312"/>
        </w:rPr>
        <w:t>标的名称：米面油肉蛋奶等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8F16E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B9C342">
            <w:pPr>
              <w:pStyle w:val="4"/>
              <w:jc w:val="center"/>
            </w:pPr>
            <w:r>
              <w:rPr>
                <w:rFonts w:ascii="仿宋_GB2312" w:hAnsi="仿宋_GB2312" w:eastAsia="仿宋_GB2312" w:cs="仿宋_GB2312"/>
              </w:rPr>
              <w:t>序号</w:t>
            </w:r>
          </w:p>
        </w:tc>
        <w:tc>
          <w:tcPr>
            <w:tcW w:w="581" w:type="dxa"/>
          </w:tcPr>
          <w:p w14:paraId="4B102C79">
            <w:pPr>
              <w:pStyle w:val="4"/>
              <w:jc w:val="center"/>
            </w:pPr>
            <w:r>
              <w:rPr>
                <w:rFonts w:ascii="仿宋_GB2312" w:hAnsi="仿宋_GB2312" w:eastAsia="仿宋_GB2312" w:cs="仿宋_GB2312"/>
              </w:rPr>
              <w:t>符号标识</w:t>
            </w:r>
          </w:p>
        </w:tc>
        <w:tc>
          <w:tcPr>
            <w:tcW w:w="1495" w:type="dxa"/>
          </w:tcPr>
          <w:p w14:paraId="25BA7C8A">
            <w:pPr>
              <w:pStyle w:val="4"/>
              <w:jc w:val="center"/>
            </w:pPr>
            <w:r>
              <w:rPr>
                <w:rFonts w:ascii="仿宋_GB2312" w:hAnsi="仿宋_GB2312" w:eastAsia="仿宋_GB2312" w:cs="仿宋_GB2312"/>
              </w:rPr>
              <w:t>技术要求名称</w:t>
            </w:r>
          </w:p>
        </w:tc>
        <w:tc>
          <w:tcPr>
            <w:tcW w:w="5814" w:type="dxa"/>
          </w:tcPr>
          <w:p w14:paraId="545A16F2">
            <w:pPr>
              <w:pStyle w:val="4"/>
              <w:jc w:val="center"/>
            </w:pPr>
            <w:r>
              <w:rPr>
                <w:rFonts w:ascii="仿宋_GB2312" w:hAnsi="仿宋_GB2312" w:eastAsia="仿宋_GB2312" w:cs="仿宋_GB2312"/>
              </w:rPr>
              <w:t>技术参数与性能指标</w:t>
            </w:r>
          </w:p>
        </w:tc>
      </w:tr>
      <w:tr w14:paraId="45AB89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6BA1AF">
            <w:pPr>
              <w:pStyle w:val="4"/>
              <w:jc w:val="center"/>
            </w:pPr>
            <w:r>
              <w:rPr>
                <w:rFonts w:ascii="仿宋_GB2312" w:hAnsi="仿宋_GB2312" w:eastAsia="仿宋_GB2312" w:cs="仿宋_GB2312"/>
              </w:rPr>
              <w:t>1</w:t>
            </w:r>
          </w:p>
        </w:tc>
        <w:tc>
          <w:tcPr>
            <w:tcW w:w="581" w:type="dxa"/>
          </w:tcPr>
          <w:p w14:paraId="6B16AEA5">
            <w:pPr>
              <w:pStyle w:val="4"/>
              <w:jc w:val="center"/>
            </w:pPr>
            <w:r>
              <w:rPr>
                <w:rFonts w:ascii="仿宋_GB2312" w:hAnsi="仿宋_GB2312" w:eastAsia="仿宋_GB2312" w:cs="仿宋_GB2312"/>
              </w:rPr>
              <w:t>★</w:t>
            </w:r>
          </w:p>
        </w:tc>
        <w:tc>
          <w:tcPr>
            <w:tcW w:w="1495" w:type="dxa"/>
          </w:tcPr>
          <w:p w14:paraId="3B13AD14">
            <w:pPr>
              <w:pStyle w:val="4"/>
              <w:jc w:val="left"/>
            </w:pPr>
            <w:r>
              <w:rPr>
                <w:rFonts w:ascii="仿宋_GB2312" w:hAnsi="仿宋_GB2312" w:eastAsia="仿宋_GB2312" w:cs="仿宋_GB2312"/>
              </w:rPr>
              <w:t>大米(核心产品）</w:t>
            </w:r>
          </w:p>
        </w:tc>
        <w:tc>
          <w:tcPr>
            <w:tcW w:w="5814" w:type="dxa"/>
          </w:tcPr>
          <w:p w14:paraId="08E1BC05">
            <w:pPr>
              <w:pStyle w:val="4"/>
              <w:spacing w:before="105"/>
              <w:ind w:left="555"/>
              <w:jc w:val="left"/>
            </w:pPr>
            <w:r>
              <w:rPr>
                <w:rFonts w:ascii="仿宋_GB2312" w:hAnsi="仿宋_GB2312" w:eastAsia="仿宋_GB2312" w:cs="仿宋_GB2312"/>
                <w:sz w:val="24"/>
              </w:rPr>
              <w:t>一、质量指标：一级粳米。</w:t>
            </w:r>
          </w:p>
          <w:p w14:paraId="4541ACFD">
            <w:pPr>
              <w:pStyle w:val="4"/>
              <w:spacing w:before="60"/>
              <w:ind w:left="135" w:right="120" w:firstLine="430"/>
              <w:jc w:val="left"/>
            </w:pPr>
            <w:r>
              <w:rPr>
                <w:rFonts w:ascii="仿宋_GB2312" w:hAnsi="仿宋_GB2312" w:eastAsia="仿宋_GB2312" w:cs="仿宋_GB2312"/>
                <w:sz w:val="24"/>
              </w:rPr>
              <w:t>二、规格：一次性袋装，每袋≤25kg。</w:t>
            </w:r>
          </w:p>
          <w:p w14:paraId="6E94ED49">
            <w:pPr>
              <w:pStyle w:val="4"/>
              <w:spacing w:before="75"/>
              <w:ind w:left="135" w:right="120" w:firstLine="427"/>
              <w:jc w:val="both"/>
            </w:pPr>
            <w:r>
              <w:rPr>
                <w:rFonts w:ascii="仿宋_GB2312" w:hAnsi="仿宋_GB2312" w:eastAsia="仿宋_GB2312" w:cs="仿宋_GB2312"/>
                <w:sz w:val="24"/>
              </w:rPr>
              <w:t>三、大米应符合GB/T 1354-2018标准（或最新标准）和 GB2715-2016标准（或最新标准）。（投标时提供国家认可的第三方检测机构于2025年出具的投标产品的检验报告复印件。黄曲霉毒素B1、铅、汞、六六六、滴滴涕、镉必须进行检验且检验结果须符合GB2715-2016标准（或最新标准）要求，提供检验报告复印件并加盖供应商公章）</w:t>
            </w:r>
          </w:p>
          <w:p w14:paraId="7D0DC23B">
            <w:pPr>
              <w:pStyle w:val="4"/>
              <w:spacing w:before="75"/>
              <w:ind w:left="135" w:right="120" w:firstLine="427"/>
              <w:jc w:val="both"/>
            </w:pPr>
            <w:r>
              <w:rPr>
                <w:rFonts w:ascii="仿宋_GB2312" w:hAnsi="仿宋_GB2312" w:eastAsia="仿宋_GB2312" w:cs="仿宋_GB2312"/>
                <w:sz w:val="24"/>
              </w:rPr>
              <w:t>四、标签应符合GB 7718-2011标准（或最新标准）。</w:t>
            </w:r>
          </w:p>
          <w:p w14:paraId="11FA161A">
            <w:pPr>
              <w:pStyle w:val="4"/>
              <w:ind w:left="135" w:right="120" w:firstLine="442"/>
              <w:jc w:val="left"/>
            </w:pPr>
            <w:r>
              <w:rPr>
                <w:rFonts w:ascii="仿宋_GB2312" w:hAnsi="仿宋_GB2312" w:eastAsia="仿宋_GB2312" w:cs="仿宋_GB2312"/>
                <w:sz w:val="24"/>
              </w:rPr>
              <w:t>五、送达学校的大米在保质期内且距生产日期不超过两个月。</w:t>
            </w:r>
          </w:p>
          <w:p w14:paraId="3B35D8CF">
            <w:pPr>
              <w:pStyle w:val="4"/>
              <w:spacing w:before="60"/>
              <w:ind w:left="135" w:right="120" w:firstLine="429"/>
              <w:jc w:val="left"/>
            </w:pPr>
            <w:r>
              <w:rPr>
                <w:rFonts w:ascii="仿宋_GB2312" w:hAnsi="仿宋_GB2312" w:eastAsia="仿宋_GB2312" w:cs="仿宋_GB2312"/>
                <w:sz w:val="24"/>
              </w:rPr>
              <w:t>六、包装应符合GB/T 17109-2008标准（或最新标准）的规定和食品安全要求。</w:t>
            </w:r>
          </w:p>
          <w:p w14:paraId="6D2D3C06">
            <w:pPr>
              <w:pStyle w:val="4"/>
              <w:spacing w:before="165"/>
              <w:ind w:left="555"/>
              <w:jc w:val="left"/>
            </w:pPr>
            <w:r>
              <w:rPr>
                <w:rFonts w:ascii="仿宋_GB2312" w:hAnsi="仿宋_GB2312" w:eastAsia="仿宋_GB2312" w:cs="仿宋_GB2312"/>
              </w:rPr>
              <w:t xml:space="preserve"> </w:t>
            </w:r>
          </w:p>
        </w:tc>
      </w:tr>
      <w:tr w14:paraId="6DA31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0CA6E8">
            <w:pPr>
              <w:pStyle w:val="4"/>
              <w:jc w:val="center"/>
            </w:pPr>
            <w:r>
              <w:rPr>
                <w:rFonts w:ascii="仿宋_GB2312" w:hAnsi="仿宋_GB2312" w:eastAsia="仿宋_GB2312" w:cs="仿宋_GB2312"/>
              </w:rPr>
              <w:t>2</w:t>
            </w:r>
          </w:p>
        </w:tc>
        <w:tc>
          <w:tcPr>
            <w:tcW w:w="581" w:type="dxa"/>
          </w:tcPr>
          <w:p w14:paraId="51CBB005">
            <w:pPr>
              <w:pStyle w:val="4"/>
              <w:jc w:val="center"/>
            </w:pPr>
            <w:r>
              <w:rPr>
                <w:rFonts w:ascii="仿宋_GB2312" w:hAnsi="仿宋_GB2312" w:eastAsia="仿宋_GB2312" w:cs="仿宋_GB2312"/>
              </w:rPr>
              <w:t>★</w:t>
            </w:r>
          </w:p>
        </w:tc>
        <w:tc>
          <w:tcPr>
            <w:tcW w:w="1495" w:type="dxa"/>
          </w:tcPr>
          <w:p w14:paraId="5027AAEB">
            <w:pPr>
              <w:pStyle w:val="4"/>
              <w:jc w:val="left"/>
            </w:pPr>
            <w:r>
              <w:rPr>
                <w:rFonts w:ascii="仿宋_GB2312" w:hAnsi="仿宋_GB2312" w:eastAsia="仿宋_GB2312" w:cs="仿宋_GB2312"/>
              </w:rPr>
              <w:t>面粉</w:t>
            </w:r>
          </w:p>
        </w:tc>
        <w:tc>
          <w:tcPr>
            <w:tcW w:w="5814" w:type="dxa"/>
          </w:tcPr>
          <w:p w14:paraId="61AFC37C">
            <w:pPr>
              <w:pStyle w:val="4"/>
              <w:spacing w:before="105"/>
              <w:ind w:left="555"/>
              <w:jc w:val="left"/>
            </w:pPr>
            <w:r>
              <w:rPr>
                <w:rFonts w:ascii="仿宋_GB2312" w:hAnsi="仿宋_GB2312" w:eastAsia="仿宋_GB2312" w:cs="仿宋_GB2312"/>
                <w:color w:val="000000"/>
                <w:sz w:val="24"/>
              </w:rPr>
              <w:t>一、质量指标：精制粉。</w:t>
            </w:r>
          </w:p>
          <w:p w14:paraId="394D850E">
            <w:pPr>
              <w:pStyle w:val="4"/>
              <w:spacing w:before="60"/>
              <w:ind w:left="135" w:right="120" w:firstLine="430"/>
              <w:jc w:val="left"/>
            </w:pPr>
            <w:r>
              <w:rPr>
                <w:rFonts w:ascii="仿宋_GB2312" w:hAnsi="仿宋_GB2312" w:eastAsia="仿宋_GB2312" w:cs="仿宋_GB2312"/>
                <w:color w:val="000000"/>
                <w:sz w:val="24"/>
              </w:rPr>
              <w:t>二、规格：一次性袋装，每袋≤ 25kg。</w:t>
            </w:r>
          </w:p>
          <w:p w14:paraId="0FFD7652">
            <w:pPr>
              <w:pStyle w:val="4"/>
              <w:spacing w:before="75"/>
              <w:ind w:left="135" w:right="120" w:firstLine="426"/>
              <w:jc w:val="left"/>
            </w:pPr>
            <w:r>
              <w:rPr>
                <w:rFonts w:ascii="仿宋_GB2312" w:hAnsi="仿宋_GB2312" w:eastAsia="仿宋_GB2312" w:cs="仿宋_GB2312"/>
                <w:color w:val="000000"/>
                <w:sz w:val="24"/>
              </w:rPr>
              <w:t>三、面粉应符合GB/T1355-2021（或最新标准）和 GB2715-2016标准（或最新标准）。（投标时提供国家认可的第三方检测机构于2025年出具的投标产品的检验报告复印件。黄曲霉毒素 B1、铅、汞、六六六、滴滴涕、镉必须进行检验且检验结果须符合GB2715-2016标准（或最新标准）要求，提供检验报告复印件并加盖供应商公章）</w:t>
            </w:r>
          </w:p>
          <w:p w14:paraId="5B9A3DF9">
            <w:pPr>
              <w:pStyle w:val="4"/>
              <w:spacing w:before="60"/>
              <w:ind w:left="135" w:right="120" w:firstLine="442"/>
              <w:jc w:val="left"/>
            </w:pPr>
            <w:r>
              <w:rPr>
                <w:rFonts w:ascii="仿宋_GB2312" w:hAnsi="仿宋_GB2312" w:eastAsia="仿宋_GB2312" w:cs="仿宋_GB2312"/>
                <w:color w:val="000000"/>
                <w:sz w:val="24"/>
              </w:rPr>
              <w:t>四、送达学校的面粉在保质期内且距生产日期不超过两个月。</w:t>
            </w:r>
          </w:p>
          <w:p w14:paraId="15B25E98">
            <w:pPr>
              <w:pStyle w:val="4"/>
              <w:spacing w:before="60"/>
              <w:ind w:left="135" w:right="120" w:firstLine="429"/>
              <w:jc w:val="left"/>
            </w:pPr>
            <w:r>
              <w:rPr>
                <w:rFonts w:ascii="仿宋_GB2312" w:hAnsi="仿宋_GB2312" w:eastAsia="仿宋_GB2312" w:cs="仿宋_GB2312"/>
                <w:color w:val="000000"/>
                <w:sz w:val="24"/>
              </w:rPr>
              <w:t>五、包装应符合GB/T 17109-2008标准（或最新标准）的规定和食品安全要求。</w:t>
            </w:r>
          </w:p>
          <w:p w14:paraId="1E5E9EE0">
            <w:pPr>
              <w:pStyle w:val="4"/>
              <w:spacing w:before="165"/>
              <w:ind w:left="555"/>
              <w:jc w:val="left"/>
            </w:pPr>
            <w:r>
              <w:rPr>
                <w:rFonts w:ascii="仿宋_GB2312" w:hAnsi="仿宋_GB2312" w:eastAsia="仿宋_GB2312" w:cs="仿宋_GB2312"/>
              </w:rPr>
              <w:t xml:space="preserve"> </w:t>
            </w:r>
          </w:p>
        </w:tc>
      </w:tr>
      <w:tr w14:paraId="39D575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A41CB6">
            <w:pPr>
              <w:pStyle w:val="4"/>
              <w:jc w:val="center"/>
            </w:pPr>
            <w:r>
              <w:rPr>
                <w:rFonts w:ascii="仿宋_GB2312" w:hAnsi="仿宋_GB2312" w:eastAsia="仿宋_GB2312" w:cs="仿宋_GB2312"/>
              </w:rPr>
              <w:t>3</w:t>
            </w:r>
          </w:p>
        </w:tc>
        <w:tc>
          <w:tcPr>
            <w:tcW w:w="581" w:type="dxa"/>
          </w:tcPr>
          <w:p w14:paraId="3E92EC2D">
            <w:pPr>
              <w:pStyle w:val="4"/>
              <w:jc w:val="center"/>
            </w:pPr>
            <w:r>
              <w:rPr>
                <w:rFonts w:ascii="仿宋_GB2312" w:hAnsi="仿宋_GB2312" w:eastAsia="仿宋_GB2312" w:cs="仿宋_GB2312"/>
              </w:rPr>
              <w:t>★</w:t>
            </w:r>
          </w:p>
        </w:tc>
        <w:tc>
          <w:tcPr>
            <w:tcW w:w="1495" w:type="dxa"/>
          </w:tcPr>
          <w:p w14:paraId="5078489A">
            <w:pPr>
              <w:pStyle w:val="4"/>
              <w:jc w:val="left"/>
            </w:pPr>
            <w:r>
              <w:rPr>
                <w:rFonts w:ascii="仿宋_GB2312" w:hAnsi="仿宋_GB2312" w:eastAsia="仿宋_GB2312" w:cs="仿宋_GB2312"/>
              </w:rPr>
              <w:t>菜籽油</w:t>
            </w:r>
          </w:p>
        </w:tc>
        <w:tc>
          <w:tcPr>
            <w:tcW w:w="5814" w:type="dxa"/>
          </w:tcPr>
          <w:p w14:paraId="4503D03E">
            <w:pPr>
              <w:pStyle w:val="4"/>
              <w:spacing w:before="105"/>
              <w:ind w:left="135" w:right="120" w:firstLine="423"/>
              <w:jc w:val="left"/>
            </w:pPr>
            <w:r>
              <w:rPr>
                <w:rFonts w:ascii="仿宋_GB2312" w:hAnsi="仿宋_GB2312" w:eastAsia="仿宋_GB2312" w:cs="仿宋_GB2312"/>
                <w:sz w:val="24"/>
              </w:rPr>
              <w:t>一、质量指标：一级压榨菜籽油 （非转基因）。</w:t>
            </w:r>
          </w:p>
          <w:p w14:paraId="32D85751">
            <w:pPr>
              <w:pStyle w:val="4"/>
              <w:spacing w:before="60"/>
              <w:ind w:left="570"/>
              <w:jc w:val="left"/>
            </w:pPr>
            <w:r>
              <w:rPr>
                <w:rFonts w:ascii="仿宋_GB2312" w:hAnsi="仿宋_GB2312" w:eastAsia="仿宋_GB2312" w:cs="仿宋_GB2312"/>
                <w:sz w:val="24"/>
              </w:rPr>
              <w:t>二、规格：一次性桶装，每桶≤12.5升/桶。</w:t>
            </w:r>
          </w:p>
          <w:p w14:paraId="588FE813">
            <w:pPr>
              <w:pStyle w:val="4"/>
              <w:spacing w:before="60"/>
              <w:ind w:left="135" w:right="120" w:firstLine="427"/>
              <w:jc w:val="both"/>
            </w:pPr>
            <w:r>
              <w:rPr>
                <w:rFonts w:ascii="仿宋_GB2312" w:hAnsi="仿宋_GB2312" w:eastAsia="仿宋_GB2312" w:cs="仿宋_GB2312"/>
                <w:sz w:val="24"/>
              </w:rPr>
              <w:t>三、菜籽油应符合GB/T 1536-2021标准（或最新标准）和</w:t>
            </w:r>
            <w:r>
              <w:rPr>
                <w:rFonts w:ascii="仿宋_GB2312" w:hAnsi="仿宋_GB2312" w:eastAsia="仿宋_GB2312" w:cs="仿宋_GB2312"/>
                <w:color w:val="000000"/>
                <w:sz w:val="24"/>
              </w:rPr>
              <w:t>GB2715-2016标准（或最新标准）</w:t>
            </w:r>
            <w:r>
              <w:rPr>
                <w:rFonts w:ascii="仿宋_GB2312" w:hAnsi="仿宋_GB2312" w:eastAsia="仿宋_GB2312" w:cs="仿宋_GB2312"/>
                <w:sz w:val="24"/>
              </w:rPr>
              <w:t>。（投标时提供国家认可的第三方检测机构于2025年出具的投标产品的检验报告复印件。黄曲霉毒素B1、铅、乐果必须进行检验且检验结果须符合GB2715-2016标准（或最新标准）要求。提供检验报告复印件并加盖供应商公章）</w:t>
            </w:r>
          </w:p>
          <w:p w14:paraId="40C4B7F4">
            <w:pPr>
              <w:pStyle w:val="4"/>
              <w:spacing w:before="60"/>
              <w:ind w:left="135" w:right="120" w:firstLine="427"/>
              <w:jc w:val="both"/>
            </w:pPr>
            <w:r>
              <w:rPr>
                <w:rFonts w:ascii="仿宋_GB2312" w:hAnsi="仿宋_GB2312" w:eastAsia="仿宋_GB2312" w:cs="仿宋_GB2312"/>
                <w:sz w:val="24"/>
              </w:rPr>
              <w:t>四、包装应符合GB/T 17374-2008标准（或最新标准）及国家的有关规定和要求，标签应符合GB 7718-2011标准（ 或最新标准）。</w:t>
            </w:r>
          </w:p>
          <w:p w14:paraId="0368100B">
            <w:pPr>
              <w:pStyle w:val="4"/>
              <w:ind w:left="135" w:right="120" w:firstLine="445"/>
              <w:jc w:val="both"/>
            </w:pPr>
            <w:r>
              <w:rPr>
                <w:rFonts w:ascii="仿宋_GB2312" w:hAnsi="仿宋_GB2312" w:eastAsia="仿宋_GB2312" w:cs="仿宋_GB2312"/>
                <w:sz w:val="24"/>
              </w:rPr>
              <w:t>五、送达学校的油在保质期内且距生产日期不超过两个月，油质清澈明亮，无异味，不得有沉淀污物等。</w:t>
            </w:r>
          </w:p>
        </w:tc>
      </w:tr>
      <w:tr w14:paraId="462C3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3432F4">
            <w:pPr>
              <w:pStyle w:val="4"/>
              <w:jc w:val="center"/>
            </w:pPr>
            <w:r>
              <w:rPr>
                <w:rFonts w:ascii="仿宋_GB2312" w:hAnsi="仿宋_GB2312" w:eastAsia="仿宋_GB2312" w:cs="仿宋_GB2312"/>
              </w:rPr>
              <w:t>4</w:t>
            </w:r>
          </w:p>
        </w:tc>
        <w:tc>
          <w:tcPr>
            <w:tcW w:w="581" w:type="dxa"/>
          </w:tcPr>
          <w:p w14:paraId="6B06CFC5">
            <w:pPr>
              <w:pStyle w:val="4"/>
              <w:jc w:val="center"/>
            </w:pPr>
            <w:r>
              <w:rPr>
                <w:rFonts w:ascii="仿宋_GB2312" w:hAnsi="仿宋_GB2312" w:eastAsia="仿宋_GB2312" w:cs="仿宋_GB2312"/>
              </w:rPr>
              <w:t>★</w:t>
            </w:r>
          </w:p>
        </w:tc>
        <w:tc>
          <w:tcPr>
            <w:tcW w:w="1495" w:type="dxa"/>
          </w:tcPr>
          <w:p w14:paraId="15573BED">
            <w:pPr>
              <w:pStyle w:val="4"/>
              <w:jc w:val="left"/>
            </w:pPr>
            <w:r>
              <w:rPr>
                <w:rFonts w:ascii="仿宋_GB2312" w:hAnsi="仿宋_GB2312" w:eastAsia="仿宋_GB2312" w:cs="仿宋_GB2312"/>
              </w:rPr>
              <w:t>肉类</w:t>
            </w:r>
          </w:p>
        </w:tc>
        <w:tc>
          <w:tcPr>
            <w:tcW w:w="5814" w:type="dxa"/>
          </w:tcPr>
          <w:p w14:paraId="3D2B7EC6">
            <w:pPr>
              <w:pStyle w:val="4"/>
              <w:spacing w:before="105"/>
              <w:ind w:left="135" w:right="120" w:firstLine="423"/>
              <w:jc w:val="left"/>
            </w:pPr>
            <w:r>
              <w:rPr>
                <w:rFonts w:ascii="仿宋_GB2312" w:hAnsi="仿宋_GB2312" w:eastAsia="仿宋_GB2312" w:cs="仿宋_GB2312"/>
                <w:color w:val="000000"/>
                <w:sz w:val="24"/>
              </w:rPr>
              <w:t>一、品种：生鲜的猪肉、 鸡肉（鸡边腿、鸡大胸、整鸡）、鸭 肉、牛肉、羊肉。不接受配送任何半熟或全熟动物产品。</w:t>
            </w:r>
          </w:p>
          <w:p w14:paraId="5BB7EACE">
            <w:pPr>
              <w:pStyle w:val="4"/>
              <w:spacing w:before="15"/>
              <w:ind w:left="135" w:right="120" w:firstLine="431"/>
              <w:jc w:val="both"/>
            </w:pPr>
            <w:r>
              <w:rPr>
                <w:rFonts w:ascii="仿宋_GB2312" w:hAnsi="仿宋_GB2312" w:eastAsia="仿宋_GB2312" w:cs="仿宋_GB2312"/>
                <w:color w:val="000000"/>
                <w:sz w:val="24"/>
              </w:rPr>
              <w:t>二、配送肉类须符合GB 2707-2 016 现行国家标准或国家卫生、食品安全最新标准，所供肉类不得检出国务院食品安全委员会办公室《“瘦肉 精 ”专项整治方案》（食安办〔201 1〕14 号）规定的“瘦肉精 ”品质目录，须符合GB 31650-2019国家最新标准规定，禁止提供注水肉类等，食品中兽药最大残留限量符合规定。</w:t>
            </w:r>
          </w:p>
          <w:p w14:paraId="65D18457">
            <w:pPr>
              <w:pStyle w:val="4"/>
              <w:ind w:left="135" w:right="120" w:firstLine="425"/>
              <w:jc w:val="both"/>
            </w:pPr>
            <w:r>
              <w:rPr>
                <w:rFonts w:ascii="仿宋_GB2312" w:hAnsi="仿宋_GB2312" w:eastAsia="仿宋_GB2312" w:cs="仿宋_GB2312"/>
                <w:color w:val="000000"/>
                <w:sz w:val="24"/>
              </w:rPr>
              <w:t>三、生鲜猪肉、牛肉、羊肉类 ：无槽头肉和血刀肉 ； 甲状腺、肾上腺、病变淋巴摘除干净；无残留毛绒 ，不准带长短毛 ；不带浮毛、凝血块、胆污、粪污及其他污染物 ；肌肉应有光泽 ，不粘手 ，有弹性，指压后凹陷立即恢复原状，并具有鲜肉的正常气味，排骨类无龙骨。</w:t>
            </w:r>
          </w:p>
          <w:p w14:paraId="41EAF517">
            <w:pPr>
              <w:pStyle w:val="4"/>
              <w:ind w:left="135" w:right="120" w:firstLine="425"/>
              <w:jc w:val="both"/>
            </w:pPr>
            <w:r>
              <w:rPr>
                <w:rFonts w:ascii="仿宋_GB2312" w:hAnsi="仿宋_GB2312" w:eastAsia="仿宋_GB2312" w:cs="仿宋_GB2312"/>
                <w:color w:val="000000"/>
                <w:sz w:val="24"/>
              </w:rPr>
              <w:t xml:space="preserve"> 四、符合生猪溯源体系要求并有产地动物卫生监督机构出具的检疫（或检测）合格证明和动物产品检疫（或检测）合格验讫印章以及生猪定点屠宰厂肉品品质检验合格验讫印章。</w:t>
            </w:r>
          </w:p>
          <w:p w14:paraId="66D9B324">
            <w:pPr>
              <w:pStyle w:val="4"/>
              <w:ind w:left="135" w:right="120" w:firstLine="425"/>
              <w:jc w:val="both"/>
            </w:pPr>
            <w:r>
              <w:rPr>
                <w:rFonts w:ascii="仿宋_GB2312" w:hAnsi="仿宋_GB2312" w:eastAsia="仿宋_GB2312" w:cs="仿宋_GB2312"/>
                <w:color w:val="000000"/>
                <w:sz w:val="24"/>
              </w:rPr>
              <w:t xml:space="preserve"> 五、禽肉质量符合GB 16869-2005《鲜、冻禽产品》规定要求，牛肉质量符合GB/T17238-2022《鲜、冻分割牛肉》、羊肉质量符合GB/T9961-2008《鲜、冻胴体羊肉》等相关肉类规定要求 。禽肉类鲜活原料应体壮，色泽正常，无病，无内脏，无异物，符合规格要求，达到食用标准。生鲜禽肉类必须保证新鲜，应符合食品安全溯源管理要求。</w:t>
            </w:r>
          </w:p>
        </w:tc>
      </w:tr>
      <w:tr w14:paraId="077269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0B2050">
            <w:pPr>
              <w:pStyle w:val="4"/>
              <w:jc w:val="center"/>
            </w:pPr>
            <w:r>
              <w:rPr>
                <w:rFonts w:ascii="仿宋_GB2312" w:hAnsi="仿宋_GB2312" w:eastAsia="仿宋_GB2312" w:cs="仿宋_GB2312"/>
              </w:rPr>
              <w:t>5</w:t>
            </w:r>
          </w:p>
        </w:tc>
        <w:tc>
          <w:tcPr>
            <w:tcW w:w="581" w:type="dxa"/>
          </w:tcPr>
          <w:p w14:paraId="6E37344A">
            <w:pPr>
              <w:pStyle w:val="4"/>
              <w:jc w:val="center"/>
            </w:pPr>
            <w:r>
              <w:rPr>
                <w:rFonts w:ascii="仿宋_GB2312" w:hAnsi="仿宋_GB2312" w:eastAsia="仿宋_GB2312" w:cs="仿宋_GB2312"/>
              </w:rPr>
              <w:t>★</w:t>
            </w:r>
          </w:p>
        </w:tc>
        <w:tc>
          <w:tcPr>
            <w:tcW w:w="1495" w:type="dxa"/>
          </w:tcPr>
          <w:p w14:paraId="26FB5DD7">
            <w:pPr>
              <w:pStyle w:val="4"/>
              <w:jc w:val="left"/>
            </w:pPr>
            <w:r>
              <w:rPr>
                <w:rFonts w:ascii="仿宋_GB2312" w:hAnsi="仿宋_GB2312" w:eastAsia="仿宋_GB2312" w:cs="仿宋_GB2312"/>
              </w:rPr>
              <w:t>鲜鸡蛋</w:t>
            </w:r>
          </w:p>
        </w:tc>
        <w:tc>
          <w:tcPr>
            <w:tcW w:w="5814" w:type="dxa"/>
          </w:tcPr>
          <w:p w14:paraId="4C22E73D">
            <w:pPr>
              <w:pStyle w:val="4"/>
              <w:spacing w:before="105"/>
              <w:ind w:left="120" w:right="120" w:firstLine="434"/>
              <w:jc w:val="left"/>
            </w:pPr>
            <w:r>
              <w:rPr>
                <w:rFonts w:ascii="仿宋_GB2312" w:hAnsi="仿宋_GB2312" w:eastAsia="仿宋_GB2312" w:cs="仿宋_GB2312"/>
                <w:color w:val="000000"/>
                <w:sz w:val="24"/>
              </w:rPr>
              <w:t>一、鲜鸡蛋质量要求：应符合 G B/T39438-2020《包装鸡蛋》 、《食品安全国家标准蛋与蛋制品》《食品安全国家标准食品中污染物限量》等规定或国家卫生 、食品安全最新标准 ；保证质保期内新鲜 、卫生 、安全，蛋壳光滑、干净，无破损，无沙壳 、畸形 、麻点 ；蛋黄蛋清界限分明；送达学校的鸡蛋距产蛋时间不超过一周。</w:t>
            </w:r>
          </w:p>
          <w:p w14:paraId="140F7734">
            <w:pPr>
              <w:pStyle w:val="4"/>
              <w:spacing w:before="165"/>
              <w:ind w:left="570"/>
              <w:jc w:val="left"/>
            </w:pPr>
            <w:r>
              <w:rPr>
                <w:rFonts w:ascii="仿宋_GB2312" w:hAnsi="仿宋_GB2312" w:eastAsia="仿宋_GB2312" w:cs="仿宋_GB2312"/>
                <w:color w:val="000000"/>
                <w:sz w:val="24"/>
              </w:rPr>
              <w:t>二、散装生鲜禽蛋应有动物产品检疫（或检测）合格证明，外地生鲜禽蛋应有其所在地的检疫（或检测）合格证明或检疫（或检测）验讫标识。</w:t>
            </w:r>
          </w:p>
        </w:tc>
      </w:tr>
      <w:tr w14:paraId="020366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F92D19">
            <w:pPr>
              <w:pStyle w:val="4"/>
              <w:jc w:val="center"/>
            </w:pPr>
            <w:r>
              <w:rPr>
                <w:rFonts w:ascii="仿宋_GB2312" w:hAnsi="仿宋_GB2312" w:eastAsia="仿宋_GB2312" w:cs="仿宋_GB2312"/>
              </w:rPr>
              <w:t>6</w:t>
            </w:r>
          </w:p>
        </w:tc>
        <w:tc>
          <w:tcPr>
            <w:tcW w:w="581" w:type="dxa"/>
          </w:tcPr>
          <w:p w14:paraId="632C3317">
            <w:pPr>
              <w:pStyle w:val="4"/>
              <w:jc w:val="center"/>
            </w:pPr>
            <w:r>
              <w:rPr>
                <w:rFonts w:ascii="仿宋_GB2312" w:hAnsi="仿宋_GB2312" w:eastAsia="仿宋_GB2312" w:cs="仿宋_GB2312"/>
              </w:rPr>
              <w:t>★</w:t>
            </w:r>
          </w:p>
        </w:tc>
        <w:tc>
          <w:tcPr>
            <w:tcW w:w="1495" w:type="dxa"/>
          </w:tcPr>
          <w:p w14:paraId="2729357B">
            <w:pPr>
              <w:pStyle w:val="4"/>
              <w:jc w:val="left"/>
            </w:pPr>
            <w:r>
              <w:rPr>
                <w:rFonts w:ascii="仿宋_GB2312" w:hAnsi="仿宋_GB2312" w:eastAsia="仿宋_GB2312" w:cs="仿宋_GB2312"/>
              </w:rPr>
              <w:t>牛奶</w:t>
            </w:r>
          </w:p>
        </w:tc>
        <w:tc>
          <w:tcPr>
            <w:tcW w:w="5814" w:type="dxa"/>
          </w:tcPr>
          <w:p w14:paraId="7836F7A8">
            <w:pPr>
              <w:pStyle w:val="4"/>
              <w:jc w:val="left"/>
            </w:pPr>
            <w:r>
              <w:rPr>
                <w:rFonts w:ascii="仿宋_GB2312" w:hAnsi="仿宋_GB2312" w:eastAsia="仿宋_GB2312" w:cs="仿宋_GB2312"/>
                <w:color w:val="000000"/>
                <w:sz w:val="24"/>
              </w:rPr>
              <w:t>一、污染物： 符合GB2762-2022的规定。</w:t>
            </w:r>
          </w:p>
          <w:p w14:paraId="5BECB1EB">
            <w:pPr>
              <w:pStyle w:val="4"/>
              <w:jc w:val="left"/>
            </w:pPr>
            <w:r>
              <w:rPr>
                <w:rFonts w:ascii="仿宋_GB2312" w:hAnsi="仿宋_GB2312" w:eastAsia="仿宋_GB2312" w:cs="仿宋_GB2312"/>
                <w:color w:val="000000"/>
                <w:sz w:val="24"/>
              </w:rPr>
              <w:t>二、真菌毒素：符合GB276 1-2017的规定。</w:t>
            </w:r>
          </w:p>
          <w:p w14:paraId="153BDB50">
            <w:pPr>
              <w:pStyle w:val="4"/>
              <w:jc w:val="left"/>
            </w:pPr>
            <w:r>
              <w:rPr>
                <w:rFonts w:ascii="仿宋_GB2312" w:hAnsi="仿宋_GB2312" w:eastAsia="仿宋_GB2312" w:cs="仿宋_GB2312"/>
                <w:color w:val="000000"/>
                <w:sz w:val="24"/>
              </w:rPr>
              <w:t>三、微生物指标：符合商业无菌的要求。每盒净含量200毫升，正负偏差必须符合国家规定。</w:t>
            </w:r>
          </w:p>
          <w:p w14:paraId="5E2DC30E">
            <w:pPr>
              <w:pStyle w:val="4"/>
              <w:jc w:val="left"/>
            </w:pPr>
            <w:r>
              <w:rPr>
                <w:rFonts w:ascii="仿宋_GB2312" w:hAnsi="仿宋_GB2312" w:eastAsia="仿宋_GB2312" w:cs="仿宋_GB2312"/>
                <w:color w:val="000000"/>
                <w:sz w:val="24"/>
              </w:rPr>
              <w:t xml:space="preserve">四、包装用料：盒装。包装用料应符合国家规定，不易破损，与食品接触部分不得含有害成分，手持不易变形，吸管不易折断。 </w:t>
            </w:r>
          </w:p>
          <w:p w14:paraId="581658B2">
            <w:pPr>
              <w:pStyle w:val="4"/>
              <w:jc w:val="left"/>
            </w:pPr>
            <w:r>
              <w:rPr>
                <w:rFonts w:ascii="仿宋_GB2312" w:hAnsi="仿宋_GB2312" w:eastAsia="仿宋_GB2312" w:cs="仿宋_GB2312"/>
                <w:color w:val="000000"/>
                <w:sz w:val="24"/>
              </w:rPr>
              <w:t xml:space="preserve">五、包装外表面的文字说明：产品种类、营养成分及含量、原料及配料、净含量、生产日期、保质期、食品生产许可证编号、生产商、联系电话等。 </w:t>
            </w:r>
          </w:p>
          <w:p w14:paraId="15280B3C">
            <w:pPr>
              <w:pStyle w:val="4"/>
              <w:jc w:val="left"/>
            </w:pPr>
            <w:r>
              <w:rPr>
                <w:rFonts w:ascii="仿宋_GB2312" w:hAnsi="仿宋_GB2312" w:eastAsia="仿宋_GB2312" w:cs="仿宋_GB2312"/>
                <w:color w:val="000000"/>
                <w:sz w:val="24"/>
              </w:rPr>
              <w:t>六、保质期：常温下不低于180天，送达学校的学生饮用奶生产日期必须在60天内。</w:t>
            </w:r>
          </w:p>
          <w:p w14:paraId="6ABB3112">
            <w:pPr>
              <w:pStyle w:val="4"/>
              <w:jc w:val="left"/>
            </w:pPr>
          </w:p>
        </w:tc>
      </w:tr>
    </w:tbl>
    <w:p w14:paraId="29FD6345">
      <w:pPr>
        <w:pStyle w:val="4"/>
        <w:jc w:val="left"/>
        <w:outlineLvl w:val="2"/>
      </w:pPr>
      <w:r>
        <w:rPr>
          <w:rFonts w:ascii="仿宋_GB2312" w:hAnsi="仿宋_GB2312" w:eastAsia="仿宋_GB2312" w:cs="仿宋_GB2312"/>
          <w:b/>
          <w:sz w:val="28"/>
        </w:rPr>
        <w:t>3.3.服务要求</w:t>
      </w:r>
    </w:p>
    <w:p w14:paraId="202D4165">
      <w:pPr>
        <w:pStyle w:val="4"/>
        <w:jc w:val="left"/>
        <w:outlineLvl w:val="3"/>
      </w:pPr>
      <w:r>
        <w:rPr>
          <w:rFonts w:ascii="仿宋_GB2312" w:hAnsi="仿宋_GB2312" w:eastAsia="仿宋_GB2312" w:cs="仿宋_GB2312"/>
          <w:b/>
          <w:sz w:val="24"/>
        </w:rPr>
        <w:t>3.3.1.服务内容要求</w:t>
      </w:r>
    </w:p>
    <w:p w14:paraId="414AF28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5D78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BD6FBA">
            <w:pPr>
              <w:pStyle w:val="4"/>
              <w:jc w:val="center"/>
            </w:pPr>
            <w:r>
              <w:rPr>
                <w:rFonts w:ascii="仿宋_GB2312" w:hAnsi="仿宋_GB2312" w:eastAsia="仿宋_GB2312" w:cs="仿宋_GB2312"/>
              </w:rPr>
              <w:t xml:space="preserve"> 序号</w:t>
            </w:r>
          </w:p>
        </w:tc>
        <w:tc>
          <w:tcPr>
            <w:tcW w:w="581" w:type="dxa"/>
          </w:tcPr>
          <w:p w14:paraId="5A462935">
            <w:pPr>
              <w:pStyle w:val="4"/>
              <w:jc w:val="center"/>
            </w:pPr>
            <w:r>
              <w:rPr>
                <w:rFonts w:ascii="仿宋_GB2312" w:hAnsi="仿宋_GB2312" w:eastAsia="仿宋_GB2312" w:cs="仿宋_GB2312"/>
              </w:rPr>
              <w:t xml:space="preserve"> 符号标识</w:t>
            </w:r>
          </w:p>
        </w:tc>
        <w:tc>
          <w:tcPr>
            <w:tcW w:w="1495" w:type="dxa"/>
          </w:tcPr>
          <w:p w14:paraId="4B68DC00">
            <w:pPr>
              <w:pStyle w:val="4"/>
              <w:jc w:val="center"/>
            </w:pPr>
            <w:r>
              <w:rPr>
                <w:rFonts w:ascii="仿宋_GB2312" w:hAnsi="仿宋_GB2312" w:eastAsia="仿宋_GB2312" w:cs="仿宋_GB2312"/>
              </w:rPr>
              <w:t xml:space="preserve"> 服务要求名称</w:t>
            </w:r>
          </w:p>
        </w:tc>
        <w:tc>
          <w:tcPr>
            <w:tcW w:w="5814" w:type="dxa"/>
          </w:tcPr>
          <w:p w14:paraId="4287A274">
            <w:pPr>
              <w:pStyle w:val="4"/>
              <w:jc w:val="center"/>
            </w:pPr>
            <w:r>
              <w:rPr>
                <w:rFonts w:ascii="仿宋_GB2312" w:hAnsi="仿宋_GB2312" w:eastAsia="仿宋_GB2312" w:cs="仿宋_GB2312"/>
              </w:rPr>
              <w:t xml:space="preserve"> 服务要求内容</w:t>
            </w:r>
          </w:p>
        </w:tc>
      </w:tr>
      <w:tr w14:paraId="5F3103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D0B0C5">
            <w:pPr>
              <w:pStyle w:val="4"/>
              <w:jc w:val="center"/>
            </w:pPr>
            <w:r>
              <w:rPr>
                <w:rFonts w:ascii="仿宋_GB2312" w:hAnsi="仿宋_GB2312" w:eastAsia="仿宋_GB2312" w:cs="仿宋_GB2312"/>
              </w:rPr>
              <w:t>1</w:t>
            </w:r>
          </w:p>
        </w:tc>
        <w:tc>
          <w:tcPr>
            <w:tcW w:w="581" w:type="dxa"/>
          </w:tcPr>
          <w:p w14:paraId="388F1EA5">
            <w:pPr>
              <w:pStyle w:val="4"/>
              <w:jc w:val="center"/>
            </w:pPr>
            <w:r>
              <w:rPr>
                <w:rFonts w:ascii="仿宋_GB2312" w:hAnsi="仿宋_GB2312" w:eastAsia="仿宋_GB2312" w:cs="仿宋_GB2312"/>
              </w:rPr>
              <w:t>★</w:t>
            </w:r>
          </w:p>
        </w:tc>
        <w:tc>
          <w:tcPr>
            <w:tcW w:w="1495" w:type="dxa"/>
          </w:tcPr>
          <w:p w14:paraId="24292009">
            <w:pPr>
              <w:pStyle w:val="4"/>
              <w:jc w:val="left"/>
            </w:pPr>
            <w:r>
              <w:rPr>
                <w:rFonts w:ascii="仿宋_GB2312" w:hAnsi="仿宋_GB2312" w:eastAsia="仿宋_GB2312" w:cs="仿宋_GB2312"/>
              </w:rPr>
              <w:t>项目考核表</w:t>
            </w:r>
          </w:p>
        </w:tc>
        <w:tc>
          <w:tcPr>
            <w:tcW w:w="5814" w:type="dxa"/>
          </w:tcPr>
          <w:p w14:paraId="3438249D">
            <w:pPr>
              <w:pStyle w:val="4"/>
              <w:spacing w:after="120"/>
              <w:jc w:val="center"/>
            </w:pPr>
            <w:r>
              <w:rPr>
                <w:rFonts w:ascii="仿宋_GB2312" w:hAnsi="仿宋_GB2312" w:eastAsia="仿宋_GB2312" w:cs="仿宋_GB2312"/>
                <w:sz w:val="30"/>
              </w:rPr>
              <w:t>雷波县中小学校食堂大宗食品和原辅材料采购项目考核表</w:t>
            </w:r>
          </w:p>
          <w:tbl>
            <w:tblPr>
              <w:tblStyle w:val="2"/>
              <w:tblW w:w="0" w:type="auto"/>
              <w:tblInd w:w="4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50"/>
              <w:gridCol w:w="400"/>
              <w:gridCol w:w="2049"/>
              <w:gridCol w:w="1974"/>
            </w:tblGrid>
            <w:tr w14:paraId="5FDA6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9"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7ABCCC">
                  <w:pPr>
                    <w:pStyle w:val="4"/>
                    <w:ind w:firstLine="360"/>
                    <w:jc w:val="center"/>
                  </w:pPr>
                  <w:r>
                    <w:rPr>
                      <w:rFonts w:ascii="仿宋_GB2312" w:hAnsi="仿宋_GB2312" w:eastAsia="仿宋_GB2312" w:cs="仿宋_GB2312"/>
                      <w:sz w:val="18"/>
                    </w:rPr>
                    <w:t>雷波县中小学校食堂大宗食品和原辅材料采购项目考核表</w:t>
                  </w:r>
                </w:p>
              </w:tc>
            </w:tr>
            <w:tr w14:paraId="145B95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D64916">
                  <w:pPr>
                    <w:pStyle w:val="4"/>
                    <w:ind w:firstLine="360"/>
                    <w:jc w:val="center"/>
                  </w:pPr>
                  <w:r>
                    <w:rPr>
                      <w:rFonts w:ascii="仿宋_GB2312" w:hAnsi="仿宋_GB2312" w:eastAsia="仿宋_GB2312" w:cs="仿宋_GB2312"/>
                      <w:sz w:val="18"/>
                    </w:rPr>
                    <w:t>质</w:t>
                  </w:r>
                </w:p>
                <w:p w14:paraId="36B74657">
                  <w:pPr>
                    <w:pStyle w:val="4"/>
                    <w:jc w:val="center"/>
                  </w:pPr>
                  <w:r>
                    <w:rPr>
                      <w:rFonts w:ascii="仿宋_GB2312" w:hAnsi="仿宋_GB2312" w:eastAsia="仿宋_GB2312" w:cs="仿宋_GB2312"/>
                      <w:sz w:val="18"/>
                    </w:rPr>
                    <w:t>量</w:t>
                  </w:r>
                </w:p>
                <w:p w14:paraId="2357078A">
                  <w:pPr>
                    <w:pStyle w:val="4"/>
                    <w:jc w:val="center"/>
                  </w:pPr>
                  <w:r>
                    <w:rPr>
                      <w:rFonts w:ascii="仿宋_GB2312" w:hAnsi="仿宋_GB2312" w:eastAsia="仿宋_GB2312" w:cs="仿宋_GB2312"/>
                      <w:sz w:val="18"/>
                    </w:rPr>
                    <w:t>类</w:t>
                  </w:r>
                </w:p>
              </w:tc>
              <w:tc>
                <w:tcPr>
                  <w:tcW w:w="4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7FD996">
                  <w:pPr>
                    <w:pStyle w:val="4"/>
                    <w:jc w:val="center"/>
                  </w:pPr>
                  <w:r>
                    <w:rPr>
                      <w:rFonts w:ascii="仿宋_GB2312" w:hAnsi="仿宋_GB2312" w:eastAsia="仿宋_GB2312" w:cs="仿宋_GB2312"/>
                      <w:sz w:val="18"/>
                    </w:rPr>
                    <w:t>序号</w:t>
                  </w:r>
                </w:p>
              </w:tc>
              <w:tc>
                <w:tcPr>
                  <w:tcW w:w="23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A74D9D">
                  <w:pPr>
                    <w:pStyle w:val="4"/>
                    <w:ind w:firstLine="360"/>
                    <w:jc w:val="center"/>
                  </w:pPr>
                  <w:r>
                    <w:rPr>
                      <w:rFonts w:ascii="仿宋_GB2312" w:hAnsi="仿宋_GB2312" w:eastAsia="仿宋_GB2312" w:cs="仿宋_GB2312"/>
                      <w:sz w:val="18"/>
                    </w:rPr>
                    <w:t>考核标准</w:t>
                  </w:r>
                </w:p>
              </w:tc>
              <w:tc>
                <w:tcPr>
                  <w:tcW w:w="22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1CE5AE">
                  <w:pPr>
                    <w:pStyle w:val="4"/>
                    <w:jc w:val="center"/>
                  </w:pPr>
                  <w:r>
                    <w:rPr>
                      <w:rFonts w:ascii="仿宋_GB2312" w:hAnsi="仿宋_GB2312" w:eastAsia="仿宋_GB2312" w:cs="仿宋_GB2312"/>
                      <w:sz w:val="18"/>
                    </w:rPr>
                    <w:t>分值（满分100分）</w:t>
                  </w:r>
                </w:p>
              </w:tc>
            </w:tr>
            <w:tr w14:paraId="1E6C25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40B8AFEE"/>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F4BB89">
                  <w:pPr>
                    <w:pStyle w:val="4"/>
                    <w:jc w:val="center"/>
                  </w:pPr>
                  <w:r>
                    <w:rPr>
                      <w:rFonts w:ascii="仿宋_GB2312" w:hAnsi="仿宋_GB2312" w:eastAsia="仿宋_GB2312" w:cs="仿宋_GB2312"/>
                      <w:sz w:val="18"/>
                    </w:rPr>
                    <w:t>1</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C54F4">
                  <w:pPr>
                    <w:pStyle w:val="4"/>
                    <w:ind w:firstLine="360"/>
                    <w:jc w:val="center"/>
                  </w:pPr>
                  <w:r>
                    <w:rPr>
                      <w:rFonts w:ascii="仿宋_GB2312" w:hAnsi="仿宋_GB2312" w:eastAsia="仿宋_GB2312" w:cs="仿宋_GB2312"/>
                      <w:sz w:val="18"/>
                    </w:rPr>
                    <w:t>未按学校要求配送食材</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D25FA2">
                  <w:pPr>
                    <w:pStyle w:val="4"/>
                    <w:jc w:val="center"/>
                  </w:pPr>
                  <w:r>
                    <w:rPr>
                      <w:rFonts w:ascii="仿宋_GB2312" w:hAnsi="仿宋_GB2312" w:eastAsia="仿宋_GB2312" w:cs="仿宋_GB2312"/>
                      <w:sz w:val="18"/>
                    </w:rPr>
                    <w:t>每有一次扣5分</w:t>
                  </w:r>
                </w:p>
              </w:tc>
            </w:tr>
            <w:tr w14:paraId="58F786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2472ABD8"/>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D1ED91">
                  <w:pPr>
                    <w:pStyle w:val="4"/>
                    <w:jc w:val="center"/>
                  </w:pPr>
                  <w:r>
                    <w:rPr>
                      <w:rFonts w:ascii="仿宋_GB2312" w:hAnsi="仿宋_GB2312" w:eastAsia="仿宋_GB2312" w:cs="仿宋_GB2312"/>
                      <w:sz w:val="18"/>
                    </w:rPr>
                    <w:t>2</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054DA">
                  <w:pPr>
                    <w:pStyle w:val="4"/>
                    <w:ind w:firstLine="360"/>
                    <w:jc w:val="center"/>
                  </w:pPr>
                  <w:r>
                    <w:rPr>
                      <w:rFonts w:ascii="仿宋_GB2312" w:hAnsi="仿宋_GB2312" w:eastAsia="仿宋_GB2312" w:cs="仿宋_GB2312"/>
                      <w:sz w:val="18"/>
                    </w:rPr>
                    <w:t>食材被水浸泡后增重的</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52BF1">
                  <w:pPr>
                    <w:pStyle w:val="4"/>
                    <w:jc w:val="center"/>
                  </w:pPr>
                  <w:r>
                    <w:rPr>
                      <w:rFonts w:ascii="仿宋_GB2312" w:hAnsi="仿宋_GB2312" w:eastAsia="仿宋_GB2312" w:cs="仿宋_GB2312"/>
                      <w:sz w:val="18"/>
                    </w:rPr>
                    <w:t>每有一次扣5分</w:t>
                  </w:r>
                </w:p>
              </w:tc>
            </w:tr>
            <w:tr w14:paraId="5DFFCD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14F56B33"/>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AD622">
                  <w:pPr>
                    <w:pStyle w:val="4"/>
                    <w:jc w:val="center"/>
                  </w:pPr>
                  <w:r>
                    <w:rPr>
                      <w:rFonts w:ascii="仿宋_GB2312" w:hAnsi="仿宋_GB2312" w:eastAsia="仿宋_GB2312" w:cs="仿宋_GB2312"/>
                      <w:sz w:val="18"/>
                    </w:rPr>
                    <w:t>3</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2D658E">
                  <w:pPr>
                    <w:pStyle w:val="4"/>
                    <w:jc w:val="center"/>
                  </w:pPr>
                  <w:r>
                    <w:rPr>
                      <w:rFonts w:ascii="仿宋_GB2312" w:hAnsi="仿宋_GB2312" w:eastAsia="仿宋_GB2312" w:cs="仿宋_GB2312"/>
                      <w:sz w:val="18"/>
                    </w:rPr>
                    <w:t>同一批次食材2个以上品种不洁净的</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38A91A">
                  <w:pPr>
                    <w:pStyle w:val="4"/>
                    <w:jc w:val="center"/>
                  </w:pPr>
                  <w:r>
                    <w:rPr>
                      <w:rFonts w:ascii="仿宋_GB2312" w:hAnsi="仿宋_GB2312" w:eastAsia="仿宋_GB2312" w:cs="仿宋_GB2312"/>
                      <w:sz w:val="18"/>
                    </w:rPr>
                    <w:t>每有一次扣5分</w:t>
                  </w:r>
                </w:p>
              </w:tc>
            </w:tr>
            <w:tr w14:paraId="2EFC81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7E35F82D"/>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D2305">
                  <w:pPr>
                    <w:pStyle w:val="4"/>
                    <w:jc w:val="center"/>
                  </w:pPr>
                  <w:r>
                    <w:rPr>
                      <w:rFonts w:ascii="仿宋_GB2312" w:hAnsi="仿宋_GB2312" w:eastAsia="仿宋_GB2312" w:cs="仿宋_GB2312"/>
                      <w:sz w:val="18"/>
                    </w:rPr>
                    <w:t>4</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E9D893">
                  <w:pPr>
                    <w:pStyle w:val="4"/>
                    <w:ind w:firstLine="360"/>
                    <w:jc w:val="center"/>
                  </w:pPr>
                  <w:r>
                    <w:rPr>
                      <w:rFonts w:ascii="仿宋_GB2312" w:hAnsi="仿宋_GB2312" w:eastAsia="仿宋_GB2312" w:cs="仿宋_GB2312"/>
                      <w:sz w:val="18"/>
                    </w:rPr>
                    <w:t>配送食材混杂有异物的</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CB890">
                  <w:pPr>
                    <w:pStyle w:val="4"/>
                    <w:jc w:val="center"/>
                  </w:pPr>
                  <w:r>
                    <w:rPr>
                      <w:rFonts w:ascii="仿宋_GB2312" w:hAnsi="仿宋_GB2312" w:eastAsia="仿宋_GB2312" w:cs="仿宋_GB2312"/>
                      <w:sz w:val="18"/>
                    </w:rPr>
                    <w:t>每有一次扣5分</w:t>
                  </w:r>
                </w:p>
              </w:tc>
            </w:tr>
            <w:tr w14:paraId="6EBB40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7E839634"/>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3978B">
                  <w:pPr>
                    <w:pStyle w:val="4"/>
                    <w:jc w:val="center"/>
                  </w:pPr>
                  <w:r>
                    <w:rPr>
                      <w:rFonts w:ascii="仿宋_GB2312" w:hAnsi="仿宋_GB2312" w:eastAsia="仿宋_GB2312" w:cs="仿宋_GB2312"/>
                      <w:sz w:val="18"/>
                    </w:rPr>
                    <w:t>5</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85A312">
                  <w:pPr>
                    <w:pStyle w:val="4"/>
                    <w:jc w:val="center"/>
                  </w:pPr>
                  <w:r>
                    <w:rPr>
                      <w:rFonts w:ascii="仿宋_GB2312" w:hAnsi="仿宋_GB2312" w:eastAsia="仿宋_GB2312" w:cs="仿宋_GB2312"/>
                      <w:sz w:val="18"/>
                    </w:rPr>
                    <w:t>配送的食材有发潮或发霉现象的</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C2F53">
                  <w:pPr>
                    <w:pStyle w:val="4"/>
                    <w:jc w:val="center"/>
                  </w:pPr>
                  <w:r>
                    <w:rPr>
                      <w:rFonts w:ascii="仿宋_GB2312" w:hAnsi="仿宋_GB2312" w:eastAsia="仿宋_GB2312" w:cs="仿宋_GB2312"/>
                      <w:sz w:val="18"/>
                    </w:rPr>
                    <w:t>每有一次扣5分</w:t>
                  </w:r>
                </w:p>
              </w:tc>
            </w:tr>
            <w:tr w14:paraId="0DD189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7ABCF91D"/>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9B224">
                  <w:pPr>
                    <w:pStyle w:val="4"/>
                    <w:jc w:val="center"/>
                  </w:pPr>
                  <w:r>
                    <w:rPr>
                      <w:rFonts w:ascii="仿宋_GB2312" w:hAnsi="仿宋_GB2312" w:eastAsia="仿宋_GB2312" w:cs="仿宋_GB2312"/>
                      <w:sz w:val="18"/>
                    </w:rPr>
                    <w:t>6</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3BBEB7">
                  <w:pPr>
                    <w:pStyle w:val="4"/>
                    <w:ind w:firstLine="360"/>
                    <w:jc w:val="center"/>
                  </w:pPr>
                  <w:r>
                    <w:rPr>
                      <w:rFonts w:ascii="仿宋_GB2312" w:hAnsi="仿宋_GB2312" w:eastAsia="仿宋_GB2312" w:cs="仿宋_GB2312"/>
                      <w:sz w:val="18"/>
                    </w:rPr>
                    <w:t>配送的食材包装变形、渗漏的</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7D76A">
                  <w:pPr>
                    <w:pStyle w:val="4"/>
                    <w:jc w:val="center"/>
                  </w:pPr>
                  <w:r>
                    <w:rPr>
                      <w:rFonts w:ascii="仿宋_GB2312" w:hAnsi="仿宋_GB2312" w:eastAsia="仿宋_GB2312" w:cs="仿宋_GB2312"/>
                      <w:sz w:val="18"/>
                    </w:rPr>
                    <w:t>每有一次扣5分</w:t>
                  </w:r>
                </w:p>
              </w:tc>
            </w:tr>
            <w:tr w14:paraId="5A99E3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3BDDF">
                  <w:pPr>
                    <w:pStyle w:val="4"/>
                    <w:jc w:val="center"/>
                  </w:pPr>
                  <w:r>
                    <w:rPr>
                      <w:rFonts w:ascii="仿宋_GB2312" w:hAnsi="仿宋_GB2312" w:eastAsia="仿宋_GB2312" w:cs="仿宋_GB2312"/>
                      <w:sz w:val="18"/>
                    </w:rPr>
                    <w:t>服</w:t>
                  </w:r>
                </w:p>
                <w:p w14:paraId="1E5D661B">
                  <w:pPr>
                    <w:pStyle w:val="4"/>
                    <w:jc w:val="center"/>
                  </w:pPr>
                  <w:r>
                    <w:rPr>
                      <w:rFonts w:ascii="仿宋_GB2312" w:hAnsi="仿宋_GB2312" w:eastAsia="仿宋_GB2312" w:cs="仿宋_GB2312"/>
                      <w:sz w:val="18"/>
                    </w:rPr>
                    <w:t>务</w:t>
                  </w:r>
                </w:p>
                <w:p w14:paraId="017C9CBF">
                  <w:pPr>
                    <w:pStyle w:val="4"/>
                    <w:jc w:val="center"/>
                  </w:pPr>
                  <w:r>
                    <w:rPr>
                      <w:rFonts w:ascii="仿宋_GB2312" w:hAnsi="仿宋_GB2312" w:eastAsia="仿宋_GB2312" w:cs="仿宋_GB2312"/>
                      <w:sz w:val="18"/>
                    </w:rPr>
                    <w:t>类</w:t>
                  </w:r>
                </w:p>
                <w:p w14:paraId="718FA572">
                  <w:pPr>
                    <w:pStyle w:val="4"/>
                    <w:ind w:firstLine="360"/>
                    <w:jc w:val="center"/>
                  </w:pPr>
                </w:p>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630F18">
                  <w:pPr>
                    <w:pStyle w:val="4"/>
                    <w:jc w:val="center"/>
                  </w:pPr>
                  <w:r>
                    <w:rPr>
                      <w:rFonts w:ascii="仿宋_GB2312" w:hAnsi="仿宋_GB2312" w:eastAsia="仿宋_GB2312" w:cs="仿宋_GB2312"/>
                      <w:sz w:val="18"/>
                    </w:rPr>
                    <w:t>1</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0B9424">
                  <w:pPr>
                    <w:pStyle w:val="4"/>
                    <w:jc w:val="center"/>
                  </w:pPr>
                  <w:r>
                    <w:rPr>
                      <w:rFonts w:ascii="仿宋_GB2312" w:hAnsi="仿宋_GB2312" w:eastAsia="仿宋_GB2312" w:cs="仿宋_GB2312"/>
                      <w:sz w:val="18"/>
                    </w:rPr>
                    <w:t>按照学校要求的时间配送货物</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5FECA9">
                  <w:pPr>
                    <w:pStyle w:val="4"/>
                    <w:jc w:val="center"/>
                  </w:pPr>
                  <w:r>
                    <w:rPr>
                      <w:rFonts w:ascii="仿宋_GB2312" w:hAnsi="仿宋_GB2312" w:eastAsia="仿宋_GB2312" w:cs="仿宋_GB2312"/>
                      <w:sz w:val="18"/>
                    </w:rPr>
                    <w:t>每迟到1次扣5分</w:t>
                  </w:r>
                </w:p>
              </w:tc>
            </w:tr>
            <w:tr w14:paraId="4F52E2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109F38C5"/>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B73FB">
                  <w:pPr>
                    <w:pStyle w:val="4"/>
                    <w:jc w:val="center"/>
                  </w:pPr>
                  <w:r>
                    <w:rPr>
                      <w:rFonts w:ascii="仿宋_GB2312" w:hAnsi="仿宋_GB2312" w:eastAsia="仿宋_GB2312" w:cs="仿宋_GB2312"/>
                      <w:sz w:val="18"/>
                    </w:rPr>
                    <w:t>2</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4D5C7B">
                  <w:pPr>
                    <w:pStyle w:val="4"/>
                    <w:jc w:val="center"/>
                  </w:pPr>
                  <w:r>
                    <w:rPr>
                      <w:rFonts w:ascii="仿宋_GB2312" w:hAnsi="仿宋_GB2312" w:eastAsia="仿宋_GB2312" w:cs="仿宋_GB2312"/>
                      <w:sz w:val="18"/>
                    </w:rPr>
                    <w:t>按照学校要求的数量配送货物</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98EED">
                  <w:pPr>
                    <w:pStyle w:val="4"/>
                    <w:jc w:val="center"/>
                  </w:pPr>
                  <w:r>
                    <w:rPr>
                      <w:rFonts w:ascii="仿宋_GB2312" w:hAnsi="仿宋_GB2312" w:eastAsia="仿宋_GB2312" w:cs="仿宋_GB2312"/>
                      <w:sz w:val="18"/>
                    </w:rPr>
                    <w:t>每有1次未按要求数量配送的扣5分</w:t>
                  </w:r>
                </w:p>
              </w:tc>
            </w:tr>
            <w:tr w14:paraId="3BE9F4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2167D570"/>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81E545">
                  <w:pPr>
                    <w:pStyle w:val="4"/>
                    <w:jc w:val="center"/>
                  </w:pPr>
                  <w:r>
                    <w:rPr>
                      <w:rFonts w:ascii="仿宋_GB2312" w:hAnsi="仿宋_GB2312" w:eastAsia="仿宋_GB2312" w:cs="仿宋_GB2312"/>
                      <w:sz w:val="18"/>
                    </w:rPr>
                    <w:t>3</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DEA39">
                  <w:pPr>
                    <w:pStyle w:val="4"/>
                    <w:jc w:val="center"/>
                  </w:pPr>
                  <w:r>
                    <w:rPr>
                      <w:rFonts w:ascii="仿宋_GB2312" w:hAnsi="仿宋_GB2312" w:eastAsia="仿宋_GB2312" w:cs="仿宋_GB2312"/>
                      <w:sz w:val="18"/>
                    </w:rPr>
                    <w:t>因食品质量问题的后响应时间</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39C11">
                  <w:pPr>
                    <w:pStyle w:val="4"/>
                    <w:jc w:val="center"/>
                  </w:pPr>
                  <w:r>
                    <w:rPr>
                      <w:rFonts w:ascii="仿宋_GB2312" w:hAnsi="仿宋_GB2312" w:eastAsia="仿宋_GB2312" w:cs="仿宋_GB2312"/>
                      <w:sz w:val="18"/>
                    </w:rPr>
                    <w:t>未按响应时间到场的每有一次扣10分</w:t>
                  </w:r>
                </w:p>
              </w:tc>
            </w:tr>
            <w:tr w14:paraId="6E85EF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tcPr>
                <w:p w14:paraId="096E906D"/>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855B0">
                  <w:pPr>
                    <w:pStyle w:val="4"/>
                    <w:jc w:val="center"/>
                  </w:pPr>
                  <w:r>
                    <w:rPr>
                      <w:rFonts w:ascii="仿宋_GB2312" w:hAnsi="仿宋_GB2312" w:eastAsia="仿宋_GB2312" w:cs="仿宋_GB2312"/>
                      <w:sz w:val="18"/>
                    </w:rPr>
                    <w:t>4</w:t>
                  </w:r>
                </w:p>
              </w:tc>
              <w:tc>
                <w:tcPr>
                  <w:tcW w:w="23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CCD88">
                  <w:pPr>
                    <w:pStyle w:val="4"/>
                    <w:ind w:firstLine="360"/>
                    <w:jc w:val="center"/>
                  </w:pPr>
                  <w:r>
                    <w:rPr>
                      <w:rFonts w:ascii="仿宋_GB2312" w:hAnsi="仿宋_GB2312" w:eastAsia="仿宋_GB2312" w:cs="仿宋_GB2312"/>
                      <w:sz w:val="18"/>
                    </w:rPr>
                    <w:t>配送服务态度不端正的</w:t>
                  </w:r>
                </w:p>
              </w:tc>
              <w:tc>
                <w:tcPr>
                  <w:tcW w:w="2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8D64B">
                  <w:pPr>
                    <w:pStyle w:val="4"/>
                    <w:jc w:val="center"/>
                  </w:pPr>
                  <w:r>
                    <w:rPr>
                      <w:rFonts w:ascii="仿宋_GB2312" w:hAnsi="仿宋_GB2312" w:eastAsia="仿宋_GB2312" w:cs="仿宋_GB2312"/>
                      <w:sz w:val="18"/>
                    </w:rPr>
                    <w:t>每有一次扣5分</w:t>
                  </w:r>
                </w:p>
              </w:tc>
            </w:tr>
          </w:tbl>
          <w:p w14:paraId="72BDB7DD">
            <w:pPr>
              <w:pStyle w:val="4"/>
              <w:ind w:firstLine="600"/>
              <w:jc w:val="left"/>
            </w:pPr>
            <w:r>
              <w:rPr>
                <w:rFonts w:ascii="仿宋_GB2312" w:hAnsi="仿宋_GB2312" w:eastAsia="仿宋_GB2312" w:cs="仿宋_GB2312"/>
                <w:sz w:val="30"/>
              </w:rPr>
              <w:t>由学校每月对供应商进行考核，并将考核表上交县教育体育局。若考评分低于60分则视为不合格，各联合采购单位将依据退出机制解除与供应商合同，将依据相关法律法规追究供应商相关责任。</w:t>
            </w:r>
          </w:p>
        </w:tc>
      </w:tr>
      <w:tr w14:paraId="7A1E9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D33B0C">
            <w:pPr>
              <w:pStyle w:val="4"/>
              <w:jc w:val="center"/>
            </w:pPr>
            <w:r>
              <w:rPr>
                <w:rFonts w:ascii="仿宋_GB2312" w:hAnsi="仿宋_GB2312" w:eastAsia="仿宋_GB2312" w:cs="仿宋_GB2312"/>
              </w:rPr>
              <w:t>2</w:t>
            </w:r>
          </w:p>
        </w:tc>
        <w:tc>
          <w:tcPr>
            <w:tcW w:w="581" w:type="dxa"/>
          </w:tcPr>
          <w:p w14:paraId="676C7225">
            <w:pPr>
              <w:pStyle w:val="4"/>
              <w:jc w:val="center"/>
            </w:pPr>
            <w:r>
              <w:rPr>
                <w:rFonts w:ascii="仿宋_GB2312" w:hAnsi="仿宋_GB2312" w:eastAsia="仿宋_GB2312" w:cs="仿宋_GB2312"/>
              </w:rPr>
              <w:t>★</w:t>
            </w:r>
          </w:p>
        </w:tc>
        <w:tc>
          <w:tcPr>
            <w:tcW w:w="1495" w:type="dxa"/>
          </w:tcPr>
          <w:p w14:paraId="135E5D4F">
            <w:pPr>
              <w:pStyle w:val="4"/>
              <w:jc w:val="left"/>
            </w:pPr>
            <w:r>
              <w:rPr>
                <w:rFonts w:ascii="仿宋_GB2312" w:hAnsi="仿宋_GB2312" w:eastAsia="仿宋_GB2312" w:cs="仿宋_GB2312"/>
              </w:rPr>
              <w:t>退出机制</w:t>
            </w:r>
          </w:p>
        </w:tc>
        <w:tc>
          <w:tcPr>
            <w:tcW w:w="5814" w:type="dxa"/>
          </w:tcPr>
          <w:p w14:paraId="25A4D987">
            <w:pPr>
              <w:pStyle w:val="4"/>
              <w:jc w:val="both"/>
            </w:pPr>
            <w:r>
              <w:rPr>
                <w:rFonts w:ascii="仿宋_GB2312" w:hAnsi="仿宋_GB2312" w:eastAsia="仿宋_GB2312" w:cs="仿宋_GB2312"/>
                <w:color w:val="000000"/>
                <w:sz w:val="32"/>
              </w:rPr>
              <w:t xml:space="preserve">    </w:t>
            </w:r>
            <w:r>
              <w:rPr>
                <w:rFonts w:ascii="仿宋_GB2312" w:hAnsi="仿宋_GB2312" w:eastAsia="仿宋_GB2312" w:cs="仿宋_GB2312"/>
                <w:color w:val="000000"/>
                <w:sz w:val="24"/>
              </w:rPr>
              <w:t>中标供货商应严格遵守《中华人民共和国食品安全法》等相关法律法规，有下列情况之一，将没收履约保证金，并取消供应商资格，供应商承担由此造成的经济损失和法律责任：一是生产或配送《中华人民共和国食品安全法》等法律法规明令禁止的食品、食品添加剂和食品相关产品；二是发生食品质量安全事故的；三是配送食品超过保质期限的；四是配送食品与中标食品不相符的；五是转包他人的；六是连续三次无故不按时供货（不可抗力因素除外），造成学校无法满足学生就餐的；七是供应商存在严重安全隐患整改不到位等情况的（安全隐患以监管部门下达的限期整改通知书为准）；八是市场监管等部门定期或不定期对产品抽样检验结果不符合规定的；九是学校对配送食品质量和服务水平等进行考核结果为不合格的。</w:t>
            </w:r>
          </w:p>
        </w:tc>
      </w:tr>
      <w:tr w14:paraId="38559C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C4C79C">
            <w:pPr>
              <w:pStyle w:val="4"/>
              <w:jc w:val="center"/>
            </w:pPr>
            <w:r>
              <w:rPr>
                <w:rFonts w:ascii="仿宋_GB2312" w:hAnsi="仿宋_GB2312" w:eastAsia="仿宋_GB2312" w:cs="仿宋_GB2312"/>
              </w:rPr>
              <w:t>3</w:t>
            </w:r>
          </w:p>
        </w:tc>
        <w:tc>
          <w:tcPr>
            <w:tcW w:w="581" w:type="dxa"/>
          </w:tcPr>
          <w:p w14:paraId="0CB4EE1C">
            <w:pPr>
              <w:pStyle w:val="4"/>
              <w:jc w:val="center"/>
            </w:pPr>
            <w:r>
              <w:rPr>
                <w:rFonts w:ascii="仿宋_GB2312" w:hAnsi="仿宋_GB2312" w:eastAsia="仿宋_GB2312" w:cs="仿宋_GB2312"/>
              </w:rPr>
              <w:t>★</w:t>
            </w:r>
          </w:p>
        </w:tc>
        <w:tc>
          <w:tcPr>
            <w:tcW w:w="1495" w:type="dxa"/>
          </w:tcPr>
          <w:p w14:paraId="09730DB5">
            <w:pPr>
              <w:pStyle w:val="4"/>
              <w:jc w:val="left"/>
            </w:pPr>
            <w:r>
              <w:rPr>
                <w:rFonts w:ascii="仿宋_GB2312" w:hAnsi="仿宋_GB2312" w:eastAsia="仿宋_GB2312" w:cs="仿宋_GB2312"/>
              </w:rPr>
              <w:t>配送要求</w:t>
            </w:r>
          </w:p>
        </w:tc>
        <w:tc>
          <w:tcPr>
            <w:tcW w:w="5814" w:type="dxa"/>
          </w:tcPr>
          <w:p w14:paraId="380F514C">
            <w:pPr>
              <w:pStyle w:val="4"/>
              <w:ind w:firstLine="600"/>
              <w:jc w:val="both"/>
            </w:pPr>
            <w:r>
              <w:rPr>
                <w:rFonts w:ascii="仿宋_GB2312" w:hAnsi="仿宋_GB2312" w:eastAsia="仿宋_GB2312" w:cs="仿宋_GB2312"/>
                <w:color w:val="000000"/>
                <w:sz w:val="24"/>
              </w:rPr>
              <w:t>（一）供应商提供配送服务，签订合同后按制定的供货路线、方案、约定时间（可单次或多次）配送食材到达学校，并确保配送食品新鲜、优质、安全可靠，保障学校学生能按时食用，并与学校做好交接手续，不得将配送工作进行任何方式的转包或分包，若中标人无故不按时供货或不能满足学校需求，采购方可无条件终止合同。</w:t>
            </w:r>
          </w:p>
          <w:p w14:paraId="275CD9A9">
            <w:pPr>
              <w:pStyle w:val="4"/>
              <w:ind w:firstLine="640"/>
              <w:jc w:val="both"/>
            </w:pPr>
            <w:r>
              <w:rPr>
                <w:rFonts w:ascii="仿宋_GB2312" w:hAnsi="仿宋_GB2312" w:eastAsia="仿宋_GB2312" w:cs="仿宋_GB2312"/>
                <w:color w:val="000000"/>
                <w:sz w:val="24"/>
              </w:rPr>
              <w:t>（二）配送车辆应符合相关卫生要求，无异味，做到每日清洗、消毒并做好消毒记录，运输过程中必须落实防潮、防暴晒、防雨淋、防污染和防冻措施，并采用双人双锁管理。配送工作人员必须提供无犯罪、吸毒史的承诺或公安机关出具的相关证明，以及提供卫生防疫部门出具的健康合格证明。</w:t>
            </w:r>
          </w:p>
          <w:p w14:paraId="12A598FB">
            <w:pPr>
              <w:pStyle w:val="4"/>
              <w:ind w:firstLine="640"/>
              <w:jc w:val="both"/>
            </w:pPr>
            <w:r>
              <w:rPr>
                <w:rFonts w:ascii="仿宋_GB2312" w:hAnsi="仿宋_GB2312" w:eastAsia="仿宋_GB2312" w:cs="仿宋_GB2312"/>
                <w:color w:val="000000"/>
                <w:sz w:val="24"/>
              </w:rPr>
              <w:t>（三）建立出入库台账。供应商对所供产品安全负责，建立24小时监控体系。所有配送产品在配送前，必须由供应商自行查验，在出库前再次检查产品的有效期、包装等。每学期期末食品食材必须为零库存。</w:t>
            </w:r>
          </w:p>
          <w:p w14:paraId="36850D34">
            <w:pPr>
              <w:pStyle w:val="4"/>
              <w:jc w:val="both"/>
            </w:pPr>
            <w:r>
              <w:rPr>
                <w:rFonts w:ascii="仿宋_GB2312" w:hAnsi="仿宋_GB2312" w:eastAsia="仿宋_GB2312" w:cs="仿宋_GB2312"/>
                <w:color w:val="000000"/>
                <w:sz w:val="24"/>
              </w:rPr>
              <w:t xml:space="preserve">    （四）在运输过程中损坏的货物由供应商承担，对破损、变质等不符合要求的货物无条件更换。若在食用或抽检过程中所供产品变质（非学校原因引起的），供应商除无条件更换外，并承担由此产生的一切责任，采购人将按退出机制解除合同并追究供应商责任。</w:t>
            </w:r>
          </w:p>
        </w:tc>
      </w:tr>
    </w:tbl>
    <w:p w14:paraId="06C69739">
      <w:pPr>
        <w:pStyle w:val="4"/>
        <w:jc w:val="left"/>
        <w:outlineLvl w:val="3"/>
      </w:pPr>
      <w:r>
        <w:rPr>
          <w:rFonts w:ascii="仿宋_GB2312" w:hAnsi="仿宋_GB2312" w:eastAsia="仿宋_GB2312" w:cs="仿宋_GB2312"/>
          <w:b/>
          <w:sz w:val="24"/>
        </w:rPr>
        <w:t>3.3.2.商务要求</w:t>
      </w:r>
    </w:p>
    <w:p w14:paraId="0A2B64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F234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86A9A">
            <w:pPr>
              <w:pStyle w:val="4"/>
              <w:jc w:val="center"/>
            </w:pPr>
            <w:r>
              <w:rPr>
                <w:rFonts w:ascii="仿宋_GB2312" w:hAnsi="仿宋_GB2312" w:eastAsia="仿宋_GB2312" w:cs="仿宋_GB2312"/>
              </w:rPr>
              <w:t>序号</w:t>
            </w:r>
          </w:p>
        </w:tc>
        <w:tc>
          <w:tcPr>
            <w:tcW w:w="581" w:type="dxa"/>
          </w:tcPr>
          <w:p w14:paraId="234DD696">
            <w:pPr>
              <w:pStyle w:val="4"/>
              <w:jc w:val="center"/>
            </w:pPr>
            <w:r>
              <w:rPr>
                <w:rFonts w:ascii="仿宋_GB2312" w:hAnsi="仿宋_GB2312" w:eastAsia="仿宋_GB2312" w:cs="仿宋_GB2312"/>
              </w:rPr>
              <w:t>符号标识</w:t>
            </w:r>
          </w:p>
        </w:tc>
        <w:tc>
          <w:tcPr>
            <w:tcW w:w="1495" w:type="dxa"/>
          </w:tcPr>
          <w:p w14:paraId="5C7F5CD1">
            <w:pPr>
              <w:pStyle w:val="4"/>
              <w:jc w:val="center"/>
            </w:pPr>
            <w:r>
              <w:rPr>
                <w:rFonts w:ascii="仿宋_GB2312" w:hAnsi="仿宋_GB2312" w:eastAsia="仿宋_GB2312" w:cs="仿宋_GB2312"/>
              </w:rPr>
              <w:t>商务要求名称</w:t>
            </w:r>
          </w:p>
        </w:tc>
        <w:tc>
          <w:tcPr>
            <w:tcW w:w="5814" w:type="dxa"/>
          </w:tcPr>
          <w:p w14:paraId="4D63D23B">
            <w:pPr>
              <w:pStyle w:val="4"/>
              <w:jc w:val="center"/>
            </w:pPr>
            <w:r>
              <w:rPr>
                <w:rFonts w:ascii="仿宋_GB2312" w:hAnsi="仿宋_GB2312" w:eastAsia="仿宋_GB2312" w:cs="仿宋_GB2312"/>
              </w:rPr>
              <w:t>商务要求内容</w:t>
            </w:r>
          </w:p>
        </w:tc>
      </w:tr>
      <w:tr w14:paraId="5494A1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B2FB56">
            <w:pPr>
              <w:pStyle w:val="4"/>
              <w:jc w:val="center"/>
            </w:pPr>
            <w:r>
              <w:rPr>
                <w:rFonts w:ascii="仿宋_GB2312" w:hAnsi="仿宋_GB2312" w:eastAsia="仿宋_GB2312" w:cs="仿宋_GB2312"/>
              </w:rPr>
              <w:t>1</w:t>
            </w:r>
          </w:p>
        </w:tc>
        <w:tc>
          <w:tcPr>
            <w:tcW w:w="581" w:type="dxa"/>
          </w:tcPr>
          <w:p w14:paraId="54C61591">
            <w:pPr>
              <w:pStyle w:val="4"/>
              <w:jc w:val="center"/>
            </w:pPr>
            <w:r>
              <w:rPr>
                <w:rFonts w:ascii="仿宋_GB2312" w:hAnsi="仿宋_GB2312" w:eastAsia="仿宋_GB2312" w:cs="仿宋_GB2312"/>
              </w:rPr>
              <w:t>★</w:t>
            </w:r>
          </w:p>
        </w:tc>
        <w:tc>
          <w:tcPr>
            <w:tcW w:w="1495" w:type="dxa"/>
          </w:tcPr>
          <w:p w14:paraId="1094DC31">
            <w:pPr>
              <w:pStyle w:val="4"/>
              <w:jc w:val="left"/>
            </w:pPr>
            <w:r>
              <w:rPr>
                <w:rFonts w:ascii="仿宋_GB2312" w:hAnsi="仿宋_GB2312" w:eastAsia="仿宋_GB2312" w:cs="仿宋_GB2312"/>
              </w:rPr>
              <w:t>交货时间</w:t>
            </w:r>
          </w:p>
        </w:tc>
        <w:tc>
          <w:tcPr>
            <w:tcW w:w="5814" w:type="dxa"/>
          </w:tcPr>
          <w:p w14:paraId="6B174093">
            <w:pPr>
              <w:pStyle w:val="4"/>
              <w:jc w:val="left"/>
            </w:pPr>
            <w:r>
              <w:rPr>
                <w:rFonts w:ascii="仿宋_GB2312" w:hAnsi="仿宋_GB2312" w:eastAsia="仿宋_GB2312" w:cs="仿宋_GB2312"/>
              </w:rPr>
              <w:t>根据联合采购人实际情况约定时间交货</w:t>
            </w:r>
          </w:p>
        </w:tc>
      </w:tr>
      <w:tr w14:paraId="1F5CD8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F616E9">
            <w:pPr>
              <w:pStyle w:val="4"/>
              <w:jc w:val="center"/>
            </w:pPr>
            <w:r>
              <w:rPr>
                <w:rFonts w:ascii="仿宋_GB2312" w:hAnsi="仿宋_GB2312" w:eastAsia="仿宋_GB2312" w:cs="仿宋_GB2312"/>
              </w:rPr>
              <w:t>2</w:t>
            </w:r>
          </w:p>
        </w:tc>
        <w:tc>
          <w:tcPr>
            <w:tcW w:w="581" w:type="dxa"/>
          </w:tcPr>
          <w:p w14:paraId="7644E64A">
            <w:pPr>
              <w:pStyle w:val="4"/>
              <w:jc w:val="center"/>
            </w:pPr>
            <w:r>
              <w:rPr>
                <w:rFonts w:ascii="仿宋_GB2312" w:hAnsi="仿宋_GB2312" w:eastAsia="仿宋_GB2312" w:cs="仿宋_GB2312"/>
              </w:rPr>
              <w:t>★</w:t>
            </w:r>
          </w:p>
        </w:tc>
        <w:tc>
          <w:tcPr>
            <w:tcW w:w="1495" w:type="dxa"/>
          </w:tcPr>
          <w:p w14:paraId="51C81904">
            <w:pPr>
              <w:pStyle w:val="4"/>
              <w:jc w:val="left"/>
            </w:pPr>
            <w:r>
              <w:rPr>
                <w:rFonts w:ascii="仿宋_GB2312" w:hAnsi="仿宋_GB2312" w:eastAsia="仿宋_GB2312" w:cs="仿宋_GB2312"/>
              </w:rPr>
              <w:t>交货地点</w:t>
            </w:r>
          </w:p>
        </w:tc>
        <w:tc>
          <w:tcPr>
            <w:tcW w:w="5814" w:type="dxa"/>
          </w:tcPr>
          <w:p w14:paraId="635B7456">
            <w:pPr>
              <w:pStyle w:val="4"/>
              <w:jc w:val="left"/>
            </w:pPr>
            <w:r>
              <w:rPr>
                <w:rFonts w:ascii="仿宋_GB2312" w:hAnsi="仿宋_GB2312" w:eastAsia="仿宋_GB2312" w:cs="仿宋_GB2312"/>
              </w:rPr>
              <w:t>联合采购学校及下属教学点</w:t>
            </w:r>
          </w:p>
        </w:tc>
      </w:tr>
      <w:tr w14:paraId="7ACD5A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D7023C">
            <w:pPr>
              <w:pStyle w:val="4"/>
              <w:jc w:val="center"/>
            </w:pPr>
            <w:r>
              <w:rPr>
                <w:rFonts w:ascii="仿宋_GB2312" w:hAnsi="仿宋_GB2312" w:eastAsia="仿宋_GB2312" w:cs="仿宋_GB2312"/>
              </w:rPr>
              <w:t>3</w:t>
            </w:r>
          </w:p>
        </w:tc>
        <w:tc>
          <w:tcPr>
            <w:tcW w:w="581" w:type="dxa"/>
          </w:tcPr>
          <w:p w14:paraId="6808D72A"/>
        </w:tc>
        <w:tc>
          <w:tcPr>
            <w:tcW w:w="1495" w:type="dxa"/>
          </w:tcPr>
          <w:p w14:paraId="07434D78">
            <w:pPr>
              <w:pStyle w:val="4"/>
              <w:jc w:val="left"/>
            </w:pPr>
            <w:r>
              <w:rPr>
                <w:rFonts w:ascii="仿宋_GB2312" w:hAnsi="仿宋_GB2312" w:eastAsia="仿宋_GB2312" w:cs="仿宋_GB2312"/>
              </w:rPr>
              <w:t>支付方式</w:t>
            </w:r>
          </w:p>
        </w:tc>
        <w:tc>
          <w:tcPr>
            <w:tcW w:w="5814" w:type="dxa"/>
          </w:tcPr>
          <w:p w14:paraId="490588AE">
            <w:pPr>
              <w:pStyle w:val="4"/>
              <w:jc w:val="left"/>
            </w:pPr>
            <w:r>
              <w:rPr>
                <w:rFonts w:ascii="仿宋_GB2312" w:hAnsi="仿宋_GB2312" w:eastAsia="仿宋_GB2312" w:cs="仿宋_GB2312"/>
              </w:rPr>
              <w:t>分期付款</w:t>
            </w:r>
          </w:p>
        </w:tc>
      </w:tr>
      <w:tr w14:paraId="4B5EBD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EB1351">
            <w:pPr>
              <w:pStyle w:val="4"/>
              <w:jc w:val="center"/>
            </w:pPr>
            <w:r>
              <w:rPr>
                <w:rFonts w:ascii="仿宋_GB2312" w:hAnsi="仿宋_GB2312" w:eastAsia="仿宋_GB2312" w:cs="仿宋_GB2312"/>
              </w:rPr>
              <w:t>4</w:t>
            </w:r>
          </w:p>
        </w:tc>
        <w:tc>
          <w:tcPr>
            <w:tcW w:w="581" w:type="dxa"/>
          </w:tcPr>
          <w:p w14:paraId="5B0BC68C"/>
        </w:tc>
        <w:tc>
          <w:tcPr>
            <w:tcW w:w="1495" w:type="dxa"/>
          </w:tcPr>
          <w:p w14:paraId="4AD90ED6">
            <w:pPr>
              <w:pStyle w:val="4"/>
              <w:jc w:val="left"/>
            </w:pPr>
            <w:r>
              <w:rPr>
                <w:rFonts w:ascii="仿宋_GB2312" w:hAnsi="仿宋_GB2312" w:eastAsia="仿宋_GB2312" w:cs="仿宋_GB2312"/>
              </w:rPr>
              <w:t>付款进度安排</w:t>
            </w:r>
          </w:p>
        </w:tc>
        <w:tc>
          <w:tcPr>
            <w:tcW w:w="5814" w:type="dxa"/>
          </w:tcPr>
          <w:p w14:paraId="0EA74BD8">
            <w:pPr>
              <w:pStyle w:val="4"/>
              <w:jc w:val="left"/>
            </w:pPr>
            <w:r>
              <w:rPr>
                <w:rFonts w:ascii="仿宋_GB2312" w:hAnsi="仿宋_GB2312" w:eastAsia="仿宋_GB2312" w:cs="仿宋_GB2312"/>
              </w:rPr>
              <w:t>1、进度款，完成每月的食材配送且验收合格，达到付款条件起15日内，据实情况说明为支付所配送货物金额100%</w:t>
            </w:r>
          </w:p>
        </w:tc>
      </w:tr>
      <w:tr w14:paraId="003934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43C700">
            <w:pPr>
              <w:pStyle w:val="4"/>
              <w:jc w:val="center"/>
            </w:pPr>
            <w:r>
              <w:rPr>
                <w:rFonts w:ascii="仿宋_GB2312" w:hAnsi="仿宋_GB2312" w:eastAsia="仿宋_GB2312" w:cs="仿宋_GB2312"/>
              </w:rPr>
              <w:t>5</w:t>
            </w:r>
          </w:p>
        </w:tc>
        <w:tc>
          <w:tcPr>
            <w:tcW w:w="581" w:type="dxa"/>
          </w:tcPr>
          <w:p w14:paraId="74084132">
            <w:pPr>
              <w:pStyle w:val="4"/>
              <w:jc w:val="center"/>
            </w:pPr>
            <w:r>
              <w:rPr>
                <w:rFonts w:ascii="仿宋_GB2312" w:hAnsi="仿宋_GB2312" w:eastAsia="仿宋_GB2312" w:cs="仿宋_GB2312"/>
              </w:rPr>
              <w:t>★</w:t>
            </w:r>
          </w:p>
        </w:tc>
        <w:tc>
          <w:tcPr>
            <w:tcW w:w="1495" w:type="dxa"/>
          </w:tcPr>
          <w:p w14:paraId="091F41BD">
            <w:pPr>
              <w:pStyle w:val="4"/>
              <w:jc w:val="left"/>
            </w:pPr>
            <w:r>
              <w:rPr>
                <w:rFonts w:ascii="仿宋_GB2312" w:hAnsi="仿宋_GB2312" w:eastAsia="仿宋_GB2312" w:cs="仿宋_GB2312"/>
              </w:rPr>
              <w:t>验收、交付标准和方法</w:t>
            </w:r>
          </w:p>
        </w:tc>
        <w:tc>
          <w:tcPr>
            <w:tcW w:w="5814" w:type="dxa"/>
          </w:tcPr>
          <w:p w14:paraId="711BB89A">
            <w:pPr>
              <w:pStyle w:val="4"/>
              <w:jc w:val="left"/>
            </w:pPr>
            <w:r>
              <w:rPr>
                <w:rFonts w:ascii="仿宋_GB2312" w:hAnsi="仿宋_GB2312" w:eastAsia="仿宋_GB2312" w:cs="仿宋_GB2312"/>
              </w:rPr>
              <w:t>（1）本项目采购人将严格按照政府采购相关法律法规、 《财政部关于进一步加强政府采购需求和履约验收管理的指导意见》（财库 〔2016〕205 号）、财库〔2021〕22 号、招标文件规定、投标文件的质量要求和技术指标等进行验收。 （2）验收由采购人组织验收。质量验收合格方能收货。验收时抽样发现学生食材有短缺、次品、损坏情形之一或其它不符合标准的情形，采购人及中标供应商需做详尽的现场记录，中标供应商需无条件更换该批次产品，由此而产生的一切经济和其他损失由中标供应商承担。 （3）各批次食材食品留样由中标供应商按留样要求严格实施。 （4）若发现产品质量问题，采购人有权组织相关单位进行调查和抽检（抽检费用由中标供应商承担，采购人凭正式发票与中标供应商据实结算），并按规定依法追究中标供应商的相关责任。</w:t>
            </w:r>
          </w:p>
        </w:tc>
      </w:tr>
      <w:tr w14:paraId="1CCB9D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7326FB">
            <w:pPr>
              <w:pStyle w:val="4"/>
              <w:jc w:val="center"/>
            </w:pPr>
            <w:r>
              <w:rPr>
                <w:rFonts w:ascii="仿宋_GB2312" w:hAnsi="仿宋_GB2312" w:eastAsia="仿宋_GB2312" w:cs="仿宋_GB2312"/>
              </w:rPr>
              <w:t>6</w:t>
            </w:r>
          </w:p>
        </w:tc>
        <w:tc>
          <w:tcPr>
            <w:tcW w:w="581" w:type="dxa"/>
          </w:tcPr>
          <w:p w14:paraId="18B0AC81"/>
        </w:tc>
        <w:tc>
          <w:tcPr>
            <w:tcW w:w="1495" w:type="dxa"/>
          </w:tcPr>
          <w:p w14:paraId="06AACE3D">
            <w:pPr>
              <w:pStyle w:val="4"/>
              <w:jc w:val="left"/>
            </w:pPr>
            <w:r>
              <w:rPr>
                <w:rFonts w:ascii="仿宋_GB2312" w:hAnsi="仿宋_GB2312" w:eastAsia="仿宋_GB2312" w:cs="仿宋_GB2312"/>
              </w:rPr>
              <w:t>质量保修范围和保修期</w:t>
            </w:r>
          </w:p>
        </w:tc>
        <w:tc>
          <w:tcPr>
            <w:tcW w:w="5814" w:type="dxa"/>
          </w:tcPr>
          <w:p w14:paraId="01D13A0B">
            <w:pPr>
              <w:pStyle w:val="4"/>
              <w:jc w:val="left"/>
            </w:pPr>
            <w:r>
              <w:rPr>
                <w:rFonts w:ascii="仿宋_GB2312" w:hAnsi="仿宋_GB2312" w:eastAsia="仿宋_GB2312" w:cs="仿宋_GB2312"/>
              </w:rPr>
              <w:t>详见3.2技术要求中技术参数与性能指标中要求。</w:t>
            </w:r>
          </w:p>
        </w:tc>
      </w:tr>
      <w:tr w14:paraId="30B04F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62491D">
            <w:pPr>
              <w:pStyle w:val="4"/>
              <w:jc w:val="center"/>
            </w:pPr>
            <w:r>
              <w:rPr>
                <w:rFonts w:ascii="仿宋_GB2312" w:hAnsi="仿宋_GB2312" w:eastAsia="仿宋_GB2312" w:cs="仿宋_GB2312"/>
              </w:rPr>
              <w:t>7</w:t>
            </w:r>
          </w:p>
        </w:tc>
        <w:tc>
          <w:tcPr>
            <w:tcW w:w="581" w:type="dxa"/>
          </w:tcPr>
          <w:p w14:paraId="4307D01A"/>
        </w:tc>
        <w:tc>
          <w:tcPr>
            <w:tcW w:w="1495" w:type="dxa"/>
          </w:tcPr>
          <w:p w14:paraId="6F330B19">
            <w:pPr>
              <w:pStyle w:val="4"/>
              <w:jc w:val="left"/>
            </w:pPr>
            <w:r>
              <w:rPr>
                <w:rFonts w:ascii="仿宋_GB2312" w:hAnsi="仿宋_GB2312" w:eastAsia="仿宋_GB2312" w:cs="仿宋_GB2312"/>
              </w:rPr>
              <w:t>违约责任与解决争议的方法</w:t>
            </w:r>
          </w:p>
        </w:tc>
        <w:tc>
          <w:tcPr>
            <w:tcW w:w="5814" w:type="dxa"/>
          </w:tcPr>
          <w:p w14:paraId="43110BDF">
            <w:pPr>
              <w:pStyle w:val="4"/>
              <w:jc w:val="left"/>
            </w:pPr>
            <w:r>
              <w:rPr>
                <w:rFonts w:ascii="仿宋_GB2312" w:hAnsi="仿宋_GB2312" w:eastAsia="仿宋_GB2312" w:cs="仿宋_GB2312"/>
              </w:rPr>
              <w:t>合同中约定</w:t>
            </w:r>
          </w:p>
        </w:tc>
      </w:tr>
      <w:tr w14:paraId="11788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8C1D33">
            <w:pPr>
              <w:pStyle w:val="4"/>
              <w:jc w:val="center"/>
            </w:pPr>
            <w:r>
              <w:rPr>
                <w:rFonts w:ascii="仿宋_GB2312" w:hAnsi="仿宋_GB2312" w:eastAsia="仿宋_GB2312" w:cs="仿宋_GB2312"/>
              </w:rPr>
              <w:t>8</w:t>
            </w:r>
          </w:p>
        </w:tc>
        <w:tc>
          <w:tcPr>
            <w:tcW w:w="581" w:type="dxa"/>
          </w:tcPr>
          <w:p w14:paraId="5E0F7529">
            <w:pPr>
              <w:pStyle w:val="4"/>
              <w:jc w:val="center"/>
            </w:pPr>
            <w:r>
              <w:rPr>
                <w:rFonts w:ascii="仿宋_GB2312" w:hAnsi="仿宋_GB2312" w:eastAsia="仿宋_GB2312" w:cs="仿宋_GB2312"/>
              </w:rPr>
              <w:t>★</w:t>
            </w:r>
          </w:p>
        </w:tc>
        <w:tc>
          <w:tcPr>
            <w:tcW w:w="1495" w:type="dxa"/>
          </w:tcPr>
          <w:p w14:paraId="31709525">
            <w:pPr>
              <w:pStyle w:val="4"/>
              <w:jc w:val="left"/>
            </w:pPr>
            <w:r>
              <w:rPr>
                <w:rFonts w:ascii="仿宋_GB2312" w:hAnsi="仿宋_GB2312" w:eastAsia="仿宋_GB2312" w:cs="仿宋_GB2312"/>
              </w:rPr>
              <w:t>包装方式及运输</w:t>
            </w:r>
          </w:p>
        </w:tc>
        <w:tc>
          <w:tcPr>
            <w:tcW w:w="5814" w:type="dxa"/>
          </w:tcPr>
          <w:p w14:paraId="77E8A18B">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4059C97">
      <w:pPr>
        <w:pStyle w:val="4"/>
        <w:jc w:val="left"/>
        <w:outlineLvl w:val="2"/>
      </w:pPr>
      <w:r>
        <w:rPr>
          <w:rFonts w:ascii="仿宋_GB2312" w:hAnsi="仿宋_GB2312" w:eastAsia="仿宋_GB2312" w:cs="仿宋_GB2312"/>
          <w:b/>
          <w:sz w:val="28"/>
        </w:rPr>
        <w:t>3.4.其他要求</w:t>
      </w:r>
    </w:p>
    <w:p w14:paraId="2AF71861">
      <w:pPr>
        <w:pStyle w:val="4"/>
        <w:jc w:val="left"/>
      </w:pPr>
      <w:r>
        <w:rPr>
          <w:rFonts w:ascii="仿宋_GB2312" w:hAnsi="仿宋_GB2312" w:eastAsia="仿宋_GB2312" w:cs="仿宋_GB2312"/>
        </w:rPr>
        <w:t>★1.中标后提供能保障本项目顺利实施的冷库场地及仓库，且场地需安装监控，保证场地无死角，随时配合相关部门调阅视频监控（提供承诺函，格式自拟）。 ★2、供应商所投肉类产品屠宰厂（场）须具有有效的动物防疫条件合格证，其中猪肉的屠宰厂（场）还须有国家行政主管部门颁发且在有效期内的生猪定点屠宰证（A类）。 3、大米、面粉、菜籽油定价采购（大米最高单价 6 元/kg；面粉最高单位 5 元/kg；菜籽油最高单价 16 元/升），供应商报价时采用百分比报价方式，结算价格=定价×报价百分比（如大米报价百分比为 95%，则结算价格为：6 元/kg*95%，即为 5.7 元/kg）。 4、肉类、鲜鸡蛋、牛奶价格结算：（1）价格以市场基准价×报价百分比结算：（2）县教育体育局组织询价小组成员，在雷波县城两家及以上大型超市或农贸市场采集挂牌价（精品价与特价不采用）的平均价作为市场基准价。（3）询价原则上每月进行一次询价，每学期询价不得低于3 次，严格按投标品牌、品级、品质、包装规格执行，若雷波县城不能询价的则可以向其他县域通过电话等方式进行询价。（4）若遇特殊情况（如：非洲猪瘟、疫情等），市场价格出现较大浮动（浮动超过±20%），则立即重新开展询价工作，不对乡镇市场进行询价，各供货商自行核算配送到校成本。（5）询价小组由县教育体育局、县市场监管局、县发展改革局、县农业农村局、学校代表、供应商代表等共同组成。 5、中小企声明函应对招标文件3.2技术要求中，技术要求名称所列产品进行逐项声明。 ★6、因系统原因，文件内无法对本项目标的名称及所属行业进行分割，现特此说明：本项目标的名称内的六项产品中，米、面、油、肉、奶所属行业为工业，蛋所属行业为农、林、牧渔业。故各潜在投标供应商在填写中小企业声明函时，并按照本项要求填写正确的所属行业。 ★7、供应商在执行本次项目配送过程中，需严格执行《关于深入开展政府采购脱贫地区农副产品工作推进乡村产业振兴的实施意见》的通知（财库〔2021〕20号）相关要求，配合采购人在“832平台”上购买符合要求的农副产品。</w:t>
      </w:r>
    </w:p>
    <w:p w14:paraId="60F6E56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B10B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2025-11-17T07:17:41Z</dcterms:created>
  <dc:creator>Administrator</dc:creator>
  <cp:lastModifiedBy>。。。。。</cp:lastModifiedBy>
  <dcterms:modified xsi:type="dcterms:W3CDTF">2025-11-17T07:17:45Z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eyJoZGlkIjoiMzI5MjZlMGM4NGRhYjAxNDBhOGFhMDkyMWE4ZWMyYzYiLCJ1c2VySWQiOiIxMDQwNDYxMzY1In0=</vt:lpwstr>
  </property>
  <property fmtid="{D5CDD505-2E9C-101B-9397-08002B2CF9AE}" pid="4" name="ICV">
    <vt:lpwstr>13D60842BD2F433084628794593BF24B_12</vt:lpwstr>
  </property>
</Properties>
</file>