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441301-2024-00770</w:t>
      </w:r>
    </w:p>
    <w:p>
      <w:pPr>
        <w:pStyle w:val="null3"/>
        <w:jc w:val="center"/>
        <w:outlineLvl w:val="3"/>
      </w:pPr>
      <w:r>
        <w:rPr>
          <w:b/>
          <w:sz w:val="24"/>
        </w:rPr>
        <w:t>采购项目编号：</w:t>
      </w:r>
      <w:r>
        <w:rPr>
          <w:b/>
          <w:sz w:val="24"/>
        </w:rPr>
        <w:t>GDTR2024HZ010002</w:t>
      </w:r>
    </w:p>
    <w:p>
      <w:pPr>
        <w:pStyle w:val="null3"/>
        <w:jc w:val="center"/>
        <w:outlineLvl w:val="3"/>
      </w:pPr>
      <w:r>
        <w:rPr>
          <w:b/>
          <w:sz w:val="24"/>
        </w:rPr>
        <w:t>项目名称：</w:t>
      </w:r>
      <w:r>
        <w:rPr>
          <w:b/>
          <w:sz w:val="24"/>
        </w:rPr>
        <w:t>陈塘河中游水质提升一体化建设及清淤项目运营维护服务项目</w:t>
      </w:r>
    </w:p>
    <w:p>
      <w:pPr>
        <w:pStyle w:val="null3"/>
        <w:jc w:val="center"/>
        <w:outlineLvl w:val="3"/>
      </w:pPr>
      <w:r>
        <w:rPr>
          <w:b/>
          <w:sz w:val="24"/>
        </w:rPr>
        <w:t>采购人：</w:t>
      </w:r>
      <w:r>
        <w:rPr>
          <w:b/>
          <w:sz w:val="24"/>
        </w:rPr>
        <w:t>惠州市生态环境局惠城分局</w:t>
      </w:r>
    </w:p>
    <w:p>
      <w:pPr>
        <w:pStyle w:val="null3"/>
        <w:jc w:val="center"/>
        <w:outlineLvl w:val="3"/>
      </w:pPr>
      <w:r>
        <w:rPr>
          <w:b/>
          <w:sz w:val="24"/>
        </w:rPr>
        <w:t>采购代理机构：</w:t>
      </w:r>
      <w:r>
        <w:rPr>
          <w:b/>
          <w:sz w:val="24"/>
        </w:rPr>
        <w:t>广东泰然工程咨询有限公司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广东泰然工程咨询有限公司</w:t>
      </w:r>
      <w:r>
        <w:rPr/>
        <w:t>受</w:t>
      </w:r>
      <w:r>
        <w:rPr/>
        <w:t>惠州市生态环境局惠城分局</w:t>
      </w:r>
      <w:r>
        <w:rPr/>
        <w:t>的委托，采用</w:t>
      </w:r>
      <w:r>
        <w:rPr/>
        <w:t>公开招标</w:t>
      </w:r>
      <w:r>
        <w:rPr/>
        <w:t>方式组织采购</w:t>
      </w:r>
      <w:r>
        <w:rPr/>
        <w:t>陈塘河中游水质提升一体化建设及清淤项目运营维护服务项目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陈塘河中游水质提升一体化建设及清淤项目运营维护服务项目</w:t>
      </w:r>
    </w:p>
    <w:p>
      <w:pPr>
        <w:pStyle w:val="null3"/>
        <w:ind w:firstLine="480"/>
      </w:pPr>
      <w:r>
        <w:rPr/>
        <w:t>采购计划编号：</w:t>
      </w:r>
      <w:r>
        <w:rPr/>
        <w:t>441301-2024-00770</w:t>
      </w:r>
    </w:p>
    <w:p>
      <w:pPr>
        <w:pStyle w:val="null3"/>
        <w:ind w:firstLine="480"/>
      </w:pPr>
      <w:r>
        <w:rPr/>
        <w:t>采购项目编号：</w:t>
      </w:r>
      <w:r>
        <w:rPr/>
        <w:t>GDTR2024HZ010002</w:t>
      </w:r>
    </w:p>
    <w:p>
      <w:pPr>
        <w:pStyle w:val="null3"/>
        <w:ind w:firstLine="480"/>
      </w:pPr>
      <w:r>
        <w:rPr/>
        <w:t>采购方式：</w:t>
      </w:r>
      <w:r>
        <w:rPr/>
        <w:t>公开招标</w:t>
      </w:r>
    </w:p>
    <w:p>
      <w:pPr>
        <w:pStyle w:val="null3"/>
        <w:ind w:firstLine="480"/>
      </w:pPr>
      <w:r>
        <w:rPr/>
        <w:t>预算金额：</w:t>
      </w:r>
      <w:r>
        <w:rPr/>
        <w:t>7,166,400.00</w:t>
      </w:r>
      <w:r>
        <w:rPr/>
        <w:t>元</w:t>
      </w:r>
    </w:p>
    <w:p>
      <w:pPr>
        <w:pStyle w:val="null3"/>
        <w:outlineLvl w:val="3"/>
      </w:pPr>
      <w:r>
        <w:rPr>
          <w:b/>
          <w:sz w:val="24"/>
        </w:rPr>
        <w:t>2.项目内容及需求情况（采购项目技术规格、参数及要求）</w:t>
      </w:r>
    </w:p>
    <w:p>
      <w:pPr>
        <w:pStyle w:val="null3"/>
      </w:pPr>
    </w:p>
    <w:p>
      <w:pPr>
        <w:pStyle w:val="null3"/>
      </w:pPr>
      <w:r>
        <w:rPr/>
        <w:t>采购包1(陈塘河中游水质提升一体化建设及清淤项目运营维护服务项目):</w:t>
      </w:r>
    </w:p>
    <w:p>
      <w:pPr>
        <w:pStyle w:val="null3"/>
      </w:pPr>
      <w:r>
        <w:rPr/>
        <w:t>采购包预算金额：7,166,400.00元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陈塘河中游水质提升一体化建设及清淤项目运营维护服务项目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合同履行期限：服务年限3年（合同签订后接管之日起算）。</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供应商必须具有良好的商业信誉和健全的财务会计制度（提供2022或2023年度财务报告（或报表）或基本开户行出具的资信证明；投标人为新成立的，提供成立至今的月或季度财务报告（或报表））。</w:t>
      </w:r>
    </w:p>
    <w:p>
      <w:pPr>
        <w:pStyle w:val="null3"/>
      </w:pPr>
    </w:p>
    <w:p>
      <w:pPr>
        <w:pStyle w:val="null3"/>
      </w:pPr>
      <w:r>
        <w:rPr/>
        <w:t>4）履行合同所必需的设备和专业技术能力：按投标（响应）文件格式填报设备及专业技术能力情况或提供承诺函（格式自拟）。</w:t>
      </w:r>
    </w:p>
    <w:p>
      <w:pPr>
        <w:pStyle w:val="null3"/>
      </w:pP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采购包1（陈塘河中游水质提升一体化建设及清淤项目运营维护服务项目）：</w:t>
      </w:r>
      <w:r>
        <w:rPr/>
        <w:t xml:space="preserve">参与的供应商（联合体）服务全部由符合政策要求的中小企业承接，供应商应为中小企业，残疾人福利性单位和监狱企业视同小型、微型企业。（提供《中小企业声明函》或由省级以上监狱管理局、戒毒管理局(含新疆生产建设兵团)出具的供应商属于监狱企业的证明文件或供应商的《残疾人福利性单位声明函》） </w:t>
      </w:r>
    </w:p>
    <w:p>
      <w:pPr>
        <w:pStyle w:val="null3"/>
        <w:outlineLvl w:val="3"/>
      </w:pPr>
      <w:r>
        <w:rPr>
          <w:b/>
          <w:sz w:val="24"/>
        </w:rPr>
        <w:t>3.本项目特定的资格要求：</w:t>
      </w:r>
    </w:p>
    <w:p>
      <w:pPr>
        <w:pStyle w:val="null3"/>
      </w:pPr>
    </w:p>
    <w:p>
      <w:pPr>
        <w:pStyle w:val="null3"/>
      </w:pPr>
      <w:r>
        <w:rPr/>
        <w:t>采购包1（陈塘河中游水质提升一体化建设及清淤项目运营维护服务项目）：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p>
    <w:p>
      <w:pPr>
        <w:pStyle w:val="null3"/>
      </w:pPr>
      <w:r>
        <w:rPr/>
        <w:t>3)本项目不接受联合体投标。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惠州市生态环境局惠城分局</w:t>
      </w:r>
    </w:p>
    <w:p>
      <w:pPr>
        <w:pStyle w:val="null3"/>
        <w:ind w:firstLine="480"/>
      </w:pPr>
      <w:r>
        <w:rPr/>
        <w:t>地址：</w:t>
      </w:r>
      <w:r>
        <w:rPr/>
        <w:t>惠州市惠城区下埔横江三路4号</w:t>
      </w:r>
    </w:p>
    <w:p>
      <w:pPr>
        <w:pStyle w:val="null3"/>
        <w:ind w:firstLine="480"/>
      </w:pPr>
      <w:r>
        <w:rPr/>
        <w:t>联系方式：</w:t>
      </w:r>
      <w:r>
        <w:rPr/>
        <w:t>0752-7830969</w:t>
      </w:r>
    </w:p>
    <w:p>
      <w:pPr>
        <w:pStyle w:val="null3"/>
        <w:outlineLvl w:val="3"/>
      </w:pPr>
      <w:r>
        <w:rPr>
          <w:b/>
          <w:sz w:val="24"/>
        </w:rPr>
        <w:t>2.采购代理机构信息</w:t>
      </w:r>
    </w:p>
    <w:p>
      <w:pPr>
        <w:pStyle w:val="null3"/>
        <w:ind w:firstLine="480"/>
      </w:pPr>
      <w:r>
        <w:rPr/>
        <w:t>名称：</w:t>
      </w:r>
      <w:r>
        <w:rPr/>
        <w:t>广东泰然工程咨询有限公司</w:t>
      </w:r>
    </w:p>
    <w:p>
      <w:pPr>
        <w:pStyle w:val="null3"/>
        <w:ind w:firstLine="480"/>
      </w:pPr>
      <w:r>
        <w:rPr/>
        <w:t>地址：</w:t>
      </w:r>
      <w:r>
        <w:rPr/>
        <w:t>广东省惠州市惠城区长寿路1号17层A号房</w:t>
      </w:r>
    </w:p>
    <w:p>
      <w:pPr>
        <w:pStyle w:val="null3"/>
        <w:ind w:firstLine="480"/>
      </w:pPr>
      <w:r>
        <w:rPr/>
        <w:t>联系方式：</w:t>
      </w:r>
      <w:r>
        <w:rPr/>
        <w:t>0752-2660672</w:t>
      </w:r>
    </w:p>
    <w:p>
      <w:pPr>
        <w:pStyle w:val="null3"/>
        <w:outlineLvl w:val="3"/>
      </w:pPr>
      <w:r>
        <w:rPr>
          <w:b/>
          <w:sz w:val="24"/>
        </w:rPr>
        <w:t>3.项目联系方式</w:t>
      </w:r>
    </w:p>
    <w:p>
      <w:pPr>
        <w:pStyle w:val="null3"/>
        <w:ind w:firstLine="480"/>
      </w:pPr>
      <w:r>
        <w:rPr/>
        <w:t>项目联系人：</w:t>
      </w:r>
      <w:r>
        <w:rPr/>
        <w:t>刘工</w:t>
      </w:r>
    </w:p>
    <w:p>
      <w:pPr>
        <w:pStyle w:val="null3"/>
        <w:ind w:firstLine="480"/>
      </w:pPr>
      <w:r>
        <w:rPr/>
        <w:t>电话：</w:t>
      </w:r>
      <w:r>
        <w:rPr/>
        <w:t>0752-2660672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广东泰然工程咨询有限公司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40"/>
        <w:jc w:val="both"/>
      </w:pPr>
      <w:r>
        <w:rPr>
          <w:sz w:val="22"/>
        </w:rPr>
        <w:t>一、采购项目的基本信息</w:t>
      </w:r>
    </w:p>
    <w:p>
      <w:pPr>
        <w:pStyle w:val="null3"/>
        <w:ind w:firstLine="440"/>
        <w:jc w:val="both"/>
      </w:pPr>
      <w:r>
        <w:rPr>
          <w:sz w:val="22"/>
        </w:rPr>
        <w:t>（一）项目编号：</w:t>
      </w:r>
    </w:p>
    <w:p>
      <w:pPr>
        <w:pStyle w:val="null3"/>
        <w:ind w:firstLine="440"/>
        <w:jc w:val="both"/>
      </w:pPr>
      <w:r>
        <w:rPr>
          <w:sz w:val="22"/>
        </w:rPr>
        <w:t>（二）采购项目名称：陈塘河中游水质提升一体化建设及清淤项目运营维护服务采购项目</w:t>
      </w:r>
    </w:p>
    <w:p>
      <w:pPr>
        <w:pStyle w:val="null3"/>
        <w:ind w:firstLine="440"/>
        <w:jc w:val="both"/>
      </w:pPr>
      <w:r>
        <w:rPr>
          <w:sz w:val="22"/>
        </w:rPr>
        <w:t>（三）采购方式：公开招标</w:t>
      </w:r>
    </w:p>
    <w:p>
      <w:pPr>
        <w:pStyle w:val="null3"/>
        <w:ind w:firstLine="440"/>
        <w:jc w:val="both"/>
      </w:pPr>
      <w:r>
        <w:rPr>
          <w:sz w:val="22"/>
        </w:rPr>
        <w:t>1</w:t>
      </w:r>
      <w:r>
        <w:rPr>
          <w:sz w:val="22"/>
        </w:rPr>
        <w:t>、最高限价：人民币</w:t>
      </w:r>
      <w:r>
        <w:rPr>
          <w:sz w:val="22"/>
        </w:rPr>
        <w:t>7166400</w:t>
      </w:r>
      <w:r>
        <w:rPr>
          <w:sz w:val="22"/>
        </w:rPr>
        <w:t>元，服务期三年，</w:t>
      </w:r>
      <w:r>
        <w:rPr>
          <w:sz w:val="22"/>
        </w:rPr>
        <w:t>每年具体服务费金额以财政下发的预算指标为准，每年的服务费实际结算如超过当年的预算指标则按当年财政下发的预算指标结算。</w:t>
      </w:r>
    </w:p>
    <w:p>
      <w:pPr>
        <w:pStyle w:val="null3"/>
        <w:ind w:firstLine="440"/>
        <w:jc w:val="both"/>
      </w:pPr>
      <w:r>
        <w:rPr>
          <w:sz w:val="22"/>
        </w:rPr>
        <w:t>二、本项目采购需求</w:t>
      </w:r>
    </w:p>
    <w:p>
      <w:pPr>
        <w:pStyle w:val="null3"/>
        <w:ind w:firstLine="440"/>
        <w:jc w:val="both"/>
      </w:pPr>
      <w:r>
        <w:rPr>
          <w:sz w:val="22"/>
        </w:rPr>
        <w:t>（一）本项目采购的目标</w:t>
      </w:r>
    </w:p>
    <w:p>
      <w:pPr>
        <w:pStyle w:val="null3"/>
        <w:ind w:firstLine="480"/>
        <w:jc w:val="both"/>
      </w:pPr>
      <w:r>
        <w:rPr>
          <w:sz w:val="21"/>
        </w:rPr>
        <w:t>1</w:t>
      </w:r>
      <w:r>
        <w:rPr>
          <w:sz w:val="21"/>
        </w:rPr>
        <w:t>、项目概况</w:t>
      </w:r>
    </w:p>
    <w:p>
      <w:pPr>
        <w:pStyle w:val="null3"/>
        <w:ind w:firstLine="480"/>
        <w:jc w:val="both"/>
      </w:pPr>
      <w:r>
        <w:rPr>
          <w:sz w:val="21"/>
        </w:rPr>
        <w:t>本项目主要处理小金口街道市政污水管网在高峰期时溢流入陈塘河的污水</w:t>
      </w:r>
      <w:r>
        <w:rPr>
          <w:sz w:val="21"/>
        </w:rPr>
        <w:t>，设计处理能力为日处理</w:t>
      </w:r>
      <w:r>
        <w:rPr>
          <w:sz w:val="21"/>
        </w:rPr>
        <w:t>6000</w:t>
      </w:r>
      <w:r>
        <w:rPr>
          <w:sz w:val="21"/>
        </w:rPr>
        <w:t>m3/d</w:t>
      </w:r>
      <w:r>
        <w:rPr>
          <w:sz w:val="21"/>
        </w:rPr>
        <w:t>，出水水质</w:t>
      </w:r>
      <w:r>
        <w:rPr>
          <w:sz w:val="21"/>
        </w:rPr>
        <w:t>CODCr</w:t>
      </w:r>
      <w:r>
        <w:rPr>
          <w:sz w:val="21"/>
        </w:rPr>
        <w:t>、氨氮、总磷执行《地表水环境质量标准》（</w:t>
      </w:r>
      <w:r>
        <w:rPr>
          <w:sz w:val="21"/>
        </w:rPr>
        <w:t>GB3838-2002</w:t>
      </w:r>
      <w:r>
        <w:rPr>
          <w:sz w:val="21"/>
        </w:rPr>
        <w:t>）</w:t>
      </w:r>
      <w:r>
        <w:rPr>
          <w:sz w:val="21"/>
        </w:rPr>
        <w:t>Ⅳ</w:t>
      </w:r>
      <w:r>
        <w:rPr>
          <w:sz w:val="21"/>
        </w:rPr>
        <w:t>类标准，其余指标执行《城镇污水处理厂污染物排放标准》（</w:t>
      </w:r>
      <w:r>
        <w:rPr>
          <w:sz w:val="21"/>
        </w:rPr>
        <w:t>GB 18918-2002</w:t>
      </w:r>
      <w:r>
        <w:rPr>
          <w:sz w:val="21"/>
        </w:rPr>
        <w:t>）中一级</w:t>
      </w:r>
      <w:r>
        <w:rPr>
          <w:sz w:val="21"/>
        </w:rPr>
        <w:t>A</w:t>
      </w:r>
      <w:r>
        <w:rPr>
          <w:sz w:val="21"/>
        </w:rPr>
        <w:t>标准。采用</w:t>
      </w:r>
      <w:r>
        <w:rPr>
          <w:sz w:val="21"/>
        </w:rPr>
        <w:t>污水处理工艺为</w:t>
      </w:r>
      <w:r>
        <w:rPr>
          <w:sz w:val="21"/>
        </w:rPr>
        <w:t>RPIR</w:t>
      </w:r>
      <w:r>
        <w:rPr>
          <w:sz w:val="21"/>
        </w:rPr>
        <w:t>生化工艺。</w:t>
      </w:r>
    </w:p>
    <w:p>
      <w:pPr>
        <w:pStyle w:val="null3"/>
        <w:ind w:firstLine="480"/>
        <w:jc w:val="both"/>
      </w:pPr>
      <w:r>
        <w:rPr>
          <w:sz w:val="21"/>
        </w:rPr>
        <w:t>主要功能或目标</w:t>
      </w:r>
    </w:p>
    <w:p>
      <w:pPr>
        <w:pStyle w:val="null3"/>
        <w:ind w:firstLine="480"/>
        <w:jc w:val="both"/>
      </w:pPr>
      <w:r>
        <w:rPr>
          <w:sz w:val="21"/>
        </w:rPr>
        <w:t>本项目主要小金口街道市政污水管网在高峰期时溢流入陈塘河的污水</w:t>
      </w:r>
      <w:r>
        <w:rPr>
          <w:sz w:val="21"/>
        </w:rPr>
        <w:t>，设计处理能力为日处理</w:t>
      </w:r>
      <w:r>
        <w:rPr>
          <w:sz w:val="21"/>
        </w:rPr>
        <w:t>6000</w:t>
      </w:r>
      <w:r>
        <w:rPr>
          <w:sz w:val="21"/>
        </w:rPr>
        <w:t>m3/d</w:t>
      </w:r>
      <w:r>
        <w:rPr>
          <w:sz w:val="21"/>
        </w:rPr>
        <w:t>，出水水质</w:t>
      </w:r>
      <w:r>
        <w:rPr>
          <w:sz w:val="21"/>
        </w:rPr>
        <w:t>CODCr</w:t>
      </w:r>
      <w:r>
        <w:rPr>
          <w:sz w:val="21"/>
        </w:rPr>
        <w:t>、氨氮、总磷执行《地表水环境质量标准》（</w:t>
      </w:r>
      <w:r>
        <w:rPr>
          <w:sz w:val="21"/>
        </w:rPr>
        <w:t>GB3838-2002</w:t>
      </w:r>
      <w:r>
        <w:rPr>
          <w:sz w:val="21"/>
        </w:rPr>
        <w:t>）</w:t>
      </w:r>
      <w:r>
        <w:rPr>
          <w:sz w:val="21"/>
        </w:rPr>
        <w:t>Ⅳ</w:t>
      </w:r>
      <w:r>
        <w:rPr>
          <w:sz w:val="21"/>
        </w:rPr>
        <w:t>类标准，其余指标执行《城镇污水处理厂污染物排放标准》（</w:t>
      </w:r>
      <w:r>
        <w:rPr>
          <w:sz w:val="21"/>
        </w:rPr>
        <w:t>GB 18918-2002</w:t>
      </w:r>
      <w:r>
        <w:rPr>
          <w:sz w:val="21"/>
        </w:rPr>
        <w:t>）中一级</w:t>
      </w:r>
      <w:r>
        <w:rPr>
          <w:sz w:val="21"/>
        </w:rPr>
        <w:t>A</w:t>
      </w:r>
      <w:r>
        <w:rPr>
          <w:sz w:val="21"/>
        </w:rPr>
        <w:t>标准（详见附表</w:t>
      </w:r>
      <w:r>
        <w:rPr>
          <w:sz w:val="21"/>
        </w:rPr>
        <w:t>1</w:t>
      </w:r>
      <w:r>
        <w:rPr>
          <w:sz w:val="21"/>
        </w:rPr>
        <w:t>）。现场需</w:t>
      </w:r>
      <w:r>
        <w:rPr>
          <w:sz w:val="21"/>
        </w:rPr>
        <w:t>24</w:t>
      </w:r>
      <w:r>
        <w:rPr>
          <w:sz w:val="21"/>
        </w:rPr>
        <w:t>小时配备专业的运维人员负责一体化处理设施的日常管理，确保出水水质稳定达标</w:t>
      </w:r>
      <w:r>
        <w:rPr>
          <w:sz w:val="21"/>
        </w:rPr>
        <w:t>。</w:t>
      </w:r>
    </w:p>
    <w:p>
      <w:pPr>
        <w:pStyle w:val="null3"/>
        <w:ind w:firstLine="480"/>
        <w:jc w:val="both"/>
      </w:pPr>
      <w:r>
        <w:rPr>
          <w:sz w:val="21"/>
        </w:rPr>
        <w:t>附表</w:t>
      </w:r>
      <w:r>
        <w:rPr>
          <w:sz w:val="21"/>
        </w:rPr>
        <w:t>1</w:t>
      </w:r>
    </w:p>
    <w:tbl>
      <w:tblPr>
        <w:tblW w:w="0" w:type="auto"/>
        <w:tblBorders>
          <w:top w:val="none" w:color="000000" w:sz="4"/>
          <w:left w:val="none" w:color="000000" w:sz="4"/>
          <w:bottom w:val="none" w:color="000000" w:sz="4"/>
          <w:right w:val="none" w:color="000000" w:sz="4"/>
          <w:insideH w:val="none"/>
          <w:insideV w:val="none"/>
        </w:tblBorders>
      </w:tblPr>
      <w:tblGrid>
        <w:gridCol w:w="1714"/>
        <w:gridCol w:w="2315"/>
        <w:gridCol w:w="1978"/>
        <w:gridCol w:w="2300"/>
      </w:tblGrid>
      <w:tr>
        <w:tc>
          <w:tcPr>
            <w:tcW w:type="dxa" w:w="1714"/>
            <w:tcBorders>
              <w:top w:val="double" w:color="000000" w:sz="4"/>
              <w:left w:val="double" w:color="000000" w:sz="4"/>
              <w:bottom w:val="single" w:color="000000" w:sz="4"/>
              <w:right w:val="single" w:color="000000" w:sz="4"/>
            </w:tcBorders>
            <w:shd w:fill="DDEBF7"/>
            <w:tcMar>
              <w:top w:type="dxa" w:w="0"/>
              <w:left w:type="dxa" w:w="105"/>
              <w:bottom w:type="dxa" w:w="0"/>
              <w:right w:type="dxa" w:w="105"/>
            </w:tcMar>
            <w:vAlign w:val="top"/>
          </w:tcPr>
          <w:p>
            <w:pPr>
              <w:pStyle w:val="null3"/>
              <w:ind w:firstLine="480"/>
              <w:jc w:val="both"/>
            </w:pPr>
            <w:r>
              <w:rPr>
                <w:sz w:val="21"/>
              </w:rPr>
              <w:t>水质指标</w:t>
            </w:r>
          </w:p>
        </w:tc>
        <w:tc>
          <w:tcPr>
            <w:tcW w:type="dxa" w:w="2315"/>
            <w:tcBorders>
              <w:top w:val="doub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ind w:firstLine="480"/>
              <w:jc w:val="both"/>
            </w:pPr>
            <w:r>
              <w:rPr>
                <w:sz w:val="21"/>
              </w:rPr>
              <w:t>数值</w:t>
            </w:r>
          </w:p>
        </w:tc>
        <w:tc>
          <w:tcPr>
            <w:tcW w:type="dxa" w:w="1978"/>
            <w:tcBorders>
              <w:top w:val="doub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ind w:firstLine="480"/>
              <w:jc w:val="both"/>
            </w:pPr>
            <w:r>
              <w:rPr>
                <w:sz w:val="21"/>
              </w:rPr>
              <w:t>水质指标</w:t>
            </w:r>
          </w:p>
        </w:tc>
        <w:tc>
          <w:tcPr>
            <w:tcW w:type="dxa" w:w="2300"/>
            <w:tcBorders>
              <w:top w:val="double" w:color="000000" w:sz="4"/>
              <w:left w:val="single" w:color="000000" w:sz="4"/>
              <w:bottom w:val="single" w:color="000000" w:sz="4"/>
              <w:right w:val="double" w:color="000000" w:sz="4"/>
            </w:tcBorders>
            <w:shd w:fill="DDEBF7"/>
            <w:tcMar>
              <w:top w:type="dxa" w:w="0"/>
              <w:left w:type="dxa" w:w="105"/>
              <w:bottom w:type="dxa" w:w="0"/>
              <w:right w:type="dxa" w:w="105"/>
            </w:tcMar>
            <w:vAlign w:val="top"/>
          </w:tcPr>
          <w:p>
            <w:pPr>
              <w:pStyle w:val="null3"/>
              <w:ind w:firstLine="480"/>
              <w:jc w:val="both"/>
            </w:pPr>
            <w:r>
              <w:rPr>
                <w:sz w:val="21"/>
              </w:rPr>
              <w:t>数值</w:t>
            </w:r>
          </w:p>
        </w:tc>
      </w:tr>
      <w:tr>
        <w:tc>
          <w:tcPr>
            <w:tcW w:type="dxa" w:w="171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CODcr</w:t>
            </w:r>
          </w:p>
        </w:tc>
        <w:tc>
          <w:tcPr>
            <w:tcW w:type="dxa" w:w="2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w:t>
            </w:r>
            <w:r>
              <w:rPr>
                <w:sz w:val="21"/>
              </w:rPr>
              <w:t>3</w:t>
            </w:r>
            <w:r>
              <w:rPr>
                <w:sz w:val="21"/>
              </w:rPr>
              <w:t>0 mg/L</w:t>
            </w:r>
          </w:p>
        </w:tc>
        <w:tc>
          <w:tcPr>
            <w:tcW w:type="dxa" w:w="1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BOD5</w:t>
            </w:r>
          </w:p>
        </w:tc>
        <w:tc>
          <w:tcPr>
            <w:tcW w:type="dxa" w:w="2300"/>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ind w:firstLine="480"/>
              <w:jc w:val="both"/>
            </w:pPr>
            <w:r>
              <w:rPr>
                <w:sz w:val="21"/>
              </w:rPr>
              <w:t>≤</w:t>
            </w:r>
            <w:r>
              <w:rPr>
                <w:sz w:val="21"/>
              </w:rPr>
              <w:t>10 mg/L</w:t>
            </w:r>
          </w:p>
        </w:tc>
      </w:tr>
      <w:tr>
        <w:tc>
          <w:tcPr>
            <w:tcW w:type="dxa" w:w="171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NH3-N</w:t>
            </w:r>
          </w:p>
        </w:tc>
        <w:tc>
          <w:tcPr>
            <w:tcW w:type="dxa" w:w="2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w:t>
            </w:r>
            <w:r>
              <w:rPr>
                <w:sz w:val="21"/>
              </w:rPr>
              <w:t>1.5</w:t>
            </w:r>
            <w:r>
              <w:rPr>
                <w:sz w:val="21"/>
              </w:rPr>
              <w:t>mg/L</w:t>
            </w:r>
          </w:p>
        </w:tc>
        <w:tc>
          <w:tcPr>
            <w:tcW w:type="dxa" w:w="1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TP</w:t>
            </w:r>
          </w:p>
        </w:tc>
        <w:tc>
          <w:tcPr>
            <w:tcW w:type="dxa" w:w="230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ind w:firstLine="480"/>
              <w:jc w:val="both"/>
            </w:pPr>
            <w:r>
              <w:rPr>
                <w:sz w:val="21"/>
              </w:rPr>
              <w:t>≤</w:t>
            </w:r>
            <w:r>
              <w:rPr>
                <w:sz w:val="21"/>
              </w:rPr>
              <w:t>0.</w:t>
            </w:r>
            <w:r>
              <w:rPr>
                <w:sz w:val="21"/>
              </w:rPr>
              <w:t>3</w:t>
            </w:r>
            <w:r>
              <w:rPr>
                <w:sz w:val="21"/>
              </w:rPr>
              <w:t xml:space="preserve"> </w:t>
            </w:r>
            <w:r>
              <w:rPr>
                <w:sz w:val="21"/>
              </w:rPr>
              <w:t>mg/L</w:t>
            </w:r>
          </w:p>
        </w:tc>
      </w:tr>
      <w:tr>
        <w:tc>
          <w:tcPr>
            <w:tcW w:type="dxa" w:w="171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ind w:firstLine="480"/>
              <w:jc w:val="both"/>
            </w:pPr>
            <w:r>
              <w:rPr>
                <w:sz w:val="21"/>
              </w:rPr>
              <w:t>SS</w:t>
            </w:r>
          </w:p>
        </w:tc>
        <w:tc>
          <w:tcPr>
            <w:tcW w:type="dxa" w:w="231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ind w:firstLine="480"/>
              <w:jc w:val="both"/>
            </w:pPr>
            <w:r>
              <w:rPr>
                <w:sz w:val="21"/>
              </w:rPr>
              <w:t>≤</w:t>
            </w:r>
            <w:r>
              <w:rPr>
                <w:sz w:val="21"/>
              </w:rPr>
              <w:t>10 mg/L</w:t>
            </w:r>
          </w:p>
        </w:tc>
        <w:tc>
          <w:tcPr>
            <w:tcW w:type="dxa" w:w="1978"/>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ind w:firstLine="480"/>
              <w:jc w:val="both"/>
            </w:pPr>
            <w:r>
              <w:rPr>
                <w:sz w:val="21"/>
              </w:rPr>
              <w:t>Ph</w:t>
            </w:r>
          </w:p>
        </w:tc>
        <w:tc>
          <w:tcPr>
            <w:tcW w:type="dxa" w:w="230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ind w:firstLine="480"/>
              <w:jc w:val="both"/>
            </w:pPr>
            <w:r>
              <w:rPr>
                <w:sz w:val="21"/>
              </w:rPr>
              <w:t>6-9</w:t>
            </w:r>
          </w:p>
        </w:tc>
      </w:tr>
    </w:tbl>
    <w:p>
      <w:pPr>
        <w:pStyle w:val="null3"/>
        <w:ind w:firstLine="480"/>
        <w:jc w:val="both"/>
      </w:pPr>
      <w:r>
        <w:rPr>
          <w:sz w:val="21"/>
        </w:rPr>
        <w:t>3</w:t>
      </w:r>
      <w:r>
        <w:rPr>
          <w:sz w:val="21"/>
        </w:rPr>
        <w:t>、服务年限</w:t>
      </w:r>
      <w:r>
        <w:rPr>
          <w:sz w:val="21"/>
        </w:rPr>
        <w:t>3</w:t>
      </w:r>
      <w:r>
        <w:rPr>
          <w:sz w:val="21"/>
        </w:rPr>
        <w:t>年（合同签订后接管之日起算）。</w:t>
      </w:r>
    </w:p>
    <w:p>
      <w:pPr>
        <w:pStyle w:val="null3"/>
        <w:ind w:firstLine="480"/>
        <w:jc w:val="both"/>
      </w:pPr>
      <w:r>
        <w:rPr>
          <w:sz w:val="21"/>
        </w:rPr>
        <w:t>（二）本项目采购清单的情况</w:t>
      </w:r>
    </w:p>
    <w:p>
      <w:pPr>
        <w:pStyle w:val="null3"/>
        <w:ind w:firstLine="480"/>
        <w:jc w:val="both"/>
      </w:pPr>
      <w:r>
        <w:rPr>
          <w:sz w:val="21"/>
        </w:rPr>
        <w:t>1</w:t>
      </w:r>
      <w:r>
        <w:rPr>
          <w:sz w:val="21"/>
        </w:rPr>
        <w:t>、本项目采购清单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505"/>
        <w:gridCol w:w="827"/>
        <w:gridCol w:w="3283"/>
        <w:gridCol w:w="645"/>
        <w:gridCol w:w="659"/>
        <w:gridCol w:w="1038"/>
        <w:gridCol w:w="1304"/>
      </w:tblGrid>
      <w:tr>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类别</w:t>
            </w:r>
          </w:p>
        </w:tc>
        <w:tc>
          <w:tcPr>
            <w:tcW w:type="dxa" w:w="3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标的名称</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单位</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主要标的</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所属行业</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其他</w:t>
            </w:r>
            <w:r>
              <w:rPr>
                <w:sz w:val="21"/>
              </w:rPr>
              <w:t>服务</w:t>
            </w:r>
          </w:p>
        </w:tc>
        <w:tc>
          <w:tcPr>
            <w:tcW w:type="dxa" w:w="3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陈塘河中游水质提升一体化建设及清淤项目运营维护服务</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是</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其他未列明行业</w:t>
            </w:r>
          </w:p>
        </w:tc>
      </w:tr>
      <w:tr>
        <w:tc>
          <w:tcPr>
            <w:tcW w:type="dxa" w:w="46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合计（元）</w:t>
            </w:r>
          </w:p>
        </w:tc>
        <w:tc>
          <w:tcPr>
            <w:tcW w:type="dxa" w:w="364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rPr>
              <w:t>7166400.00</w:t>
            </w:r>
          </w:p>
        </w:tc>
      </w:tr>
    </w:tbl>
    <w:p>
      <w:pPr>
        <w:pStyle w:val="null3"/>
      </w:pPr>
    </w:p>
    <w:p>
      <w:pPr>
        <w:pStyle w:val="null3"/>
      </w:pPr>
      <w:r>
        <w:rPr/>
        <w:t>采购包1（陈塘河中游水质提升一体化建设及清淤项目运营维护服务项目）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双方自合同签订之日起服务期三年。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1期：支付比例100%,1.合同签订后开始正式运营，第二个月开始每月1号为计算周期，按照采购方与中标人联合确认的污水处理量拨付上个月的运行服务费。 运行服务费=上月抄表水量（方）*单价（元/方） 2.中标人向采购人申请运行服务费时应提供以下文件： （1）中标人开具的正式发票； （2）相应成果材料或文件 （3）采购人不承担因财政资金不能及时到位给中标人造成的任何损失。</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1期：1.出水水质CODCr、氨氮、总磷执行《地表水环境质量标准》（GB3838-2002）Ⅳ类标准，其余指标执行《城镇污水处理厂污染物排放标准》（GB 18918-2002）中一级A标准。 2.验收时如发现所交付的成果有不符合招标文件规定的情形，由采购人和中标人做出详尽的现场记录并双方签署。此现场记录或备忘录可用作补充、缺失和更换的有效证据。由此产生的有关费用由中标人承担。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（1）报价方式为投标人以报总价的方式进行报价，未按照报价方式要求进行报价的，其投标无效，由评标委员会在符合性审查中不予通过。 （2）报价总价指中标人为完成本项目所收取的全部费用。投标总价包含但不限于以下费用：人工费、水电费、药剂费、固废运输费（包含栅渣、污泥、化验室废弃物、危险废弃物等该项目产生的所有废弃物的运输），设备设施完善、日常维护费、其他运行维护费用等合同实施过程中的应预见和不可预见费用等完成合同规定责任和义务、达到合同目的的一切费用及企业利润。 （3）中标人须考虑本项目在实施期间的一切可能产生的费用。 （4）根据《政府采购货物和服务招标投标管理办法》 (财政部令第87号) 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陈塘河中游水质提升一体化建设及清淤项目运营维护服务项目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7,166,400.00</w:t>
            </w:r>
          </w:p>
        </w:tc>
        <w:tc>
          <w:tcPr>
            <w:tcW w:type="dxa" w:w="933"/>
          </w:tcPr>
          <w:p>
            <w:pPr>
              <w:pStyle w:val="null3"/>
              <w:jc w:val="right"/>
            </w:pPr>
            <w:r>
              <w:rPr/>
              <w:t>7,166,400.00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陈塘河中游水质提升一体化建设及清淤项目运营维护服务项目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 xml:space="preserve">    一、采用工艺流程及说明</w:t>
            </w:r>
          </w:p>
          <w:p>
            <w:pPr>
              <w:pStyle w:val="null3"/>
              <w:spacing w:after="120"/>
              <w:ind w:firstLine="480"/>
              <w:jc w:val="both"/>
            </w:pPr>
            <w:r>
              <w:drawing>
                <wp:inline distT="0" distR="0" distB="0" distL="0">
                  <wp:extent cx="3554729" cy="4762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29" cy="476250"/>
                          </a:xfrm>
                          <a:prstGeom prst="rect">
                            <a:avLst/>
                          </a:prstGeom>
                        </pic:spPr>
                      </pic:pic>
                    </a:graphicData>
                  </a:graphic>
                </wp:inline>
              </w:drawing>
            </w:r>
          </w:p>
          <w:p>
            <w:pPr>
              <w:pStyle w:val="null3"/>
              <w:ind w:firstLine="420"/>
              <w:jc w:val="both"/>
            </w:pPr>
            <w:r>
              <w:rPr>
                <w:sz w:val="21"/>
              </w:rPr>
              <w:t>进水经由机械格栅去除水中大块的悬浮物后，经由泵站提升进入旋流沉砂池，进一步沉积水中的无机物（如：沙、石等。）再进入缺氧池，经缺氧池反硝化反应后均匀进入</w:t>
            </w:r>
            <w:r>
              <w:rPr>
                <w:sz w:val="21"/>
              </w:rPr>
              <w:t>RPIR快速生化反应池，再经生化池生化处理后，进入高密度沉淀池，在高密沉淀池内设置加药装置，向水中投加助凝剂、絮凝剂和除磷剂，再通过水下搅拌作用下充分混合，让微小的悬浮物变成大颗粒的悬浮物，加速絮凝沉淀，使得总磷达到排放标准，降低SS的出水指标，高密度沉淀池出水后进入纤维式转盘滤池，进一步去除SS，达到排放标准，最后进入出水景观池，全部指标达标排放，缺氧池、生化池、高密沉淀池内的剩余污泥排放至污泥浓缩池中，在浓缩过程中投加絮凝剂，增强泥水分离的效果，浓缩后的污泥通过污泥泵输送至污泥脱水机房进行机械脱水，脱水后的污泥外运处理。</w:t>
            </w:r>
          </w:p>
          <w:p>
            <w:pPr>
              <w:pStyle w:val="null3"/>
              <w:ind w:firstLine="420"/>
              <w:jc w:val="both"/>
            </w:pPr>
            <w:r>
              <w:rPr>
                <w:b/>
                <w:sz w:val="21"/>
              </w:rPr>
              <w:t>二、设计规模</w:t>
            </w:r>
          </w:p>
          <w:p>
            <w:pPr>
              <w:pStyle w:val="null3"/>
              <w:ind w:firstLine="420"/>
              <w:jc w:val="both"/>
            </w:pPr>
            <w:r>
              <w:rPr>
                <w:sz w:val="21"/>
              </w:rPr>
              <w:t>本项目设计水量为</w:t>
            </w:r>
            <w:r>
              <w:rPr>
                <w:sz w:val="21"/>
              </w:rPr>
              <w:t>6</w:t>
            </w:r>
            <w:r>
              <w:rPr>
                <w:sz w:val="21"/>
              </w:rPr>
              <w:t>000m</w:t>
            </w:r>
            <w:r>
              <w:rPr>
                <w:sz w:val="21"/>
                <w:vertAlign w:val="superscript"/>
              </w:rPr>
              <w:t>3</w:t>
            </w:r>
            <w:r>
              <w:rPr>
                <w:sz w:val="21"/>
              </w:rPr>
              <w:t>/d，运行时间为24h/d，小时设计规模为</w:t>
            </w:r>
            <w:r>
              <w:rPr>
                <w:sz w:val="21"/>
              </w:rPr>
              <w:t>250</w:t>
            </w:r>
            <w:r>
              <w:rPr>
                <w:sz w:val="21"/>
              </w:rPr>
              <w:t>m</w:t>
            </w:r>
            <w:r>
              <w:rPr>
                <w:sz w:val="21"/>
                <w:vertAlign w:val="superscript"/>
              </w:rPr>
              <w:t>3</w:t>
            </w:r>
            <w:r>
              <w:rPr>
                <w:sz w:val="21"/>
              </w:rPr>
              <w:t>/h。</w:t>
            </w:r>
          </w:p>
          <w:p>
            <w:pPr>
              <w:pStyle w:val="null3"/>
              <w:ind w:firstLine="480"/>
              <w:jc w:val="both"/>
            </w:pPr>
            <w:r>
              <w:rPr>
                <w:b/>
                <w:sz w:val="21"/>
              </w:rPr>
              <w:t xml:space="preserve">    三、进出水水质标准及要求</w:t>
            </w:r>
          </w:p>
          <w:p>
            <w:pPr>
              <w:pStyle w:val="null3"/>
              <w:ind w:firstLine="420"/>
              <w:jc w:val="both"/>
            </w:pPr>
            <w:r>
              <w:rPr>
                <w:sz w:val="21"/>
              </w:rPr>
              <w:t>1.</w:t>
            </w:r>
            <w:r>
              <w:rPr>
                <w:sz w:val="21"/>
              </w:rPr>
              <w:t>本污水处理站主要处理的是生活污水（</w:t>
            </w:r>
            <w:r>
              <w:rPr>
                <w:sz w:val="21"/>
              </w:rPr>
              <w:t>市政污水管网</w:t>
            </w:r>
            <w:r>
              <w:rPr>
                <w:sz w:val="21"/>
              </w:rPr>
              <w:t>），结合现场采样检测数据及常规生活污水水质，本项目设计进水水质如下表</w:t>
            </w:r>
            <w:r>
              <w:rPr>
                <w:sz w:val="21"/>
              </w:rPr>
              <w:t>1</w:t>
            </w:r>
            <w:r>
              <w:rPr>
                <w:sz w:val="21"/>
              </w:rPr>
              <w:t>所示：</w:t>
            </w:r>
          </w:p>
          <w:p>
            <w:pPr>
              <w:pStyle w:val="null3"/>
              <w:ind w:firstLine="562"/>
              <w:jc w:val="center"/>
            </w:pPr>
            <w:r>
              <w:rPr>
                <w:b/>
                <w:sz w:val="21"/>
              </w:rPr>
              <w:t>表</w:t>
            </w:r>
            <w:r>
              <w:rPr>
                <w:b/>
                <w:sz w:val="21"/>
              </w:rPr>
              <w:t>1</w:t>
            </w:r>
            <w:r>
              <w:rPr>
                <w:b/>
                <w:sz w:val="21"/>
              </w:rPr>
              <w:t>设计进水水质一览表</w:t>
            </w:r>
          </w:p>
          <w:tbl>
            <w:tblPr>
              <w:tblInd w:type="dxa" w:w="135"/>
              <w:tblBorders>
                <w:top w:val="none" w:color="000000" w:sz="4"/>
                <w:left w:val="none" w:color="000000" w:sz="4"/>
                <w:bottom w:val="none" w:color="000000" w:sz="4"/>
                <w:right w:val="none" w:color="000000" w:sz="4"/>
                <w:insideH w:val="none"/>
                <w:insideV w:val="none"/>
              </w:tblBorders>
            </w:tblPr>
            <w:tblGrid>
              <w:gridCol w:w="1214"/>
              <w:gridCol w:w="1360"/>
              <w:gridCol w:w="1275"/>
              <w:gridCol w:w="1724"/>
            </w:tblGrid>
            <w:tr>
              <w:tc>
                <w:tcPr>
                  <w:tcW w:type="dxa" w:w="1214"/>
                  <w:tcBorders>
                    <w:top w:val="double" w:color="000000" w:sz="4"/>
                    <w:left w:val="double" w:color="000000" w:sz="4"/>
                    <w:bottom w:val="single" w:color="000000" w:sz="4"/>
                    <w:right w:val="single" w:color="000000" w:sz="4"/>
                  </w:tcBorders>
                  <w:shd w:fill="DDEBF7"/>
                  <w:tcMar>
                    <w:top w:type="dxa" w:w="0"/>
                    <w:left w:type="dxa" w:w="105"/>
                    <w:bottom w:type="dxa" w:w="0"/>
                    <w:right w:type="dxa" w:w="105"/>
                  </w:tcMar>
                  <w:vAlign w:val="top"/>
                </w:tcPr>
                <w:p>
                  <w:pPr>
                    <w:pStyle w:val="null3"/>
                    <w:jc w:val="center"/>
                  </w:pPr>
                  <w:r>
                    <w:rPr>
                      <w:b/>
                      <w:sz w:val="21"/>
                    </w:rPr>
                    <w:t>水质指标</w:t>
                  </w:r>
                </w:p>
              </w:tc>
              <w:tc>
                <w:tcPr>
                  <w:tcW w:type="dxa" w:w="1360"/>
                  <w:tcBorders>
                    <w:top w:val="doub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jc w:val="center"/>
                  </w:pPr>
                  <w:r>
                    <w:rPr>
                      <w:b/>
                      <w:sz w:val="21"/>
                    </w:rPr>
                    <w:t>数值</w:t>
                  </w:r>
                </w:p>
              </w:tc>
              <w:tc>
                <w:tcPr>
                  <w:tcW w:type="dxa" w:w="1275"/>
                  <w:tcBorders>
                    <w:top w:val="doub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jc w:val="center"/>
                  </w:pPr>
                  <w:r>
                    <w:rPr>
                      <w:b/>
                      <w:sz w:val="21"/>
                    </w:rPr>
                    <w:t>水质指标</w:t>
                  </w:r>
                </w:p>
              </w:tc>
              <w:tc>
                <w:tcPr>
                  <w:tcW w:type="dxa" w:w="1724"/>
                  <w:tcBorders>
                    <w:top w:val="double" w:color="000000" w:sz="4"/>
                    <w:left w:val="single" w:color="000000" w:sz="4"/>
                    <w:bottom w:val="single" w:color="000000" w:sz="4"/>
                    <w:right w:val="double" w:color="000000" w:sz="4"/>
                  </w:tcBorders>
                  <w:shd w:fill="DDEBF7"/>
                  <w:tcMar>
                    <w:top w:type="dxa" w:w="0"/>
                    <w:left w:type="dxa" w:w="105"/>
                    <w:bottom w:type="dxa" w:w="0"/>
                    <w:right w:type="dxa" w:w="105"/>
                  </w:tcMar>
                  <w:vAlign w:val="top"/>
                </w:tcPr>
                <w:p>
                  <w:pPr>
                    <w:pStyle w:val="null3"/>
                    <w:jc w:val="center"/>
                  </w:pPr>
                  <w:r>
                    <w:rPr>
                      <w:b/>
                      <w:sz w:val="21"/>
                    </w:rPr>
                    <w:t>数值</w:t>
                  </w:r>
                </w:p>
              </w:tc>
            </w:tr>
            <w:tr>
              <w:tc>
                <w:tcPr>
                  <w:tcW w:type="dxa" w:w="121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COD</w:t>
                  </w:r>
                  <w:r>
                    <w:rPr>
                      <w:sz w:val="21"/>
                      <w:vertAlign w:val="subscript"/>
                    </w:rPr>
                    <w:t>cr</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250mg/L</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BOD</w:t>
                  </w:r>
                  <w:r>
                    <w:rPr>
                      <w:sz w:val="21"/>
                      <w:vertAlign w:val="subscript"/>
                    </w:rPr>
                    <w:t>5</w:t>
                  </w:r>
                </w:p>
              </w:tc>
              <w:tc>
                <w:tcPr>
                  <w:tcW w:type="dxa" w:w="1724"/>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w:t>
                  </w:r>
                  <w:r>
                    <w:rPr>
                      <w:sz w:val="21"/>
                    </w:rPr>
                    <w:t>150 mg/L</w:t>
                  </w:r>
                </w:p>
              </w:tc>
            </w:tr>
            <w:tr>
              <w:tc>
                <w:tcPr>
                  <w:tcW w:type="dxa" w:w="121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NH</w:t>
                  </w:r>
                  <w:r>
                    <w:rPr>
                      <w:sz w:val="21"/>
                      <w:vertAlign w:val="subscript"/>
                    </w:rPr>
                    <w:t>3</w:t>
                  </w:r>
                  <w:r>
                    <w:rPr>
                      <w:sz w:val="21"/>
                    </w:rPr>
                    <w:t>-N</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40 mg/L</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TP</w:t>
                  </w:r>
                </w:p>
              </w:tc>
              <w:tc>
                <w:tcPr>
                  <w:tcW w:type="dxa" w:w="1724"/>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w:t>
                  </w:r>
                  <w:r>
                    <w:rPr>
                      <w:sz w:val="21"/>
                    </w:rPr>
                    <w:t>4 mg/L</w:t>
                  </w:r>
                </w:p>
              </w:tc>
            </w:tr>
            <w:tr>
              <w:tc>
                <w:tcPr>
                  <w:tcW w:type="dxa" w:w="121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SS</w:t>
                  </w:r>
                </w:p>
              </w:tc>
              <w:tc>
                <w:tcPr>
                  <w:tcW w:type="dxa" w:w="1360"/>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150 mg/L</w:t>
                  </w:r>
                </w:p>
              </w:tc>
              <w:tc>
                <w:tcPr>
                  <w:tcW w:type="dxa" w:w="1275"/>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Ph</w:t>
                  </w:r>
                </w:p>
              </w:tc>
              <w:tc>
                <w:tcPr>
                  <w:tcW w:type="dxa" w:w="1724"/>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6-9</w:t>
                  </w:r>
                </w:p>
              </w:tc>
            </w:tr>
          </w:tbl>
          <w:p>
            <w:pPr>
              <w:pStyle w:val="null3"/>
              <w:ind w:firstLine="480"/>
              <w:jc w:val="both"/>
            </w:pPr>
          </w:p>
          <w:p>
            <w:pPr>
              <w:pStyle w:val="null3"/>
              <w:ind w:firstLine="422"/>
              <w:jc w:val="both"/>
            </w:pPr>
            <w:r>
              <w:rPr>
                <w:b/>
                <w:sz w:val="21"/>
              </w:rPr>
              <w:t>2.</w:t>
            </w:r>
            <w:r>
              <w:rPr>
                <w:sz w:val="21"/>
              </w:rPr>
              <w:t>设计出水水质</w:t>
            </w:r>
          </w:p>
          <w:p>
            <w:pPr>
              <w:pStyle w:val="null3"/>
              <w:ind w:firstLine="420"/>
              <w:jc w:val="left"/>
            </w:pPr>
            <w:r>
              <w:rPr>
                <w:sz w:val="21"/>
              </w:rPr>
              <w:t>出水</w:t>
            </w:r>
            <w:r>
              <w:rPr>
                <w:sz w:val="21"/>
              </w:rPr>
              <w:t>COD</w:t>
            </w:r>
            <w:r>
              <w:rPr>
                <w:sz w:val="21"/>
                <w:vertAlign w:val="subscript"/>
              </w:rPr>
              <w:t>Cr</w:t>
            </w:r>
            <w:r>
              <w:rPr>
                <w:sz w:val="21"/>
              </w:rPr>
              <w:t>、氨氮、总磷执行《地表水环境质量标准》（</w:t>
            </w:r>
            <w:r>
              <w:rPr>
                <w:sz w:val="21"/>
              </w:rPr>
              <w:t>GB3838-2002）</w:t>
            </w:r>
            <w:r>
              <w:rPr>
                <w:sz w:val="21"/>
              </w:rPr>
              <w:t>Ⅳ</w:t>
            </w:r>
            <w:r>
              <w:rPr>
                <w:sz w:val="21"/>
              </w:rPr>
              <w:t>类标准，其余指标执行《城镇污水处理厂污染物排放标准》（</w:t>
            </w:r>
            <w:r>
              <w:rPr>
                <w:sz w:val="21"/>
              </w:rPr>
              <w:t>GB 18918-2002）中一级A标准，执行指标如下表2所示：</w:t>
            </w:r>
          </w:p>
          <w:p>
            <w:pPr>
              <w:pStyle w:val="null3"/>
              <w:ind w:firstLine="562"/>
              <w:jc w:val="center"/>
            </w:pPr>
            <w:r>
              <w:rPr>
                <w:b/>
                <w:sz w:val="21"/>
              </w:rPr>
              <w:t>表</w:t>
            </w:r>
            <w:r>
              <w:rPr>
                <w:b/>
                <w:sz w:val="21"/>
              </w:rPr>
              <w:t>2 出水水质一览表</w:t>
            </w:r>
          </w:p>
          <w:tbl>
            <w:tblPr>
              <w:tblBorders>
                <w:top w:val="none" w:color="000000" w:sz="4"/>
                <w:left w:val="none" w:color="000000" w:sz="4"/>
                <w:bottom w:val="none" w:color="000000" w:sz="4"/>
                <w:right w:val="none" w:color="000000" w:sz="4"/>
                <w:insideH w:val="none"/>
                <w:insideV w:val="none"/>
              </w:tblBorders>
            </w:tblPr>
            <w:tblGrid>
              <w:gridCol w:w="1153"/>
              <w:gridCol w:w="1549"/>
              <w:gridCol w:w="1321"/>
              <w:gridCol w:w="1549"/>
            </w:tblGrid>
            <w:tr>
              <w:tc>
                <w:tcPr>
                  <w:tcW w:type="dxa" w:w="1153"/>
                  <w:tcBorders>
                    <w:top w:val="double" w:color="000000" w:sz="4"/>
                    <w:left w:val="double" w:color="000000" w:sz="4"/>
                    <w:bottom w:val="single" w:color="000000" w:sz="4"/>
                    <w:right w:val="single" w:color="000000" w:sz="4"/>
                  </w:tcBorders>
                  <w:shd w:fill="DDEBF7"/>
                  <w:tcMar>
                    <w:top w:type="dxa" w:w="0"/>
                    <w:left w:type="dxa" w:w="105"/>
                    <w:bottom w:type="dxa" w:w="0"/>
                    <w:right w:type="dxa" w:w="105"/>
                  </w:tcMar>
                  <w:vAlign w:val="top"/>
                </w:tcPr>
                <w:p>
                  <w:pPr>
                    <w:pStyle w:val="null3"/>
                    <w:jc w:val="center"/>
                  </w:pPr>
                  <w:r>
                    <w:rPr>
                      <w:b/>
                      <w:sz w:val="21"/>
                    </w:rPr>
                    <w:t>水质指标</w:t>
                  </w:r>
                </w:p>
              </w:tc>
              <w:tc>
                <w:tcPr>
                  <w:tcW w:type="dxa" w:w="1549"/>
                  <w:tcBorders>
                    <w:top w:val="doub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jc w:val="center"/>
                  </w:pPr>
                  <w:r>
                    <w:rPr>
                      <w:b/>
                      <w:sz w:val="21"/>
                    </w:rPr>
                    <w:t>数值</w:t>
                  </w:r>
                </w:p>
              </w:tc>
              <w:tc>
                <w:tcPr>
                  <w:tcW w:type="dxa" w:w="1321"/>
                  <w:tcBorders>
                    <w:top w:val="double" w:color="000000" w:sz="4"/>
                    <w:left w:val="single" w:color="000000" w:sz="4"/>
                    <w:bottom w:val="single" w:color="000000" w:sz="4"/>
                    <w:right w:val="single" w:color="000000" w:sz="4"/>
                  </w:tcBorders>
                  <w:shd w:fill="DDEBF7"/>
                  <w:tcMar>
                    <w:top w:type="dxa" w:w="0"/>
                    <w:left w:type="dxa" w:w="105"/>
                    <w:bottom w:type="dxa" w:w="0"/>
                    <w:right w:type="dxa" w:w="105"/>
                  </w:tcMar>
                  <w:vAlign w:val="top"/>
                </w:tcPr>
                <w:p>
                  <w:pPr>
                    <w:pStyle w:val="null3"/>
                    <w:jc w:val="center"/>
                  </w:pPr>
                  <w:r>
                    <w:rPr>
                      <w:b/>
                      <w:sz w:val="21"/>
                    </w:rPr>
                    <w:t>水质指标</w:t>
                  </w:r>
                </w:p>
              </w:tc>
              <w:tc>
                <w:tcPr>
                  <w:tcW w:type="dxa" w:w="1549"/>
                  <w:tcBorders>
                    <w:top w:val="double" w:color="000000" w:sz="4"/>
                    <w:left w:val="single" w:color="000000" w:sz="4"/>
                    <w:bottom w:val="single" w:color="000000" w:sz="4"/>
                    <w:right w:val="double" w:color="000000" w:sz="4"/>
                  </w:tcBorders>
                  <w:shd w:fill="DDEBF7"/>
                  <w:tcMar>
                    <w:top w:type="dxa" w:w="0"/>
                    <w:left w:type="dxa" w:w="105"/>
                    <w:bottom w:type="dxa" w:w="0"/>
                    <w:right w:type="dxa" w:w="105"/>
                  </w:tcMar>
                  <w:vAlign w:val="top"/>
                </w:tcPr>
                <w:p>
                  <w:pPr>
                    <w:pStyle w:val="null3"/>
                    <w:jc w:val="center"/>
                  </w:pPr>
                  <w:r>
                    <w:rPr>
                      <w:b/>
                      <w:sz w:val="21"/>
                    </w:rPr>
                    <w:t>数值</w:t>
                  </w:r>
                </w:p>
              </w:tc>
            </w:tr>
            <w:tr>
              <w:tc>
                <w:tcPr>
                  <w:tcW w:type="dxa" w:w="1153"/>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COD</w:t>
                  </w:r>
                  <w:r>
                    <w:rPr>
                      <w:sz w:val="21"/>
                      <w:vertAlign w:val="subscript"/>
                    </w:rPr>
                    <w:t>cr</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w:t>
                  </w:r>
                  <w:r>
                    <w:rPr>
                      <w:sz w:val="21"/>
                    </w:rPr>
                    <w:t>0 mg/L</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BOD</w:t>
                  </w:r>
                  <w:r>
                    <w:rPr>
                      <w:sz w:val="21"/>
                      <w:vertAlign w:val="subscript"/>
                    </w:rPr>
                    <w:t>5</w:t>
                  </w:r>
                </w:p>
              </w:tc>
              <w:tc>
                <w:tcPr>
                  <w:tcW w:type="dxa" w:w="1549"/>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w:t>
                  </w:r>
                  <w:r>
                    <w:rPr>
                      <w:sz w:val="21"/>
                    </w:rPr>
                    <w:t>10 mg/L</w:t>
                  </w:r>
                </w:p>
              </w:tc>
            </w:tr>
            <w:tr>
              <w:tc>
                <w:tcPr>
                  <w:tcW w:type="dxa" w:w="1153"/>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NH</w:t>
                  </w:r>
                  <w:r>
                    <w:rPr>
                      <w:sz w:val="21"/>
                      <w:vertAlign w:val="subscript"/>
                    </w:rPr>
                    <w:t>3</w:t>
                  </w:r>
                  <w:r>
                    <w:rPr>
                      <w:sz w:val="21"/>
                    </w:rPr>
                    <w:t>-N</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1.5</w:t>
                  </w:r>
                  <w:r>
                    <w:rPr>
                      <w:sz w:val="21"/>
                    </w:rPr>
                    <w:t>mg/L</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TP</w:t>
                  </w:r>
                </w:p>
              </w:tc>
              <w:tc>
                <w:tcPr>
                  <w:tcW w:type="dxa" w:w="154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3</w:t>
                  </w:r>
                  <w:r>
                    <w:rPr>
                      <w:sz w:val="21"/>
                    </w:rPr>
                    <w:t xml:space="preserve"> </w:t>
                  </w:r>
                  <w:r>
                    <w:rPr>
                      <w:sz w:val="21"/>
                    </w:rPr>
                    <w:t>mg/L</w:t>
                  </w:r>
                </w:p>
              </w:tc>
            </w:tr>
            <w:tr>
              <w:tc>
                <w:tcPr>
                  <w:tcW w:type="dxa" w:w="1153"/>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SS</w:t>
                  </w:r>
                </w:p>
              </w:tc>
              <w:tc>
                <w:tcPr>
                  <w:tcW w:type="dxa" w:w="1549"/>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 mg/L</w:t>
                  </w:r>
                </w:p>
              </w:tc>
              <w:tc>
                <w:tcPr>
                  <w:tcW w:type="dxa" w:w="132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Ph</w:t>
                  </w:r>
                </w:p>
              </w:tc>
              <w:tc>
                <w:tcPr>
                  <w:tcW w:type="dxa" w:w="1549"/>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rPr>
                    <w:t>6-9</w:t>
                  </w:r>
                </w:p>
              </w:tc>
            </w:tr>
          </w:tbl>
          <w:p>
            <w:pPr>
              <w:pStyle w:val="null3"/>
              <w:jc w:val="both"/>
            </w:pPr>
          </w:p>
          <w:p>
            <w:pPr>
              <w:pStyle w:val="null3"/>
              <w:ind w:firstLine="480"/>
              <w:jc w:val="both"/>
            </w:pPr>
            <w:r>
              <w:rPr>
                <w:b/>
                <w:sz w:val="21"/>
              </w:rPr>
              <w:t xml:space="preserve"> </w:t>
            </w:r>
            <w:r>
              <w:rPr>
                <w:b/>
                <w:sz w:val="21"/>
              </w:rPr>
              <w:t>四、</w:t>
            </w:r>
            <w:r>
              <w:rPr>
                <w:b/>
                <w:sz w:val="21"/>
              </w:rPr>
              <w:t>总平面图</w:t>
            </w:r>
          </w:p>
          <w:p>
            <w:pPr>
              <w:pStyle w:val="null3"/>
              <w:ind w:firstLine="420"/>
              <w:jc w:val="both"/>
            </w:pPr>
            <w:r>
              <w:rPr>
                <w:sz w:val="21"/>
              </w:rPr>
              <w:t>该一体化临时污水设施占地面积约</w:t>
            </w:r>
            <w:r>
              <w:rPr>
                <w:sz w:val="21"/>
              </w:rPr>
              <w:t>2800平方米，建筑面积约1200平方米，主要包括以下建设内容：细格栅及泵房、截污泵井、砂水分离器、缺氧池、Y-RPIR生化池、风机房、仓库、高密沉池、滤布滤池、污泥脱水间、综合管理房、检测、药剂房、电动伸缩大门、厂区围栏等。</w:t>
            </w:r>
          </w:p>
          <w:p>
            <w:pPr>
              <w:pStyle w:val="null3"/>
              <w:ind w:firstLine="480"/>
              <w:jc w:val="both"/>
            </w:pPr>
            <w:r>
              <w:rPr>
                <w:sz w:val="21"/>
              </w:rPr>
              <w:t>污水处理设施总平面布置图如下所示。</w:t>
            </w:r>
          </w:p>
          <w:p>
            <w:pPr>
              <w:pStyle w:val="null3"/>
              <w:ind w:firstLine="480"/>
              <w:jc w:val="both"/>
            </w:pPr>
            <w:r>
              <w:drawing>
                <wp:inline distT="0" distR="0" distB="0" distL="0">
                  <wp:extent cx="3554729" cy="4762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29" cy="476250"/>
                          </a:xfrm>
                          <a:prstGeom prst="rect">
                            <a:avLst/>
                          </a:prstGeom>
                        </pic:spPr>
                      </pic:pic>
                    </a:graphicData>
                  </a:graphic>
                </wp:inline>
              </w:drawing>
            </w:r>
            <w:r>
              <w:rPr/>
              <w:t xml:space="preserve"> </w:t>
            </w:r>
          </w:p>
          <w:p>
            <w:pPr>
              <w:pStyle w:val="null3"/>
              <w:ind w:firstLine="480"/>
              <w:jc w:val="both"/>
            </w:pPr>
            <w:r>
              <w:rPr>
                <w:b/>
                <w:sz w:val="21"/>
              </w:rPr>
              <w:t xml:space="preserve">    五、主要设备清单</w:t>
            </w:r>
          </w:p>
          <w:tbl>
            <w:tblPr>
              <w:tblBorders>
                <w:top w:val="none" w:color="000000" w:sz="4"/>
                <w:left w:val="none" w:color="000000" w:sz="4"/>
                <w:bottom w:val="none" w:color="000000" w:sz="4"/>
                <w:right w:val="none" w:color="000000" w:sz="4"/>
                <w:insideH w:val="none"/>
                <w:insideV w:val="none"/>
              </w:tblBorders>
            </w:tblPr>
            <w:tblGrid>
              <w:gridCol w:w="466"/>
              <w:gridCol w:w="1411"/>
              <w:gridCol w:w="1985"/>
              <w:gridCol w:w="466"/>
              <w:gridCol w:w="454"/>
              <w:gridCol w:w="777"/>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设备项目</w:t>
                  </w:r>
                </w:p>
              </w:tc>
              <w:tc>
                <w:tcPr>
                  <w:tcW w:type="dxa" w:w="1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规格型号</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材质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一</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提升泵房</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格栅机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齿距</w:t>
                  </w:r>
                  <w:r>
                    <w:rPr>
                      <w:sz w:val="21"/>
                    </w:rPr>
                    <w:t>3mm，功率1.1KW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S304</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提升泵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DN200，流量300m3/h 扬程15m，功率22KW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1用1备</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移动式龙门吊</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1.5号吨自行式电动葫芦</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钢构</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二</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预处理</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旋流沉砂器</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功率</w:t>
                  </w:r>
                  <w:r>
                    <w:rPr>
                      <w:sz w:val="21"/>
                    </w:rPr>
                    <w:t>1.1KW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三</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Y-RPIR生化池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处理量</w:t>
                  </w:r>
                  <w:r>
                    <w:rPr>
                      <w:b/>
                      <w:sz w:val="21"/>
                    </w:rPr>
                    <w:t>6000m3/d</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碳钢环氧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Y-RPIR生化池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Φ25m*6m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碳钢环氧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Y-RPIR模块</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鼓风机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DN150功率37KW气压70kpa风量20.11 m3/min</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1用1备</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移动式龙门吊</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2吨自行式电动葫芦</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钢构</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进水系统</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配自动配水装置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出水系统</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出水堰槽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排泥系统</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与设备配套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硝化回流泵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DN200 300m3/h 扬程7米 功率11KW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铸铁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缺氧池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Φ14m*6m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碳钢环氧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潜水推流泵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功率</w:t>
                  </w:r>
                  <w:r>
                    <w:rPr>
                      <w:sz w:val="21"/>
                    </w:rPr>
                    <w:t>4KW 玻璃钢叶浆直径2500MM 转速42RPM 10m电缆10米不锈钢机座吊臂</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铸铁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四</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高密沉池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处理量</w:t>
                  </w:r>
                  <w:r>
                    <w:rPr>
                      <w:b/>
                      <w:sz w:val="21"/>
                    </w:rPr>
                    <w:t>6000m3/d</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碳钢环氧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主池体</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L13.5m×W9m× H6m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碳钢环氧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混凝搅拌机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P=3kw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絮凝搅拌机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P=2.2kw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污泥回流泵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YE2-100L-2，P=3kw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刮泥机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P=1.1Kw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PAM加药泵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330L/h 5bar 550w/220v</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PAC加药泵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1000L/h 3.5bar 750w/380v</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管材、管件</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管材与设备配套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PAC加药搅拌机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P=2.2kw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PAM加药搅拌机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P=1.5kw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圆形药桶</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2个5吨，1个8吨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五</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滤布滤池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滤布转盘</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P=0.75KW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27</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反冲洗回流泵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P=2.2KW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六</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出水系统</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组合</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28</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景观池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8m×3m×1.5m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座</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砖砌</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出水超声波流量计</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b值152mm，L1525*W500*H730，    最大流量399.6m</w:t>
                  </w:r>
                  <w:r>
                    <w:rPr>
                      <w:sz w:val="21"/>
                      <w:vertAlign w:val="superscript"/>
                    </w:rPr>
                    <w:t>3</w:t>
                  </w:r>
                  <w:r>
                    <w:rPr>
                      <w:sz w:val="21"/>
                    </w:rPr>
                    <w:t>/h</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七</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污泥脱水系统</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板框压滤机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XMGZ100/1000GB，P=5.5kw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组合</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污泥浓缩池</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6.5m*3.5m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座</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储泥装置</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V=10m3碳钢重防腐</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33</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隔膜泵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QBK-100，30m³/h</w:t>
                  </w:r>
                </w:p>
                <w:p>
                  <w:pPr>
                    <w:pStyle w:val="null3"/>
                    <w:ind w:firstLine="380"/>
                    <w:jc w:val="center"/>
                  </w:pPr>
                  <w:r>
                    <w:rPr>
                      <w:sz w:val="21"/>
                    </w:rPr>
                    <w:t xml:space="preserve"> </w:t>
                  </w:r>
                  <w:r>
                    <w:rPr>
                      <w:sz w:val="21"/>
                    </w:rPr>
                    <w:t>扬程</w:t>
                  </w:r>
                  <w:r>
                    <w:rPr>
                      <w:sz w:val="21"/>
                    </w:rPr>
                    <w:t>50米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铸铁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上清液泵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WQ50-10-3；N=3KW，口径100mm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铸铁</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35</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潜水推流泵</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功率</w:t>
                  </w:r>
                  <w:r>
                    <w:rPr>
                      <w:sz w:val="21"/>
                    </w:rPr>
                    <w:t>2.2kw 叶轮直径320MM 转速 740r/min 不锈钢叶轮、导流罩</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36</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螺杆式压缩机</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排气量</w:t>
                  </w:r>
                  <w:r>
                    <w:rPr>
                      <w:sz w:val="21"/>
                    </w:rPr>
                    <w:t>1.6m</w:t>
                  </w:r>
                  <w:r>
                    <w:rPr>
                      <w:sz w:val="21"/>
                      <w:vertAlign w:val="superscript"/>
                    </w:rPr>
                    <w:t>3</w:t>
                  </w:r>
                  <w:r>
                    <w:rPr>
                      <w:sz w:val="21"/>
                    </w:rPr>
                    <w:t>/min，功率11kw</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储气罐</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压力</w:t>
                  </w:r>
                  <w:r>
                    <w:rPr>
                      <w:sz w:val="21"/>
                    </w:rPr>
                    <w:t>1.26mpa，容积0.6m</w:t>
                  </w:r>
                  <w:r>
                    <w:rPr>
                      <w:sz w:val="21"/>
                      <w:vertAlign w:val="superscript"/>
                    </w:rPr>
                    <w:t>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八</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在线监测</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38</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氨氮在线自动监测仪</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0-2/10/30/50/100/500mg/L 可扩展，手动/自动调 整量程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pH在线监测仪</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pH测量范围0-14</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40</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总磷在线监测仪</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0-2/10/20/40mg/L 可扩展,手动/自动调整量程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41</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CODcr在线分析仪</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0-200/1000/5000 /10000mg/L</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42</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SS在线分析仪</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iPYET-600-SS</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八</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设备间</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板房结构</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座</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组合</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九</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阀门、管道管件及电线电缆</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进水气动阀、出水气动阀、气反洗气动阀、水反洗气动阀等</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十</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电气及自控</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PLC，触摸屏，电气元器件，碳钢喷漆配电箱</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left="420" w:firstLine="480"/>
              <w:jc w:val="both"/>
            </w:pPr>
            <w:r>
              <w:rPr>
                <w:sz w:val="21"/>
              </w:rPr>
              <w:t>（注：以上设备须中标人服务期内进行维护、保养，费用已包含在本次采购预算金额内。）</w:t>
            </w:r>
          </w:p>
          <w:p>
            <w:pPr>
              <w:pStyle w:val="null3"/>
              <w:ind w:firstLine="480"/>
              <w:jc w:val="both"/>
            </w:pPr>
            <w:r>
              <w:rPr>
                <w:b/>
                <w:sz w:val="21"/>
              </w:rPr>
              <w:t>六、项目人员及响应要求</w:t>
            </w:r>
          </w:p>
          <w:p>
            <w:pPr>
              <w:pStyle w:val="null3"/>
              <w:ind w:firstLine="210"/>
              <w:jc w:val="both"/>
            </w:pPr>
            <w:r>
              <w:rPr>
                <w:sz w:val="21"/>
              </w:rPr>
              <w:t>投标人需要安排服务团队的人员数量</w:t>
            </w:r>
            <w:r>
              <w:rPr>
                <w:sz w:val="21"/>
              </w:rPr>
              <w:t>不少于</w:t>
            </w:r>
            <w:r>
              <w:rPr>
                <w:sz w:val="21"/>
              </w:rPr>
              <w:t>7</w:t>
            </w:r>
            <w:r>
              <w:rPr>
                <w:sz w:val="21"/>
              </w:rPr>
              <w:t>名，具体如下：</w:t>
            </w:r>
          </w:p>
          <w:p>
            <w:pPr>
              <w:pStyle w:val="null3"/>
              <w:ind w:firstLine="210"/>
              <w:jc w:val="both"/>
            </w:pPr>
            <w:r>
              <w:rPr>
                <w:sz w:val="21"/>
              </w:rPr>
              <w:t>（</w:t>
            </w:r>
            <w:r>
              <w:rPr>
                <w:sz w:val="21"/>
              </w:rPr>
              <w:t>1）项目</w:t>
            </w:r>
            <w:r>
              <w:rPr>
                <w:sz w:val="21"/>
              </w:rPr>
              <w:t>负责人</w:t>
            </w:r>
          </w:p>
          <w:p>
            <w:pPr>
              <w:pStyle w:val="null3"/>
              <w:ind w:firstLine="210"/>
              <w:jc w:val="both"/>
            </w:pPr>
            <w:r>
              <w:rPr>
                <w:sz w:val="21"/>
              </w:rPr>
              <w:t>投标人派出</w:t>
            </w:r>
            <w:r>
              <w:rPr>
                <w:sz w:val="21"/>
                <w:u w:val="single"/>
              </w:rPr>
              <w:t xml:space="preserve"> </w:t>
            </w:r>
            <w:r>
              <w:rPr>
                <w:sz w:val="21"/>
                <w:u w:val="single"/>
              </w:rPr>
              <w:t>1</w:t>
            </w:r>
            <w:r>
              <w:rPr>
                <w:sz w:val="21"/>
              </w:rPr>
              <w:t>名</w:t>
            </w:r>
            <w:r>
              <w:rPr>
                <w:sz w:val="21"/>
              </w:rPr>
              <w:t>持有</w:t>
            </w:r>
            <w:r>
              <w:rPr>
                <w:sz w:val="21"/>
              </w:rPr>
              <w:t>环保类相关专业</w:t>
            </w:r>
            <w:r>
              <w:rPr>
                <w:sz w:val="21"/>
              </w:rPr>
              <w:t>中级或以上</w:t>
            </w:r>
            <w:r>
              <w:rPr>
                <w:sz w:val="21"/>
              </w:rPr>
              <w:t>工程师证的工程师作为本项目负责人，负责本项目从领取中标通知书开始至合同验收完成的相关工作。</w:t>
            </w:r>
          </w:p>
          <w:p>
            <w:pPr>
              <w:pStyle w:val="null3"/>
              <w:ind w:firstLine="210"/>
              <w:jc w:val="both"/>
            </w:pPr>
            <w:r>
              <w:rPr>
                <w:sz w:val="21"/>
              </w:rPr>
              <w:t>（</w:t>
            </w:r>
            <w:r>
              <w:rPr>
                <w:sz w:val="21"/>
              </w:rPr>
              <w:t>2）拟派出人员（</w:t>
            </w:r>
            <w:r>
              <w:rPr>
                <w:sz w:val="21"/>
              </w:rPr>
              <w:t>不含项目负责人</w:t>
            </w:r>
            <w:r>
              <w:rPr>
                <w:sz w:val="21"/>
              </w:rPr>
              <w:t>）</w:t>
            </w:r>
          </w:p>
          <w:p>
            <w:pPr>
              <w:pStyle w:val="null3"/>
              <w:ind w:firstLine="210"/>
              <w:jc w:val="both"/>
            </w:pPr>
            <w:r>
              <w:rPr>
                <w:sz w:val="21"/>
              </w:rPr>
              <w:t>（</w:t>
            </w:r>
            <w:r>
              <w:rPr>
                <w:sz w:val="21"/>
              </w:rPr>
              <w:t>1）投标人需拟派项目实施人员不得少于</w:t>
            </w:r>
            <w:r>
              <w:rPr>
                <w:sz w:val="21"/>
                <w:u w:val="single"/>
              </w:rPr>
              <w:t xml:space="preserve"> </w:t>
            </w:r>
            <w:r>
              <w:rPr>
                <w:sz w:val="21"/>
                <w:u w:val="single"/>
              </w:rPr>
              <w:t>6</w:t>
            </w:r>
            <w:r>
              <w:rPr>
                <w:sz w:val="21"/>
                <w:u w:val="single"/>
              </w:rPr>
              <w:t xml:space="preserve"> </w:t>
            </w:r>
            <w:r>
              <w:rPr>
                <w:sz w:val="21"/>
              </w:rPr>
              <w:t>人，且服务人员中需具有以下人员：</w:t>
            </w:r>
          </w:p>
          <w:p>
            <w:pPr>
              <w:pStyle w:val="null3"/>
              <w:ind w:firstLine="210"/>
              <w:jc w:val="both"/>
            </w:pPr>
            <w:r>
              <w:rPr>
                <w:sz w:val="21"/>
              </w:rPr>
              <w:t>①技术负责人</w:t>
            </w:r>
            <w:r>
              <w:rPr>
                <w:sz w:val="21"/>
                <w:u w:val="single"/>
              </w:rPr>
              <w:t>2</w:t>
            </w:r>
            <w:r>
              <w:rPr>
                <w:sz w:val="21"/>
              </w:rPr>
              <w:t>名，持有环境工程</w:t>
            </w:r>
            <w:r>
              <w:rPr>
                <w:sz w:val="21"/>
              </w:rPr>
              <w:t>中级或以上</w:t>
            </w:r>
            <w:r>
              <w:rPr>
                <w:sz w:val="21"/>
              </w:rPr>
              <w:t>工程师证书。</w:t>
            </w:r>
          </w:p>
          <w:p>
            <w:pPr>
              <w:pStyle w:val="null3"/>
              <w:ind w:firstLine="210"/>
              <w:jc w:val="both"/>
            </w:pPr>
            <w:r>
              <w:rPr>
                <w:sz w:val="21"/>
              </w:rPr>
              <w:t>②污废水处理工</w:t>
            </w:r>
            <w:r>
              <w:rPr>
                <w:sz w:val="21"/>
                <w:u w:val="single"/>
              </w:rPr>
              <w:t>2</w:t>
            </w:r>
            <w:r>
              <w:rPr>
                <w:sz w:val="21"/>
              </w:rPr>
              <w:t>名，</w:t>
            </w:r>
            <w:r>
              <w:rPr>
                <w:sz w:val="21"/>
              </w:rPr>
              <w:t>持</w:t>
            </w:r>
            <w:r>
              <w:rPr>
                <w:sz w:val="21"/>
              </w:rPr>
              <w:t>有污废水处理工证书。</w:t>
            </w:r>
          </w:p>
          <w:p>
            <w:pPr>
              <w:pStyle w:val="null3"/>
              <w:ind w:firstLine="210"/>
              <w:jc w:val="both"/>
            </w:pPr>
            <w:r>
              <w:rPr>
                <w:sz w:val="21"/>
              </w:rPr>
              <w:t>③化验工</w:t>
            </w:r>
            <w:r>
              <w:rPr>
                <w:sz w:val="21"/>
                <w:u w:val="single"/>
              </w:rPr>
              <w:t>1</w:t>
            </w:r>
            <w:r>
              <w:rPr>
                <w:sz w:val="21"/>
              </w:rPr>
              <w:t>名，持有化学检测工证书或污水化验监测工证书。</w:t>
            </w:r>
          </w:p>
          <w:p>
            <w:pPr>
              <w:pStyle w:val="null3"/>
              <w:ind w:firstLine="210"/>
              <w:jc w:val="both"/>
            </w:pPr>
            <w:r>
              <w:rPr>
                <w:sz w:val="21"/>
              </w:rPr>
              <w:t>④</w:t>
            </w:r>
            <w:r>
              <w:rPr>
                <w:sz w:val="21"/>
              </w:rPr>
              <w:t>电工</w:t>
            </w:r>
            <w:r>
              <w:rPr>
                <w:sz w:val="21"/>
                <w:u w:val="single"/>
              </w:rPr>
              <w:t>1</w:t>
            </w:r>
            <w:r>
              <w:rPr>
                <w:sz w:val="21"/>
              </w:rPr>
              <w:t>名，持有电工职业资格证书（即等级证，要求中级或以上）。</w:t>
            </w:r>
          </w:p>
          <w:p>
            <w:pPr>
              <w:pStyle w:val="null3"/>
              <w:ind w:firstLine="210"/>
              <w:jc w:val="both"/>
            </w:pPr>
            <w:r>
              <w:rPr>
                <w:sz w:val="21"/>
              </w:rPr>
              <w:t>须提供</w:t>
            </w:r>
            <w:r>
              <w:rPr>
                <w:sz w:val="21"/>
              </w:rPr>
              <w:t>拟派人员相关</w:t>
            </w:r>
            <w:r>
              <w:rPr>
                <w:sz w:val="21"/>
              </w:rPr>
              <w:t>证书</w:t>
            </w:r>
            <w:r>
              <w:rPr>
                <w:sz w:val="21"/>
              </w:rPr>
              <w:t>复印件及投标人</w:t>
            </w:r>
            <w:r>
              <w:rPr>
                <w:sz w:val="21"/>
              </w:rPr>
              <w:t>在</w:t>
            </w:r>
            <w:r>
              <w:rPr>
                <w:sz w:val="21"/>
              </w:rPr>
              <w:t>开标截止日前半年内任意</w:t>
            </w:r>
            <w:r>
              <w:rPr>
                <w:sz w:val="21"/>
              </w:rPr>
              <w:t>1个月</w:t>
            </w:r>
            <w:r>
              <w:rPr>
                <w:sz w:val="21"/>
              </w:rPr>
              <w:t>的社保缴纳证明材料并加盖公章，不提供不得分。（</w:t>
            </w:r>
            <w:r>
              <w:rPr>
                <w:sz w:val="21"/>
              </w:rPr>
              <w:t>以上人员重复不计分</w:t>
            </w:r>
            <w:r>
              <w:rPr>
                <w:sz w:val="21"/>
              </w:rPr>
              <w:t>）。</w:t>
            </w:r>
          </w:p>
          <w:p>
            <w:pPr>
              <w:pStyle w:val="null3"/>
              <w:ind w:firstLine="480"/>
              <w:jc w:val="both"/>
            </w:pPr>
            <w:r>
              <w:rPr>
                <w:b/>
                <w:sz w:val="21"/>
              </w:rPr>
              <w:t>七、运营管理主要工作内容和要求</w:t>
            </w:r>
          </w:p>
          <w:p>
            <w:pPr>
              <w:pStyle w:val="null3"/>
              <w:ind w:firstLine="480"/>
              <w:jc w:val="both"/>
            </w:pPr>
            <w:r>
              <w:rPr>
                <w:sz w:val="21"/>
              </w:rPr>
              <w:t>1．主要工作内容：</w:t>
            </w:r>
          </w:p>
          <w:p>
            <w:pPr>
              <w:pStyle w:val="null3"/>
              <w:ind w:firstLine="480"/>
              <w:jc w:val="both"/>
            </w:pPr>
            <w:r>
              <w:rPr>
                <w:sz w:val="21"/>
              </w:rPr>
              <w:t>对污水处理设施进行日常管理，坚持</w:t>
            </w:r>
            <w:r>
              <w:rPr>
                <w:sz w:val="21"/>
              </w:rPr>
              <w:t>24小时值班，派出管理人员、技术人员负责日常操作和管理。主要工作内容：运营期内污水处理站运行、维护等，包括污水处理站所有污水处理设施的维护保养、污水处理达标排放管理、污水处理工艺管理、污水处理设备管理、安全生产管理、污泥规范脱水及相关的人工、药剂、污泥处置、水质监测、行政办公等费用。</w:t>
            </w:r>
          </w:p>
          <w:p>
            <w:pPr>
              <w:pStyle w:val="null3"/>
              <w:ind w:firstLine="480"/>
              <w:jc w:val="both"/>
            </w:pPr>
            <w:r>
              <w:rPr>
                <w:sz w:val="21"/>
              </w:rPr>
              <w:t>2．运营管理和维护要求</w:t>
            </w:r>
          </w:p>
          <w:p>
            <w:pPr>
              <w:pStyle w:val="null3"/>
              <w:ind w:firstLine="480"/>
              <w:jc w:val="both"/>
            </w:pPr>
            <w:r>
              <w:rPr>
                <w:sz w:val="21"/>
              </w:rPr>
              <w:t>(1)定期检查污水管道和污水收集沟渠，及时清理淤积物，保持管道和沟渠通畅。</w:t>
            </w:r>
          </w:p>
          <w:p>
            <w:pPr>
              <w:pStyle w:val="null3"/>
              <w:ind w:firstLine="480"/>
              <w:jc w:val="both"/>
            </w:pPr>
            <w:r>
              <w:rPr>
                <w:sz w:val="21"/>
              </w:rPr>
              <w:t>(2)格栅池，每周对格栅池清理1次，保持格栅池的正常功能。</w:t>
            </w:r>
          </w:p>
          <w:p>
            <w:pPr>
              <w:pStyle w:val="null3"/>
              <w:ind w:firstLine="480"/>
              <w:jc w:val="both"/>
            </w:pPr>
            <w:r>
              <w:rPr>
                <w:sz w:val="21"/>
              </w:rPr>
              <w:t>(3)沉沙井，每</w:t>
            </w:r>
            <w:r>
              <w:rPr>
                <w:sz w:val="21"/>
              </w:rPr>
              <w:t>半年</w:t>
            </w:r>
            <w:r>
              <w:rPr>
                <w:sz w:val="21"/>
              </w:rPr>
              <w:t>沉沙井清淤</w:t>
            </w:r>
            <w:r>
              <w:rPr>
                <w:sz w:val="21"/>
              </w:rPr>
              <w:t>1次，防止泥沙淤积造成水泵堵塞。</w:t>
            </w:r>
          </w:p>
          <w:p>
            <w:pPr>
              <w:pStyle w:val="null3"/>
              <w:ind w:firstLine="480"/>
              <w:jc w:val="both"/>
            </w:pPr>
            <w:r>
              <w:rPr>
                <w:sz w:val="21"/>
              </w:rPr>
              <w:t>(4)集水井，每半年对集水井清淤1次，防泥沙淤积造成水泵堵塞。</w:t>
            </w:r>
          </w:p>
          <w:p>
            <w:pPr>
              <w:pStyle w:val="null3"/>
              <w:ind w:firstLine="480"/>
              <w:jc w:val="both"/>
            </w:pPr>
            <w:r>
              <w:rPr>
                <w:sz w:val="21"/>
              </w:rPr>
              <w:t>(5)提升泵井，每年1次对提升泵井进行污泥清掏，按检修要点定期对水泵进行检修，拆泵壳防生锈、干燥电机、更换润滑油等，检查轴承等易损件。</w:t>
            </w:r>
          </w:p>
          <w:p>
            <w:pPr>
              <w:pStyle w:val="null3"/>
              <w:ind w:firstLine="480"/>
              <w:jc w:val="both"/>
            </w:pPr>
            <w:r>
              <w:rPr>
                <w:sz w:val="21"/>
              </w:rPr>
              <w:t>(</w:t>
            </w:r>
            <w:r>
              <w:rPr>
                <w:sz w:val="21"/>
              </w:rPr>
              <w:t>6</w:t>
            </w:r>
            <w:r>
              <w:rPr>
                <w:sz w:val="21"/>
              </w:rPr>
              <w:t>)填料设施，安装紧固无松动、缠绕、结块，曝气装置无明显破损、断裂等。对各类设施检查发现问题及时维护，每次维护后及时记录在维护明账上</w:t>
            </w:r>
          </w:p>
          <w:p>
            <w:pPr>
              <w:pStyle w:val="null3"/>
              <w:ind w:firstLine="480"/>
              <w:jc w:val="both"/>
            </w:pPr>
            <w:r>
              <w:rPr>
                <w:sz w:val="21"/>
              </w:rPr>
              <w:t>(</w:t>
            </w:r>
            <w:r>
              <w:rPr>
                <w:sz w:val="21"/>
              </w:rPr>
              <w:t>7</w:t>
            </w:r>
            <w:r>
              <w:rPr>
                <w:sz w:val="21"/>
              </w:rPr>
              <w:t>)机械设备。应严格按水泵厂家提供的操作规程执行，保持清洁，无漏水、漏油、漏气等现象，定期检查保养，及时添加更换润滑油、润滑脂及零配件等。</w:t>
            </w:r>
          </w:p>
          <w:p>
            <w:pPr>
              <w:pStyle w:val="null3"/>
              <w:ind w:firstLine="480"/>
              <w:jc w:val="both"/>
            </w:pPr>
            <w:r>
              <w:rPr>
                <w:sz w:val="21"/>
              </w:rPr>
              <w:t>(</w:t>
            </w:r>
            <w:r>
              <w:rPr>
                <w:sz w:val="21"/>
              </w:rPr>
              <w:t>8</w:t>
            </w:r>
            <w:r>
              <w:rPr>
                <w:sz w:val="21"/>
              </w:rPr>
              <w:t>)植物养护。池内、池外植物均无占绿、毁绿现象，无虫害、枯枝烂头、枝体倾斜等现象。对各类植物定期做好修剪、打草、施肥、浇水、除虫、防病、补种等养护工作。</w:t>
            </w:r>
          </w:p>
          <w:p>
            <w:pPr>
              <w:pStyle w:val="null3"/>
              <w:ind w:firstLine="480"/>
              <w:jc w:val="both"/>
            </w:pPr>
            <w:r>
              <w:rPr>
                <w:sz w:val="21"/>
              </w:rPr>
              <w:t>(</w:t>
            </w:r>
            <w:r>
              <w:rPr>
                <w:sz w:val="21"/>
              </w:rPr>
              <w:t>9</w:t>
            </w:r>
            <w:r>
              <w:rPr>
                <w:sz w:val="21"/>
              </w:rPr>
              <w:t>)池体管护。池内杂物每月清理1次，出水井每月清洗1次，发现池体堵塞及时疏通。池体渗漏、开裂、盖板丢失、破损等现象，应在15天内修复。池体周边无杂物堆放，做到整齐美观。</w:t>
            </w:r>
          </w:p>
          <w:p>
            <w:pPr>
              <w:pStyle w:val="null3"/>
              <w:ind w:firstLine="480"/>
              <w:jc w:val="both"/>
            </w:pPr>
            <w:r>
              <w:rPr>
                <w:sz w:val="21"/>
              </w:rPr>
              <w:t>(1</w:t>
            </w:r>
            <w:r>
              <w:rPr>
                <w:sz w:val="21"/>
              </w:rPr>
              <w:t>0</w:t>
            </w:r>
            <w:r>
              <w:rPr>
                <w:sz w:val="21"/>
              </w:rPr>
              <w:t>)管网维护。发现裸露、破损、堵塞等现象应及时填埋、包裹、疏通、更换。</w:t>
            </w:r>
          </w:p>
          <w:p>
            <w:pPr>
              <w:pStyle w:val="null3"/>
              <w:ind w:firstLine="480"/>
              <w:jc w:val="both"/>
            </w:pPr>
            <w:r>
              <w:rPr>
                <w:sz w:val="21"/>
              </w:rPr>
              <w:t>（</w:t>
            </w:r>
            <w:r>
              <w:rPr>
                <w:sz w:val="21"/>
              </w:rPr>
              <w:t>11）</w:t>
            </w:r>
            <w:r>
              <w:rPr>
                <w:sz w:val="21"/>
              </w:rPr>
              <w:t>运营过程中所产生的污泥严格按照《广东省住房和城乡建设厅关于加强生活污水处理厂污泥处理处置工作的通知》（粤建城函</w:t>
            </w:r>
            <w:r>
              <w:rPr>
                <w:sz w:val="21"/>
              </w:rPr>
              <w:t>[2017]2891）、《广东省住房和城乡建设厅关于进一步加强城镇生活污水处理厂污泥处理处置监督管理工作的通知》（粤建城函[2018]1580）及相关法律法规进行无害化处理。</w:t>
            </w:r>
          </w:p>
          <w:p>
            <w:pPr>
              <w:pStyle w:val="null3"/>
              <w:ind w:firstLine="480"/>
              <w:jc w:val="both"/>
            </w:pPr>
            <w:r>
              <w:rPr>
                <w:b/>
                <w:sz w:val="21"/>
              </w:rPr>
              <w:t>八、技术服务要求</w:t>
            </w:r>
          </w:p>
          <w:p>
            <w:pPr>
              <w:pStyle w:val="null3"/>
              <w:ind w:firstLine="480"/>
              <w:jc w:val="both"/>
            </w:pPr>
            <w:r>
              <w:rPr>
                <w:sz w:val="21"/>
              </w:rPr>
              <w:t>1．中标人应确保合法用工，如因中标人引起的劳资纠纷影响正常工作的，</w:t>
            </w:r>
            <w:r>
              <w:rPr>
                <w:sz w:val="21"/>
              </w:rPr>
              <w:t>中标人在告知采购人并获得同意后</w:t>
            </w:r>
            <w:r>
              <w:rPr>
                <w:sz w:val="21"/>
              </w:rPr>
              <w:t>3个工作日内安排对应岗位且有相关资质或高于的工作人员补岗，如中标人在3个工作日内无法安排相关工作人员进行补岗，</w:t>
            </w:r>
            <w:r>
              <w:rPr>
                <w:sz w:val="21"/>
              </w:rPr>
              <w:t>采购人有权另行聘请员工确保正常工作，所产生的费用在</w:t>
            </w:r>
            <w:r>
              <w:rPr>
                <w:sz w:val="21"/>
              </w:rPr>
              <w:t>合同</w:t>
            </w:r>
            <w:r>
              <w:rPr>
                <w:sz w:val="21"/>
              </w:rPr>
              <w:t>费中相应扣减。</w:t>
            </w:r>
          </w:p>
          <w:p>
            <w:pPr>
              <w:pStyle w:val="null3"/>
              <w:ind w:firstLine="480"/>
              <w:jc w:val="both"/>
            </w:pPr>
            <w:r>
              <w:rPr>
                <w:sz w:val="21"/>
              </w:rPr>
              <w:t>2．中标人维护管理人员对站区设施日常检视时，发现异常情况应及时处理</w:t>
            </w:r>
            <w:r>
              <w:rPr>
                <w:sz w:val="21"/>
              </w:rPr>
              <w:t>并记录在册</w:t>
            </w:r>
            <w:r>
              <w:rPr>
                <w:sz w:val="21"/>
              </w:rPr>
              <w:t>，</w:t>
            </w:r>
            <w:r>
              <w:rPr>
                <w:sz w:val="21"/>
              </w:rPr>
              <w:t>如中标人不能自行</w:t>
            </w:r>
            <w:r>
              <w:rPr>
                <w:sz w:val="21"/>
              </w:rPr>
              <w:t>处理应及时向采购人汇报。</w:t>
            </w:r>
          </w:p>
          <w:p>
            <w:pPr>
              <w:pStyle w:val="null3"/>
              <w:ind w:firstLine="480"/>
              <w:jc w:val="both"/>
            </w:pPr>
            <w:r>
              <w:rPr>
                <w:sz w:val="21"/>
              </w:rPr>
              <w:t>3．中标人建立健全维护作业制度和汇报制度。做好运行设施维护日常检视工作，若发现异常情况应及时处理并报告采购人，如出现管道堵塞或设备损坏，应及时清理疏通和维修并做好记录；定期将运行维护资料（如进、出水水质，水量以及处理达标率等重要指标）报送采购人备案。</w:t>
            </w:r>
          </w:p>
          <w:p>
            <w:pPr>
              <w:pStyle w:val="null3"/>
              <w:ind w:firstLine="480"/>
              <w:jc w:val="both"/>
            </w:pPr>
            <w:r>
              <w:rPr>
                <w:sz w:val="21"/>
              </w:rPr>
              <w:t>4．中标人建立健全档案管理制度。不断完善管理资料、养护维护记录、检查记录等处理设施档案，并由专人保管，及时更新，以便查用。双方对污水处理站点的实际情况进行备案登记。</w:t>
            </w:r>
          </w:p>
          <w:p>
            <w:pPr>
              <w:pStyle w:val="null3"/>
              <w:ind w:firstLine="480"/>
              <w:jc w:val="both"/>
            </w:pPr>
            <w:r>
              <w:rPr>
                <w:sz w:val="21"/>
              </w:rPr>
              <w:t>5．中标人建立健全各项安全生产规章制度。严格执行安全技术规范和标准，定期进行安全检查，制定应急方预案，预防和及时处理突发事件，保障设备和人员的安全。</w:t>
            </w:r>
          </w:p>
          <w:p>
            <w:pPr>
              <w:pStyle w:val="null3"/>
              <w:ind w:firstLine="480"/>
              <w:jc w:val="both"/>
            </w:pPr>
            <w:r>
              <w:rPr>
                <w:sz w:val="21"/>
              </w:rPr>
              <w:t>6．中标人将污水处理设施概况、平面布置图、操作细则等上墙明示，规范填写运行记录。</w:t>
            </w:r>
          </w:p>
          <w:p>
            <w:pPr>
              <w:pStyle w:val="null3"/>
              <w:ind w:firstLine="480"/>
              <w:jc w:val="both"/>
            </w:pPr>
            <w:r>
              <w:rPr>
                <w:sz w:val="21"/>
              </w:rPr>
              <w:t>7．中标人因管理不善，造成站内机电设备（鼓风机、水泵等）被盗或者受到破坏，由中标人负责补齐或者更换。</w:t>
            </w:r>
          </w:p>
          <w:p>
            <w:pPr>
              <w:pStyle w:val="null3"/>
              <w:ind w:firstLine="480"/>
              <w:jc w:val="both"/>
            </w:pPr>
            <w:r>
              <w:rPr>
                <w:sz w:val="21"/>
              </w:rPr>
              <w:t>8．在合同期内，按照相关法律法规做好安全生产工作，严格执行设施安全运行操作规程，做好设施安全运行维护，承担设施运行维护管理责任，确保不发生重大事故，如因管理不善造成人身伤害、人员死亡、财务损失等安全事故，中标人承担全部赔偿责任和法律责任。</w:t>
            </w:r>
          </w:p>
          <w:p>
            <w:pPr>
              <w:pStyle w:val="null3"/>
              <w:ind w:firstLine="480"/>
              <w:jc w:val="both"/>
            </w:pPr>
            <w:r>
              <w:rPr>
                <w:sz w:val="21"/>
              </w:rPr>
              <w:t>9．接受采购人和当地人民政府相关职能部门的指导、监督、检查和考核，执行采购人和当地人民政府相关职能部门提出的工作要求。</w:t>
            </w:r>
          </w:p>
          <w:p>
            <w:pPr>
              <w:pStyle w:val="null3"/>
              <w:ind w:firstLine="480"/>
              <w:jc w:val="both"/>
            </w:pPr>
            <w:r>
              <w:rPr>
                <w:sz w:val="21"/>
              </w:rPr>
              <w:t>10．中标人定期培训和考核工作人员，确保维护管理人员牢固树立服务质量意识，熟悉维护方法和维护技术指标，并熟练进行设施运行维护操作。</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1.采购代理机构：本项目是指广东泰然工程咨询有限公司，负责整个采购活动的组织，依法负责编制和发布招标文件，对招标文件拥有最终的解释权，不以任何身份出任评标委员会成员。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惠州市生态环境局惠城分局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采购机构代理服务收费标准：由中标供应商在领取《成交通知书》原件时向采购代理机构一次性支付，中标服务费收费标准参照国家计委颁布的«招标代理服务收费管理暂行办法»（计价格[2002]1980号）执行。</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广东泰然工程咨询有限公司</w:t>
      </w:r>
      <w:r>
        <w:rPr/>
        <w:t>代收。具体操作要求详见</w:t>
      </w:r>
      <w:r>
        <w:rPr/>
        <w:t>广东泰然工程咨询有限公司</w:t>
      </w:r>
      <w:r>
        <w:rPr/>
        <w:t>有关指引，递交事宜请自行咨询</w:t>
      </w:r>
      <w:r>
        <w:rPr/>
        <w:t>广东泰然工程咨询有限公司</w:t>
      </w:r>
      <w:r>
        <w:rPr/>
        <w:t>；请各投标人在投标文件递交截止时间前按须知前附表规定的金额递交至</w:t>
      </w:r>
      <w:r>
        <w:rPr/>
        <w:t>广东泰然工程咨询有限公司</w:t>
      </w:r>
      <w:r>
        <w:rPr/>
        <w:t>，到账情况以开标时</w:t>
      </w:r>
      <w:r>
        <w:rPr/>
        <w:t>广东泰然工程咨询有限公司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0752-2660672</w:t>
      </w:r>
    </w:p>
    <w:p>
      <w:pPr>
        <w:pStyle w:val="null3"/>
        <w:ind w:firstLine="480"/>
      </w:pPr>
      <w:r>
        <w:rPr/>
        <w:t>传真：</w:t>
      </w:r>
      <w:r>
        <w:rPr/>
        <w:t>/</w:t>
      </w:r>
    </w:p>
    <w:p>
      <w:pPr>
        <w:pStyle w:val="null3"/>
        <w:ind w:firstLine="480"/>
      </w:pPr>
      <w:r>
        <w:rPr/>
        <w:t>邮箱：</w:t>
      </w:r>
      <w:r>
        <w:rPr/>
        <w:t>2045869045@qq.com</w:t>
      </w:r>
    </w:p>
    <w:p>
      <w:pPr>
        <w:pStyle w:val="null3"/>
        <w:ind w:firstLine="480"/>
      </w:pPr>
      <w:r>
        <w:rPr/>
        <w:t>地址：</w:t>
      </w:r>
      <w:r>
        <w:rPr/>
        <w:t>广东省惠州市惠城区长寿路1号17层A号房</w:t>
      </w:r>
    </w:p>
    <w:p>
      <w:pPr>
        <w:pStyle w:val="null3"/>
        <w:ind w:firstLine="480"/>
      </w:pPr>
      <w:r>
        <w:rPr/>
        <w:t>邮编：</w:t>
      </w:r>
      <w:r>
        <w:rPr/>
        <w:t>516001</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政府采购监督管理机构名称：惠州市财政局政府采购监管科</w:t>
      </w:r>
    </w:p>
    <w:p>
      <w:pPr>
        <w:pStyle w:val="null3"/>
      </w:pPr>
      <w:r>
        <w:rPr/>
        <w:t>地  址：广东省惠州市江北文华一路6号市财政局10楼政府采购监管科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陈塘河中游水质提升一体化建设及清淤项目运营维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广东泰然工程咨询有限公司</w:t>
      </w:r>
      <w:r>
        <w:rPr/>
        <w:t>统一对外发布。</w:t>
      </w:r>
    </w:p>
    <w:p>
      <w:pPr>
        <w:pStyle w:val="null3"/>
        <w:ind w:firstLine="480"/>
      </w:pPr>
      <w:r>
        <w:rPr/>
        <w:t>（2）对</w:t>
      </w:r>
      <w:r>
        <w:rPr/>
        <w:t>广东泰然工程咨询有限公司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采购包1（陈塘河中游水质提升一体化建设及清淤项目运营维护服务项目）：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采购包1（陈塘河中游水质提升一体化建设及清淤项目运营维护服务项目）：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供应商必须具有良好的商业信誉和健全的财务会计制度（提供2022或2023年度财务报告（或报表）或基本开户行出具的资信证明；投标人为新成立的，提供成立至今的月或季度财务报告（或报表））。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 xml:space="preserve">参与的供应商（联合体）服务全部由符合政策要求的中小企业承接，供应商应为中小企业，残疾人福利性单位和监狱企业视同小型、微型企业。（提供《中小企业声明函》或由省级以上监狱管理局、戒毒管理局(含新疆生产建设兵团)出具的供应商属于监狱企业的证明文件或供应商的《残疾人福利性单位声明函》） </w:t>
            </w:r>
          </w:p>
        </w:tc>
      </w:tr>
    </w:tbl>
    <w:p>
      <w:pPr>
        <w:pStyle w:val="null3"/>
        <w:ind w:firstLine="480"/>
      </w:pPr>
      <w:r>
        <w:rPr/>
        <w:t>表二符合性审查表：</w:t>
      </w:r>
    </w:p>
    <w:p>
      <w:pPr>
        <w:pStyle w:val="null3"/>
      </w:pPr>
    </w:p>
    <w:p>
      <w:pPr>
        <w:pStyle w:val="null3"/>
      </w:pPr>
      <w:r>
        <w:rPr/>
        <w:t>采购包1（陈塘河中游水质提升一体化建设及清淤项目运营维护服务项目）：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1）投标（响应）报价未超过本项目最高限价；    2）对全部招标内容进行投标报价；    3）投标（响应）报价不低于成本价,且是唯一确定的。评委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2</w:t>
            </w:r>
          </w:p>
        </w:tc>
        <w:tc>
          <w:tcPr>
            <w:tcW w:type="dxa" w:w="3178"/>
          </w:tcPr>
          <w:p>
            <w:pPr>
              <w:pStyle w:val="null3"/>
            </w:pPr>
            <w:r>
              <w:rPr/>
              <w:t>投标（响应）有效期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法定代表人证明书及授权人委托书</w:t>
            </w:r>
          </w:p>
        </w:tc>
        <w:tc>
          <w:tcPr>
            <w:tcW w:type="dxa" w:w="4238"/>
          </w:tcPr>
          <w:p>
            <w:pPr>
              <w:pStyle w:val="null3"/>
            </w:pPr>
            <w:r>
              <w:rPr/>
              <w:t>投标（响应）文件中已提交有效的法定代表人证明书、法定代表人授权书，如果法定代表人直接参加本项目投标（响应）及签署投标（响应）文件的，可不提供法定代表人授权书。</w:t>
            </w:r>
          </w:p>
        </w:tc>
      </w:tr>
      <w:tr>
        <w:tc>
          <w:tcPr>
            <w:tcW w:type="dxa" w:w="890"/>
          </w:tcPr>
          <w:p>
            <w:pPr>
              <w:pStyle w:val="null3"/>
            </w:pPr>
            <w:r>
              <w:rPr/>
              <w:t>4</w:t>
            </w:r>
          </w:p>
        </w:tc>
        <w:tc>
          <w:tcPr>
            <w:tcW w:type="dxa" w:w="3178"/>
          </w:tcPr>
          <w:p>
            <w:pPr>
              <w:pStyle w:val="null3"/>
            </w:pPr>
            <w:r>
              <w:rPr/>
              <w:t>投标（响应）文件文件的签署、盖章</w:t>
            </w:r>
          </w:p>
        </w:tc>
        <w:tc>
          <w:tcPr>
            <w:tcW w:type="dxa" w:w="4238"/>
          </w:tcPr>
          <w:p>
            <w:pPr>
              <w:pStyle w:val="null3"/>
            </w:pPr>
            <w:r>
              <w:rPr/>
              <w:t>投标（响应）文件按照招标文件规定要求签署、盖章。</w:t>
            </w:r>
          </w:p>
        </w:tc>
      </w:tr>
      <w:tr>
        <w:tc>
          <w:tcPr>
            <w:tcW w:type="dxa" w:w="890"/>
          </w:tcPr>
          <w:p>
            <w:pPr>
              <w:pStyle w:val="null3"/>
            </w:pPr>
            <w:r>
              <w:rPr/>
              <w:t>5</w:t>
            </w:r>
          </w:p>
        </w:tc>
        <w:tc>
          <w:tcPr>
            <w:tcW w:type="dxa" w:w="3178"/>
          </w:tcPr>
          <w:p>
            <w:pPr>
              <w:pStyle w:val="null3"/>
            </w:pPr>
            <w:r>
              <w:rPr/>
              <w:t>“★”号条款的响应情况</w:t>
            </w:r>
          </w:p>
        </w:tc>
        <w:tc>
          <w:tcPr>
            <w:tcW w:type="dxa" w:w="4238"/>
          </w:tcPr>
          <w:p>
            <w:pPr>
              <w:pStyle w:val="null3"/>
            </w:pPr>
            <w:r>
              <w:rPr/>
              <w:t>实质性响应招标文件中“★”号条款的技术、商务要求：投标（响应）文件未对实质性技术与商务的（即标注★号条款）条款产生偏离。</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实质性响应招标文件要求，且无评委认定为无效标。</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陈塘河中游水质提升一体化建设及清淤项目运营维护服务项目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(10.0分)</w:t>
            </w:r>
          </w:p>
        </w:tc>
        <w:tc>
          <w:tcPr>
            <w:tcW w:type="dxa" w:w="5076"/>
          </w:tcPr>
          <w:p>
            <w:pPr>
              <w:pStyle w:val="null3"/>
              <w:jc w:val="left"/>
            </w:pPr>
            <w:r>
              <w:rPr/>
              <w:t>根据投标人对本项目的理解，对国家及地方政策、法规的解读是否透彻，对地方诉求、区域特征以及项目目的是否准确和深入分析进行评审。  1、对本项目的理解，对国家及地方政策、法规的解读透彻，对地方诉求、区域特征以及项目目的能准确和进行深入分析，得10分； 2、对本项目的理解，对国家及地方政策、法规的解读较透彻，对地方诉求、区域特征以及项目目的分析比较准确，得7分；  3、对本项目的理解片面，对国家及地方政策、法规没有深入解读，对地方诉求、区域特征以及项目目的有一定的分析，得4分；  4、对本项目的理解，对国家及地方政策、法规的解读，对地方诉求、区域特征以及项目目的分析只是简单描述，得1分。  注：无提供不得分。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根据投标人提供的项目实施方案是否符合实际、针对性强，对项目重难点把握是否准确，项目组织实施方案是否系统、合理、科学、全面进行评审： 1、项目组织实施方案系统、合理、科学、全面，方案符合实际、针对性强，对重难点分析详细，且有详细、合理的解决措施，得15分； 2、项目组织实施方案比较合理、全面，方案比较符合实际、针对性较强，对重难点分析比较详细，有比较详细的解决措施，得10分； 3、项目组织实施方案比较合理，有一定的针对性，对重难点分析比较详细，有较详细的解决措施，得5分； 4、有提供项目组织实施方案，但不符合实际，没有针对性，得1分。 注：无提供不得分。</w:t>
            </w:r>
          </w:p>
        </w:tc>
      </w:tr>
      <w:tr>
        <w:tc>
          <w:tcPr>
            <w:tcW w:type="dxa" w:w="922"/>
            <w:gridSpan w:val="2"/>
            <w:vMerge/>
          </w:tcPr>
          <w:p/>
        </w:tc>
        <w:tc>
          <w:tcPr>
            <w:tcW w:type="dxa" w:w="2307"/>
          </w:tcPr>
          <w:p>
            <w:pPr>
              <w:pStyle w:val="null3"/>
              <w:jc w:val="left"/>
            </w:pPr>
            <w:r>
              <w:rPr/>
              <w:t>现状分析  (10.0分)</w:t>
            </w:r>
          </w:p>
        </w:tc>
        <w:tc>
          <w:tcPr>
            <w:tcW w:type="dxa" w:w="5076"/>
          </w:tcPr>
          <w:p>
            <w:pPr>
              <w:pStyle w:val="null3"/>
              <w:jc w:val="left"/>
            </w:pPr>
            <w:r>
              <w:rPr/>
              <w:t>投标人对现状环境、生态资源、公共服务等内容以及问题的分析是否全面、是否准确进行评审。 1、对现状环境、生态资源、公共服务等内容以及问题的分析全面、准确，得10分； 2、对现状环境、生态资源、公共服务等内容以及问题的分析较全面、较准确，得7分； 3、对现状环境、生态资源、公共服务等内容以及问题的分析比较准确，但不够全面，得4分；  4、对现状环境、生态资源、公共服务等内容以及问题的分析简单、片面，得1分。  注：无提供不得分。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根据投标人针对本项目突发事件（包括但不限于异常进水、台风、洪涝灾害等）提供的应急预案是否可行、是否全面进行评分。 1、针对本项目突发事件制定的应急预案完全可行、全面的，能高效的解决突发事件，得10分； 2、针对本项目突发事件制定的应急预案较全面、可行性较强，有效的解决突发事件，得7分； 3、针对本项目突发事件制定的应急预案不够全面、有一定的可行性，得4分；  4、针对本项目突发事件制定的应急预案不可行、不全面，得1分。 注：无提供不得分。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投标人提供自2020年1月1日至今承接过的同类项目业绩，每提供一份同类业绩得2分，最高得8分。（业绩证明文件是中标/成交通知书（中选通知书）及合同的复印件，投标人可以复印合同的关键页面。） 注：无提供业绩证明文件复印件不得分。</w:t>
            </w:r>
          </w:p>
        </w:tc>
      </w:tr>
      <w:tr>
        <w:tc>
          <w:tcPr>
            <w:tcW w:type="dxa" w:w="922"/>
            <w:gridSpan w:val="2"/>
            <w:vMerge/>
          </w:tcPr>
          <w:p/>
        </w:tc>
        <w:tc>
          <w:tcPr>
            <w:tcW w:type="dxa" w:w="2307"/>
          </w:tcPr>
          <w:p>
            <w:pPr>
              <w:pStyle w:val="null3"/>
              <w:jc w:val="left"/>
            </w:pPr>
            <w:r>
              <w:rPr/>
              <w:t>拟派项目负责人  (6.0分)</w:t>
            </w:r>
          </w:p>
        </w:tc>
        <w:tc>
          <w:tcPr>
            <w:tcW w:type="dxa" w:w="5076"/>
          </w:tcPr>
          <w:p>
            <w:pPr>
              <w:pStyle w:val="null3"/>
              <w:jc w:val="left"/>
            </w:pPr>
            <w:r>
              <w:rPr/>
              <w:t>投标人拟派项目负责人1人：具有环保类相关专业中级工程师证的，的4分；具有环保类相关专业高级或以上工程师证的，的6分。满分6分。（须提供项目负责人有效期内相关证书复印件及开标截止日前半年内任意1个月的社保缴纳证明材料并加盖公章，不提供不得分。） 注：无提供相关证明材料不得分。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投标人拟派技术负责人2人（项目负责人除外）：具有环境工程中级或以上工程师证书，每提供一人得3分，最高得6分。（须提供技术负责人有效期内相关证书复印件及开标截止日前半年内任意1个月的社保缴纳证明材料并加盖公章，不提供不得分。） 注：无提供相关证明材料不得分。</w:t>
            </w:r>
          </w:p>
        </w:tc>
      </w:tr>
      <w:tr>
        <w:tc>
          <w:tcPr>
            <w:tcW w:type="dxa" w:w="922"/>
            <w:gridSpan w:val="2"/>
            <w:vMerge/>
          </w:tcPr>
          <w:p/>
        </w:tc>
        <w:tc>
          <w:tcPr>
            <w:tcW w:type="dxa" w:w="2307"/>
          </w:tcPr>
          <w:p>
            <w:pPr>
              <w:pStyle w:val="null3"/>
              <w:jc w:val="left"/>
            </w:pPr>
            <w:r>
              <w:rPr/>
              <w:t>拟派服务团队人员 (11.0分)</w:t>
            </w:r>
          </w:p>
        </w:tc>
        <w:tc>
          <w:tcPr>
            <w:tcW w:type="dxa" w:w="5076"/>
          </w:tcPr>
          <w:p>
            <w:pPr>
              <w:pStyle w:val="null3"/>
              <w:jc w:val="left"/>
            </w:pPr>
            <w:r>
              <w:rPr/>
              <w:t>投标人按本项目要求拟派项目服务团队人员（项目负责人、技术负责人除外）4名： 1、持有污废水处理工证书的，每提供一人得得2分，本项最高得4分； 2、持有化学检测工证书或污水化验监测工证书，每提供一人得2分，在此基础上每增加一人得1.5分，本项最高得3.5分； 3、持有电工职业资格证书（即等级证，要求中级或以上），每提供一人得2分，在此基础上每增加一人得1.5分，本项最高得3.5分。 （须提供服务团队人员有效期内相关证书复印件及开标截止日前半年内任意1个月的社保缴纳证明材料并加盖公章，不提供不得分）。 注：以上人员重复不计分，无提供相关证明材料不得分。</w:t>
            </w:r>
          </w:p>
        </w:tc>
      </w:tr>
      <w:tr>
        <w:tc>
          <w:tcPr>
            <w:tcW w:type="dxa" w:w="922"/>
            <w:gridSpan w:val="2"/>
            <w:vMerge/>
          </w:tcPr>
          <w:p/>
        </w:tc>
        <w:tc>
          <w:tcPr>
            <w:tcW w:type="dxa" w:w="2307"/>
          </w:tcPr>
          <w:p>
            <w:pPr>
              <w:pStyle w:val="null3"/>
              <w:jc w:val="left"/>
            </w:pPr>
            <w:r>
              <w:rPr/>
              <w:t>认证体系 (6.0分)</w:t>
            </w:r>
          </w:p>
        </w:tc>
        <w:tc>
          <w:tcPr>
            <w:tcW w:type="dxa" w:w="5076"/>
          </w:tcPr>
          <w:p>
            <w:pPr>
              <w:pStyle w:val="null3"/>
              <w:jc w:val="left"/>
            </w:pPr>
            <w:r>
              <w:rPr/>
              <w:t>投标人具有有效期内的质量管理体系认证、环境管理体系认证和职业健康安全管理体系认证证书，每项得2分，最高得6分，提供相应的证书复印件及“全国认证认可信息公共服务平台”查询结果截图证明作为评审依据，已失效或撤销的不得分，不符合或无提供均不得分。 注：无提供相关证明材料不得分。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根据投标人提供的售后服务方案（包括但不限于：服务方案、服务便利性、服务承诺情况等）进行评审： 1.技术支持度高、跟踪服务能力强、服务计划全面、针对性强，接到采购人通知30分钟内（含30分钟）响应（须提供承诺函），得8分；  2.技术支持度较高、跟踪服务能力较强、服务计划较全面、针对性较强，接到采购人通知60分钟内（含60分钟）响应（须提供承诺函），得5分；  3.提供的售后服务方案不能满足采购需求、没有针对性，接到采购人通知1小时以上响应，得2分。 注：无提供方案及承诺函不得分。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r>
        <w:rPr>
          <w:color w:val="222222"/>
          <w:sz w:val="27"/>
        </w:rPr>
        <w:t xml:space="preserve"> </w:t>
      </w:r>
    </w:p>
    <w:p>
      <w:pPr>
        <w:pStyle w:val="null3"/>
        <w:spacing w:before="0" w:after="0"/>
        <w:ind w:left="0" w:right="0" w:firstLine="480"/>
      </w:pPr>
      <w:r>
        <w:rPr/>
        <w:t xml:space="preserve"> </w:t>
      </w:r>
    </w:p>
    <w:p>
      <w:pPr>
        <w:pStyle w:val="null3"/>
        <w:spacing w:before="0" w:after="0"/>
        <w:ind w:left="0" w:right="0" w:firstLine="480"/>
      </w:pPr>
      <w:r>
        <w:rPr>
          <w:color w:val="222222"/>
          <w:sz w:val="27"/>
        </w:rPr>
        <w:t>（此合同模板仅供参考）</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pStyle w:val="null3"/>
        <w:spacing w:before="0" w:after="0"/>
        <w:ind w:left="0" w:right="0" w:firstLine="480"/>
        <w:jc w:val="both"/>
      </w:pPr>
      <w:r>
        <w:rPr>
          <w:b/>
        </w:rPr>
        <w:t>一、合同金额</w:t>
      </w:r>
    </w:p>
    <w:p>
      <w:pPr>
        <w:pStyle w:val="null3"/>
        <w:spacing w:before="0" w:after="0"/>
        <w:ind w:left="0" w:right="0" w:firstLine="480"/>
        <w:jc w:val="both"/>
      </w:pPr>
      <w:r>
        <w:rPr>
          <w:color w:val="222222"/>
          <w:sz w:val="27"/>
        </w:rPr>
        <w:t>　　合同金额为（大写）：_____________元（￥_________元）人民币。</w:t>
      </w:r>
    </w:p>
    <w:p>
      <w:pPr>
        <w:pStyle w:val="null3"/>
        <w:spacing w:before="0" w:after="0"/>
        <w:ind w:left="0" w:right="0" w:firstLine="480"/>
        <w:jc w:val="both"/>
      </w:pPr>
      <w:r>
        <w:rPr>
          <w:b/>
        </w:rPr>
        <w:t>二、服务范围</w:t>
      </w:r>
    </w:p>
    <w:p>
      <w:pPr>
        <w:pStyle w:val="null3"/>
        <w:spacing w:before="0" w:after="0"/>
        <w:ind w:left="0" w:right="0" w:firstLine="480"/>
        <w:jc w:val="both"/>
      </w:pPr>
      <w:r>
        <w:rPr>
          <w:color w:val="222222"/>
          <w:sz w:val="27"/>
        </w:rPr>
        <w:t>　　甲方聘请乙方提供以下服务：</w:t>
      </w:r>
    </w:p>
    <w:p>
      <w:pPr>
        <w:pStyle w:val="null3"/>
        <w:spacing w:before="0" w:after="0"/>
        <w:ind w:left="0" w:right="0" w:firstLine="480"/>
        <w:jc w:val="both"/>
      </w:pPr>
      <w:r>
        <w:rPr>
          <w:color w:val="222222"/>
          <w:sz w:val="27"/>
        </w:rPr>
        <w:t>　　1．</w:t>
      </w:r>
      <w:r>
        <w:rPr>
          <w:u w:val="single"/>
        </w:rPr>
        <w:t>　　　　　　　　　　　</w:t>
      </w:r>
      <w:r>
        <w:rPr>
          <w:color w:val="222222"/>
          <w:sz w:val="27"/>
        </w:rPr>
        <w:t>。</w:t>
      </w:r>
    </w:p>
    <w:p>
      <w:pPr>
        <w:pStyle w:val="null3"/>
        <w:spacing w:before="0" w:after="0"/>
        <w:ind w:left="0" w:right="0" w:firstLine="480"/>
        <w:jc w:val="both"/>
      </w:pPr>
      <w:r>
        <w:rPr>
          <w:color w:val="222222"/>
          <w:sz w:val="27"/>
        </w:rPr>
        <w:t>　　2．</w:t>
      </w:r>
      <w:r>
        <w:rPr>
          <w:u w:val="single"/>
        </w:rPr>
        <w:t>　　　　　　　　　　　</w:t>
      </w:r>
    </w:p>
    <w:p>
      <w:pPr>
        <w:pStyle w:val="null3"/>
        <w:spacing w:before="0" w:after="0"/>
        <w:ind w:left="0" w:right="0" w:firstLine="480"/>
        <w:jc w:val="both"/>
      </w:pPr>
      <w:r>
        <w:rPr>
          <w:color w:val="222222"/>
          <w:sz w:val="27"/>
        </w:rPr>
        <w:t>……</w:t>
      </w:r>
    </w:p>
    <w:p>
      <w:pPr>
        <w:pStyle w:val="null3"/>
        <w:spacing w:before="0" w:after="0"/>
        <w:ind w:left="0" w:right="0" w:firstLine="480"/>
        <w:jc w:val="both"/>
      </w:pPr>
      <w:r>
        <w:rPr>
          <w:b/>
        </w:rPr>
        <w:t>三、甲方乙方的权利和义务</w:t>
      </w:r>
    </w:p>
    <w:p>
      <w:pPr>
        <w:pStyle w:val="null3"/>
        <w:spacing w:before="0" w:after="0"/>
        <w:ind w:left="0" w:right="0" w:firstLine="480"/>
        <w:jc w:val="both"/>
      </w:pPr>
      <w:r>
        <w:rPr>
          <w:color w:val="222222"/>
          <w:sz w:val="27"/>
        </w:rPr>
        <w:t>　　1.甲方的权利和义务</w:t>
      </w:r>
    </w:p>
    <w:p>
      <w:pPr>
        <w:pStyle w:val="null3"/>
        <w:spacing w:before="0" w:after="0"/>
        <w:ind w:left="0" w:right="0" w:firstLine="480"/>
        <w:jc w:val="both"/>
      </w:pPr>
      <w:r>
        <w:rPr>
          <w:color w:val="222222"/>
          <w:sz w:val="27"/>
        </w:rPr>
        <w:t>　　2.乙方的权利和义务</w:t>
      </w:r>
    </w:p>
    <w:p>
      <w:pPr>
        <w:pStyle w:val="null3"/>
        <w:spacing w:before="0" w:after="0"/>
        <w:ind w:left="0" w:right="0" w:firstLine="480"/>
        <w:jc w:val="both"/>
      </w:pPr>
      <w:r>
        <w:rPr>
          <w:b/>
        </w:rPr>
        <w:t>四、服务期间（项目完成期限）</w:t>
      </w:r>
    </w:p>
    <w:p>
      <w:pPr>
        <w:pStyle w:val="null3"/>
        <w:spacing w:before="0" w:after="0"/>
        <w:ind w:left="0" w:right="0" w:firstLine="480"/>
        <w:jc w:val="both"/>
      </w:pPr>
      <w:r>
        <w:rPr>
          <w:color w:val="222222"/>
          <w:sz w:val="27"/>
        </w:rPr>
        <w:t>　　1.委托服务期间自______年______月至______年______月止。</w:t>
      </w:r>
    </w:p>
    <w:p>
      <w:pPr>
        <w:pStyle w:val="null3"/>
        <w:spacing w:before="0" w:after="0"/>
        <w:ind w:left="0" w:right="0" w:firstLine="480"/>
        <w:jc w:val="both"/>
      </w:pPr>
      <w:r>
        <w:rPr>
          <w:b/>
        </w:rPr>
        <w:t>五、付款方式</w:t>
      </w:r>
    </w:p>
    <w:p>
      <w:pPr>
        <w:pStyle w:val="null3"/>
        <w:spacing w:before="0" w:after="0"/>
        <w:ind w:left="0" w:right="0" w:firstLine="480"/>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pStyle w:val="null3"/>
        <w:spacing w:before="0" w:after="0"/>
        <w:ind w:left="0" w:right="0" w:firstLine="480"/>
        <w:jc w:val="both"/>
      </w:pPr>
      <w:r>
        <w:rPr>
          <w:color w:val="222222"/>
          <w:sz w:val="27"/>
        </w:rPr>
        <w:t>　　1.在合同实施及服务人员到达服务地后__天内，甲方应将第一次付　　款总服务费的__(-%)付给乙方。</w:t>
      </w:r>
    </w:p>
    <w:p>
      <w:pPr>
        <w:pStyle w:val="null3"/>
        <w:spacing w:before="0" w:after="0"/>
        <w:ind w:left="0" w:right="0" w:firstLine="480"/>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firstLine="480"/>
        <w:jc w:val="both"/>
      </w:pPr>
      <w:r>
        <w:rPr>
          <w:color w:val="222222"/>
          <w:sz w:val="27"/>
        </w:rPr>
        <w:t>　　3.最后一次付款额应为总服务费的__(-%)，甲方应在乙方递交了服务总结报告和说明并完全履行合同完毕_________日内付给乙方。</w:t>
      </w:r>
    </w:p>
    <w:p>
      <w:pPr>
        <w:pStyle w:val="null3"/>
        <w:spacing w:before="0" w:after="0"/>
        <w:ind w:left="0" w:right="0" w:firstLine="480"/>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firstLine="480"/>
        <w:jc w:val="both"/>
      </w:pPr>
      <w:r>
        <w:rPr>
          <w:b/>
        </w:rPr>
        <w:t>六、知识产权归属</w:t>
      </w:r>
    </w:p>
    <w:p>
      <w:pPr>
        <w:pStyle w:val="null3"/>
        <w:spacing w:before="0" w:after="0"/>
        <w:ind w:left="0" w:right="0" w:firstLine="480"/>
        <w:jc w:val="both"/>
      </w:pPr>
      <w:r>
        <w:rPr>
          <w:b/>
        </w:rPr>
        <w:t>七、保密</w:t>
      </w:r>
    </w:p>
    <w:p>
      <w:pPr>
        <w:pStyle w:val="null3"/>
        <w:spacing w:before="0" w:after="0"/>
        <w:ind w:left="0" w:right="0" w:firstLine="480"/>
        <w:jc w:val="both"/>
      </w:pPr>
      <w:r>
        <w:rPr>
          <w:b/>
        </w:rPr>
        <w:t>八、违约责任与赔偿损失</w:t>
      </w:r>
    </w:p>
    <w:p>
      <w:pPr>
        <w:pStyle w:val="null3"/>
        <w:spacing w:before="0" w:after="0"/>
        <w:ind w:left="0" w:right="0" w:firstLine="480"/>
        <w:jc w:val="both"/>
      </w:pPr>
      <w:r>
        <w:rPr>
          <w:color w:val="222222"/>
          <w:sz w:val="27"/>
        </w:rPr>
        <w:t>　　1.乙方提供的服务不符合本合同规定的，甲方有权拒收，并且乙方须向甲方方支付本合同总价5%的违约金。</w:t>
      </w:r>
    </w:p>
    <w:p>
      <w:pPr>
        <w:pStyle w:val="null3"/>
        <w:spacing w:before="0" w:after="0"/>
        <w:ind w:left="0" w:right="0" w:firstLine="480"/>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firstLine="480"/>
        <w:jc w:val="both"/>
      </w:pPr>
      <w:r>
        <w:rPr>
          <w:color w:val="222222"/>
          <w:sz w:val="27"/>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firstLine="480"/>
        <w:jc w:val="both"/>
      </w:pPr>
      <w:r>
        <w:rPr>
          <w:color w:val="222222"/>
          <w:sz w:val="27"/>
        </w:rPr>
        <w:t>　　4.对于因甲方原因导致变更、中止或者终止政府采购合同的，甲方应当依照以下合同约定对供应商受到的损失予以赔偿或者补偿：</w:t>
      </w:r>
    </w:p>
    <w:p>
      <w:pPr>
        <w:pStyle w:val="null3"/>
        <w:spacing w:before="0" w:after="0"/>
        <w:ind w:left="0" w:right="0" w:firstLine="48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color w:val="222222"/>
          <w:sz w:val="27"/>
        </w:rPr>
        <w:t>　　5.其它违约责任按《</w:t>
      </w:r>
      <w:r>
        <w:rPr>
          <w:color w:val="222222"/>
          <w:sz w:val="27"/>
        </w:rPr>
        <w:t>中华人民共和国民法典(合同编)</w:t>
      </w:r>
      <w:r>
        <w:rPr>
          <w:color w:val="222222"/>
          <w:sz w:val="27"/>
        </w:rPr>
        <w:t>》处理。</w:t>
      </w:r>
    </w:p>
    <w:p>
      <w:pPr>
        <w:pStyle w:val="null3"/>
        <w:spacing w:before="0" w:after="0"/>
        <w:ind w:left="0" w:right="0" w:firstLine="480"/>
        <w:jc w:val="both"/>
      </w:pPr>
      <w:r>
        <w:rPr>
          <w:b/>
        </w:rPr>
        <w:t>九、争议的解决</w:t>
      </w:r>
    </w:p>
    <w:p>
      <w:pPr>
        <w:pStyle w:val="null3"/>
        <w:spacing w:before="0" w:after="0"/>
        <w:ind w:left="0" w:right="0"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pStyle w:val="null3"/>
        <w:spacing w:before="0" w:after="0"/>
        <w:ind w:left="0" w:right="0" w:firstLine="480"/>
        <w:jc w:val="both"/>
      </w:pPr>
      <w:r>
        <w:rPr>
          <w:b/>
        </w:rPr>
        <w:t>十、不可抗力</w:t>
      </w:r>
    </w:p>
    <w:p>
      <w:pPr>
        <w:pStyle w:val="null3"/>
        <w:spacing w:before="0" w:after="0"/>
        <w:ind w:left="0" w:right="0" w:firstLine="480"/>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firstLine="480"/>
        <w:jc w:val="both"/>
      </w:pPr>
      <w:r>
        <w:rPr>
          <w:b/>
        </w:rPr>
        <w:t>十一、税费</w:t>
      </w:r>
    </w:p>
    <w:p>
      <w:pPr>
        <w:pStyle w:val="null3"/>
        <w:spacing w:before="0" w:after="0"/>
        <w:ind w:left="0" w:right="0" w:firstLine="480"/>
        <w:jc w:val="both"/>
      </w:pPr>
      <w:r>
        <w:rPr>
          <w:color w:val="222222"/>
          <w:sz w:val="27"/>
        </w:rPr>
        <w:t>　　在中国境内、外发生的与本合同执行有关的一切税费均由乙方负担。</w:t>
      </w:r>
    </w:p>
    <w:p>
      <w:pPr>
        <w:pStyle w:val="null3"/>
        <w:spacing w:before="0" w:after="0"/>
        <w:ind w:left="0" w:right="0" w:firstLine="480"/>
        <w:jc w:val="both"/>
      </w:pPr>
      <w:r>
        <w:rPr>
          <w:b/>
        </w:rPr>
        <w:t>十二、其它</w:t>
      </w:r>
    </w:p>
    <w:p>
      <w:pPr>
        <w:pStyle w:val="null3"/>
        <w:spacing w:before="0" w:after="0"/>
        <w:ind w:left="0" w:right="0" w:firstLine="480"/>
        <w:jc w:val="both"/>
      </w:pPr>
      <w:r>
        <w:rPr>
          <w:color w:val="222222"/>
          <w:sz w:val="27"/>
        </w:rPr>
        <w:t>　　1.本合同所有附件、招标文件、投标文件、中标通知书均为合同的有效组成部分，与本合同具有同等法律效力。</w:t>
      </w:r>
    </w:p>
    <w:p>
      <w:pPr>
        <w:pStyle w:val="null3"/>
        <w:spacing w:before="0" w:after="0"/>
        <w:ind w:left="0" w:right="0" w:firstLine="480"/>
        <w:jc w:val="both"/>
      </w:pPr>
      <w:r>
        <w:rPr>
          <w:color w:val="222222"/>
          <w:sz w:val="27"/>
        </w:rPr>
        <w:t>　　2.在执行本合同的过程中，所有经双方签署确认的文件（包括会议纪要、补充协议、往来信函）即成为本合同的有效组成部分。</w:t>
      </w:r>
    </w:p>
    <w:p>
      <w:pPr>
        <w:pStyle w:val="null3"/>
        <w:spacing w:before="0" w:after="0"/>
        <w:ind w:left="0" w:right="0" w:firstLine="480"/>
        <w:jc w:val="both"/>
      </w:pPr>
      <w:r>
        <w:rPr>
          <w:color w:val="222222"/>
          <w:sz w:val="27"/>
        </w:rPr>
        <w:t>　　3.如一方地址、电话、传真号码有变更，应在变更当日内书面通知对方，否则，应承担相应责任。</w:t>
      </w:r>
    </w:p>
    <w:p>
      <w:pPr>
        <w:pStyle w:val="null3"/>
        <w:spacing w:before="0" w:after="0"/>
        <w:ind w:left="0" w:right="0" w:firstLine="480"/>
        <w:jc w:val="both"/>
      </w:pPr>
      <w:r>
        <w:rPr>
          <w:color w:val="222222"/>
          <w:sz w:val="27"/>
        </w:rPr>
        <w:t>　　4.除甲方事先书面同意外，乙方不得部分或全部转让其应履行的合同项下的义务。</w:t>
      </w:r>
    </w:p>
    <w:p>
      <w:pPr>
        <w:pStyle w:val="null3"/>
        <w:spacing w:before="0" w:after="0"/>
        <w:ind w:left="0" w:right="0" w:firstLine="480"/>
        <w:jc w:val="both"/>
      </w:pPr>
      <w:r>
        <w:rPr>
          <w:b/>
        </w:rPr>
        <w:t>十三、合同生效</w:t>
      </w:r>
    </w:p>
    <w:p>
      <w:pPr>
        <w:pStyle w:val="null3"/>
        <w:spacing w:before="0" w:after="0"/>
        <w:ind w:left="0" w:right="0" w:firstLine="480"/>
        <w:jc w:val="both"/>
      </w:pPr>
      <w:r>
        <w:rPr>
          <w:color w:val="222222"/>
          <w:sz w:val="27"/>
        </w:rPr>
        <w:t>　　1.本合同在甲乙双方法人代表或其授权代表签字盖章后生效。</w:t>
      </w:r>
    </w:p>
    <w:p>
      <w:pPr>
        <w:pStyle w:val="null3"/>
        <w:spacing w:before="0" w:after="0"/>
        <w:ind w:left="0" w:right="0" w:firstLine="480"/>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pStyle w:val="null3"/>
        <w:spacing w:before="0" w:after="0"/>
        <w:ind w:left="0" w:right="0" w:firstLine="48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pStyle w:val="null3"/>
        <w:spacing w:before="0" w:after="0"/>
        <w:ind w:left="0" w:right="0" w:firstLine="480"/>
        <w:jc w:val="both"/>
      </w:pPr>
      <w:r>
        <w:rPr>
          <w:color w:val="222222"/>
          <w:sz w:val="27"/>
        </w:rPr>
        <w:t>签订地点：</w:t>
      </w:r>
    </w:p>
    <w:p>
      <w:pPr>
        <w:pStyle w:val="null3"/>
        <w:spacing w:before="0" w:after="0"/>
        <w:ind w:left="0" w:right="0" w:firstLine="480"/>
        <w:jc w:val="both"/>
      </w:pPr>
      <w:r>
        <w:rPr>
          <w:color w:val="222222"/>
          <w:sz w:val="27"/>
        </w:rPr>
        <w:t>签订日期：　　　年　　月　　日</w:t>
      </w:r>
      <w:r>
        <w:rPr>
          <w:color w:val="222222"/>
          <w:sz w:val="27"/>
        </w:rPr>
        <w:t xml:space="preserve"> </w:t>
      </w:r>
      <w:r>
        <w:rPr>
          <w:color w:val="222222"/>
          <w:sz w:val="27"/>
        </w:rPr>
        <w:t>签订日期：　　　年　　月　　日</w:t>
      </w:r>
    </w:p>
    <w:p>
      <w:pPr>
        <w:pStyle w:val="null3"/>
        <w:spacing w:before="0" w:after="0"/>
        <w:ind w:left="0" w:right="0" w:firstLine="480"/>
        <w:jc w:val="both"/>
      </w:pPr>
      <w:r>
        <w:rPr>
          <w:color w:val="222222"/>
          <w:sz w:val="27"/>
        </w:rPr>
        <w:t>开户名称：</w:t>
      </w:r>
    </w:p>
    <w:p>
      <w:pPr>
        <w:pStyle w:val="null3"/>
        <w:spacing w:before="0" w:after="0"/>
        <w:ind w:left="0" w:right="0" w:firstLine="480"/>
        <w:jc w:val="both"/>
      </w:pPr>
      <w:r>
        <w:rPr>
          <w:color w:val="222222"/>
          <w:sz w:val="27"/>
        </w:rPr>
        <w:t>银行帐号：</w:t>
      </w:r>
    </w:p>
    <w:p>
      <w:pPr>
        <w:pStyle w:val="null3"/>
        <w:spacing w:before="0" w:after="0"/>
        <w:ind w:left="0" w:right="0" w:firstLine="480"/>
        <w:jc w:val="both"/>
      </w:pPr>
      <w:r>
        <w:rPr>
          <w:color w:val="222222"/>
          <w:sz w:val="27"/>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441301-2024-00770</w:t>
      </w:r>
    </w:p>
    <w:p>
      <w:pPr>
        <w:pStyle w:val="null3"/>
        <w:ind w:firstLine="480"/>
        <w:jc w:val="center"/>
        <w:outlineLvl w:val="3"/>
      </w:pPr>
      <w:r>
        <w:rPr>
          <w:b/>
          <w:sz w:val="24"/>
        </w:rPr>
        <w:t>采购项目编号：</w:t>
      </w:r>
      <w:r>
        <w:rPr>
          <w:b/>
          <w:sz w:val="24"/>
        </w:rPr>
        <w:t>GDTR2024HZ010002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广东泰然工程咨询有限公司</w:t>
      </w:r>
    </w:p>
    <w:p>
      <w:pPr>
        <w:pStyle w:val="null3"/>
        <w:ind w:firstLine="480"/>
      </w:pPr>
      <w:r>
        <w:rPr/>
        <w:t>你方组织的</w:t>
      </w:r>
      <w:r>
        <w:rPr>
          <w:u w:val="single"/>
        </w:rPr>
        <w:t>“</w:t>
      </w:r>
      <w:r>
        <w:rPr>
          <w:u w:val="single"/>
        </w:rPr>
        <w:t>陈塘河中游水质提升一体化建设及清淤项目运营维护服务项目</w:t>
      </w:r>
      <w:r>
        <w:rPr>
          <w:u w:val="single"/>
        </w:rPr>
        <w:t>”</w:t>
      </w:r>
      <w:r>
        <w:rPr/>
        <w:t>项目的招标[采购项目编号为：</w:t>
      </w:r>
      <w:r>
        <w:rPr>
          <w:u w:val="single"/>
        </w:rPr>
        <w:t>GDTR2024HZ010002</w:t>
      </w:r>
      <w:r>
        <w:rPr/>
        <w:t>]，我方愿参与投标。</w:t>
      </w:r>
    </w:p>
    <w:p>
      <w:pPr>
        <w:pStyle w:val="null3"/>
        <w:ind w:firstLine="480"/>
      </w:pPr>
      <w:r>
        <w:rPr/>
        <w:t>我方确认收到贵方提供的</w:t>
      </w:r>
      <w:r>
        <w:rPr>
          <w:u w:val="single"/>
        </w:rPr>
        <w:t>“</w:t>
      </w:r>
      <w:r>
        <w:rPr>
          <w:u w:val="single"/>
        </w:rPr>
        <w:t>陈塘河中游水质提升一体化建设及清淤项目运营维护服务项目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广东泰然工程咨询有限公司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陈塘河中游水质提升一体化建设及清淤项目运营维护服务项目</w:t>
      </w:r>
      <w:r>
        <w:rPr/>
        <w:t>”项目采购[采购项目编号为</w:t>
      </w:r>
      <w:r>
        <w:rPr/>
        <w:t>GDTR2024HZ010002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惠州市生态环境局惠城分局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广东泰然工程咨询有限公司</w:t>
      </w:r>
    </w:p>
    <w:p>
      <w:pPr>
        <w:pStyle w:val="null3"/>
        <w:ind w:firstLine="480"/>
      </w:pPr>
      <w:r>
        <w:rPr/>
        <w:t>如果我方在贵采购代理机构组织的</w:t>
      </w:r>
      <w:r>
        <w:rPr/>
        <w:t>陈塘河中游水质提升一体化建设及清淤项目运营维护服务项目</w:t>
      </w:r>
      <w:r>
        <w:rPr/>
        <w:t>招标中获中标（采购项目编号：</w:t>
      </w:r>
      <w:r>
        <w:rPr/>
        <w:t>GDTR2024HZ010002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广东泰然工程咨询有限公司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广东泰然工程咨询有限公司</w:t>
      </w:r>
    </w:p>
    <w:p>
      <w:pPr>
        <w:pStyle w:val="null3"/>
        <w:ind w:firstLine="480"/>
      </w:pPr>
      <w:r>
        <w:rPr/>
        <w:t>我单位已登记并准备参与“</w:t>
      </w:r>
      <w:r>
        <w:rPr/>
        <w:t>陈塘河中游水质提升一体化建设及清淤项目运营维护服务项目</w:t>
      </w:r>
      <w:r>
        <w:rPr/>
        <w:t>”项目（采购项目编号：</w:t>
      </w:r>
      <w:r>
        <w:rPr/>
        <w:t>GDTR2024HZ010002</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