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ascii="宋体" w:hAnsi="宋体" w:cs="宋体"/>
        </w:rPr>
      </w:pPr>
      <w:bookmarkStart w:id="0" w:name="_Toc509579144"/>
      <w:bookmarkStart w:id="1" w:name="_Toc86390326"/>
      <w:bookmarkStart w:id="2" w:name="_Toc86520203"/>
      <w:r>
        <w:rPr>
          <w:rFonts w:hint="eastAsia" w:ascii="宋体" w:hAnsi="宋体" w:cs="宋体"/>
        </w:rPr>
        <w:t>第五章  采购项目技术、服务、政府采购合同内容条款</w:t>
      </w:r>
    </w:p>
    <w:p>
      <w:pPr>
        <w:pStyle w:val="4"/>
        <w:rPr>
          <w:rFonts w:ascii="宋体" w:hAnsi="宋体" w:cs="宋体"/>
        </w:rPr>
      </w:pPr>
      <w:r>
        <w:rPr>
          <w:rFonts w:hint="eastAsia" w:ascii="宋体" w:hAnsi="宋体" w:cs="宋体"/>
        </w:rPr>
        <w:t>及其他商务要求</w:t>
      </w:r>
      <w:bookmarkEnd w:id="0"/>
      <w:bookmarkEnd w:id="1"/>
      <w:bookmarkEnd w:id="2"/>
    </w:p>
    <w:p>
      <w:pPr>
        <w:rPr>
          <w:rFonts w:ascii="宋体" w:hAnsi="宋体" w:cs="宋体"/>
          <w:sz w:val="24"/>
          <w:szCs w:val="24"/>
        </w:rPr>
      </w:pPr>
    </w:p>
    <w:p>
      <w:pPr>
        <w:rPr>
          <w:rFonts w:ascii="宋体" w:hAnsi="宋体" w:cs="宋体"/>
          <w:b/>
          <w:bCs/>
          <w:sz w:val="32"/>
          <w:szCs w:val="32"/>
        </w:rPr>
      </w:pPr>
      <w:r>
        <w:rPr>
          <w:rFonts w:hint="eastAsia" w:ascii="宋体" w:hAnsi="宋体" w:cs="宋体"/>
          <w:b/>
          <w:bCs/>
          <w:sz w:val="32"/>
          <w:szCs w:val="32"/>
        </w:rPr>
        <w:t>本章采购需求中标注“★”号的条款为本次磋商采购项目的实质性要求，供应商在磋商结束后应全部满足。</w:t>
      </w:r>
    </w:p>
    <w:p>
      <w:pPr>
        <w:rPr>
          <w:rFonts w:ascii="宋体" w:hAnsi="宋体" w:cs="宋体"/>
        </w:rPr>
      </w:pPr>
      <w:r>
        <w:rPr>
          <w:rFonts w:hint="eastAsia" w:ascii="宋体" w:hAnsi="宋体" w:cs="宋体"/>
        </w:rPr>
        <w:t>1.项目概述</w:t>
      </w:r>
    </w:p>
    <w:p>
      <w:pPr>
        <w:rPr>
          <w:rFonts w:ascii="宋体" w:hAnsi="宋体" w:cs="宋体"/>
        </w:rPr>
      </w:pPr>
      <w:r>
        <w:rPr>
          <w:rFonts w:hint="eastAsia" w:ascii="宋体" w:hAnsi="宋体" w:cs="宋体"/>
        </w:rPr>
        <w:t>本项目共一个标段，项目建设内容详见工程量清单及施工图纸。</w:t>
      </w:r>
    </w:p>
    <w:p>
      <w:pPr>
        <w:pStyle w:val="2"/>
        <w:rPr>
          <w:rFonts w:ascii="宋体" w:hAnsi="宋体" w:cs="宋体"/>
          <w:sz w:val="20"/>
          <w:szCs w:val="20"/>
        </w:rPr>
      </w:pPr>
    </w:p>
    <w:p>
      <w:pPr>
        <w:rPr>
          <w:rFonts w:ascii="宋体" w:hAnsi="宋体" w:cs="宋体"/>
        </w:rPr>
      </w:pPr>
      <w:r>
        <w:rPr>
          <w:rFonts w:hint="eastAsia" w:ascii="宋体" w:hAnsi="宋体" w:cs="宋体"/>
        </w:rPr>
        <w:t>★2. 技术、服务、合同条款要求</w:t>
      </w:r>
    </w:p>
    <w:tbl>
      <w:tblPr>
        <w:tblStyle w:val="5"/>
        <w:tblW w:w="7319" w:type="dxa"/>
        <w:jc w:val="center"/>
        <w:tblLayout w:type="fixed"/>
        <w:tblCellMar>
          <w:top w:w="0" w:type="dxa"/>
          <w:left w:w="108" w:type="dxa"/>
          <w:bottom w:w="0" w:type="dxa"/>
          <w:right w:w="108" w:type="dxa"/>
        </w:tblCellMar>
      </w:tblPr>
      <w:tblGrid>
        <w:gridCol w:w="877"/>
        <w:gridCol w:w="2492"/>
        <w:gridCol w:w="3950"/>
      </w:tblGrid>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序号</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项目</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要求</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1</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工期</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工期总日历天数：90日历天。</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2</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缺陷责任期</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commentRangeStart w:id="0"/>
            <w:r>
              <w:rPr>
                <w:rFonts w:hint="eastAsia" w:ascii="宋体" w:hAnsi="宋体" w:cs="宋体"/>
                <w:b/>
                <w:bCs/>
                <w:sz w:val="20"/>
                <w:szCs w:val="20"/>
              </w:rPr>
              <w:t>12个月</w:t>
            </w:r>
            <w:commentRangeEnd w:id="0"/>
            <w:r>
              <w:rPr>
                <w:rStyle w:val="7"/>
                <w:rFonts w:hint="eastAsia" w:ascii="宋体" w:hAnsi="宋体" w:cs="宋体"/>
                <w:sz w:val="20"/>
                <w:szCs w:val="20"/>
              </w:rPr>
              <w:commentReference w:id="0"/>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3</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分包</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不允许</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4</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价格调整</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见合同条款</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5</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付款方式</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color w:val="auto"/>
                <w:sz w:val="20"/>
                <w:szCs w:val="20"/>
              </w:rPr>
            </w:pPr>
            <w:r>
              <w:rPr>
                <w:rFonts w:hint="eastAsia" w:ascii="宋体" w:hAnsi="宋体" w:cs="宋体"/>
                <w:b/>
                <w:bCs/>
                <w:color w:val="auto"/>
                <w:sz w:val="20"/>
                <w:szCs w:val="20"/>
              </w:rPr>
              <w:t>合同签订后，成交供应商进场施工7个工作日内由采购人支付合同金额的30%作为预付款；工程进度至60%时，支付至合同金额的50%；工程竣工验收后，支付至合同金额的80%。工程项目决算行政审计后在成交供应商提供相关竣工资料，结算经相关部门评审完成后，由采购人支付至总结算金额的97%，3%余额作为质保金，缺陷责任期满后14日内无息支付。</w:t>
            </w:r>
          </w:p>
          <w:p>
            <w:pPr>
              <w:widowControl/>
              <w:spacing w:line="360" w:lineRule="auto"/>
              <w:jc w:val="left"/>
              <w:rPr>
                <w:rFonts w:ascii="宋体" w:hAnsi="宋体" w:cs="宋体"/>
                <w:b/>
                <w:bCs/>
                <w:sz w:val="20"/>
                <w:szCs w:val="20"/>
              </w:rPr>
            </w:pPr>
            <w:r>
              <w:rPr>
                <w:rFonts w:hint="eastAsia" w:ascii="宋体" w:hAnsi="宋体" w:cs="宋体"/>
                <w:b/>
                <w:bCs/>
                <w:color w:val="auto"/>
                <w:sz w:val="20"/>
                <w:szCs w:val="20"/>
              </w:rPr>
              <w:t>付款前，供应商应提供合法足额发票，否则采购人有权拒绝支付款项。</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6</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工程质量</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达到现行行业施工质量验收规范中合格标准。</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7</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工程材料</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工程中涉及的材料选用要满足设计和国家现行相关质量标准的要求，并必须得到建设单位现场代表、现场监理工程师的认可。</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8</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安全责任</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工程在运输、施工等整个工程活动期间，在工程实施地点范围内，所有安全责任均由供应商负责。</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9</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环境保护</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施工现场必须设立警戒标志，施工材料器具整齐存放，设备材料统一堆放，保持现场环境卫生整洁，做好防尘降噪处理。</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10</w:t>
            </w:r>
          </w:p>
        </w:tc>
        <w:tc>
          <w:tcPr>
            <w:tcW w:w="2492" w:type="dxa"/>
            <w:tcBorders>
              <w:top w:val="single" w:color="auto" w:sz="4" w:space="0"/>
              <w:left w:val="nil"/>
              <w:bottom w:val="single" w:color="auto" w:sz="4" w:space="0"/>
              <w:right w:val="single" w:color="auto" w:sz="4" w:space="0"/>
            </w:tcBorders>
            <w:vAlign w:val="center"/>
          </w:tcPr>
          <w:p>
            <w:pPr>
              <w:widowControl/>
              <w:spacing w:line="360" w:lineRule="auto"/>
              <w:ind w:firstLine="201" w:firstLineChars="100"/>
              <w:jc w:val="left"/>
              <w:rPr>
                <w:rFonts w:ascii="宋体" w:hAnsi="宋体" w:cs="宋体"/>
                <w:b/>
                <w:bCs/>
                <w:sz w:val="20"/>
                <w:szCs w:val="20"/>
              </w:rPr>
            </w:pPr>
            <w:r>
              <w:rPr>
                <w:rFonts w:hint="eastAsia" w:ascii="宋体" w:hAnsi="宋体" w:cs="宋体"/>
                <w:b/>
                <w:bCs/>
                <w:sz w:val="20"/>
                <w:szCs w:val="20"/>
              </w:rPr>
              <w:t>工程要求</w:t>
            </w:r>
          </w:p>
        </w:tc>
        <w:tc>
          <w:tcPr>
            <w:tcW w:w="395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b/>
                <w:bCs/>
                <w:sz w:val="20"/>
                <w:szCs w:val="20"/>
              </w:rPr>
            </w:pPr>
            <w:r>
              <w:rPr>
                <w:rFonts w:hint="eastAsia" w:ascii="宋体" w:hAnsi="宋体" w:cs="宋体"/>
                <w:b/>
                <w:bCs/>
                <w:sz w:val="20"/>
                <w:szCs w:val="20"/>
              </w:rPr>
              <w:t>工程施工必须满足当地建设行政主管部门对工程建设的有关规定（含扬尘治理）,并按经批准的施工组织设计实施,且要符合施工规范及验收标准的相关要求。</w:t>
            </w:r>
          </w:p>
        </w:tc>
      </w:tr>
    </w:tbl>
    <w:p>
      <w:pPr>
        <w:widowControl/>
        <w:spacing w:line="360" w:lineRule="auto"/>
        <w:ind w:firstLine="210" w:firstLineChars="100"/>
        <w:jc w:val="left"/>
        <w:rPr>
          <w:rFonts w:ascii="宋体" w:hAnsi="宋体" w:cs="宋体"/>
        </w:rPr>
      </w:pPr>
      <w:r>
        <w:rPr>
          <w:rFonts w:hint="eastAsia" w:ascii="宋体" w:hAnsi="宋体" w:cs="宋体"/>
        </w:rPr>
        <w:t>★3.漏项工程处理：施工过程中，发现工程量清单存在漏项工程的，该漏项工程作为本项目本章采购需求的组成部分，采购人和供应商可以按照《中华人民共和国政府采购法》的规定签订不超过成交金额百分之十的补充合同。</w:t>
      </w:r>
    </w:p>
    <w:p>
      <w:pPr>
        <w:widowControl/>
        <w:spacing w:line="360" w:lineRule="auto"/>
        <w:ind w:firstLine="210" w:firstLineChars="100"/>
        <w:jc w:val="left"/>
        <w:rPr>
          <w:rFonts w:ascii="宋体" w:hAnsi="宋体" w:cs="宋体"/>
        </w:rPr>
      </w:pPr>
      <w:r>
        <w:rPr>
          <w:rFonts w:hint="eastAsia" w:ascii="宋体" w:hAnsi="宋体" w:cs="宋体"/>
        </w:rPr>
        <w:t>★</w:t>
      </w:r>
      <w:r>
        <w:rPr>
          <w:rFonts w:hint="eastAsia" w:ascii="宋体" w:hAnsi="宋体" w:cs="宋体"/>
          <w:b/>
          <w:bCs/>
        </w:rPr>
        <w:t>4.</w:t>
      </w:r>
      <w:r>
        <w:rPr>
          <w:rFonts w:hint="eastAsia" w:ascii="宋体" w:hAnsi="宋体" w:cs="宋体"/>
        </w:rPr>
        <w:t>供应商针对本项目的施工，必须达到国家及行业现行技术规范标准，符合国家及行业验收合格标准。</w:t>
      </w:r>
    </w:p>
    <w:p>
      <w:pPr>
        <w:widowControl/>
        <w:spacing w:line="360" w:lineRule="auto"/>
        <w:ind w:firstLine="210" w:firstLineChars="100"/>
        <w:jc w:val="left"/>
        <w:rPr>
          <w:rFonts w:ascii="宋体" w:hAnsi="宋体" w:cs="宋体"/>
        </w:rPr>
      </w:pPr>
      <w:r>
        <w:rPr>
          <w:rFonts w:hint="eastAsia" w:ascii="宋体" w:hAnsi="宋体" w:cs="宋体"/>
        </w:rPr>
        <w:t>5 .验收方式和标准</w:t>
      </w:r>
    </w:p>
    <w:p>
      <w:pPr>
        <w:widowControl/>
        <w:spacing w:line="360" w:lineRule="auto"/>
        <w:ind w:firstLine="420" w:firstLineChars="200"/>
        <w:jc w:val="left"/>
        <w:rPr>
          <w:rFonts w:ascii="宋体" w:hAnsi="宋体" w:cs="宋体"/>
        </w:rPr>
      </w:pPr>
      <w:r>
        <w:rPr>
          <w:rFonts w:hint="eastAsia" w:ascii="宋体" w:hAnsi="宋体" w:cs="宋体"/>
        </w:rPr>
        <w:t>a、验收方式：由采购人组织对成交供应商完成的项目成果进行验收，按照《财政部关于进一步加强政府采购需求和履约验收管理的指导意见》（财库〔2016〕205号）和行业相关规范的规定进行验收。</w:t>
      </w:r>
    </w:p>
    <w:p>
      <w:pPr>
        <w:widowControl/>
        <w:spacing w:line="360" w:lineRule="auto"/>
        <w:ind w:firstLine="420" w:firstLineChars="200"/>
        <w:jc w:val="left"/>
        <w:rPr>
          <w:rFonts w:ascii="宋体" w:hAnsi="宋体" w:cs="宋体"/>
        </w:rPr>
      </w:pPr>
      <w:r>
        <w:rPr>
          <w:rFonts w:hint="eastAsia" w:ascii="宋体" w:hAnsi="宋体" w:cs="宋体"/>
        </w:rPr>
        <w:t>b、验收标准：按国家有关规定以及采购文件的质量要求和技术指标、供应商的响应文件及承诺与本合同约定标准进行验收；采购人与供应商双方如对质量要求和技术指标的约定标准有相互抵触或异议的事项，由采购人在采购文件及响应文件中按质量要求和技术指标比较优胜的原则确定该项的约定标准进行验收。（采购人无故不进行验收工作并已使用项目履约成果的，视同验收合格。）</w:t>
      </w:r>
    </w:p>
    <w:p>
      <w:pPr>
        <w:widowControl/>
        <w:spacing w:line="360" w:lineRule="auto"/>
        <w:ind w:firstLine="420" w:firstLineChars="200"/>
        <w:jc w:val="left"/>
        <w:rPr>
          <w:rFonts w:ascii="宋体" w:hAnsi="宋体" w:cs="宋体"/>
        </w:rPr>
      </w:pPr>
      <w:r>
        <w:rPr>
          <w:rFonts w:hint="eastAsia" w:ascii="宋体" w:hAnsi="宋体" w:cs="宋体"/>
        </w:rPr>
        <w:t>c、项目验收结果合格的，供应商凭验收合格证明书至履约保证金收取单位办理履约保证金的退付手续；验收结果不合格的，履约保证金将不予退还，也将不予支付采购资金，还可能上报本项目同级财政部门按照政府采购法律法规等有关规定给予行政处罚或者以失信行为记入诚信档案。</w:t>
      </w:r>
    </w:p>
    <w:p>
      <w:pPr>
        <w:widowControl/>
        <w:spacing w:line="360" w:lineRule="auto"/>
        <w:ind w:firstLine="210" w:firstLineChars="100"/>
        <w:jc w:val="left"/>
        <w:rPr>
          <w:rFonts w:ascii="宋体" w:hAnsi="宋体" w:cs="宋体"/>
        </w:rPr>
      </w:pPr>
      <w:r>
        <w:rPr>
          <w:rFonts w:hint="eastAsia" w:ascii="宋体" w:hAnsi="宋体" w:cs="宋体"/>
        </w:rPr>
        <w:t>6.针对本项目的其他技术服务要求：详见工程量清单和图纸（另册）。</w:t>
      </w:r>
    </w:p>
    <w:p>
      <w:pPr>
        <w:widowControl/>
        <w:jc w:val="left"/>
        <w:rPr>
          <w:rFonts w:ascii="宋体" w:hAnsi="宋体" w:cs="宋体"/>
        </w:rPr>
      </w:pPr>
      <w:r>
        <w:rPr>
          <w:rFonts w:hint="eastAsia" w:ascii="宋体" w:hAnsi="宋体" w:cs="宋体"/>
          <w:b/>
          <w:sz w:val="44"/>
          <w:szCs w:val="44"/>
        </w:rPr>
        <w:br w:type="page"/>
      </w:r>
    </w:p>
    <w:p>
      <w:bookmarkStart w:id="3" w:name="_GoBack"/>
      <w:bookmarkEnd w:id="3"/>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Microsoft Office User-D" w:date="2021-11-16T00:21:00Z" w:initials="MOU">
    <w:p w14:paraId="7EE75C06">
      <w:pPr>
        <w:pStyle w:val="3"/>
      </w:pPr>
      <w:r>
        <w:rPr>
          <w:rFonts w:hint="eastAsia"/>
        </w:rPr>
        <w:t>请复核</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EE75C06" w15:done="1"/>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icrosoft Office User-D">
    <w15:presenceInfo w15:providerId="None" w15:userId="Microsoft Office User-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B80B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99"/>
    <w:pPr>
      <w:spacing w:after="120"/>
    </w:pPr>
  </w:style>
  <w:style w:type="paragraph" w:styleId="3">
    <w:name w:val="annotation text"/>
    <w:basedOn w:val="1"/>
    <w:qFormat/>
    <w:uiPriority w:val="0"/>
    <w:pPr>
      <w:jc w:val="left"/>
    </w:pPr>
    <w:rPr>
      <w:rFonts w:ascii="Calibri" w:hAnsi="Calibri" w:cs="Calibri"/>
      <w:sz w:val="18"/>
      <w:szCs w:val="18"/>
    </w:rPr>
  </w:style>
  <w:style w:type="paragraph" w:styleId="4">
    <w:name w:val="Title"/>
    <w:basedOn w:val="1"/>
    <w:next w:val="1"/>
    <w:qFormat/>
    <w:uiPriority w:val="99"/>
    <w:pPr>
      <w:spacing w:before="240" w:after="60"/>
      <w:jc w:val="center"/>
      <w:outlineLvl w:val="0"/>
    </w:pPr>
    <w:rPr>
      <w:rFonts w:ascii="Cambria" w:hAnsi="Cambria" w:cs="Cambria"/>
      <w:b/>
      <w:bCs/>
      <w:sz w:val="32"/>
      <w:szCs w:val="32"/>
    </w:rPr>
  </w:style>
  <w:style w:type="character" w:styleId="7">
    <w:name w:val="annotation reference"/>
    <w:basedOn w:val="6"/>
    <w:qFormat/>
    <w:uiPriority w:val="99"/>
    <w:rPr>
      <w:sz w:val="21"/>
      <w:szCs w:val="21"/>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2022-03-22T02:25:45Z</dcterms:created>
  <dc:creator>华为</dc:creator>
  <cp:lastModifiedBy>边边</cp:lastModifiedBy>
  <dcterms:modified xsi:type="dcterms:W3CDTF">2022-03-22T02:25:54Z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03114FF0E041414DB521D34324F3234F</vt:lpwstr>
  </property>
</Properties>
</file>