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2"/>
          <w:numId w:val="1"/>
        </w:numPr>
        <w:adjustRightInd w:val="0"/>
        <w:snapToGrid w:val="0"/>
        <w:jc w:val="center"/>
        <w:rPr>
          <w:rFonts w:ascii="宋体" w:hAnsi="宋体" w:cs="宋体"/>
          <w:b/>
          <w:sz w:val="30"/>
          <w:szCs w:val="30"/>
        </w:rPr>
      </w:pPr>
      <w:r>
        <w:rPr>
          <w:rFonts w:hint="eastAsia" w:ascii="宋体" w:hAnsi="宋体" w:cs="宋体"/>
          <w:b/>
          <w:sz w:val="30"/>
          <w:szCs w:val="30"/>
        </w:rPr>
        <w:t>货物需求一览表</w:t>
      </w:r>
    </w:p>
    <w:p>
      <w:pPr>
        <w:adjustRightInd w:val="0"/>
        <w:snapToGrid w:val="0"/>
        <w:jc w:val="center"/>
        <w:rPr>
          <w:rFonts w:ascii="宋体" w:hAnsi="宋体" w:cs="宋体"/>
          <w:b/>
          <w:sz w:val="30"/>
          <w:szCs w:val="30"/>
        </w:rPr>
      </w:pPr>
    </w:p>
    <w:tbl>
      <w:tblPr>
        <w:tblStyle w:val="5"/>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704"/>
        <w:gridCol w:w="2028"/>
        <w:gridCol w:w="761"/>
        <w:gridCol w:w="1218"/>
        <w:gridCol w:w="1218"/>
        <w:gridCol w:w="319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386" w:type="pct"/>
            <w:vAlign w:val="center"/>
          </w:tcPr>
          <w:p>
            <w:pPr>
              <w:jc w:val="center"/>
              <w:rPr>
                <w:rFonts w:cs="宋体"/>
                <w:sz w:val="24"/>
                <w:szCs w:val="21"/>
              </w:rPr>
            </w:pPr>
            <w:r>
              <w:rPr>
                <w:rFonts w:hint="eastAsia" w:cs="宋体"/>
                <w:sz w:val="24"/>
                <w:szCs w:val="21"/>
              </w:rPr>
              <w:t>包号</w:t>
            </w:r>
          </w:p>
        </w:tc>
        <w:tc>
          <w:tcPr>
            <w:tcW w:w="1111" w:type="pct"/>
            <w:vAlign w:val="center"/>
          </w:tcPr>
          <w:p>
            <w:pPr>
              <w:jc w:val="center"/>
              <w:rPr>
                <w:rFonts w:cs="宋体"/>
                <w:sz w:val="24"/>
                <w:szCs w:val="21"/>
              </w:rPr>
            </w:pPr>
            <w:r>
              <w:rPr>
                <w:rFonts w:hint="eastAsia" w:cs="宋体"/>
                <w:sz w:val="24"/>
                <w:szCs w:val="21"/>
              </w:rPr>
              <w:t>货物名称</w:t>
            </w:r>
          </w:p>
        </w:tc>
        <w:tc>
          <w:tcPr>
            <w:tcW w:w="417" w:type="pct"/>
            <w:vAlign w:val="center"/>
          </w:tcPr>
          <w:p>
            <w:pPr>
              <w:jc w:val="center"/>
              <w:rPr>
                <w:rFonts w:cs="宋体"/>
                <w:sz w:val="24"/>
                <w:szCs w:val="21"/>
              </w:rPr>
            </w:pPr>
            <w:r>
              <w:rPr>
                <w:rFonts w:hint="eastAsia" w:cs="宋体"/>
                <w:sz w:val="24"/>
                <w:szCs w:val="21"/>
              </w:rPr>
              <w:t>数量</w:t>
            </w:r>
          </w:p>
        </w:tc>
        <w:tc>
          <w:tcPr>
            <w:tcW w:w="667" w:type="pct"/>
            <w:vAlign w:val="center"/>
          </w:tcPr>
          <w:p>
            <w:pPr>
              <w:jc w:val="center"/>
              <w:rPr>
                <w:rFonts w:cs="宋体"/>
                <w:sz w:val="24"/>
                <w:szCs w:val="21"/>
              </w:rPr>
            </w:pPr>
            <w:r>
              <w:rPr>
                <w:rFonts w:hint="eastAsia" w:cs="宋体"/>
                <w:sz w:val="24"/>
                <w:szCs w:val="21"/>
              </w:rPr>
              <w:t>交货期</w:t>
            </w:r>
          </w:p>
        </w:tc>
        <w:tc>
          <w:tcPr>
            <w:tcW w:w="667" w:type="pct"/>
            <w:vAlign w:val="center"/>
          </w:tcPr>
          <w:p>
            <w:pPr>
              <w:jc w:val="center"/>
              <w:rPr>
                <w:rFonts w:cs="宋体"/>
                <w:sz w:val="24"/>
                <w:szCs w:val="21"/>
              </w:rPr>
            </w:pPr>
            <w:r>
              <w:rPr>
                <w:rFonts w:hint="eastAsia" w:cs="宋体"/>
                <w:sz w:val="24"/>
                <w:szCs w:val="21"/>
              </w:rPr>
              <w:t>交货地点</w:t>
            </w:r>
          </w:p>
        </w:tc>
        <w:tc>
          <w:tcPr>
            <w:tcW w:w="1751" w:type="pct"/>
            <w:vAlign w:val="center"/>
          </w:tcPr>
          <w:p>
            <w:pPr>
              <w:jc w:val="center"/>
              <w:rPr>
                <w:rFonts w:cs="宋体"/>
                <w:sz w:val="24"/>
                <w:szCs w:val="21"/>
                <w:shd w:val="pct10" w:color="auto" w:fill="FFFFFF"/>
              </w:rPr>
            </w:pPr>
            <w:r>
              <w:rPr>
                <w:rFonts w:hint="eastAsia" w:cs="宋体"/>
                <w:sz w:val="24"/>
                <w:szCs w:val="21"/>
              </w:rPr>
              <w:t>进度计划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386" w:type="pct"/>
            <w:vAlign w:val="center"/>
          </w:tcPr>
          <w:p>
            <w:pPr>
              <w:jc w:val="center"/>
              <w:rPr>
                <w:sz w:val="24"/>
                <w:szCs w:val="21"/>
              </w:rPr>
            </w:pPr>
            <w:r>
              <w:rPr>
                <w:sz w:val="24"/>
                <w:szCs w:val="21"/>
              </w:rPr>
              <w:t>1</w:t>
            </w:r>
          </w:p>
        </w:tc>
        <w:tc>
          <w:tcPr>
            <w:tcW w:w="1111" w:type="pct"/>
            <w:vAlign w:val="center"/>
          </w:tcPr>
          <w:p>
            <w:pPr>
              <w:jc w:val="center"/>
              <w:rPr>
                <w:sz w:val="24"/>
                <w:szCs w:val="21"/>
              </w:rPr>
            </w:pPr>
            <w:r>
              <w:rPr>
                <w:sz w:val="24"/>
                <w:szCs w:val="21"/>
              </w:rPr>
              <w:t>加速器嬗变研究装置（CiADS）</w:t>
            </w:r>
            <w:r>
              <w:rPr>
                <w:rFonts w:hint="eastAsia"/>
                <w:sz w:val="24"/>
                <w:szCs w:val="21"/>
              </w:rPr>
              <w:t>项目</w:t>
            </w:r>
            <w:r>
              <w:rPr>
                <w:sz w:val="24"/>
                <w:szCs w:val="21"/>
              </w:rPr>
              <w:t xml:space="preserve">冷冻站系统设备采购及安装 </w:t>
            </w:r>
          </w:p>
        </w:tc>
        <w:tc>
          <w:tcPr>
            <w:tcW w:w="417" w:type="pct"/>
            <w:vAlign w:val="center"/>
          </w:tcPr>
          <w:p>
            <w:pPr>
              <w:jc w:val="center"/>
              <w:rPr>
                <w:sz w:val="24"/>
                <w:szCs w:val="21"/>
              </w:rPr>
            </w:pPr>
            <w:r>
              <w:rPr>
                <w:sz w:val="24"/>
                <w:szCs w:val="21"/>
              </w:rPr>
              <w:t>1套</w:t>
            </w:r>
          </w:p>
        </w:tc>
        <w:tc>
          <w:tcPr>
            <w:tcW w:w="667" w:type="pct"/>
            <w:vAlign w:val="center"/>
          </w:tcPr>
          <w:p>
            <w:pPr>
              <w:jc w:val="center"/>
              <w:rPr>
                <w:sz w:val="24"/>
                <w:szCs w:val="21"/>
              </w:rPr>
            </w:pPr>
            <w:r>
              <w:rPr>
                <w:rFonts w:hint="eastAsia"/>
                <w:sz w:val="24"/>
                <w:szCs w:val="21"/>
              </w:rPr>
              <w:t>合同签订后8个月或接到招标方书面通知后3个月内</w:t>
            </w:r>
          </w:p>
        </w:tc>
        <w:tc>
          <w:tcPr>
            <w:tcW w:w="667" w:type="pct"/>
            <w:vAlign w:val="center"/>
          </w:tcPr>
          <w:p>
            <w:pPr>
              <w:jc w:val="center"/>
              <w:rPr>
                <w:sz w:val="24"/>
                <w:szCs w:val="21"/>
              </w:rPr>
            </w:pPr>
            <w:r>
              <w:rPr>
                <w:rFonts w:hint="eastAsia"/>
                <w:sz w:val="24"/>
                <w:szCs w:val="21"/>
              </w:rPr>
              <w:t>广东省惠州市惠东县CiADS装置区D01子项内</w:t>
            </w:r>
          </w:p>
        </w:tc>
        <w:tc>
          <w:tcPr>
            <w:tcW w:w="1751" w:type="pct"/>
            <w:vAlign w:val="center"/>
          </w:tcPr>
          <w:p>
            <w:pPr>
              <w:rPr>
                <w:sz w:val="24"/>
                <w:szCs w:val="21"/>
              </w:rPr>
            </w:pPr>
            <w:r>
              <w:rPr>
                <w:sz w:val="24"/>
                <w:szCs w:val="21"/>
              </w:rPr>
              <w:t>中标单位须根据CiADS项目整体进度，制定详细的工程实施计划和总体部署方案。根据项目现场的建设进度要求，预计需要在2023年</w:t>
            </w:r>
            <w:r>
              <w:rPr>
                <w:rFonts w:hint="eastAsia"/>
                <w:sz w:val="24"/>
                <w:szCs w:val="21"/>
              </w:rPr>
              <w:t>6</w:t>
            </w:r>
            <w:r>
              <w:rPr>
                <w:sz w:val="24"/>
                <w:szCs w:val="21"/>
              </w:rPr>
              <w:t>月进场安装，2023年12月份完成所有设备采购及安装、调试并具备运行条件。</w:t>
            </w:r>
          </w:p>
        </w:tc>
      </w:tr>
    </w:tbl>
    <w:p>
      <w:pPr>
        <w:rPr>
          <w:rFonts w:ascii="宋体" w:hAnsi="宋体" w:cs="宋体"/>
          <w:sz w:val="24"/>
        </w:rPr>
      </w:pPr>
      <w:r>
        <w:rPr>
          <w:rFonts w:hint="eastAsia" w:ascii="宋体" w:hAnsi="宋体" w:cs="宋体"/>
          <w:sz w:val="24"/>
        </w:rPr>
        <w:t>注：投标人须对上述投标内容中完整的一包进行投标，不完整的投标将视为非响应性投标予以拒绝。</w:t>
      </w:r>
    </w:p>
    <w:p>
      <w:pPr>
        <w:adjustRightInd w:val="0"/>
        <w:snapToGrid w:val="0"/>
        <w:rPr>
          <w:rFonts w:ascii="宋体" w:hAnsi="宋体" w:cs="宋体"/>
          <w:szCs w:val="21"/>
        </w:rPr>
      </w:pPr>
    </w:p>
    <w:p>
      <w:pPr>
        <w:adjustRightInd w:val="0"/>
        <w:snapToGrid w:val="0"/>
        <w:rPr>
          <w:rFonts w:ascii="宋体" w:hAnsi="宋体" w:cs="宋体"/>
          <w:b/>
          <w:sz w:val="30"/>
          <w:szCs w:val="30"/>
        </w:rPr>
      </w:pPr>
      <w:r>
        <w:rPr>
          <w:rFonts w:hint="eastAsia" w:ascii="宋体" w:hAnsi="宋体" w:cs="宋体"/>
          <w:b/>
          <w:sz w:val="30"/>
          <w:szCs w:val="30"/>
        </w:rPr>
        <w:br w:type="page"/>
      </w:r>
    </w:p>
    <w:p>
      <w:pPr>
        <w:numPr>
          <w:ilvl w:val="2"/>
          <w:numId w:val="1"/>
        </w:numPr>
        <w:tabs>
          <w:tab w:val="left" w:pos="720"/>
          <w:tab w:val="clear" w:pos="1560"/>
        </w:tabs>
        <w:adjustRightInd w:val="0"/>
        <w:snapToGrid w:val="0"/>
        <w:ind w:hanging="1560"/>
        <w:jc w:val="center"/>
        <w:rPr>
          <w:rFonts w:ascii="宋体" w:hAnsi="宋体" w:cs="宋体"/>
          <w:b/>
          <w:sz w:val="30"/>
          <w:szCs w:val="30"/>
        </w:rPr>
      </w:pPr>
      <w:r>
        <w:rPr>
          <w:rFonts w:hint="eastAsia" w:ascii="宋体" w:hAnsi="宋体" w:cs="宋体"/>
          <w:b/>
          <w:sz w:val="30"/>
          <w:szCs w:val="30"/>
        </w:rPr>
        <w:t>技术规格</w:t>
      </w:r>
    </w:p>
    <w:p>
      <w:pPr>
        <w:spacing w:line="360" w:lineRule="auto"/>
        <w:ind w:left="600" w:hanging="600"/>
        <w:rPr>
          <w:rFonts w:ascii="宋体" w:hAnsi="宋体" w:cs="宋体"/>
          <w:b/>
          <w:sz w:val="30"/>
          <w:szCs w:val="30"/>
        </w:rPr>
      </w:pPr>
      <w:r>
        <w:rPr>
          <w:rFonts w:hint="eastAsia" w:ascii="宋体" w:hAnsi="宋体" w:cs="宋体"/>
          <w:b/>
          <w:sz w:val="30"/>
          <w:szCs w:val="30"/>
        </w:rPr>
        <w:t>一、总  则</w:t>
      </w:r>
    </w:p>
    <w:p>
      <w:pPr>
        <w:spacing w:before="156" w:beforeLines="50" w:after="156" w:afterLines="50" w:line="360" w:lineRule="auto"/>
        <w:ind w:left="601" w:hanging="601"/>
        <w:rPr>
          <w:rFonts w:ascii="宋体" w:hAnsi="宋体" w:cs="宋体"/>
          <w:b/>
          <w:sz w:val="28"/>
        </w:rPr>
      </w:pPr>
      <w:r>
        <w:rPr>
          <w:rFonts w:hint="eastAsia" w:ascii="宋体" w:hAnsi="宋体" w:cs="宋体"/>
          <w:b/>
          <w:sz w:val="28"/>
        </w:rPr>
        <w:t>1、投标要求</w:t>
      </w:r>
    </w:p>
    <w:p>
      <w:pPr>
        <w:spacing w:line="360" w:lineRule="auto"/>
        <w:ind w:firstLine="480" w:firstLineChars="200"/>
        <w:rPr>
          <w:rFonts w:ascii="宋体" w:hAnsi="宋体" w:cs="宋体"/>
          <w:sz w:val="24"/>
        </w:rPr>
      </w:pPr>
      <w:r>
        <w:rPr>
          <w:rFonts w:hint="eastAsia" w:ascii="宋体" w:hAnsi="宋体" w:cs="宋体"/>
          <w:sz w:val="24"/>
        </w:rPr>
        <w:t>投标人在准备投标书时，必须深度理解和认识本工程要求，应从项目建设背景、装置工艺需求、施工工艺、过程质量控制、售后服务保证等方面重点阐述对本工程的理解和认识。</w:t>
      </w:r>
    </w:p>
    <w:p>
      <w:pPr>
        <w:spacing w:line="360" w:lineRule="auto"/>
        <w:ind w:left="554" w:hanging="554" w:hangingChars="231"/>
        <w:rPr>
          <w:rFonts w:ascii="宋体" w:hAnsi="宋体" w:cs="宋体"/>
          <w:sz w:val="24"/>
        </w:rPr>
      </w:pPr>
      <w:r>
        <w:rPr>
          <w:rFonts w:hint="eastAsia" w:ascii="宋体" w:hAnsi="宋体" w:cs="宋体"/>
          <w:sz w:val="24"/>
        </w:rPr>
        <w:t>1.1  投标人在准备投标书时，务必在所提供的商品的技术规格文件中，标明型号、商标名称、目录号。</w:t>
      </w:r>
    </w:p>
    <w:p>
      <w:pPr>
        <w:spacing w:line="360" w:lineRule="auto"/>
        <w:ind w:left="554" w:hanging="554" w:hangingChars="231"/>
        <w:rPr>
          <w:rFonts w:ascii="宋体" w:hAnsi="宋体" w:cs="宋体"/>
          <w:sz w:val="24"/>
        </w:rPr>
      </w:pPr>
      <w:r>
        <w:rPr>
          <w:rFonts w:hint="eastAsia" w:ascii="宋体" w:hAnsi="宋体" w:cs="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ascii="宋体" w:hAnsi="宋体" w:cs="宋体"/>
          <w:sz w:val="24"/>
        </w:rPr>
      </w:pPr>
      <w:r>
        <w:rPr>
          <w:rFonts w:hint="eastAsia" w:ascii="宋体" w:hAnsi="宋体" w:cs="宋体"/>
          <w:sz w:val="24"/>
        </w:rPr>
        <w:t>1.3  投标人提供的产品样本，必须是“原件”而非复印件，图表、简图、电路图以及印刷电路板图等都应清晰易读。买方有权不付任何附加费用复制这些资料以供参考。</w:t>
      </w:r>
    </w:p>
    <w:p>
      <w:pPr>
        <w:spacing w:line="360" w:lineRule="auto"/>
        <w:ind w:left="554" w:hanging="554" w:hangingChars="231"/>
        <w:rPr>
          <w:rFonts w:ascii="宋体" w:hAnsi="宋体" w:cs="宋体"/>
          <w:sz w:val="24"/>
        </w:rPr>
      </w:pPr>
      <w:r>
        <w:rPr>
          <w:rFonts w:hint="eastAsia" w:ascii="宋体" w:hAnsi="宋体" w:cs="宋体"/>
          <w:sz w:val="24"/>
        </w:rPr>
        <w:t>1.4关键设备（包含但不限于：冷水机组、泵、阀、冷却塔、空调机级、板式换热器等）在采购前应征得甲方意见。</w:t>
      </w:r>
    </w:p>
    <w:p>
      <w:pPr>
        <w:spacing w:line="360" w:lineRule="auto"/>
        <w:ind w:left="554" w:hanging="554" w:hangingChars="231"/>
        <w:rPr>
          <w:rFonts w:ascii="宋体" w:hAnsi="宋体" w:cs="宋体"/>
          <w:sz w:val="24"/>
        </w:rPr>
      </w:pPr>
      <w:r>
        <w:rPr>
          <w:rFonts w:hint="eastAsia" w:ascii="宋体" w:hAnsi="宋体" w:cs="宋体"/>
          <w:sz w:val="24"/>
        </w:rPr>
        <w:t>1.5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pPr>
        <w:spacing w:line="360" w:lineRule="auto"/>
        <w:ind w:left="554" w:hanging="554" w:hangingChars="231"/>
        <w:rPr>
          <w:rFonts w:ascii="宋体" w:hAnsi="宋体" w:cs="宋体"/>
          <w:sz w:val="24"/>
        </w:rPr>
      </w:pPr>
      <w:r>
        <w:rPr>
          <w:rFonts w:hint="eastAsia" w:ascii="宋体" w:hAnsi="宋体" w:cs="宋体"/>
          <w:sz w:val="24"/>
        </w:rPr>
        <w:t>1.6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选件一旦为用户接受，其费用将加入合同价中。</w:t>
      </w:r>
    </w:p>
    <w:p>
      <w:pPr>
        <w:spacing w:line="360" w:lineRule="auto"/>
        <w:ind w:left="554" w:hanging="554" w:hangingChars="231"/>
        <w:rPr>
          <w:rFonts w:ascii="宋体" w:hAnsi="宋体" w:cs="宋体"/>
          <w:sz w:val="24"/>
        </w:rPr>
      </w:pPr>
      <w:r>
        <w:rPr>
          <w:rFonts w:hint="eastAsia" w:ascii="宋体" w:hAnsi="宋体" w:cs="宋体"/>
          <w:sz w:val="24"/>
        </w:rPr>
        <w:t>1.7 为便于用户进行接收仪器的准备工作，卖方应在合同生效后</w:t>
      </w:r>
      <w:r>
        <w:rPr>
          <w:rFonts w:hint="eastAsia" w:ascii="宋体" w:hAnsi="宋体" w:cs="宋体"/>
          <w:b/>
          <w:sz w:val="24"/>
        </w:rPr>
        <w:t>60</w:t>
      </w:r>
      <w:r>
        <w:rPr>
          <w:rFonts w:hint="eastAsia" w:ascii="宋体" w:hAnsi="宋体" w:cs="宋体"/>
          <w:sz w:val="24"/>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ascii="宋体" w:hAnsi="宋体" w:cs="宋体"/>
          <w:sz w:val="24"/>
        </w:rPr>
      </w:pPr>
      <w:r>
        <w:rPr>
          <w:rFonts w:hint="eastAsia" w:ascii="宋体" w:hAnsi="宋体" w:cs="宋体"/>
          <w:sz w:val="24"/>
        </w:rPr>
        <w:t>1.8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cs="宋体"/>
          <w:sz w:val="24"/>
        </w:rPr>
      </w:pPr>
      <w:r>
        <w:rPr>
          <w:rFonts w:hint="eastAsia" w:ascii="宋体" w:hAnsi="宋体" w:cs="宋体"/>
          <w:sz w:val="24"/>
        </w:rPr>
        <w:t>1.9  制造厂家提供的培训指的是涉及货物的基本原理、操作使用和保养维修等有关内容的培训。培训教员的培训费、旅费、食宿费等费用和培训场地费及培训资料费均应由卖方支付。</w:t>
      </w:r>
    </w:p>
    <w:p>
      <w:pPr>
        <w:spacing w:line="360" w:lineRule="auto"/>
        <w:ind w:left="554" w:hanging="554" w:hangingChars="231"/>
        <w:rPr>
          <w:rFonts w:ascii="宋体" w:hAnsi="宋体" w:cs="宋体"/>
          <w:sz w:val="24"/>
        </w:rPr>
      </w:pPr>
      <w:r>
        <w:rPr>
          <w:rFonts w:hint="eastAsia" w:ascii="宋体" w:hAnsi="宋体" w:cs="宋体"/>
          <w:sz w:val="24"/>
        </w:rPr>
        <w:t>1.10  在评标过程中，买方有权向投标人索取任何与评标有关的资料，投标人务必在接到此类要求后，在规定时间内予以答复。对于无答复的投标人，买方有权拒绝其投标。</w:t>
      </w:r>
    </w:p>
    <w:p>
      <w:pPr>
        <w:spacing w:before="156" w:beforeLines="50" w:after="156" w:afterLines="50" w:line="360" w:lineRule="auto"/>
        <w:ind w:left="601" w:hanging="601"/>
        <w:rPr>
          <w:rFonts w:ascii="宋体" w:hAnsi="宋体" w:cs="宋体"/>
          <w:b/>
          <w:sz w:val="28"/>
        </w:rPr>
      </w:pPr>
      <w:r>
        <w:rPr>
          <w:rFonts w:hint="eastAsia" w:ascii="宋体" w:hAnsi="宋体" w:cs="宋体"/>
          <w:b/>
          <w:sz w:val="28"/>
        </w:rPr>
        <w:t>2、工作条件</w:t>
      </w:r>
    </w:p>
    <w:p>
      <w:pPr>
        <w:spacing w:after="312" w:afterLines="100" w:line="360" w:lineRule="auto"/>
        <w:rPr>
          <w:rFonts w:ascii="宋体" w:hAnsi="宋体" w:cs="宋体"/>
          <w:sz w:val="24"/>
        </w:rPr>
      </w:pPr>
      <w:r>
        <w:rPr>
          <w:rFonts w:hint="eastAsia" w:ascii="宋体" w:hAnsi="宋体" w:cs="宋体"/>
          <w:sz w:val="24"/>
        </w:rPr>
        <w:t xml:space="preserve">除非在技术规格中另有说明，所有仪器、设备和系统都应符合下列要求： </w:t>
      </w:r>
    </w:p>
    <w:p>
      <w:pPr>
        <w:spacing w:line="360" w:lineRule="auto"/>
        <w:ind w:left="554" w:hanging="554" w:hangingChars="231"/>
        <w:rPr>
          <w:rFonts w:ascii="宋体" w:hAnsi="宋体" w:cs="宋体"/>
          <w:sz w:val="24"/>
        </w:rPr>
      </w:pPr>
      <w:r>
        <w:rPr>
          <w:rFonts w:hint="eastAsia" w:ascii="宋体" w:hAnsi="宋体" w:cs="宋体"/>
          <w:sz w:val="24"/>
        </w:rPr>
        <w:t>2.1  适于在气温为摄氏</w:t>
      </w:r>
      <w:r>
        <w:rPr>
          <w:rFonts w:hint="eastAsia" w:ascii="宋体" w:hAnsi="宋体" w:cs="宋体"/>
          <w:b/>
          <w:sz w:val="24"/>
        </w:rPr>
        <w:t>-40℃～＋50℃</w:t>
      </w:r>
      <w:r>
        <w:rPr>
          <w:rFonts w:hint="eastAsia" w:ascii="宋体" w:hAnsi="宋体" w:cs="宋体"/>
          <w:sz w:val="24"/>
        </w:rPr>
        <w:t>和相对湿度为</w:t>
      </w:r>
      <w:r>
        <w:rPr>
          <w:rFonts w:hint="eastAsia" w:ascii="宋体" w:hAnsi="宋体" w:cs="宋体"/>
          <w:b/>
          <w:sz w:val="24"/>
        </w:rPr>
        <w:t>90％</w:t>
      </w:r>
      <w:r>
        <w:rPr>
          <w:rFonts w:hint="eastAsia" w:ascii="宋体" w:hAnsi="宋体" w:cs="宋体"/>
          <w:sz w:val="24"/>
        </w:rPr>
        <w:t>的环境条件下运输和贮存。</w:t>
      </w:r>
    </w:p>
    <w:p>
      <w:pPr>
        <w:spacing w:line="360" w:lineRule="auto"/>
        <w:ind w:left="554" w:hanging="554" w:hangingChars="231"/>
        <w:rPr>
          <w:rFonts w:ascii="宋体" w:hAnsi="宋体" w:cs="宋体"/>
          <w:sz w:val="24"/>
        </w:rPr>
      </w:pPr>
      <w:r>
        <w:rPr>
          <w:rFonts w:hint="eastAsia" w:ascii="宋体" w:hAnsi="宋体" w:cs="宋体"/>
          <w:sz w:val="24"/>
        </w:rPr>
        <w:t>2.2  适于在电源</w:t>
      </w:r>
      <w:r>
        <w:rPr>
          <w:rFonts w:hint="eastAsia" w:ascii="宋体" w:hAnsi="宋体" w:cs="宋体"/>
          <w:b/>
          <w:sz w:val="24"/>
        </w:rPr>
        <w:t>220V/380V/10kV（</w:t>
      </w:r>
      <w:r>
        <w:rPr>
          <w:rFonts w:hint="eastAsia" w:ascii="宋体" w:hAnsi="宋体" w:cs="宋体"/>
          <w:b/>
          <w:sz w:val="24"/>
        </w:rPr>
        <w:sym w:font="Symbol" w:char="F0B1"/>
      </w:r>
      <w:r>
        <w:rPr>
          <w:rFonts w:hint="eastAsia" w:ascii="宋体" w:hAnsi="宋体" w:cs="宋体"/>
          <w:b/>
          <w:sz w:val="24"/>
        </w:rPr>
        <w:t>10％）/50Hz</w:t>
      </w:r>
      <w:r>
        <w:rPr>
          <w:rFonts w:hint="eastAsia" w:ascii="宋体" w:hAnsi="宋体" w:cs="宋体"/>
          <w:sz w:val="24"/>
        </w:rPr>
        <w:t>、气温摄氏</w:t>
      </w:r>
      <w:r>
        <w:rPr>
          <w:rFonts w:hint="eastAsia" w:ascii="宋体" w:hAnsi="宋体" w:cs="宋体"/>
          <w:b/>
          <w:sz w:val="24"/>
        </w:rPr>
        <w:t>+15℃～＋30℃</w:t>
      </w:r>
      <w:r>
        <w:rPr>
          <w:rFonts w:hint="eastAsia" w:ascii="宋体" w:hAnsi="宋体" w:cs="宋体"/>
          <w:sz w:val="24"/>
        </w:rPr>
        <w:t>和相对湿度小于</w:t>
      </w:r>
      <w:r>
        <w:rPr>
          <w:rFonts w:hint="eastAsia" w:ascii="宋体" w:hAnsi="宋体" w:cs="宋体"/>
          <w:b/>
          <w:sz w:val="24"/>
        </w:rPr>
        <w:t>80％</w:t>
      </w:r>
      <w:r>
        <w:rPr>
          <w:rFonts w:hint="eastAsia" w:ascii="宋体" w:hAnsi="宋体" w:cs="宋体"/>
          <w:sz w:val="24"/>
        </w:rPr>
        <w:t>的环境条件下运行。</w:t>
      </w:r>
      <w:r>
        <w:rPr>
          <w:rFonts w:hint="eastAsia" w:ascii="宋体" w:hAnsi="宋体" w:cs="宋体"/>
          <w:b/>
          <w:sz w:val="24"/>
        </w:rPr>
        <w:t>能够连续正常工作。</w:t>
      </w:r>
    </w:p>
    <w:p>
      <w:pPr>
        <w:spacing w:line="360" w:lineRule="auto"/>
        <w:ind w:left="554" w:hanging="554" w:hangingChars="231"/>
        <w:rPr>
          <w:rFonts w:ascii="宋体" w:hAnsi="宋体" w:cs="宋体"/>
          <w:sz w:val="24"/>
        </w:rPr>
      </w:pPr>
      <w:r>
        <w:rPr>
          <w:rFonts w:hint="eastAsia" w:ascii="宋体" w:hAnsi="宋体" w:cs="宋体"/>
          <w:sz w:val="24"/>
        </w:rPr>
        <w:t>2.3  配置符合中国有关标准要求的插头，如果没有这样的插头，则需提供适当的转换插座。</w:t>
      </w:r>
    </w:p>
    <w:p>
      <w:pPr>
        <w:spacing w:line="360" w:lineRule="auto"/>
        <w:ind w:left="554" w:hanging="554" w:hangingChars="231"/>
        <w:rPr>
          <w:rFonts w:ascii="宋体" w:hAnsi="宋体" w:cs="宋体"/>
          <w:sz w:val="24"/>
        </w:rPr>
      </w:pPr>
      <w:r>
        <w:rPr>
          <w:rFonts w:hint="eastAsia" w:ascii="宋体" w:hAnsi="宋体" w:cs="宋体"/>
          <w:sz w:val="24"/>
        </w:rPr>
        <w:t>2.4  如产品达不到上述要求，投标人应注明其偏差。如仪器设备需要特殊工作条件（如水、电源、磁场强度、温度、湿度、动强度等）投标人应在投标书中加以说明。</w:t>
      </w:r>
    </w:p>
    <w:p>
      <w:pPr>
        <w:rPr>
          <w:rFonts w:ascii="宋体" w:hAnsi="宋体" w:cs="宋体"/>
          <w:b/>
          <w:bCs/>
          <w:kern w:val="44"/>
          <w:sz w:val="24"/>
        </w:rPr>
      </w:pPr>
    </w:p>
    <w:p>
      <w:pPr>
        <w:spacing w:before="156" w:beforeLines="50" w:after="156" w:afterLines="50" w:line="360" w:lineRule="auto"/>
        <w:ind w:left="601" w:hanging="601"/>
        <w:rPr>
          <w:rFonts w:ascii="宋体" w:hAnsi="宋体" w:cs="宋体"/>
          <w:b/>
          <w:sz w:val="28"/>
        </w:rPr>
      </w:pPr>
      <w:r>
        <w:rPr>
          <w:rFonts w:hint="eastAsia" w:ascii="宋体" w:hAnsi="宋体" w:cs="宋体"/>
          <w:b/>
          <w:sz w:val="28"/>
        </w:rPr>
        <w:t>3、验收标准</w:t>
      </w:r>
    </w:p>
    <w:p>
      <w:pPr>
        <w:spacing w:after="312" w:afterLines="100" w:line="360" w:lineRule="auto"/>
        <w:rPr>
          <w:rFonts w:ascii="宋体" w:hAnsi="宋体" w:cs="宋体"/>
          <w:sz w:val="24"/>
        </w:rPr>
      </w:pPr>
      <w:r>
        <w:rPr>
          <w:rFonts w:hint="eastAsia" w:ascii="宋体" w:hAnsi="宋体" w:cs="宋体"/>
          <w:sz w:val="24"/>
        </w:rPr>
        <w:t xml:space="preserve">除非在技术规格中另有说明，所有仪器、设备和系统按下列要求进行验收： </w:t>
      </w:r>
    </w:p>
    <w:p>
      <w:pPr>
        <w:spacing w:line="360" w:lineRule="auto"/>
        <w:ind w:left="554" w:hanging="554" w:hangingChars="231"/>
        <w:rPr>
          <w:rFonts w:ascii="宋体" w:hAnsi="宋体" w:cs="宋体"/>
          <w:sz w:val="24"/>
        </w:rPr>
      </w:pPr>
      <w:r>
        <w:rPr>
          <w:rFonts w:hint="eastAsia" w:ascii="宋体" w:hAnsi="宋体" w:cs="宋体"/>
          <w:sz w:val="24"/>
        </w:rPr>
        <w:t>3.1  仪器设备运抵安装现场后，买方将与卖方共同开箱验收, 如卖方届时不派人来, 则验收结果应以买方的验收报告为最终验收结果。验收时发现短缺、破损, 买方有权要求卖方负责更换。</w:t>
      </w:r>
    </w:p>
    <w:p>
      <w:pPr>
        <w:spacing w:line="360" w:lineRule="auto"/>
        <w:ind w:left="554" w:hanging="554" w:hangingChars="231"/>
        <w:rPr>
          <w:rFonts w:ascii="宋体" w:hAnsi="宋体" w:cs="宋体"/>
          <w:sz w:val="24"/>
        </w:rPr>
      </w:pPr>
      <w:r>
        <w:rPr>
          <w:rFonts w:hint="eastAsia" w:ascii="宋体" w:hAnsi="宋体" w:cs="宋体"/>
          <w:sz w:val="24"/>
        </w:rPr>
        <w:t>3.2  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ascii="宋体" w:hAnsi="宋体" w:cs="宋体"/>
          <w:sz w:val="24"/>
        </w:rPr>
      </w:pPr>
      <w:r>
        <w:rPr>
          <w:rFonts w:hint="eastAsia" w:ascii="宋体" w:hAnsi="宋体" w:cs="宋体"/>
          <w:sz w:val="24"/>
        </w:rPr>
        <w:t>3.3  验收由采购人、中标人及相关人员依国家有关标准、合同及有关附件要求进行，验收完毕由采购人及中标人在验收报告上签名。</w:t>
      </w:r>
    </w:p>
    <w:p>
      <w:pPr>
        <w:pStyle w:val="2"/>
        <w:spacing w:line="360" w:lineRule="auto"/>
        <w:ind w:left="410" w:hanging="410" w:hangingChars="170"/>
        <w:rPr>
          <w:rFonts w:hAnsi="宋体" w:cs="宋体"/>
          <w:b/>
          <w:sz w:val="24"/>
          <w:szCs w:val="24"/>
        </w:rPr>
      </w:pPr>
    </w:p>
    <w:p>
      <w:pPr>
        <w:pStyle w:val="2"/>
        <w:spacing w:line="360" w:lineRule="auto"/>
        <w:ind w:left="410" w:hanging="410" w:hangingChars="170"/>
        <w:rPr>
          <w:rFonts w:hAnsi="宋体" w:cs="宋体"/>
          <w:b/>
          <w:sz w:val="24"/>
          <w:szCs w:val="24"/>
        </w:rPr>
      </w:pPr>
      <w:r>
        <w:rPr>
          <w:rFonts w:hint="eastAsia" w:hAnsi="宋体" w:cs="宋体"/>
          <w:b/>
          <w:sz w:val="24"/>
          <w:szCs w:val="24"/>
        </w:rPr>
        <w:t>4、本技术规格书中标注“*”号的为关键技术参数，对这些关键技术参数的任何负偏离将导致废标。</w:t>
      </w:r>
    </w:p>
    <w:p>
      <w:pPr>
        <w:pStyle w:val="2"/>
        <w:spacing w:line="360" w:lineRule="auto"/>
        <w:rPr>
          <w:rFonts w:hAnsi="宋体" w:cs="宋体"/>
          <w:b/>
          <w:sz w:val="24"/>
          <w:szCs w:val="24"/>
        </w:rPr>
      </w:pPr>
    </w:p>
    <w:p>
      <w:pPr>
        <w:pStyle w:val="2"/>
        <w:spacing w:line="360" w:lineRule="auto"/>
        <w:rPr>
          <w:rFonts w:hAnsi="宋体" w:cs="宋体"/>
          <w:b/>
          <w:sz w:val="24"/>
          <w:szCs w:val="24"/>
        </w:rPr>
      </w:pPr>
      <w:r>
        <w:rPr>
          <w:rFonts w:hint="eastAsia" w:hAnsi="宋体" w:cs="宋体"/>
          <w:b/>
          <w:sz w:val="24"/>
          <w:szCs w:val="24"/>
        </w:rPr>
        <w:t>5、若无特殊说明，当本技术规格书与招标图及国家现行相关规范有冲突时，须以要求高者为准。</w:t>
      </w:r>
    </w:p>
    <w:p>
      <w:pPr>
        <w:spacing w:after="156" w:afterLines="50"/>
        <w:ind w:left="601" w:hanging="601"/>
        <w:rPr>
          <w:rFonts w:ascii="宋体" w:hAnsi="宋体" w:cs="宋体"/>
          <w:b/>
          <w:sz w:val="28"/>
        </w:rPr>
      </w:pPr>
      <w:r>
        <w:rPr>
          <w:rFonts w:hint="eastAsia" w:ascii="宋体" w:hAnsi="宋体" w:cs="宋体"/>
          <w:b/>
          <w:sz w:val="28"/>
        </w:rPr>
        <w:br w:type="page"/>
      </w:r>
      <w:r>
        <w:rPr>
          <w:rFonts w:hint="eastAsia" w:ascii="宋体" w:hAnsi="宋体" w:cs="宋体"/>
          <w:b/>
          <w:sz w:val="28"/>
        </w:rPr>
        <w:t>二、具体技术规格</w:t>
      </w:r>
    </w:p>
    <w:p>
      <w:pPr>
        <w:pStyle w:val="8"/>
        <w:numPr>
          <w:ilvl w:val="0"/>
          <w:numId w:val="2"/>
        </w:numPr>
        <w:spacing w:before="156" w:beforeLines="50" w:after="156" w:afterLines="50" w:line="360" w:lineRule="auto"/>
        <w:ind w:firstLineChars="0"/>
        <w:outlineLvl w:val="0"/>
        <w:rPr>
          <w:rFonts w:ascii="Times New Roman" w:hAnsi="Times New Roman"/>
          <w:bCs/>
          <w:sz w:val="24"/>
        </w:rPr>
      </w:pPr>
      <w:r>
        <w:rPr>
          <w:rFonts w:ascii="Times New Roman" w:hAnsi="Times New Roman"/>
          <w:bCs/>
          <w:sz w:val="24"/>
        </w:rPr>
        <w:t>采购项目简介（</w:t>
      </w:r>
      <w:r>
        <w:rPr>
          <w:rFonts w:hint="eastAsia" w:ascii="Times New Roman" w:hAnsi="Times New Roman"/>
          <w:bCs/>
          <w:sz w:val="24"/>
        </w:rPr>
        <w:t>内容、</w:t>
      </w:r>
      <w:r>
        <w:rPr>
          <w:rFonts w:ascii="Times New Roman" w:hAnsi="Times New Roman"/>
          <w:bCs/>
          <w:sz w:val="24"/>
        </w:rPr>
        <w:t>用途、数量等）</w:t>
      </w:r>
    </w:p>
    <w:p>
      <w:pPr>
        <w:spacing w:line="360" w:lineRule="auto"/>
        <w:ind w:firstLine="482" w:firstLineChars="200"/>
        <w:outlineLvl w:val="1"/>
        <w:rPr>
          <w:b/>
          <w:sz w:val="24"/>
        </w:rPr>
      </w:pPr>
      <w:r>
        <w:rPr>
          <w:rFonts w:hint="eastAsia"/>
          <w:b/>
          <w:sz w:val="24"/>
        </w:rPr>
        <w:t>1、项目概况</w:t>
      </w:r>
    </w:p>
    <w:p>
      <w:pPr>
        <w:spacing w:line="360" w:lineRule="auto"/>
        <w:ind w:firstLine="480" w:firstLineChars="200"/>
        <w:rPr>
          <w:bCs/>
          <w:sz w:val="24"/>
        </w:rPr>
      </w:pPr>
      <w:r>
        <w:rPr>
          <w:rFonts w:hint="eastAsia"/>
          <w:bCs/>
          <w:sz w:val="24"/>
        </w:rPr>
        <w:t>本次采购项目为加速器驱动嬗变研究装置（简称CiADS）冷冻站设备采购及安装。安装地点位于广东省惠州市惠东县CiADS项目装置区冷却设备大厅，子项号为D01。</w:t>
      </w:r>
    </w:p>
    <w:p>
      <w:pPr>
        <w:spacing w:line="360" w:lineRule="auto"/>
        <w:rPr>
          <w:bCs/>
          <w:sz w:val="24"/>
        </w:rPr>
      </w:pPr>
      <w:r>
        <w:rPr>
          <w:rFonts w:hint="eastAsia"/>
          <w:bCs/>
          <w:sz w:val="24"/>
        </w:rPr>
        <w:t>项目主要包括</w:t>
      </w:r>
      <w:bookmarkStart w:id="0" w:name="_Hlk106200851"/>
      <w:r>
        <w:rPr>
          <w:rFonts w:hint="eastAsia"/>
          <w:bCs/>
          <w:sz w:val="24"/>
        </w:rPr>
        <w:t>加速器工艺二次循环水系统</w:t>
      </w:r>
      <w:bookmarkEnd w:id="0"/>
      <w:r>
        <w:rPr>
          <w:rFonts w:hint="eastAsia"/>
          <w:bCs/>
          <w:sz w:val="24"/>
        </w:rPr>
        <w:t>、工艺空调水系统、电气系统、管道检修支撑钢平台及配套系统等。所有系统集中布置于CiADS冷却设备大厅（CiADS项目加速器冷源中心）内。</w:t>
      </w:r>
    </w:p>
    <w:p>
      <w:pPr>
        <w:spacing w:line="360" w:lineRule="auto"/>
        <w:ind w:firstLine="480" w:firstLineChars="200"/>
        <w:outlineLvl w:val="2"/>
        <w:rPr>
          <w:bCs/>
          <w:sz w:val="24"/>
        </w:rPr>
      </w:pPr>
      <w:r>
        <w:rPr>
          <w:bCs/>
          <w:sz w:val="24"/>
        </w:rPr>
        <w:t>1.</w:t>
      </w:r>
      <w:r>
        <w:rPr>
          <w:rFonts w:hint="eastAsia"/>
          <w:bCs/>
          <w:sz w:val="24"/>
        </w:rPr>
        <w:t>1</w:t>
      </w:r>
      <w:r>
        <w:rPr>
          <w:bCs/>
          <w:sz w:val="24"/>
        </w:rPr>
        <w:t xml:space="preserve"> </w:t>
      </w:r>
      <w:bookmarkStart w:id="1" w:name="_Hlk106265813"/>
      <w:r>
        <w:rPr>
          <w:rFonts w:hint="eastAsia"/>
          <w:bCs/>
          <w:sz w:val="24"/>
        </w:rPr>
        <w:t>加速器工艺二次循环水系统</w:t>
      </w:r>
      <w:bookmarkEnd w:id="1"/>
    </w:p>
    <w:p>
      <w:pPr>
        <w:spacing w:line="360" w:lineRule="auto"/>
        <w:ind w:firstLine="480" w:firstLineChars="200"/>
        <w:rPr>
          <w:bCs/>
          <w:sz w:val="24"/>
        </w:rPr>
      </w:pPr>
      <w:r>
        <w:rPr>
          <w:rFonts w:hint="eastAsia"/>
          <w:bCs/>
          <w:sz w:val="24"/>
        </w:rPr>
        <w:t>加速器工艺二次循环水系统（以下简称二次水系统）的功能是为一次循环水系统提供冷源。其中工艺冷冻水系统采用闭式循环方式，具体工艺流程为：从各一次水换热器返回的</w:t>
      </w:r>
      <w:r>
        <w:rPr>
          <w:bCs/>
          <w:sz w:val="24"/>
        </w:rPr>
        <w:t>19</w:t>
      </w:r>
      <w:r>
        <w:rPr>
          <w:rFonts w:hint="eastAsia"/>
          <w:bCs/>
          <w:sz w:val="24"/>
        </w:rPr>
        <w:t>℃冷水混合后，经由冷冻水泵加压至冷水机组，在冷水机组蒸发器内与制冷剂进行热交换，降温至</w:t>
      </w:r>
      <w:r>
        <w:rPr>
          <w:bCs/>
          <w:sz w:val="24"/>
        </w:rPr>
        <w:t>13</w:t>
      </w:r>
      <w:r>
        <w:rPr>
          <w:rFonts w:hint="eastAsia"/>
          <w:bCs/>
          <w:sz w:val="24"/>
        </w:rPr>
        <w:t>℃后进入管网，通过室外管网供给到各系统的换热器或直接和冷却对象进行热交换，升温后再次返回至冷冻站完成制冷循环。冷水机组的冷却水系统工艺流程为：经过冷却塔冷却降温后的冷却水经冷却水泵加压后，进入冷水机组冷凝器中，对冷凝器中的冷媒进行冷却后返回冷却塔散发热量，以此循环。由于一次水所需供水温度绝大部分在25℃左右，为了提高二次水系统主机运行效率，相应提高二次水供水温度；同时考虑到供冷半径较长，为减少冷冻水泵功耗及缩小供回水管径，二次水系统的供回水温度采用</w:t>
      </w:r>
      <w:r>
        <w:rPr>
          <w:bCs/>
          <w:sz w:val="24"/>
        </w:rPr>
        <w:t>13</w:t>
      </w:r>
      <w:r>
        <w:rPr>
          <w:rFonts w:hint="eastAsia"/>
          <w:bCs/>
          <w:sz w:val="24"/>
        </w:rPr>
        <w:t>℃/</w:t>
      </w:r>
      <w:r>
        <w:rPr>
          <w:bCs/>
          <w:sz w:val="24"/>
        </w:rPr>
        <w:t>19</w:t>
      </w:r>
      <w:r>
        <w:rPr>
          <w:rFonts w:hint="eastAsia"/>
          <w:bCs/>
          <w:sz w:val="24"/>
        </w:rPr>
        <w:t xml:space="preserve">℃的大温差设计；冷水机组冷却水进出水温度为 </w:t>
      </w:r>
      <w:bookmarkStart w:id="2" w:name="_Hlk106118430"/>
      <w:r>
        <w:rPr>
          <w:rFonts w:hint="eastAsia"/>
          <w:bCs/>
          <w:sz w:val="24"/>
        </w:rPr>
        <w:t>32℃/37℃</w:t>
      </w:r>
      <w:bookmarkEnd w:id="2"/>
      <w:r>
        <w:rPr>
          <w:rFonts w:hint="eastAsia"/>
          <w:bCs/>
          <w:sz w:val="24"/>
        </w:rPr>
        <w:t>。冷冻水泵及冷却水泵均采用变频启动；为了利于管网运行稳定，冷冻水采用膨胀水罐定压补水。为保证冷却水系统水质，冷却水系统设计有旁滤装置以及加药装置。</w:t>
      </w:r>
    </w:p>
    <w:p>
      <w:pPr>
        <w:spacing w:line="360" w:lineRule="auto"/>
        <w:ind w:firstLine="480"/>
        <w:rPr>
          <w:bCs/>
          <w:sz w:val="24"/>
        </w:rPr>
      </w:pPr>
      <w:r>
        <w:rPr>
          <w:rFonts w:hint="eastAsia"/>
          <w:bCs/>
          <w:sz w:val="24"/>
        </w:rPr>
        <w:t>定压装置的功能：调节工艺二次循环水系统由于温度变化会引起的体积膨胀及收缩。使系统设定点压力恒定；通过压力传感器实时检测系统压力，并控制调节二通阀减压或开启定压泵补压，从而稳定系统压力，确保二次循环水系统稳定工作。</w:t>
      </w:r>
    </w:p>
    <w:p>
      <w:pPr>
        <w:spacing w:line="360" w:lineRule="auto"/>
        <w:ind w:firstLine="480"/>
        <w:rPr>
          <w:bCs/>
          <w:sz w:val="24"/>
        </w:rPr>
      </w:pPr>
      <w:r>
        <w:rPr>
          <w:rFonts w:hint="eastAsia"/>
          <w:bCs/>
          <w:sz w:val="24"/>
        </w:rPr>
        <w:t>冷水机组应能根据回水温度自动调节设备功率。</w:t>
      </w:r>
    </w:p>
    <w:p>
      <w:pPr>
        <w:spacing w:line="360" w:lineRule="auto"/>
        <w:ind w:firstLine="480"/>
        <w:rPr>
          <w:bCs/>
          <w:sz w:val="24"/>
        </w:rPr>
      </w:pPr>
      <w:r>
        <w:rPr>
          <w:rFonts w:hint="eastAsia"/>
          <w:bCs/>
          <w:sz w:val="24"/>
        </w:rPr>
        <w:t>工艺二次循环水系统的主要设备有：水冷冷水机组、水泵、冷却塔、过滤器、定压补水装置等设备以及配套管道、管附件、阀门、仪表等。</w:t>
      </w:r>
    </w:p>
    <w:p>
      <w:pPr>
        <w:spacing w:line="360" w:lineRule="auto"/>
        <w:ind w:firstLine="480" w:firstLineChars="200"/>
        <w:outlineLvl w:val="2"/>
        <w:rPr>
          <w:bCs/>
          <w:sz w:val="24"/>
        </w:rPr>
      </w:pPr>
      <w:r>
        <w:rPr>
          <w:bCs/>
          <w:sz w:val="24"/>
        </w:rPr>
        <w:t xml:space="preserve">1.2 </w:t>
      </w:r>
      <w:r>
        <w:rPr>
          <w:rFonts w:hint="eastAsia"/>
          <w:bCs/>
          <w:sz w:val="24"/>
        </w:rPr>
        <w:t>工艺空调水系统</w:t>
      </w:r>
    </w:p>
    <w:p>
      <w:pPr>
        <w:spacing w:line="360" w:lineRule="auto"/>
        <w:ind w:firstLine="480"/>
        <w:rPr>
          <w:bCs/>
          <w:sz w:val="24"/>
        </w:rPr>
      </w:pPr>
      <w:r>
        <w:rPr>
          <w:rFonts w:hint="eastAsia"/>
          <w:bCs/>
          <w:sz w:val="24"/>
        </w:rPr>
        <w:t>工艺空调水系统的功能是为各试验大厅及隧道内通风系统提供冷源。空调冷冻水系统采用闭式循环方式，具体工艺流程为：从各子项组合式空调器风机盘管返回的</w:t>
      </w:r>
      <w:r>
        <w:rPr>
          <w:bCs/>
          <w:sz w:val="24"/>
        </w:rPr>
        <w:t>11</w:t>
      </w:r>
      <w:r>
        <w:rPr>
          <w:rFonts w:hint="eastAsia"/>
          <w:bCs/>
          <w:sz w:val="24"/>
        </w:rPr>
        <w:t>℃冷水在管道混合后，经由冷冻水泵加压至冷水机组，在冷水机组蒸发器内与制冷剂进行热交换，降温至</w:t>
      </w:r>
      <w:r>
        <w:rPr>
          <w:bCs/>
          <w:sz w:val="24"/>
        </w:rPr>
        <w:t>6</w:t>
      </w:r>
      <w:r>
        <w:rPr>
          <w:rFonts w:hint="eastAsia"/>
          <w:bCs/>
          <w:sz w:val="24"/>
        </w:rPr>
        <w:t>℃后进入供水管网，通过室外供水管网供给到各子项的组合式空调器风机盘管进行热交换，升温后再次返回至冷冻站完成制冷循环。冷水机组的冷却由空调冷却水系统完成，其工艺流程为：经过冷却塔冷却降温后的冷却水经冷却水泵加压后，进入冷水机组冷凝器中，对冷凝器中的冷媒进行冷却后返回冷却塔散发热量，以此循环。为了利于管网运行稳定，冷冻水供回水总管间设置压差旁通装置，其电动二通阀按比例式调节运行，同时采用膨胀水罐定压补水。为保证冷却水系统水质，冷却水系统设计有全程水处理器。</w:t>
      </w:r>
    </w:p>
    <w:p>
      <w:pPr>
        <w:spacing w:line="360" w:lineRule="auto"/>
        <w:ind w:firstLine="480"/>
        <w:rPr>
          <w:bCs/>
          <w:sz w:val="24"/>
        </w:rPr>
      </w:pPr>
      <w:r>
        <w:rPr>
          <w:rFonts w:hint="eastAsia"/>
          <w:bCs/>
          <w:sz w:val="24"/>
        </w:rPr>
        <w:t>定压装置的功能：调节工艺空调水系统由于温度变化会引起的体积膨胀及收缩。使系统设定点压力恒定；通过压力传感器实时检测系统压力，并控制开启溢流电磁阀减压或开启定压泵补压，从而稳定系统压力，确保工艺空调水系统稳定工作。</w:t>
      </w:r>
    </w:p>
    <w:p>
      <w:pPr>
        <w:spacing w:line="360" w:lineRule="auto"/>
        <w:ind w:firstLine="480"/>
        <w:rPr>
          <w:bCs/>
          <w:sz w:val="24"/>
        </w:rPr>
      </w:pPr>
      <w:r>
        <w:rPr>
          <w:rFonts w:hint="eastAsia"/>
          <w:bCs/>
          <w:sz w:val="24"/>
        </w:rPr>
        <w:t>冷水机组应能根据回水温度自动调节设备功率。</w:t>
      </w:r>
    </w:p>
    <w:p>
      <w:pPr>
        <w:spacing w:line="360" w:lineRule="auto"/>
        <w:ind w:firstLine="480"/>
        <w:rPr>
          <w:bCs/>
          <w:sz w:val="24"/>
        </w:rPr>
      </w:pPr>
      <w:r>
        <w:rPr>
          <w:rFonts w:hint="eastAsia"/>
          <w:bCs/>
          <w:sz w:val="24"/>
        </w:rPr>
        <w:t>工艺空调水系统主要包括水冷冷水机组、循环水泵、全自动软水装置、冷却塔、旁滤加药设备、定压装置等设备以及配套管道、管附件、阀门、仪表等。</w:t>
      </w:r>
    </w:p>
    <w:p>
      <w:pPr>
        <w:spacing w:line="360" w:lineRule="auto"/>
        <w:ind w:firstLine="480" w:firstLineChars="200"/>
        <w:outlineLvl w:val="2"/>
        <w:rPr>
          <w:bCs/>
          <w:sz w:val="24"/>
        </w:rPr>
      </w:pPr>
      <w:r>
        <w:rPr>
          <w:bCs/>
          <w:sz w:val="24"/>
        </w:rPr>
        <w:t xml:space="preserve">1.3 </w:t>
      </w:r>
      <w:r>
        <w:rPr>
          <w:rFonts w:hint="eastAsia"/>
          <w:bCs/>
          <w:sz w:val="24"/>
        </w:rPr>
        <w:t>电气控制系统</w:t>
      </w:r>
    </w:p>
    <w:p>
      <w:pPr>
        <w:spacing w:line="360" w:lineRule="auto"/>
        <w:ind w:firstLine="480"/>
        <w:rPr>
          <w:bCs/>
          <w:sz w:val="24"/>
        </w:rPr>
      </w:pPr>
      <w:r>
        <w:rPr>
          <w:rFonts w:hint="eastAsia"/>
          <w:bCs/>
          <w:sz w:val="24"/>
        </w:rPr>
        <w:t>电气控制系统的主要功能是实现加速器工艺二次循环水系统或工艺空调水系统的群控功能。即采用一套完整的PLC、DCS或DDC控制系统，在冷却设备大厅（D01）子项控制室内能够实现整个设备冷却大厅的监视和自动控制。</w:t>
      </w:r>
    </w:p>
    <w:p>
      <w:pPr>
        <w:spacing w:line="360" w:lineRule="auto"/>
        <w:ind w:firstLine="480"/>
        <w:rPr>
          <w:bCs/>
          <w:sz w:val="24"/>
        </w:rPr>
      </w:pPr>
      <w:r>
        <w:rPr>
          <w:rFonts w:hint="eastAsia"/>
          <w:bCs/>
          <w:sz w:val="24"/>
        </w:rPr>
        <w:t>采用就地控制方式，控制设备布置在冷却设备大厅控制室内。控制系统应对整个设备冷却大厅的系统工艺过程进行集中监视和自动控制。在调试、启动、运行检修期间，运行人员在冷却设备大厅（D01）子项控制室能够实现对该子项内系统的运行进行监视、操作和事故处理。</w:t>
      </w:r>
    </w:p>
    <w:p>
      <w:pPr>
        <w:spacing w:line="360" w:lineRule="auto"/>
        <w:ind w:firstLine="480"/>
        <w:rPr>
          <w:bCs/>
          <w:sz w:val="24"/>
        </w:rPr>
      </w:pPr>
      <w:r>
        <w:rPr>
          <w:rFonts w:hint="eastAsia"/>
          <w:bCs/>
          <w:sz w:val="24"/>
        </w:rPr>
        <w:t>纳入该控制系统的主要监控内容包括：冷冻水系统、冷却水系统、阀门系统、冷却塔系统、定压系统、水处理系统及集水池液位监测报警等。</w:t>
      </w:r>
    </w:p>
    <w:p>
      <w:pPr>
        <w:spacing w:line="360" w:lineRule="auto"/>
        <w:rPr>
          <w:bCs/>
          <w:sz w:val="24"/>
        </w:rPr>
      </w:pPr>
      <w:r>
        <w:rPr>
          <w:rFonts w:hint="eastAsia"/>
          <w:bCs/>
          <w:sz w:val="24"/>
        </w:rPr>
        <w:t>电气控制系统主要包括：控制柜、电源柜、以及控制仪表（检测元件、安全保护装置、调节阀门）等以及电缆、桥架、电线管及相应软件系统等。</w:t>
      </w:r>
    </w:p>
    <w:p>
      <w:pPr>
        <w:spacing w:line="360" w:lineRule="auto"/>
        <w:ind w:firstLine="482" w:firstLineChars="200"/>
        <w:outlineLvl w:val="1"/>
        <w:rPr>
          <w:b/>
          <w:sz w:val="24"/>
        </w:rPr>
      </w:pPr>
      <w:r>
        <w:rPr>
          <w:rFonts w:hint="eastAsia"/>
          <w:b/>
          <w:sz w:val="24"/>
        </w:rPr>
        <w:t>2、招标范围</w:t>
      </w:r>
    </w:p>
    <w:p>
      <w:pPr>
        <w:spacing w:line="360" w:lineRule="auto"/>
        <w:ind w:firstLine="480" w:firstLineChars="200"/>
        <w:rPr>
          <w:bCs/>
          <w:sz w:val="24"/>
        </w:rPr>
      </w:pPr>
      <w:r>
        <w:rPr>
          <w:rFonts w:hint="eastAsia"/>
          <w:bCs/>
          <w:sz w:val="24"/>
        </w:rPr>
        <w:t>招标方</w:t>
      </w:r>
      <w:r>
        <w:rPr>
          <w:bCs/>
          <w:sz w:val="24"/>
        </w:rPr>
        <w:t>所发图纸和</w:t>
      </w:r>
      <w:r>
        <w:rPr>
          <w:rFonts w:hint="eastAsia"/>
          <w:bCs/>
          <w:sz w:val="24"/>
        </w:rPr>
        <w:t>设备</w:t>
      </w:r>
      <w:r>
        <w:rPr>
          <w:bCs/>
          <w:sz w:val="24"/>
        </w:rPr>
        <w:t>清单中全部机电设备采购及安装工程内容，包含设备及附带电气安装、各种非标金属构件制作安装（含材料供应）</w:t>
      </w:r>
      <w:r>
        <w:rPr>
          <w:rFonts w:hint="eastAsia"/>
          <w:bCs/>
          <w:sz w:val="24"/>
        </w:rPr>
        <w:t>、管道检修支撑钢平台</w:t>
      </w:r>
      <w:r>
        <w:rPr>
          <w:bCs/>
          <w:sz w:val="24"/>
        </w:rPr>
        <w:t>及工艺管道制作安装（含管材供应），不含直埋管道的制作安装。</w:t>
      </w:r>
      <w:r>
        <w:rPr>
          <w:rFonts w:hint="eastAsia"/>
          <w:bCs/>
          <w:sz w:val="24"/>
        </w:rPr>
        <w:t>详细设备清单见招标文件附件等资料，除设备外，其他施工材料及工程量由投标方根据招标方所发图纸进行统计，招标方不做统一约束，原则是要保证整套系统的完整性。</w:t>
      </w:r>
    </w:p>
    <w:p>
      <w:pPr>
        <w:spacing w:line="360" w:lineRule="auto"/>
        <w:ind w:firstLine="482" w:firstLineChars="200"/>
        <w:outlineLvl w:val="1"/>
        <w:rPr>
          <w:b/>
          <w:sz w:val="24"/>
        </w:rPr>
      </w:pPr>
      <w:r>
        <w:rPr>
          <w:rFonts w:hint="eastAsia"/>
          <w:b/>
          <w:sz w:val="24"/>
        </w:rPr>
        <w:t>3、货物需求</w:t>
      </w:r>
    </w:p>
    <w:p>
      <w:pPr>
        <w:adjustRightInd w:val="0"/>
        <w:snapToGrid w:val="0"/>
        <w:jc w:val="center"/>
        <w:rPr>
          <w:rFonts w:cs="宋体"/>
          <w:b/>
          <w:sz w:val="24"/>
          <w:szCs w:val="30"/>
        </w:rPr>
      </w:pPr>
      <w:r>
        <w:rPr>
          <w:rFonts w:hint="eastAsia" w:cs="宋体"/>
          <w:b/>
          <w:sz w:val="24"/>
        </w:rPr>
        <w:t>货物需求一览表</w:t>
      </w:r>
    </w:p>
    <w:tbl>
      <w:tblPr>
        <w:tblStyle w:val="5"/>
        <w:tblW w:w="829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56"/>
        <w:gridCol w:w="1553"/>
        <w:gridCol w:w="801"/>
        <w:gridCol w:w="993"/>
        <w:gridCol w:w="1371"/>
        <w:gridCol w:w="291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656" w:type="dxa"/>
            <w:vAlign w:val="center"/>
          </w:tcPr>
          <w:p>
            <w:pPr>
              <w:jc w:val="center"/>
              <w:rPr>
                <w:rFonts w:cs="宋体"/>
                <w:sz w:val="24"/>
                <w:szCs w:val="21"/>
              </w:rPr>
            </w:pPr>
            <w:r>
              <w:rPr>
                <w:rFonts w:hint="eastAsia" w:cs="宋体"/>
                <w:sz w:val="24"/>
                <w:szCs w:val="21"/>
              </w:rPr>
              <w:t>包号</w:t>
            </w:r>
          </w:p>
        </w:tc>
        <w:tc>
          <w:tcPr>
            <w:tcW w:w="1553" w:type="dxa"/>
            <w:vAlign w:val="center"/>
          </w:tcPr>
          <w:p>
            <w:pPr>
              <w:jc w:val="center"/>
              <w:rPr>
                <w:rFonts w:cs="宋体"/>
                <w:sz w:val="24"/>
                <w:szCs w:val="21"/>
              </w:rPr>
            </w:pPr>
            <w:r>
              <w:rPr>
                <w:rFonts w:hint="eastAsia" w:cs="宋体"/>
                <w:sz w:val="24"/>
                <w:szCs w:val="21"/>
              </w:rPr>
              <w:t>货物名称</w:t>
            </w:r>
          </w:p>
        </w:tc>
        <w:tc>
          <w:tcPr>
            <w:tcW w:w="801" w:type="dxa"/>
            <w:vAlign w:val="center"/>
          </w:tcPr>
          <w:p>
            <w:pPr>
              <w:jc w:val="center"/>
              <w:rPr>
                <w:rFonts w:cs="宋体"/>
                <w:sz w:val="24"/>
                <w:szCs w:val="21"/>
              </w:rPr>
            </w:pPr>
            <w:r>
              <w:rPr>
                <w:rFonts w:hint="eastAsia" w:cs="宋体"/>
                <w:sz w:val="24"/>
                <w:szCs w:val="21"/>
              </w:rPr>
              <w:t>数量</w:t>
            </w:r>
          </w:p>
        </w:tc>
        <w:tc>
          <w:tcPr>
            <w:tcW w:w="993" w:type="dxa"/>
            <w:vAlign w:val="center"/>
          </w:tcPr>
          <w:p>
            <w:pPr>
              <w:jc w:val="center"/>
              <w:rPr>
                <w:rFonts w:cs="宋体"/>
                <w:sz w:val="24"/>
                <w:szCs w:val="21"/>
              </w:rPr>
            </w:pPr>
            <w:r>
              <w:rPr>
                <w:rFonts w:hint="eastAsia" w:cs="宋体"/>
                <w:sz w:val="24"/>
                <w:szCs w:val="21"/>
              </w:rPr>
              <w:t>交货期</w:t>
            </w:r>
          </w:p>
        </w:tc>
        <w:tc>
          <w:tcPr>
            <w:tcW w:w="1371" w:type="dxa"/>
            <w:vAlign w:val="center"/>
          </w:tcPr>
          <w:p>
            <w:pPr>
              <w:jc w:val="center"/>
              <w:rPr>
                <w:rFonts w:cs="宋体"/>
                <w:sz w:val="24"/>
                <w:szCs w:val="21"/>
              </w:rPr>
            </w:pPr>
            <w:r>
              <w:rPr>
                <w:rFonts w:hint="eastAsia" w:cs="宋体"/>
                <w:sz w:val="24"/>
                <w:szCs w:val="21"/>
              </w:rPr>
              <w:t>交货地点</w:t>
            </w:r>
          </w:p>
        </w:tc>
        <w:tc>
          <w:tcPr>
            <w:tcW w:w="2916" w:type="dxa"/>
            <w:vAlign w:val="center"/>
          </w:tcPr>
          <w:p>
            <w:pPr>
              <w:jc w:val="center"/>
              <w:rPr>
                <w:rFonts w:cs="宋体"/>
                <w:sz w:val="24"/>
                <w:szCs w:val="21"/>
                <w:shd w:val="pct10" w:color="auto" w:fill="FFFFFF"/>
              </w:rPr>
            </w:pPr>
            <w:r>
              <w:rPr>
                <w:rFonts w:hint="eastAsia" w:cs="宋体"/>
                <w:sz w:val="24"/>
                <w:szCs w:val="21"/>
              </w:rPr>
              <w:t>进度计划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656" w:type="dxa"/>
            <w:vAlign w:val="center"/>
          </w:tcPr>
          <w:p>
            <w:pPr>
              <w:jc w:val="center"/>
              <w:rPr>
                <w:sz w:val="24"/>
                <w:szCs w:val="21"/>
              </w:rPr>
            </w:pPr>
            <w:r>
              <w:rPr>
                <w:sz w:val="24"/>
                <w:szCs w:val="21"/>
              </w:rPr>
              <w:t>1</w:t>
            </w:r>
          </w:p>
        </w:tc>
        <w:tc>
          <w:tcPr>
            <w:tcW w:w="1553" w:type="dxa"/>
            <w:vAlign w:val="center"/>
          </w:tcPr>
          <w:p>
            <w:pPr>
              <w:jc w:val="center"/>
              <w:rPr>
                <w:sz w:val="24"/>
                <w:szCs w:val="21"/>
              </w:rPr>
            </w:pPr>
            <w:r>
              <w:rPr>
                <w:sz w:val="24"/>
                <w:szCs w:val="21"/>
              </w:rPr>
              <w:t>加速器嬗变研究装置（CiADS）</w:t>
            </w:r>
            <w:r>
              <w:rPr>
                <w:rFonts w:hint="eastAsia"/>
                <w:sz w:val="24"/>
                <w:szCs w:val="21"/>
              </w:rPr>
              <w:t>项目</w:t>
            </w:r>
            <w:r>
              <w:rPr>
                <w:sz w:val="24"/>
                <w:szCs w:val="21"/>
              </w:rPr>
              <w:t xml:space="preserve">冷冻站系统设备采购及安装 </w:t>
            </w:r>
          </w:p>
        </w:tc>
        <w:tc>
          <w:tcPr>
            <w:tcW w:w="801" w:type="dxa"/>
            <w:vAlign w:val="center"/>
          </w:tcPr>
          <w:p>
            <w:pPr>
              <w:jc w:val="center"/>
              <w:rPr>
                <w:sz w:val="24"/>
                <w:szCs w:val="21"/>
              </w:rPr>
            </w:pPr>
            <w:r>
              <w:rPr>
                <w:sz w:val="24"/>
                <w:szCs w:val="21"/>
              </w:rPr>
              <w:t>1套</w:t>
            </w:r>
          </w:p>
        </w:tc>
        <w:tc>
          <w:tcPr>
            <w:tcW w:w="993" w:type="dxa"/>
            <w:vAlign w:val="center"/>
          </w:tcPr>
          <w:p>
            <w:pPr>
              <w:jc w:val="center"/>
              <w:rPr>
                <w:sz w:val="24"/>
                <w:szCs w:val="21"/>
              </w:rPr>
            </w:pPr>
            <w:r>
              <w:rPr>
                <w:rFonts w:hint="eastAsia"/>
                <w:sz w:val="24"/>
                <w:szCs w:val="21"/>
              </w:rPr>
              <w:t>合同签订后8个月或接到招标方书面通知后3个月内</w:t>
            </w:r>
          </w:p>
        </w:tc>
        <w:tc>
          <w:tcPr>
            <w:tcW w:w="1371" w:type="dxa"/>
            <w:vAlign w:val="center"/>
          </w:tcPr>
          <w:p>
            <w:pPr>
              <w:jc w:val="center"/>
              <w:rPr>
                <w:sz w:val="24"/>
                <w:szCs w:val="21"/>
              </w:rPr>
            </w:pPr>
            <w:r>
              <w:rPr>
                <w:rFonts w:hint="eastAsia"/>
                <w:sz w:val="24"/>
                <w:szCs w:val="21"/>
              </w:rPr>
              <w:t>广东省惠州市惠东县CiADS装置区D01子项内</w:t>
            </w:r>
          </w:p>
        </w:tc>
        <w:tc>
          <w:tcPr>
            <w:tcW w:w="2916" w:type="dxa"/>
            <w:vAlign w:val="center"/>
          </w:tcPr>
          <w:p>
            <w:pPr>
              <w:rPr>
                <w:sz w:val="24"/>
                <w:szCs w:val="21"/>
              </w:rPr>
            </w:pPr>
            <w:r>
              <w:rPr>
                <w:sz w:val="24"/>
                <w:szCs w:val="21"/>
              </w:rPr>
              <w:t>中标单位须根据CiADS项目整体进度，制定详细的工程实施计划和总体部署方案。根据项目现场的建设进度要求，预计需要在2023年</w:t>
            </w:r>
            <w:r>
              <w:rPr>
                <w:rFonts w:hint="eastAsia"/>
                <w:sz w:val="24"/>
                <w:szCs w:val="21"/>
              </w:rPr>
              <w:t>6</w:t>
            </w:r>
            <w:r>
              <w:rPr>
                <w:sz w:val="24"/>
                <w:szCs w:val="21"/>
              </w:rPr>
              <w:t>月进场安装，2023年12月份完成所有设备采购及安装、调试并具备运行条件。</w:t>
            </w:r>
          </w:p>
        </w:tc>
      </w:tr>
    </w:tbl>
    <w:p>
      <w:pPr>
        <w:rPr>
          <w:bCs/>
          <w:sz w:val="24"/>
        </w:rPr>
      </w:pPr>
      <w:r>
        <w:rPr>
          <w:rFonts w:hint="eastAsia"/>
          <w:bCs/>
          <w:sz w:val="24"/>
        </w:rPr>
        <w:t>注：投标方须对上述投标内容中完整的一包进行投标，不完整的投标将视为非响应性投标予以拒绝。</w:t>
      </w:r>
    </w:p>
    <w:p>
      <w:pPr>
        <w:spacing w:line="360" w:lineRule="auto"/>
        <w:ind w:firstLine="482" w:firstLineChars="200"/>
        <w:outlineLvl w:val="1"/>
        <w:rPr>
          <w:b/>
          <w:sz w:val="24"/>
        </w:rPr>
      </w:pPr>
      <w:r>
        <w:rPr>
          <w:rFonts w:hint="eastAsia"/>
          <w:b/>
          <w:sz w:val="24"/>
        </w:rPr>
        <w:t>4、主要设备清单</w:t>
      </w:r>
    </w:p>
    <w:p>
      <w:pPr>
        <w:ind w:firstLine="480" w:firstLineChars="200"/>
        <w:rPr>
          <w:rFonts w:cs="宋体"/>
          <w:bCs/>
          <w:kern w:val="0"/>
          <w:sz w:val="24"/>
        </w:rPr>
      </w:pPr>
      <w:r>
        <w:rPr>
          <w:rFonts w:hint="eastAsia"/>
          <w:bCs/>
          <w:sz w:val="24"/>
          <w:u w:val="single"/>
        </w:rPr>
        <w:t>详细设备清单见招标文件附件施工图。</w:t>
      </w:r>
    </w:p>
    <w:p>
      <w:pPr>
        <w:jc w:val="center"/>
        <w:rPr>
          <w:rFonts w:cs="宋体"/>
          <w:bCs/>
          <w:kern w:val="0"/>
          <w:sz w:val="24"/>
        </w:rPr>
      </w:pPr>
    </w:p>
    <w:p>
      <w:pPr>
        <w:rPr>
          <w:bCs/>
          <w:sz w:val="24"/>
        </w:rPr>
      </w:pPr>
      <w:r>
        <w:rPr>
          <w:bCs/>
          <w:sz w:val="24"/>
        </w:rPr>
        <w:br w:type="page"/>
      </w:r>
    </w:p>
    <w:p>
      <w:pPr>
        <w:pStyle w:val="8"/>
        <w:numPr>
          <w:ilvl w:val="0"/>
          <w:numId w:val="2"/>
        </w:numPr>
        <w:spacing w:before="156" w:beforeLines="50" w:after="156" w:afterLines="50" w:line="360" w:lineRule="auto"/>
        <w:ind w:firstLineChars="0"/>
        <w:outlineLvl w:val="0"/>
        <w:rPr>
          <w:rFonts w:ascii="Times New Roman" w:hAnsi="Times New Roman"/>
          <w:bCs/>
          <w:sz w:val="24"/>
        </w:rPr>
      </w:pPr>
      <w:r>
        <w:rPr>
          <w:rFonts w:ascii="Times New Roman" w:hAnsi="Times New Roman"/>
          <w:bCs/>
          <w:sz w:val="24"/>
        </w:rPr>
        <w:t>采购项目规格、参数及技术方案（非标设备需提供技术方案和设计草图）</w:t>
      </w:r>
    </w:p>
    <w:p>
      <w:pPr>
        <w:spacing w:line="360" w:lineRule="auto"/>
        <w:ind w:firstLine="482" w:firstLineChars="200"/>
        <w:outlineLvl w:val="1"/>
        <w:rPr>
          <w:b/>
          <w:sz w:val="24"/>
        </w:rPr>
      </w:pPr>
      <w:r>
        <w:rPr>
          <w:rFonts w:hint="eastAsia"/>
          <w:b/>
          <w:sz w:val="24"/>
        </w:rPr>
        <w:t>1、总则</w:t>
      </w:r>
    </w:p>
    <w:p>
      <w:pPr>
        <w:pStyle w:val="9"/>
        <w:spacing w:before="156"/>
        <w:ind w:firstLine="482" w:firstLineChars="200"/>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1.1投标要求</w:t>
      </w:r>
    </w:p>
    <w:p>
      <w:pPr>
        <w:numPr>
          <w:ilvl w:val="0"/>
          <w:numId w:val="3"/>
        </w:numPr>
        <w:spacing w:line="360" w:lineRule="auto"/>
        <w:ind w:left="0" w:firstLine="480" w:firstLineChars="200"/>
        <w:rPr>
          <w:bCs/>
          <w:sz w:val="24"/>
        </w:rPr>
      </w:pPr>
      <w:r>
        <w:rPr>
          <w:rFonts w:hint="eastAsia"/>
          <w:bCs/>
          <w:sz w:val="24"/>
        </w:rPr>
        <w:t>投标方在准备投标书时，必须深度理解和认识本工程要求，应从项目建设背景、装置工艺需求、施工工艺、过程质量控制、售后服务保证等方面重点阐述对本工程的理解和认识。</w:t>
      </w:r>
    </w:p>
    <w:p>
      <w:pPr>
        <w:numPr>
          <w:ilvl w:val="0"/>
          <w:numId w:val="3"/>
        </w:numPr>
        <w:spacing w:line="360" w:lineRule="auto"/>
        <w:ind w:left="0" w:firstLine="480" w:firstLineChars="200"/>
        <w:rPr>
          <w:bCs/>
          <w:sz w:val="24"/>
        </w:rPr>
      </w:pPr>
      <w:r>
        <w:rPr>
          <w:rFonts w:hint="eastAsia"/>
          <w:bCs/>
          <w:sz w:val="24"/>
        </w:rPr>
        <w:t>投标方在准备投标书时，务必在所提供的商品的技术规格文件中，标明型号、品牌名称（唯一）、且主要设备品牌要表述清楚，不接受以中标方后期招标采购为由提供多个品牌供招标方选择。</w:t>
      </w:r>
    </w:p>
    <w:p>
      <w:pPr>
        <w:numPr>
          <w:ilvl w:val="0"/>
          <w:numId w:val="3"/>
        </w:numPr>
        <w:spacing w:line="360" w:lineRule="auto"/>
        <w:ind w:left="0" w:firstLine="480" w:firstLineChars="200"/>
        <w:rPr>
          <w:bCs/>
          <w:sz w:val="24"/>
        </w:rPr>
      </w:pPr>
      <w:r>
        <w:rPr>
          <w:rFonts w:hint="eastAsia"/>
          <w:bCs/>
          <w:sz w:val="24"/>
        </w:rPr>
        <w:t>投标方提供的货物须是成熟的全新的产品，其技术规格应符合招标文件的要求。如与招标文件的技术规格有偏差，应提供技术规格偏差的量值或说明（偏离表）。如投标方有意隐瞒对规格要求的偏差或在开标后提出新的偏差，招标方有权扣留其投标保证金或/并拒绝其投标。</w:t>
      </w:r>
    </w:p>
    <w:p>
      <w:pPr>
        <w:numPr>
          <w:ilvl w:val="0"/>
          <w:numId w:val="3"/>
        </w:numPr>
        <w:spacing w:line="360" w:lineRule="auto"/>
        <w:ind w:left="0" w:firstLine="480" w:firstLineChars="200"/>
        <w:rPr>
          <w:bCs/>
          <w:sz w:val="24"/>
        </w:rPr>
      </w:pPr>
      <w:r>
        <w:rPr>
          <w:rFonts w:hint="eastAsia"/>
          <w:bCs/>
          <w:sz w:val="24"/>
        </w:rPr>
        <w:t>投标方提供的产品样本，必须是“原件”而非复印件，图表、简图、电路图以及印刷电路板图等都应清晰易读。招标方有权不付任何附加费用复制这些资料以供参考。</w:t>
      </w:r>
    </w:p>
    <w:p>
      <w:pPr>
        <w:numPr>
          <w:ilvl w:val="0"/>
          <w:numId w:val="3"/>
        </w:numPr>
        <w:spacing w:line="360" w:lineRule="auto"/>
        <w:ind w:left="0" w:firstLine="480" w:firstLineChars="200"/>
        <w:rPr>
          <w:bCs/>
          <w:sz w:val="24"/>
        </w:rPr>
      </w:pPr>
      <w:r>
        <w:rPr>
          <w:rFonts w:hint="eastAsia"/>
          <w:bCs/>
          <w:sz w:val="24"/>
        </w:rPr>
        <w:t>关键设备（包含但不限于：冷水机组、群控系统、泵、阀、冷却塔等）在采购前应征得招标方意见。</w:t>
      </w:r>
    </w:p>
    <w:p>
      <w:pPr>
        <w:numPr>
          <w:ilvl w:val="0"/>
          <w:numId w:val="3"/>
        </w:numPr>
        <w:spacing w:line="360" w:lineRule="auto"/>
        <w:ind w:left="0" w:firstLine="480" w:firstLineChars="200"/>
        <w:rPr>
          <w:bCs/>
          <w:sz w:val="24"/>
        </w:rPr>
      </w:pPr>
      <w:r>
        <w:rPr>
          <w:rFonts w:hint="eastAsia"/>
          <w:bCs/>
          <w:sz w:val="24"/>
        </w:rPr>
        <w:t>除招标文件中指定的附件和专用工具外，投标方应提供仪器设备的正常运行和常规保养所需的全套标准附件、专用工具和消耗品。投标方在投标书中需列出这些附件和工具的数量和单价的清单，这些附件和工具的报价的总值需计入投标价中。</w:t>
      </w:r>
    </w:p>
    <w:p>
      <w:pPr>
        <w:numPr>
          <w:ilvl w:val="0"/>
          <w:numId w:val="3"/>
        </w:numPr>
        <w:spacing w:line="360" w:lineRule="auto"/>
        <w:ind w:left="0" w:firstLine="480" w:firstLineChars="200"/>
        <w:rPr>
          <w:bCs/>
          <w:sz w:val="24"/>
        </w:rPr>
      </w:pPr>
      <w:r>
        <w:rPr>
          <w:rFonts w:hint="eastAsia"/>
          <w:bCs/>
          <w:sz w:val="24"/>
        </w:rPr>
        <w:t>对于标书技术规范中已列出的作为查询选件的附件、零配件、专用工具和消耗品，投标书中应列明其数量、单价、总价供招标方参考。投标方也可推荐招标方没有要求的附件或专用工具作为选件，并列明其数量、单价、总价供招标方参考。选件价格不计入评标价中。选件一旦为用户接受，其费用将加入合同价中。</w:t>
      </w:r>
    </w:p>
    <w:p>
      <w:pPr>
        <w:numPr>
          <w:ilvl w:val="0"/>
          <w:numId w:val="3"/>
        </w:numPr>
        <w:spacing w:line="360" w:lineRule="auto"/>
        <w:ind w:left="0" w:firstLine="480" w:firstLineChars="200"/>
        <w:rPr>
          <w:bCs/>
          <w:sz w:val="24"/>
        </w:rPr>
      </w:pPr>
      <w:r>
        <w:rPr>
          <w:rFonts w:hint="eastAsia"/>
          <w:bCs/>
          <w:sz w:val="24"/>
        </w:rPr>
        <w:t>为便于用户进行接收仪器的准备工作，中标方应在合同生效后60天内向招标方提供一套完整的使用说明书、操作手册、维修及安装说明等文件。另一套完整上述资料应在交货时随货包装提供给招标方，这些费用应计入投标价中。</w:t>
      </w:r>
    </w:p>
    <w:p>
      <w:pPr>
        <w:numPr>
          <w:ilvl w:val="0"/>
          <w:numId w:val="3"/>
        </w:numPr>
        <w:spacing w:line="360" w:lineRule="auto"/>
        <w:ind w:left="0" w:firstLine="480" w:firstLineChars="200"/>
        <w:rPr>
          <w:bCs/>
          <w:sz w:val="24"/>
        </w:rPr>
      </w:pPr>
      <w:r>
        <w:rPr>
          <w:rFonts w:hint="eastAsia"/>
          <w:bCs/>
          <w:sz w:val="24"/>
        </w:rPr>
        <w:t>关于设备的安装调试，如果有必要的安装准备条件，中标方应在合同生效后一个月内向招标方提出详细的要求或计划。安装调试的费用应计入投标价中，并应单独列出，供评标使用。</w:t>
      </w:r>
    </w:p>
    <w:p>
      <w:pPr>
        <w:numPr>
          <w:ilvl w:val="0"/>
          <w:numId w:val="3"/>
        </w:numPr>
        <w:spacing w:line="360" w:lineRule="auto"/>
        <w:ind w:left="0" w:firstLine="480" w:firstLineChars="200"/>
        <w:rPr>
          <w:bCs/>
          <w:sz w:val="24"/>
        </w:rPr>
      </w:pPr>
      <w:r>
        <w:rPr>
          <w:rFonts w:hint="eastAsia"/>
          <w:bCs/>
          <w:sz w:val="24"/>
        </w:rPr>
        <w:t>制造厂家提供的培训指的是涉及货物的基本原理、操作使用和保养维修等有关内容的培训。培训教员的培训费、旅费、食宿费等费用和培训场地费及培训资料费均应由中标方支付。</w:t>
      </w:r>
    </w:p>
    <w:p>
      <w:pPr>
        <w:numPr>
          <w:ilvl w:val="0"/>
          <w:numId w:val="3"/>
        </w:numPr>
        <w:spacing w:line="360" w:lineRule="auto"/>
        <w:ind w:left="0" w:firstLine="480" w:firstLineChars="200"/>
        <w:rPr>
          <w:bCs/>
          <w:sz w:val="24"/>
        </w:rPr>
      </w:pPr>
      <w:r>
        <w:rPr>
          <w:rFonts w:hint="eastAsia"/>
          <w:bCs/>
          <w:sz w:val="24"/>
        </w:rPr>
        <w:t>在评标过程中，招标方有权向投标方索取任何与评标有关的资料，投标方务必在接到此类要求后，在规定时间内予以答复。对于无答复的投标方，招标方有权拒绝其投标。</w:t>
      </w:r>
    </w:p>
    <w:p>
      <w:pPr>
        <w:pStyle w:val="9"/>
        <w:spacing w:before="156"/>
        <w:ind w:firstLine="482" w:firstLineChars="200"/>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1.2工作条件</w:t>
      </w:r>
    </w:p>
    <w:p>
      <w:pPr>
        <w:numPr>
          <w:ilvl w:val="0"/>
          <w:numId w:val="4"/>
        </w:numPr>
        <w:spacing w:line="360" w:lineRule="auto"/>
        <w:ind w:left="567" w:firstLine="480" w:firstLineChars="200"/>
        <w:rPr>
          <w:bCs/>
          <w:sz w:val="24"/>
        </w:rPr>
      </w:pPr>
      <w:r>
        <w:rPr>
          <w:rFonts w:hint="eastAsia"/>
          <w:bCs/>
          <w:sz w:val="24"/>
        </w:rPr>
        <w:t>除非在技术规格中另有说明，所有仪器、设备和系统都应符合下列要求：</w:t>
      </w:r>
    </w:p>
    <w:p>
      <w:pPr>
        <w:numPr>
          <w:ilvl w:val="0"/>
          <w:numId w:val="4"/>
        </w:numPr>
        <w:spacing w:line="360" w:lineRule="auto"/>
        <w:ind w:left="567" w:firstLine="480" w:firstLineChars="200"/>
        <w:rPr>
          <w:bCs/>
          <w:sz w:val="24"/>
        </w:rPr>
      </w:pPr>
      <w:r>
        <w:rPr>
          <w:rFonts w:hint="eastAsia"/>
          <w:bCs/>
          <w:sz w:val="24"/>
        </w:rPr>
        <w:t>适于在气温为摄氏-40℃～＋50℃和相对湿度为90％的环境条件下运输和贮存。</w:t>
      </w:r>
    </w:p>
    <w:p>
      <w:pPr>
        <w:numPr>
          <w:ilvl w:val="0"/>
          <w:numId w:val="4"/>
        </w:numPr>
        <w:spacing w:line="360" w:lineRule="auto"/>
        <w:ind w:left="567" w:firstLine="480" w:firstLineChars="200"/>
        <w:rPr>
          <w:bCs/>
          <w:sz w:val="24"/>
        </w:rPr>
      </w:pPr>
      <w:r>
        <w:rPr>
          <w:rFonts w:hint="eastAsia"/>
          <w:bCs/>
          <w:sz w:val="24"/>
        </w:rPr>
        <w:t>适于在电源220V/380V/10kV（</w:t>
      </w:r>
      <w:r>
        <w:rPr>
          <w:rFonts w:hint="eastAsia"/>
          <w:bCs/>
          <w:sz w:val="24"/>
        </w:rPr>
        <w:sym w:font="Symbol" w:char="F0B1"/>
      </w:r>
      <w:r>
        <w:rPr>
          <w:rFonts w:hint="eastAsia"/>
          <w:bCs/>
          <w:sz w:val="24"/>
        </w:rPr>
        <w:t>10％）/50Hz、气温摄氏+5℃～＋30℃和相对湿度小于80％的环境条件下运行。能够连续正常工作。</w:t>
      </w:r>
    </w:p>
    <w:p>
      <w:pPr>
        <w:numPr>
          <w:ilvl w:val="0"/>
          <w:numId w:val="4"/>
        </w:numPr>
        <w:spacing w:line="360" w:lineRule="auto"/>
        <w:ind w:left="567" w:firstLine="480" w:firstLineChars="200"/>
        <w:rPr>
          <w:bCs/>
          <w:sz w:val="24"/>
        </w:rPr>
      </w:pPr>
      <w:r>
        <w:rPr>
          <w:rFonts w:hint="eastAsia"/>
          <w:bCs/>
          <w:sz w:val="24"/>
        </w:rPr>
        <w:t>配置符合中国有关标准要求的插头，如果没有这样的插头，则需提供适当的转换插座。</w:t>
      </w:r>
    </w:p>
    <w:p>
      <w:pPr>
        <w:numPr>
          <w:ilvl w:val="0"/>
          <w:numId w:val="4"/>
        </w:numPr>
        <w:spacing w:line="360" w:lineRule="auto"/>
        <w:ind w:left="567" w:firstLine="480" w:firstLineChars="200"/>
        <w:rPr>
          <w:bCs/>
          <w:sz w:val="24"/>
        </w:rPr>
      </w:pPr>
      <w:r>
        <w:rPr>
          <w:rFonts w:hint="eastAsia"/>
          <w:bCs/>
          <w:sz w:val="24"/>
        </w:rPr>
        <w:t>如产品达不到上述要求，投标方应注明其偏差。如仪器设备需要特殊工作条件（如水、电源、磁场强度、温度、湿度、动强度等）投标方应在投标书中加以说明。</w:t>
      </w:r>
    </w:p>
    <w:p>
      <w:pPr>
        <w:pStyle w:val="9"/>
        <w:spacing w:before="156"/>
        <w:ind w:firstLine="482" w:firstLineChars="200"/>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1.3验收标准</w:t>
      </w:r>
    </w:p>
    <w:p>
      <w:pPr>
        <w:spacing w:line="360" w:lineRule="auto"/>
        <w:ind w:firstLine="480" w:firstLineChars="200"/>
        <w:rPr>
          <w:bCs/>
          <w:sz w:val="24"/>
        </w:rPr>
      </w:pPr>
      <w:r>
        <w:rPr>
          <w:rFonts w:hint="eastAsia"/>
          <w:bCs/>
          <w:sz w:val="24"/>
        </w:rPr>
        <w:t xml:space="preserve">除非在技术规格中另有说明，所有仪器、设备和系统按下列要求进行验收： </w:t>
      </w:r>
    </w:p>
    <w:p>
      <w:pPr>
        <w:numPr>
          <w:ilvl w:val="0"/>
          <w:numId w:val="5"/>
        </w:numPr>
        <w:spacing w:line="360" w:lineRule="auto"/>
        <w:ind w:left="840" w:firstLine="480" w:firstLineChars="200"/>
        <w:rPr>
          <w:bCs/>
          <w:sz w:val="24"/>
        </w:rPr>
      </w:pPr>
      <w:r>
        <w:rPr>
          <w:rFonts w:hint="eastAsia"/>
          <w:bCs/>
          <w:sz w:val="24"/>
        </w:rPr>
        <w:t>仪器设备运抵安装现场后，招标方将与中标方共同开箱验收, 如中标方届时不派人来, 则验收结果应以招标方的验收报告为最终验收结果。验收时发现短缺、破损, 招标方有权要求中标方负责更换。</w:t>
      </w:r>
    </w:p>
    <w:p>
      <w:pPr>
        <w:numPr>
          <w:ilvl w:val="0"/>
          <w:numId w:val="5"/>
        </w:numPr>
        <w:spacing w:line="360" w:lineRule="auto"/>
        <w:ind w:left="840" w:firstLine="480" w:firstLineChars="200"/>
        <w:rPr>
          <w:bCs/>
          <w:sz w:val="24"/>
        </w:rPr>
      </w:pPr>
      <w:r>
        <w:rPr>
          <w:rFonts w:hint="eastAsia"/>
          <w:bCs/>
          <w:sz w:val="24"/>
        </w:rPr>
        <w:t>验收标准以中标方提供的投标文件中所列的指标为准（该指标应不低于招标文件所要求的指标）。任何虚假指标响应一经发现即作废标，中标方必须承担由此给招标方带来的一切经济损失和其它相关责任。</w:t>
      </w:r>
    </w:p>
    <w:p>
      <w:pPr>
        <w:numPr>
          <w:ilvl w:val="0"/>
          <w:numId w:val="5"/>
        </w:numPr>
        <w:spacing w:line="360" w:lineRule="auto"/>
        <w:ind w:left="840" w:firstLine="480" w:firstLineChars="200"/>
        <w:rPr>
          <w:bCs/>
          <w:sz w:val="24"/>
          <w:u w:val="single"/>
        </w:rPr>
      </w:pPr>
      <w:r>
        <w:rPr>
          <w:rFonts w:hint="eastAsia"/>
          <w:bCs/>
          <w:sz w:val="24"/>
        </w:rPr>
        <w:t>验收由招标方、中标方及相关人员依国家有关标准、合同及有关附件要求进行，验收完毕由招标方及中标方在验收报告上签名。</w:t>
      </w:r>
    </w:p>
    <w:p>
      <w:pPr>
        <w:pStyle w:val="9"/>
        <w:spacing w:before="156"/>
        <w:ind w:firstLine="482" w:firstLineChars="200"/>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1.4重要说明</w:t>
      </w:r>
    </w:p>
    <w:p>
      <w:pPr>
        <w:numPr>
          <w:ilvl w:val="0"/>
          <w:numId w:val="6"/>
        </w:numPr>
        <w:spacing w:line="360" w:lineRule="auto"/>
        <w:ind w:left="1896" w:firstLine="480" w:firstLineChars="200"/>
        <w:rPr>
          <w:bCs/>
          <w:sz w:val="24"/>
        </w:rPr>
      </w:pPr>
      <w:r>
        <w:rPr>
          <w:rFonts w:hint="eastAsia"/>
          <w:bCs/>
          <w:sz w:val="24"/>
        </w:rPr>
        <w:t>本技术规格书中标注“</w:t>
      </w:r>
      <w:r>
        <w:rPr>
          <w:rFonts w:hint="eastAsia" w:hAnsi="宋体" w:cs="宋体"/>
          <w:b/>
          <w:sz w:val="24"/>
        </w:rPr>
        <w:t>*</w:t>
      </w:r>
      <w:r>
        <w:rPr>
          <w:rFonts w:hint="eastAsia"/>
          <w:bCs/>
          <w:sz w:val="24"/>
        </w:rPr>
        <w:t>”号的为关键技术参数，对这些关键技术参数的任何负偏离将导致废标。</w:t>
      </w:r>
    </w:p>
    <w:p>
      <w:pPr>
        <w:numPr>
          <w:ilvl w:val="0"/>
          <w:numId w:val="6"/>
        </w:numPr>
        <w:spacing w:line="360" w:lineRule="auto"/>
        <w:ind w:left="1896" w:firstLine="480" w:firstLineChars="200"/>
        <w:rPr>
          <w:bCs/>
          <w:sz w:val="24"/>
        </w:rPr>
      </w:pPr>
      <w:r>
        <w:rPr>
          <w:rFonts w:hint="eastAsia"/>
          <w:bCs/>
          <w:sz w:val="24"/>
        </w:rPr>
        <w:t>若无特殊说明，当本技术规格书与招标图及国家现行相关规范有冲突时，须以要求高者为准。</w:t>
      </w:r>
    </w:p>
    <w:p>
      <w:pPr>
        <w:spacing w:line="360" w:lineRule="auto"/>
        <w:ind w:firstLine="482" w:firstLineChars="200"/>
        <w:outlineLvl w:val="1"/>
        <w:rPr>
          <w:b/>
          <w:sz w:val="24"/>
        </w:rPr>
      </w:pPr>
      <w:r>
        <w:rPr>
          <w:rFonts w:hint="eastAsia"/>
          <w:b/>
          <w:sz w:val="24"/>
        </w:rPr>
        <w:t>2、设备详细技术要求</w:t>
      </w:r>
    </w:p>
    <w:p>
      <w:pPr>
        <w:pStyle w:val="9"/>
        <w:spacing w:before="156"/>
        <w:ind w:firstLine="482" w:firstLineChars="200"/>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2.1所遵循的通用标准及质量保证</w:t>
      </w:r>
    </w:p>
    <w:p>
      <w:pPr>
        <w:pStyle w:val="9"/>
        <w:spacing w:before="156"/>
        <w:ind w:firstLine="480" w:firstLineChars="200"/>
        <w:outlineLvl w:val="9"/>
        <w:rPr>
          <w:rFonts w:ascii="Times New Roman" w:hAnsi="Times New Roman" w:eastAsia="宋体" w:cs="仿宋_GB2312"/>
          <w:bCs w:val="0"/>
          <w:sz w:val="24"/>
          <w:szCs w:val="24"/>
        </w:rPr>
      </w:pPr>
      <w:r>
        <w:rPr>
          <w:rFonts w:hint="eastAsia" w:ascii="Times New Roman" w:hAnsi="Times New Roman" w:eastAsia="宋体" w:cs="仿宋_GB2312"/>
          <w:bCs w:val="0"/>
          <w:sz w:val="24"/>
          <w:szCs w:val="24"/>
        </w:rPr>
        <w:t>（1）总则</w:t>
      </w:r>
    </w:p>
    <w:p>
      <w:pPr>
        <w:numPr>
          <w:ilvl w:val="0"/>
          <w:numId w:val="7"/>
        </w:numPr>
        <w:spacing w:line="360" w:lineRule="auto"/>
        <w:ind w:firstLine="480" w:firstLineChars="200"/>
        <w:rPr>
          <w:bCs/>
          <w:sz w:val="24"/>
        </w:rPr>
      </w:pPr>
      <w:r>
        <w:rPr>
          <w:rFonts w:hint="eastAsia"/>
          <w:bCs/>
          <w:sz w:val="24"/>
        </w:rPr>
        <w:t>该项目是《国家重大科技基础设施建设“十二五”规划》中优先部署的大科学装置建设内容之一，为随后建成的国际先进综合性研究平台配套。作为国家科学中心大装置主机的核心辅助单元的冷源系统将为实验设备的安全稳定运行提供基础保障。</w:t>
      </w:r>
    </w:p>
    <w:p>
      <w:pPr>
        <w:numPr>
          <w:ilvl w:val="0"/>
          <w:numId w:val="7"/>
        </w:numPr>
        <w:spacing w:line="360" w:lineRule="auto"/>
        <w:ind w:firstLine="480" w:firstLineChars="200"/>
        <w:rPr>
          <w:bCs/>
          <w:sz w:val="24"/>
        </w:rPr>
      </w:pPr>
      <w:r>
        <w:rPr>
          <w:rFonts w:hint="eastAsia"/>
          <w:bCs/>
          <w:sz w:val="24"/>
        </w:rPr>
        <w:t>对本工程设备采购及供货要求，中标方需严格执行设备采购技术文件要求。</w:t>
      </w:r>
    </w:p>
    <w:p>
      <w:pPr>
        <w:numPr>
          <w:ilvl w:val="0"/>
          <w:numId w:val="7"/>
        </w:numPr>
        <w:spacing w:line="360" w:lineRule="auto"/>
        <w:ind w:firstLine="480" w:firstLineChars="200"/>
        <w:rPr>
          <w:bCs/>
          <w:sz w:val="24"/>
        </w:rPr>
      </w:pPr>
      <w:r>
        <w:rPr>
          <w:rFonts w:hint="eastAsia"/>
          <w:bCs/>
          <w:sz w:val="24"/>
        </w:rPr>
        <w:t>采购技术文件提供的关于大装置工艺循环冷却水系统工程（以下也称水冷系统）的设计说明，工艺冷却水冷源主循环设备、工艺空调冷源主循环设备、群控系统、旁流水处理设备、冷却塔、检修支撑钢平台、配电及控制设备、水管及附件、阀门、电缆及附件等。它提出了上述设备和材料的一些技术要求，包括功能设计、技术参数、性能、结构、材质、安装和试验等方面，施工过程必须完全符合其要求，否则视为验收不合格。</w:t>
      </w:r>
    </w:p>
    <w:p>
      <w:pPr>
        <w:numPr>
          <w:ilvl w:val="0"/>
          <w:numId w:val="7"/>
        </w:numPr>
        <w:spacing w:line="360" w:lineRule="auto"/>
        <w:ind w:firstLine="480" w:firstLineChars="200"/>
        <w:rPr>
          <w:bCs/>
          <w:sz w:val="24"/>
        </w:rPr>
      </w:pPr>
      <w:r>
        <w:rPr>
          <w:rFonts w:hint="eastAsia"/>
          <w:bCs/>
          <w:sz w:val="24"/>
        </w:rPr>
        <w:t>采购技术文件提出的是最低限度的技术要求，并未对一切技术细节作出规定，也未充分引述有关标准和规范的条文，投标方应提供符合有关 GB、IEC 最新版本的标准和本规范书的优质产品。</w:t>
      </w:r>
    </w:p>
    <w:p>
      <w:pPr>
        <w:numPr>
          <w:ilvl w:val="0"/>
          <w:numId w:val="7"/>
        </w:numPr>
        <w:spacing w:line="360" w:lineRule="auto"/>
        <w:ind w:firstLine="480" w:firstLineChars="200"/>
        <w:rPr>
          <w:bCs/>
          <w:sz w:val="24"/>
        </w:rPr>
      </w:pPr>
      <w:r>
        <w:rPr>
          <w:rFonts w:hint="eastAsia"/>
          <w:bCs/>
          <w:sz w:val="24"/>
        </w:rPr>
        <w:t>招标文件所引用的标准如遇与投标方所执行的标准发生矛盾时，按较高标准执行。</w:t>
      </w:r>
    </w:p>
    <w:p>
      <w:pPr>
        <w:numPr>
          <w:ilvl w:val="0"/>
          <w:numId w:val="7"/>
        </w:numPr>
        <w:spacing w:line="360" w:lineRule="auto"/>
        <w:ind w:firstLine="480" w:firstLineChars="200"/>
        <w:rPr>
          <w:bCs/>
          <w:sz w:val="24"/>
        </w:rPr>
      </w:pPr>
      <w:r>
        <w:rPr>
          <w:rFonts w:hint="eastAsia"/>
          <w:bCs/>
          <w:sz w:val="24"/>
        </w:rPr>
        <w:t>采购技术文件作为合同附件，与合同正文具有同等的法律效力。</w:t>
      </w:r>
    </w:p>
    <w:p>
      <w:pPr>
        <w:numPr>
          <w:ilvl w:val="0"/>
          <w:numId w:val="7"/>
        </w:numPr>
        <w:spacing w:line="360" w:lineRule="auto"/>
        <w:ind w:firstLine="480" w:firstLineChars="200"/>
        <w:rPr>
          <w:bCs/>
          <w:sz w:val="24"/>
        </w:rPr>
      </w:pPr>
      <w:r>
        <w:rPr>
          <w:rFonts w:hint="eastAsia"/>
          <w:bCs/>
          <w:sz w:val="24"/>
        </w:rPr>
        <w:t>采购技术文件未尽事宜，由买卖双方协商确定。</w:t>
      </w:r>
    </w:p>
    <w:p>
      <w:pPr>
        <w:pStyle w:val="9"/>
        <w:spacing w:before="156"/>
        <w:ind w:firstLine="480" w:firstLineChars="200"/>
        <w:outlineLvl w:val="9"/>
        <w:rPr>
          <w:rFonts w:ascii="Times New Roman" w:hAnsi="Times New Roman" w:eastAsia="宋体" w:cs="仿宋_GB2312"/>
          <w:bCs w:val="0"/>
          <w:sz w:val="24"/>
          <w:szCs w:val="24"/>
        </w:rPr>
      </w:pPr>
      <w:r>
        <w:rPr>
          <w:rFonts w:hint="eastAsia" w:ascii="Times New Roman" w:hAnsi="Times New Roman" w:eastAsia="宋体" w:cs="仿宋_GB2312"/>
          <w:bCs w:val="0"/>
          <w:sz w:val="24"/>
          <w:szCs w:val="24"/>
        </w:rPr>
        <w:t>（2）所遵循的标准及质量保证</w:t>
      </w:r>
    </w:p>
    <w:p>
      <w:pPr>
        <w:numPr>
          <w:ilvl w:val="0"/>
          <w:numId w:val="8"/>
        </w:numPr>
        <w:spacing w:line="360" w:lineRule="auto"/>
        <w:ind w:firstLine="480" w:firstLineChars="200"/>
        <w:rPr>
          <w:bCs/>
          <w:sz w:val="24"/>
        </w:rPr>
      </w:pPr>
      <w:r>
        <w:rPr>
          <w:rFonts w:hint="eastAsia"/>
          <w:bCs/>
          <w:sz w:val="24"/>
        </w:rPr>
        <w:t>投标方提供的货物须是成熟的全新的产品，其技术规格应符合招标文件的要求。如与招标文件的技术规格有偏差，应提供技术规格偏差的量值或说明（偏离表）。如投标方有意隐瞒对规格要求的偏差或在开标后提出新的偏差，招标方有权扣留其投标保证金或/并拒绝其投标。</w:t>
      </w:r>
    </w:p>
    <w:p>
      <w:pPr>
        <w:numPr>
          <w:ilvl w:val="0"/>
          <w:numId w:val="8"/>
        </w:numPr>
        <w:spacing w:line="360" w:lineRule="auto"/>
        <w:ind w:firstLine="480" w:firstLineChars="200"/>
        <w:rPr>
          <w:bCs/>
          <w:sz w:val="24"/>
        </w:rPr>
      </w:pPr>
      <w:r>
        <w:rPr>
          <w:rFonts w:hint="eastAsia"/>
          <w:bCs/>
          <w:sz w:val="24"/>
        </w:rPr>
        <w:t>投标方提供的所有技术文件中的技术指标除非在技术规格中另作规定外,均应使用相应的国际先进标准、中国国家标准、各行业的相应标准、国际标准化组织标准。</w:t>
      </w:r>
    </w:p>
    <w:p>
      <w:pPr>
        <w:numPr>
          <w:ilvl w:val="0"/>
          <w:numId w:val="8"/>
        </w:numPr>
        <w:spacing w:line="360" w:lineRule="auto"/>
        <w:ind w:firstLine="480" w:firstLineChars="200"/>
        <w:rPr>
          <w:rFonts w:cs="宋体"/>
          <w:sz w:val="24"/>
        </w:rPr>
      </w:pPr>
      <w:r>
        <w:rPr>
          <w:rFonts w:hint="eastAsia"/>
          <w:bCs/>
          <w:sz w:val="24"/>
        </w:rPr>
        <w:t>投标方所提供货物的设计、制造、产品性能、材料的选择和材料的检验及产品的测试等,都应按国内外通行的现行标准和相应的技术规范执行。而这些标准和技术规范应为合同签字日为止最新公布发行的标准和技术规范。</w:t>
      </w:r>
    </w:p>
    <w:p>
      <w:pPr>
        <w:numPr>
          <w:ilvl w:val="0"/>
          <w:numId w:val="8"/>
        </w:numPr>
        <w:spacing w:line="360" w:lineRule="auto"/>
        <w:ind w:firstLine="480" w:firstLineChars="200"/>
        <w:rPr>
          <w:bCs/>
          <w:sz w:val="24"/>
        </w:rPr>
      </w:pPr>
      <w:r>
        <w:rPr>
          <w:rFonts w:hint="eastAsia"/>
          <w:bCs/>
          <w:sz w:val="24"/>
        </w:rPr>
        <w:t>投标方提供货物所使用的度量衡单位除技术规格中另有规定外，应统一用公制单位。</w:t>
      </w:r>
    </w:p>
    <w:p>
      <w:pPr>
        <w:numPr>
          <w:ilvl w:val="0"/>
          <w:numId w:val="8"/>
        </w:numPr>
        <w:spacing w:line="360" w:lineRule="auto"/>
        <w:ind w:firstLine="480" w:firstLineChars="200"/>
        <w:rPr>
          <w:bCs/>
          <w:sz w:val="24"/>
        </w:rPr>
      </w:pPr>
      <w:r>
        <w:rPr>
          <w:rFonts w:hint="eastAsia"/>
          <w:bCs/>
          <w:sz w:val="24"/>
        </w:rPr>
        <w:t>为便于用户进行接收仪器的准备工作，中标方应在合同生效后60天内向招标方提供一套完整的使用说明书、操作手册、维修说明等文件。另一套完整上述资料应在交货时随货包装提供给招标方，这些费用应计入投标价中。</w:t>
      </w:r>
    </w:p>
    <w:p>
      <w:pPr>
        <w:numPr>
          <w:ilvl w:val="0"/>
          <w:numId w:val="8"/>
        </w:numPr>
        <w:spacing w:line="360" w:lineRule="auto"/>
        <w:ind w:firstLine="480" w:firstLineChars="200"/>
        <w:rPr>
          <w:bCs/>
          <w:sz w:val="24"/>
        </w:rPr>
      </w:pPr>
      <w:r>
        <w:rPr>
          <w:rFonts w:hint="eastAsia"/>
          <w:bCs/>
          <w:sz w:val="24"/>
        </w:rPr>
        <w:t>关于设备的调试，如果有必要的准备条件，中标方应在合同生效后一个月内向招标方提出详细的要求或计划。调试的费用应计入投标价中，并应单独列出，供评标使用。</w:t>
      </w:r>
    </w:p>
    <w:p>
      <w:pPr>
        <w:numPr>
          <w:ilvl w:val="0"/>
          <w:numId w:val="8"/>
        </w:numPr>
        <w:spacing w:line="360" w:lineRule="auto"/>
        <w:ind w:firstLine="480" w:firstLineChars="200"/>
        <w:rPr>
          <w:bCs/>
          <w:sz w:val="24"/>
        </w:rPr>
      </w:pPr>
      <w:r>
        <w:rPr>
          <w:rFonts w:hint="eastAsia"/>
          <w:bCs/>
          <w:sz w:val="24"/>
        </w:rPr>
        <w:t>制造厂家提供的培训指的是涉及货物的基本原理、操作使用和保养维修等有关内容的培训。培训教员的培训费、旅费、食宿费等费用和培训场地费及培训资料费均应由中标方支付。</w:t>
      </w:r>
    </w:p>
    <w:p>
      <w:pPr>
        <w:numPr>
          <w:ilvl w:val="0"/>
          <w:numId w:val="8"/>
        </w:numPr>
        <w:spacing w:line="360" w:lineRule="auto"/>
        <w:ind w:firstLine="480" w:firstLineChars="200"/>
        <w:rPr>
          <w:bCs/>
          <w:sz w:val="24"/>
        </w:rPr>
      </w:pPr>
      <w:r>
        <w:rPr>
          <w:rFonts w:hint="eastAsia"/>
          <w:bCs/>
          <w:sz w:val="24"/>
        </w:rPr>
        <w:t>在评标过程中，招标方有权向投标方索取任何与评标有关的资料，投标方务必在接到此类要求后，在规定时间内予以答复。对于无答复的投标方，招标方有权拒绝其投标。</w:t>
      </w:r>
    </w:p>
    <w:p>
      <w:pPr>
        <w:numPr>
          <w:ilvl w:val="0"/>
          <w:numId w:val="8"/>
        </w:numPr>
        <w:spacing w:line="360" w:lineRule="auto"/>
        <w:ind w:firstLine="480" w:firstLineChars="200"/>
        <w:rPr>
          <w:bCs/>
          <w:sz w:val="24"/>
        </w:rPr>
      </w:pPr>
      <w:r>
        <w:rPr>
          <w:rFonts w:hint="eastAsia"/>
          <w:bCs/>
          <w:sz w:val="24"/>
        </w:rPr>
        <w:t>所有设备生产前，其配置要经过招标方审核通过后方可进行。</w:t>
      </w:r>
    </w:p>
    <w:p>
      <w:pPr>
        <w:numPr>
          <w:ilvl w:val="0"/>
          <w:numId w:val="8"/>
        </w:numPr>
        <w:spacing w:line="360" w:lineRule="auto"/>
        <w:ind w:firstLine="480" w:firstLineChars="200"/>
        <w:rPr>
          <w:bCs/>
          <w:sz w:val="24"/>
        </w:rPr>
      </w:pPr>
      <w:r>
        <w:rPr>
          <w:rFonts w:hint="eastAsia"/>
          <w:bCs/>
          <w:sz w:val="24"/>
        </w:rPr>
        <w:t>遵循的通用标准及规范</w:t>
      </w:r>
    </w:p>
    <w:p>
      <w:pPr>
        <w:spacing w:line="360" w:lineRule="auto"/>
        <w:ind w:left="420" w:leftChars="200"/>
        <w:rPr>
          <w:bCs/>
          <w:sz w:val="24"/>
        </w:rPr>
      </w:pPr>
      <w:r>
        <w:rPr>
          <w:rFonts w:hint="eastAsia"/>
          <w:bCs/>
          <w:sz w:val="24"/>
        </w:rPr>
        <w:t>GB 3836 《爆炸性气体环境用电气设备》</w:t>
      </w:r>
    </w:p>
    <w:p>
      <w:pPr>
        <w:spacing w:line="360" w:lineRule="auto"/>
        <w:ind w:left="420" w:leftChars="200"/>
        <w:rPr>
          <w:bCs/>
          <w:sz w:val="24"/>
        </w:rPr>
      </w:pPr>
      <w:r>
        <w:rPr>
          <w:rFonts w:hint="eastAsia"/>
          <w:bCs/>
          <w:sz w:val="24"/>
        </w:rPr>
        <w:t>GB 4208 《外壳防护等级（IP 代码）》</w:t>
      </w:r>
    </w:p>
    <w:p>
      <w:pPr>
        <w:spacing w:line="360" w:lineRule="auto"/>
        <w:ind w:left="420" w:leftChars="200"/>
        <w:rPr>
          <w:bCs/>
          <w:sz w:val="24"/>
        </w:rPr>
      </w:pPr>
      <w:r>
        <w:rPr>
          <w:rFonts w:hint="eastAsia"/>
          <w:bCs/>
          <w:sz w:val="24"/>
        </w:rPr>
        <w:t>GB 50058 《爆炸危险环境电力装置设计规范》</w:t>
      </w:r>
    </w:p>
    <w:p>
      <w:pPr>
        <w:spacing w:line="360" w:lineRule="auto"/>
        <w:ind w:left="420" w:leftChars="200"/>
        <w:rPr>
          <w:bCs/>
          <w:sz w:val="24"/>
        </w:rPr>
      </w:pPr>
      <w:r>
        <w:rPr>
          <w:rFonts w:hint="eastAsia"/>
          <w:bCs/>
          <w:sz w:val="24"/>
        </w:rPr>
        <w:t>HG/T 20592-2009 《钢质管法兰（PN 系列）》</w:t>
      </w:r>
    </w:p>
    <w:p>
      <w:pPr>
        <w:spacing w:line="360" w:lineRule="auto"/>
        <w:ind w:left="420" w:leftChars="200"/>
        <w:rPr>
          <w:bCs/>
          <w:sz w:val="24"/>
        </w:rPr>
      </w:pPr>
      <w:r>
        <w:rPr>
          <w:rFonts w:hint="eastAsia"/>
          <w:bCs/>
          <w:sz w:val="24"/>
        </w:rPr>
        <w:t>HG/T 20553-2011 《化工配管用无缝及焊接钢管尺寸选用系列》</w:t>
      </w:r>
    </w:p>
    <w:p>
      <w:pPr>
        <w:spacing w:line="360" w:lineRule="auto"/>
        <w:ind w:left="420" w:leftChars="200"/>
        <w:rPr>
          <w:bCs/>
          <w:sz w:val="24"/>
        </w:rPr>
      </w:pPr>
      <w:r>
        <w:rPr>
          <w:rFonts w:hint="eastAsia"/>
          <w:bCs/>
          <w:sz w:val="24"/>
        </w:rPr>
        <w:t>DL/T5000 《火力发电厂设计技术规程》</w:t>
      </w:r>
    </w:p>
    <w:p>
      <w:pPr>
        <w:spacing w:line="360" w:lineRule="auto"/>
        <w:ind w:left="420" w:leftChars="200"/>
        <w:rPr>
          <w:bCs/>
          <w:sz w:val="24"/>
        </w:rPr>
      </w:pPr>
      <w:r>
        <w:rPr>
          <w:rFonts w:hint="eastAsia"/>
          <w:bCs/>
          <w:sz w:val="24"/>
        </w:rPr>
        <w:t xml:space="preserve">DL/T5068 《火力发电厂化学设计技术规程》 </w:t>
      </w:r>
    </w:p>
    <w:p>
      <w:pPr>
        <w:spacing w:line="360" w:lineRule="auto"/>
        <w:ind w:left="420" w:leftChars="200"/>
        <w:rPr>
          <w:bCs/>
          <w:sz w:val="24"/>
        </w:rPr>
      </w:pPr>
      <w:r>
        <w:rPr>
          <w:rFonts w:hint="eastAsia"/>
          <w:bCs/>
          <w:sz w:val="24"/>
        </w:rPr>
        <w:t>DL/T 5072-2007 《火力发电厂保温油漆设计规程》</w:t>
      </w:r>
    </w:p>
    <w:p>
      <w:pPr>
        <w:spacing w:line="360" w:lineRule="auto"/>
        <w:ind w:left="420" w:leftChars="200"/>
        <w:rPr>
          <w:bCs/>
          <w:sz w:val="24"/>
        </w:rPr>
      </w:pPr>
      <w:r>
        <w:rPr>
          <w:rFonts w:hint="eastAsia"/>
          <w:bCs/>
          <w:sz w:val="24"/>
        </w:rPr>
        <w:t>GB150 《压力容器》</w:t>
      </w:r>
    </w:p>
    <w:p>
      <w:pPr>
        <w:spacing w:line="360" w:lineRule="auto"/>
        <w:ind w:left="420" w:leftChars="200"/>
        <w:rPr>
          <w:bCs/>
          <w:sz w:val="24"/>
        </w:rPr>
      </w:pPr>
      <w:r>
        <w:rPr>
          <w:rFonts w:hint="eastAsia"/>
          <w:bCs/>
          <w:sz w:val="24"/>
        </w:rPr>
        <w:t>HG/T20677 《橡胶衬里化工设备》</w:t>
      </w:r>
    </w:p>
    <w:p>
      <w:pPr>
        <w:spacing w:line="360" w:lineRule="auto"/>
        <w:ind w:left="420" w:leftChars="200"/>
        <w:rPr>
          <w:bCs/>
          <w:sz w:val="24"/>
        </w:rPr>
      </w:pPr>
      <w:r>
        <w:rPr>
          <w:rFonts w:hint="eastAsia"/>
          <w:bCs/>
          <w:sz w:val="24"/>
        </w:rPr>
        <w:t>GB/T50109 《工业用水软化除盐设计规范》</w:t>
      </w:r>
    </w:p>
    <w:p>
      <w:pPr>
        <w:spacing w:line="360" w:lineRule="auto"/>
        <w:ind w:left="420" w:leftChars="200"/>
        <w:rPr>
          <w:bCs/>
          <w:sz w:val="24"/>
        </w:rPr>
      </w:pPr>
      <w:r>
        <w:rPr>
          <w:rFonts w:hint="eastAsia"/>
          <w:bCs/>
          <w:sz w:val="24"/>
        </w:rPr>
        <w:t>GB/T50265-2010 《泵站设计规范》</w:t>
      </w:r>
    </w:p>
    <w:p>
      <w:pPr>
        <w:spacing w:line="360" w:lineRule="auto"/>
        <w:ind w:left="420" w:leftChars="200"/>
        <w:rPr>
          <w:bCs/>
          <w:sz w:val="24"/>
        </w:rPr>
      </w:pPr>
      <w:r>
        <w:rPr>
          <w:rFonts w:hint="eastAsia"/>
          <w:bCs/>
          <w:sz w:val="24"/>
        </w:rPr>
        <w:t>ISO9001 《质量系统的设计、生产、安装和服务的质量保证体系》</w:t>
      </w:r>
    </w:p>
    <w:p>
      <w:pPr>
        <w:spacing w:line="360" w:lineRule="auto"/>
        <w:ind w:left="420" w:leftChars="200"/>
        <w:rPr>
          <w:bCs/>
          <w:sz w:val="24"/>
        </w:rPr>
      </w:pPr>
      <w:r>
        <w:rPr>
          <w:rFonts w:hint="eastAsia"/>
          <w:bCs/>
          <w:sz w:val="24"/>
        </w:rPr>
        <w:t>IEC60034 《旋转电机》</w:t>
      </w:r>
    </w:p>
    <w:p>
      <w:pPr>
        <w:spacing w:line="360" w:lineRule="auto"/>
        <w:ind w:left="420" w:leftChars="200"/>
        <w:rPr>
          <w:bCs/>
          <w:sz w:val="24"/>
        </w:rPr>
      </w:pPr>
      <w:r>
        <w:rPr>
          <w:rFonts w:hint="eastAsia"/>
          <w:bCs/>
          <w:sz w:val="24"/>
        </w:rPr>
        <w:t>ISO10816-1 《机械振动》</w:t>
      </w:r>
    </w:p>
    <w:p>
      <w:pPr>
        <w:spacing w:line="360" w:lineRule="auto"/>
        <w:ind w:left="420" w:leftChars="200"/>
        <w:rPr>
          <w:bCs/>
          <w:sz w:val="24"/>
        </w:rPr>
      </w:pPr>
      <w:r>
        <w:rPr>
          <w:rFonts w:hint="eastAsia"/>
          <w:bCs/>
          <w:sz w:val="24"/>
        </w:rPr>
        <w:t>ISO2858 《离心泵》</w:t>
      </w:r>
    </w:p>
    <w:p>
      <w:pPr>
        <w:spacing w:line="360" w:lineRule="auto"/>
        <w:ind w:left="420" w:leftChars="200"/>
        <w:rPr>
          <w:bCs/>
          <w:sz w:val="24"/>
        </w:rPr>
      </w:pPr>
      <w:r>
        <w:rPr>
          <w:rFonts w:hint="eastAsia"/>
          <w:bCs/>
          <w:sz w:val="24"/>
        </w:rPr>
        <w:t>ASTMB165 《不锈钢法兰》</w:t>
      </w:r>
    </w:p>
    <w:p>
      <w:pPr>
        <w:spacing w:line="360" w:lineRule="auto"/>
        <w:ind w:left="420" w:leftChars="200"/>
        <w:rPr>
          <w:bCs/>
          <w:sz w:val="24"/>
        </w:rPr>
      </w:pPr>
      <w:r>
        <w:rPr>
          <w:rFonts w:hint="eastAsia"/>
          <w:bCs/>
          <w:sz w:val="24"/>
        </w:rPr>
        <w:t>GB50260 《电力设施抗震设计规范》</w:t>
      </w:r>
    </w:p>
    <w:p>
      <w:pPr>
        <w:spacing w:line="360" w:lineRule="auto"/>
        <w:ind w:left="420" w:leftChars="200"/>
        <w:rPr>
          <w:bCs/>
          <w:sz w:val="24"/>
        </w:rPr>
      </w:pPr>
      <w:r>
        <w:rPr>
          <w:rFonts w:hint="eastAsia"/>
          <w:bCs/>
          <w:sz w:val="24"/>
        </w:rPr>
        <w:t>DL/T801 《大型发电机内冷却水质及系统技术要求》</w:t>
      </w:r>
    </w:p>
    <w:p>
      <w:pPr>
        <w:spacing w:line="360" w:lineRule="auto"/>
        <w:ind w:left="420" w:leftChars="200"/>
        <w:rPr>
          <w:bCs/>
          <w:sz w:val="24"/>
        </w:rPr>
      </w:pPr>
      <w:r>
        <w:rPr>
          <w:rFonts w:hint="eastAsia"/>
          <w:bCs/>
          <w:sz w:val="24"/>
        </w:rPr>
        <w:t>JB/ZQ4170-2006 《焊接设计规范》</w:t>
      </w:r>
    </w:p>
    <w:p>
      <w:pPr>
        <w:spacing w:line="360" w:lineRule="auto"/>
        <w:ind w:left="420" w:leftChars="200"/>
        <w:rPr>
          <w:bCs/>
          <w:sz w:val="24"/>
        </w:rPr>
      </w:pPr>
      <w:r>
        <w:rPr>
          <w:rFonts w:hint="eastAsia"/>
          <w:bCs/>
          <w:sz w:val="24"/>
        </w:rPr>
        <w:t>GB50014-2016 《室外排水设计规范》</w:t>
      </w:r>
    </w:p>
    <w:p>
      <w:pPr>
        <w:spacing w:line="360" w:lineRule="auto"/>
        <w:ind w:left="420" w:leftChars="200"/>
        <w:rPr>
          <w:bCs/>
          <w:sz w:val="24"/>
        </w:rPr>
      </w:pPr>
      <w:r>
        <w:rPr>
          <w:rFonts w:hint="eastAsia"/>
          <w:bCs/>
          <w:sz w:val="24"/>
        </w:rPr>
        <w:t>GB50013-2006 《室外给水设计规范》</w:t>
      </w:r>
    </w:p>
    <w:p>
      <w:pPr>
        <w:spacing w:line="360" w:lineRule="auto"/>
        <w:ind w:left="420" w:leftChars="200"/>
        <w:rPr>
          <w:bCs/>
          <w:sz w:val="24"/>
        </w:rPr>
      </w:pPr>
      <w:r>
        <w:rPr>
          <w:rFonts w:hint="eastAsia"/>
          <w:bCs/>
          <w:sz w:val="24"/>
        </w:rPr>
        <w:t>GB50050-2007 《工业循环冷却水处理设计规范》</w:t>
      </w:r>
    </w:p>
    <w:p>
      <w:pPr>
        <w:spacing w:line="360" w:lineRule="auto"/>
        <w:ind w:left="420" w:leftChars="200"/>
        <w:rPr>
          <w:bCs/>
          <w:sz w:val="24"/>
        </w:rPr>
      </w:pPr>
      <w:r>
        <w:rPr>
          <w:rFonts w:hint="eastAsia"/>
          <w:bCs/>
          <w:sz w:val="24"/>
        </w:rPr>
        <w:t>GB50231-2009 《机械设备安装工程施工及验收通用规范》</w:t>
      </w:r>
    </w:p>
    <w:p>
      <w:pPr>
        <w:spacing w:line="360" w:lineRule="auto"/>
        <w:ind w:left="420" w:leftChars="200"/>
        <w:rPr>
          <w:bCs/>
          <w:sz w:val="24"/>
        </w:rPr>
      </w:pPr>
      <w:r>
        <w:rPr>
          <w:rFonts w:hint="eastAsia"/>
          <w:bCs/>
          <w:sz w:val="24"/>
        </w:rPr>
        <w:t>GB/T14976-2012 《流体输送用不锈钢无缝钢管》</w:t>
      </w:r>
    </w:p>
    <w:p>
      <w:pPr>
        <w:spacing w:line="360" w:lineRule="auto"/>
        <w:ind w:left="420" w:leftChars="200"/>
        <w:rPr>
          <w:bCs/>
          <w:sz w:val="24"/>
        </w:rPr>
      </w:pPr>
      <w:r>
        <w:rPr>
          <w:rFonts w:hint="eastAsia"/>
          <w:bCs/>
          <w:sz w:val="24"/>
        </w:rPr>
        <w:t>GB/T12771-2008 《流体输送用不锈钢焊接钢管》</w:t>
      </w:r>
    </w:p>
    <w:p>
      <w:pPr>
        <w:spacing w:line="360" w:lineRule="auto"/>
        <w:ind w:left="420" w:leftChars="200"/>
        <w:rPr>
          <w:bCs/>
          <w:sz w:val="24"/>
        </w:rPr>
      </w:pPr>
      <w:r>
        <w:rPr>
          <w:rFonts w:hint="eastAsia"/>
          <w:bCs/>
          <w:sz w:val="24"/>
        </w:rPr>
        <w:t>HG/T20553-2011 《化工配管用无缝及焊接钢管尺寸选用系列》</w:t>
      </w:r>
    </w:p>
    <w:p>
      <w:pPr>
        <w:spacing w:line="360" w:lineRule="auto"/>
        <w:ind w:left="420" w:leftChars="200"/>
        <w:rPr>
          <w:bCs/>
          <w:sz w:val="24"/>
        </w:rPr>
      </w:pPr>
      <w:r>
        <w:rPr>
          <w:rFonts w:hint="eastAsia"/>
          <w:bCs/>
          <w:sz w:val="24"/>
        </w:rPr>
        <w:t>HG/T20592-2009 《钢制管法兰、垫片、紧固件》</w:t>
      </w:r>
    </w:p>
    <w:p>
      <w:pPr>
        <w:spacing w:line="360" w:lineRule="auto"/>
        <w:ind w:left="420" w:leftChars="200"/>
        <w:rPr>
          <w:bCs/>
          <w:sz w:val="24"/>
        </w:rPr>
      </w:pPr>
      <w:r>
        <w:rPr>
          <w:rFonts w:hint="eastAsia"/>
          <w:bCs/>
          <w:sz w:val="24"/>
        </w:rPr>
        <w:t>GB50264-2013 《工业设备及管道绝热工程设计规范》</w:t>
      </w:r>
    </w:p>
    <w:p>
      <w:pPr>
        <w:spacing w:line="360" w:lineRule="auto"/>
        <w:ind w:left="420" w:leftChars="200"/>
        <w:rPr>
          <w:bCs/>
          <w:sz w:val="24"/>
        </w:rPr>
      </w:pPr>
      <w:r>
        <w:rPr>
          <w:rFonts w:hint="eastAsia"/>
          <w:bCs/>
          <w:sz w:val="24"/>
        </w:rPr>
        <w:t>GB50316-2000（2008 版）《工业金属管道设计规范》</w:t>
      </w:r>
    </w:p>
    <w:p>
      <w:pPr>
        <w:spacing w:line="360" w:lineRule="auto"/>
        <w:ind w:left="420" w:leftChars="200"/>
        <w:rPr>
          <w:bCs/>
          <w:sz w:val="24"/>
        </w:rPr>
      </w:pPr>
      <w:r>
        <w:rPr>
          <w:rFonts w:hint="eastAsia"/>
          <w:bCs/>
          <w:sz w:val="24"/>
        </w:rPr>
        <w:t>GB50235-2010 《工业金属管道工程施工规范》</w:t>
      </w:r>
    </w:p>
    <w:p>
      <w:pPr>
        <w:spacing w:line="360" w:lineRule="auto"/>
        <w:ind w:left="420" w:leftChars="200"/>
        <w:rPr>
          <w:bCs/>
          <w:sz w:val="24"/>
        </w:rPr>
      </w:pPr>
      <w:r>
        <w:rPr>
          <w:rFonts w:hint="eastAsia"/>
          <w:bCs/>
          <w:sz w:val="24"/>
        </w:rPr>
        <w:t>GB50184-2011 《工业金属管道工程施工质量验收规范》</w:t>
      </w:r>
    </w:p>
    <w:p>
      <w:pPr>
        <w:spacing w:line="360" w:lineRule="auto"/>
        <w:ind w:left="420" w:leftChars="200"/>
        <w:rPr>
          <w:bCs/>
          <w:sz w:val="24"/>
        </w:rPr>
      </w:pPr>
      <w:r>
        <w:rPr>
          <w:rFonts w:hint="eastAsia"/>
          <w:bCs/>
          <w:sz w:val="24"/>
        </w:rPr>
        <w:t>GB50236-2011 《现场设备、工业管道焊接工程施工及验收规范》</w:t>
      </w:r>
    </w:p>
    <w:p>
      <w:pPr>
        <w:spacing w:line="360" w:lineRule="auto"/>
        <w:ind w:left="420" w:leftChars="200"/>
        <w:rPr>
          <w:bCs/>
          <w:sz w:val="24"/>
        </w:rPr>
      </w:pPr>
      <w:r>
        <w:rPr>
          <w:rFonts w:hint="eastAsia"/>
          <w:bCs/>
          <w:sz w:val="24"/>
        </w:rPr>
        <w:t>GB 50727-2011 《工业设备及管道防腐蚀工程施工质量验收规范》</w:t>
      </w:r>
    </w:p>
    <w:p>
      <w:pPr>
        <w:spacing w:line="360" w:lineRule="auto"/>
        <w:ind w:left="420" w:leftChars="200"/>
        <w:rPr>
          <w:bCs/>
          <w:sz w:val="24"/>
        </w:rPr>
      </w:pPr>
      <w:r>
        <w:rPr>
          <w:rFonts w:hint="eastAsia"/>
          <w:bCs/>
          <w:sz w:val="24"/>
        </w:rPr>
        <w:t>GB50185- 2000 《工业设备及管道绝热工程施工质量验收规范》</w:t>
      </w:r>
    </w:p>
    <w:p>
      <w:pPr>
        <w:spacing w:line="360" w:lineRule="auto"/>
        <w:ind w:left="420" w:leftChars="200"/>
        <w:rPr>
          <w:bCs/>
          <w:sz w:val="24"/>
        </w:rPr>
      </w:pPr>
      <w:r>
        <w:rPr>
          <w:rFonts w:hint="eastAsia"/>
          <w:bCs/>
          <w:sz w:val="24"/>
        </w:rPr>
        <w:t>GB50231- 2009 《机械设备安装工程施工及验收通用规范》</w:t>
      </w:r>
    </w:p>
    <w:p>
      <w:pPr>
        <w:spacing w:line="360" w:lineRule="auto"/>
        <w:ind w:left="420" w:leftChars="200"/>
        <w:rPr>
          <w:bCs/>
          <w:sz w:val="24"/>
        </w:rPr>
      </w:pPr>
      <w:r>
        <w:rPr>
          <w:rFonts w:hint="eastAsia"/>
          <w:bCs/>
          <w:sz w:val="24"/>
        </w:rPr>
        <w:t>GB50683-2011 《现场设备、工业管道焊接工程施工质量验收规范》</w:t>
      </w:r>
    </w:p>
    <w:p>
      <w:pPr>
        <w:spacing w:line="360" w:lineRule="auto"/>
        <w:ind w:left="420" w:leftChars="200"/>
        <w:rPr>
          <w:bCs/>
          <w:sz w:val="24"/>
        </w:rPr>
      </w:pPr>
      <w:r>
        <w:rPr>
          <w:rFonts w:hint="eastAsia"/>
          <w:bCs/>
          <w:sz w:val="24"/>
        </w:rPr>
        <w:t>Q/GDW1527-2015 《高压直流输电换流阀冷却系统技术规范》</w:t>
      </w:r>
    </w:p>
    <w:p>
      <w:pPr>
        <w:numPr>
          <w:ilvl w:val="0"/>
          <w:numId w:val="8"/>
        </w:numPr>
        <w:spacing w:line="360" w:lineRule="auto"/>
        <w:ind w:firstLine="480" w:firstLineChars="200"/>
        <w:rPr>
          <w:bCs/>
          <w:sz w:val="24"/>
        </w:rPr>
      </w:pPr>
      <w:r>
        <w:rPr>
          <w:rFonts w:hint="eastAsia"/>
          <w:bCs/>
          <w:sz w:val="24"/>
        </w:rPr>
        <w:t>买卖双方往来文函、传真、电子邮件或经双方认可的其他资料。</w:t>
      </w:r>
    </w:p>
    <w:p>
      <w:pPr>
        <w:numPr>
          <w:ilvl w:val="0"/>
          <w:numId w:val="8"/>
        </w:numPr>
        <w:spacing w:line="360" w:lineRule="auto"/>
        <w:ind w:firstLine="480" w:firstLineChars="200"/>
        <w:rPr>
          <w:bCs/>
          <w:sz w:val="24"/>
        </w:rPr>
      </w:pPr>
      <w:r>
        <w:rPr>
          <w:rFonts w:hint="eastAsia"/>
          <w:bCs/>
          <w:sz w:val="24"/>
        </w:rPr>
        <w:t>有关设备供应商提供的相关技术资料。</w:t>
      </w:r>
    </w:p>
    <w:p>
      <w:pPr>
        <w:numPr>
          <w:ilvl w:val="0"/>
          <w:numId w:val="8"/>
        </w:numPr>
        <w:spacing w:line="360" w:lineRule="auto"/>
        <w:ind w:firstLine="480" w:firstLineChars="200"/>
        <w:rPr>
          <w:bCs/>
          <w:sz w:val="24"/>
          <w:u w:val="single"/>
        </w:rPr>
      </w:pPr>
      <w:r>
        <w:rPr>
          <w:rFonts w:hint="eastAsia"/>
          <w:bCs/>
          <w:sz w:val="24"/>
        </w:rPr>
        <w:t>文件、谈判和各种会议均以中文为工作语言，计量单位采用国际计量制。</w:t>
      </w:r>
    </w:p>
    <w:p>
      <w:pPr>
        <w:pStyle w:val="9"/>
        <w:spacing w:before="156"/>
        <w:ind w:firstLine="482" w:firstLineChars="200"/>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2.2冷水机组技术要求</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2.2.1总体要求</w:t>
      </w:r>
    </w:p>
    <w:p>
      <w:pPr>
        <w:numPr>
          <w:ilvl w:val="0"/>
          <w:numId w:val="9"/>
        </w:numPr>
        <w:spacing w:line="360" w:lineRule="auto"/>
        <w:ind w:left="0" w:firstLine="480" w:firstLineChars="200"/>
        <w:rPr>
          <w:rFonts w:cs="仿宋_GB2312"/>
          <w:sz w:val="24"/>
        </w:rPr>
      </w:pPr>
      <w:r>
        <w:rPr>
          <w:rFonts w:hint="eastAsia" w:cs="仿宋_GB2312"/>
          <w:sz w:val="24"/>
        </w:rPr>
        <w:t>投标方需对本技术规格书各项条款作出响应，打</w:t>
      </w:r>
      <w:r>
        <w:rPr>
          <w:rFonts w:hint="eastAsia" w:hAnsi="宋体" w:cs="宋体"/>
          <w:b/>
          <w:sz w:val="24"/>
        </w:rPr>
        <w:t>*</w:t>
      </w:r>
      <w:r>
        <w:rPr>
          <w:rFonts w:hint="eastAsia" w:cs="仿宋_GB2312"/>
          <w:sz w:val="24"/>
        </w:rPr>
        <w:t>号为实质性条款，不允许负偏离。投标方应在技术偏差表中根据本章技术要求内容对各项技术参数指标进行实质性响应，并列出具体参数，投标方应保证响应技术参数的真实性。</w:t>
      </w:r>
    </w:p>
    <w:p>
      <w:pPr>
        <w:numPr>
          <w:ilvl w:val="0"/>
          <w:numId w:val="9"/>
        </w:numPr>
        <w:spacing w:line="360" w:lineRule="auto"/>
        <w:ind w:left="0" w:firstLine="482" w:firstLineChars="200"/>
        <w:rPr>
          <w:rFonts w:cs="仿宋_GB2312"/>
          <w:b/>
          <w:bCs/>
          <w:sz w:val="24"/>
        </w:rPr>
      </w:pPr>
      <w:r>
        <w:rPr>
          <w:rFonts w:hint="eastAsia" w:cs="仿宋_GB2312"/>
          <w:b/>
          <w:bCs/>
          <w:sz w:val="24"/>
        </w:rPr>
        <w:t>*投标方及制造厂商必须具有 ISO9001 质量体系认证证书、ISO14001 环境管理体系认证证书、ISO45001 职业健康安全管理体系认证证书且在有效期内。</w:t>
      </w:r>
    </w:p>
    <w:p>
      <w:pPr>
        <w:numPr>
          <w:ilvl w:val="0"/>
          <w:numId w:val="9"/>
        </w:numPr>
        <w:spacing w:line="360" w:lineRule="auto"/>
        <w:ind w:left="0" w:firstLine="482" w:firstLineChars="200"/>
        <w:rPr>
          <w:rFonts w:cs="仿宋_GB2312"/>
          <w:b/>
          <w:bCs/>
          <w:sz w:val="24"/>
        </w:rPr>
      </w:pPr>
      <w:r>
        <w:rPr>
          <w:rFonts w:hint="eastAsia" w:cs="仿宋_GB2312"/>
          <w:b/>
          <w:bCs/>
          <w:sz w:val="24"/>
        </w:rPr>
        <w:t>*投标方提供投标空调设备不应低于投标设备设计、制造、试验、验收和安全等方面的国家标准和规范要求，出现两者差异，以较高要求为准。</w:t>
      </w:r>
    </w:p>
    <w:p>
      <w:pPr>
        <w:numPr>
          <w:ilvl w:val="0"/>
          <w:numId w:val="9"/>
        </w:numPr>
        <w:spacing w:line="360" w:lineRule="auto"/>
        <w:ind w:left="0" w:firstLine="482" w:firstLineChars="200"/>
        <w:rPr>
          <w:rFonts w:cs="仿宋_GB2312"/>
          <w:b/>
          <w:bCs/>
          <w:sz w:val="24"/>
        </w:rPr>
      </w:pPr>
      <w:r>
        <w:rPr>
          <w:rFonts w:hint="eastAsia" w:cs="仿宋_GB2312"/>
          <w:b/>
          <w:bCs/>
          <w:sz w:val="24"/>
        </w:rPr>
        <w:t>*投标方保证提供投标设备为全新的合格产品，必须在工厂完成组装。冷水机组制造厂商本身须具有特种设备制造许可证。</w:t>
      </w:r>
    </w:p>
    <w:p>
      <w:pPr>
        <w:numPr>
          <w:ilvl w:val="0"/>
          <w:numId w:val="9"/>
        </w:numPr>
        <w:spacing w:line="360" w:lineRule="auto"/>
        <w:ind w:left="0" w:firstLine="482" w:firstLineChars="200"/>
        <w:rPr>
          <w:rFonts w:cs="仿宋_GB2312"/>
          <w:b/>
          <w:bCs/>
          <w:sz w:val="24"/>
        </w:rPr>
      </w:pPr>
      <w:r>
        <w:rPr>
          <w:rFonts w:hint="eastAsia" w:cs="仿宋_GB2312"/>
          <w:b/>
          <w:bCs/>
          <w:sz w:val="24"/>
        </w:rPr>
        <w:t>*投标设备必须是制造厂商近年来定型投产的该规格型号的成熟产品，并在投标文件中提供印刷版样本予以证明，投标方提供的设备应由国家认可授权的标准测试机构执行认证，其认证包括 CRAA 认证或 AHRI 认证、节能产品认证，并证明符合有关规范及技术要求。</w:t>
      </w:r>
    </w:p>
    <w:p>
      <w:pPr>
        <w:numPr>
          <w:ilvl w:val="0"/>
          <w:numId w:val="9"/>
        </w:numPr>
        <w:spacing w:line="360" w:lineRule="auto"/>
        <w:ind w:left="0" w:firstLine="480" w:firstLineChars="200"/>
        <w:rPr>
          <w:rFonts w:cs="仿宋_GB2312"/>
          <w:sz w:val="24"/>
        </w:rPr>
      </w:pPr>
      <w:r>
        <w:rPr>
          <w:rFonts w:hint="eastAsia" w:cs="仿宋_GB2312"/>
          <w:sz w:val="24"/>
        </w:rPr>
        <w:t>投标方须说明投标设备生产集成过程中，所采用的主要组件、设备的名称、数量、规格型号、材质、生产厂家、产地等，并提供相应的资料。</w:t>
      </w:r>
    </w:p>
    <w:p>
      <w:pPr>
        <w:numPr>
          <w:ilvl w:val="0"/>
          <w:numId w:val="9"/>
        </w:numPr>
        <w:spacing w:line="360" w:lineRule="auto"/>
        <w:ind w:left="0" w:firstLine="480" w:firstLineChars="200"/>
        <w:rPr>
          <w:rFonts w:cs="仿宋_GB2312"/>
          <w:sz w:val="24"/>
        </w:rPr>
      </w:pPr>
      <w:r>
        <w:rPr>
          <w:rFonts w:hint="eastAsia" w:cs="仿宋_GB2312"/>
          <w:sz w:val="24"/>
        </w:rPr>
        <w:t>投标设备设计必须考虑防火、防尘、防雨、防晒、环保、耐用、节能、容易清洁及便于日常维修，并以安全为原则。使用的材料符合国家相关的环保和防火规范要求。</w:t>
      </w:r>
    </w:p>
    <w:p>
      <w:pPr>
        <w:numPr>
          <w:ilvl w:val="0"/>
          <w:numId w:val="9"/>
        </w:numPr>
        <w:spacing w:line="360" w:lineRule="auto"/>
        <w:ind w:left="0" w:firstLine="480" w:firstLineChars="200"/>
        <w:rPr>
          <w:rFonts w:cs="仿宋_GB2312"/>
          <w:sz w:val="24"/>
        </w:rPr>
      </w:pPr>
      <w:r>
        <w:rPr>
          <w:rFonts w:hint="eastAsia" w:cs="仿宋_GB2312"/>
          <w:sz w:val="24"/>
        </w:rPr>
        <w:t>投标方在投标设备设计制造时要充分考虑电压瞬间高压、设备进水、短路等非正常情况发生时，避免重要或价值高部件损坏的措施。</w:t>
      </w:r>
    </w:p>
    <w:p>
      <w:pPr>
        <w:numPr>
          <w:ilvl w:val="0"/>
          <w:numId w:val="9"/>
        </w:numPr>
        <w:spacing w:line="360" w:lineRule="auto"/>
        <w:ind w:left="0" w:firstLine="480" w:firstLineChars="200"/>
        <w:rPr>
          <w:rFonts w:cs="仿宋_GB2312"/>
          <w:sz w:val="24"/>
        </w:rPr>
      </w:pPr>
      <w:r>
        <w:rPr>
          <w:rFonts w:hint="eastAsia" w:cs="仿宋_GB2312"/>
          <w:sz w:val="24"/>
        </w:rPr>
        <w:t>为确保投标方提供的设备技术性能参数满足设计要求的系统功能，通过招标确定中标商后，应进行设计联络，设计联络的成果以《设备主要技术性能参数确认表》或《设计联络会议纪要》的形式体现。投标方应在设计方对《设备主要技术参数确认表》进行签字认可后，方可实施。</w:t>
      </w:r>
    </w:p>
    <w:p>
      <w:pPr>
        <w:numPr>
          <w:ilvl w:val="0"/>
          <w:numId w:val="9"/>
        </w:numPr>
        <w:spacing w:line="360" w:lineRule="auto"/>
        <w:ind w:left="0" w:firstLine="480" w:firstLineChars="200"/>
        <w:rPr>
          <w:rFonts w:cs="仿宋_GB2312"/>
          <w:sz w:val="24"/>
        </w:rPr>
      </w:pPr>
      <w:r>
        <w:rPr>
          <w:rFonts w:hint="eastAsia" w:cs="仿宋_GB2312"/>
          <w:sz w:val="24"/>
        </w:rPr>
        <w:t>所有设备应满足连续运行 24 小时的需求。</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2.2.2设备清单</w:t>
      </w:r>
    </w:p>
    <w:p>
      <w:pPr>
        <w:spacing w:line="360" w:lineRule="auto"/>
        <w:ind w:firstLine="480" w:firstLineChars="200"/>
        <w:rPr>
          <w:rFonts w:cs="宋体"/>
          <w:bCs/>
          <w:kern w:val="0"/>
          <w:sz w:val="24"/>
        </w:rPr>
      </w:pPr>
      <w:r>
        <w:rPr>
          <w:rFonts w:hint="eastAsia"/>
          <w:bCs/>
          <w:sz w:val="24"/>
        </w:rPr>
        <w:t>详细设备清单见招标文件附件施工图。</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2.2.3标准规范</w:t>
      </w:r>
    </w:p>
    <w:p>
      <w:pPr>
        <w:spacing w:line="360" w:lineRule="auto"/>
        <w:ind w:firstLine="480" w:firstLineChars="200"/>
        <w:rPr>
          <w:rFonts w:cs="仿宋_GB2312"/>
          <w:sz w:val="24"/>
        </w:rPr>
      </w:pPr>
      <w:r>
        <w:rPr>
          <w:rFonts w:hint="eastAsia" w:cs="仿宋_GB2312"/>
          <w:sz w:val="24"/>
        </w:rPr>
        <w:t>（1）投标设备须遵守最新版本的国家有关标准、规范及相关规定。包括但不限于以下标准规范：</w:t>
      </w:r>
    </w:p>
    <w:p>
      <w:pPr>
        <w:spacing w:line="480" w:lineRule="exact"/>
        <w:jc w:val="center"/>
        <w:rPr>
          <w:sz w:val="24"/>
        </w:rPr>
      </w:pPr>
      <w:r>
        <w:rPr>
          <w:rFonts w:hint="eastAsia" w:cs="仿宋_GB2312"/>
          <w:sz w:val="24"/>
        </w:rPr>
        <w:t>冷水机组标准规范</w:t>
      </w:r>
    </w:p>
    <w:tbl>
      <w:tblPr>
        <w:tblStyle w:val="6"/>
        <w:tblW w:w="0" w:type="auto"/>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autofit"/>
        <w:tblCellMar>
          <w:top w:w="0" w:type="dxa"/>
          <w:left w:w="108" w:type="dxa"/>
          <w:bottom w:w="0" w:type="dxa"/>
          <w:right w:w="108" w:type="dxa"/>
        </w:tblCellMar>
      </w:tblPr>
      <w:tblGrid>
        <w:gridCol w:w="844"/>
        <w:gridCol w:w="4947"/>
        <w:gridCol w:w="2485"/>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844" w:type="dxa"/>
            <w:vAlign w:val="center"/>
          </w:tcPr>
          <w:p>
            <w:pPr>
              <w:spacing w:line="480" w:lineRule="exact"/>
              <w:jc w:val="center"/>
              <w:rPr>
                <w:sz w:val="24"/>
                <w:szCs w:val="21"/>
              </w:rPr>
            </w:pPr>
            <w:r>
              <w:rPr>
                <w:rFonts w:hint="eastAsia"/>
                <w:sz w:val="24"/>
                <w:szCs w:val="21"/>
              </w:rPr>
              <w:t>序号</w:t>
            </w:r>
          </w:p>
        </w:tc>
        <w:tc>
          <w:tcPr>
            <w:tcW w:w="4947" w:type="dxa"/>
            <w:vAlign w:val="center"/>
          </w:tcPr>
          <w:p>
            <w:pPr>
              <w:spacing w:line="480" w:lineRule="exact"/>
              <w:jc w:val="center"/>
              <w:rPr>
                <w:sz w:val="24"/>
                <w:szCs w:val="21"/>
              </w:rPr>
            </w:pPr>
            <w:r>
              <w:rPr>
                <w:rFonts w:hint="eastAsia"/>
                <w:sz w:val="24"/>
                <w:szCs w:val="21"/>
              </w:rPr>
              <w:t>标准名称</w:t>
            </w:r>
          </w:p>
        </w:tc>
        <w:tc>
          <w:tcPr>
            <w:tcW w:w="2485" w:type="dxa"/>
            <w:vAlign w:val="center"/>
          </w:tcPr>
          <w:p>
            <w:pPr>
              <w:spacing w:line="480" w:lineRule="exact"/>
              <w:jc w:val="center"/>
              <w:rPr>
                <w:sz w:val="24"/>
                <w:szCs w:val="21"/>
              </w:rPr>
            </w:pPr>
            <w:r>
              <w:rPr>
                <w:rFonts w:hint="eastAsia"/>
                <w:sz w:val="24"/>
                <w:szCs w:val="21"/>
              </w:rPr>
              <w:t>标准号</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844" w:type="dxa"/>
            <w:vAlign w:val="center"/>
          </w:tcPr>
          <w:p>
            <w:pPr>
              <w:spacing w:line="480" w:lineRule="exact"/>
              <w:jc w:val="center"/>
              <w:rPr>
                <w:sz w:val="24"/>
                <w:szCs w:val="21"/>
              </w:rPr>
            </w:pPr>
            <w:r>
              <w:rPr>
                <w:rFonts w:hint="eastAsia"/>
                <w:sz w:val="24"/>
                <w:szCs w:val="21"/>
              </w:rPr>
              <w:t>1</w:t>
            </w:r>
          </w:p>
        </w:tc>
        <w:tc>
          <w:tcPr>
            <w:tcW w:w="4947" w:type="dxa"/>
            <w:vAlign w:val="center"/>
          </w:tcPr>
          <w:p>
            <w:pPr>
              <w:spacing w:line="480" w:lineRule="exact"/>
              <w:jc w:val="center"/>
              <w:rPr>
                <w:sz w:val="24"/>
                <w:szCs w:val="21"/>
              </w:rPr>
            </w:pPr>
            <w:r>
              <w:rPr>
                <w:rFonts w:hint="eastAsia"/>
                <w:sz w:val="24"/>
                <w:szCs w:val="21"/>
              </w:rPr>
              <w:t>《蒸气压缩循环冷水（热泵）机组第 1 部分：工业或商业用及类似用途的冷水（热泵）机组》</w:t>
            </w:r>
          </w:p>
        </w:tc>
        <w:tc>
          <w:tcPr>
            <w:tcW w:w="2485" w:type="dxa"/>
            <w:vAlign w:val="center"/>
          </w:tcPr>
          <w:p>
            <w:pPr>
              <w:spacing w:line="480" w:lineRule="exact"/>
              <w:jc w:val="center"/>
              <w:rPr>
                <w:sz w:val="24"/>
                <w:szCs w:val="21"/>
              </w:rPr>
            </w:pPr>
            <w:r>
              <w:rPr>
                <w:sz w:val="24"/>
                <w:szCs w:val="21"/>
              </w:rPr>
              <w:t>GB/T 18430.1</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844" w:type="dxa"/>
            <w:vAlign w:val="center"/>
          </w:tcPr>
          <w:p>
            <w:pPr>
              <w:spacing w:line="480" w:lineRule="exact"/>
              <w:jc w:val="center"/>
              <w:rPr>
                <w:sz w:val="24"/>
                <w:szCs w:val="21"/>
              </w:rPr>
            </w:pPr>
            <w:r>
              <w:rPr>
                <w:rFonts w:hint="eastAsia"/>
                <w:sz w:val="24"/>
                <w:szCs w:val="21"/>
              </w:rPr>
              <w:t>2</w:t>
            </w:r>
          </w:p>
        </w:tc>
        <w:tc>
          <w:tcPr>
            <w:tcW w:w="4947" w:type="dxa"/>
            <w:vAlign w:val="center"/>
          </w:tcPr>
          <w:p>
            <w:pPr>
              <w:spacing w:line="480" w:lineRule="exact"/>
              <w:rPr>
                <w:sz w:val="24"/>
                <w:szCs w:val="21"/>
              </w:rPr>
            </w:pPr>
            <w:r>
              <w:rPr>
                <w:rFonts w:hint="eastAsia"/>
                <w:sz w:val="24"/>
                <w:szCs w:val="21"/>
              </w:rPr>
              <w:t>《容积式和离心式冷水（热泵）机组性能试验方法》</w:t>
            </w:r>
          </w:p>
        </w:tc>
        <w:tc>
          <w:tcPr>
            <w:tcW w:w="2485" w:type="dxa"/>
            <w:vAlign w:val="center"/>
          </w:tcPr>
          <w:p>
            <w:pPr>
              <w:spacing w:line="480" w:lineRule="exact"/>
              <w:jc w:val="center"/>
              <w:rPr>
                <w:sz w:val="24"/>
                <w:szCs w:val="21"/>
              </w:rPr>
            </w:pPr>
            <w:r>
              <w:rPr>
                <w:sz w:val="24"/>
                <w:szCs w:val="21"/>
              </w:rPr>
              <w:t>GB/T10870</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844" w:type="dxa"/>
            <w:vAlign w:val="center"/>
          </w:tcPr>
          <w:p>
            <w:pPr>
              <w:spacing w:line="480" w:lineRule="exact"/>
              <w:jc w:val="center"/>
              <w:rPr>
                <w:sz w:val="24"/>
                <w:szCs w:val="21"/>
              </w:rPr>
            </w:pPr>
            <w:r>
              <w:rPr>
                <w:rFonts w:hint="eastAsia"/>
                <w:sz w:val="24"/>
                <w:szCs w:val="21"/>
              </w:rPr>
              <w:t>3</w:t>
            </w:r>
          </w:p>
        </w:tc>
        <w:tc>
          <w:tcPr>
            <w:tcW w:w="4947" w:type="dxa"/>
            <w:vAlign w:val="center"/>
          </w:tcPr>
          <w:p>
            <w:pPr>
              <w:spacing w:line="480" w:lineRule="exact"/>
              <w:jc w:val="center"/>
              <w:rPr>
                <w:sz w:val="24"/>
                <w:szCs w:val="21"/>
              </w:rPr>
            </w:pPr>
            <w:r>
              <w:rPr>
                <w:rFonts w:hint="eastAsia"/>
                <w:sz w:val="24"/>
                <w:szCs w:val="21"/>
              </w:rPr>
              <w:t>《容积式和离心式冷水（热泵）机组安全要求》</w:t>
            </w:r>
          </w:p>
        </w:tc>
        <w:tc>
          <w:tcPr>
            <w:tcW w:w="2485" w:type="dxa"/>
            <w:vAlign w:val="center"/>
          </w:tcPr>
          <w:p>
            <w:pPr>
              <w:spacing w:line="480" w:lineRule="exact"/>
              <w:jc w:val="center"/>
              <w:rPr>
                <w:sz w:val="24"/>
                <w:szCs w:val="21"/>
              </w:rPr>
            </w:pPr>
            <w:r>
              <w:rPr>
                <w:sz w:val="24"/>
                <w:szCs w:val="21"/>
              </w:rPr>
              <w:t>GB/8654</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844" w:type="dxa"/>
            <w:vAlign w:val="center"/>
          </w:tcPr>
          <w:p>
            <w:pPr>
              <w:spacing w:line="480" w:lineRule="exact"/>
              <w:jc w:val="center"/>
              <w:rPr>
                <w:sz w:val="24"/>
                <w:szCs w:val="21"/>
              </w:rPr>
            </w:pPr>
            <w:r>
              <w:rPr>
                <w:rFonts w:hint="eastAsia"/>
                <w:sz w:val="24"/>
                <w:szCs w:val="21"/>
              </w:rPr>
              <w:t>4</w:t>
            </w:r>
          </w:p>
        </w:tc>
        <w:tc>
          <w:tcPr>
            <w:tcW w:w="4947" w:type="dxa"/>
            <w:vAlign w:val="center"/>
          </w:tcPr>
          <w:p>
            <w:pPr>
              <w:spacing w:line="480" w:lineRule="exact"/>
              <w:jc w:val="center"/>
              <w:rPr>
                <w:sz w:val="24"/>
                <w:szCs w:val="21"/>
              </w:rPr>
            </w:pPr>
            <w:r>
              <w:rPr>
                <w:rFonts w:hint="eastAsia"/>
                <w:sz w:val="24"/>
                <w:szCs w:val="21"/>
              </w:rPr>
              <w:t>《螺杆式制冷压缩机》</w:t>
            </w:r>
          </w:p>
        </w:tc>
        <w:tc>
          <w:tcPr>
            <w:tcW w:w="2485" w:type="dxa"/>
            <w:vAlign w:val="center"/>
          </w:tcPr>
          <w:p>
            <w:pPr>
              <w:spacing w:line="480" w:lineRule="exact"/>
              <w:jc w:val="center"/>
              <w:rPr>
                <w:sz w:val="24"/>
                <w:szCs w:val="21"/>
              </w:rPr>
            </w:pPr>
            <w:r>
              <w:rPr>
                <w:sz w:val="24"/>
                <w:szCs w:val="21"/>
              </w:rPr>
              <w:t>GB/T19410</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844" w:type="dxa"/>
            <w:vAlign w:val="center"/>
          </w:tcPr>
          <w:p>
            <w:pPr>
              <w:spacing w:line="480" w:lineRule="exact"/>
              <w:jc w:val="center"/>
              <w:rPr>
                <w:sz w:val="24"/>
                <w:szCs w:val="21"/>
              </w:rPr>
            </w:pPr>
            <w:r>
              <w:rPr>
                <w:rFonts w:hint="eastAsia"/>
                <w:sz w:val="24"/>
                <w:szCs w:val="21"/>
              </w:rPr>
              <w:t>5</w:t>
            </w:r>
          </w:p>
        </w:tc>
        <w:tc>
          <w:tcPr>
            <w:tcW w:w="4947" w:type="dxa"/>
            <w:vAlign w:val="center"/>
          </w:tcPr>
          <w:p>
            <w:pPr>
              <w:spacing w:line="480" w:lineRule="exact"/>
              <w:jc w:val="center"/>
              <w:rPr>
                <w:sz w:val="24"/>
                <w:szCs w:val="21"/>
              </w:rPr>
            </w:pPr>
            <w:r>
              <w:rPr>
                <w:rFonts w:hint="eastAsia"/>
                <w:sz w:val="24"/>
                <w:szCs w:val="21"/>
              </w:rPr>
              <w:t>《制冷装置用压力容器》</w:t>
            </w:r>
          </w:p>
        </w:tc>
        <w:tc>
          <w:tcPr>
            <w:tcW w:w="2485" w:type="dxa"/>
            <w:vAlign w:val="center"/>
          </w:tcPr>
          <w:p>
            <w:pPr>
              <w:spacing w:line="480" w:lineRule="exact"/>
              <w:jc w:val="center"/>
              <w:rPr>
                <w:sz w:val="24"/>
                <w:szCs w:val="21"/>
              </w:rPr>
            </w:pPr>
            <w:r>
              <w:rPr>
                <w:sz w:val="24"/>
                <w:szCs w:val="21"/>
              </w:rPr>
              <w:t>JB/T4750</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844" w:type="dxa"/>
            <w:vAlign w:val="center"/>
          </w:tcPr>
          <w:p>
            <w:pPr>
              <w:spacing w:line="480" w:lineRule="exact"/>
              <w:jc w:val="center"/>
              <w:rPr>
                <w:sz w:val="24"/>
                <w:szCs w:val="21"/>
              </w:rPr>
            </w:pPr>
            <w:r>
              <w:rPr>
                <w:rFonts w:hint="eastAsia"/>
                <w:sz w:val="24"/>
                <w:szCs w:val="21"/>
              </w:rPr>
              <w:t>6</w:t>
            </w:r>
          </w:p>
        </w:tc>
        <w:tc>
          <w:tcPr>
            <w:tcW w:w="4947" w:type="dxa"/>
            <w:vAlign w:val="center"/>
          </w:tcPr>
          <w:p>
            <w:pPr>
              <w:spacing w:line="480" w:lineRule="exact"/>
              <w:jc w:val="center"/>
              <w:rPr>
                <w:sz w:val="24"/>
                <w:szCs w:val="21"/>
              </w:rPr>
            </w:pPr>
            <w:r>
              <w:rPr>
                <w:rFonts w:hint="eastAsia"/>
                <w:sz w:val="24"/>
                <w:szCs w:val="21"/>
              </w:rPr>
              <w:t>《中央空调冷水机组”效限定值及能源效率等级》</w:t>
            </w:r>
          </w:p>
        </w:tc>
        <w:tc>
          <w:tcPr>
            <w:tcW w:w="2485" w:type="dxa"/>
            <w:vAlign w:val="center"/>
          </w:tcPr>
          <w:p>
            <w:pPr>
              <w:spacing w:line="480" w:lineRule="exact"/>
              <w:jc w:val="center"/>
              <w:rPr>
                <w:sz w:val="24"/>
                <w:szCs w:val="21"/>
              </w:rPr>
            </w:pPr>
            <w:r>
              <w:rPr>
                <w:sz w:val="24"/>
                <w:szCs w:val="21"/>
              </w:rPr>
              <w:t>GB19577</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844" w:type="dxa"/>
            <w:vAlign w:val="center"/>
          </w:tcPr>
          <w:p>
            <w:pPr>
              <w:spacing w:line="480" w:lineRule="exact"/>
              <w:jc w:val="center"/>
              <w:rPr>
                <w:sz w:val="24"/>
                <w:szCs w:val="21"/>
              </w:rPr>
            </w:pPr>
            <w:r>
              <w:rPr>
                <w:rFonts w:hint="eastAsia"/>
                <w:sz w:val="24"/>
                <w:szCs w:val="21"/>
              </w:rPr>
              <w:t>7</w:t>
            </w:r>
          </w:p>
        </w:tc>
        <w:tc>
          <w:tcPr>
            <w:tcW w:w="4947" w:type="dxa"/>
            <w:vAlign w:val="center"/>
          </w:tcPr>
          <w:p>
            <w:pPr>
              <w:spacing w:line="480" w:lineRule="exact"/>
              <w:jc w:val="center"/>
              <w:rPr>
                <w:sz w:val="24"/>
                <w:szCs w:val="21"/>
              </w:rPr>
            </w:pPr>
            <w:r>
              <w:rPr>
                <w:rFonts w:hint="eastAsia"/>
                <w:sz w:val="24"/>
                <w:szCs w:val="21"/>
              </w:rPr>
              <w:t>《制冷和空调设备噪声的测定》</w:t>
            </w:r>
          </w:p>
        </w:tc>
        <w:tc>
          <w:tcPr>
            <w:tcW w:w="2485" w:type="dxa"/>
            <w:vAlign w:val="center"/>
          </w:tcPr>
          <w:p>
            <w:pPr>
              <w:spacing w:line="480" w:lineRule="exact"/>
              <w:jc w:val="center"/>
              <w:rPr>
                <w:sz w:val="24"/>
                <w:szCs w:val="21"/>
              </w:rPr>
            </w:pPr>
            <w:r>
              <w:rPr>
                <w:sz w:val="24"/>
                <w:szCs w:val="21"/>
              </w:rPr>
              <w:t>JB/T4330</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844" w:type="dxa"/>
            <w:vAlign w:val="center"/>
          </w:tcPr>
          <w:p>
            <w:pPr>
              <w:spacing w:line="480" w:lineRule="exact"/>
              <w:jc w:val="center"/>
              <w:rPr>
                <w:sz w:val="24"/>
                <w:szCs w:val="21"/>
              </w:rPr>
            </w:pPr>
            <w:r>
              <w:rPr>
                <w:rFonts w:hint="eastAsia"/>
                <w:sz w:val="24"/>
                <w:szCs w:val="21"/>
              </w:rPr>
              <w:t>8</w:t>
            </w:r>
          </w:p>
        </w:tc>
        <w:tc>
          <w:tcPr>
            <w:tcW w:w="4947" w:type="dxa"/>
            <w:vAlign w:val="center"/>
          </w:tcPr>
          <w:p>
            <w:pPr>
              <w:spacing w:line="480" w:lineRule="exact"/>
              <w:jc w:val="center"/>
              <w:rPr>
                <w:sz w:val="24"/>
                <w:szCs w:val="21"/>
              </w:rPr>
            </w:pPr>
            <w:r>
              <w:rPr>
                <w:rFonts w:hint="eastAsia"/>
                <w:sz w:val="24"/>
                <w:szCs w:val="21"/>
              </w:rPr>
              <w:t>《制冷剂编号方法和安全性分类》</w:t>
            </w:r>
          </w:p>
        </w:tc>
        <w:tc>
          <w:tcPr>
            <w:tcW w:w="2485" w:type="dxa"/>
            <w:vAlign w:val="center"/>
          </w:tcPr>
          <w:p>
            <w:pPr>
              <w:spacing w:line="480" w:lineRule="exact"/>
              <w:jc w:val="center"/>
              <w:rPr>
                <w:sz w:val="24"/>
                <w:szCs w:val="21"/>
              </w:rPr>
            </w:pPr>
            <w:r>
              <w:rPr>
                <w:sz w:val="24"/>
                <w:szCs w:val="21"/>
              </w:rPr>
              <w:t>GB/T7778</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844" w:type="dxa"/>
            <w:vAlign w:val="center"/>
          </w:tcPr>
          <w:p>
            <w:pPr>
              <w:spacing w:line="480" w:lineRule="exact"/>
              <w:jc w:val="center"/>
              <w:rPr>
                <w:sz w:val="24"/>
                <w:szCs w:val="21"/>
              </w:rPr>
            </w:pPr>
            <w:r>
              <w:rPr>
                <w:rFonts w:hint="eastAsia"/>
                <w:sz w:val="24"/>
                <w:szCs w:val="21"/>
              </w:rPr>
              <w:t>9</w:t>
            </w:r>
          </w:p>
        </w:tc>
        <w:tc>
          <w:tcPr>
            <w:tcW w:w="4947" w:type="dxa"/>
            <w:vAlign w:val="center"/>
          </w:tcPr>
          <w:p>
            <w:pPr>
              <w:spacing w:line="480" w:lineRule="exact"/>
              <w:jc w:val="center"/>
              <w:rPr>
                <w:sz w:val="24"/>
                <w:szCs w:val="21"/>
              </w:rPr>
            </w:pPr>
            <w:r>
              <w:rPr>
                <w:rFonts w:hint="eastAsia"/>
                <w:sz w:val="24"/>
                <w:szCs w:val="21"/>
              </w:rPr>
              <w:t>《采用蒸汽压缩循环的冷水机组》</w:t>
            </w:r>
          </w:p>
        </w:tc>
        <w:tc>
          <w:tcPr>
            <w:tcW w:w="2485" w:type="dxa"/>
            <w:vAlign w:val="center"/>
          </w:tcPr>
          <w:p>
            <w:pPr>
              <w:spacing w:line="480" w:lineRule="exact"/>
              <w:jc w:val="center"/>
              <w:rPr>
                <w:sz w:val="24"/>
                <w:szCs w:val="21"/>
              </w:rPr>
            </w:pPr>
            <w:r>
              <w:rPr>
                <w:sz w:val="24"/>
                <w:szCs w:val="21"/>
              </w:rPr>
              <w:t>ARI 550/590-2003</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844" w:type="dxa"/>
            <w:vAlign w:val="center"/>
          </w:tcPr>
          <w:p>
            <w:pPr>
              <w:spacing w:line="480" w:lineRule="exact"/>
              <w:jc w:val="center"/>
              <w:rPr>
                <w:sz w:val="24"/>
                <w:szCs w:val="21"/>
              </w:rPr>
            </w:pPr>
            <w:r>
              <w:rPr>
                <w:rFonts w:hint="eastAsia"/>
                <w:sz w:val="24"/>
                <w:szCs w:val="21"/>
              </w:rPr>
              <w:t>1</w:t>
            </w:r>
            <w:r>
              <w:rPr>
                <w:sz w:val="24"/>
                <w:szCs w:val="21"/>
              </w:rPr>
              <w:t>0</w:t>
            </w:r>
          </w:p>
        </w:tc>
        <w:tc>
          <w:tcPr>
            <w:tcW w:w="4947" w:type="dxa"/>
            <w:vAlign w:val="center"/>
          </w:tcPr>
          <w:p>
            <w:pPr>
              <w:spacing w:line="480" w:lineRule="exact"/>
              <w:jc w:val="center"/>
              <w:rPr>
                <w:sz w:val="24"/>
                <w:szCs w:val="21"/>
              </w:rPr>
            </w:pPr>
            <w:r>
              <w:rPr>
                <w:rFonts w:hint="eastAsia"/>
                <w:sz w:val="24"/>
                <w:szCs w:val="21"/>
              </w:rPr>
              <w:t>《高出水温度冷水机组》</w:t>
            </w:r>
          </w:p>
        </w:tc>
        <w:tc>
          <w:tcPr>
            <w:tcW w:w="2485" w:type="dxa"/>
            <w:vAlign w:val="center"/>
          </w:tcPr>
          <w:p>
            <w:pPr>
              <w:spacing w:line="480" w:lineRule="exact"/>
              <w:jc w:val="center"/>
              <w:rPr>
                <w:sz w:val="24"/>
                <w:szCs w:val="21"/>
              </w:rPr>
            </w:pPr>
            <w:r>
              <w:rPr>
                <w:rFonts w:hint="eastAsia"/>
                <w:sz w:val="24"/>
                <w:szCs w:val="21"/>
              </w:rPr>
              <w:t>JB12325</w:t>
            </w:r>
            <w:r>
              <w:rPr>
                <w:sz w:val="24"/>
                <w:szCs w:val="21"/>
              </w:rPr>
              <w:t>-</w:t>
            </w:r>
            <w:r>
              <w:rPr>
                <w:rFonts w:hint="eastAsia"/>
                <w:sz w:val="24"/>
                <w:szCs w:val="21"/>
              </w:rPr>
              <w:t>2015</w:t>
            </w:r>
          </w:p>
        </w:tc>
      </w:tr>
    </w:tbl>
    <w:p>
      <w:pPr>
        <w:spacing w:line="360" w:lineRule="auto"/>
        <w:ind w:firstLine="480" w:firstLineChars="200"/>
        <w:rPr>
          <w:rFonts w:cs="仿宋_GB2312"/>
          <w:sz w:val="24"/>
        </w:rPr>
      </w:pPr>
      <w:r>
        <w:rPr>
          <w:rFonts w:hint="eastAsia" w:cs="仿宋_GB2312"/>
          <w:sz w:val="24"/>
        </w:rPr>
        <w:t>（2）标准及规范是投标设备必须满足的最低要求，为了使投标设备满足本工程的需要，还要满足本招标文件中提出其它相关技术、性能指标要求。</w:t>
      </w:r>
    </w:p>
    <w:p>
      <w:pPr>
        <w:spacing w:line="360" w:lineRule="auto"/>
        <w:ind w:firstLine="480" w:firstLineChars="200"/>
        <w:rPr>
          <w:sz w:val="24"/>
        </w:rPr>
      </w:pPr>
      <w:r>
        <w:rPr>
          <w:rFonts w:hint="eastAsia" w:cs="仿宋_GB2312"/>
          <w:sz w:val="24"/>
        </w:rPr>
        <w:t>（3）标准、法规以及招标文件中提出的其它相关要求等之间存有不同之处，均以高等级的标准和要求为准。</w:t>
      </w:r>
    </w:p>
    <w:p>
      <w:pPr>
        <w:pStyle w:val="9"/>
        <w:spacing w:before="156"/>
        <w:ind w:firstLine="482" w:firstLineChars="200"/>
        <w:outlineLvl w:val="3"/>
        <w:rPr>
          <w:rFonts w:ascii="Times New Roman" w:hAnsi="Times New Roman" w:eastAsia="宋体" w:cs="仿宋_GB2312"/>
          <w:b/>
          <w:bCs w:val="0"/>
          <w:sz w:val="24"/>
          <w:szCs w:val="24"/>
        </w:rPr>
      </w:pPr>
      <w:bookmarkStart w:id="3" w:name="_Hlk106898129"/>
      <w:r>
        <w:rPr>
          <w:rFonts w:hint="eastAsia" w:ascii="Times New Roman" w:hAnsi="Times New Roman" w:eastAsia="宋体" w:cs="仿宋_GB2312"/>
          <w:b/>
          <w:bCs w:val="0"/>
          <w:sz w:val="24"/>
          <w:szCs w:val="24"/>
        </w:rPr>
        <w:t>2.2.4离心式冷水机组主要性能及参数</w:t>
      </w:r>
      <w:bookmarkEnd w:id="3"/>
    </w:p>
    <w:p>
      <w:pPr>
        <w:spacing w:line="360" w:lineRule="auto"/>
        <w:ind w:firstLine="480" w:firstLineChars="200"/>
        <w:rPr>
          <w:rFonts w:cs="仿宋_GB2312"/>
          <w:sz w:val="24"/>
        </w:rPr>
      </w:pPr>
      <w:r>
        <w:rPr>
          <w:rFonts w:hint="eastAsia" w:cs="仿宋_GB2312"/>
          <w:sz w:val="24"/>
        </w:rPr>
        <w:t>（1）设备构成</w:t>
      </w:r>
    </w:p>
    <w:p>
      <w:pPr>
        <w:spacing w:line="360" w:lineRule="auto"/>
        <w:ind w:firstLine="480" w:firstLineChars="200"/>
        <w:rPr>
          <w:rFonts w:cs="仿宋_GB2312"/>
          <w:sz w:val="24"/>
        </w:rPr>
      </w:pPr>
      <w:r>
        <w:rPr>
          <w:rFonts w:hint="eastAsia" w:cs="仿宋_GB2312"/>
          <w:sz w:val="24"/>
        </w:rPr>
        <w:t>在工厂内组装成整体。机组应包括机座、蒸发器、冷凝器、压缩机、压缩机电动机、油分离器、压缩机电动机的冷却系统、润滑油系统、机组内部制冷剂管路系统、工厂安装的润滑油和制冷剂、保温措施、控制部件及控制盘（电控柜）。</w:t>
      </w:r>
    </w:p>
    <w:p>
      <w:pPr>
        <w:numPr>
          <w:ilvl w:val="0"/>
          <w:numId w:val="10"/>
        </w:numPr>
        <w:spacing w:line="360" w:lineRule="auto"/>
        <w:ind w:firstLine="480" w:firstLineChars="200"/>
        <w:rPr>
          <w:rFonts w:cs="仿宋_GB2312"/>
          <w:sz w:val="24"/>
        </w:rPr>
      </w:pPr>
      <w:r>
        <w:rPr>
          <w:rFonts w:hint="eastAsia" w:cs="仿宋_GB2312"/>
          <w:sz w:val="24"/>
        </w:rPr>
        <w:t>技术要求</w:t>
      </w:r>
    </w:p>
    <w:p>
      <w:pPr>
        <w:spacing w:line="360" w:lineRule="auto"/>
        <w:ind w:firstLine="480" w:firstLineChars="200"/>
        <w:rPr>
          <w:rFonts w:cs="仿宋_GB2312"/>
          <w:sz w:val="24"/>
        </w:rPr>
      </w:pPr>
      <w:r>
        <w:rPr>
          <w:rFonts w:hint="eastAsia" w:cs="仿宋_GB2312"/>
          <w:sz w:val="24"/>
        </w:rPr>
        <w:t>冷水机组性能详见下表。</w:t>
      </w:r>
      <w:r>
        <w:rPr>
          <w:rFonts w:hint="eastAsia" w:cs="仿宋_GB2312"/>
          <w:sz w:val="24"/>
        </w:rPr>
        <w:br w:type="page"/>
      </w:r>
    </w:p>
    <w:p>
      <w:pPr>
        <w:spacing w:line="360" w:lineRule="auto"/>
        <w:jc w:val="center"/>
        <w:rPr>
          <w:rFonts w:cs="仿宋_GB2312"/>
          <w:sz w:val="24"/>
        </w:rPr>
      </w:pPr>
      <w:r>
        <w:rPr>
          <w:rFonts w:hint="eastAsia" w:cs="仿宋_GB2312"/>
          <w:sz w:val="24"/>
        </w:rPr>
        <w:t>离心式冷水机组性能参数表</w:t>
      </w:r>
    </w:p>
    <w:tbl>
      <w:tblPr>
        <w:tblStyle w:val="6"/>
        <w:tblW w:w="9073"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autofit"/>
        <w:tblCellMar>
          <w:top w:w="0" w:type="dxa"/>
          <w:left w:w="108" w:type="dxa"/>
          <w:bottom w:w="0" w:type="dxa"/>
          <w:right w:w="108" w:type="dxa"/>
        </w:tblCellMar>
      </w:tblPr>
      <w:tblGrid>
        <w:gridCol w:w="1214"/>
        <w:gridCol w:w="2756"/>
        <w:gridCol w:w="2552"/>
        <w:gridCol w:w="2551"/>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序号</w:t>
            </w:r>
          </w:p>
        </w:tc>
        <w:tc>
          <w:tcPr>
            <w:tcW w:w="2756" w:type="dxa"/>
            <w:vAlign w:val="center"/>
          </w:tcPr>
          <w:p>
            <w:pPr>
              <w:spacing w:line="480" w:lineRule="exact"/>
              <w:jc w:val="center"/>
              <w:rPr>
                <w:sz w:val="24"/>
                <w:szCs w:val="21"/>
              </w:rPr>
            </w:pPr>
            <w:r>
              <w:rPr>
                <w:rFonts w:hint="eastAsia"/>
                <w:sz w:val="24"/>
                <w:szCs w:val="21"/>
              </w:rPr>
              <w:t>技术要求</w:t>
            </w:r>
          </w:p>
        </w:tc>
        <w:tc>
          <w:tcPr>
            <w:tcW w:w="2552" w:type="dxa"/>
          </w:tcPr>
          <w:p>
            <w:pPr>
              <w:spacing w:line="480" w:lineRule="exact"/>
              <w:jc w:val="center"/>
              <w:rPr>
                <w:sz w:val="24"/>
                <w:szCs w:val="21"/>
              </w:rPr>
            </w:pPr>
            <w:r>
              <w:rPr>
                <w:rFonts w:hint="eastAsia"/>
                <w:sz w:val="24"/>
                <w:szCs w:val="21"/>
              </w:rPr>
              <w:t>1400RT高压定频</w:t>
            </w:r>
          </w:p>
        </w:tc>
        <w:tc>
          <w:tcPr>
            <w:tcW w:w="2551" w:type="dxa"/>
            <w:vAlign w:val="center"/>
          </w:tcPr>
          <w:p>
            <w:pPr>
              <w:spacing w:line="480" w:lineRule="exact"/>
              <w:jc w:val="center"/>
              <w:rPr>
                <w:sz w:val="24"/>
                <w:szCs w:val="21"/>
              </w:rPr>
            </w:pPr>
            <w:r>
              <w:rPr>
                <w:sz w:val="24"/>
                <w:szCs w:val="21"/>
              </w:rPr>
              <w:t>80</w:t>
            </w:r>
            <w:r>
              <w:rPr>
                <w:rFonts w:hint="eastAsia"/>
                <w:sz w:val="24"/>
                <w:szCs w:val="21"/>
              </w:rPr>
              <w:t>0RT低压定频</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1</w:t>
            </w:r>
          </w:p>
        </w:tc>
        <w:tc>
          <w:tcPr>
            <w:tcW w:w="7859" w:type="dxa"/>
            <w:gridSpan w:val="3"/>
          </w:tcPr>
          <w:p>
            <w:pPr>
              <w:spacing w:line="480" w:lineRule="exact"/>
              <w:jc w:val="center"/>
              <w:rPr>
                <w:sz w:val="24"/>
                <w:szCs w:val="21"/>
              </w:rPr>
            </w:pPr>
            <w:r>
              <w:rPr>
                <w:rFonts w:hint="eastAsia"/>
                <w:sz w:val="24"/>
                <w:szCs w:val="21"/>
              </w:rPr>
              <w:t>离心式冷水机组</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restart"/>
            <w:vAlign w:val="center"/>
          </w:tcPr>
          <w:p>
            <w:pPr>
              <w:spacing w:line="480" w:lineRule="exact"/>
              <w:jc w:val="center"/>
              <w:rPr>
                <w:b/>
                <w:bCs/>
                <w:sz w:val="24"/>
                <w:szCs w:val="21"/>
              </w:rPr>
            </w:pPr>
            <w:r>
              <w:rPr>
                <w:rFonts w:hint="eastAsia"/>
                <w:b/>
                <w:bCs/>
                <w:sz w:val="24"/>
                <w:szCs w:val="21"/>
              </w:rPr>
              <w:t>*1.1</w:t>
            </w:r>
          </w:p>
        </w:tc>
        <w:tc>
          <w:tcPr>
            <w:tcW w:w="2756" w:type="dxa"/>
            <w:vAlign w:val="center"/>
          </w:tcPr>
          <w:p>
            <w:pPr>
              <w:spacing w:line="480" w:lineRule="exact"/>
              <w:jc w:val="center"/>
              <w:rPr>
                <w:sz w:val="24"/>
                <w:szCs w:val="21"/>
              </w:rPr>
            </w:pPr>
            <w:r>
              <w:rPr>
                <w:rFonts w:hint="eastAsia"/>
                <w:sz w:val="24"/>
                <w:szCs w:val="21"/>
              </w:rPr>
              <w:t>单台额定制冷量：</w:t>
            </w:r>
          </w:p>
        </w:tc>
        <w:tc>
          <w:tcPr>
            <w:tcW w:w="2552" w:type="dxa"/>
          </w:tcPr>
          <w:p>
            <w:pPr>
              <w:spacing w:line="480" w:lineRule="exact"/>
              <w:jc w:val="center"/>
              <w:rPr>
                <w:sz w:val="24"/>
                <w:szCs w:val="21"/>
              </w:rPr>
            </w:pPr>
            <w:r>
              <w:rPr>
                <w:rFonts w:hint="eastAsia"/>
                <w:sz w:val="24"/>
                <w:szCs w:val="21"/>
              </w:rPr>
              <w:t>≥4922KW</w:t>
            </w:r>
          </w:p>
        </w:tc>
        <w:tc>
          <w:tcPr>
            <w:tcW w:w="2551" w:type="dxa"/>
            <w:vAlign w:val="center"/>
          </w:tcPr>
          <w:p>
            <w:pPr>
              <w:spacing w:line="480" w:lineRule="exact"/>
              <w:jc w:val="center"/>
              <w:rPr>
                <w:sz w:val="24"/>
                <w:szCs w:val="21"/>
              </w:rPr>
            </w:pPr>
            <w:r>
              <w:rPr>
                <w:rFonts w:hint="eastAsia"/>
                <w:sz w:val="24"/>
                <w:szCs w:val="21"/>
              </w:rPr>
              <w:t>≥281</w:t>
            </w:r>
            <w:r>
              <w:rPr>
                <w:sz w:val="24"/>
                <w:szCs w:val="21"/>
              </w:rPr>
              <w:t>3</w:t>
            </w:r>
            <w:r>
              <w:rPr>
                <w:rFonts w:hint="eastAsia"/>
                <w:sz w:val="24"/>
                <w:szCs w:val="21"/>
              </w:rPr>
              <w:t>KW</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continue"/>
            <w:vAlign w:val="center"/>
          </w:tcPr>
          <w:p>
            <w:pPr>
              <w:spacing w:line="480" w:lineRule="exact"/>
              <w:jc w:val="center"/>
              <w:rPr>
                <w:b/>
                <w:bCs/>
                <w:sz w:val="24"/>
                <w:szCs w:val="21"/>
              </w:rPr>
            </w:pPr>
          </w:p>
        </w:tc>
        <w:tc>
          <w:tcPr>
            <w:tcW w:w="2756" w:type="dxa"/>
            <w:vAlign w:val="center"/>
          </w:tcPr>
          <w:p>
            <w:pPr>
              <w:spacing w:line="480" w:lineRule="exact"/>
              <w:jc w:val="center"/>
              <w:rPr>
                <w:sz w:val="24"/>
                <w:szCs w:val="21"/>
              </w:rPr>
            </w:pPr>
            <w:r>
              <w:rPr>
                <w:rFonts w:hint="eastAsia"/>
                <w:sz w:val="24"/>
                <w:szCs w:val="21"/>
              </w:rPr>
              <w:t>数量：</w:t>
            </w:r>
          </w:p>
        </w:tc>
        <w:tc>
          <w:tcPr>
            <w:tcW w:w="2552" w:type="dxa"/>
          </w:tcPr>
          <w:p>
            <w:pPr>
              <w:spacing w:line="480" w:lineRule="exact"/>
              <w:jc w:val="center"/>
              <w:rPr>
                <w:sz w:val="24"/>
                <w:szCs w:val="21"/>
              </w:rPr>
            </w:pPr>
            <w:r>
              <w:rPr>
                <w:rFonts w:hint="eastAsia"/>
                <w:sz w:val="24"/>
                <w:szCs w:val="21"/>
              </w:rPr>
              <w:t>5台</w:t>
            </w:r>
          </w:p>
        </w:tc>
        <w:tc>
          <w:tcPr>
            <w:tcW w:w="2551" w:type="dxa"/>
            <w:vAlign w:val="center"/>
          </w:tcPr>
          <w:p>
            <w:pPr>
              <w:spacing w:line="480" w:lineRule="exact"/>
              <w:jc w:val="center"/>
              <w:rPr>
                <w:sz w:val="24"/>
                <w:szCs w:val="21"/>
              </w:rPr>
            </w:pPr>
            <w:r>
              <w:rPr>
                <w:rFonts w:hint="eastAsia"/>
                <w:sz w:val="24"/>
                <w:szCs w:val="21"/>
              </w:rPr>
              <w:t>2台</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continue"/>
            <w:vAlign w:val="center"/>
          </w:tcPr>
          <w:p>
            <w:pPr>
              <w:spacing w:line="480" w:lineRule="exact"/>
              <w:jc w:val="center"/>
              <w:rPr>
                <w:b/>
                <w:bCs/>
                <w:sz w:val="24"/>
                <w:szCs w:val="21"/>
              </w:rPr>
            </w:pPr>
          </w:p>
        </w:tc>
        <w:tc>
          <w:tcPr>
            <w:tcW w:w="2756" w:type="dxa"/>
            <w:vAlign w:val="center"/>
          </w:tcPr>
          <w:p>
            <w:pPr>
              <w:spacing w:line="480" w:lineRule="exact"/>
              <w:jc w:val="center"/>
              <w:rPr>
                <w:sz w:val="24"/>
                <w:szCs w:val="21"/>
              </w:rPr>
            </w:pPr>
            <w:r>
              <w:rPr>
                <w:rFonts w:hint="eastAsia"/>
                <w:sz w:val="24"/>
                <w:szCs w:val="21"/>
              </w:rPr>
              <w:t>设计工况COP：</w:t>
            </w:r>
          </w:p>
        </w:tc>
        <w:tc>
          <w:tcPr>
            <w:tcW w:w="2552" w:type="dxa"/>
          </w:tcPr>
          <w:p>
            <w:pPr>
              <w:spacing w:line="480" w:lineRule="exact"/>
              <w:jc w:val="center"/>
              <w:rPr>
                <w:sz w:val="24"/>
                <w:szCs w:val="21"/>
              </w:rPr>
            </w:pPr>
            <w:r>
              <w:rPr>
                <w:sz w:val="24"/>
                <w:szCs w:val="21"/>
              </w:rPr>
              <w:t>7.2</w:t>
            </w:r>
          </w:p>
        </w:tc>
        <w:tc>
          <w:tcPr>
            <w:tcW w:w="2551" w:type="dxa"/>
            <w:vAlign w:val="center"/>
          </w:tcPr>
          <w:p>
            <w:pPr>
              <w:spacing w:line="480" w:lineRule="exact"/>
              <w:jc w:val="center"/>
              <w:rPr>
                <w:sz w:val="24"/>
                <w:szCs w:val="21"/>
              </w:rPr>
            </w:pPr>
            <w:r>
              <w:rPr>
                <w:sz w:val="24"/>
                <w:szCs w:val="21"/>
              </w:rPr>
              <w:t>5.7</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continue"/>
            <w:vAlign w:val="center"/>
          </w:tcPr>
          <w:p>
            <w:pPr>
              <w:spacing w:line="480" w:lineRule="exact"/>
              <w:jc w:val="center"/>
              <w:rPr>
                <w:b/>
                <w:bCs/>
                <w:sz w:val="24"/>
                <w:szCs w:val="21"/>
              </w:rPr>
            </w:pPr>
          </w:p>
        </w:tc>
        <w:tc>
          <w:tcPr>
            <w:tcW w:w="2756" w:type="dxa"/>
            <w:vAlign w:val="center"/>
          </w:tcPr>
          <w:p>
            <w:pPr>
              <w:spacing w:line="480" w:lineRule="exact"/>
              <w:jc w:val="center"/>
              <w:rPr>
                <w:sz w:val="24"/>
                <w:szCs w:val="21"/>
              </w:rPr>
            </w:pPr>
            <w:r>
              <w:rPr>
                <w:rFonts w:hint="eastAsia"/>
                <w:sz w:val="24"/>
                <w:szCs w:val="21"/>
              </w:rPr>
              <w:t>设计工况NPLV：</w:t>
            </w:r>
          </w:p>
        </w:tc>
        <w:tc>
          <w:tcPr>
            <w:tcW w:w="2552" w:type="dxa"/>
          </w:tcPr>
          <w:p>
            <w:pPr>
              <w:spacing w:line="480" w:lineRule="exact"/>
              <w:jc w:val="center"/>
              <w:rPr>
                <w:sz w:val="24"/>
                <w:szCs w:val="21"/>
              </w:rPr>
            </w:pPr>
            <w:r>
              <w:rPr>
                <w:sz w:val="24"/>
                <w:szCs w:val="21"/>
              </w:rPr>
              <w:t>8.1</w:t>
            </w:r>
          </w:p>
        </w:tc>
        <w:tc>
          <w:tcPr>
            <w:tcW w:w="2551" w:type="dxa"/>
            <w:vAlign w:val="center"/>
          </w:tcPr>
          <w:p>
            <w:pPr>
              <w:spacing w:line="480" w:lineRule="exact"/>
              <w:jc w:val="center"/>
              <w:rPr>
                <w:sz w:val="24"/>
                <w:szCs w:val="21"/>
              </w:rPr>
            </w:pPr>
            <w:r>
              <w:rPr>
                <w:sz w:val="24"/>
                <w:szCs w:val="21"/>
              </w:rPr>
              <w:t>6.8</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continue"/>
            <w:vAlign w:val="center"/>
          </w:tcPr>
          <w:p>
            <w:pPr>
              <w:spacing w:line="480" w:lineRule="exact"/>
              <w:jc w:val="center"/>
              <w:rPr>
                <w:b/>
                <w:bCs/>
                <w:sz w:val="24"/>
                <w:szCs w:val="21"/>
              </w:rPr>
            </w:pPr>
          </w:p>
        </w:tc>
        <w:tc>
          <w:tcPr>
            <w:tcW w:w="2756" w:type="dxa"/>
            <w:vAlign w:val="center"/>
          </w:tcPr>
          <w:p>
            <w:pPr>
              <w:spacing w:line="480" w:lineRule="exact"/>
              <w:jc w:val="center"/>
              <w:rPr>
                <w:sz w:val="24"/>
                <w:szCs w:val="21"/>
              </w:rPr>
            </w:pPr>
            <w:r>
              <w:rPr>
                <w:rFonts w:hint="eastAsia"/>
                <w:sz w:val="24"/>
                <w:szCs w:val="21"/>
              </w:rPr>
              <w:t>国标工况COP：</w:t>
            </w:r>
          </w:p>
        </w:tc>
        <w:tc>
          <w:tcPr>
            <w:tcW w:w="2552" w:type="dxa"/>
          </w:tcPr>
          <w:p>
            <w:pPr>
              <w:spacing w:line="480" w:lineRule="exact"/>
              <w:jc w:val="center"/>
              <w:rPr>
                <w:sz w:val="24"/>
                <w:szCs w:val="21"/>
              </w:rPr>
            </w:pPr>
            <w:r>
              <w:rPr>
                <w:rFonts w:hint="eastAsia"/>
                <w:sz w:val="24"/>
                <w:szCs w:val="21"/>
              </w:rPr>
              <w:t>(JB12325</w:t>
            </w:r>
            <w:r>
              <w:rPr>
                <w:sz w:val="24"/>
                <w:szCs w:val="21"/>
              </w:rPr>
              <w:t>-</w:t>
            </w:r>
            <w:r>
              <w:rPr>
                <w:rFonts w:hint="eastAsia"/>
                <w:sz w:val="24"/>
                <w:szCs w:val="21"/>
              </w:rPr>
              <w:t>2015)</w:t>
            </w:r>
            <w:r>
              <w:rPr>
                <w:sz w:val="24"/>
                <w:szCs w:val="21"/>
              </w:rPr>
              <w:t>8.1</w:t>
            </w:r>
          </w:p>
        </w:tc>
        <w:tc>
          <w:tcPr>
            <w:tcW w:w="2551" w:type="dxa"/>
            <w:vAlign w:val="center"/>
          </w:tcPr>
          <w:p>
            <w:pPr>
              <w:spacing w:line="480" w:lineRule="exact"/>
              <w:jc w:val="center"/>
              <w:rPr>
                <w:sz w:val="24"/>
                <w:szCs w:val="21"/>
              </w:rPr>
            </w:pPr>
            <w:r>
              <w:rPr>
                <w:rFonts w:hint="eastAsia"/>
                <w:sz w:val="24"/>
                <w:szCs w:val="21"/>
              </w:rPr>
              <w:t>（G</w:t>
            </w:r>
            <w:r>
              <w:rPr>
                <w:sz w:val="24"/>
                <w:szCs w:val="21"/>
              </w:rPr>
              <w:t>B18430.1</w:t>
            </w:r>
            <w:r>
              <w:rPr>
                <w:rFonts w:hint="eastAsia"/>
                <w:sz w:val="24"/>
                <w:szCs w:val="21"/>
              </w:rPr>
              <w:t>）</w:t>
            </w:r>
            <w:r>
              <w:rPr>
                <w:sz w:val="24"/>
                <w:szCs w:val="21"/>
              </w:rPr>
              <w:t>6.3</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1</w:t>
            </w:r>
            <w:r>
              <w:rPr>
                <w:sz w:val="24"/>
                <w:szCs w:val="21"/>
              </w:rPr>
              <w:t>.2</w:t>
            </w:r>
          </w:p>
        </w:tc>
        <w:tc>
          <w:tcPr>
            <w:tcW w:w="2756" w:type="dxa"/>
            <w:vAlign w:val="center"/>
          </w:tcPr>
          <w:p>
            <w:pPr>
              <w:spacing w:line="480" w:lineRule="exact"/>
              <w:jc w:val="center"/>
              <w:rPr>
                <w:sz w:val="24"/>
                <w:szCs w:val="21"/>
              </w:rPr>
            </w:pPr>
            <w:r>
              <w:rPr>
                <w:rFonts w:hint="eastAsia"/>
                <w:sz w:val="24"/>
                <w:szCs w:val="21"/>
              </w:rPr>
              <w:t>电源：</w:t>
            </w:r>
          </w:p>
        </w:tc>
        <w:tc>
          <w:tcPr>
            <w:tcW w:w="2552" w:type="dxa"/>
          </w:tcPr>
          <w:p>
            <w:pPr>
              <w:spacing w:line="480" w:lineRule="exact"/>
              <w:jc w:val="center"/>
              <w:rPr>
                <w:sz w:val="24"/>
                <w:szCs w:val="21"/>
              </w:rPr>
            </w:pPr>
            <w:r>
              <w:rPr>
                <w:rFonts w:hint="eastAsia"/>
                <w:sz w:val="24"/>
                <w:szCs w:val="21"/>
              </w:rPr>
              <w:t>10KV</w:t>
            </w:r>
            <w:r>
              <w:rPr>
                <w:sz w:val="24"/>
                <w:szCs w:val="21"/>
              </w:rPr>
              <w:t>-3-</w:t>
            </w:r>
            <w:r>
              <w:rPr>
                <w:rFonts w:hint="eastAsia"/>
                <w:sz w:val="24"/>
                <w:szCs w:val="21"/>
              </w:rPr>
              <w:t>50HZ</w:t>
            </w:r>
          </w:p>
        </w:tc>
        <w:tc>
          <w:tcPr>
            <w:tcW w:w="2551" w:type="dxa"/>
            <w:vAlign w:val="center"/>
          </w:tcPr>
          <w:p>
            <w:pPr>
              <w:spacing w:line="480" w:lineRule="exact"/>
              <w:jc w:val="center"/>
              <w:rPr>
                <w:sz w:val="24"/>
                <w:szCs w:val="21"/>
              </w:rPr>
            </w:pPr>
            <w:r>
              <w:rPr>
                <w:rFonts w:hint="eastAsia"/>
                <w:sz w:val="24"/>
                <w:szCs w:val="21"/>
              </w:rPr>
              <w:t>380V</w:t>
            </w:r>
            <w:r>
              <w:rPr>
                <w:sz w:val="24"/>
                <w:szCs w:val="21"/>
              </w:rPr>
              <w:t>-3-</w:t>
            </w:r>
            <w:r>
              <w:rPr>
                <w:rFonts w:hint="eastAsia"/>
                <w:sz w:val="24"/>
                <w:szCs w:val="21"/>
              </w:rPr>
              <w:t>50HZ</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1</w:t>
            </w:r>
            <w:r>
              <w:rPr>
                <w:sz w:val="24"/>
                <w:szCs w:val="21"/>
              </w:rPr>
              <w:t>.3</w:t>
            </w:r>
          </w:p>
        </w:tc>
        <w:tc>
          <w:tcPr>
            <w:tcW w:w="2756" w:type="dxa"/>
            <w:vAlign w:val="center"/>
          </w:tcPr>
          <w:p>
            <w:pPr>
              <w:spacing w:line="480" w:lineRule="exact"/>
              <w:jc w:val="center"/>
              <w:rPr>
                <w:sz w:val="24"/>
                <w:szCs w:val="21"/>
              </w:rPr>
            </w:pPr>
            <w:r>
              <w:rPr>
                <w:rFonts w:hint="eastAsia"/>
                <w:sz w:val="24"/>
                <w:szCs w:val="21"/>
              </w:rPr>
              <w:t>设计工况机组电机功率:</w:t>
            </w:r>
          </w:p>
        </w:tc>
        <w:tc>
          <w:tcPr>
            <w:tcW w:w="2552" w:type="dxa"/>
            <w:vAlign w:val="center"/>
          </w:tcPr>
          <w:p>
            <w:pPr>
              <w:spacing w:line="480" w:lineRule="exact"/>
              <w:jc w:val="center"/>
              <w:rPr>
                <w:sz w:val="24"/>
                <w:szCs w:val="21"/>
              </w:rPr>
            </w:pPr>
            <w:r>
              <w:rPr>
                <w:rFonts w:hint="eastAsia"/>
                <w:sz w:val="24"/>
                <w:szCs w:val="21"/>
              </w:rPr>
              <w:t>≤67</w:t>
            </w:r>
            <w:r>
              <w:rPr>
                <w:sz w:val="24"/>
                <w:szCs w:val="21"/>
              </w:rPr>
              <w:t>4</w:t>
            </w:r>
            <w:r>
              <w:rPr>
                <w:rFonts w:hint="eastAsia"/>
                <w:sz w:val="24"/>
                <w:szCs w:val="21"/>
              </w:rPr>
              <w:t>KW</w:t>
            </w:r>
          </w:p>
        </w:tc>
        <w:tc>
          <w:tcPr>
            <w:tcW w:w="2551" w:type="dxa"/>
            <w:vAlign w:val="center"/>
          </w:tcPr>
          <w:p>
            <w:pPr>
              <w:spacing w:line="480" w:lineRule="exact"/>
              <w:jc w:val="center"/>
              <w:rPr>
                <w:sz w:val="24"/>
                <w:szCs w:val="21"/>
              </w:rPr>
            </w:pPr>
            <w:r>
              <w:rPr>
                <w:rFonts w:hint="eastAsia"/>
                <w:sz w:val="24"/>
                <w:szCs w:val="21"/>
              </w:rPr>
              <w:t>≤</w:t>
            </w:r>
            <w:r>
              <w:rPr>
                <w:sz w:val="24"/>
                <w:szCs w:val="21"/>
              </w:rPr>
              <w:t>49</w:t>
            </w:r>
            <w:r>
              <w:rPr>
                <w:rFonts w:hint="eastAsia"/>
                <w:sz w:val="24"/>
                <w:szCs w:val="21"/>
              </w:rPr>
              <w:t>0</w:t>
            </w:r>
            <w:r>
              <w:rPr>
                <w:sz w:val="24"/>
                <w:szCs w:val="21"/>
              </w:rPr>
              <w:t>KW</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1</w:t>
            </w:r>
            <w:r>
              <w:rPr>
                <w:sz w:val="24"/>
                <w:szCs w:val="21"/>
              </w:rPr>
              <w:t>.4</w:t>
            </w:r>
          </w:p>
        </w:tc>
        <w:tc>
          <w:tcPr>
            <w:tcW w:w="7859" w:type="dxa"/>
            <w:gridSpan w:val="3"/>
            <w:vAlign w:val="center"/>
          </w:tcPr>
          <w:p>
            <w:pPr>
              <w:spacing w:line="480" w:lineRule="exact"/>
              <w:jc w:val="center"/>
              <w:rPr>
                <w:sz w:val="24"/>
                <w:szCs w:val="21"/>
              </w:rPr>
            </w:pPr>
            <w:r>
              <w:rPr>
                <w:rFonts w:hint="eastAsia"/>
                <w:sz w:val="24"/>
                <w:szCs w:val="21"/>
              </w:rPr>
              <w:t>恒水温运行范围：1</w:t>
            </w:r>
            <w:r>
              <w:rPr>
                <w:sz w:val="24"/>
                <w:szCs w:val="21"/>
              </w:rPr>
              <w:t>1</w:t>
            </w:r>
            <w:r>
              <w:rPr>
                <w:rFonts w:hint="eastAsia"/>
                <w:sz w:val="24"/>
                <w:szCs w:val="21"/>
              </w:rPr>
              <w:t>～100%（3</w:t>
            </w:r>
            <w:r>
              <w:rPr>
                <w:sz w:val="24"/>
                <w:szCs w:val="21"/>
              </w:rPr>
              <w:t>2</w:t>
            </w:r>
            <w:r>
              <w:rPr>
                <w:rFonts w:hint="eastAsia"/>
                <w:sz w:val="24"/>
                <w:szCs w:val="21"/>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sz w:val="24"/>
                <w:szCs w:val="21"/>
              </w:rPr>
              <w:t>2</w:t>
            </w:r>
          </w:p>
        </w:tc>
        <w:tc>
          <w:tcPr>
            <w:tcW w:w="7859" w:type="dxa"/>
            <w:gridSpan w:val="3"/>
          </w:tcPr>
          <w:p>
            <w:pPr>
              <w:spacing w:line="480" w:lineRule="exact"/>
              <w:jc w:val="center"/>
              <w:rPr>
                <w:sz w:val="24"/>
                <w:szCs w:val="21"/>
              </w:rPr>
            </w:pPr>
            <w:r>
              <w:rPr>
                <w:rFonts w:hint="eastAsia"/>
                <w:sz w:val="24"/>
                <w:szCs w:val="21"/>
              </w:rPr>
              <w:t>空调工况参数</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restart"/>
            <w:vAlign w:val="center"/>
          </w:tcPr>
          <w:p>
            <w:pPr>
              <w:spacing w:line="480" w:lineRule="exact"/>
              <w:jc w:val="center"/>
              <w:rPr>
                <w:sz w:val="24"/>
                <w:szCs w:val="21"/>
              </w:rPr>
            </w:pPr>
            <w:r>
              <w:rPr>
                <w:rFonts w:hint="eastAsia"/>
                <w:sz w:val="24"/>
                <w:szCs w:val="21"/>
              </w:rPr>
              <w:t>2</w:t>
            </w:r>
            <w:r>
              <w:rPr>
                <w:sz w:val="24"/>
                <w:szCs w:val="21"/>
              </w:rPr>
              <w:t>.1</w:t>
            </w:r>
          </w:p>
        </w:tc>
        <w:tc>
          <w:tcPr>
            <w:tcW w:w="2756" w:type="dxa"/>
            <w:vAlign w:val="center"/>
          </w:tcPr>
          <w:p>
            <w:pPr>
              <w:spacing w:line="480" w:lineRule="exact"/>
              <w:jc w:val="center"/>
              <w:rPr>
                <w:sz w:val="24"/>
                <w:szCs w:val="21"/>
              </w:rPr>
            </w:pPr>
            <w:r>
              <w:rPr>
                <w:rFonts w:hint="eastAsia"/>
                <w:sz w:val="24"/>
                <w:szCs w:val="21"/>
              </w:rPr>
              <w:t xml:space="preserve">冷冻水供水温度（℃）： </w:t>
            </w:r>
          </w:p>
        </w:tc>
        <w:tc>
          <w:tcPr>
            <w:tcW w:w="2552" w:type="dxa"/>
          </w:tcPr>
          <w:p>
            <w:pPr>
              <w:spacing w:line="480" w:lineRule="exact"/>
              <w:jc w:val="center"/>
              <w:rPr>
                <w:sz w:val="24"/>
                <w:szCs w:val="21"/>
              </w:rPr>
            </w:pPr>
            <w:r>
              <w:rPr>
                <w:rFonts w:hint="eastAsia"/>
                <w:sz w:val="24"/>
                <w:szCs w:val="21"/>
              </w:rPr>
              <w:t>13℃</w:t>
            </w:r>
          </w:p>
        </w:tc>
        <w:tc>
          <w:tcPr>
            <w:tcW w:w="2551" w:type="dxa"/>
            <w:vAlign w:val="center"/>
          </w:tcPr>
          <w:p>
            <w:pPr>
              <w:spacing w:line="480" w:lineRule="exact"/>
              <w:jc w:val="center"/>
              <w:rPr>
                <w:sz w:val="24"/>
                <w:szCs w:val="21"/>
              </w:rPr>
            </w:pPr>
            <w:r>
              <w:rPr>
                <w:rFonts w:hint="eastAsia"/>
                <w:sz w:val="24"/>
                <w:szCs w:val="21"/>
              </w:rPr>
              <w:t>6℃</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continue"/>
            <w:vAlign w:val="center"/>
          </w:tcPr>
          <w:p>
            <w:pPr>
              <w:spacing w:line="480" w:lineRule="exact"/>
              <w:jc w:val="center"/>
              <w:rPr>
                <w:sz w:val="24"/>
                <w:szCs w:val="21"/>
              </w:rPr>
            </w:pPr>
          </w:p>
        </w:tc>
        <w:tc>
          <w:tcPr>
            <w:tcW w:w="2756" w:type="dxa"/>
            <w:vAlign w:val="center"/>
          </w:tcPr>
          <w:p>
            <w:pPr>
              <w:spacing w:line="480" w:lineRule="exact"/>
              <w:jc w:val="center"/>
              <w:rPr>
                <w:sz w:val="24"/>
                <w:szCs w:val="21"/>
              </w:rPr>
            </w:pPr>
            <w:r>
              <w:rPr>
                <w:rFonts w:hint="eastAsia"/>
                <w:sz w:val="24"/>
                <w:szCs w:val="21"/>
              </w:rPr>
              <w:t xml:space="preserve">冷冻水回水温度（℃）： </w:t>
            </w:r>
          </w:p>
        </w:tc>
        <w:tc>
          <w:tcPr>
            <w:tcW w:w="2552" w:type="dxa"/>
          </w:tcPr>
          <w:p>
            <w:pPr>
              <w:spacing w:line="480" w:lineRule="exact"/>
              <w:jc w:val="center"/>
              <w:rPr>
                <w:sz w:val="24"/>
                <w:szCs w:val="21"/>
              </w:rPr>
            </w:pPr>
            <w:r>
              <w:rPr>
                <w:rFonts w:hint="eastAsia"/>
                <w:sz w:val="24"/>
                <w:szCs w:val="21"/>
              </w:rPr>
              <w:t>19℃</w:t>
            </w:r>
          </w:p>
        </w:tc>
        <w:tc>
          <w:tcPr>
            <w:tcW w:w="2551" w:type="dxa"/>
            <w:vAlign w:val="center"/>
          </w:tcPr>
          <w:p>
            <w:pPr>
              <w:spacing w:line="480" w:lineRule="exact"/>
              <w:jc w:val="center"/>
              <w:rPr>
                <w:sz w:val="24"/>
                <w:szCs w:val="21"/>
              </w:rPr>
            </w:pPr>
            <w:r>
              <w:rPr>
                <w:rFonts w:hint="eastAsia"/>
                <w:sz w:val="24"/>
                <w:szCs w:val="21"/>
              </w:rPr>
              <w:t>11℃</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restart"/>
            <w:vAlign w:val="center"/>
          </w:tcPr>
          <w:p>
            <w:pPr>
              <w:spacing w:line="480" w:lineRule="exact"/>
              <w:jc w:val="center"/>
              <w:rPr>
                <w:sz w:val="24"/>
                <w:szCs w:val="21"/>
              </w:rPr>
            </w:pPr>
            <w:r>
              <w:rPr>
                <w:rFonts w:hint="eastAsia"/>
                <w:sz w:val="24"/>
                <w:szCs w:val="21"/>
              </w:rPr>
              <w:t>2</w:t>
            </w:r>
            <w:r>
              <w:rPr>
                <w:sz w:val="24"/>
                <w:szCs w:val="21"/>
              </w:rPr>
              <w:t>.2</w:t>
            </w:r>
          </w:p>
        </w:tc>
        <w:tc>
          <w:tcPr>
            <w:tcW w:w="2756" w:type="dxa"/>
            <w:vAlign w:val="center"/>
          </w:tcPr>
          <w:p>
            <w:pPr>
              <w:spacing w:line="480" w:lineRule="exact"/>
              <w:jc w:val="center"/>
              <w:rPr>
                <w:sz w:val="24"/>
                <w:szCs w:val="21"/>
              </w:rPr>
            </w:pPr>
            <w:r>
              <w:rPr>
                <w:rFonts w:hint="eastAsia"/>
                <w:sz w:val="24"/>
                <w:szCs w:val="21"/>
              </w:rPr>
              <w:t xml:space="preserve">冷却水供水温度（℃）： </w:t>
            </w:r>
          </w:p>
        </w:tc>
        <w:tc>
          <w:tcPr>
            <w:tcW w:w="2552" w:type="dxa"/>
          </w:tcPr>
          <w:p>
            <w:pPr>
              <w:spacing w:line="480" w:lineRule="exact"/>
              <w:jc w:val="center"/>
              <w:rPr>
                <w:sz w:val="24"/>
                <w:szCs w:val="21"/>
              </w:rPr>
            </w:pPr>
            <w:r>
              <w:rPr>
                <w:rFonts w:hint="eastAsia"/>
                <w:sz w:val="24"/>
                <w:szCs w:val="21"/>
              </w:rPr>
              <w:t>32℃</w:t>
            </w:r>
          </w:p>
        </w:tc>
        <w:tc>
          <w:tcPr>
            <w:tcW w:w="2551" w:type="dxa"/>
          </w:tcPr>
          <w:p>
            <w:pPr>
              <w:spacing w:line="480" w:lineRule="exact"/>
              <w:jc w:val="center"/>
              <w:rPr>
                <w:sz w:val="24"/>
                <w:szCs w:val="21"/>
              </w:rPr>
            </w:pPr>
            <w:r>
              <w:rPr>
                <w:rFonts w:hint="eastAsia"/>
                <w:sz w:val="24"/>
                <w:szCs w:val="21"/>
              </w:rPr>
              <w:t>32℃</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continue"/>
            <w:vAlign w:val="center"/>
          </w:tcPr>
          <w:p>
            <w:pPr>
              <w:spacing w:line="480" w:lineRule="exact"/>
              <w:jc w:val="center"/>
              <w:rPr>
                <w:sz w:val="24"/>
                <w:szCs w:val="21"/>
              </w:rPr>
            </w:pPr>
          </w:p>
        </w:tc>
        <w:tc>
          <w:tcPr>
            <w:tcW w:w="2756" w:type="dxa"/>
            <w:vAlign w:val="center"/>
          </w:tcPr>
          <w:p>
            <w:pPr>
              <w:spacing w:line="480" w:lineRule="exact"/>
              <w:jc w:val="center"/>
              <w:rPr>
                <w:sz w:val="24"/>
                <w:szCs w:val="21"/>
              </w:rPr>
            </w:pPr>
            <w:r>
              <w:rPr>
                <w:rFonts w:hint="eastAsia"/>
                <w:sz w:val="24"/>
                <w:szCs w:val="21"/>
              </w:rPr>
              <w:t xml:space="preserve">冷却水回水温度（℃）： </w:t>
            </w:r>
          </w:p>
        </w:tc>
        <w:tc>
          <w:tcPr>
            <w:tcW w:w="2552" w:type="dxa"/>
          </w:tcPr>
          <w:p>
            <w:pPr>
              <w:spacing w:line="480" w:lineRule="exact"/>
              <w:jc w:val="center"/>
              <w:rPr>
                <w:sz w:val="24"/>
                <w:szCs w:val="21"/>
              </w:rPr>
            </w:pPr>
            <w:r>
              <w:rPr>
                <w:rFonts w:hint="eastAsia"/>
                <w:sz w:val="24"/>
                <w:szCs w:val="21"/>
              </w:rPr>
              <w:t>37℃</w:t>
            </w:r>
          </w:p>
        </w:tc>
        <w:tc>
          <w:tcPr>
            <w:tcW w:w="2551" w:type="dxa"/>
          </w:tcPr>
          <w:p>
            <w:pPr>
              <w:spacing w:line="480" w:lineRule="exact"/>
              <w:jc w:val="center"/>
              <w:rPr>
                <w:sz w:val="24"/>
                <w:szCs w:val="21"/>
              </w:rPr>
            </w:pPr>
            <w:r>
              <w:rPr>
                <w:rFonts w:hint="eastAsia"/>
                <w:sz w:val="24"/>
                <w:szCs w:val="21"/>
              </w:rPr>
              <w:t>37℃</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restart"/>
            <w:vAlign w:val="center"/>
          </w:tcPr>
          <w:p>
            <w:pPr>
              <w:spacing w:line="480" w:lineRule="exact"/>
              <w:jc w:val="center"/>
              <w:rPr>
                <w:sz w:val="24"/>
                <w:szCs w:val="21"/>
              </w:rPr>
            </w:pPr>
            <w:r>
              <w:rPr>
                <w:rFonts w:hint="eastAsia"/>
                <w:sz w:val="24"/>
                <w:szCs w:val="21"/>
              </w:rPr>
              <w:t>2</w:t>
            </w:r>
            <w:r>
              <w:rPr>
                <w:sz w:val="24"/>
                <w:szCs w:val="21"/>
              </w:rPr>
              <w:t>.3</w:t>
            </w:r>
          </w:p>
        </w:tc>
        <w:tc>
          <w:tcPr>
            <w:tcW w:w="7859" w:type="dxa"/>
            <w:gridSpan w:val="3"/>
            <w:vAlign w:val="center"/>
          </w:tcPr>
          <w:p>
            <w:pPr>
              <w:spacing w:line="480" w:lineRule="exact"/>
              <w:jc w:val="center"/>
              <w:rPr>
                <w:sz w:val="24"/>
                <w:szCs w:val="21"/>
              </w:rPr>
            </w:pPr>
            <w:r>
              <w:rPr>
                <w:rFonts w:hint="eastAsia"/>
                <w:sz w:val="24"/>
                <w:szCs w:val="21"/>
              </w:rPr>
              <w:t>蒸发器水侧工作压力（MPa）：</w:t>
            </w:r>
            <w:r>
              <w:rPr>
                <w:sz w:val="24"/>
                <w:szCs w:val="21"/>
              </w:rPr>
              <w:t>1.0MPa</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continue"/>
            <w:vAlign w:val="center"/>
          </w:tcPr>
          <w:p>
            <w:pPr>
              <w:spacing w:line="480" w:lineRule="exact"/>
              <w:jc w:val="center"/>
              <w:rPr>
                <w:sz w:val="24"/>
                <w:szCs w:val="21"/>
              </w:rPr>
            </w:pPr>
          </w:p>
        </w:tc>
        <w:tc>
          <w:tcPr>
            <w:tcW w:w="7859" w:type="dxa"/>
            <w:gridSpan w:val="3"/>
            <w:vAlign w:val="center"/>
          </w:tcPr>
          <w:p>
            <w:pPr>
              <w:spacing w:line="480" w:lineRule="exact"/>
              <w:jc w:val="center"/>
              <w:rPr>
                <w:sz w:val="24"/>
                <w:szCs w:val="21"/>
              </w:rPr>
            </w:pPr>
            <w:r>
              <w:rPr>
                <w:rFonts w:hint="eastAsia"/>
                <w:sz w:val="24"/>
                <w:szCs w:val="21"/>
              </w:rPr>
              <w:t>冷凝器水侧工作压力（MPa）：</w:t>
            </w:r>
            <w:r>
              <w:rPr>
                <w:sz w:val="24"/>
                <w:szCs w:val="21"/>
              </w:rPr>
              <w:t>1.0MPa</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restart"/>
            <w:vAlign w:val="center"/>
          </w:tcPr>
          <w:p>
            <w:pPr>
              <w:spacing w:line="480" w:lineRule="exact"/>
              <w:jc w:val="center"/>
              <w:rPr>
                <w:sz w:val="24"/>
                <w:szCs w:val="21"/>
              </w:rPr>
            </w:pPr>
            <w:r>
              <w:rPr>
                <w:rFonts w:hint="eastAsia"/>
                <w:sz w:val="24"/>
                <w:szCs w:val="21"/>
              </w:rPr>
              <w:t>2</w:t>
            </w:r>
            <w:r>
              <w:rPr>
                <w:sz w:val="24"/>
                <w:szCs w:val="21"/>
              </w:rPr>
              <w:t>.4</w:t>
            </w:r>
          </w:p>
        </w:tc>
        <w:tc>
          <w:tcPr>
            <w:tcW w:w="2756" w:type="dxa"/>
            <w:vAlign w:val="center"/>
          </w:tcPr>
          <w:p>
            <w:pPr>
              <w:spacing w:line="480" w:lineRule="exact"/>
              <w:jc w:val="center"/>
              <w:rPr>
                <w:sz w:val="24"/>
                <w:szCs w:val="21"/>
              </w:rPr>
            </w:pPr>
            <w:r>
              <w:rPr>
                <w:rFonts w:hint="eastAsia"/>
                <w:sz w:val="24"/>
                <w:szCs w:val="21"/>
              </w:rPr>
              <w:t>蒸发器水侧压降（KPa）：</w:t>
            </w:r>
          </w:p>
        </w:tc>
        <w:tc>
          <w:tcPr>
            <w:tcW w:w="2552" w:type="dxa"/>
          </w:tcPr>
          <w:p>
            <w:pPr>
              <w:spacing w:line="480" w:lineRule="exact"/>
              <w:jc w:val="center"/>
              <w:rPr>
                <w:sz w:val="24"/>
                <w:szCs w:val="21"/>
              </w:rPr>
            </w:pPr>
            <w:r>
              <w:rPr>
                <w:rFonts w:hint="eastAsia"/>
                <w:sz w:val="24"/>
                <w:szCs w:val="21"/>
              </w:rPr>
              <w:t>≤118KPa</w:t>
            </w:r>
          </w:p>
        </w:tc>
        <w:tc>
          <w:tcPr>
            <w:tcW w:w="2551" w:type="dxa"/>
            <w:vAlign w:val="center"/>
          </w:tcPr>
          <w:p>
            <w:pPr>
              <w:spacing w:line="480" w:lineRule="exact"/>
              <w:jc w:val="center"/>
              <w:rPr>
                <w:sz w:val="24"/>
                <w:szCs w:val="21"/>
              </w:rPr>
            </w:pPr>
            <w:r>
              <w:rPr>
                <w:rFonts w:hint="eastAsia"/>
                <w:sz w:val="24"/>
                <w:szCs w:val="21"/>
              </w:rPr>
              <w:t>≤88KPa</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continue"/>
            <w:vAlign w:val="center"/>
          </w:tcPr>
          <w:p>
            <w:pPr>
              <w:spacing w:line="480" w:lineRule="exact"/>
              <w:jc w:val="center"/>
              <w:rPr>
                <w:sz w:val="24"/>
                <w:szCs w:val="21"/>
              </w:rPr>
            </w:pPr>
          </w:p>
        </w:tc>
        <w:tc>
          <w:tcPr>
            <w:tcW w:w="2756" w:type="dxa"/>
            <w:vAlign w:val="center"/>
          </w:tcPr>
          <w:p>
            <w:pPr>
              <w:spacing w:line="480" w:lineRule="exact"/>
              <w:jc w:val="center"/>
              <w:rPr>
                <w:sz w:val="24"/>
                <w:szCs w:val="21"/>
              </w:rPr>
            </w:pPr>
            <w:r>
              <w:rPr>
                <w:rFonts w:hint="eastAsia"/>
                <w:sz w:val="24"/>
                <w:szCs w:val="21"/>
              </w:rPr>
              <w:t>冷凝器水侧压降（KPa）：</w:t>
            </w:r>
          </w:p>
        </w:tc>
        <w:tc>
          <w:tcPr>
            <w:tcW w:w="2552" w:type="dxa"/>
          </w:tcPr>
          <w:p>
            <w:pPr>
              <w:spacing w:line="480" w:lineRule="exact"/>
              <w:jc w:val="center"/>
              <w:rPr>
                <w:sz w:val="24"/>
                <w:szCs w:val="21"/>
              </w:rPr>
            </w:pPr>
            <w:r>
              <w:rPr>
                <w:rFonts w:hint="eastAsia"/>
                <w:sz w:val="24"/>
                <w:szCs w:val="21"/>
              </w:rPr>
              <w:t>≤118KPa</w:t>
            </w:r>
          </w:p>
        </w:tc>
        <w:tc>
          <w:tcPr>
            <w:tcW w:w="2551" w:type="dxa"/>
            <w:vAlign w:val="center"/>
          </w:tcPr>
          <w:p>
            <w:pPr>
              <w:spacing w:line="480" w:lineRule="exact"/>
              <w:jc w:val="center"/>
              <w:rPr>
                <w:sz w:val="24"/>
                <w:szCs w:val="21"/>
              </w:rPr>
            </w:pPr>
            <w:r>
              <w:rPr>
                <w:rFonts w:hint="eastAsia"/>
                <w:sz w:val="24"/>
                <w:szCs w:val="21"/>
              </w:rPr>
              <w:t>≤88KPa</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restart"/>
            <w:vAlign w:val="center"/>
          </w:tcPr>
          <w:p>
            <w:pPr>
              <w:spacing w:line="480" w:lineRule="exact"/>
              <w:jc w:val="center"/>
              <w:rPr>
                <w:sz w:val="24"/>
                <w:szCs w:val="21"/>
              </w:rPr>
            </w:pPr>
            <w:r>
              <w:rPr>
                <w:rFonts w:hint="eastAsia"/>
                <w:sz w:val="24"/>
                <w:szCs w:val="21"/>
              </w:rPr>
              <w:t>2</w:t>
            </w:r>
            <w:r>
              <w:rPr>
                <w:sz w:val="24"/>
                <w:szCs w:val="21"/>
              </w:rPr>
              <w:t>.5</w:t>
            </w:r>
          </w:p>
        </w:tc>
        <w:tc>
          <w:tcPr>
            <w:tcW w:w="2756" w:type="dxa"/>
            <w:vAlign w:val="center"/>
          </w:tcPr>
          <w:p>
            <w:pPr>
              <w:spacing w:line="480" w:lineRule="exact"/>
              <w:jc w:val="center"/>
              <w:rPr>
                <w:sz w:val="24"/>
                <w:szCs w:val="21"/>
              </w:rPr>
            </w:pPr>
            <w:r>
              <w:rPr>
                <w:rFonts w:hint="eastAsia"/>
                <w:sz w:val="24"/>
                <w:szCs w:val="21"/>
              </w:rPr>
              <w:t>蒸发器水侧流量(m3/h)：</w:t>
            </w:r>
          </w:p>
        </w:tc>
        <w:tc>
          <w:tcPr>
            <w:tcW w:w="2552" w:type="dxa"/>
          </w:tcPr>
          <w:p>
            <w:pPr>
              <w:spacing w:line="480" w:lineRule="exact"/>
              <w:jc w:val="center"/>
              <w:rPr>
                <w:sz w:val="24"/>
                <w:szCs w:val="21"/>
              </w:rPr>
            </w:pPr>
            <w:r>
              <w:rPr>
                <w:sz w:val="24"/>
                <w:szCs w:val="21"/>
              </w:rPr>
              <w:t>710 m</w:t>
            </w:r>
            <w:r>
              <w:rPr>
                <w:sz w:val="24"/>
                <w:szCs w:val="21"/>
                <w:vertAlign w:val="superscript"/>
              </w:rPr>
              <w:t>3</w:t>
            </w:r>
            <w:r>
              <w:rPr>
                <w:sz w:val="24"/>
                <w:szCs w:val="21"/>
              </w:rPr>
              <w:t>/h</w:t>
            </w:r>
          </w:p>
        </w:tc>
        <w:tc>
          <w:tcPr>
            <w:tcW w:w="2551" w:type="dxa"/>
            <w:vAlign w:val="center"/>
          </w:tcPr>
          <w:p>
            <w:pPr>
              <w:spacing w:line="480" w:lineRule="exact"/>
              <w:jc w:val="center"/>
              <w:rPr>
                <w:sz w:val="24"/>
                <w:szCs w:val="21"/>
              </w:rPr>
            </w:pPr>
            <w:r>
              <w:rPr>
                <w:sz w:val="24"/>
                <w:szCs w:val="21"/>
              </w:rPr>
              <w:t>484 m</w:t>
            </w:r>
            <w:r>
              <w:rPr>
                <w:sz w:val="24"/>
                <w:szCs w:val="21"/>
                <w:vertAlign w:val="superscript"/>
              </w:rPr>
              <w:t>3</w:t>
            </w:r>
            <w:r>
              <w:rPr>
                <w:sz w:val="24"/>
                <w:szCs w:val="21"/>
              </w:rPr>
              <w:t>/h</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continue"/>
            <w:vAlign w:val="center"/>
          </w:tcPr>
          <w:p>
            <w:pPr>
              <w:spacing w:line="480" w:lineRule="exact"/>
              <w:jc w:val="center"/>
              <w:rPr>
                <w:sz w:val="24"/>
                <w:szCs w:val="21"/>
              </w:rPr>
            </w:pPr>
          </w:p>
        </w:tc>
        <w:tc>
          <w:tcPr>
            <w:tcW w:w="2756" w:type="dxa"/>
            <w:vAlign w:val="center"/>
          </w:tcPr>
          <w:p>
            <w:pPr>
              <w:spacing w:line="480" w:lineRule="exact"/>
              <w:jc w:val="center"/>
              <w:rPr>
                <w:sz w:val="24"/>
                <w:szCs w:val="21"/>
              </w:rPr>
            </w:pPr>
            <w:r>
              <w:rPr>
                <w:rFonts w:hint="eastAsia"/>
                <w:sz w:val="24"/>
                <w:szCs w:val="21"/>
              </w:rPr>
              <w:t>冷凝器水侧流量(m3/h)：</w:t>
            </w:r>
          </w:p>
        </w:tc>
        <w:tc>
          <w:tcPr>
            <w:tcW w:w="2552" w:type="dxa"/>
          </w:tcPr>
          <w:p>
            <w:pPr>
              <w:spacing w:line="480" w:lineRule="exact"/>
              <w:jc w:val="center"/>
              <w:rPr>
                <w:sz w:val="24"/>
                <w:szCs w:val="21"/>
              </w:rPr>
            </w:pPr>
            <w:r>
              <w:rPr>
                <w:sz w:val="24"/>
                <w:szCs w:val="21"/>
              </w:rPr>
              <w:t>970 m</w:t>
            </w:r>
            <w:r>
              <w:rPr>
                <w:sz w:val="24"/>
                <w:szCs w:val="21"/>
                <w:vertAlign w:val="superscript"/>
              </w:rPr>
              <w:t>3</w:t>
            </w:r>
            <w:r>
              <w:rPr>
                <w:sz w:val="24"/>
                <w:szCs w:val="21"/>
              </w:rPr>
              <w:t>/h</w:t>
            </w:r>
          </w:p>
        </w:tc>
        <w:tc>
          <w:tcPr>
            <w:tcW w:w="2551" w:type="dxa"/>
            <w:vAlign w:val="center"/>
          </w:tcPr>
          <w:p>
            <w:pPr>
              <w:spacing w:line="480" w:lineRule="exact"/>
              <w:jc w:val="center"/>
              <w:rPr>
                <w:sz w:val="24"/>
                <w:szCs w:val="21"/>
              </w:rPr>
            </w:pPr>
            <w:r>
              <w:rPr>
                <w:sz w:val="24"/>
                <w:szCs w:val="21"/>
              </w:rPr>
              <w:t>570 m</w:t>
            </w:r>
            <w:r>
              <w:rPr>
                <w:sz w:val="24"/>
                <w:szCs w:val="21"/>
                <w:vertAlign w:val="superscript"/>
              </w:rPr>
              <w:t>3</w:t>
            </w:r>
            <w:r>
              <w:rPr>
                <w:sz w:val="24"/>
                <w:szCs w:val="21"/>
              </w:rPr>
              <w:t>/h</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restart"/>
            <w:vAlign w:val="center"/>
          </w:tcPr>
          <w:p>
            <w:pPr>
              <w:spacing w:line="480" w:lineRule="exact"/>
              <w:jc w:val="center"/>
              <w:rPr>
                <w:sz w:val="24"/>
                <w:szCs w:val="21"/>
              </w:rPr>
            </w:pPr>
            <w:r>
              <w:rPr>
                <w:rFonts w:hint="eastAsia"/>
                <w:sz w:val="24"/>
                <w:szCs w:val="21"/>
              </w:rPr>
              <w:t>2</w:t>
            </w:r>
            <w:r>
              <w:rPr>
                <w:sz w:val="24"/>
                <w:szCs w:val="21"/>
              </w:rPr>
              <w:t>.6</w:t>
            </w:r>
          </w:p>
        </w:tc>
        <w:tc>
          <w:tcPr>
            <w:tcW w:w="7859" w:type="dxa"/>
            <w:gridSpan w:val="3"/>
            <w:vAlign w:val="center"/>
          </w:tcPr>
          <w:p>
            <w:pPr>
              <w:spacing w:line="480" w:lineRule="exact"/>
              <w:jc w:val="center"/>
              <w:rPr>
                <w:sz w:val="24"/>
                <w:szCs w:val="21"/>
              </w:rPr>
            </w:pPr>
            <w:r>
              <w:rPr>
                <w:rFonts w:hint="eastAsia"/>
                <w:sz w:val="24"/>
                <w:szCs w:val="21"/>
              </w:rPr>
              <w:t>蒸发器水侧污垢系数：0.018㎡C/KW</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continue"/>
            <w:vAlign w:val="center"/>
          </w:tcPr>
          <w:p>
            <w:pPr>
              <w:spacing w:line="480" w:lineRule="exact"/>
              <w:jc w:val="center"/>
              <w:rPr>
                <w:b/>
                <w:bCs/>
                <w:sz w:val="24"/>
                <w:szCs w:val="21"/>
              </w:rPr>
            </w:pPr>
          </w:p>
        </w:tc>
        <w:tc>
          <w:tcPr>
            <w:tcW w:w="7859" w:type="dxa"/>
            <w:gridSpan w:val="3"/>
            <w:vAlign w:val="center"/>
          </w:tcPr>
          <w:p>
            <w:pPr>
              <w:spacing w:line="480" w:lineRule="exact"/>
              <w:jc w:val="center"/>
              <w:rPr>
                <w:sz w:val="24"/>
                <w:szCs w:val="21"/>
              </w:rPr>
            </w:pPr>
            <w:r>
              <w:rPr>
                <w:rFonts w:hint="eastAsia"/>
                <w:sz w:val="24"/>
                <w:szCs w:val="21"/>
              </w:rPr>
              <w:t>冷凝器水侧污垢系数：0.0</w:t>
            </w:r>
            <w:r>
              <w:rPr>
                <w:sz w:val="24"/>
                <w:szCs w:val="21"/>
              </w:rPr>
              <w:t>44</w:t>
            </w:r>
            <w:r>
              <w:rPr>
                <w:rFonts w:hint="eastAsia"/>
                <w:sz w:val="24"/>
                <w:szCs w:val="21"/>
              </w:rPr>
              <w:t>㎡C/KW</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3</w:t>
            </w:r>
          </w:p>
        </w:tc>
        <w:tc>
          <w:tcPr>
            <w:tcW w:w="7859" w:type="dxa"/>
            <w:gridSpan w:val="3"/>
          </w:tcPr>
          <w:p>
            <w:pPr>
              <w:spacing w:line="480" w:lineRule="exact"/>
              <w:jc w:val="center"/>
              <w:rPr>
                <w:sz w:val="24"/>
                <w:szCs w:val="21"/>
              </w:rPr>
            </w:pPr>
            <w:r>
              <w:rPr>
                <w:rFonts w:hint="eastAsia"/>
                <w:sz w:val="24"/>
                <w:szCs w:val="21"/>
              </w:rPr>
              <w:t>机组性能指标</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sz w:val="24"/>
                <w:szCs w:val="21"/>
              </w:rPr>
              <w:t>3.1</w:t>
            </w:r>
          </w:p>
        </w:tc>
        <w:tc>
          <w:tcPr>
            <w:tcW w:w="7859" w:type="dxa"/>
            <w:gridSpan w:val="3"/>
            <w:vAlign w:val="center"/>
          </w:tcPr>
          <w:p>
            <w:pPr>
              <w:spacing w:line="480" w:lineRule="exact"/>
              <w:jc w:val="center"/>
              <w:rPr>
                <w:sz w:val="24"/>
                <w:szCs w:val="21"/>
              </w:rPr>
            </w:pPr>
            <w:r>
              <w:rPr>
                <w:rFonts w:hint="eastAsia"/>
                <w:sz w:val="24"/>
                <w:szCs w:val="21"/>
              </w:rPr>
              <w:t>使用冷媒：采用环保无毒冷媒，提供制冷剂和润滑油的首次充注。</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3．2</w:t>
            </w:r>
          </w:p>
        </w:tc>
        <w:tc>
          <w:tcPr>
            <w:tcW w:w="7859" w:type="dxa"/>
            <w:gridSpan w:val="3"/>
            <w:vAlign w:val="center"/>
          </w:tcPr>
          <w:p>
            <w:pPr>
              <w:spacing w:line="480" w:lineRule="exact"/>
              <w:jc w:val="center"/>
              <w:rPr>
                <w:sz w:val="24"/>
                <w:szCs w:val="21"/>
              </w:rPr>
            </w:pPr>
            <w:r>
              <w:rPr>
                <w:rFonts w:hint="eastAsia"/>
                <w:sz w:val="24"/>
                <w:szCs w:val="21"/>
              </w:rPr>
              <w:t>机组噪声(dBA)：≤85dBA</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sz w:val="24"/>
                <w:szCs w:val="21"/>
              </w:rPr>
              <w:t>3.3</w:t>
            </w:r>
          </w:p>
        </w:tc>
        <w:tc>
          <w:tcPr>
            <w:tcW w:w="7859" w:type="dxa"/>
            <w:gridSpan w:val="3"/>
            <w:vAlign w:val="center"/>
          </w:tcPr>
          <w:p>
            <w:pPr>
              <w:spacing w:line="480" w:lineRule="exact"/>
              <w:jc w:val="center"/>
              <w:rPr>
                <w:sz w:val="24"/>
                <w:szCs w:val="21"/>
              </w:rPr>
            </w:pPr>
            <w:r>
              <w:rPr>
                <w:rFonts w:hint="eastAsia"/>
                <w:sz w:val="24"/>
                <w:szCs w:val="21"/>
              </w:rPr>
              <w:t>使用寿命：≥2</w:t>
            </w:r>
            <w:r>
              <w:rPr>
                <w:sz w:val="24"/>
                <w:szCs w:val="21"/>
              </w:rPr>
              <w:t>0</w:t>
            </w:r>
            <w:r>
              <w:rPr>
                <w:rFonts w:hint="eastAsia"/>
                <w:sz w:val="24"/>
                <w:szCs w:val="21"/>
              </w:rPr>
              <w:t xml:space="preserve"> 年</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3</w:t>
            </w:r>
            <w:r>
              <w:rPr>
                <w:sz w:val="24"/>
                <w:szCs w:val="21"/>
              </w:rPr>
              <w:t>.4</w:t>
            </w:r>
          </w:p>
        </w:tc>
        <w:tc>
          <w:tcPr>
            <w:tcW w:w="2756" w:type="dxa"/>
            <w:vAlign w:val="center"/>
          </w:tcPr>
          <w:p>
            <w:pPr>
              <w:spacing w:line="480" w:lineRule="exact"/>
              <w:jc w:val="center"/>
              <w:rPr>
                <w:sz w:val="24"/>
                <w:szCs w:val="21"/>
              </w:rPr>
            </w:pPr>
            <w:r>
              <w:rPr>
                <w:rFonts w:hint="eastAsia"/>
                <w:sz w:val="24"/>
                <w:szCs w:val="21"/>
              </w:rPr>
              <w:t>机组尺寸mm：</w:t>
            </w:r>
          </w:p>
        </w:tc>
        <w:tc>
          <w:tcPr>
            <w:tcW w:w="2552" w:type="dxa"/>
          </w:tcPr>
          <w:p>
            <w:pPr>
              <w:spacing w:line="480" w:lineRule="exact"/>
              <w:jc w:val="center"/>
              <w:rPr>
                <w:sz w:val="24"/>
                <w:szCs w:val="21"/>
              </w:rPr>
            </w:pPr>
            <w:r>
              <w:rPr>
                <w:rFonts w:hint="eastAsia"/>
                <w:sz w:val="24"/>
                <w:szCs w:val="21"/>
              </w:rPr>
              <w:t>≤</w:t>
            </w:r>
            <w:r>
              <w:rPr>
                <w:sz w:val="24"/>
                <w:szCs w:val="21"/>
              </w:rPr>
              <w:t>52</w:t>
            </w:r>
            <w:r>
              <w:rPr>
                <w:rFonts w:hint="eastAsia"/>
                <w:sz w:val="24"/>
                <w:szCs w:val="21"/>
              </w:rPr>
              <w:t>5</w:t>
            </w:r>
            <w:r>
              <w:rPr>
                <w:sz w:val="24"/>
                <w:szCs w:val="21"/>
              </w:rPr>
              <w:t>0*2</w:t>
            </w:r>
            <w:r>
              <w:rPr>
                <w:rFonts w:hint="eastAsia"/>
                <w:sz w:val="24"/>
                <w:szCs w:val="21"/>
              </w:rPr>
              <w:t>8</w:t>
            </w:r>
            <w:r>
              <w:rPr>
                <w:sz w:val="24"/>
                <w:szCs w:val="21"/>
              </w:rPr>
              <w:t>00*3500</w:t>
            </w:r>
          </w:p>
        </w:tc>
        <w:tc>
          <w:tcPr>
            <w:tcW w:w="2551" w:type="dxa"/>
            <w:vAlign w:val="center"/>
          </w:tcPr>
          <w:p>
            <w:pPr>
              <w:spacing w:line="480" w:lineRule="exact"/>
              <w:jc w:val="center"/>
              <w:rPr>
                <w:sz w:val="24"/>
                <w:szCs w:val="21"/>
              </w:rPr>
            </w:pPr>
            <w:r>
              <w:rPr>
                <w:rFonts w:hint="eastAsia"/>
                <w:sz w:val="24"/>
                <w:szCs w:val="21"/>
              </w:rPr>
              <w:t>≤</w:t>
            </w:r>
            <w:r>
              <w:rPr>
                <w:sz w:val="24"/>
                <w:szCs w:val="21"/>
              </w:rPr>
              <w:t>5000*2300*3500</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3</w:t>
            </w:r>
            <w:r>
              <w:rPr>
                <w:sz w:val="24"/>
                <w:szCs w:val="21"/>
              </w:rPr>
              <w:t>.5</w:t>
            </w:r>
          </w:p>
        </w:tc>
        <w:tc>
          <w:tcPr>
            <w:tcW w:w="2756" w:type="dxa"/>
            <w:vAlign w:val="center"/>
          </w:tcPr>
          <w:p>
            <w:pPr>
              <w:spacing w:line="480" w:lineRule="exact"/>
              <w:jc w:val="center"/>
              <w:rPr>
                <w:sz w:val="24"/>
                <w:szCs w:val="21"/>
              </w:rPr>
            </w:pPr>
            <w:r>
              <w:rPr>
                <w:rFonts w:hint="eastAsia"/>
                <w:sz w:val="24"/>
                <w:szCs w:val="21"/>
              </w:rPr>
              <w:t>运行重量Kg：</w:t>
            </w:r>
          </w:p>
        </w:tc>
        <w:tc>
          <w:tcPr>
            <w:tcW w:w="2552" w:type="dxa"/>
          </w:tcPr>
          <w:p>
            <w:pPr>
              <w:spacing w:line="480" w:lineRule="exact"/>
              <w:jc w:val="center"/>
              <w:rPr>
                <w:sz w:val="24"/>
                <w:szCs w:val="21"/>
              </w:rPr>
            </w:pPr>
            <w:r>
              <w:rPr>
                <w:sz w:val="24"/>
                <w:szCs w:val="21"/>
              </w:rPr>
              <w:t>20000KG</w:t>
            </w:r>
          </w:p>
        </w:tc>
        <w:tc>
          <w:tcPr>
            <w:tcW w:w="2551" w:type="dxa"/>
            <w:vAlign w:val="center"/>
          </w:tcPr>
          <w:p>
            <w:pPr>
              <w:spacing w:line="480" w:lineRule="exact"/>
              <w:jc w:val="center"/>
              <w:rPr>
                <w:sz w:val="24"/>
                <w:szCs w:val="21"/>
              </w:rPr>
            </w:pPr>
            <w:r>
              <w:rPr>
                <w:sz w:val="24"/>
                <w:szCs w:val="21"/>
              </w:rPr>
              <w:t>14000KG</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3</w:t>
            </w:r>
            <w:r>
              <w:rPr>
                <w:sz w:val="24"/>
                <w:szCs w:val="21"/>
              </w:rPr>
              <w:t>.6</w:t>
            </w:r>
          </w:p>
        </w:tc>
        <w:tc>
          <w:tcPr>
            <w:tcW w:w="2756" w:type="dxa"/>
            <w:vAlign w:val="center"/>
          </w:tcPr>
          <w:p>
            <w:pPr>
              <w:spacing w:line="480" w:lineRule="exact"/>
              <w:jc w:val="center"/>
              <w:rPr>
                <w:sz w:val="24"/>
                <w:szCs w:val="21"/>
              </w:rPr>
            </w:pPr>
            <w:r>
              <w:rPr>
                <w:rFonts w:hint="eastAsia"/>
                <w:sz w:val="24"/>
                <w:szCs w:val="21"/>
              </w:rPr>
              <w:t xml:space="preserve">电机启动方式： </w:t>
            </w:r>
          </w:p>
        </w:tc>
        <w:tc>
          <w:tcPr>
            <w:tcW w:w="2552" w:type="dxa"/>
          </w:tcPr>
          <w:p>
            <w:pPr>
              <w:spacing w:line="480" w:lineRule="exact"/>
              <w:jc w:val="center"/>
              <w:rPr>
                <w:sz w:val="24"/>
                <w:szCs w:val="21"/>
              </w:rPr>
            </w:pPr>
            <w:r>
              <w:rPr>
                <w:rFonts w:hint="eastAsia"/>
                <w:sz w:val="24"/>
                <w:szCs w:val="21"/>
              </w:rPr>
              <w:t>高压定频启动</w:t>
            </w:r>
          </w:p>
        </w:tc>
        <w:tc>
          <w:tcPr>
            <w:tcW w:w="2551" w:type="dxa"/>
            <w:vAlign w:val="center"/>
          </w:tcPr>
          <w:p>
            <w:pPr>
              <w:spacing w:line="480" w:lineRule="exact"/>
              <w:jc w:val="center"/>
              <w:rPr>
                <w:sz w:val="24"/>
                <w:szCs w:val="21"/>
              </w:rPr>
            </w:pPr>
            <w:r>
              <w:rPr>
                <w:rFonts w:hint="eastAsia"/>
                <w:sz w:val="24"/>
                <w:szCs w:val="21"/>
              </w:rPr>
              <w:t>低压星三角启动</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3</w:t>
            </w:r>
            <w:r>
              <w:rPr>
                <w:sz w:val="24"/>
                <w:szCs w:val="21"/>
              </w:rPr>
              <w:t>.7</w:t>
            </w:r>
          </w:p>
        </w:tc>
        <w:tc>
          <w:tcPr>
            <w:tcW w:w="7859" w:type="dxa"/>
            <w:gridSpan w:val="3"/>
          </w:tcPr>
          <w:p>
            <w:pPr>
              <w:spacing w:line="480" w:lineRule="exact"/>
              <w:jc w:val="center"/>
              <w:rPr>
                <w:sz w:val="24"/>
                <w:szCs w:val="21"/>
              </w:rPr>
            </w:pPr>
            <w:r>
              <w:rPr>
                <w:rFonts w:hint="eastAsia"/>
                <w:sz w:val="24"/>
                <w:szCs w:val="21"/>
              </w:rPr>
              <w:t>控制界面：全中文控制界面</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3</w:t>
            </w:r>
            <w:r>
              <w:rPr>
                <w:sz w:val="24"/>
                <w:szCs w:val="21"/>
              </w:rPr>
              <w:t>.8</w:t>
            </w:r>
          </w:p>
        </w:tc>
        <w:tc>
          <w:tcPr>
            <w:tcW w:w="7859" w:type="dxa"/>
            <w:gridSpan w:val="3"/>
          </w:tcPr>
          <w:p>
            <w:pPr>
              <w:spacing w:line="480" w:lineRule="exact"/>
              <w:jc w:val="center"/>
              <w:rPr>
                <w:sz w:val="24"/>
                <w:szCs w:val="21"/>
              </w:rPr>
            </w:pPr>
            <w:r>
              <w:rPr>
                <w:rFonts w:hint="eastAsia"/>
                <w:sz w:val="24"/>
                <w:szCs w:val="21"/>
              </w:rPr>
              <w:t>控制系统：DDC全自动微电脑控制系统</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3</w:t>
            </w:r>
            <w:r>
              <w:rPr>
                <w:sz w:val="24"/>
                <w:szCs w:val="21"/>
              </w:rPr>
              <w:t>.9</w:t>
            </w:r>
          </w:p>
        </w:tc>
        <w:tc>
          <w:tcPr>
            <w:tcW w:w="7859" w:type="dxa"/>
            <w:gridSpan w:val="3"/>
          </w:tcPr>
          <w:p>
            <w:pPr>
              <w:spacing w:line="480" w:lineRule="exact"/>
              <w:jc w:val="center"/>
              <w:rPr>
                <w:sz w:val="24"/>
                <w:szCs w:val="21"/>
              </w:rPr>
            </w:pPr>
            <w:r>
              <w:rPr>
                <w:rFonts w:hint="eastAsia"/>
                <w:sz w:val="24"/>
                <w:szCs w:val="21"/>
              </w:rPr>
              <w:t>安全保护：电机过载/电压过高或过低/蒸发器和冷凝器断水/油压过低/压缩机启动柜故障/电机高温</w:t>
            </w:r>
          </w:p>
        </w:tc>
      </w:tr>
    </w:tbl>
    <w:p>
      <w:pPr>
        <w:numPr>
          <w:ilvl w:val="0"/>
          <w:numId w:val="11"/>
        </w:numPr>
        <w:spacing w:line="360" w:lineRule="auto"/>
        <w:ind w:firstLine="480" w:firstLineChars="200"/>
        <w:rPr>
          <w:rFonts w:cs="仿宋_GB2312"/>
          <w:sz w:val="24"/>
        </w:rPr>
      </w:pPr>
      <w:r>
        <w:rPr>
          <w:rFonts w:hint="eastAsia" w:cs="仿宋_GB2312"/>
          <w:sz w:val="24"/>
        </w:rPr>
        <w:t>拟供冷水机组需达到能效要求，提供盖章并带AHRI标志选型单。</w:t>
      </w:r>
    </w:p>
    <w:p>
      <w:pPr>
        <w:numPr>
          <w:ilvl w:val="0"/>
          <w:numId w:val="11"/>
        </w:numPr>
        <w:spacing w:line="360" w:lineRule="auto"/>
        <w:ind w:firstLine="480" w:firstLineChars="200"/>
        <w:rPr>
          <w:rFonts w:cs="仿宋_GB2312"/>
          <w:sz w:val="24"/>
        </w:rPr>
      </w:pPr>
      <w:r>
        <w:rPr>
          <w:rFonts w:hint="eastAsia" w:cs="仿宋_GB2312"/>
          <w:sz w:val="24"/>
        </w:rPr>
        <w:t>机组须具有离心机软件选型报告，离心式冷水机组参数以选型报告为准。</w:t>
      </w:r>
    </w:p>
    <w:p>
      <w:pPr>
        <w:numPr>
          <w:ilvl w:val="0"/>
          <w:numId w:val="11"/>
        </w:numPr>
        <w:spacing w:line="360" w:lineRule="auto"/>
        <w:ind w:firstLine="480" w:firstLineChars="200"/>
        <w:rPr>
          <w:rFonts w:cs="仿宋_GB2312"/>
          <w:sz w:val="24"/>
        </w:rPr>
      </w:pPr>
      <w:r>
        <w:rPr>
          <w:rFonts w:hint="eastAsia" w:cs="仿宋_GB2312"/>
          <w:sz w:val="24"/>
        </w:rPr>
        <w:t>投标方需提供和投标机组同系列机组的第三方检测报告。</w:t>
      </w:r>
    </w:p>
    <w:p>
      <w:pPr>
        <w:numPr>
          <w:ilvl w:val="0"/>
          <w:numId w:val="11"/>
        </w:numPr>
        <w:spacing w:line="360" w:lineRule="auto"/>
        <w:ind w:firstLine="480" w:firstLineChars="200"/>
        <w:rPr>
          <w:rFonts w:cs="仿宋_GB2312"/>
          <w:sz w:val="24"/>
        </w:rPr>
      </w:pPr>
      <w:r>
        <w:rPr>
          <w:rFonts w:hint="eastAsia" w:cs="仿宋_GB2312"/>
          <w:sz w:val="24"/>
        </w:rPr>
        <w:t>投标设备应采用 RS-485 接口，必须提供免费开放的通讯协议，并提供全部监视及控制信息，以实现远程监视和控制。必须提供满足本次招标所需的机组、群控主机使用的接口转换装置，能够实现与中央控制系统互联。</w:t>
      </w:r>
    </w:p>
    <w:p>
      <w:pPr>
        <w:numPr>
          <w:ilvl w:val="0"/>
          <w:numId w:val="11"/>
        </w:numPr>
        <w:spacing w:line="360" w:lineRule="auto"/>
        <w:ind w:firstLine="482" w:firstLineChars="200"/>
        <w:rPr>
          <w:rFonts w:cs="仿宋_GB2312"/>
          <w:b/>
          <w:bCs/>
          <w:sz w:val="24"/>
        </w:rPr>
      </w:pPr>
      <w:r>
        <w:rPr>
          <w:rFonts w:hint="eastAsia" w:cs="仿宋_GB2312"/>
          <w:b/>
          <w:bCs/>
          <w:sz w:val="24"/>
        </w:rPr>
        <w:t>*部件产地：压缩机等核心部件由整机制造商负责自主生产，不允许 OEM 生产，整机合格证必须由整机制造商开具。</w:t>
      </w:r>
    </w:p>
    <w:p>
      <w:pPr>
        <w:numPr>
          <w:ilvl w:val="0"/>
          <w:numId w:val="10"/>
        </w:numPr>
        <w:spacing w:line="360" w:lineRule="auto"/>
        <w:ind w:firstLine="480" w:firstLineChars="200"/>
        <w:rPr>
          <w:rFonts w:cs="仿宋_GB2312"/>
          <w:sz w:val="24"/>
        </w:rPr>
      </w:pPr>
      <w:r>
        <w:rPr>
          <w:rFonts w:hint="eastAsia" w:cs="仿宋_GB2312"/>
          <w:sz w:val="24"/>
        </w:rPr>
        <w:t>设备及运行要求</w:t>
      </w:r>
    </w:p>
    <w:p>
      <w:pPr>
        <w:numPr>
          <w:ilvl w:val="0"/>
          <w:numId w:val="12"/>
        </w:numPr>
        <w:spacing w:line="360" w:lineRule="auto"/>
        <w:ind w:firstLine="480" w:firstLineChars="200"/>
        <w:rPr>
          <w:rFonts w:cs="仿宋_GB2312"/>
          <w:sz w:val="24"/>
        </w:rPr>
      </w:pPr>
      <w:r>
        <w:rPr>
          <w:rFonts w:hint="eastAsia" w:cs="仿宋_GB2312"/>
          <w:sz w:val="24"/>
        </w:rPr>
        <w:t>3.1 机组主要功能要求</w:t>
      </w:r>
    </w:p>
    <w:p>
      <w:pPr>
        <w:spacing w:line="360" w:lineRule="auto"/>
        <w:ind w:firstLine="480" w:firstLineChars="200"/>
        <w:rPr>
          <w:rFonts w:cs="仿宋_GB2312"/>
          <w:sz w:val="24"/>
        </w:rPr>
      </w:pPr>
      <w:r>
        <w:rPr>
          <w:rFonts w:hint="eastAsia" w:cs="仿宋_GB2312"/>
          <w:sz w:val="24"/>
        </w:rPr>
        <w:t>机组配置要求：机组由工厂整装出厂，包括蒸发器、冷凝器、压缩机（带电机）、成套机组之全部附属设备、微电脑控制中心、带经济器、配套隔离阀、出厂配对法兰，为每台机组充注满足运行条件的制冷剂和润滑油，机组自带控制柜。</w:t>
      </w:r>
    </w:p>
    <w:p>
      <w:pPr>
        <w:numPr>
          <w:ilvl w:val="0"/>
          <w:numId w:val="12"/>
        </w:numPr>
        <w:spacing w:line="360" w:lineRule="auto"/>
        <w:ind w:firstLine="480" w:firstLineChars="200"/>
        <w:rPr>
          <w:rFonts w:cs="仿宋_GB2312"/>
          <w:sz w:val="24"/>
        </w:rPr>
      </w:pPr>
      <w:r>
        <w:rPr>
          <w:rFonts w:hint="eastAsia" w:cs="仿宋_GB2312"/>
          <w:sz w:val="24"/>
        </w:rPr>
        <w:t>3.2 主要部件技术要求</w:t>
      </w:r>
    </w:p>
    <w:p>
      <w:pPr>
        <w:spacing w:line="360" w:lineRule="auto"/>
        <w:ind w:firstLine="482" w:firstLineChars="200"/>
        <w:rPr>
          <w:rFonts w:cs="仿宋_GB2312"/>
          <w:b/>
          <w:bCs/>
          <w:sz w:val="24"/>
        </w:rPr>
      </w:pPr>
      <w:r>
        <w:rPr>
          <w:rFonts w:hint="eastAsia" w:cs="仿宋_GB2312"/>
          <w:b/>
          <w:bCs/>
          <w:sz w:val="24"/>
        </w:rPr>
        <w:t>1） *压缩机</w:t>
      </w:r>
    </w:p>
    <w:p>
      <w:pPr>
        <w:spacing w:line="360" w:lineRule="auto"/>
        <w:ind w:firstLine="482" w:firstLineChars="200"/>
        <w:rPr>
          <w:rFonts w:cs="仿宋_GB2312"/>
          <w:b/>
          <w:bCs/>
          <w:sz w:val="24"/>
        </w:rPr>
      </w:pPr>
      <w:r>
        <w:rPr>
          <w:rFonts w:hint="eastAsia" w:cs="仿宋_GB2312"/>
          <w:b/>
          <w:bCs/>
          <w:sz w:val="24"/>
        </w:rPr>
        <w:t>压缩机要求具有高效率、低振动、低噪音等特点，针对压缩机应具备相应的降噪技术。压缩机需与整机匹配性能高，压缩机推荐使用技术成熟、运行稳定、安全可靠的一线著名品牌，不接受 OEM 生产和联营产品。</w:t>
      </w:r>
    </w:p>
    <w:p>
      <w:pPr>
        <w:spacing w:line="360" w:lineRule="auto"/>
        <w:ind w:firstLine="482" w:firstLineChars="200"/>
        <w:rPr>
          <w:rFonts w:cs="仿宋_GB2312"/>
          <w:b/>
          <w:bCs/>
          <w:sz w:val="24"/>
        </w:rPr>
      </w:pPr>
      <w:r>
        <w:rPr>
          <w:rFonts w:hint="eastAsia" w:cs="仿宋_GB2312"/>
          <w:b/>
          <w:bCs/>
          <w:sz w:val="24"/>
        </w:rPr>
        <w:t>为了充分保证压缩机的运转安全，应该具有：良好的过载保护、相序保护、电动机过载保护、油压保护、电源紧急中断等。</w:t>
      </w:r>
    </w:p>
    <w:p>
      <w:pPr>
        <w:spacing w:line="360" w:lineRule="auto"/>
        <w:ind w:firstLine="482" w:firstLineChars="200"/>
        <w:rPr>
          <w:rFonts w:cs="仿宋_GB2312"/>
          <w:b/>
          <w:bCs/>
          <w:sz w:val="24"/>
        </w:rPr>
      </w:pPr>
      <w:r>
        <w:rPr>
          <w:rFonts w:hint="eastAsia" w:cs="仿宋_GB2312"/>
          <w:b/>
          <w:bCs/>
          <w:sz w:val="24"/>
        </w:rPr>
        <w:t>压缩机采用双级或多级压缩，确保运转可靠性高，使用寿命长，制冷循环效率高。压缩机冷却效果应显著，且应有相应的措施减少对机房的大量散热。</w:t>
      </w:r>
    </w:p>
    <w:p>
      <w:pPr>
        <w:spacing w:line="360" w:lineRule="auto"/>
        <w:ind w:firstLine="482" w:firstLineChars="200"/>
        <w:rPr>
          <w:rFonts w:cs="仿宋_GB2312"/>
          <w:b/>
          <w:bCs/>
          <w:sz w:val="24"/>
        </w:rPr>
      </w:pPr>
      <w:r>
        <w:rPr>
          <w:rFonts w:hint="eastAsia" w:cs="仿宋_GB2312"/>
          <w:b/>
          <w:bCs/>
          <w:sz w:val="24"/>
        </w:rPr>
        <w:t>投标方应提供压缩机电机消耗功率，机组在不同负荷时耗电指标。</w:t>
      </w:r>
    </w:p>
    <w:p>
      <w:pPr>
        <w:spacing w:line="360" w:lineRule="auto"/>
        <w:ind w:firstLine="482" w:firstLineChars="200"/>
        <w:rPr>
          <w:rFonts w:cs="仿宋_GB2312"/>
          <w:b/>
          <w:bCs/>
          <w:sz w:val="24"/>
        </w:rPr>
      </w:pPr>
      <w:r>
        <w:rPr>
          <w:rFonts w:hint="eastAsia" w:cs="仿宋_GB2312"/>
          <w:b/>
          <w:bCs/>
          <w:sz w:val="24"/>
        </w:rPr>
        <w:t>压缩机须配备紧急供油系统，保证机器在任何状态下安全、可靠运行。</w:t>
      </w:r>
    </w:p>
    <w:p>
      <w:pPr>
        <w:spacing w:line="360" w:lineRule="auto"/>
        <w:ind w:firstLine="482" w:firstLineChars="200"/>
        <w:rPr>
          <w:rFonts w:cs="仿宋_GB2312"/>
          <w:b/>
          <w:bCs/>
          <w:sz w:val="24"/>
        </w:rPr>
      </w:pPr>
      <w:r>
        <w:rPr>
          <w:rFonts w:hint="eastAsia" w:cs="仿宋_GB2312"/>
          <w:b/>
          <w:bCs/>
          <w:sz w:val="24"/>
        </w:rPr>
        <w:t>2）蒸发器和冷凝器</w:t>
      </w:r>
    </w:p>
    <w:p>
      <w:pPr>
        <w:spacing w:line="360" w:lineRule="auto"/>
        <w:ind w:firstLine="482" w:firstLineChars="200"/>
        <w:rPr>
          <w:rFonts w:cs="仿宋_GB2312"/>
          <w:b/>
          <w:bCs/>
          <w:sz w:val="24"/>
        </w:rPr>
      </w:pPr>
      <w:r>
        <w:rPr>
          <w:rFonts w:hint="eastAsia" w:cs="仿宋_GB2312"/>
          <w:b/>
          <w:bCs/>
          <w:sz w:val="24"/>
        </w:rPr>
        <w:t>采用满液式蒸发器，换热管采用优质高效换热铜管。铜管以机械胀管法固定在管板上。可以单独更换而不会对相邻换热管产生影响。换热器外采用阻燃、防水的隔热的发泡橡胶（不小于 25mm）保温材料，所有保温及隔热材料符合国家标准。蒸发器和冷凝器，各成一体，换热管应高效，整体内外强化；同时，管子应能便利更换，不影响管板的强度和寿命，不造成邻管的泄漏。</w:t>
      </w:r>
    </w:p>
    <w:p>
      <w:pPr>
        <w:spacing w:line="360" w:lineRule="auto"/>
        <w:ind w:firstLine="482" w:firstLineChars="200"/>
        <w:rPr>
          <w:rFonts w:cs="仿宋_GB2312"/>
          <w:b/>
          <w:bCs/>
          <w:sz w:val="24"/>
        </w:rPr>
      </w:pPr>
      <w:r>
        <w:rPr>
          <w:rFonts w:hint="eastAsia" w:cs="仿宋_GB2312"/>
          <w:b/>
          <w:bCs/>
          <w:sz w:val="24"/>
        </w:rPr>
        <w:t>3）冷媒的节流方式：孔板或浮球阀调节。</w:t>
      </w:r>
    </w:p>
    <w:p>
      <w:pPr>
        <w:spacing w:line="360" w:lineRule="auto"/>
        <w:ind w:firstLine="482" w:firstLineChars="200"/>
        <w:rPr>
          <w:rFonts w:cs="仿宋_GB2312"/>
          <w:b/>
          <w:bCs/>
          <w:sz w:val="24"/>
        </w:rPr>
      </w:pPr>
      <w:r>
        <w:rPr>
          <w:rFonts w:hint="eastAsia" w:cs="仿宋_GB2312"/>
          <w:b/>
          <w:bCs/>
          <w:sz w:val="24"/>
        </w:rPr>
        <w:t>4）紧急供油装置</w:t>
      </w:r>
    </w:p>
    <w:p>
      <w:pPr>
        <w:spacing w:line="360" w:lineRule="auto"/>
        <w:ind w:firstLine="482" w:firstLineChars="200"/>
        <w:rPr>
          <w:rFonts w:cs="仿宋_GB2312"/>
          <w:b/>
          <w:bCs/>
          <w:sz w:val="24"/>
        </w:rPr>
      </w:pPr>
      <w:r>
        <w:rPr>
          <w:rFonts w:hint="eastAsia" w:cs="仿宋_GB2312"/>
          <w:b/>
          <w:bCs/>
          <w:sz w:val="24"/>
        </w:rPr>
        <w:t>提供具体紧急供油方式，以保证突然停电时，为轴承供油保证润滑，供油压力能等同于主机正常运行时的油压。</w:t>
      </w:r>
    </w:p>
    <w:p>
      <w:pPr>
        <w:spacing w:line="360" w:lineRule="auto"/>
        <w:ind w:firstLine="482" w:firstLineChars="200"/>
        <w:rPr>
          <w:rFonts w:cs="仿宋_GB2312"/>
          <w:b/>
          <w:bCs/>
          <w:sz w:val="24"/>
        </w:rPr>
      </w:pPr>
      <w:r>
        <w:rPr>
          <w:rFonts w:hint="eastAsia" w:cs="仿宋_GB2312"/>
          <w:b/>
          <w:bCs/>
          <w:sz w:val="24"/>
        </w:rPr>
        <w:t>5）启动方式：高压直接启动、低压星三角启动</w:t>
      </w:r>
    </w:p>
    <w:p>
      <w:pPr>
        <w:spacing w:line="360" w:lineRule="auto"/>
        <w:ind w:firstLine="482" w:firstLineChars="200"/>
        <w:rPr>
          <w:rFonts w:cs="仿宋_GB2312"/>
          <w:b/>
          <w:bCs/>
          <w:sz w:val="24"/>
        </w:rPr>
      </w:pPr>
      <w:r>
        <w:rPr>
          <w:rFonts w:hint="eastAsia" w:cs="仿宋_GB2312"/>
          <w:b/>
          <w:bCs/>
          <w:sz w:val="24"/>
        </w:rPr>
        <w:t>6）远程控制与通讯要求</w:t>
      </w:r>
    </w:p>
    <w:p>
      <w:pPr>
        <w:spacing w:line="360" w:lineRule="auto"/>
        <w:ind w:firstLine="482" w:firstLineChars="200"/>
        <w:rPr>
          <w:rFonts w:cs="仿宋_GB2312"/>
          <w:b/>
          <w:bCs/>
          <w:sz w:val="24"/>
        </w:rPr>
      </w:pPr>
      <w:r>
        <w:rPr>
          <w:rFonts w:hint="eastAsia" w:cs="仿宋_GB2312"/>
          <w:b/>
          <w:bCs/>
          <w:sz w:val="24"/>
        </w:rPr>
        <w:t>采用不小于 10 英寸彩色触摸屏，除显示冷冻冷却水进出水温度、电流百分比、油温等常用参数外，还须有功率因数数字显示、频率数字显示、功率显示、电度表显示；</w:t>
      </w:r>
    </w:p>
    <w:p>
      <w:pPr>
        <w:spacing w:line="360" w:lineRule="auto"/>
        <w:ind w:firstLine="482" w:firstLineChars="200"/>
        <w:rPr>
          <w:rFonts w:cs="仿宋_GB2312"/>
          <w:b/>
          <w:bCs/>
          <w:sz w:val="24"/>
        </w:rPr>
      </w:pPr>
      <w:r>
        <w:rPr>
          <w:rFonts w:hint="eastAsia" w:cs="仿宋_GB2312"/>
          <w:b/>
          <w:bCs/>
          <w:sz w:val="24"/>
        </w:rPr>
        <w:t>投标高压直启离心机组须随机提供非机载启动柜，启动柜内除了负责启停机组的真空断路器外，还须配置带分励脱扣的高压负荷开关，低压星三角启动柜必须配空气开关，以便在紧急情况下分断电源保护机组；</w:t>
      </w:r>
    </w:p>
    <w:p>
      <w:pPr>
        <w:spacing w:line="360" w:lineRule="auto"/>
        <w:ind w:firstLine="482" w:firstLineChars="200"/>
        <w:rPr>
          <w:rFonts w:cs="仿宋_GB2312"/>
          <w:b/>
          <w:bCs/>
          <w:sz w:val="24"/>
        </w:rPr>
      </w:pPr>
      <w:r>
        <w:rPr>
          <w:rFonts w:hint="eastAsia" w:cs="仿宋_GB2312"/>
          <w:b/>
          <w:bCs/>
          <w:sz w:val="24"/>
        </w:rPr>
        <w:t>投标方须配置启动柜内的启动管理电脑模块；</w:t>
      </w:r>
    </w:p>
    <w:p>
      <w:pPr>
        <w:spacing w:line="360" w:lineRule="auto"/>
        <w:ind w:firstLine="482" w:firstLineChars="200"/>
        <w:rPr>
          <w:rFonts w:cs="仿宋_GB2312"/>
          <w:b/>
          <w:bCs/>
          <w:sz w:val="24"/>
        </w:rPr>
      </w:pPr>
      <w:r>
        <w:rPr>
          <w:rFonts w:hint="eastAsia" w:cs="仿宋_GB2312"/>
          <w:b/>
          <w:bCs/>
          <w:sz w:val="24"/>
        </w:rPr>
        <w:t>投标离心机组启动柜须带如下安全配置：油泵电源与主电源连锁、过电压吸收器、高压熔断器；</w:t>
      </w:r>
    </w:p>
    <w:p>
      <w:pPr>
        <w:spacing w:line="360" w:lineRule="auto"/>
        <w:ind w:firstLine="482" w:firstLineChars="200"/>
        <w:rPr>
          <w:rFonts w:cs="仿宋_GB2312"/>
          <w:b/>
          <w:bCs/>
          <w:sz w:val="24"/>
        </w:rPr>
      </w:pPr>
      <w:r>
        <w:rPr>
          <w:rFonts w:hint="eastAsia" w:cs="仿宋_GB2312"/>
          <w:b/>
          <w:bCs/>
          <w:sz w:val="24"/>
        </w:rPr>
        <w:t>投标离心机组控制系统须带软停机功能，当机组接到停机指令后，先卸载使电流下降，当电流下降至预设值后，电机才停止运行。使接触器在低电流下分断，延长接触器的使用寿命。</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2.2.5螺杆式冷水机组主要性能及参数</w:t>
      </w:r>
    </w:p>
    <w:p>
      <w:pPr>
        <w:spacing w:line="360" w:lineRule="auto"/>
        <w:ind w:firstLine="480" w:firstLineChars="200"/>
        <w:rPr>
          <w:rFonts w:cs="仿宋_GB2312"/>
          <w:sz w:val="24"/>
        </w:rPr>
      </w:pPr>
      <w:r>
        <w:rPr>
          <w:rFonts w:hint="eastAsia" w:cs="仿宋_GB2312"/>
          <w:sz w:val="24"/>
        </w:rPr>
        <w:t>（1）设备构成</w:t>
      </w:r>
    </w:p>
    <w:p>
      <w:pPr>
        <w:spacing w:line="360" w:lineRule="auto"/>
        <w:ind w:firstLine="480" w:firstLineChars="200"/>
        <w:rPr>
          <w:rFonts w:cs="仿宋_GB2312"/>
          <w:sz w:val="24"/>
        </w:rPr>
      </w:pPr>
      <w:r>
        <w:rPr>
          <w:rFonts w:hint="eastAsia" w:cs="仿宋_GB2312"/>
          <w:sz w:val="24"/>
        </w:rPr>
        <w:t>在工厂内组装成整体。机组应包括机座、蒸发器、冷凝器、压缩机、压缩机电动机、润滑油系统、机组内部制冷剂管路系统、工厂安装的润滑油和制冷剂、保温措施、控制部件及控制盘（电控柜）。</w:t>
      </w:r>
    </w:p>
    <w:p>
      <w:pPr>
        <w:spacing w:line="360" w:lineRule="auto"/>
        <w:ind w:firstLine="480" w:firstLineChars="200"/>
        <w:rPr>
          <w:rFonts w:cs="仿宋_GB2312"/>
          <w:sz w:val="24"/>
        </w:rPr>
      </w:pPr>
      <w:r>
        <w:rPr>
          <w:rFonts w:hint="eastAsia" w:cs="仿宋_GB2312"/>
          <w:sz w:val="24"/>
        </w:rPr>
        <w:t>（2）技术要求</w:t>
      </w:r>
    </w:p>
    <w:p>
      <w:pPr>
        <w:spacing w:line="360" w:lineRule="auto"/>
        <w:ind w:firstLine="480" w:firstLineChars="200"/>
        <w:rPr>
          <w:rFonts w:cs="仿宋_GB2312"/>
          <w:sz w:val="24"/>
        </w:rPr>
      </w:pPr>
      <w:r>
        <w:rPr>
          <w:rFonts w:hint="eastAsia" w:cs="仿宋_GB2312"/>
          <w:sz w:val="24"/>
        </w:rPr>
        <w:t>冷水机组性能详见下表。</w:t>
      </w:r>
    </w:p>
    <w:p>
      <w:pPr>
        <w:spacing w:line="360" w:lineRule="auto"/>
        <w:jc w:val="center"/>
        <w:rPr>
          <w:rFonts w:cs="仿宋_GB2312"/>
          <w:sz w:val="24"/>
        </w:rPr>
      </w:pPr>
      <w:r>
        <w:rPr>
          <w:rFonts w:hint="eastAsia" w:cs="仿宋_GB2312"/>
          <w:sz w:val="24"/>
        </w:rPr>
        <w:t>螺杆式冷水机组性能参数表</w:t>
      </w:r>
    </w:p>
    <w:tbl>
      <w:tblPr>
        <w:tblStyle w:val="6"/>
        <w:tblW w:w="9073"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autofit"/>
        <w:tblCellMar>
          <w:top w:w="0" w:type="dxa"/>
          <w:left w:w="108" w:type="dxa"/>
          <w:bottom w:w="0" w:type="dxa"/>
          <w:right w:w="108" w:type="dxa"/>
        </w:tblCellMar>
      </w:tblPr>
      <w:tblGrid>
        <w:gridCol w:w="1214"/>
        <w:gridCol w:w="2756"/>
        <w:gridCol w:w="2552"/>
        <w:gridCol w:w="2551"/>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序号</w:t>
            </w:r>
          </w:p>
        </w:tc>
        <w:tc>
          <w:tcPr>
            <w:tcW w:w="2756" w:type="dxa"/>
            <w:vAlign w:val="center"/>
          </w:tcPr>
          <w:p>
            <w:pPr>
              <w:spacing w:line="480" w:lineRule="exact"/>
              <w:jc w:val="center"/>
              <w:rPr>
                <w:sz w:val="24"/>
                <w:szCs w:val="21"/>
              </w:rPr>
            </w:pPr>
            <w:r>
              <w:rPr>
                <w:rFonts w:hint="eastAsia"/>
                <w:sz w:val="24"/>
                <w:szCs w:val="21"/>
              </w:rPr>
              <w:t>技术要求</w:t>
            </w:r>
          </w:p>
        </w:tc>
        <w:tc>
          <w:tcPr>
            <w:tcW w:w="2552" w:type="dxa"/>
          </w:tcPr>
          <w:p>
            <w:pPr>
              <w:spacing w:line="480" w:lineRule="exact"/>
              <w:jc w:val="center"/>
              <w:rPr>
                <w:sz w:val="24"/>
                <w:szCs w:val="21"/>
              </w:rPr>
            </w:pPr>
            <w:r>
              <w:rPr>
                <w:sz w:val="24"/>
                <w:szCs w:val="21"/>
              </w:rPr>
              <w:t>1406KW</w:t>
            </w:r>
            <w:r>
              <w:rPr>
                <w:rFonts w:hint="eastAsia"/>
                <w:sz w:val="24"/>
                <w:szCs w:val="21"/>
              </w:rPr>
              <w:t>低压变频</w:t>
            </w:r>
          </w:p>
        </w:tc>
        <w:tc>
          <w:tcPr>
            <w:tcW w:w="2551" w:type="dxa"/>
            <w:vAlign w:val="center"/>
          </w:tcPr>
          <w:p>
            <w:pPr>
              <w:spacing w:line="480" w:lineRule="exact"/>
              <w:jc w:val="center"/>
              <w:rPr>
                <w:sz w:val="24"/>
                <w:szCs w:val="21"/>
              </w:rPr>
            </w:pPr>
            <w:r>
              <w:rPr>
                <w:sz w:val="24"/>
                <w:szCs w:val="21"/>
              </w:rPr>
              <w:t>1160KW</w:t>
            </w:r>
            <w:r>
              <w:rPr>
                <w:rFonts w:hint="eastAsia"/>
                <w:sz w:val="24"/>
                <w:szCs w:val="21"/>
              </w:rPr>
              <w:t>低压变频</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1</w:t>
            </w:r>
          </w:p>
        </w:tc>
        <w:tc>
          <w:tcPr>
            <w:tcW w:w="7859" w:type="dxa"/>
            <w:gridSpan w:val="3"/>
          </w:tcPr>
          <w:p>
            <w:pPr>
              <w:spacing w:line="480" w:lineRule="exact"/>
              <w:jc w:val="center"/>
              <w:rPr>
                <w:sz w:val="24"/>
                <w:szCs w:val="21"/>
              </w:rPr>
            </w:pPr>
            <w:r>
              <w:rPr>
                <w:rFonts w:hint="eastAsia"/>
                <w:sz w:val="24"/>
                <w:szCs w:val="21"/>
              </w:rPr>
              <w:t>变频螺杆式冷水机组</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restart"/>
            <w:vAlign w:val="center"/>
          </w:tcPr>
          <w:p>
            <w:pPr>
              <w:spacing w:line="480" w:lineRule="exact"/>
              <w:jc w:val="center"/>
              <w:rPr>
                <w:b/>
                <w:bCs/>
                <w:sz w:val="24"/>
                <w:szCs w:val="21"/>
              </w:rPr>
            </w:pPr>
            <w:r>
              <w:rPr>
                <w:rFonts w:hint="eastAsia"/>
                <w:b/>
                <w:bCs/>
                <w:sz w:val="24"/>
                <w:szCs w:val="21"/>
              </w:rPr>
              <w:t>*1.1</w:t>
            </w:r>
          </w:p>
        </w:tc>
        <w:tc>
          <w:tcPr>
            <w:tcW w:w="2756" w:type="dxa"/>
            <w:vAlign w:val="center"/>
          </w:tcPr>
          <w:p>
            <w:pPr>
              <w:spacing w:line="480" w:lineRule="exact"/>
              <w:jc w:val="center"/>
              <w:rPr>
                <w:sz w:val="24"/>
                <w:szCs w:val="21"/>
              </w:rPr>
            </w:pPr>
            <w:r>
              <w:rPr>
                <w:rFonts w:hint="eastAsia"/>
                <w:sz w:val="24"/>
                <w:szCs w:val="21"/>
              </w:rPr>
              <w:t>单台额定制冷量：</w:t>
            </w:r>
          </w:p>
        </w:tc>
        <w:tc>
          <w:tcPr>
            <w:tcW w:w="2552" w:type="dxa"/>
          </w:tcPr>
          <w:p>
            <w:pPr>
              <w:spacing w:line="480" w:lineRule="exact"/>
              <w:jc w:val="center"/>
              <w:rPr>
                <w:sz w:val="24"/>
                <w:szCs w:val="21"/>
              </w:rPr>
            </w:pPr>
            <w:r>
              <w:rPr>
                <w:rFonts w:hint="eastAsia"/>
                <w:sz w:val="24"/>
                <w:szCs w:val="21"/>
              </w:rPr>
              <w:t>≥14</w:t>
            </w:r>
            <w:r>
              <w:rPr>
                <w:sz w:val="24"/>
                <w:szCs w:val="21"/>
              </w:rPr>
              <w:t>06</w:t>
            </w:r>
            <w:r>
              <w:rPr>
                <w:rFonts w:hint="eastAsia"/>
                <w:sz w:val="24"/>
                <w:szCs w:val="21"/>
              </w:rPr>
              <w:t>KW</w:t>
            </w:r>
          </w:p>
        </w:tc>
        <w:tc>
          <w:tcPr>
            <w:tcW w:w="2551" w:type="dxa"/>
            <w:vAlign w:val="center"/>
          </w:tcPr>
          <w:p>
            <w:pPr>
              <w:spacing w:line="480" w:lineRule="exact"/>
              <w:jc w:val="center"/>
              <w:rPr>
                <w:sz w:val="24"/>
                <w:szCs w:val="21"/>
              </w:rPr>
            </w:pPr>
            <w:r>
              <w:rPr>
                <w:rFonts w:hint="eastAsia"/>
                <w:sz w:val="24"/>
                <w:szCs w:val="21"/>
              </w:rPr>
              <w:t>≥</w:t>
            </w:r>
            <w:r>
              <w:rPr>
                <w:sz w:val="24"/>
                <w:szCs w:val="21"/>
              </w:rPr>
              <w:t>1160</w:t>
            </w:r>
            <w:r>
              <w:rPr>
                <w:rFonts w:hint="eastAsia"/>
                <w:sz w:val="24"/>
                <w:szCs w:val="21"/>
              </w:rPr>
              <w:t>KW</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continue"/>
            <w:vAlign w:val="center"/>
          </w:tcPr>
          <w:p>
            <w:pPr>
              <w:spacing w:line="480" w:lineRule="exact"/>
              <w:jc w:val="center"/>
              <w:rPr>
                <w:b/>
                <w:bCs/>
                <w:sz w:val="24"/>
                <w:szCs w:val="21"/>
              </w:rPr>
            </w:pPr>
          </w:p>
        </w:tc>
        <w:tc>
          <w:tcPr>
            <w:tcW w:w="2756" w:type="dxa"/>
            <w:vAlign w:val="center"/>
          </w:tcPr>
          <w:p>
            <w:pPr>
              <w:spacing w:line="480" w:lineRule="exact"/>
              <w:jc w:val="center"/>
              <w:rPr>
                <w:sz w:val="24"/>
                <w:szCs w:val="21"/>
              </w:rPr>
            </w:pPr>
            <w:r>
              <w:rPr>
                <w:rFonts w:hint="eastAsia"/>
                <w:sz w:val="24"/>
                <w:szCs w:val="21"/>
              </w:rPr>
              <w:t>数量：</w:t>
            </w:r>
          </w:p>
        </w:tc>
        <w:tc>
          <w:tcPr>
            <w:tcW w:w="2552" w:type="dxa"/>
          </w:tcPr>
          <w:p>
            <w:pPr>
              <w:spacing w:line="480" w:lineRule="exact"/>
              <w:jc w:val="center"/>
              <w:rPr>
                <w:sz w:val="24"/>
                <w:szCs w:val="21"/>
              </w:rPr>
            </w:pPr>
            <w:r>
              <w:rPr>
                <w:sz w:val="24"/>
                <w:szCs w:val="21"/>
              </w:rPr>
              <w:t>1</w:t>
            </w:r>
            <w:r>
              <w:rPr>
                <w:rFonts w:hint="eastAsia"/>
                <w:sz w:val="24"/>
                <w:szCs w:val="21"/>
              </w:rPr>
              <w:t>台</w:t>
            </w:r>
          </w:p>
        </w:tc>
        <w:tc>
          <w:tcPr>
            <w:tcW w:w="2551" w:type="dxa"/>
            <w:vAlign w:val="center"/>
          </w:tcPr>
          <w:p>
            <w:pPr>
              <w:spacing w:line="480" w:lineRule="exact"/>
              <w:jc w:val="center"/>
              <w:rPr>
                <w:sz w:val="24"/>
                <w:szCs w:val="21"/>
              </w:rPr>
            </w:pPr>
            <w:r>
              <w:rPr>
                <w:sz w:val="24"/>
                <w:szCs w:val="21"/>
              </w:rPr>
              <w:t>1</w:t>
            </w:r>
            <w:r>
              <w:rPr>
                <w:rFonts w:hint="eastAsia"/>
                <w:sz w:val="24"/>
                <w:szCs w:val="21"/>
              </w:rPr>
              <w:t>台</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continue"/>
            <w:vAlign w:val="center"/>
          </w:tcPr>
          <w:p>
            <w:pPr>
              <w:spacing w:line="480" w:lineRule="exact"/>
              <w:jc w:val="center"/>
              <w:rPr>
                <w:b/>
                <w:bCs/>
                <w:sz w:val="24"/>
                <w:szCs w:val="21"/>
              </w:rPr>
            </w:pPr>
          </w:p>
        </w:tc>
        <w:tc>
          <w:tcPr>
            <w:tcW w:w="2756" w:type="dxa"/>
            <w:vAlign w:val="center"/>
          </w:tcPr>
          <w:p>
            <w:pPr>
              <w:spacing w:line="480" w:lineRule="exact"/>
              <w:jc w:val="center"/>
              <w:rPr>
                <w:sz w:val="24"/>
                <w:szCs w:val="21"/>
              </w:rPr>
            </w:pPr>
            <w:r>
              <w:rPr>
                <w:rFonts w:hint="eastAsia"/>
                <w:sz w:val="24"/>
                <w:szCs w:val="21"/>
              </w:rPr>
              <w:t>设计工况COP：</w:t>
            </w:r>
          </w:p>
        </w:tc>
        <w:tc>
          <w:tcPr>
            <w:tcW w:w="2552" w:type="dxa"/>
          </w:tcPr>
          <w:p>
            <w:pPr>
              <w:spacing w:line="480" w:lineRule="exact"/>
              <w:jc w:val="center"/>
              <w:rPr>
                <w:sz w:val="24"/>
                <w:szCs w:val="21"/>
              </w:rPr>
            </w:pPr>
            <w:r>
              <w:rPr>
                <w:sz w:val="24"/>
                <w:szCs w:val="21"/>
              </w:rPr>
              <w:t>5.6</w:t>
            </w:r>
          </w:p>
        </w:tc>
        <w:tc>
          <w:tcPr>
            <w:tcW w:w="2551" w:type="dxa"/>
            <w:vAlign w:val="center"/>
          </w:tcPr>
          <w:p>
            <w:pPr>
              <w:spacing w:line="480" w:lineRule="exact"/>
              <w:jc w:val="center"/>
              <w:rPr>
                <w:sz w:val="24"/>
                <w:szCs w:val="21"/>
              </w:rPr>
            </w:pPr>
            <w:r>
              <w:rPr>
                <w:sz w:val="24"/>
                <w:szCs w:val="21"/>
              </w:rPr>
              <w:t>6.1</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continue"/>
            <w:vAlign w:val="center"/>
          </w:tcPr>
          <w:p>
            <w:pPr>
              <w:spacing w:line="480" w:lineRule="exact"/>
              <w:jc w:val="center"/>
              <w:rPr>
                <w:b/>
                <w:bCs/>
                <w:sz w:val="24"/>
                <w:szCs w:val="21"/>
              </w:rPr>
            </w:pPr>
          </w:p>
        </w:tc>
        <w:tc>
          <w:tcPr>
            <w:tcW w:w="2756" w:type="dxa"/>
            <w:vAlign w:val="center"/>
          </w:tcPr>
          <w:p>
            <w:pPr>
              <w:spacing w:line="480" w:lineRule="exact"/>
              <w:jc w:val="center"/>
              <w:rPr>
                <w:sz w:val="24"/>
                <w:szCs w:val="21"/>
              </w:rPr>
            </w:pPr>
            <w:r>
              <w:rPr>
                <w:sz w:val="24"/>
                <w:szCs w:val="21"/>
              </w:rPr>
              <w:t>IPLV(18430.1)</w:t>
            </w:r>
            <w:r>
              <w:rPr>
                <w:rFonts w:hint="eastAsia"/>
                <w:sz w:val="24"/>
                <w:szCs w:val="21"/>
              </w:rPr>
              <w:t>：</w:t>
            </w:r>
          </w:p>
        </w:tc>
        <w:tc>
          <w:tcPr>
            <w:tcW w:w="2552" w:type="dxa"/>
          </w:tcPr>
          <w:p>
            <w:pPr>
              <w:spacing w:line="480" w:lineRule="exact"/>
              <w:jc w:val="center"/>
              <w:rPr>
                <w:sz w:val="24"/>
                <w:szCs w:val="21"/>
              </w:rPr>
            </w:pPr>
            <w:r>
              <w:rPr>
                <w:sz w:val="24"/>
                <w:szCs w:val="21"/>
              </w:rPr>
              <w:t>9</w:t>
            </w:r>
          </w:p>
        </w:tc>
        <w:tc>
          <w:tcPr>
            <w:tcW w:w="2551" w:type="dxa"/>
            <w:vAlign w:val="center"/>
          </w:tcPr>
          <w:p>
            <w:pPr>
              <w:spacing w:line="480" w:lineRule="exact"/>
              <w:jc w:val="center"/>
              <w:rPr>
                <w:sz w:val="24"/>
                <w:szCs w:val="21"/>
              </w:rPr>
            </w:pPr>
            <w:r>
              <w:rPr>
                <w:sz w:val="24"/>
                <w:szCs w:val="21"/>
              </w:rPr>
              <w:t>9</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1</w:t>
            </w:r>
            <w:r>
              <w:rPr>
                <w:sz w:val="24"/>
                <w:szCs w:val="21"/>
              </w:rPr>
              <w:t>.2</w:t>
            </w:r>
          </w:p>
        </w:tc>
        <w:tc>
          <w:tcPr>
            <w:tcW w:w="2756" w:type="dxa"/>
            <w:vAlign w:val="center"/>
          </w:tcPr>
          <w:p>
            <w:pPr>
              <w:spacing w:line="480" w:lineRule="exact"/>
              <w:jc w:val="center"/>
              <w:rPr>
                <w:sz w:val="24"/>
                <w:szCs w:val="21"/>
              </w:rPr>
            </w:pPr>
            <w:r>
              <w:rPr>
                <w:rFonts w:hint="eastAsia"/>
                <w:sz w:val="24"/>
                <w:szCs w:val="21"/>
              </w:rPr>
              <w:t>电源：</w:t>
            </w:r>
          </w:p>
        </w:tc>
        <w:tc>
          <w:tcPr>
            <w:tcW w:w="2552" w:type="dxa"/>
          </w:tcPr>
          <w:p>
            <w:pPr>
              <w:spacing w:line="480" w:lineRule="exact"/>
              <w:jc w:val="center"/>
              <w:rPr>
                <w:sz w:val="24"/>
                <w:szCs w:val="21"/>
              </w:rPr>
            </w:pPr>
            <w:r>
              <w:rPr>
                <w:rFonts w:hint="eastAsia"/>
                <w:sz w:val="24"/>
                <w:szCs w:val="21"/>
              </w:rPr>
              <w:t>380V</w:t>
            </w:r>
            <w:r>
              <w:rPr>
                <w:sz w:val="24"/>
                <w:szCs w:val="21"/>
              </w:rPr>
              <w:t>-3-</w:t>
            </w:r>
            <w:r>
              <w:rPr>
                <w:rFonts w:hint="eastAsia"/>
                <w:sz w:val="24"/>
                <w:szCs w:val="21"/>
              </w:rPr>
              <w:t>50HZ</w:t>
            </w:r>
          </w:p>
        </w:tc>
        <w:tc>
          <w:tcPr>
            <w:tcW w:w="2551" w:type="dxa"/>
            <w:vAlign w:val="center"/>
          </w:tcPr>
          <w:p>
            <w:pPr>
              <w:spacing w:line="480" w:lineRule="exact"/>
              <w:jc w:val="center"/>
              <w:rPr>
                <w:sz w:val="24"/>
                <w:szCs w:val="21"/>
              </w:rPr>
            </w:pPr>
            <w:r>
              <w:rPr>
                <w:rFonts w:hint="eastAsia"/>
                <w:sz w:val="24"/>
                <w:szCs w:val="21"/>
              </w:rPr>
              <w:t>380V</w:t>
            </w:r>
            <w:r>
              <w:rPr>
                <w:sz w:val="24"/>
                <w:szCs w:val="21"/>
              </w:rPr>
              <w:t>-3-</w:t>
            </w:r>
            <w:r>
              <w:rPr>
                <w:rFonts w:hint="eastAsia"/>
                <w:sz w:val="24"/>
                <w:szCs w:val="21"/>
              </w:rPr>
              <w:t>50HZ</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1</w:t>
            </w:r>
            <w:r>
              <w:rPr>
                <w:sz w:val="24"/>
                <w:szCs w:val="21"/>
              </w:rPr>
              <w:t>.3</w:t>
            </w:r>
          </w:p>
        </w:tc>
        <w:tc>
          <w:tcPr>
            <w:tcW w:w="2756" w:type="dxa"/>
            <w:vAlign w:val="center"/>
          </w:tcPr>
          <w:p>
            <w:pPr>
              <w:spacing w:line="480" w:lineRule="exact"/>
              <w:jc w:val="center"/>
              <w:rPr>
                <w:sz w:val="24"/>
                <w:szCs w:val="21"/>
              </w:rPr>
            </w:pPr>
            <w:r>
              <w:rPr>
                <w:rFonts w:hint="eastAsia"/>
                <w:sz w:val="24"/>
                <w:szCs w:val="21"/>
              </w:rPr>
              <w:t>设计工况机组电机功率:</w:t>
            </w:r>
          </w:p>
        </w:tc>
        <w:tc>
          <w:tcPr>
            <w:tcW w:w="2552" w:type="dxa"/>
            <w:vAlign w:val="center"/>
          </w:tcPr>
          <w:p>
            <w:pPr>
              <w:spacing w:line="480" w:lineRule="exact"/>
              <w:jc w:val="center"/>
              <w:rPr>
                <w:sz w:val="24"/>
                <w:szCs w:val="21"/>
              </w:rPr>
            </w:pPr>
            <w:r>
              <w:rPr>
                <w:rFonts w:hint="eastAsia"/>
                <w:sz w:val="24"/>
                <w:szCs w:val="21"/>
              </w:rPr>
              <w:t>≤</w:t>
            </w:r>
            <w:r>
              <w:rPr>
                <w:sz w:val="24"/>
                <w:szCs w:val="21"/>
              </w:rPr>
              <w:t>254</w:t>
            </w:r>
            <w:r>
              <w:rPr>
                <w:rFonts w:hint="eastAsia"/>
                <w:sz w:val="24"/>
                <w:szCs w:val="21"/>
              </w:rPr>
              <w:t>KW</w:t>
            </w:r>
          </w:p>
        </w:tc>
        <w:tc>
          <w:tcPr>
            <w:tcW w:w="2551" w:type="dxa"/>
            <w:vAlign w:val="center"/>
          </w:tcPr>
          <w:p>
            <w:pPr>
              <w:spacing w:line="480" w:lineRule="exact"/>
              <w:jc w:val="center"/>
              <w:rPr>
                <w:sz w:val="24"/>
                <w:szCs w:val="21"/>
              </w:rPr>
            </w:pPr>
            <w:r>
              <w:rPr>
                <w:rFonts w:hint="eastAsia"/>
                <w:sz w:val="24"/>
                <w:szCs w:val="21"/>
              </w:rPr>
              <w:t>≤</w:t>
            </w:r>
            <w:r>
              <w:rPr>
                <w:sz w:val="24"/>
                <w:szCs w:val="21"/>
              </w:rPr>
              <w:t>19</w:t>
            </w:r>
            <w:r>
              <w:rPr>
                <w:rFonts w:hint="eastAsia"/>
                <w:sz w:val="24"/>
                <w:szCs w:val="21"/>
              </w:rPr>
              <w:t>5</w:t>
            </w:r>
            <w:r>
              <w:rPr>
                <w:sz w:val="24"/>
                <w:szCs w:val="21"/>
              </w:rPr>
              <w:t>KW</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1</w:t>
            </w:r>
            <w:r>
              <w:rPr>
                <w:sz w:val="24"/>
                <w:szCs w:val="21"/>
              </w:rPr>
              <w:t>.4</w:t>
            </w:r>
          </w:p>
        </w:tc>
        <w:tc>
          <w:tcPr>
            <w:tcW w:w="7859" w:type="dxa"/>
            <w:gridSpan w:val="3"/>
            <w:vAlign w:val="center"/>
          </w:tcPr>
          <w:p>
            <w:pPr>
              <w:spacing w:line="480" w:lineRule="exact"/>
              <w:jc w:val="center"/>
              <w:rPr>
                <w:sz w:val="24"/>
                <w:szCs w:val="21"/>
              </w:rPr>
            </w:pPr>
            <w:r>
              <w:rPr>
                <w:rFonts w:hint="eastAsia"/>
                <w:sz w:val="24"/>
                <w:szCs w:val="21"/>
              </w:rPr>
              <w:t>采用滑阀无极调节形式，调节范围为20%－100%</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sz w:val="24"/>
                <w:szCs w:val="21"/>
              </w:rPr>
              <w:t>2</w:t>
            </w:r>
          </w:p>
        </w:tc>
        <w:tc>
          <w:tcPr>
            <w:tcW w:w="7859" w:type="dxa"/>
            <w:gridSpan w:val="3"/>
          </w:tcPr>
          <w:p>
            <w:pPr>
              <w:spacing w:line="480" w:lineRule="exact"/>
              <w:jc w:val="center"/>
              <w:rPr>
                <w:sz w:val="24"/>
                <w:szCs w:val="21"/>
              </w:rPr>
            </w:pPr>
            <w:r>
              <w:rPr>
                <w:rFonts w:hint="eastAsia"/>
                <w:sz w:val="24"/>
                <w:szCs w:val="21"/>
              </w:rPr>
              <w:t>空调工况参数</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restart"/>
            <w:vAlign w:val="center"/>
          </w:tcPr>
          <w:p>
            <w:pPr>
              <w:spacing w:line="480" w:lineRule="exact"/>
              <w:jc w:val="center"/>
              <w:rPr>
                <w:sz w:val="24"/>
                <w:szCs w:val="21"/>
              </w:rPr>
            </w:pPr>
            <w:r>
              <w:rPr>
                <w:rFonts w:hint="eastAsia"/>
                <w:sz w:val="24"/>
                <w:szCs w:val="21"/>
              </w:rPr>
              <w:t>2</w:t>
            </w:r>
            <w:r>
              <w:rPr>
                <w:sz w:val="24"/>
                <w:szCs w:val="21"/>
              </w:rPr>
              <w:t>.1</w:t>
            </w:r>
          </w:p>
        </w:tc>
        <w:tc>
          <w:tcPr>
            <w:tcW w:w="2756" w:type="dxa"/>
            <w:vAlign w:val="center"/>
          </w:tcPr>
          <w:p>
            <w:pPr>
              <w:spacing w:line="480" w:lineRule="exact"/>
              <w:jc w:val="center"/>
              <w:rPr>
                <w:sz w:val="24"/>
                <w:szCs w:val="21"/>
              </w:rPr>
            </w:pPr>
            <w:r>
              <w:rPr>
                <w:rFonts w:hint="eastAsia"/>
                <w:sz w:val="24"/>
                <w:szCs w:val="21"/>
              </w:rPr>
              <w:t xml:space="preserve">冷冻水供水温度（℃）： </w:t>
            </w:r>
          </w:p>
        </w:tc>
        <w:tc>
          <w:tcPr>
            <w:tcW w:w="2552" w:type="dxa"/>
          </w:tcPr>
          <w:p>
            <w:pPr>
              <w:spacing w:line="480" w:lineRule="exact"/>
              <w:jc w:val="center"/>
              <w:rPr>
                <w:sz w:val="24"/>
                <w:szCs w:val="21"/>
              </w:rPr>
            </w:pPr>
            <w:r>
              <w:rPr>
                <w:sz w:val="24"/>
                <w:szCs w:val="21"/>
              </w:rPr>
              <w:t>6</w:t>
            </w:r>
            <w:r>
              <w:rPr>
                <w:rFonts w:hint="eastAsia"/>
                <w:sz w:val="24"/>
                <w:szCs w:val="21"/>
              </w:rPr>
              <w:t>℃</w:t>
            </w:r>
          </w:p>
        </w:tc>
        <w:tc>
          <w:tcPr>
            <w:tcW w:w="2551" w:type="dxa"/>
            <w:vAlign w:val="center"/>
          </w:tcPr>
          <w:p>
            <w:pPr>
              <w:spacing w:line="480" w:lineRule="exact"/>
              <w:jc w:val="center"/>
              <w:rPr>
                <w:sz w:val="24"/>
                <w:szCs w:val="21"/>
              </w:rPr>
            </w:pPr>
            <w:r>
              <w:rPr>
                <w:sz w:val="24"/>
                <w:szCs w:val="21"/>
              </w:rPr>
              <w:t>13</w:t>
            </w:r>
            <w:r>
              <w:rPr>
                <w:rFonts w:hint="eastAsia"/>
                <w:sz w:val="24"/>
                <w:szCs w:val="21"/>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continue"/>
            <w:vAlign w:val="center"/>
          </w:tcPr>
          <w:p>
            <w:pPr>
              <w:spacing w:line="480" w:lineRule="exact"/>
              <w:jc w:val="center"/>
              <w:rPr>
                <w:sz w:val="24"/>
                <w:szCs w:val="21"/>
              </w:rPr>
            </w:pPr>
          </w:p>
        </w:tc>
        <w:tc>
          <w:tcPr>
            <w:tcW w:w="2756" w:type="dxa"/>
            <w:vAlign w:val="center"/>
          </w:tcPr>
          <w:p>
            <w:pPr>
              <w:spacing w:line="480" w:lineRule="exact"/>
              <w:jc w:val="center"/>
              <w:rPr>
                <w:sz w:val="24"/>
                <w:szCs w:val="21"/>
              </w:rPr>
            </w:pPr>
            <w:r>
              <w:rPr>
                <w:rFonts w:hint="eastAsia"/>
                <w:sz w:val="24"/>
                <w:szCs w:val="21"/>
              </w:rPr>
              <w:t xml:space="preserve">冷冻水回水温度（℃）： </w:t>
            </w:r>
          </w:p>
        </w:tc>
        <w:tc>
          <w:tcPr>
            <w:tcW w:w="2552" w:type="dxa"/>
          </w:tcPr>
          <w:p>
            <w:pPr>
              <w:spacing w:line="480" w:lineRule="exact"/>
              <w:jc w:val="center"/>
              <w:rPr>
                <w:sz w:val="24"/>
                <w:szCs w:val="21"/>
              </w:rPr>
            </w:pPr>
            <w:r>
              <w:rPr>
                <w:sz w:val="24"/>
                <w:szCs w:val="21"/>
              </w:rPr>
              <w:t>11</w:t>
            </w:r>
            <w:r>
              <w:rPr>
                <w:rFonts w:hint="eastAsia"/>
                <w:sz w:val="24"/>
                <w:szCs w:val="21"/>
              </w:rPr>
              <w:t>℃</w:t>
            </w:r>
          </w:p>
        </w:tc>
        <w:tc>
          <w:tcPr>
            <w:tcW w:w="2551" w:type="dxa"/>
            <w:vAlign w:val="center"/>
          </w:tcPr>
          <w:p>
            <w:pPr>
              <w:spacing w:line="480" w:lineRule="exact"/>
              <w:jc w:val="center"/>
              <w:rPr>
                <w:sz w:val="24"/>
                <w:szCs w:val="21"/>
              </w:rPr>
            </w:pPr>
            <w:r>
              <w:rPr>
                <w:rFonts w:hint="eastAsia"/>
                <w:sz w:val="24"/>
                <w:szCs w:val="21"/>
              </w:rPr>
              <w:t>1</w:t>
            </w:r>
            <w:r>
              <w:rPr>
                <w:sz w:val="24"/>
                <w:szCs w:val="21"/>
              </w:rPr>
              <w:t>9</w:t>
            </w:r>
            <w:r>
              <w:rPr>
                <w:rFonts w:hint="eastAsia"/>
                <w:sz w:val="24"/>
                <w:szCs w:val="21"/>
              </w:rPr>
              <w:t>℃</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restart"/>
            <w:vAlign w:val="center"/>
          </w:tcPr>
          <w:p>
            <w:pPr>
              <w:spacing w:line="480" w:lineRule="exact"/>
              <w:jc w:val="center"/>
              <w:rPr>
                <w:sz w:val="24"/>
                <w:szCs w:val="21"/>
              </w:rPr>
            </w:pPr>
            <w:r>
              <w:rPr>
                <w:rFonts w:hint="eastAsia"/>
                <w:sz w:val="24"/>
                <w:szCs w:val="21"/>
              </w:rPr>
              <w:t>2</w:t>
            </w:r>
            <w:r>
              <w:rPr>
                <w:sz w:val="24"/>
                <w:szCs w:val="21"/>
              </w:rPr>
              <w:t>.2</w:t>
            </w:r>
          </w:p>
        </w:tc>
        <w:tc>
          <w:tcPr>
            <w:tcW w:w="2756" w:type="dxa"/>
            <w:vAlign w:val="center"/>
          </w:tcPr>
          <w:p>
            <w:pPr>
              <w:spacing w:line="480" w:lineRule="exact"/>
              <w:jc w:val="center"/>
              <w:rPr>
                <w:sz w:val="24"/>
                <w:szCs w:val="21"/>
              </w:rPr>
            </w:pPr>
            <w:r>
              <w:rPr>
                <w:rFonts w:hint="eastAsia"/>
                <w:sz w:val="24"/>
                <w:szCs w:val="21"/>
              </w:rPr>
              <w:t xml:space="preserve">冷却水供水温度（℃）： </w:t>
            </w:r>
          </w:p>
        </w:tc>
        <w:tc>
          <w:tcPr>
            <w:tcW w:w="2552" w:type="dxa"/>
          </w:tcPr>
          <w:p>
            <w:pPr>
              <w:spacing w:line="480" w:lineRule="exact"/>
              <w:jc w:val="center"/>
              <w:rPr>
                <w:sz w:val="24"/>
                <w:szCs w:val="21"/>
              </w:rPr>
            </w:pPr>
            <w:r>
              <w:rPr>
                <w:rFonts w:hint="eastAsia"/>
                <w:sz w:val="24"/>
                <w:szCs w:val="21"/>
              </w:rPr>
              <w:t>32℃</w:t>
            </w:r>
          </w:p>
        </w:tc>
        <w:tc>
          <w:tcPr>
            <w:tcW w:w="2551" w:type="dxa"/>
          </w:tcPr>
          <w:p>
            <w:pPr>
              <w:spacing w:line="480" w:lineRule="exact"/>
              <w:jc w:val="center"/>
              <w:rPr>
                <w:sz w:val="24"/>
                <w:szCs w:val="21"/>
              </w:rPr>
            </w:pPr>
            <w:r>
              <w:rPr>
                <w:rFonts w:hint="eastAsia"/>
                <w:sz w:val="24"/>
                <w:szCs w:val="21"/>
              </w:rPr>
              <w:t>32℃</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continue"/>
            <w:vAlign w:val="center"/>
          </w:tcPr>
          <w:p>
            <w:pPr>
              <w:spacing w:line="480" w:lineRule="exact"/>
              <w:jc w:val="center"/>
              <w:rPr>
                <w:sz w:val="24"/>
                <w:szCs w:val="21"/>
              </w:rPr>
            </w:pPr>
          </w:p>
        </w:tc>
        <w:tc>
          <w:tcPr>
            <w:tcW w:w="2756" w:type="dxa"/>
            <w:vAlign w:val="center"/>
          </w:tcPr>
          <w:p>
            <w:pPr>
              <w:spacing w:line="480" w:lineRule="exact"/>
              <w:jc w:val="center"/>
              <w:rPr>
                <w:sz w:val="24"/>
                <w:szCs w:val="21"/>
              </w:rPr>
            </w:pPr>
            <w:r>
              <w:rPr>
                <w:rFonts w:hint="eastAsia"/>
                <w:sz w:val="24"/>
                <w:szCs w:val="21"/>
              </w:rPr>
              <w:t xml:space="preserve">冷却水回水温度（℃）： </w:t>
            </w:r>
          </w:p>
        </w:tc>
        <w:tc>
          <w:tcPr>
            <w:tcW w:w="2552" w:type="dxa"/>
          </w:tcPr>
          <w:p>
            <w:pPr>
              <w:spacing w:line="480" w:lineRule="exact"/>
              <w:jc w:val="center"/>
              <w:rPr>
                <w:sz w:val="24"/>
                <w:szCs w:val="21"/>
              </w:rPr>
            </w:pPr>
            <w:r>
              <w:rPr>
                <w:rFonts w:hint="eastAsia"/>
                <w:sz w:val="24"/>
                <w:szCs w:val="21"/>
              </w:rPr>
              <w:t>37℃</w:t>
            </w:r>
          </w:p>
        </w:tc>
        <w:tc>
          <w:tcPr>
            <w:tcW w:w="2551" w:type="dxa"/>
          </w:tcPr>
          <w:p>
            <w:pPr>
              <w:spacing w:line="480" w:lineRule="exact"/>
              <w:jc w:val="center"/>
              <w:rPr>
                <w:sz w:val="24"/>
                <w:szCs w:val="21"/>
              </w:rPr>
            </w:pPr>
            <w:r>
              <w:rPr>
                <w:rFonts w:hint="eastAsia"/>
                <w:sz w:val="24"/>
                <w:szCs w:val="21"/>
              </w:rPr>
              <w:t>37℃</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restart"/>
            <w:vAlign w:val="center"/>
          </w:tcPr>
          <w:p>
            <w:pPr>
              <w:spacing w:line="480" w:lineRule="exact"/>
              <w:jc w:val="center"/>
              <w:rPr>
                <w:sz w:val="24"/>
                <w:szCs w:val="21"/>
              </w:rPr>
            </w:pPr>
            <w:r>
              <w:rPr>
                <w:rFonts w:hint="eastAsia"/>
                <w:sz w:val="24"/>
                <w:szCs w:val="21"/>
              </w:rPr>
              <w:t>2</w:t>
            </w:r>
            <w:r>
              <w:rPr>
                <w:sz w:val="24"/>
                <w:szCs w:val="21"/>
              </w:rPr>
              <w:t>.3</w:t>
            </w:r>
          </w:p>
        </w:tc>
        <w:tc>
          <w:tcPr>
            <w:tcW w:w="7859" w:type="dxa"/>
            <w:gridSpan w:val="3"/>
            <w:vAlign w:val="center"/>
          </w:tcPr>
          <w:p>
            <w:pPr>
              <w:spacing w:line="480" w:lineRule="exact"/>
              <w:jc w:val="center"/>
              <w:rPr>
                <w:sz w:val="24"/>
                <w:szCs w:val="21"/>
              </w:rPr>
            </w:pPr>
            <w:r>
              <w:rPr>
                <w:rFonts w:hint="eastAsia"/>
                <w:sz w:val="24"/>
                <w:szCs w:val="21"/>
              </w:rPr>
              <w:t>蒸发器水侧工作压力（MPa）：</w:t>
            </w:r>
            <w:r>
              <w:rPr>
                <w:sz w:val="24"/>
                <w:szCs w:val="21"/>
              </w:rPr>
              <w:t>1.0MPa</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continue"/>
            <w:vAlign w:val="center"/>
          </w:tcPr>
          <w:p>
            <w:pPr>
              <w:spacing w:line="480" w:lineRule="exact"/>
              <w:jc w:val="center"/>
              <w:rPr>
                <w:sz w:val="24"/>
                <w:szCs w:val="21"/>
              </w:rPr>
            </w:pPr>
          </w:p>
        </w:tc>
        <w:tc>
          <w:tcPr>
            <w:tcW w:w="7859" w:type="dxa"/>
            <w:gridSpan w:val="3"/>
            <w:vAlign w:val="center"/>
          </w:tcPr>
          <w:p>
            <w:pPr>
              <w:spacing w:line="480" w:lineRule="exact"/>
              <w:jc w:val="center"/>
              <w:rPr>
                <w:sz w:val="24"/>
                <w:szCs w:val="21"/>
              </w:rPr>
            </w:pPr>
            <w:r>
              <w:rPr>
                <w:rFonts w:hint="eastAsia"/>
                <w:sz w:val="24"/>
                <w:szCs w:val="21"/>
              </w:rPr>
              <w:t>冷凝器水侧工作压力（MPa）：</w:t>
            </w:r>
            <w:r>
              <w:rPr>
                <w:sz w:val="24"/>
                <w:szCs w:val="21"/>
              </w:rPr>
              <w:t>1.0MPa</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restart"/>
            <w:vAlign w:val="center"/>
          </w:tcPr>
          <w:p>
            <w:pPr>
              <w:spacing w:line="480" w:lineRule="exact"/>
              <w:jc w:val="center"/>
              <w:rPr>
                <w:sz w:val="24"/>
                <w:szCs w:val="21"/>
              </w:rPr>
            </w:pPr>
            <w:r>
              <w:rPr>
                <w:rFonts w:hint="eastAsia"/>
                <w:sz w:val="24"/>
                <w:szCs w:val="21"/>
              </w:rPr>
              <w:t>2</w:t>
            </w:r>
            <w:r>
              <w:rPr>
                <w:sz w:val="24"/>
                <w:szCs w:val="21"/>
              </w:rPr>
              <w:t>.4</w:t>
            </w:r>
          </w:p>
        </w:tc>
        <w:tc>
          <w:tcPr>
            <w:tcW w:w="2756" w:type="dxa"/>
            <w:vAlign w:val="center"/>
          </w:tcPr>
          <w:p>
            <w:pPr>
              <w:spacing w:line="480" w:lineRule="exact"/>
              <w:jc w:val="center"/>
              <w:rPr>
                <w:sz w:val="24"/>
                <w:szCs w:val="21"/>
              </w:rPr>
            </w:pPr>
            <w:r>
              <w:rPr>
                <w:rFonts w:hint="eastAsia"/>
                <w:sz w:val="24"/>
                <w:szCs w:val="21"/>
              </w:rPr>
              <w:t>蒸发器水侧压降（KPa）：</w:t>
            </w:r>
          </w:p>
        </w:tc>
        <w:tc>
          <w:tcPr>
            <w:tcW w:w="2552" w:type="dxa"/>
          </w:tcPr>
          <w:p>
            <w:pPr>
              <w:spacing w:line="480" w:lineRule="exact"/>
              <w:jc w:val="center"/>
              <w:rPr>
                <w:sz w:val="24"/>
                <w:szCs w:val="21"/>
              </w:rPr>
            </w:pPr>
            <w:r>
              <w:rPr>
                <w:rFonts w:hint="eastAsia"/>
                <w:sz w:val="24"/>
                <w:szCs w:val="21"/>
              </w:rPr>
              <w:t>≤</w:t>
            </w:r>
            <w:r>
              <w:rPr>
                <w:sz w:val="24"/>
                <w:szCs w:val="21"/>
              </w:rPr>
              <w:t>55</w:t>
            </w:r>
            <w:r>
              <w:rPr>
                <w:rFonts w:hint="eastAsia"/>
                <w:sz w:val="24"/>
                <w:szCs w:val="21"/>
              </w:rPr>
              <w:t>KPa</w:t>
            </w:r>
          </w:p>
        </w:tc>
        <w:tc>
          <w:tcPr>
            <w:tcW w:w="2551" w:type="dxa"/>
            <w:vAlign w:val="center"/>
          </w:tcPr>
          <w:p>
            <w:pPr>
              <w:spacing w:line="480" w:lineRule="exact"/>
              <w:jc w:val="center"/>
              <w:rPr>
                <w:sz w:val="24"/>
                <w:szCs w:val="21"/>
              </w:rPr>
            </w:pPr>
            <w:r>
              <w:rPr>
                <w:rFonts w:hint="eastAsia"/>
                <w:sz w:val="24"/>
                <w:szCs w:val="21"/>
              </w:rPr>
              <w:t>≤8</w:t>
            </w:r>
            <w:r>
              <w:rPr>
                <w:sz w:val="24"/>
                <w:szCs w:val="21"/>
              </w:rPr>
              <w:t>0</w:t>
            </w:r>
            <w:r>
              <w:rPr>
                <w:rFonts w:hint="eastAsia"/>
                <w:sz w:val="24"/>
                <w:szCs w:val="21"/>
              </w:rPr>
              <w:t>KPa</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continue"/>
            <w:vAlign w:val="center"/>
          </w:tcPr>
          <w:p>
            <w:pPr>
              <w:spacing w:line="480" w:lineRule="exact"/>
              <w:jc w:val="center"/>
              <w:rPr>
                <w:sz w:val="24"/>
                <w:szCs w:val="21"/>
              </w:rPr>
            </w:pPr>
          </w:p>
        </w:tc>
        <w:tc>
          <w:tcPr>
            <w:tcW w:w="2756" w:type="dxa"/>
            <w:vAlign w:val="center"/>
          </w:tcPr>
          <w:p>
            <w:pPr>
              <w:spacing w:line="480" w:lineRule="exact"/>
              <w:jc w:val="center"/>
              <w:rPr>
                <w:sz w:val="24"/>
                <w:szCs w:val="21"/>
              </w:rPr>
            </w:pPr>
            <w:r>
              <w:rPr>
                <w:rFonts w:hint="eastAsia"/>
                <w:sz w:val="24"/>
                <w:szCs w:val="21"/>
              </w:rPr>
              <w:t>冷凝器水侧压降（KPa）：</w:t>
            </w:r>
          </w:p>
        </w:tc>
        <w:tc>
          <w:tcPr>
            <w:tcW w:w="2552" w:type="dxa"/>
          </w:tcPr>
          <w:p>
            <w:pPr>
              <w:spacing w:line="480" w:lineRule="exact"/>
              <w:jc w:val="center"/>
              <w:rPr>
                <w:sz w:val="24"/>
                <w:szCs w:val="21"/>
              </w:rPr>
            </w:pPr>
            <w:r>
              <w:rPr>
                <w:rFonts w:hint="eastAsia"/>
                <w:sz w:val="24"/>
                <w:szCs w:val="21"/>
              </w:rPr>
              <w:t>≤</w:t>
            </w:r>
            <w:r>
              <w:rPr>
                <w:sz w:val="24"/>
                <w:szCs w:val="21"/>
              </w:rPr>
              <w:t>55</w:t>
            </w:r>
            <w:r>
              <w:rPr>
                <w:rFonts w:hint="eastAsia"/>
                <w:sz w:val="24"/>
                <w:szCs w:val="21"/>
              </w:rPr>
              <w:t>KPa</w:t>
            </w:r>
          </w:p>
        </w:tc>
        <w:tc>
          <w:tcPr>
            <w:tcW w:w="2551" w:type="dxa"/>
            <w:vAlign w:val="center"/>
          </w:tcPr>
          <w:p>
            <w:pPr>
              <w:spacing w:line="480" w:lineRule="exact"/>
              <w:jc w:val="center"/>
              <w:rPr>
                <w:sz w:val="24"/>
                <w:szCs w:val="21"/>
              </w:rPr>
            </w:pPr>
            <w:r>
              <w:rPr>
                <w:rFonts w:hint="eastAsia"/>
                <w:sz w:val="24"/>
                <w:szCs w:val="21"/>
              </w:rPr>
              <w:t>≤8</w:t>
            </w:r>
            <w:r>
              <w:rPr>
                <w:sz w:val="24"/>
                <w:szCs w:val="21"/>
              </w:rPr>
              <w:t>0</w:t>
            </w:r>
            <w:r>
              <w:rPr>
                <w:rFonts w:hint="eastAsia"/>
                <w:sz w:val="24"/>
                <w:szCs w:val="21"/>
              </w:rPr>
              <w:t>KPa</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restart"/>
            <w:vAlign w:val="center"/>
          </w:tcPr>
          <w:p>
            <w:pPr>
              <w:spacing w:line="480" w:lineRule="exact"/>
              <w:jc w:val="center"/>
              <w:rPr>
                <w:sz w:val="24"/>
                <w:szCs w:val="21"/>
              </w:rPr>
            </w:pPr>
            <w:r>
              <w:rPr>
                <w:rFonts w:hint="eastAsia"/>
                <w:sz w:val="24"/>
                <w:szCs w:val="21"/>
              </w:rPr>
              <w:t>2</w:t>
            </w:r>
            <w:r>
              <w:rPr>
                <w:sz w:val="24"/>
                <w:szCs w:val="21"/>
              </w:rPr>
              <w:t>.5</w:t>
            </w:r>
          </w:p>
        </w:tc>
        <w:tc>
          <w:tcPr>
            <w:tcW w:w="2756" w:type="dxa"/>
            <w:vAlign w:val="center"/>
          </w:tcPr>
          <w:p>
            <w:pPr>
              <w:spacing w:line="480" w:lineRule="exact"/>
              <w:jc w:val="center"/>
              <w:rPr>
                <w:sz w:val="24"/>
                <w:szCs w:val="21"/>
              </w:rPr>
            </w:pPr>
            <w:r>
              <w:rPr>
                <w:rFonts w:hint="eastAsia"/>
                <w:sz w:val="24"/>
                <w:szCs w:val="21"/>
              </w:rPr>
              <w:t>蒸发器水侧流量(m3/h)：</w:t>
            </w:r>
          </w:p>
        </w:tc>
        <w:tc>
          <w:tcPr>
            <w:tcW w:w="2552" w:type="dxa"/>
          </w:tcPr>
          <w:p>
            <w:pPr>
              <w:spacing w:line="480" w:lineRule="exact"/>
              <w:jc w:val="center"/>
              <w:rPr>
                <w:sz w:val="24"/>
                <w:szCs w:val="21"/>
              </w:rPr>
            </w:pPr>
            <w:r>
              <w:rPr>
                <w:sz w:val="24"/>
                <w:szCs w:val="21"/>
              </w:rPr>
              <w:t>245 m</w:t>
            </w:r>
            <w:r>
              <w:rPr>
                <w:sz w:val="24"/>
                <w:szCs w:val="21"/>
                <w:vertAlign w:val="superscript"/>
              </w:rPr>
              <w:t>3</w:t>
            </w:r>
            <w:r>
              <w:rPr>
                <w:sz w:val="24"/>
                <w:szCs w:val="21"/>
              </w:rPr>
              <w:t>/h</w:t>
            </w:r>
          </w:p>
        </w:tc>
        <w:tc>
          <w:tcPr>
            <w:tcW w:w="2551" w:type="dxa"/>
            <w:vAlign w:val="center"/>
          </w:tcPr>
          <w:p>
            <w:pPr>
              <w:spacing w:line="480" w:lineRule="exact"/>
              <w:jc w:val="center"/>
              <w:rPr>
                <w:sz w:val="24"/>
                <w:szCs w:val="21"/>
              </w:rPr>
            </w:pPr>
            <w:r>
              <w:rPr>
                <w:sz w:val="24"/>
                <w:szCs w:val="21"/>
              </w:rPr>
              <w:t>180 m</w:t>
            </w:r>
            <w:r>
              <w:rPr>
                <w:sz w:val="24"/>
                <w:szCs w:val="21"/>
                <w:vertAlign w:val="superscript"/>
              </w:rPr>
              <w:t>3</w:t>
            </w:r>
            <w:r>
              <w:rPr>
                <w:sz w:val="24"/>
                <w:szCs w:val="21"/>
              </w:rPr>
              <w:t>/h</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continue"/>
            <w:vAlign w:val="center"/>
          </w:tcPr>
          <w:p>
            <w:pPr>
              <w:spacing w:line="480" w:lineRule="exact"/>
              <w:jc w:val="center"/>
              <w:rPr>
                <w:sz w:val="24"/>
                <w:szCs w:val="21"/>
              </w:rPr>
            </w:pPr>
          </w:p>
        </w:tc>
        <w:tc>
          <w:tcPr>
            <w:tcW w:w="2756" w:type="dxa"/>
            <w:vAlign w:val="center"/>
          </w:tcPr>
          <w:p>
            <w:pPr>
              <w:spacing w:line="480" w:lineRule="exact"/>
              <w:jc w:val="center"/>
              <w:rPr>
                <w:sz w:val="24"/>
                <w:szCs w:val="21"/>
              </w:rPr>
            </w:pPr>
            <w:r>
              <w:rPr>
                <w:rFonts w:hint="eastAsia"/>
                <w:sz w:val="24"/>
                <w:szCs w:val="21"/>
              </w:rPr>
              <w:t>冷凝器水侧流量(m3/h)：</w:t>
            </w:r>
          </w:p>
        </w:tc>
        <w:tc>
          <w:tcPr>
            <w:tcW w:w="2552" w:type="dxa"/>
          </w:tcPr>
          <w:p>
            <w:pPr>
              <w:spacing w:line="480" w:lineRule="exact"/>
              <w:jc w:val="center"/>
              <w:rPr>
                <w:sz w:val="24"/>
                <w:szCs w:val="21"/>
              </w:rPr>
            </w:pPr>
            <w:r>
              <w:rPr>
                <w:sz w:val="24"/>
                <w:szCs w:val="21"/>
              </w:rPr>
              <w:t>285 m</w:t>
            </w:r>
            <w:r>
              <w:rPr>
                <w:sz w:val="24"/>
                <w:szCs w:val="21"/>
                <w:vertAlign w:val="superscript"/>
              </w:rPr>
              <w:t>3</w:t>
            </w:r>
            <w:r>
              <w:rPr>
                <w:sz w:val="24"/>
                <w:szCs w:val="21"/>
              </w:rPr>
              <w:t>/h</w:t>
            </w:r>
          </w:p>
        </w:tc>
        <w:tc>
          <w:tcPr>
            <w:tcW w:w="2551" w:type="dxa"/>
            <w:vAlign w:val="center"/>
          </w:tcPr>
          <w:p>
            <w:pPr>
              <w:spacing w:line="480" w:lineRule="exact"/>
              <w:jc w:val="center"/>
              <w:rPr>
                <w:sz w:val="24"/>
                <w:szCs w:val="21"/>
              </w:rPr>
            </w:pPr>
            <w:r>
              <w:rPr>
                <w:sz w:val="24"/>
                <w:szCs w:val="21"/>
              </w:rPr>
              <w:t>250 m</w:t>
            </w:r>
            <w:r>
              <w:rPr>
                <w:sz w:val="24"/>
                <w:szCs w:val="21"/>
                <w:vertAlign w:val="superscript"/>
              </w:rPr>
              <w:t>3</w:t>
            </w:r>
            <w:r>
              <w:rPr>
                <w:sz w:val="24"/>
                <w:szCs w:val="21"/>
              </w:rPr>
              <w:t>/h</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restart"/>
            <w:vAlign w:val="center"/>
          </w:tcPr>
          <w:p>
            <w:pPr>
              <w:spacing w:line="480" w:lineRule="exact"/>
              <w:jc w:val="center"/>
              <w:rPr>
                <w:sz w:val="24"/>
                <w:szCs w:val="21"/>
              </w:rPr>
            </w:pPr>
            <w:r>
              <w:rPr>
                <w:rFonts w:hint="eastAsia"/>
                <w:sz w:val="24"/>
                <w:szCs w:val="21"/>
              </w:rPr>
              <w:t>2</w:t>
            </w:r>
            <w:r>
              <w:rPr>
                <w:sz w:val="24"/>
                <w:szCs w:val="21"/>
              </w:rPr>
              <w:t>.6</w:t>
            </w:r>
          </w:p>
        </w:tc>
        <w:tc>
          <w:tcPr>
            <w:tcW w:w="7859" w:type="dxa"/>
            <w:gridSpan w:val="3"/>
            <w:vAlign w:val="center"/>
          </w:tcPr>
          <w:p>
            <w:pPr>
              <w:spacing w:line="480" w:lineRule="exact"/>
              <w:jc w:val="center"/>
              <w:rPr>
                <w:sz w:val="24"/>
                <w:szCs w:val="21"/>
              </w:rPr>
            </w:pPr>
            <w:r>
              <w:rPr>
                <w:rFonts w:hint="eastAsia"/>
                <w:sz w:val="24"/>
                <w:szCs w:val="21"/>
              </w:rPr>
              <w:t>蒸发器水侧污垢系数：0.018㎡C/KW</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Merge w:val="continue"/>
            <w:vAlign w:val="center"/>
          </w:tcPr>
          <w:p>
            <w:pPr>
              <w:spacing w:line="480" w:lineRule="exact"/>
              <w:jc w:val="center"/>
              <w:rPr>
                <w:b/>
                <w:bCs/>
                <w:sz w:val="24"/>
                <w:szCs w:val="21"/>
              </w:rPr>
            </w:pPr>
          </w:p>
        </w:tc>
        <w:tc>
          <w:tcPr>
            <w:tcW w:w="7859" w:type="dxa"/>
            <w:gridSpan w:val="3"/>
            <w:vAlign w:val="center"/>
          </w:tcPr>
          <w:p>
            <w:pPr>
              <w:spacing w:line="480" w:lineRule="exact"/>
              <w:jc w:val="center"/>
              <w:rPr>
                <w:sz w:val="24"/>
                <w:szCs w:val="21"/>
              </w:rPr>
            </w:pPr>
            <w:r>
              <w:rPr>
                <w:rFonts w:hint="eastAsia"/>
                <w:sz w:val="24"/>
                <w:szCs w:val="21"/>
              </w:rPr>
              <w:t>冷凝器水侧污垢系数：0.0</w:t>
            </w:r>
            <w:r>
              <w:rPr>
                <w:sz w:val="24"/>
                <w:szCs w:val="21"/>
              </w:rPr>
              <w:t>44</w:t>
            </w:r>
            <w:r>
              <w:rPr>
                <w:rFonts w:hint="eastAsia"/>
                <w:sz w:val="24"/>
                <w:szCs w:val="21"/>
              </w:rPr>
              <w:t>㎡C/KW</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3</w:t>
            </w:r>
          </w:p>
        </w:tc>
        <w:tc>
          <w:tcPr>
            <w:tcW w:w="7859" w:type="dxa"/>
            <w:gridSpan w:val="3"/>
          </w:tcPr>
          <w:p>
            <w:pPr>
              <w:spacing w:line="480" w:lineRule="exact"/>
              <w:jc w:val="center"/>
              <w:rPr>
                <w:sz w:val="24"/>
                <w:szCs w:val="21"/>
              </w:rPr>
            </w:pPr>
            <w:r>
              <w:rPr>
                <w:rFonts w:hint="eastAsia"/>
                <w:sz w:val="24"/>
                <w:szCs w:val="21"/>
              </w:rPr>
              <w:t>机组性能指标</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sz w:val="24"/>
                <w:szCs w:val="21"/>
              </w:rPr>
              <w:t>3.1</w:t>
            </w:r>
          </w:p>
        </w:tc>
        <w:tc>
          <w:tcPr>
            <w:tcW w:w="7859" w:type="dxa"/>
            <w:gridSpan w:val="3"/>
            <w:vAlign w:val="center"/>
          </w:tcPr>
          <w:p>
            <w:pPr>
              <w:spacing w:line="480" w:lineRule="exact"/>
              <w:jc w:val="center"/>
              <w:rPr>
                <w:sz w:val="24"/>
                <w:szCs w:val="21"/>
              </w:rPr>
            </w:pPr>
            <w:r>
              <w:rPr>
                <w:rFonts w:hint="eastAsia"/>
                <w:sz w:val="24"/>
                <w:szCs w:val="21"/>
              </w:rPr>
              <w:t>使用冷媒：采用环保无毒冷媒，提供制冷剂和润滑油的首次充注。</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3．2</w:t>
            </w:r>
          </w:p>
        </w:tc>
        <w:tc>
          <w:tcPr>
            <w:tcW w:w="7859" w:type="dxa"/>
            <w:gridSpan w:val="3"/>
            <w:vAlign w:val="center"/>
          </w:tcPr>
          <w:p>
            <w:pPr>
              <w:spacing w:line="480" w:lineRule="exact"/>
              <w:jc w:val="center"/>
              <w:rPr>
                <w:sz w:val="24"/>
                <w:szCs w:val="21"/>
              </w:rPr>
            </w:pPr>
            <w:r>
              <w:rPr>
                <w:rFonts w:hint="eastAsia"/>
                <w:sz w:val="24"/>
                <w:szCs w:val="21"/>
              </w:rPr>
              <w:t>机组噪声(dBA)：≤85dBA</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Ex>
        <w:trPr>
          <w:jc w:val="center"/>
        </w:trPr>
        <w:tc>
          <w:tcPr>
            <w:tcW w:w="1214" w:type="dxa"/>
            <w:vAlign w:val="center"/>
          </w:tcPr>
          <w:p>
            <w:pPr>
              <w:spacing w:line="480" w:lineRule="exact"/>
              <w:jc w:val="center"/>
              <w:rPr>
                <w:sz w:val="24"/>
                <w:szCs w:val="21"/>
              </w:rPr>
            </w:pPr>
            <w:r>
              <w:rPr>
                <w:sz w:val="24"/>
                <w:szCs w:val="21"/>
              </w:rPr>
              <w:t>3.3</w:t>
            </w:r>
          </w:p>
        </w:tc>
        <w:tc>
          <w:tcPr>
            <w:tcW w:w="7859" w:type="dxa"/>
            <w:gridSpan w:val="3"/>
            <w:vAlign w:val="center"/>
          </w:tcPr>
          <w:p>
            <w:pPr>
              <w:spacing w:line="480" w:lineRule="exact"/>
              <w:jc w:val="center"/>
              <w:rPr>
                <w:sz w:val="24"/>
                <w:szCs w:val="21"/>
              </w:rPr>
            </w:pPr>
            <w:r>
              <w:rPr>
                <w:rFonts w:hint="eastAsia"/>
                <w:sz w:val="24"/>
                <w:szCs w:val="21"/>
              </w:rPr>
              <w:t>使用寿命：≥2</w:t>
            </w:r>
            <w:r>
              <w:rPr>
                <w:sz w:val="24"/>
                <w:szCs w:val="21"/>
              </w:rPr>
              <w:t>0</w:t>
            </w:r>
            <w:r>
              <w:rPr>
                <w:rFonts w:hint="eastAsia"/>
                <w:sz w:val="24"/>
                <w:szCs w:val="21"/>
              </w:rPr>
              <w:t xml:space="preserve"> 年</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3</w:t>
            </w:r>
            <w:r>
              <w:rPr>
                <w:sz w:val="24"/>
                <w:szCs w:val="21"/>
              </w:rPr>
              <w:t>.4</w:t>
            </w:r>
          </w:p>
        </w:tc>
        <w:tc>
          <w:tcPr>
            <w:tcW w:w="2756" w:type="dxa"/>
            <w:vAlign w:val="center"/>
          </w:tcPr>
          <w:p>
            <w:pPr>
              <w:spacing w:line="480" w:lineRule="exact"/>
              <w:jc w:val="center"/>
              <w:rPr>
                <w:sz w:val="24"/>
                <w:szCs w:val="21"/>
              </w:rPr>
            </w:pPr>
            <w:r>
              <w:rPr>
                <w:rFonts w:hint="eastAsia"/>
                <w:sz w:val="24"/>
                <w:szCs w:val="21"/>
              </w:rPr>
              <w:t>机组尺寸mm：</w:t>
            </w:r>
          </w:p>
        </w:tc>
        <w:tc>
          <w:tcPr>
            <w:tcW w:w="2552" w:type="dxa"/>
          </w:tcPr>
          <w:p>
            <w:pPr>
              <w:spacing w:line="480" w:lineRule="exact"/>
              <w:jc w:val="center"/>
              <w:rPr>
                <w:sz w:val="24"/>
                <w:szCs w:val="21"/>
              </w:rPr>
            </w:pPr>
            <w:r>
              <w:rPr>
                <w:sz w:val="24"/>
                <w:szCs w:val="21"/>
              </w:rPr>
              <w:t>4</w:t>
            </w:r>
            <w:r>
              <w:rPr>
                <w:rFonts w:hint="eastAsia"/>
                <w:sz w:val="24"/>
                <w:szCs w:val="21"/>
              </w:rPr>
              <w:t>8</w:t>
            </w:r>
            <w:r>
              <w:rPr>
                <w:sz w:val="24"/>
                <w:szCs w:val="21"/>
              </w:rPr>
              <w:t>00*</w:t>
            </w:r>
            <w:r>
              <w:rPr>
                <w:rFonts w:hint="eastAsia"/>
                <w:sz w:val="24"/>
                <w:szCs w:val="21"/>
              </w:rPr>
              <w:t>200</w:t>
            </w:r>
            <w:r>
              <w:rPr>
                <w:sz w:val="24"/>
                <w:szCs w:val="21"/>
              </w:rPr>
              <w:t>0*2700</w:t>
            </w:r>
          </w:p>
        </w:tc>
        <w:tc>
          <w:tcPr>
            <w:tcW w:w="2551" w:type="dxa"/>
            <w:vAlign w:val="center"/>
          </w:tcPr>
          <w:p>
            <w:pPr>
              <w:spacing w:line="480" w:lineRule="exact"/>
              <w:jc w:val="center"/>
              <w:rPr>
                <w:sz w:val="24"/>
                <w:szCs w:val="21"/>
              </w:rPr>
            </w:pPr>
            <w:r>
              <w:rPr>
                <w:rFonts w:hint="eastAsia"/>
                <w:sz w:val="24"/>
                <w:szCs w:val="21"/>
              </w:rPr>
              <w:t>≤</w:t>
            </w:r>
            <w:r>
              <w:rPr>
                <w:sz w:val="24"/>
                <w:szCs w:val="21"/>
              </w:rPr>
              <w:t>4</w:t>
            </w:r>
            <w:r>
              <w:rPr>
                <w:rFonts w:hint="eastAsia"/>
                <w:sz w:val="24"/>
                <w:szCs w:val="21"/>
              </w:rPr>
              <w:t>6</w:t>
            </w:r>
            <w:r>
              <w:rPr>
                <w:sz w:val="24"/>
                <w:szCs w:val="21"/>
              </w:rPr>
              <w:t>00*</w:t>
            </w:r>
            <w:r>
              <w:rPr>
                <w:rFonts w:hint="eastAsia"/>
                <w:sz w:val="24"/>
                <w:szCs w:val="21"/>
              </w:rPr>
              <w:t>20</w:t>
            </w:r>
            <w:r>
              <w:rPr>
                <w:sz w:val="24"/>
                <w:szCs w:val="21"/>
              </w:rPr>
              <w:t>00*2400</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3</w:t>
            </w:r>
            <w:r>
              <w:rPr>
                <w:sz w:val="24"/>
                <w:szCs w:val="21"/>
              </w:rPr>
              <w:t>.5</w:t>
            </w:r>
          </w:p>
        </w:tc>
        <w:tc>
          <w:tcPr>
            <w:tcW w:w="2756" w:type="dxa"/>
            <w:vAlign w:val="center"/>
          </w:tcPr>
          <w:p>
            <w:pPr>
              <w:spacing w:line="480" w:lineRule="exact"/>
              <w:jc w:val="center"/>
              <w:rPr>
                <w:sz w:val="24"/>
                <w:szCs w:val="21"/>
              </w:rPr>
            </w:pPr>
            <w:r>
              <w:rPr>
                <w:rFonts w:hint="eastAsia"/>
                <w:sz w:val="24"/>
                <w:szCs w:val="21"/>
              </w:rPr>
              <w:t>运行重量Kg：</w:t>
            </w:r>
          </w:p>
        </w:tc>
        <w:tc>
          <w:tcPr>
            <w:tcW w:w="2552" w:type="dxa"/>
          </w:tcPr>
          <w:p>
            <w:pPr>
              <w:spacing w:line="480" w:lineRule="exact"/>
              <w:jc w:val="center"/>
              <w:rPr>
                <w:sz w:val="24"/>
                <w:szCs w:val="21"/>
              </w:rPr>
            </w:pPr>
            <w:r>
              <w:rPr>
                <w:sz w:val="24"/>
                <w:szCs w:val="21"/>
              </w:rPr>
              <w:t>9000KG</w:t>
            </w:r>
          </w:p>
        </w:tc>
        <w:tc>
          <w:tcPr>
            <w:tcW w:w="2551" w:type="dxa"/>
            <w:vAlign w:val="center"/>
          </w:tcPr>
          <w:p>
            <w:pPr>
              <w:spacing w:line="480" w:lineRule="exact"/>
              <w:jc w:val="center"/>
              <w:rPr>
                <w:sz w:val="24"/>
                <w:szCs w:val="21"/>
              </w:rPr>
            </w:pPr>
            <w:r>
              <w:rPr>
                <w:sz w:val="24"/>
                <w:szCs w:val="21"/>
              </w:rPr>
              <w:t>6700KG</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3</w:t>
            </w:r>
            <w:r>
              <w:rPr>
                <w:sz w:val="24"/>
                <w:szCs w:val="21"/>
              </w:rPr>
              <w:t>.6</w:t>
            </w:r>
          </w:p>
        </w:tc>
        <w:tc>
          <w:tcPr>
            <w:tcW w:w="2756" w:type="dxa"/>
            <w:vAlign w:val="center"/>
          </w:tcPr>
          <w:p>
            <w:pPr>
              <w:spacing w:line="480" w:lineRule="exact"/>
              <w:jc w:val="center"/>
              <w:rPr>
                <w:sz w:val="24"/>
                <w:szCs w:val="21"/>
              </w:rPr>
            </w:pPr>
            <w:r>
              <w:rPr>
                <w:rFonts w:hint="eastAsia"/>
                <w:sz w:val="24"/>
                <w:szCs w:val="21"/>
              </w:rPr>
              <w:t xml:space="preserve">电机启动方式： </w:t>
            </w:r>
          </w:p>
        </w:tc>
        <w:tc>
          <w:tcPr>
            <w:tcW w:w="2552" w:type="dxa"/>
          </w:tcPr>
          <w:p>
            <w:pPr>
              <w:spacing w:line="480" w:lineRule="exact"/>
              <w:jc w:val="center"/>
              <w:rPr>
                <w:sz w:val="24"/>
                <w:szCs w:val="21"/>
              </w:rPr>
            </w:pPr>
            <w:r>
              <w:rPr>
                <w:rFonts w:hint="eastAsia"/>
                <w:sz w:val="24"/>
                <w:szCs w:val="21"/>
              </w:rPr>
              <w:t>低压变频启动</w:t>
            </w:r>
          </w:p>
        </w:tc>
        <w:tc>
          <w:tcPr>
            <w:tcW w:w="2551" w:type="dxa"/>
            <w:vAlign w:val="center"/>
          </w:tcPr>
          <w:p>
            <w:pPr>
              <w:spacing w:line="480" w:lineRule="exact"/>
              <w:jc w:val="center"/>
              <w:rPr>
                <w:sz w:val="24"/>
                <w:szCs w:val="21"/>
              </w:rPr>
            </w:pPr>
            <w:r>
              <w:rPr>
                <w:rFonts w:hint="eastAsia"/>
                <w:sz w:val="24"/>
                <w:szCs w:val="21"/>
              </w:rPr>
              <w:t>低压变频启动</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3</w:t>
            </w:r>
            <w:r>
              <w:rPr>
                <w:sz w:val="24"/>
                <w:szCs w:val="21"/>
              </w:rPr>
              <w:t>.7</w:t>
            </w:r>
          </w:p>
        </w:tc>
        <w:tc>
          <w:tcPr>
            <w:tcW w:w="7859" w:type="dxa"/>
            <w:gridSpan w:val="3"/>
          </w:tcPr>
          <w:p>
            <w:pPr>
              <w:spacing w:line="480" w:lineRule="exact"/>
              <w:jc w:val="center"/>
              <w:rPr>
                <w:sz w:val="24"/>
                <w:szCs w:val="21"/>
              </w:rPr>
            </w:pPr>
            <w:r>
              <w:rPr>
                <w:rFonts w:hint="eastAsia"/>
                <w:sz w:val="24"/>
                <w:szCs w:val="21"/>
              </w:rPr>
              <w:t>控制界面：彩色中文液晶触摸屏</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jc w:val="center"/>
        </w:trPr>
        <w:tc>
          <w:tcPr>
            <w:tcW w:w="1214" w:type="dxa"/>
            <w:vAlign w:val="center"/>
          </w:tcPr>
          <w:p>
            <w:pPr>
              <w:spacing w:line="480" w:lineRule="exact"/>
              <w:jc w:val="center"/>
              <w:rPr>
                <w:sz w:val="24"/>
                <w:szCs w:val="21"/>
              </w:rPr>
            </w:pPr>
            <w:r>
              <w:rPr>
                <w:rFonts w:hint="eastAsia"/>
                <w:sz w:val="24"/>
                <w:szCs w:val="21"/>
              </w:rPr>
              <w:t>3</w:t>
            </w:r>
            <w:r>
              <w:rPr>
                <w:sz w:val="24"/>
                <w:szCs w:val="21"/>
              </w:rPr>
              <w:t>.8</w:t>
            </w:r>
          </w:p>
        </w:tc>
        <w:tc>
          <w:tcPr>
            <w:tcW w:w="7859" w:type="dxa"/>
            <w:gridSpan w:val="3"/>
          </w:tcPr>
          <w:p>
            <w:pPr>
              <w:spacing w:line="480" w:lineRule="exact"/>
              <w:jc w:val="center"/>
              <w:rPr>
                <w:sz w:val="24"/>
                <w:szCs w:val="21"/>
              </w:rPr>
            </w:pPr>
            <w:r>
              <w:rPr>
                <w:rFonts w:hint="eastAsia"/>
                <w:sz w:val="24"/>
                <w:szCs w:val="21"/>
              </w:rPr>
              <w:t>节流方式：电子膨胀阀</w:t>
            </w:r>
          </w:p>
        </w:tc>
      </w:tr>
    </w:tbl>
    <w:p>
      <w:pPr>
        <w:numPr>
          <w:ilvl w:val="0"/>
          <w:numId w:val="13"/>
        </w:numPr>
        <w:spacing w:line="360" w:lineRule="auto"/>
        <w:ind w:firstLine="480" w:firstLineChars="200"/>
        <w:rPr>
          <w:rFonts w:cs="仿宋_GB2312"/>
          <w:sz w:val="24"/>
        </w:rPr>
      </w:pPr>
      <w:r>
        <w:rPr>
          <w:rFonts w:hint="eastAsia" w:cs="仿宋_GB2312"/>
          <w:sz w:val="24"/>
        </w:rPr>
        <w:t>机组须具有带AHRI标志螺杆机软件选型报告，螺杆式冷水机组参数以选型报告为准。</w:t>
      </w:r>
    </w:p>
    <w:p>
      <w:pPr>
        <w:numPr>
          <w:ilvl w:val="0"/>
          <w:numId w:val="13"/>
        </w:numPr>
        <w:spacing w:line="360" w:lineRule="auto"/>
        <w:ind w:firstLine="480" w:firstLineChars="200"/>
        <w:rPr>
          <w:rFonts w:cs="仿宋_GB2312"/>
          <w:sz w:val="24"/>
        </w:rPr>
      </w:pPr>
      <w:r>
        <w:rPr>
          <w:rFonts w:hint="eastAsia" w:cs="仿宋_GB2312"/>
          <w:sz w:val="24"/>
        </w:rPr>
        <w:t>中标方需提供和投标机组相同型号的有效期内的产品节能认证证书。</w:t>
      </w:r>
    </w:p>
    <w:p>
      <w:pPr>
        <w:numPr>
          <w:ilvl w:val="0"/>
          <w:numId w:val="13"/>
        </w:numPr>
        <w:spacing w:line="360" w:lineRule="auto"/>
        <w:ind w:firstLine="480" w:firstLineChars="200"/>
        <w:rPr>
          <w:rFonts w:cs="仿宋_GB2312"/>
          <w:sz w:val="24"/>
        </w:rPr>
      </w:pPr>
      <w:r>
        <w:rPr>
          <w:rFonts w:hint="eastAsia" w:cs="仿宋_GB2312"/>
          <w:sz w:val="24"/>
        </w:rPr>
        <w:t>投标设备应采用 RS-485 接口，必须提供开放的通讯协议，并提供全部监视及控制信息，以实现远程监视和控制。必须提供满足本次招标所需的机组、群控主机使用的接口转换装置，能够实现与中央控制系统互联。</w:t>
      </w:r>
    </w:p>
    <w:p>
      <w:pPr>
        <w:numPr>
          <w:ilvl w:val="0"/>
          <w:numId w:val="13"/>
        </w:numPr>
        <w:spacing w:line="360" w:lineRule="auto"/>
        <w:ind w:firstLine="480" w:firstLineChars="200"/>
        <w:rPr>
          <w:rFonts w:cs="仿宋_GB2312"/>
          <w:sz w:val="24"/>
        </w:rPr>
      </w:pPr>
      <w:r>
        <w:rPr>
          <w:rFonts w:hint="eastAsia" w:cs="仿宋_GB2312"/>
          <w:sz w:val="24"/>
        </w:rPr>
        <w:t>*部件产地：压缩机等核心部件由整机制造商负责自主生产，不允许 OEM 生产，整机合格证必须由整机制造商开具。</w:t>
      </w:r>
    </w:p>
    <w:p>
      <w:pPr>
        <w:spacing w:line="360" w:lineRule="auto"/>
        <w:ind w:firstLine="480" w:firstLineChars="200"/>
        <w:rPr>
          <w:rFonts w:cs="仿宋_GB2312"/>
          <w:sz w:val="24"/>
        </w:rPr>
      </w:pPr>
      <w:r>
        <w:rPr>
          <w:rFonts w:hint="eastAsia" w:cs="仿宋_GB2312"/>
          <w:sz w:val="24"/>
        </w:rPr>
        <w:t>（3）设备及运行要求</w:t>
      </w:r>
    </w:p>
    <w:p>
      <w:pPr>
        <w:numPr>
          <w:ilvl w:val="0"/>
          <w:numId w:val="14"/>
        </w:numPr>
        <w:spacing w:line="360" w:lineRule="auto"/>
        <w:ind w:firstLine="480" w:firstLineChars="200"/>
        <w:rPr>
          <w:rFonts w:cs="仿宋_GB2312"/>
          <w:sz w:val="24"/>
        </w:rPr>
      </w:pPr>
      <w:r>
        <w:rPr>
          <w:rFonts w:hint="eastAsia" w:cs="仿宋_GB2312"/>
          <w:sz w:val="24"/>
        </w:rPr>
        <w:t>机组主要功能要求</w:t>
      </w:r>
    </w:p>
    <w:p>
      <w:pPr>
        <w:spacing w:line="360" w:lineRule="auto"/>
        <w:ind w:firstLine="480" w:firstLineChars="200"/>
        <w:rPr>
          <w:rFonts w:cs="仿宋_GB2312"/>
          <w:sz w:val="24"/>
        </w:rPr>
      </w:pPr>
      <w:r>
        <w:rPr>
          <w:rFonts w:hint="eastAsia" w:cs="仿宋_GB2312"/>
          <w:sz w:val="24"/>
        </w:rPr>
        <w:t>机组配置要求：机组由工厂整装出厂，包括蒸发器、冷凝器、压缩机（带电机）、带电子式流量开关、带电子膨胀阀、配备卡箍式水室快速安装接口，为每台机组充注满足运行条件的制冷剂和润滑油，机组自带控制柜。</w:t>
      </w:r>
    </w:p>
    <w:p>
      <w:pPr>
        <w:numPr>
          <w:ilvl w:val="0"/>
          <w:numId w:val="14"/>
        </w:numPr>
        <w:spacing w:line="360" w:lineRule="auto"/>
        <w:ind w:firstLine="480" w:firstLineChars="200"/>
        <w:rPr>
          <w:rFonts w:cs="仿宋_GB2312"/>
          <w:sz w:val="24"/>
        </w:rPr>
      </w:pPr>
      <w:r>
        <w:rPr>
          <w:rFonts w:hint="eastAsia" w:cs="仿宋_GB2312"/>
          <w:sz w:val="24"/>
        </w:rPr>
        <w:t>3.2 主要部件技术要求</w:t>
      </w:r>
    </w:p>
    <w:p>
      <w:pPr>
        <w:spacing w:line="360" w:lineRule="auto"/>
        <w:ind w:firstLine="480" w:firstLineChars="200"/>
        <w:rPr>
          <w:rFonts w:cs="仿宋_GB2312"/>
          <w:sz w:val="24"/>
        </w:rPr>
      </w:pPr>
      <w:r>
        <w:rPr>
          <w:rFonts w:hint="eastAsia" w:cs="仿宋_GB2312"/>
          <w:sz w:val="24"/>
        </w:rPr>
        <w:t>1）*压缩机</w:t>
      </w:r>
    </w:p>
    <w:p>
      <w:pPr>
        <w:spacing w:line="360" w:lineRule="auto"/>
        <w:ind w:firstLine="480" w:firstLineChars="200"/>
        <w:rPr>
          <w:rFonts w:cs="仿宋_GB2312"/>
          <w:sz w:val="24"/>
        </w:rPr>
      </w:pPr>
      <w:r>
        <w:rPr>
          <w:rFonts w:hint="eastAsia" w:cs="仿宋_GB2312"/>
          <w:sz w:val="24"/>
        </w:rPr>
        <w:t>压缩机要求具有高效节能、绿色变频、稳定可靠等特点，压缩机需与整机匹配性能高，压缩机推荐使用技术成熟、运行稳定、安全可靠的一线著名品牌，不接受 OEM 生产和联营产品。</w:t>
      </w:r>
    </w:p>
    <w:p>
      <w:pPr>
        <w:spacing w:line="360" w:lineRule="auto"/>
        <w:ind w:firstLine="480" w:firstLineChars="200"/>
        <w:rPr>
          <w:rFonts w:cs="仿宋_GB2312"/>
          <w:sz w:val="24"/>
        </w:rPr>
      </w:pPr>
      <w:r>
        <w:rPr>
          <w:rFonts w:hint="eastAsia" w:cs="仿宋_GB2312"/>
          <w:sz w:val="24"/>
        </w:rPr>
        <w:t>压缩机采用变频双螺杆压缩机，电机直接驱动转子，螺杆转子需啮合精密，寿命长。</w:t>
      </w:r>
    </w:p>
    <w:p>
      <w:pPr>
        <w:spacing w:line="360" w:lineRule="auto"/>
        <w:ind w:firstLine="480" w:firstLineChars="200"/>
        <w:rPr>
          <w:rFonts w:cs="仿宋_GB2312"/>
          <w:sz w:val="24"/>
        </w:rPr>
      </w:pPr>
      <w:r>
        <w:rPr>
          <w:rFonts w:hint="eastAsia" w:cs="仿宋_GB2312"/>
          <w:sz w:val="24"/>
        </w:rPr>
        <w:t>压缩机采用无极滑阀调节。</w:t>
      </w:r>
    </w:p>
    <w:p>
      <w:pPr>
        <w:spacing w:line="360" w:lineRule="auto"/>
        <w:ind w:firstLine="480" w:firstLineChars="200"/>
        <w:rPr>
          <w:rFonts w:cs="仿宋_GB2312"/>
          <w:sz w:val="24"/>
        </w:rPr>
      </w:pPr>
      <w:r>
        <w:rPr>
          <w:rFonts w:hint="eastAsia" w:cs="仿宋_GB2312"/>
          <w:sz w:val="24"/>
        </w:rPr>
        <w:t>2）蒸发器和冷凝器</w:t>
      </w:r>
    </w:p>
    <w:p>
      <w:pPr>
        <w:spacing w:line="360" w:lineRule="auto"/>
        <w:ind w:firstLine="480" w:firstLineChars="200"/>
        <w:rPr>
          <w:rFonts w:cs="仿宋_GB2312"/>
          <w:sz w:val="24"/>
        </w:rPr>
      </w:pPr>
      <w:r>
        <w:rPr>
          <w:rFonts w:hint="eastAsia" w:cs="仿宋_GB2312"/>
          <w:sz w:val="24"/>
        </w:rPr>
        <w:t>采用满液式蒸发器，换热管采用优质高效换热铜管。蒸发器和冷凝器，各成一体，换热管应高效，整体内外强化；同时，管子应能便利更换，不影响管板的强度和寿命，不造成邻管的泄漏。</w:t>
      </w:r>
    </w:p>
    <w:p>
      <w:pPr>
        <w:spacing w:line="360" w:lineRule="auto"/>
        <w:ind w:firstLine="480" w:firstLineChars="200"/>
        <w:rPr>
          <w:rFonts w:cs="仿宋_GB2312"/>
          <w:sz w:val="24"/>
        </w:rPr>
      </w:pPr>
      <w:r>
        <w:rPr>
          <w:rFonts w:hint="eastAsia" w:cs="仿宋_GB2312"/>
          <w:sz w:val="24"/>
        </w:rPr>
        <w:t>3）投标螺杆机组采用电子膨胀阀及无极滑阀组合调节。</w:t>
      </w:r>
    </w:p>
    <w:p>
      <w:pPr>
        <w:spacing w:line="360" w:lineRule="auto"/>
        <w:ind w:firstLine="480" w:firstLineChars="200"/>
        <w:rPr>
          <w:rFonts w:cs="仿宋_GB2312"/>
          <w:sz w:val="24"/>
        </w:rPr>
      </w:pPr>
      <w:r>
        <w:rPr>
          <w:rFonts w:hint="eastAsia" w:cs="仿宋_GB2312"/>
          <w:sz w:val="24"/>
        </w:rPr>
        <w:t>4）投标螺杆机组出厂自带电子式流量开关，无需现场安装。</w:t>
      </w:r>
    </w:p>
    <w:p>
      <w:pPr>
        <w:spacing w:line="360" w:lineRule="auto"/>
        <w:ind w:firstLine="480" w:firstLineChars="200"/>
        <w:rPr>
          <w:rFonts w:cs="仿宋_GB2312"/>
          <w:sz w:val="24"/>
        </w:rPr>
      </w:pPr>
      <w:r>
        <w:rPr>
          <w:rFonts w:hint="eastAsia" w:cs="仿宋_GB2312"/>
          <w:sz w:val="24"/>
        </w:rPr>
        <w:t>5）远程控制与通讯要求</w:t>
      </w:r>
    </w:p>
    <w:p>
      <w:pPr>
        <w:spacing w:line="360" w:lineRule="auto"/>
        <w:ind w:firstLine="480" w:firstLineChars="200"/>
        <w:rPr>
          <w:rFonts w:cs="仿宋_GB2312"/>
          <w:sz w:val="24"/>
        </w:rPr>
      </w:pPr>
      <w:r>
        <w:rPr>
          <w:rFonts w:hint="eastAsia" w:cs="仿宋_GB2312"/>
          <w:sz w:val="24"/>
        </w:rPr>
        <w:t>投标螺杆机组采用优质成熟的DDC微电脑控制运行，显示界面为彩色全中文液晶触摸屏。</w:t>
      </w:r>
    </w:p>
    <w:p>
      <w:pPr>
        <w:spacing w:line="360" w:lineRule="auto"/>
        <w:ind w:firstLine="480" w:firstLineChars="200"/>
        <w:rPr>
          <w:rFonts w:cs="仿宋_GB2312"/>
          <w:sz w:val="24"/>
        </w:rPr>
      </w:pPr>
      <w:r>
        <w:rPr>
          <w:rFonts w:hint="eastAsia" w:cs="仿宋_GB2312"/>
          <w:sz w:val="24"/>
        </w:rPr>
        <w:t>投标机组用户界面可直观获取系统及主要参数的信息，可与楼宇自控系统接驳。配置RS485接口。应具备显示、调控、保护、报警及完善的安全保护措施（各厂家提供机组电脑控制功能说明）。</w:t>
      </w:r>
    </w:p>
    <w:p>
      <w:pPr>
        <w:spacing w:line="360" w:lineRule="auto"/>
        <w:ind w:firstLine="480" w:firstLineChars="200"/>
        <w:rPr>
          <w:rFonts w:cs="仿宋_GB2312"/>
          <w:sz w:val="24"/>
        </w:rPr>
      </w:pPr>
      <w:r>
        <w:rPr>
          <w:rFonts w:hint="eastAsia" w:cs="仿宋_GB2312"/>
          <w:sz w:val="24"/>
        </w:rPr>
        <w:t>投标螺杆机组启动柜自带刀闸开关，在检修时保护操作维修人员的安全。</w:t>
      </w:r>
    </w:p>
    <w:p>
      <w:pPr>
        <w:spacing w:line="360" w:lineRule="auto"/>
        <w:ind w:firstLine="480" w:firstLineChars="200"/>
        <w:rPr>
          <w:sz w:val="24"/>
        </w:rPr>
      </w:pPr>
      <w:r>
        <w:rPr>
          <w:rFonts w:hint="eastAsia" w:cs="仿宋_GB2312"/>
          <w:sz w:val="24"/>
        </w:rPr>
        <w:t>投标螺杆机组启动柜防护等级为</w:t>
      </w:r>
      <w:r>
        <w:rPr>
          <w:rFonts w:hint="eastAsia" w:cs="仿宋_GB2312"/>
          <w:b/>
          <w:bCs/>
          <w:sz w:val="24"/>
        </w:rPr>
        <w:t>IP44</w:t>
      </w:r>
      <w:r>
        <w:rPr>
          <w:rFonts w:hint="eastAsia" w:cs="仿宋_GB2312"/>
          <w:sz w:val="24"/>
        </w:rPr>
        <w:t>或以上。</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2.2.6服务要求</w:t>
      </w:r>
    </w:p>
    <w:p>
      <w:pPr>
        <w:numPr>
          <w:ilvl w:val="0"/>
          <w:numId w:val="15"/>
        </w:numPr>
        <w:spacing w:line="360" w:lineRule="auto"/>
        <w:ind w:firstLine="480" w:firstLineChars="200"/>
        <w:rPr>
          <w:rFonts w:cs="仿宋_GB2312"/>
          <w:sz w:val="24"/>
        </w:rPr>
      </w:pPr>
      <w:r>
        <w:rPr>
          <w:rFonts w:hint="eastAsia" w:cs="仿宋_GB2312"/>
          <w:sz w:val="24"/>
        </w:rPr>
        <w:t>运输</w:t>
      </w:r>
    </w:p>
    <w:p>
      <w:pPr>
        <w:spacing w:line="360" w:lineRule="auto"/>
        <w:ind w:firstLine="480" w:firstLineChars="200"/>
        <w:rPr>
          <w:rFonts w:cs="仿宋_GB2312"/>
          <w:sz w:val="24"/>
        </w:rPr>
      </w:pPr>
      <w:r>
        <w:rPr>
          <w:rFonts w:hint="eastAsia" w:cs="仿宋_GB2312"/>
          <w:sz w:val="24"/>
        </w:rPr>
        <w:t>招标文件中所列货物采用标准包装，运至交货地点（以招标方确认为准）。</w:t>
      </w:r>
    </w:p>
    <w:p>
      <w:pPr>
        <w:numPr>
          <w:ilvl w:val="0"/>
          <w:numId w:val="15"/>
        </w:numPr>
        <w:spacing w:line="360" w:lineRule="auto"/>
        <w:ind w:firstLine="480" w:firstLineChars="200"/>
        <w:rPr>
          <w:rFonts w:cs="仿宋_GB2312"/>
          <w:sz w:val="24"/>
        </w:rPr>
      </w:pPr>
      <w:r>
        <w:rPr>
          <w:rFonts w:hint="eastAsia" w:cs="仿宋_GB2312"/>
          <w:sz w:val="24"/>
        </w:rPr>
        <w:t>资料要求</w:t>
      </w:r>
    </w:p>
    <w:p>
      <w:pPr>
        <w:spacing w:line="360" w:lineRule="auto"/>
        <w:ind w:firstLine="480" w:firstLineChars="200"/>
        <w:rPr>
          <w:rFonts w:cs="仿宋_GB2312"/>
          <w:sz w:val="24"/>
        </w:rPr>
      </w:pPr>
      <w:r>
        <w:rPr>
          <w:rFonts w:hint="eastAsia" w:cs="仿宋_GB2312"/>
          <w:sz w:val="24"/>
        </w:rPr>
        <w:t>1）投标方必须提供投标设备原理图、外形尺寸、基础尺寸、控制原理图、提供操作手册和设备维修手册。</w:t>
      </w:r>
    </w:p>
    <w:p>
      <w:pPr>
        <w:spacing w:line="360" w:lineRule="auto"/>
        <w:ind w:firstLine="480" w:firstLineChars="200"/>
        <w:rPr>
          <w:rFonts w:cs="仿宋_GB2312"/>
          <w:sz w:val="24"/>
        </w:rPr>
      </w:pPr>
      <w:r>
        <w:rPr>
          <w:rFonts w:hint="eastAsia" w:cs="仿宋_GB2312"/>
          <w:sz w:val="24"/>
        </w:rPr>
        <w:t>2）投标方须说明投标设备生产集成过程中，所采用的设备的名称、数量、规格型号、材质、生产厂家、产地等，并提供相应的资料。</w:t>
      </w:r>
    </w:p>
    <w:p>
      <w:pPr>
        <w:numPr>
          <w:ilvl w:val="0"/>
          <w:numId w:val="15"/>
        </w:numPr>
        <w:spacing w:line="360" w:lineRule="auto"/>
        <w:ind w:firstLine="480" w:firstLineChars="200"/>
        <w:rPr>
          <w:rFonts w:cs="仿宋_GB2312"/>
          <w:sz w:val="24"/>
        </w:rPr>
      </w:pPr>
      <w:r>
        <w:rPr>
          <w:rFonts w:hint="eastAsia" w:cs="仿宋_GB2312"/>
          <w:sz w:val="24"/>
        </w:rPr>
        <w:t>验收</w:t>
      </w:r>
    </w:p>
    <w:p>
      <w:pPr>
        <w:spacing w:line="360" w:lineRule="auto"/>
        <w:ind w:firstLine="480" w:firstLineChars="200"/>
        <w:rPr>
          <w:rFonts w:cs="仿宋_GB2312"/>
          <w:sz w:val="24"/>
        </w:rPr>
      </w:pPr>
      <w:r>
        <w:rPr>
          <w:rFonts w:hint="eastAsia" w:cs="仿宋_GB2312"/>
          <w:sz w:val="24"/>
        </w:rPr>
        <w:t>1）投标方需提供出厂检验合格报告，确认货物质量符合本招标文件规定标准和图样要求。</w:t>
      </w:r>
    </w:p>
    <w:p>
      <w:pPr>
        <w:spacing w:line="360" w:lineRule="auto"/>
        <w:ind w:firstLine="480" w:firstLineChars="200"/>
        <w:rPr>
          <w:rFonts w:cs="仿宋_GB2312"/>
          <w:sz w:val="24"/>
        </w:rPr>
      </w:pPr>
      <w:r>
        <w:rPr>
          <w:rFonts w:hint="eastAsia" w:cs="仿宋_GB2312"/>
          <w:sz w:val="24"/>
        </w:rPr>
        <w:t>2）投标方需提供设备随机配件及资料清单。</w:t>
      </w:r>
    </w:p>
    <w:p>
      <w:pPr>
        <w:spacing w:line="360" w:lineRule="auto"/>
        <w:ind w:firstLine="480" w:firstLineChars="200"/>
        <w:rPr>
          <w:rFonts w:cs="仿宋_GB2312"/>
          <w:sz w:val="24"/>
        </w:rPr>
      </w:pPr>
      <w:r>
        <w:rPr>
          <w:rFonts w:hint="eastAsia" w:cs="仿宋_GB2312"/>
          <w:sz w:val="24"/>
        </w:rPr>
        <w:t>3）当满足以上条件时，招标方才向投标方签发验收合格证书。</w:t>
      </w:r>
    </w:p>
    <w:p>
      <w:pPr>
        <w:numPr>
          <w:ilvl w:val="0"/>
          <w:numId w:val="15"/>
        </w:numPr>
        <w:spacing w:line="360" w:lineRule="auto"/>
        <w:ind w:firstLine="480" w:firstLineChars="200"/>
        <w:rPr>
          <w:rFonts w:cs="仿宋_GB2312"/>
          <w:sz w:val="24"/>
        </w:rPr>
      </w:pPr>
      <w:r>
        <w:rPr>
          <w:rFonts w:hint="eastAsia" w:cs="仿宋_GB2312"/>
          <w:sz w:val="24"/>
        </w:rPr>
        <w:t>现场培训</w:t>
      </w:r>
    </w:p>
    <w:p>
      <w:pPr>
        <w:spacing w:line="360" w:lineRule="auto"/>
        <w:ind w:firstLine="480" w:firstLineChars="200"/>
        <w:rPr>
          <w:rFonts w:cs="仿宋_GB2312"/>
          <w:sz w:val="24"/>
        </w:rPr>
      </w:pPr>
      <w:r>
        <w:rPr>
          <w:rFonts w:hint="eastAsia" w:cs="仿宋_GB2312"/>
          <w:sz w:val="24"/>
        </w:rPr>
        <w:t>投标方应在设备安装、调试完成后，安排有经验的工程师免费给予招标方的工程技术人员和使用单位的操作使用人员进行必要的技术培训，并提供技术培训材料。技术培训内容包括：设备工作原理；设备的整体技术性能及结构配置；设备的操作方法；设备的维护及故障排除。</w:t>
      </w:r>
    </w:p>
    <w:p>
      <w:pPr>
        <w:numPr>
          <w:ilvl w:val="0"/>
          <w:numId w:val="15"/>
        </w:numPr>
        <w:spacing w:line="360" w:lineRule="auto"/>
        <w:ind w:firstLine="480" w:firstLineChars="200"/>
        <w:rPr>
          <w:rFonts w:cs="仿宋_GB2312"/>
          <w:sz w:val="24"/>
        </w:rPr>
      </w:pPr>
      <w:r>
        <w:rPr>
          <w:rFonts w:hint="eastAsia" w:cs="仿宋_GB2312"/>
          <w:sz w:val="24"/>
        </w:rPr>
        <w:t>售后服务</w:t>
      </w:r>
    </w:p>
    <w:p>
      <w:pPr>
        <w:spacing w:line="360" w:lineRule="auto"/>
        <w:ind w:firstLine="480" w:firstLineChars="200"/>
        <w:rPr>
          <w:rFonts w:cs="仿宋_GB2312"/>
          <w:sz w:val="24"/>
        </w:rPr>
      </w:pPr>
      <w:r>
        <w:rPr>
          <w:rFonts w:hint="eastAsia" w:cs="仿宋_GB2312"/>
          <w:sz w:val="24"/>
        </w:rPr>
        <w:t>1）安装指导</w:t>
      </w:r>
    </w:p>
    <w:p>
      <w:pPr>
        <w:spacing w:line="360" w:lineRule="auto"/>
        <w:ind w:firstLine="480" w:firstLineChars="200"/>
        <w:rPr>
          <w:rFonts w:cs="仿宋_GB2312"/>
          <w:sz w:val="24"/>
        </w:rPr>
      </w:pPr>
      <w:r>
        <w:rPr>
          <w:rFonts w:hint="eastAsia" w:cs="仿宋_GB2312"/>
          <w:sz w:val="24"/>
        </w:rPr>
        <w:t>产品运输至招标方指定的现场后，根据招标方需求，中标方派专业的维修技术人员到最终用户现场进行产品的安装指导。</w:t>
      </w:r>
    </w:p>
    <w:p>
      <w:pPr>
        <w:spacing w:line="360" w:lineRule="auto"/>
        <w:ind w:firstLine="480" w:firstLineChars="200"/>
        <w:rPr>
          <w:rFonts w:cs="仿宋_GB2312"/>
          <w:sz w:val="24"/>
        </w:rPr>
      </w:pPr>
      <w:r>
        <w:rPr>
          <w:rFonts w:hint="eastAsia" w:cs="仿宋_GB2312"/>
          <w:sz w:val="24"/>
        </w:rPr>
        <w:t>2）开机调试</w:t>
      </w:r>
    </w:p>
    <w:p>
      <w:pPr>
        <w:spacing w:line="360" w:lineRule="auto"/>
        <w:ind w:firstLine="480" w:firstLineChars="200"/>
        <w:rPr>
          <w:rFonts w:cs="仿宋_GB2312"/>
          <w:sz w:val="24"/>
        </w:rPr>
      </w:pPr>
      <w:r>
        <w:rPr>
          <w:rFonts w:hint="eastAsia" w:cs="仿宋_GB2312"/>
          <w:sz w:val="24"/>
        </w:rPr>
        <w:t>在最终用户水、电、气、冷却塔以及空调系统等外部条件均已具备条件并由招标方在《产品调试前准备工作调查表》签字确认后，中标方需同意对主机产品提供一次现场开机调试，使产品达到最佳运行状态，并调试完成后，提供《调试合格证》交付招标方使用。</w:t>
      </w:r>
    </w:p>
    <w:p>
      <w:pPr>
        <w:spacing w:line="360" w:lineRule="auto"/>
        <w:ind w:firstLine="480" w:firstLineChars="200"/>
        <w:rPr>
          <w:rFonts w:cs="仿宋_GB2312"/>
          <w:sz w:val="24"/>
        </w:rPr>
      </w:pPr>
      <w:r>
        <w:rPr>
          <w:rFonts w:hint="eastAsia" w:cs="仿宋_GB2312"/>
          <w:sz w:val="24"/>
        </w:rPr>
        <w:t>3）产品维修</w:t>
      </w:r>
    </w:p>
    <w:p>
      <w:pPr>
        <w:spacing w:line="360" w:lineRule="auto"/>
        <w:ind w:firstLine="480" w:firstLineChars="200"/>
        <w:rPr>
          <w:rFonts w:cs="仿宋_GB2312"/>
          <w:sz w:val="24"/>
        </w:rPr>
      </w:pPr>
      <w:r>
        <w:rPr>
          <w:rFonts w:hint="eastAsia" w:cs="仿宋_GB2312"/>
          <w:sz w:val="24"/>
        </w:rPr>
        <w:t>如果产品出现故障，中标方可以提供检查并修复已损坏的产品的服务,包括一般的产品维修和紧急抢修等事项。</w:t>
      </w:r>
    </w:p>
    <w:p>
      <w:pPr>
        <w:spacing w:line="360" w:lineRule="auto"/>
        <w:ind w:firstLine="480" w:firstLineChars="200"/>
        <w:rPr>
          <w:rFonts w:cs="仿宋_GB2312"/>
          <w:sz w:val="24"/>
        </w:rPr>
      </w:pPr>
      <w:r>
        <w:rPr>
          <w:rFonts w:hint="eastAsia" w:cs="仿宋_GB2312"/>
          <w:sz w:val="24"/>
        </w:rPr>
        <w:t>4）零配件更换</w:t>
      </w:r>
    </w:p>
    <w:p>
      <w:pPr>
        <w:spacing w:line="360" w:lineRule="auto"/>
        <w:ind w:firstLine="480" w:firstLineChars="200"/>
        <w:rPr>
          <w:rFonts w:cs="仿宋_GB2312"/>
          <w:sz w:val="24"/>
        </w:rPr>
      </w:pPr>
      <w:r>
        <w:rPr>
          <w:rFonts w:hint="eastAsia" w:cs="仿宋_GB2312"/>
          <w:sz w:val="24"/>
        </w:rPr>
        <w:t>对于质量保证期限已经届满的产品，中标方可向招标方提供旧机改造一条龙服务，包括现场勘察、旧机使用状况评估、机房系统设计、制定施工方案、产品运输和安装、水系统的更换到产品维护保养等全面的系统解决方案。</w:t>
      </w:r>
    </w:p>
    <w:p>
      <w:pPr>
        <w:spacing w:line="360" w:lineRule="auto"/>
        <w:ind w:firstLine="480" w:firstLineChars="200"/>
        <w:rPr>
          <w:rFonts w:cs="仿宋_GB2312"/>
          <w:sz w:val="24"/>
        </w:rPr>
      </w:pPr>
      <w:r>
        <w:rPr>
          <w:rFonts w:hint="eastAsia" w:cs="仿宋_GB2312"/>
          <w:sz w:val="24"/>
        </w:rPr>
        <w:t>5）质量保证</w:t>
      </w:r>
    </w:p>
    <w:p>
      <w:pPr>
        <w:spacing w:line="360" w:lineRule="auto"/>
        <w:ind w:firstLine="480" w:firstLineChars="200"/>
        <w:rPr>
          <w:rFonts w:cs="仿宋_GB2312"/>
          <w:sz w:val="24"/>
        </w:rPr>
      </w:pPr>
      <w:r>
        <w:rPr>
          <w:rFonts w:hint="eastAsia" w:cs="仿宋_GB2312"/>
          <w:sz w:val="24"/>
        </w:rPr>
        <w:t>在产品质量保证期内，由于产品质量原因导致的故障且属于质量保证范围内的，招标方应及时通知中标方，中标方将在接到通知并确认后派人对产品进行修理或对有质量问题的零部件进行更换。在约定的范围和条件内，不另行收取服务费和零配件更换费。</w:t>
      </w:r>
    </w:p>
    <w:p>
      <w:pPr>
        <w:pStyle w:val="9"/>
        <w:spacing w:before="156"/>
        <w:ind w:firstLine="482" w:firstLineChars="200"/>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2.3机房群控系统技术要求</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2.3.1总体概述</w:t>
      </w:r>
    </w:p>
    <w:p>
      <w:pPr>
        <w:spacing w:line="360" w:lineRule="auto"/>
        <w:ind w:firstLine="480" w:firstLineChars="200"/>
        <w:rPr>
          <w:rFonts w:cs="仿宋_GB2312"/>
          <w:sz w:val="24"/>
        </w:rPr>
      </w:pPr>
      <w:r>
        <w:rPr>
          <w:rFonts w:hint="eastAsia" w:cs="仿宋_GB2312"/>
          <w:sz w:val="24"/>
        </w:rPr>
        <w:t>本项目中央冷源系统包括A组冷源（6台冷水机组）和B组冷源（3台冷水机组）。A、B组冷源各自独立。</w:t>
      </w:r>
    </w:p>
    <w:p>
      <w:pPr>
        <w:spacing w:line="360" w:lineRule="auto"/>
        <w:ind w:firstLine="480" w:firstLineChars="200"/>
        <w:rPr>
          <w:rFonts w:cs="仿宋_GB2312"/>
          <w:sz w:val="24"/>
        </w:rPr>
      </w:pPr>
      <w:r>
        <w:rPr>
          <w:rFonts w:hint="eastAsia" w:cs="仿宋_GB2312"/>
          <w:sz w:val="24"/>
        </w:rPr>
        <w:t>本文件中有关中央冷源自动监控系统（简称CPM）的一般说明，须同时结合设计控制说明、系统流程图及其他图纸所示的资料，一并作为整个控制系统的要求。</w:t>
      </w:r>
    </w:p>
    <w:p>
      <w:pPr>
        <w:spacing w:line="360" w:lineRule="auto"/>
        <w:ind w:firstLine="480" w:firstLineChars="200"/>
        <w:rPr>
          <w:rFonts w:cs="仿宋_GB2312"/>
          <w:sz w:val="24"/>
        </w:rPr>
      </w:pPr>
      <w:r>
        <w:rPr>
          <w:rFonts w:hint="eastAsia" w:cs="仿宋_GB2312"/>
          <w:sz w:val="24"/>
        </w:rPr>
        <w:t>（1）系统要求及实现目标</w:t>
      </w:r>
    </w:p>
    <w:p>
      <w:pPr>
        <w:numPr>
          <w:ilvl w:val="0"/>
          <w:numId w:val="16"/>
        </w:numPr>
        <w:spacing w:line="360" w:lineRule="auto"/>
        <w:ind w:firstLine="480" w:firstLineChars="200"/>
        <w:rPr>
          <w:rFonts w:cs="仿宋_GB2312"/>
          <w:sz w:val="24"/>
        </w:rPr>
      </w:pPr>
      <w:r>
        <w:rPr>
          <w:rFonts w:hint="eastAsia" w:cs="仿宋_GB2312"/>
          <w:sz w:val="24"/>
        </w:rPr>
        <w:t>中央冷源自动监控系统（CPM）应直接实现与冷水机组单机控制器无缝通讯连接，宜采用冷水机组生产厂家同品牌原装控制系统。</w:t>
      </w:r>
    </w:p>
    <w:p>
      <w:pPr>
        <w:numPr>
          <w:ilvl w:val="0"/>
          <w:numId w:val="16"/>
        </w:numPr>
        <w:spacing w:line="360" w:lineRule="auto"/>
        <w:ind w:firstLine="480" w:firstLineChars="200"/>
        <w:rPr>
          <w:rFonts w:cs="仿宋_GB2312"/>
          <w:sz w:val="24"/>
        </w:rPr>
      </w:pPr>
      <w:r>
        <w:rPr>
          <w:rFonts w:hint="eastAsia" w:cs="仿宋_GB2312"/>
          <w:sz w:val="24"/>
        </w:rPr>
        <w:t>中央冷源自动监控系统（CPM）应包括对必要设备的监测或监控，包含报警管理，能源管理，能耗分析，历史数据记录，系统自学习优化等功能。</w:t>
      </w:r>
    </w:p>
    <w:p>
      <w:pPr>
        <w:numPr>
          <w:ilvl w:val="0"/>
          <w:numId w:val="16"/>
        </w:numPr>
        <w:spacing w:line="360" w:lineRule="auto"/>
        <w:ind w:firstLine="480" w:firstLineChars="200"/>
        <w:rPr>
          <w:rFonts w:cs="仿宋_GB2312"/>
          <w:sz w:val="24"/>
        </w:rPr>
      </w:pPr>
      <w:r>
        <w:rPr>
          <w:rFonts w:hint="eastAsia" w:cs="仿宋_GB2312"/>
          <w:sz w:val="24"/>
        </w:rPr>
        <w:t>本项目对系统安全与稳定性有很高的要求，管理层通讯网络必须支持支持HTTP的SSL安全机制(与网络银行同样等级的安全机制)。所有DDC控制器均应采用工业级的产品设计。</w:t>
      </w:r>
    </w:p>
    <w:p>
      <w:pPr>
        <w:numPr>
          <w:ilvl w:val="0"/>
          <w:numId w:val="16"/>
        </w:numPr>
        <w:spacing w:line="360" w:lineRule="auto"/>
        <w:ind w:firstLine="480" w:firstLineChars="200"/>
        <w:rPr>
          <w:rFonts w:cs="仿宋_GB2312"/>
          <w:sz w:val="24"/>
        </w:rPr>
      </w:pPr>
      <w:r>
        <w:rPr>
          <w:rFonts w:hint="eastAsia" w:cs="仿宋_GB2312"/>
          <w:sz w:val="24"/>
        </w:rPr>
        <w:t>中央冷源自动监控系统要有较强的开放性和兼容性，各现场控制器应能独立完成所有监控工作，监控信号和数据采集结果通过网络反馈至控制管理中心，由控制中心集中管理。中央站以及网络控制器停止工作不影响现场DDC的正常运转，现场某个DDC故障不影响网络上其它DDC及分站工作,充分实现分散控制集中管理。</w:t>
      </w:r>
    </w:p>
    <w:p>
      <w:pPr>
        <w:numPr>
          <w:ilvl w:val="0"/>
          <w:numId w:val="16"/>
        </w:numPr>
        <w:spacing w:line="360" w:lineRule="auto"/>
        <w:ind w:firstLine="480" w:firstLineChars="200"/>
        <w:rPr>
          <w:rFonts w:cs="仿宋_GB2312"/>
          <w:sz w:val="24"/>
        </w:rPr>
      </w:pPr>
      <w:r>
        <w:rPr>
          <w:rFonts w:hint="eastAsia" w:cs="仿宋_GB2312"/>
          <w:sz w:val="24"/>
        </w:rPr>
        <w:t>中央冷源自动监控系统软件应采用图形化全动态操作界面，并具有图形化编程功能和程序在线模拟功能。必须支持MySQL, MS SQL Server, Oracle等多种数据库。要求具有系统流程图，设备监控图，动态趋势图，运行曲线图以及各种数据报表等的显示打印功能，并统计各监控设备的运行时间。</w:t>
      </w:r>
    </w:p>
    <w:p>
      <w:pPr>
        <w:numPr>
          <w:ilvl w:val="0"/>
          <w:numId w:val="16"/>
        </w:numPr>
        <w:spacing w:line="360" w:lineRule="auto"/>
        <w:ind w:firstLine="480" w:firstLineChars="200"/>
        <w:rPr>
          <w:rFonts w:cs="仿宋_GB2312"/>
          <w:sz w:val="24"/>
        </w:rPr>
      </w:pPr>
      <w:r>
        <w:rPr>
          <w:rFonts w:hint="eastAsia" w:cs="仿宋_GB2312"/>
          <w:sz w:val="24"/>
        </w:rPr>
        <w:t>为了减少中央冷源自动监控系统在软件维护、软件升级时对系统运营的影响，CPM系统应能实现在线程序升级、且具有实时逻辑编辑功能，确保在不停机的情况下实现DDC程序下载与升级，不影响系统的正常运营。</w:t>
      </w:r>
    </w:p>
    <w:p>
      <w:pPr>
        <w:spacing w:line="360" w:lineRule="auto"/>
        <w:ind w:firstLine="480" w:firstLineChars="200"/>
        <w:rPr>
          <w:rFonts w:cs="仿宋_GB2312"/>
          <w:sz w:val="24"/>
        </w:rPr>
      </w:pPr>
      <w:r>
        <w:rPr>
          <w:rFonts w:hint="eastAsia" w:cs="仿宋_GB2312"/>
          <w:sz w:val="24"/>
        </w:rPr>
        <w:t>（2）设计原则</w:t>
      </w:r>
    </w:p>
    <w:p>
      <w:pPr>
        <w:numPr>
          <w:ilvl w:val="0"/>
          <w:numId w:val="17"/>
        </w:numPr>
        <w:spacing w:line="360" w:lineRule="auto"/>
        <w:ind w:firstLine="480" w:firstLineChars="200"/>
        <w:rPr>
          <w:rFonts w:cs="仿宋_GB2312"/>
          <w:sz w:val="24"/>
        </w:rPr>
      </w:pPr>
      <w:r>
        <w:rPr>
          <w:rFonts w:hint="eastAsia" w:cs="仿宋_GB2312"/>
          <w:sz w:val="24"/>
        </w:rPr>
        <w:t>系统设计应遵循适用性的原则：技术成熟、先进高效、经济合理、安全可靠。所采用的设计方案和产品，应满足数据机房冷源设备监控管理的功能要求，在一定时期内保持其先进性。</w:t>
      </w:r>
    </w:p>
    <w:p>
      <w:pPr>
        <w:numPr>
          <w:ilvl w:val="0"/>
          <w:numId w:val="17"/>
        </w:numPr>
        <w:spacing w:line="360" w:lineRule="auto"/>
        <w:ind w:firstLine="480" w:firstLineChars="200"/>
        <w:rPr>
          <w:rFonts w:cs="仿宋_GB2312"/>
          <w:sz w:val="24"/>
        </w:rPr>
      </w:pPr>
      <w:r>
        <w:rPr>
          <w:rFonts w:hint="eastAsia" w:cs="仿宋_GB2312"/>
          <w:sz w:val="24"/>
        </w:rPr>
        <w:t>系统软件和硬件设备的配置应满足本工程使用的实际需要，采用结构化、模块化和标准化的产品，保证系统的完整性和经济性，并具有一定的可扩性和开放性。</w:t>
      </w:r>
    </w:p>
    <w:p>
      <w:pPr>
        <w:numPr>
          <w:ilvl w:val="0"/>
          <w:numId w:val="17"/>
        </w:numPr>
        <w:spacing w:line="360" w:lineRule="auto"/>
        <w:ind w:firstLine="480" w:firstLineChars="200"/>
        <w:rPr>
          <w:rFonts w:cs="仿宋_GB2312"/>
          <w:sz w:val="24"/>
        </w:rPr>
      </w:pPr>
      <w:r>
        <w:rPr>
          <w:rFonts w:hint="eastAsia" w:cs="仿宋_GB2312"/>
          <w:sz w:val="24"/>
        </w:rPr>
        <w:t>系统须具备节能特性，日常运营中应实现自动运行而无需操作人员介入，同时有足够的灵活性，允许用户根据实际情况作出调整。配有满足各种设备运行工况的控制模式，如：两态控制、三态控制、比例控制、比例微分控制、比例微积分控制、最优启动、分时再设、需求抑制等，并提供优化及节能运行控制算法。可以预设被控设备的运行参数，自动运行，自动修正控制误差，以获得各受控设备的最佳工作状态。</w:t>
      </w:r>
    </w:p>
    <w:p>
      <w:pPr>
        <w:numPr>
          <w:ilvl w:val="0"/>
          <w:numId w:val="17"/>
        </w:numPr>
        <w:spacing w:line="360" w:lineRule="auto"/>
        <w:ind w:firstLine="480" w:firstLineChars="200"/>
        <w:rPr>
          <w:rFonts w:cs="仿宋_GB2312"/>
          <w:sz w:val="24"/>
        </w:rPr>
      </w:pPr>
      <w:r>
        <w:rPr>
          <w:rFonts w:hint="eastAsia" w:cs="仿宋_GB2312"/>
          <w:sz w:val="24"/>
        </w:rPr>
        <w:t xml:space="preserve">系统设计应充分考虑运营管理的便捷性。系统界面应具有热敏地图模式，对设备、全局水系统的监控可以通过颜色进行直观图示，操作维护时可根据颜色变化直观了解整个中央冷源系统温度分布情况。 </w:t>
      </w:r>
    </w:p>
    <w:p>
      <w:pPr>
        <w:numPr>
          <w:ilvl w:val="0"/>
          <w:numId w:val="17"/>
        </w:numPr>
        <w:spacing w:line="360" w:lineRule="auto"/>
        <w:ind w:firstLine="480" w:firstLineChars="200"/>
        <w:rPr>
          <w:rFonts w:cs="仿宋_GB2312"/>
          <w:sz w:val="24"/>
        </w:rPr>
      </w:pPr>
      <w:r>
        <w:rPr>
          <w:rFonts w:hint="eastAsia" w:cs="仿宋_GB2312"/>
          <w:sz w:val="24"/>
        </w:rPr>
        <w:t>系统设计应充分考虑系统内各子系统或设备之间的相互通信，确保数据传输安全、高速且畅通无阻。</w:t>
      </w:r>
    </w:p>
    <w:p>
      <w:pPr>
        <w:spacing w:line="360" w:lineRule="auto"/>
        <w:ind w:firstLine="480" w:firstLineChars="200"/>
        <w:rPr>
          <w:rFonts w:cs="仿宋_GB2312"/>
          <w:sz w:val="24"/>
        </w:rPr>
      </w:pPr>
      <w:r>
        <w:rPr>
          <w:rFonts w:hint="eastAsia" w:cs="仿宋_GB2312"/>
          <w:sz w:val="24"/>
        </w:rPr>
        <w:t>（3）依据的标准及规范</w:t>
      </w:r>
    </w:p>
    <w:p>
      <w:pPr>
        <w:spacing w:line="360" w:lineRule="auto"/>
        <w:ind w:left="420" w:leftChars="200"/>
        <w:rPr>
          <w:rFonts w:cs="仿宋_GB2312"/>
          <w:sz w:val="24"/>
        </w:rPr>
      </w:pPr>
      <w:r>
        <w:rPr>
          <w:rFonts w:hint="eastAsia" w:cs="仿宋_GB2312"/>
          <w:sz w:val="24"/>
        </w:rPr>
        <w:t>《民用建筑电气设计规范》JGJ/T16－92</w:t>
      </w:r>
    </w:p>
    <w:p>
      <w:pPr>
        <w:spacing w:line="360" w:lineRule="auto"/>
        <w:ind w:left="420" w:leftChars="200"/>
        <w:rPr>
          <w:rFonts w:cs="仿宋_GB2312"/>
          <w:sz w:val="24"/>
        </w:rPr>
      </w:pPr>
      <w:r>
        <w:rPr>
          <w:rFonts w:hint="eastAsia" w:cs="仿宋_GB2312"/>
          <w:sz w:val="24"/>
        </w:rPr>
        <w:t>《智能建筑工程质量验收规范》GB50339—2003</w:t>
      </w:r>
    </w:p>
    <w:p>
      <w:pPr>
        <w:spacing w:line="360" w:lineRule="auto"/>
        <w:ind w:left="420" w:leftChars="200"/>
        <w:rPr>
          <w:rFonts w:cs="仿宋_GB2312"/>
          <w:sz w:val="24"/>
        </w:rPr>
      </w:pPr>
      <w:r>
        <w:rPr>
          <w:rFonts w:hint="eastAsia" w:cs="仿宋_GB2312"/>
          <w:sz w:val="24"/>
        </w:rPr>
        <w:t>《智能建筑设计标准》GB/T50314-2006</w:t>
      </w:r>
    </w:p>
    <w:p>
      <w:pPr>
        <w:spacing w:line="360" w:lineRule="auto"/>
        <w:ind w:left="420" w:leftChars="200"/>
        <w:rPr>
          <w:rFonts w:cs="仿宋_GB2312"/>
          <w:sz w:val="24"/>
        </w:rPr>
      </w:pPr>
      <w:r>
        <w:rPr>
          <w:rFonts w:hint="eastAsia" w:cs="仿宋_GB2312"/>
          <w:sz w:val="24"/>
        </w:rPr>
        <w:t>《公共建筑节能设计标准》GB50189-2005</w:t>
      </w:r>
    </w:p>
    <w:p>
      <w:pPr>
        <w:spacing w:line="360" w:lineRule="auto"/>
        <w:ind w:left="420" w:leftChars="200"/>
        <w:rPr>
          <w:rFonts w:cs="仿宋_GB2312"/>
          <w:sz w:val="24"/>
        </w:rPr>
      </w:pPr>
      <w:r>
        <w:rPr>
          <w:rFonts w:hint="eastAsia" w:cs="仿宋_GB2312"/>
          <w:sz w:val="24"/>
        </w:rPr>
        <w:t>《采暖通风与空气调节设计规范》（GB 50019－2003）</w:t>
      </w:r>
    </w:p>
    <w:p>
      <w:pPr>
        <w:spacing w:line="360" w:lineRule="auto"/>
        <w:ind w:left="420" w:leftChars="200"/>
        <w:rPr>
          <w:rFonts w:cs="仿宋_GB2312"/>
          <w:sz w:val="24"/>
        </w:rPr>
      </w:pPr>
      <w:r>
        <w:rPr>
          <w:rFonts w:hint="eastAsia" w:cs="仿宋_GB2312"/>
          <w:sz w:val="24"/>
        </w:rPr>
        <w:t>《建筑电气安装工程施工质量验收规范》（GB 50303－2002）</w:t>
      </w:r>
    </w:p>
    <w:p>
      <w:pPr>
        <w:spacing w:line="360" w:lineRule="auto"/>
        <w:ind w:left="420" w:leftChars="200"/>
        <w:rPr>
          <w:rFonts w:cs="仿宋_GB2312"/>
          <w:sz w:val="24"/>
        </w:rPr>
      </w:pPr>
      <w:r>
        <w:rPr>
          <w:rFonts w:hint="eastAsia" w:cs="仿宋_GB2312"/>
          <w:sz w:val="24"/>
        </w:rPr>
        <w:t xml:space="preserve">《信息技术设备的安全》（GB494S-95） </w:t>
      </w:r>
    </w:p>
    <w:p>
      <w:pPr>
        <w:spacing w:line="360" w:lineRule="auto"/>
        <w:ind w:left="420" w:leftChars="200"/>
        <w:rPr>
          <w:rFonts w:cs="仿宋_GB2312"/>
          <w:sz w:val="24"/>
        </w:rPr>
      </w:pPr>
      <w:r>
        <w:rPr>
          <w:rFonts w:hint="eastAsia" w:cs="仿宋_GB2312"/>
          <w:sz w:val="24"/>
        </w:rPr>
        <w:t>《自动化仪表工程施工及验收规范》（GB 50093－2002）</w:t>
      </w:r>
    </w:p>
    <w:p>
      <w:pPr>
        <w:spacing w:line="360" w:lineRule="auto"/>
        <w:ind w:left="420" w:leftChars="200"/>
        <w:rPr>
          <w:rFonts w:cs="仿宋_GB2312"/>
          <w:sz w:val="24"/>
        </w:rPr>
      </w:pPr>
      <w:r>
        <w:rPr>
          <w:rFonts w:hint="eastAsia" w:cs="仿宋_GB2312"/>
          <w:sz w:val="24"/>
        </w:rPr>
        <w:t>《自动化仪表工程质量检验评定标准》（GB/J 131-96）</w:t>
      </w:r>
    </w:p>
    <w:p>
      <w:pPr>
        <w:spacing w:line="360" w:lineRule="auto"/>
        <w:ind w:left="420" w:leftChars="200"/>
        <w:rPr>
          <w:rFonts w:cs="仿宋_GB2312"/>
          <w:sz w:val="24"/>
        </w:rPr>
      </w:pPr>
      <w:r>
        <w:rPr>
          <w:rFonts w:hint="eastAsia" w:cs="仿宋_GB2312"/>
          <w:sz w:val="24"/>
        </w:rPr>
        <w:t>《电子计算机房设计规范》（GB50174-93）</w:t>
      </w:r>
    </w:p>
    <w:p>
      <w:pPr>
        <w:spacing w:line="360" w:lineRule="auto"/>
        <w:ind w:left="420" w:leftChars="200"/>
        <w:rPr>
          <w:rFonts w:cs="仿宋_GB2312"/>
          <w:sz w:val="24"/>
        </w:rPr>
      </w:pPr>
      <w:r>
        <w:rPr>
          <w:rFonts w:hint="eastAsia" w:cs="仿宋_GB2312"/>
          <w:sz w:val="24"/>
        </w:rPr>
        <w:t>《建筑领域计算机软件工程技术规范》（JGJ/T90-92）</w:t>
      </w:r>
    </w:p>
    <w:p>
      <w:pPr>
        <w:spacing w:line="360" w:lineRule="auto"/>
        <w:ind w:left="420" w:leftChars="200"/>
        <w:rPr>
          <w:rFonts w:cs="仿宋_GB2312"/>
          <w:sz w:val="24"/>
        </w:rPr>
      </w:pPr>
      <w:r>
        <w:rPr>
          <w:rFonts w:hint="eastAsia" w:cs="仿宋_GB2312"/>
          <w:sz w:val="24"/>
        </w:rPr>
        <w:t>《智能建筑弱电工程设计施工图集》（GJBT－471）</w:t>
      </w:r>
    </w:p>
    <w:p>
      <w:pPr>
        <w:spacing w:line="360" w:lineRule="auto"/>
        <w:ind w:left="420" w:leftChars="200"/>
        <w:rPr>
          <w:sz w:val="24"/>
        </w:rPr>
      </w:pPr>
      <w:r>
        <w:rPr>
          <w:rFonts w:hint="eastAsia" w:cs="仿宋_GB2312"/>
          <w:sz w:val="24"/>
        </w:rPr>
        <w:t>《建筑物电子信息系统防雷技术规范》（GB50343－2004）</w:t>
      </w:r>
    </w:p>
    <w:p>
      <w:pPr>
        <w:spacing w:line="360" w:lineRule="auto"/>
        <w:ind w:firstLine="480" w:firstLineChars="200"/>
        <w:rPr>
          <w:rFonts w:cs="仿宋_GB2312"/>
          <w:sz w:val="24"/>
        </w:rPr>
      </w:pPr>
      <w:r>
        <w:rPr>
          <w:rFonts w:hint="eastAsia" w:cs="仿宋_GB2312"/>
          <w:sz w:val="24"/>
        </w:rPr>
        <w:t>以上所列的主要技术标准和规范，如未能达到国际或国内最新版本时，投标方应使系统的设计、施工及选用的设备符合最新颁布的国际、国内标准，并提供采用的国际、国内标准、规范和所应用的最新版本的有关技术依据资料。</w:t>
      </w:r>
    </w:p>
    <w:p>
      <w:pPr>
        <w:spacing w:line="360" w:lineRule="auto"/>
        <w:ind w:firstLine="480" w:firstLineChars="200"/>
        <w:rPr>
          <w:rFonts w:cs="仿宋_GB2312"/>
          <w:sz w:val="24"/>
        </w:rPr>
      </w:pPr>
      <w:r>
        <w:rPr>
          <w:rFonts w:hint="eastAsia" w:cs="仿宋_GB2312"/>
          <w:sz w:val="24"/>
        </w:rPr>
        <w:t>（4）投标技术文件要求</w:t>
      </w:r>
    </w:p>
    <w:p>
      <w:pPr>
        <w:numPr>
          <w:ilvl w:val="0"/>
          <w:numId w:val="18"/>
        </w:numPr>
        <w:spacing w:line="360" w:lineRule="auto"/>
        <w:ind w:firstLine="480" w:firstLineChars="200"/>
        <w:rPr>
          <w:rFonts w:cs="仿宋_GB2312"/>
          <w:sz w:val="24"/>
        </w:rPr>
      </w:pPr>
      <w:r>
        <w:rPr>
          <w:rFonts w:hint="eastAsia" w:cs="仿宋_GB2312"/>
          <w:sz w:val="24"/>
        </w:rPr>
        <w:t>系统设计及设备配置方案（包括设计说明、系统图、网络结构图、逻辑图、监控原理图、监控点数表、设备配置、线缆型号规格等）。</w:t>
      </w:r>
    </w:p>
    <w:p>
      <w:pPr>
        <w:numPr>
          <w:ilvl w:val="0"/>
          <w:numId w:val="18"/>
        </w:numPr>
        <w:spacing w:line="360" w:lineRule="auto"/>
        <w:ind w:firstLine="480" w:firstLineChars="200"/>
        <w:rPr>
          <w:rFonts w:cs="仿宋_GB2312"/>
          <w:sz w:val="24"/>
        </w:rPr>
      </w:pPr>
      <w:r>
        <w:rPr>
          <w:rFonts w:hint="eastAsia" w:cs="仿宋_GB2312"/>
          <w:sz w:val="24"/>
        </w:rPr>
        <w:t>系统详细的技术性能描述，说明系统的整体性能、网络与设备的技术性能，系统配置及其容量，以及最终实现的功能等。</w:t>
      </w:r>
    </w:p>
    <w:p>
      <w:pPr>
        <w:numPr>
          <w:ilvl w:val="0"/>
          <w:numId w:val="18"/>
        </w:numPr>
        <w:spacing w:line="360" w:lineRule="auto"/>
        <w:ind w:firstLine="480" w:firstLineChars="200"/>
        <w:rPr>
          <w:rFonts w:cs="仿宋_GB2312"/>
          <w:sz w:val="24"/>
        </w:rPr>
      </w:pPr>
      <w:r>
        <w:rPr>
          <w:rFonts w:hint="eastAsia" w:cs="仿宋_GB2312"/>
          <w:sz w:val="24"/>
        </w:rPr>
        <w:t>硬件设备的技术参数，软件的功能、操作界面说明文件。</w:t>
      </w:r>
    </w:p>
    <w:p>
      <w:pPr>
        <w:numPr>
          <w:ilvl w:val="0"/>
          <w:numId w:val="18"/>
        </w:numPr>
        <w:spacing w:line="360" w:lineRule="auto"/>
        <w:ind w:firstLine="480" w:firstLineChars="200"/>
        <w:rPr>
          <w:rFonts w:cs="仿宋_GB2312"/>
          <w:sz w:val="24"/>
        </w:rPr>
      </w:pPr>
      <w:r>
        <w:rPr>
          <w:rFonts w:hint="eastAsia" w:cs="仿宋_GB2312"/>
          <w:sz w:val="24"/>
        </w:rPr>
        <w:t>工程签约后及竣工后的工作和服务承诺。</w:t>
      </w:r>
    </w:p>
    <w:p>
      <w:pPr>
        <w:numPr>
          <w:ilvl w:val="0"/>
          <w:numId w:val="18"/>
        </w:numPr>
        <w:spacing w:line="360" w:lineRule="auto"/>
        <w:ind w:firstLine="480" w:firstLineChars="200"/>
        <w:rPr>
          <w:rFonts w:cs="仿宋_GB2312"/>
          <w:sz w:val="24"/>
        </w:rPr>
      </w:pPr>
      <w:r>
        <w:rPr>
          <w:rFonts w:hint="eastAsia" w:cs="仿宋_GB2312"/>
          <w:sz w:val="24"/>
        </w:rPr>
        <w:t>培训计划、技术支持方案。</w:t>
      </w:r>
    </w:p>
    <w:p>
      <w:pPr>
        <w:numPr>
          <w:ilvl w:val="0"/>
          <w:numId w:val="18"/>
        </w:numPr>
        <w:spacing w:line="360" w:lineRule="auto"/>
        <w:ind w:firstLine="480" w:firstLineChars="200"/>
        <w:rPr>
          <w:rFonts w:cs="仿宋_GB2312"/>
          <w:sz w:val="24"/>
        </w:rPr>
      </w:pPr>
      <w:r>
        <w:rPr>
          <w:rFonts w:hint="eastAsia" w:cs="仿宋_GB2312"/>
          <w:sz w:val="24"/>
        </w:rPr>
        <w:t>投标方所提交的图纸及文件应是清晰、完整的，并采用统一的图符和说明，应有编号和盖有投标方印章。所有图纸必须统一用AutoCAD制作，并符合制图规范。</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2.3.2系统总体技术要求</w:t>
      </w:r>
    </w:p>
    <w:p>
      <w:pPr>
        <w:numPr>
          <w:ilvl w:val="0"/>
          <w:numId w:val="19"/>
        </w:numPr>
        <w:spacing w:line="360" w:lineRule="auto"/>
        <w:ind w:left="425" w:firstLine="480" w:firstLineChars="200"/>
        <w:rPr>
          <w:rFonts w:cs="仿宋_GB2312"/>
          <w:sz w:val="24"/>
        </w:rPr>
      </w:pPr>
      <w:r>
        <w:rPr>
          <w:rFonts w:hint="eastAsia" w:cs="仿宋_GB2312"/>
          <w:sz w:val="24"/>
        </w:rPr>
        <w:t>技术文件要求</w:t>
      </w:r>
    </w:p>
    <w:p>
      <w:pPr>
        <w:spacing w:line="360" w:lineRule="auto"/>
        <w:ind w:left="420" w:leftChars="200"/>
        <w:rPr>
          <w:rFonts w:cs="仿宋_GB2312"/>
          <w:sz w:val="24"/>
        </w:rPr>
      </w:pPr>
      <w:r>
        <w:rPr>
          <w:rFonts w:hint="eastAsia" w:cs="仿宋_GB2312"/>
          <w:sz w:val="24"/>
        </w:rPr>
        <w:t>①深化设计要求。</w:t>
      </w:r>
    </w:p>
    <w:p>
      <w:pPr>
        <w:spacing w:line="360" w:lineRule="auto"/>
        <w:ind w:left="420" w:leftChars="200"/>
        <w:rPr>
          <w:rFonts w:cs="仿宋_GB2312"/>
          <w:sz w:val="24"/>
        </w:rPr>
      </w:pPr>
      <w:r>
        <w:rPr>
          <w:rFonts w:hint="eastAsia" w:cs="仿宋_GB2312"/>
          <w:sz w:val="24"/>
        </w:rPr>
        <w:t>中标方在接到中标通知书后</w:t>
      </w:r>
      <w:r>
        <w:rPr>
          <w:rFonts w:hint="eastAsia" w:cs="仿宋_GB2312"/>
          <w:sz w:val="24"/>
          <w:u w:val="single"/>
        </w:rPr>
        <w:t xml:space="preserve"> 30 </w:t>
      </w:r>
      <w:r>
        <w:rPr>
          <w:rFonts w:hint="eastAsia" w:cs="仿宋_GB2312"/>
          <w:sz w:val="24"/>
        </w:rPr>
        <w:t>天内，负责提供下列深化设计文件：</w:t>
      </w:r>
    </w:p>
    <w:p>
      <w:pPr>
        <w:spacing w:line="360" w:lineRule="auto"/>
        <w:ind w:left="420" w:leftChars="200"/>
        <w:rPr>
          <w:rFonts w:cs="仿宋_GB2312"/>
          <w:sz w:val="24"/>
        </w:rPr>
      </w:pPr>
      <w:r>
        <w:rPr>
          <w:rFonts w:hint="eastAsia" w:cs="仿宋_GB2312"/>
          <w:sz w:val="24"/>
        </w:rPr>
        <w:t>1）设计说明（包括系统功能说明及性能指标、监控点数表、系统设备配置清单、监控原理说明等）。</w:t>
      </w:r>
    </w:p>
    <w:p>
      <w:pPr>
        <w:spacing w:line="360" w:lineRule="auto"/>
        <w:ind w:left="420" w:leftChars="200"/>
        <w:rPr>
          <w:rFonts w:cs="仿宋_GB2312"/>
          <w:sz w:val="24"/>
        </w:rPr>
      </w:pPr>
      <w:r>
        <w:rPr>
          <w:rFonts w:hint="eastAsia" w:cs="仿宋_GB2312"/>
          <w:sz w:val="24"/>
        </w:rPr>
        <w:t>2）系统图（包括系统结构图）。</w:t>
      </w:r>
    </w:p>
    <w:p>
      <w:pPr>
        <w:spacing w:line="360" w:lineRule="auto"/>
        <w:ind w:left="420" w:leftChars="200"/>
        <w:rPr>
          <w:rFonts w:cs="仿宋_GB2312"/>
          <w:sz w:val="24"/>
        </w:rPr>
      </w:pPr>
      <w:r>
        <w:rPr>
          <w:rFonts w:hint="eastAsia" w:cs="仿宋_GB2312"/>
          <w:sz w:val="24"/>
        </w:rPr>
        <w:t>3）平面图（包括控制中心、设备机房、末端设备安装及配线平面示意图）。</w:t>
      </w:r>
    </w:p>
    <w:p>
      <w:pPr>
        <w:spacing w:line="360" w:lineRule="auto"/>
        <w:ind w:left="420" w:leftChars="200"/>
        <w:rPr>
          <w:rFonts w:cs="仿宋_GB2312"/>
          <w:sz w:val="24"/>
        </w:rPr>
      </w:pPr>
      <w:r>
        <w:rPr>
          <w:rFonts w:hint="eastAsia" w:cs="仿宋_GB2312"/>
          <w:sz w:val="24"/>
        </w:rPr>
        <w:t>4）各系统或设备的监控原理图及电气端子接线图。</w:t>
      </w:r>
    </w:p>
    <w:p>
      <w:pPr>
        <w:spacing w:line="360" w:lineRule="auto"/>
        <w:ind w:left="420" w:leftChars="200"/>
        <w:rPr>
          <w:rFonts w:cs="仿宋_GB2312"/>
          <w:sz w:val="24"/>
        </w:rPr>
      </w:pPr>
      <w:r>
        <w:rPr>
          <w:rFonts w:hint="eastAsia" w:cs="仿宋_GB2312"/>
          <w:sz w:val="24"/>
        </w:rPr>
        <w:t>5）系统设备配置、器材、线缆（包括设备编号）清单。</w:t>
      </w:r>
    </w:p>
    <w:p>
      <w:pPr>
        <w:spacing w:line="360" w:lineRule="auto"/>
        <w:ind w:left="420" w:leftChars="200"/>
        <w:rPr>
          <w:rFonts w:cs="仿宋_GB2312"/>
          <w:sz w:val="24"/>
        </w:rPr>
      </w:pPr>
      <w:r>
        <w:rPr>
          <w:rFonts w:hint="eastAsia" w:cs="仿宋_GB2312"/>
          <w:sz w:val="24"/>
        </w:rPr>
        <w:t>6）系统安装、施工的土建条件和环境要求。</w:t>
      </w:r>
    </w:p>
    <w:p>
      <w:pPr>
        <w:spacing w:line="360" w:lineRule="auto"/>
        <w:ind w:left="420" w:leftChars="200"/>
        <w:rPr>
          <w:rFonts w:cs="仿宋_GB2312"/>
          <w:b/>
          <w:bCs/>
          <w:sz w:val="24"/>
        </w:rPr>
      </w:pPr>
      <w:r>
        <w:rPr>
          <w:rFonts w:hint="eastAsia" w:cs="仿宋_GB2312"/>
          <w:b/>
          <w:bCs/>
          <w:sz w:val="24"/>
        </w:rPr>
        <w:t>注：以上设计文件需经招标方认可后方可实施。</w:t>
      </w:r>
    </w:p>
    <w:p>
      <w:pPr>
        <w:spacing w:line="360" w:lineRule="auto"/>
        <w:ind w:left="420" w:leftChars="200"/>
        <w:rPr>
          <w:rFonts w:cs="仿宋_GB2312"/>
          <w:sz w:val="24"/>
        </w:rPr>
      </w:pPr>
      <w:r>
        <w:rPr>
          <w:rFonts w:hint="eastAsia" w:cs="仿宋_GB2312"/>
          <w:sz w:val="24"/>
        </w:rPr>
        <w:t>②竣工验收图纸文件内容。</w:t>
      </w:r>
    </w:p>
    <w:p>
      <w:pPr>
        <w:spacing w:line="360" w:lineRule="auto"/>
        <w:ind w:left="420" w:leftChars="200"/>
        <w:rPr>
          <w:rFonts w:cs="仿宋_GB2312"/>
          <w:sz w:val="24"/>
        </w:rPr>
      </w:pPr>
      <w:r>
        <w:rPr>
          <w:rFonts w:hint="eastAsia" w:cs="仿宋_GB2312"/>
          <w:sz w:val="24"/>
        </w:rPr>
        <w:t>中标方在工程竣工验收前</w:t>
      </w:r>
      <w:r>
        <w:rPr>
          <w:rFonts w:hint="eastAsia" w:cs="仿宋_GB2312"/>
          <w:sz w:val="24"/>
          <w:u w:val="single"/>
        </w:rPr>
        <w:t xml:space="preserve"> 30 </w:t>
      </w:r>
      <w:r>
        <w:rPr>
          <w:rFonts w:hint="eastAsia" w:cs="仿宋_GB2312"/>
          <w:sz w:val="24"/>
        </w:rPr>
        <w:t>天内，负责提供下列竣工设计文件：</w:t>
      </w:r>
    </w:p>
    <w:p>
      <w:pPr>
        <w:spacing w:line="360" w:lineRule="auto"/>
        <w:ind w:left="420" w:leftChars="200"/>
        <w:rPr>
          <w:rFonts w:cs="仿宋_GB2312"/>
          <w:sz w:val="24"/>
        </w:rPr>
      </w:pPr>
      <w:r>
        <w:rPr>
          <w:rFonts w:hint="eastAsia" w:cs="仿宋_GB2312"/>
          <w:sz w:val="24"/>
        </w:rPr>
        <w:t>1）根据工程实施的实际情况，包括工程变更、配置调整等，提供经修改与工程实际相吻合的竣工图纸文件。</w:t>
      </w:r>
    </w:p>
    <w:p>
      <w:pPr>
        <w:spacing w:line="360" w:lineRule="auto"/>
        <w:ind w:left="420" w:leftChars="200"/>
        <w:rPr>
          <w:rFonts w:cs="仿宋_GB2312"/>
          <w:sz w:val="24"/>
        </w:rPr>
      </w:pPr>
      <w:r>
        <w:rPr>
          <w:rFonts w:hint="eastAsia" w:cs="仿宋_GB2312"/>
          <w:sz w:val="24"/>
        </w:rPr>
        <w:t>2）系统测试报告（包括测试方法、程序、项目、仪器、测试数据等）。</w:t>
      </w:r>
    </w:p>
    <w:p>
      <w:pPr>
        <w:spacing w:line="360" w:lineRule="auto"/>
        <w:ind w:left="420" w:leftChars="200"/>
        <w:rPr>
          <w:rFonts w:cs="仿宋_GB2312"/>
          <w:sz w:val="24"/>
        </w:rPr>
      </w:pPr>
      <w:r>
        <w:rPr>
          <w:rFonts w:hint="eastAsia" w:cs="仿宋_GB2312"/>
          <w:sz w:val="24"/>
        </w:rPr>
        <w:t>3）施工质量验收记录。</w:t>
      </w:r>
    </w:p>
    <w:p>
      <w:pPr>
        <w:spacing w:line="360" w:lineRule="auto"/>
        <w:ind w:left="420" w:leftChars="200"/>
        <w:rPr>
          <w:rFonts w:cs="仿宋_GB2312"/>
          <w:sz w:val="24"/>
        </w:rPr>
      </w:pPr>
      <w:r>
        <w:rPr>
          <w:rFonts w:hint="eastAsia" w:cs="仿宋_GB2312"/>
          <w:sz w:val="24"/>
        </w:rPr>
        <w:t>4）工程变更记录。</w:t>
      </w:r>
    </w:p>
    <w:p>
      <w:pPr>
        <w:spacing w:line="360" w:lineRule="auto"/>
        <w:ind w:left="420" w:leftChars="200"/>
        <w:rPr>
          <w:rFonts w:cs="仿宋_GB2312"/>
          <w:sz w:val="24"/>
        </w:rPr>
      </w:pPr>
      <w:r>
        <w:rPr>
          <w:rFonts w:hint="eastAsia" w:cs="仿宋_GB2312"/>
          <w:sz w:val="24"/>
        </w:rPr>
        <w:t>5）系统试运行记录。</w:t>
      </w:r>
    </w:p>
    <w:p>
      <w:pPr>
        <w:spacing w:line="360" w:lineRule="auto"/>
        <w:ind w:left="420" w:leftChars="200"/>
        <w:rPr>
          <w:rFonts w:cs="仿宋_GB2312"/>
          <w:sz w:val="24"/>
        </w:rPr>
      </w:pPr>
      <w:r>
        <w:rPr>
          <w:rFonts w:hint="eastAsia" w:cs="仿宋_GB2312"/>
          <w:sz w:val="24"/>
        </w:rPr>
        <w:t>6）使用和维修手册，包括以下内容：</w:t>
      </w:r>
    </w:p>
    <w:p>
      <w:pPr>
        <w:spacing w:line="360" w:lineRule="auto"/>
        <w:ind w:left="420" w:leftChars="200" w:firstLine="480" w:firstLineChars="200"/>
        <w:rPr>
          <w:rFonts w:cs="仿宋_GB2312"/>
          <w:sz w:val="24"/>
        </w:rPr>
      </w:pPr>
      <w:r>
        <w:rPr>
          <w:rFonts w:hint="eastAsia" w:cs="仿宋_GB2312"/>
          <w:sz w:val="24"/>
        </w:rPr>
        <w:t>A）手册总则应包括手册的目的、目录的简要说明。</w:t>
      </w:r>
    </w:p>
    <w:p>
      <w:pPr>
        <w:spacing w:line="360" w:lineRule="auto"/>
        <w:ind w:left="420" w:leftChars="200" w:firstLine="480" w:firstLineChars="200"/>
        <w:rPr>
          <w:rFonts w:cs="仿宋_GB2312"/>
          <w:sz w:val="24"/>
        </w:rPr>
      </w:pPr>
      <w:r>
        <w:rPr>
          <w:rFonts w:hint="eastAsia" w:cs="仿宋_GB2312"/>
          <w:sz w:val="24"/>
        </w:rPr>
        <w:t>B）系统性能和使用说明书（包括集成系统及每个子系统和设备应分别说明，详尽介绍此系统或设备的构成、功能及工作原理，以及调节、调校和使用方法）。</w:t>
      </w:r>
    </w:p>
    <w:p>
      <w:pPr>
        <w:spacing w:line="360" w:lineRule="auto"/>
        <w:ind w:left="420" w:leftChars="200" w:firstLine="480" w:firstLineChars="200"/>
        <w:rPr>
          <w:rFonts w:cs="仿宋_GB2312"/>
          <w:sz w:val="24"/>
        </w:rPr>
      </w:pPr>
      <w:r>
        <w:rPr>
          <w:rFonts w:hint="eastAsia" w:cs="仿宋_GB2312"/>
          <w:sz w:val="24"/>
        </w:rPr>
        <w:t>C）硬件用户手册（包括安装导则、配置方法、启动和设置步骤、功能定义和系统构架方法等）。</w:t>
      </w:r>
    </w:p>
    <w:p>
      <w:pPr>
        <w:spacing w:line="360" w:lineRule="auto"/>
        <w:ind w:left="420" w:leftChars="200" w:firstLine="480" w:firstLineChars="200"/>
        <w:rPr>
          <w:sz w:val="24"/>
        </w:rPr>
      </w:pPr>
      <w:r>
        <w:rPr>
          <w:rFonts w:hint="eastAsia" w:cs="仿宋_GB2312"/>
          <w:sz w:val="24"/>
        </w:rPr>
        <w:t>D）软件操作、系统故障检测、维修保养、安全注意手册。</w:t>
      </w:r>
    </w:p>
    <w:p>
      <w:pPr>
        <w:numPr>
          <w:ilvl w:val="0"/>
          <w:numId w:val="19"/>
        </w:numPr>
        <w:spacing w:line="360" w:lineRule="auto"/>
        <w:ind w:left="425" w:firstLine="480" w:firstLineChars="200"/>
        <w:rPr>
          <w:rFonts w:cs="仿宋_GB2312"/>
          <w:sz w:val="24"/>
        </w:rPr>
      </w:pPr>
      <w:r>
        <w:rPr>
          <w:rFonts w:hint="eastAsia" w:cs="仿宋_GB2312"/>
          <w:sz w:val="24"/>
        </w:rPr>
        <w:t>系统工程范围</w:t>
      </w:r>
    </w:p>
    <w:p>
      <w:pPr>
        <w:spacing w:line="360" w:lineRule="auto"/>
        <w:ind w:firstLine="480" w:firstLineChars="200"/>
        <w:rPr>
          <w:rFonts w:cs="仿宋_GB2312"/>
          <w:sz w:val="24"/>
        </w:rPr>
      </w:pPr>
      <w:r>
        <w:rPr>
          <w:rFonts w:hint="eastAsia" w:cs="仿宋_GB2312"/>
          <w:sz w:val="24"/>
        </w:rPr>
        <w:t>中央冷源自动监控系统（CPM）内所涉及到的布线人工及线缆线材，配管等均由CPM系统厂商负责。具体划分如下：水泵、冷却塔等自身有启动柜的设备，CPM系统厂商负责从启动柜到群控系统的布线及线材。中标方提供控制系统电动阀门，并负责电动阀门在水管上的安装。CPM系统所用到的相关传感器，如温度传感器、压力传感器、流量计等由群控厂商提供并负责安装调试，如涉及到传感器在各管路上开洞、焊接等工作则由中标方完成，CPM系统厂商负责现场传感器定位指导。CPM系统厂商应对所供的DDC控制箱提电源与接地要求。中标方负责提供电源及接地点到DDC控制箱线缆的安装敷设。</w:t>
      </w:r>
    </w:p>
    <w:p>
      <w:pPr>
        <w:spacing w:line="360" w:lineRule="auto"/>
        <w:ind w:firstLine="480" w:firstLineChars="200"/>
        <w:rPr>
          <w:sz w:val="24"/>
        </w:rPr>
      </w:pPr>
      <w:r>
        <w:rPr>
          <w:rFonts w:hint="eastAsia" w:cs="仿宋_GB2312"/>
          <w:sz w:val="24"/>
        </w:rPr>
        <w:t>对于需要其它相关单位配合的内容必须在投标文件内详细说明。</w:t>
      </w:r>
    </w:p>
    <w:p>
      <w:pPr>
        <w:numPr>
          <w:ilvl w:val="0"/>
          <w:numId w:val="19"/>
        </w:numPr>
        <w:spacing w:line="360" w:lineRule="auto"/>
        <w:ind w:left="425" w:firstLine="480" w:firstLineChars="200"/>
        <w:rPr>
          <w:rFonts w:cs="仿宋_GB2312"/>
          <w:sz w:val="24"/>
        </w:rPr>
      </w:pPr>
      <w:r>
        <w:rPr>
          <w:rFonts w:hint="eastAsia" w:cs="仿宋_GB2312"/>
          <w:sz w:val="24"/>
        </w:rPr>
        <w:t>技术规格</w:t>
      </w:r>
    </w:p>
    <w:p>
      <w:pPr>
        <w:spacing w:line="360" w:lineRule="auto"/>
        <w:ind w:firstLine="480" w:firstLineChars="200"/>
        <w:rPr>
          <w:rFonts w:cs="仿宋_GB2312"/>
          <w:sz w:val="24"/>
        </w:rPr>
      </w:pPr>
      <w:r>
        <w:rPr>
          <w:rFonts w:hint="eastAsia" w:cs="仿宋_GB2312"/>
          <w:sz w:val="24"/>
        </w:rPr>
        <w:t>① 硬件规格：</w:t>
      </w:r>
    </w:p>
    <w:p>
      <w:pPr>
        <w:spacing w:line="360" w:lineRule="auto"/>
        <w:ind w:firstLine="480" w:firstLineChars="200"/>
        <w:rPr>
          <w:rFonts w:cs="仿宋_GB2312"/>
          <w:sz w:val="24"/>
        </w:rPr>
      </w:pPr>
      <w:r>
        <w:rPr>
          <w:rFonts w:hint="eastAsia" w:cs="仿宋_GB2312"/>
          <w:sz w:val="24"/>
        </w:rPr>
        <w:t>1）系统须具有具备开放性：全系列DDC控制器均应采用国际标准BACnet通讯协议，通过BACnet实验室的测试获得BTL证书，应为真正的原生BACnet开放型系统；</w:t>
      </w:r>
    </w:p>
    <w:p>
      <w:pPr>
        <w:spacing w:line="360" w:lineRule="auto"/>
        <w:ind w:firstLine="480" w:firstLineChars="200"/>
        <w:rPr>
          <w:rFonts w:cs="仿宋_GB2312"/>
          <w:sz w:val="24"/>
        </w:rPr>
      </w:pPr>
      <w:r>
        <w:rPr>
          <w:rFonts w:hint="eastAsia" w:cs="仿宋_GB2312"/>
          <w:sz w:val="24"/>
        </w:rPr>
        <w:t>2）微处理器(CPU)：采用16位及32位CPU，工作频率10MHZ及以上。所有控制器均为双CPU配置：主处理器用于数据处理，协处理器用于通讯管理；</w:t>
      </w:r>
    </w:p>
    <w:p>
      <w:pPr>
        <w:spacing w:line="360" w:lineRule="auto"/>
        <w:ind w:firstLine="480" w:firstLineChars="200"/>
        <w:rPr>
          <w:rFonts w:cs="仿宋_GB2312"/>
          <w:sz w:val="24"/>
        </w:rPr>
      </w:pPr>
      <w:r>
        <w:rPr>
          <w:rFonts w:hint="eastAsia" w:cs="仿宋_GB2312"/>
          <w:sz w:val="24"/>
        </w:rPr>
        <w:t>3）通讯接口：管理层网络要求采用TCP/IP方式以10/100Mbps速率高速通讯；控制层接口采用RS-232或RS-485/RS-422通讯接口，控制层DDC与DDC之间的通讯速率不低于156Kbps，传输距离不小于1200m；</w:t>
      </w:r>
    </w:p>
    <w:p>
      <w:pPr>
        <w:spacing w:line="360" w:lineRule="auto"/>
        <w:ind w:firstLine="480" w:firstLineChars="200"/>
        <w:rPr>
          <w:rFonts w:cs="仿宋_GB2312"/>
          <w:sz w:val="24"/>
        </w:rPr>
      </w:pPr>
      <w:r>
        <w:rPr>
          <w:rFonts w:hint="eastAsia" w:cs="仿宋_GB2312"/>
          <w:sz w:val="24"/>
        </w:rPr>
        <w:t>4）DDC为智能型设备，应具有直接数字控制功能、程序逻辑控制功能与联网协同工作的功能。在完成初始化、控制程序下载后，具有独立的工作能力，可脱离中央操作站以及网络控制器独立执行控制任务；</w:t>
      </w:r>
    </w:p>
    <w:p>
      <w:pPr>
        <w:spacing w:line="360" w:lineRule="auto"/>
        <w:ind w:firstLine="480" w:firstLineChars="200"/>
        <w:rPr>
          <w:rFonts w:cs="仿宋_GB2312"/>
          <w:sz w:val="24"/>
        </w:rPr>
      </w:pPr>
      <w:r>
        <w:rPr>
          <w:rFonts w:hint="eastAsia" w:cs="仿宋_GB2312"/>
          <w:sz w:val="24"/>
        </w:rPr>
        <w:t>5）DDC应具有下述基本软件功能：比例、比例+积分、比例+积分+微分、开/关、时间加权、顺序、算术、逻辑比较、计数器等，对于复杂控制要求的应用场所，还应提供高级控制算法；</w:t>
      </w:r>
    </w:p>
    <w:p>
      <w:pPr>
        <w:spacing w:line="360" w:lineRule="auto"/>
        <w:ind w:firstLine="480" w:firstLineChars="200"/>
        <w:rPr>
          <w:rFonts w:cs="仿宋_GB2312"/>
          <w:sz w:val="24"/>
        </w:rPr>
      </w:pPr>
      <w:r>
        <w:rPr>
          <w:rFonts w:hint="eastAsia" w:cs="仿宋_GB2312"/>
          <w:sz w:val="24"/>
        </w:rPr>
        <w:t>6）DDC应采用模块化结构，其输入/输出点应能灵活配置，满足不同的控制需要；</w:t>
      </w:r>
    </w:p>
    <w:p>
      <w:pPr>
        <w:spacing w:line="360" w:lineRule="auto"/>
        <w:ind w:firstLine="480" w:firstLineChars="200"/>
        <w:rPr>
          <w:rFonts w:cs="仿宋_GB2312"/>
          <w:sz w:val="24"/>
        </w:rPr>
      </w:pPr>
      <w:r>
        <w:rPr>
          <w:rFonts w:hint="eastAsia" w:cs="仿宋_GB2312"/>
          <w:sz w:val="24"/>
        </w:rPr>
        <w:t>7）当DDC本身故障时，能自动旁路脱离网络，并在主控/分控计算机上及时报警并显示，不至影响整个网络的正常工作，故障排除后能自动投入运行；</w:t>
      </w:r>
    </w:p>
    <w:p>
      <w:pPr>
        <w:spacing w:line="360" w:lineRule="auto"/>
        <w:ind w:firstLine="480" w:firstLineChars="200"/>
        <w:rPr>
          <w:rFonts w:cs="仿宋_GB2312"/>
          <w:sz w:val="24"/>
        </w:rPr>
      </w:pPr>
      <w:r>
        <w:rPr>
          <w:rFonts w:hint="eastAsia" w:cs="仿宋_GB2312"/>
          <w:sz w:val="24"/>
        </w:rPr>
        <w:t>8）DDC除能与主控计算机进行通讯外，还可以根据需要通过总线与其它DDC进行点对点的通信，不需通过上一级处理器；</w:t>
      </w:r>
    </w:p>
    <w:p>
      <w:pPr>
        <w:spacing w:line="360" w:lineRule="auto"/>
        <w:ind w:firstLine="480" w:firstLineChars="200"/>
        <w:rPr>
          <w:rFonts w:cs="仿宋_GB2312"/>
          <w:sz w:val="24"/>
        </w:rPr>
      </w:pPr>
      <w:r>
        <w:rPr>
          <w:rFonts w:hint="eastAsia" w:cs="仿宋_GB2312"/>
          <w:sz w:val="24"/>
        </w:rPr>
        <w:t>9）DDC自身应具有掉电、通讯中断、误操作等保护功能；</w:t>
      </w:r>
    </w:p>
    <w:p>
      <w:pPr>
        <w:spacing w:line="360" w:lineRule="auto"/>
        <w:ind w:firstLine="480" w:firstLineChars="200"/>
        <w:rPr>
          <w:rFonts w:cs="仿宋_GB2312"/>
          <w:sz w:val="24"/>
        </w:rPr>
      </w:pPr>
      <w:r>
        <w:rPr>
          <w:rFonts w:hint="eastAsia" w:cs="仿宋_GB2312"/>
          <w:sz w:val="24"/>
        </w:rPr>
        <w:t>10）CPM系统应具有强大的历史趋势数据功能。系统内每个DDC控制器均应具备趋势数据收集和分析功能，可对系统内所有设备参数进行趋势数据分析，既便于系统管理，更可为整个系统的综合节能提供有力的数据支撑。</w:t>
      </w:r>
    </w:p>
    <w:p>
      <w:pPr>
        <w:spacing w:line="360" w:lineRule="auto"/>
        <w:ind w:firstLine="480" w:firstLineChars="200"/>
        <w:rPr>
          <w:rFonts w:cs="仿宋_GB2312"/>
          <w:sz w:val="24"/>
        </w:rPr>
      </w:pPr>
      <w:r>
        <w:rPr>
          <w:rFonts w:hint="eastAsia" w:cs="仿宋_GB2312"/>
          <w:sz w:val="24"/>
        </w:rPr>
        <w:t>② 软件规格</w:t>
      </w:r>
    </w:p>
    <w:p>
      <w:pPr>
        <w:spacing w:line="360" w:lineRule="auto"/>
        <w:ind w:firstLine="480" w:firstLineChars="200"/>
        <w:rPr>
          <w:rFonts w:cs="仿宋_GB2312"/>
          <w:sz w:val="24"/>
        </w:rPr>
      </w:pPr>
      <w:r>
        <w:rPr>
          <w:rFonts w:hint="eastAsia" w:cs="仿宋_GB2312"/>
          <w:sz w:val="24"/>
        </w:rPr>
        <w:t>1）系统管理层软件应充分采用互联网技术，任何支持Web标准（Internet Explore 6.x ）的装置都可以成为一个全功能的操作者界面，即在任何一台装有IE6.0（或以上）的在线电脑都可以操作。</w:t>
      </w:r>
    </w:p>
    <w:p>
      <w:pPr>
        <w:spacing w:line="360" w:lineRule="auto"/>
        <w:ind w:firstLine="480" w:firstLineChars="200"/>
        <w:rPr>
          <w:rFonts w:cs="仿宋_GB2312"/>
          <w:sz w:val="24"/>
        </w:rPr>
      </w:pPr>
      <w:r>
        <w:rPr>
          <w:rFonts w:hint="eastAsia" w:cs="仿宋_GB2312"/>
          <w:sz w:val="24"/>
        </w:rPr>
        <w:t>2）系统支持多通讯协议，如BACnet、LonWorks, MODBUS、SNMPT及私有通讯协议，有利于系统集成；</w:t>
      </w:r>
    </w:p>
    <w:p>
      <w:pPr>
        <w:spacing w:line="360" w:lineRule="auto"/>
        <w:ind w:firstLine="480" w:firstLineChars="200"/>
        <w:rPr>
          <w:rFonts w:cs="仿宋_GB2312"/>
          <w:sz w:val="24"/>
        </w:rPr>
      </w:pPr>
      <w:r>
        <w:rPr>
          <w:rFonts w:hint="eastAsia" w:cs="仿宋_GB2312"/>
          <w:sz w:val="24"/>
        </w:rPr>
        <w:t>3）系统软件应基于JAVA语言设计而成，可支持多种操作系统软件（Windows和Linux）及数据库格式（SQL Server/MySQL/Oracle等），而不仅仅局限于微软操作系统；</w:t>
      </w:r>
    </w:p>
    <w:p>
      <w:pPr>
        <w:spacing w:line="360" w:lineRule="auto"/>
        <w:ind w:firstLine="480" w:firstLineChars="200"/>
        <w:rPr>
          <w:rFonts w:cs="仿宋_GB2312"/>
          <w:sz w:val="24"/>
        </w:rPr>
      </w:pPr>
      <w:r>
        <w:rPr>
          <w:rFonts w:hint="eastAsia" w:cs="仿宋_GB2312"/>
          <w:sz w:val="24"/>
        </w:rPr>
        <w:t>4）系统软件不能受监控点数的限制，即当系统扩容时，无需重购或升级软件；</w:t>
      </w:r>
    </w:p>
    <w:p>
      <w:pPr>
        <w:spacing w:line="360" w:lineRule="auto"/>
        <w:ind w:firstLine="480" w:firstLineChars="200"/>
        <w:rPr>
          <w:rFonts w:cs="仿宋_GB2312"/>
          <w:sz w:val="24"/>
        </w:rPr>
      </w:pPr>
      <w:r>
        <w:rPr>
          <w:rFonts w:hint="eastAsia" w:cs="仿宋_GB2312"/>
          <w:sz w:val="24"/>
        </w:rPr>
        <w:t>5）具有系统级的备份与恢复机制，可保障在系统崩溃或系统维修后能迅速重建整个软件系统；</w:t>
      </w:r>
    </w:p>
    <w:p>
      <w:pPr>
        <w:spacing w:line="360" w:lineRule="auto"/>
        <w:ind w:firstLine="480" w:firstLineChars="200"/>
        <w:rPr>
          <w:rFonts w:cs="仿宋_GB2312"/>
          <w:sz w:val="24"/>
        </w:rPr>
      </w:pPr>
      <w:r>
        <w:rPr>
          <w:rFonts w:hint="eastAsia" w:cs="仿宋_GB2312"/>
          <w:sz w:val="24"/>
        </w:rPr>
        <w:t>6）软件可按不同的监控设备（系统）及建筑分区分别组成相应的操作界面；</w:t>
      </w:r>
    </w:p>
    <w:p>
      <w:pPr>
        <w:spacing w:line="360" w:lineRule="auto"/>
        <w:ind w:firstLine="480" w:firstLineChars="200"/>
        <w:rPr>
          <w:rFonts w:cs="仿宋_GB2312"/>
          <w:sz w:val="24"/>
        </w:rPr>
      </w:pPr>
      <w:r>
        <w:rPr>
          <w:rFonts w:hint="eastAsia" w:cs="仿宋_GB2312"/>
          <w:sz w:val="24"/>
        </w:rPr>
        <w:t>7）软件符合友好、汉化、多视窗、图形化要求，图形切换流程清楚易懂，便于操作；</w:t>
      </w:r>
    </w:p>
    <w:p>
      <w:pPr>
        <w:spacing w:line="360" w:lineRule="auto"/>
        <w:ind w:firstLine="480" w:firstLineChars="200"/>
        <w:rPr>
          <w:rFonts w:cs="仿宋_GB2312"/>
          <w:sz w:val="24"/>
        </w:rPr>
      </w:pPr>
      <w:r>
        <w:rPr>
          <w:rFonts w:hint="eastAsia" w:cs="仿宋_GB2312"/>
          <w:sz w:val="24"/>
        </w:rPr>
        <w:t>8）图形操作界面可迅速形象地反映各不同单元设备的运行工况及运行参数；</w:t>
      </w:r>
    </w:p>
    <w:p>
      <w:pPr>
        <w:spacing w:line="360" w:lineRule="auto"/>
        <w:ind w:firstLine="480" w:firstLineChars="200"/>
        <w:rPr>
          <w:rFonts w:cs="仿宋_GB2312"/>
          <w:sz w:val="24"/>
        </w:rPr>
      </w:pPr>
      <w:r>
        <w:rPr>
          <w:rFonts w:hint="eastAsia" w:cs="仿宋_GB2312"/>
          <w:sz w:val="24"/>
        </w:rPr>
        <w:t>9）显示经选择的传感器所检测的参数和过限报警信息，以及传感器参数值的设定；</w:t>
      </w:r>
    </w:p>
    <w:p>
      <w:pPr>
        <w:spacing w:line="360" w:lineRule="auto"/>
        <w:ind w:firstLine="480" w:firstLineChars="200"/>
        <w:rPr>
          <w:rFonts w:cs="仿宋_GB2312"/>
          <w:sz w:val="24"/>
        </w:rPr>
      </w:pPr>
      <w:r>
        <w:rPr>
          <w:rFonts w:hint="eastAsia" w:cs="仿宋_GB2312"/>
          <w:sz w:val="24"/>
        </w:rPr>
        <w:t>10）密码保护：具有五级以上的密码保护功能，对操作人员权限作出限定，系统支持同时访问的用户数量不少于20个。</w:t>
      </w:r>
    </w:p>
    <w:p>
      <w:pPr>
        <w:spacing w:line="360" w:lineRule="auto"/>
        <w:ind w:firstLine="480" w:firstLineChars="200"/>
        <w:rPr>
          <w:rFonts w:cs="仿宋_GB2312"/>
          <w:sz w:val="24"/>
        </w:rPr>
      </w:pPr>
      <w:r>
        <w:rPr>
          <w:rFonts w:hint="eastAsia" w:cs="仿宋_GB2312"/>
          <w:sz w:val="24"/>
        </w:rPr>
        <w:t>11）可记录系统操作员确认各类报警信息的时间及确认人姓名；</w:t>
      </w:r>
    </w:p>
    <w:p>
      <w:pPr>
        <w:spacing w:line="360" w:lineRule="auto"/>
        <w:ind w:firstLine="480" w:firstLineChars="200"/>
        <w:rPr>
          <w:rFonts w:cs="仿宋_GB2312"/>
          <w:sz w:val="24"/>
        </w:rPr>
      </w:pPr>
      <w:r>
        <w:rPr>
          <w:rFonts w:hint="eastAsia" w:cs="仿宋_GB2312"/>
          <w:sz w:val="24"/>
        </w:rPr>
        <w:t>12）上位集成要求：可以采用IT界领先的XML/SOAP技术实现中央冷源控制系统与企业其他管理系统之间的集成。</w:t>
      </w:r>
    </w:p>
    <w:p>
      <w:pPr>
        <w:spacing w:line="360" w:lineRule="auto"/>
        <w:ind w:firstLine="480" w:firstLineChars="200"/>
        <w:rPr>
          <w:rFonts w:cs="仿宋_GB2312"/>
          <w:sz w:val="24"/>
        </w:rPr>
      </w:pPr>
      <w:r>
        <w:rPr>
          <w:rFonts w:hint="eastAsia" w:cs="仿宋_GB2312"/>
          <w:sz w:val="24"/>
        </w:rPr>
        <w:t>③ 基本功能</w:t>
      </w:r>
    </w:p>
    <w:p>
      <w:pPr>
        <w:spacing w:line="360" w:lineRule="auto"/>
        <w:ind w:firstLine="480" w:firstLineChars="200"/>
        <w:rPr>
          <w:rFonts w:cs="仿宋_GB2312"/>
          <w:sz w:val="24"/>
        </w:rPr>
      </w:pPr>
      <w:r>
        <w:rPr>
          <w:rFonts w:hint="eastAsia" w:cs="仿宋_GB2312"/>
          <w:sz w:val="24"/>
        </w:rPr>
        <w:t>1）图形化操作功能：以彩色图形显示建筑平面图、设备分布图、受监控系统图等相关图形，有丰富的实物模拟图作为图例，在图例旁边实时显示系统或设备的动态数据。通过图形、三维图像、动画、报表等多种方式，表示设备的开／关、手动／自动、故障等状态和温度、流量、湿度、压力、电量等参数，仅使用键盘或鼠标即可完成对所有设备的在线控制和监控操作(包括增加、删除、修改控制程序和设备运行参数；</w:t>
      </w:r>
    </w:p>
    <w:p>
      <w:pPr>
        <w:spacing w:line="360" w:lineRule="auto"/>
        <w:ind w:firstLine="480" w:firstLineChars="200"/>
        <w:rPr>
          <w:rFonts w:cs="仿宋_GB2312"/>
          <w:sz w:val="24"/>
        </w:rPr>
      </w:pPr>
      <w:r>
        <w:rPr>
          <w:rFonts w:hint="eastAsia" w:cs="仿宋_GB2312"/>
          <w:sz w:val="24"/>
        </w:rPr>
        <w:t>2）热敏地图功能：通过系统内各设备管道区域不同的颜色实时反映该实测温度与设定温度的偏差，十分方便管理；</w:t>
      </w:r>
    </w:p>
    <w:p>
      <w:pPr>
        <w:spacing w:line="360" w:lineRule="auto"/>
        <w:ind w:firstLine="480" w:firstLineChars="200"/>
        <w:rPr>
          <w:rFonts w:cs="仿宋_GB2312"/>
          <w:sz w:val="24"/>
        </w:rPr>
      </w:pPr>
      <w:r>
        <w:rPr>
          <w:rFonts w:hint="eastAsia" w:cs="仿宋_GB2312"/>
          <w:sz w:val="24"/>
        </w:rPr>
        <w:t>3）节能功能：在系统中自动运行而无需操作人员介入，同时有足够的灵活性，允许用户根据实际情况作出调整。配有满足各种设备运行工况的控制模式，如：两态控制、三态控制、比例控制、比例微分控制、比例微积分控制、最优启动、分时再设、需求抑制等，并提供优化及节能运行控制算法。可以预设被控设备的运行参数，自动运行，自动修正控制误差，以获得各受控设备的最佳工作状态；</w:t>
      </w:r>
    </w:p>
    <w:p>
      <w:pPr>
        <w:spacing w:line="360" w:lineRule="auto"/>
        <w:ind w:firstLine="480" w:firstLineChars="200"/>
        <w:rPr>
          <w:rFonts w:cs="仿宋_GB2312"/>
          <w:sz w:val="24"/>
        </w:rPr>
      </w:pPr>
      <w:r>
        <w:rPr>
          <w:rFonts w:hint="eastAsia" w:cs="仿宋_GB2312"/>
          <w:sz w:val="24"/>
        </w:rPr>
        <w:t>4）历史数据记录、管理及报表生成功能：系统可自动记录各受控设备的运行参数、状态、报警等信号，记录累计运行时间及其它历史数据，并进行综合处理，提供设备管理所需的各种数据，包括系统运行记录、诊断报告、维护管理报告、能源管理报告、设备状态和报警报告等。这些记录和报表可分类按时间、日期自动按指令生成，并可随时调阅或打印出来；</w:t>
      </w:r>
    </w:p>
    <w:p>
      <w:pPr>
        <w:spacing w:line="360" w:lineRule="auto"/>
        <w:ind w:firstLine="480" w:firstLineChars="200"/>
        <w:rPr>
          <w:sz w:val="24"/>
        </w:rPr>
      </w:pPr>
      <w:r>
        <w:rPr>
          <w:rFonts w:hint="eastAsia" w:cs="仿宋_GB2312"/>
          <w:sz w:val="24"/>
        </w:rPr>
        <w:t>5）图形化编程功能：应用软件采用图形化编程软件，并含有大量预置逻辑控制块供工程人员选用。</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2.3.3系统的硬件配置要求</w:t>
      </w:r>
    </w:p>
    <w:p>
      <w:pPr>
        <w:spacing w:line="360" w:lineRule="auto"/>
        <w:ind w:firstLine="480" w:firstLineChars="200"/>
        <w:rPr>
          <w:rFonts w:cs="仿宋_GB2312"/>
          <w:sz w:val="24"/>
        </w:rPr>
      </w:pPr>
      <w:r>
        <w:rPr>
          <w:rFonts w:hint="eastAsia" w:cs="仿宋_GB2312"/>
          <w:sz w:val="24"/>
        </w:rPr>
        <w:t>（1）系统基础硬件</w:t>
      </w:r>
    </w:p>
    <w:p>
      <w:pPr>
        <w:spacing w:line="360" w:lineRule="auto"/>
        <w:ind w:firstLine="480" w:firstLineChars="200"/>
        <w:rPr>
          <w:rFonts w:cs="仿宋_GB2312"/>
          <w:sz w:val="24"/>
        </w:rPr>
      </w:pPr>
      <w:r>
        <w:rPr>
          <w:rFonts w:hint="eastAsia" w:cs="仿宋_GB2312"/>
          <w:sz w:val="24"/>
        </w:rPr>
        <w:t>本系统硬件构成应至少包括以下部分：</w:t>
      </w:r>
    </w:p>
    <w:p>
      <w:pPr>
        <w:numPr>
          <w:ilvl w:val="0"/>
          <w:numId w:val="20"/>
        </w:numPr>
        <w:spacing w:line="360" w:lineRule="auto"/>
        <w:ind w:firstLine="480" w:firstLineChars="200"/>
        <w:rPr>
          <w:rFonts w:cs="仿宋_GB2312"/>
          <w:sz w:val="24"/>
        </w:rPr>
      </w:pPr>
      <w:r>
        <w:rPr>
          <w:rFonts w:hint="eastAsia" w:cs="仿宋_GB2312"/>
          <w:sz w:val="24"/>
        </w:rPr>
        <w:t>中央站（中央管理计算机）；</w:t>
      </w:r>
    </w:p>
    <w:p>
      <w:pPr>
        <w:numPr>
          <w:ilvl w:val="0"/>
          <w:numId w:val="20"/>
        </w:numPr>
        <w:spacing w:line="360" w:lineRule="auto"/>
        <w:ind w:firstLine="480" w:firstLineChars="200"/>
        <w:rPr>
          <w:rFonts w:cs="仿宋_GB2312"/>
          <w:sz w:val="24"/>
        </w:rPr>
      </w:pPr>
      <w:r>
        <w:rPr>
          <w:rFonts w:hint="eastAsia" w:cs="仿宋_GB2312"/>
          <w:sz w:val="24"/>
        </w:rPr>
        <w:t>分站（直接数字控制器）；</w:t>
      </w:r>
    </w:p>
    <w:p>
      <w:pPr>
        <w:numPr>
          <w:ilvl w:val="0"/>
          <w:numId w:val="20"/>
        </w:numPr>
        <w:spacing w:line="360" w:lineRule="auto"/>
        <w:ind w:firstLine="480" w:firstLineChars="200"/>
        <w:rPr>
          <w:rFonts w:cs="仿宋_GB2312"/>
          <w:sz w:val="24"/>
        </w:rPr>
      </w:pPr>
      <w:r>
        <w:rPr>
          <w:rFonts w:hint="eastAsia" w:cs="仿宋_GB2312"/>
          <w:sz w:val="24"/>
        </w:rPr>
        <w:t>操作站；</w:t>
      </w:r>
    </w:p>
    <w:p>
      <w:pPr>
        <w:numPr>
          <w:ilvl w:val="0"/>
          <w:numId w:val="20"/>
        </w:numPr>
        <w:spacing w:line="360" w:lineRule="auto"/>
        <w:ind w:firstLine="480" w:firstLineChars="200"/>
        <w:rPr>
          <w:rFonts w:cs="仿宋_GB2312"/>
          <w:sz w:val="24"/>
        </w:rPr>
      </w:pPr>
      <w:r>
        <w:rPr>
          <w:rFonts w:hint="eastAsia" w:cs="仿宋_GB2312"/>
          <w:sz w:val="24"/>
        </w:rPr>
        <w:t>自动控制设备、包括各类传感器；</w:t>
      </w:r>
    </w:p>
    <w:p>
      <w:pPr>
        <w:numPr>
          <w:ilvl w:val="0"/>
          <w:numId w:val="20"/>
        </w:numPr>
        <w:spacing w:line="360" w:lineRule="auto"/>
        <w:ind w:firstLine="480" w:firstLineChars="200"/>
        <w:rPr>
          <w:rFonts w:cs="仿宋_GB2312"/>
          <w:sz w:val="24"/>
        </w:rPr>
      </w:pPr>
      <w:r>
        <w:rPr>
          <w:rFonts w:hint="eastAsia" w:cs="仿宋_GB2312"/>
          <w:sz w:val="24"/>
        </w:rPr>
        <w:t>通用通信接口设备，包括网卡，调制解调器等；</w:t>
      </w:r>
    </w:p>
    <w:p>
      <w:pPr>
        <w:numPr>
          <w:ilvl w:val="0"/>
          <w:numId w:val="20"/>
        </w:numPr>
        <w:spacing w:line="360" w:lineRule="auto"/>
        <w:ind w:firstLine="480" w:firstLineChars="200"/>
        <w:rPr>
          <w:rFonts w:cs="仿宋_GB2312"/>
          <w:sz w:val="24"/>
        </w:rPr>
      </w:pPr>
      <w:r>
        <w:rPr>
          <w:rFonts w:hint="eastAsia" w:cs="仿宋_GB2312"/>
          <w:sz w:val="24"/>
        </w:rPr>
        <w:t>专用通信接口设备，包括接口卡，连接器和控制器；</w:t>
      </w:r>
    </w:p>
    <w:p>
      <w:pPr>
        <w:numPr>
          <w:ilvl w:val="0"/>
          <w:numId w:val="20"/>
        </w:numPr>
        <w:spacing w:line="360" w:lineRule="auto"/>
        <w:ind w:firstLine="480" w:firstLineChars="200"/>
        <w:rPr>
          <w:rFonts w:cs="仿宋_GB2312"/>
          <w:sz w:val="24"/>
        </w:rPr>
      </w:pPr>
      <w:r>
        <w:rPr>
          <w:rFonts w:hint="eastAsia" w:cs="仿宋_GB2312"/>
          <w:sz w:val="24"/>
        </w:rPr>
        <w:t>其它相关硬件；</w:t>
      </w:r>
    </w:p>
    <w:p>
      <w:pPr>
        <w:numPr>
          <w:ilvl w:val="0"/>
          <w:numId w:val="20"/>
        </w:numPr>
        <w:spacing w:line="360" w:lineRule="auto"/>
        <w:ind w:firstLine="480" w:firstLineChars="200"/>
        <w:rPr>
          <w:rFonts w:cs="仿宋_GB2312"/>
          <w:sz w:val="24"/>
        </w:rPr>
      </w:pPr>
      <w:r>
        <w:rPr>
          <w:rFonts w:hint="eastAsia" w:cs="仿宋_GB2312"/>
          <w:sz w:val="24"/>
        </w:rPr>
        <w:t>信号传输专用线路；</w:t>
      </w:r>
    </w:p>
    <w:p>
      <w:pPr>
        <w:numPr>
          <w:ilvl w:val="0"/>
          <w:numId w:val="20"/>
        </w:numPr>
        <w:spacing w:line="360" w:lineRule="auto"/>
        <w:ind w:firstLine="480" w:firstLineChars="200"/>
        <w:rPr>
          <w:rFonts w:cs="仿宋_GB2312"/>
          <w:sz w:val="24"/>
        </w:rPr>
      </w:pPr>
      <w:r>
        <w:rPr>
          <w:rFonts w:hint="eastAsia" w:cs="仿宋_GB2312"/>
          <w:sz w:val="24"/>
        </w:rPr>
        <w:t>相关附件和材料。</w:t>
      </w:r>
    </w:p>
    <w:p>
      <w:pPr>
        <w:spacing w:line="360" w:lineRule="auto"/>
        <w:ind w:firstLine="480" w:firstLineChars="200"/>
        <w:rPr>
          <w:rFonts w:cs="仿宋_GB2312"/>
          <w:sz w:val="24"/>
        </w:rPr>
      </w:pPr>
      <w:r>
        <w:rPr>
          <w:rFonts w:hint="eastAsia" w:cs="仿宋_GB2312"/>
          <w:sz w:val="24"/>
        </w:rPr>
        <w:t>（2）监控中心配置</w:t>
      </w:r>
    </w:p>
    <w:p>
      <w:pPr>
        <w:numPr>
          <w:ilvl w:val="0"/>
          <w:numId w:val="21"/>
        </w:numPr>
        <w:spacing w:line="360" w:lineRule="auto"/>
        <w:ind w:firstLine="480" w:firstLineChars="200"/>
        <w:rPr>
          <w:rFonts w:cs="仿宋_GB2312"/>
          <w:sz w:val="24"/>
        </w:rPr>
      </w:pPr>
      <w:r>
        <w:rPr>
          <w:rFonts w:hint="eastAsia" w:cs="仿宋_GB2312"/>
          <w:sz w:val="24"/>
        </w:rPr>
        <w:t>监控中心是CPM系统的监控和管理的核心。中标方应提供监控中心的整套设备、软件和相关附件。</w:t>
      </w:r>
    </w:p>
    <w:p>
      <w:pPr>
        <w:numPr>
          <w:ilvl w:val="0"/>
          <w:numId w:val="21"/>
        </w:numPr>
        <w:spacing w:line="360" w:lineRule="auto"/>
        <w:ind w:firstLine="480" w:firstLineChars="200"/>
        <w:rPr>
          <w:rFonts w:cs="仿宋_GB2312"/>
          <w:sz w:val="24"/>
        </w:rPr>
      </w:pPr>
      <w:r>
        <w:rPr>
          <w:rFonts w:hint="eastAsia" w:cs="仿宋_GB2312"/>
          <w:sz w:val="24"/>
        </w:rPr>
        <w:t>监控中心的功能应包括：</w:t>
      </w:r>
    </w:p>
    <w:p>
      <w:pPr>
        <w:spacing w:line="360" w:lineRule="auto"/>
        <w:ind w:firstLine="480" w:firstLineChars="200"/>
        <w:rPr>
          <w:rFonts w:cs="仿宋_GB2312"/>
          <w:sz w:val="24"/>
        </w:rPr>
      </w:pPr>
      <w:r>
        <w:rPr>
          <w:rFonts w:hint="eastAsia" w:cs="仿宋_GB2312"/>
          <w:sz w:val="24"/>
        </w:rPr>
        <w:t>1）应用程序的输入、修改和存储；</w:t>
      </w:r>
    </w:p>
    <w:p>
      <w:pPr>
        <w:spacing w:line="360" w:lineRule="auto"/>
        <w:ind w:firstLine="480" w:firstLineChars="200"/>
        <w:rPr>
          <w:rFonts w:cs="仿宋_GB2312"/>
          <w:sz w:val="24"/>
        </w:rPr>
      </w:pPr>
      <w:r>
        <w:rPr>
          <w:rFonts w:hint="eastAsia" w:cs="仿宋_GB2312"/>
          <w:sz w:val="24"/>
        </w:rPr>
        <w:t>2）各类参数的设定和修改；</w:t>
      </w:r>
    </w:p>
    <w:p>
      <w:pPr>
        <w:spacing w:line="360" w:lineRule="auto"/>
        <w:ind w:firstLine="480" w:firstLineChars="200"/>
        <w:rPr>
          <w:rFonts w:cs="仿宋_GB2312"/>
          <w:sz w:val="24"/>
        </w:rPr>
      </w:pPr>
      <w:r>
        <w:rPr>
          <w:rFonts w:hint="eastAsia" w:cs="仿宋_GB2312"/>
          <w:sz w:val="24"/>
        </w:rPr>
        <w:t>3）资料和报警的打印；</w:t>
      </w:r>
    </w:p>
    <w:p>
      <w:pPr>
        <w:spacing w:line="360" w:lineRule="auto"/>
        <w:ind w:firstLine="480" w:firstLineChars="200"/>
        <w:rPr>
          <w:rFonts w:cs="仿宋_GB2312"/>
          <w:sz w:val="24"/>
        </w:rPr>
      </w:pPr>
      <w:r>
        <w:rPr>
          <w:rFonts w:hint="eastAsia" w:cs="仿宋_GB2312"/>
          <w:sz w:val="24"/>
        </w:rPr>
        <w:t>4）监控及显示整个CPM的运行和操作。</w:t>
      </w:r>
    </w:p>
    <w:p>
      <w:pPr>
        <w:numPr>
          <w:ilvl w:val="0"/>
          <w:numId w:val="21"/>
        </w:numPr>
        <w:spacing w:line="360" w:lineRule="auto"/>
        <w:ind w:firstLine="480" w:firstLineChars="200"/>
        <w:rPr>
          <w:rFonts w:cs="仿宋_GB2312"/>
          <w:sz w:val="24"/>
        </w:rPr>
      </w:pPr>
      <w:r>
        <w:rPr>
          <w:rFonts w:hint="eastAsia" w:cs="仿宋_GB2312"/>
          <w:sz w:val="24"/>
        </w:rPr>
        <w:t>监控中心应由以下硬件构成：</w:t>
      </w:r>
    </w:p>
    <w:p>
      <w:pPr>
        <w:spacing w:line="360" w:lineRule="auto"/>
        <w:ind w:firstLine="480" w:firstLineChars="200"/>
        <w:rPr>
          <w:rFonts w:cs="仿宋_GB2312"/>
          <w:sz w:val="24"/>
        </w:rPr>
      </w:pPr>
      <w:r>
        <w:rPr>
          <w:rFonts w:hint="eastAsia" w:cs="仿宋_GB2312"/>
          <w:sz w:val="24"/>
        </w:rPr>
        <w:t>1）中央站（中央管理计算机）；</w:t>
      </w:r>
    </w:p>
    <w:p>
      <w:pPr>
        <w:spacing w:line="360" w:lineRule="auto"/>
        <w:ind w:firstLine="480" w:firstLineChars="200"/>
        <w:rPr>
          <w:rFonts w:cs="仿宋_GB2312"/>
          <w:sz w:val="24"/>
        </w:rPr>
      </w:pPr>
      <w:r>
        <w:rPr>
          <w:rFonts w:hint="eastAsia" w:cs="仿宋_GB2312"/>
          <w:sz w:val="24"/>
        </w:rPr>
        <w:t>2）通用通信接口设备，包括所需的网卡，调制解调器等；</w:t>
      </w:r>
    </w:p>
    <w:p>
      <w:pPr>
        <w:spacing w:line="360" w:lineRule="auto"/>
        <w:ind w:firstLine="480" w:firstLineChars="200"/>
        <w:rPr>
          <w:rFonts w:cs="仿宋_GB2312"/>
          <w:sz w:val="24"/>
        </w:rPr>
      </w:pPr>
      <w:r>
        <w:rPr>
          <w:rFonts w:hint="eastAsia" w:cs="仿宋_GB2312"/>
          <w:sz w:val="24"/>
        </w:rPr>
        <w:t>3）专用通信接口设备，包括所需的接口卡、连接器和控制器等；</w:t>
      </w:r>
    </w:p>
    <w:p>
      <w:pPr>
        <w:spacing w:line="360" w:lineRule="auto"/>
        <w:ind w:firstLine="480" w:firstLineChars="200"/>
        <w:rPr>
          <w:rFonts w:cs="仿宋_GB2312"/>
          <w:sz w:val="24"/>
        </w:rPr>
      </w:pPr>
      <w:r>
        <w:rPr>
          <w:rFonts w:hint="eastAsia" w:cs="仿宋_GB2312"/>
          <w:sz w:val="24"/>
        </w:rPr>
        <w:t>4）报表图形打印机；</w:t>
      </w:r>
    </w:p>
    <w:p>
      <w:pPr>
        <w:spacing w:line="360" w:lineRule="auto"/>
        <w:ind w:firstLine="480" w:firstLineChars="200"/>
        <w:rPr>
          <w:rFonts w:cs="仿宋_GB2312"/>
          <w:sz w:val="24"/>
        </w:rPr>
      </w:pPr>
      <w:r>
        <w:rPr>
          <w:rFonts w:hint="eastAsia" w:cs="仿宋_GB2312"/>
          <w:sz w:val="24"/>
        </w:rPr>
        <w:t>5）其它相关硬件。</w:t>
      </w:r>
    </w:p>
    <w:p>
      <w:pPr>
        <w:spacing w:line="360" w:lineRule="auto"/>
        <w:ind w:firstLine="480" w:firstLineChars="200"/>
        <w:rPr>
          <w:rFonts w:cs="仿宋_GB2312"/>
          <w:sz w:val="24"/>
        </w:rPr>
      </w:pPr>
      <w:r>
        <w:rPr>
          <w:rFonts w:hint="eastAsia" w:cs="仿宋_GB2312"/>
          <w:sz w:val="24"/>
        </w:rPr>
        <w:t>（3）基本硬件和技术参数</w:t>
      </w:r>
    </w:p>
    <w:p>
      <w:pPr>
        <w:spacing w:line="300" w:lineRule="auto"/>
        <w:ind w:firstLine="480" w:firstLineChars="200"/>
        <w:rPr>
          <w:sz w:val="24"/>
        </w:rPr>
      </w:pPr>
      <w:r>
        <w:rPr>
          <w:rFonts w:hint="eastAsia"/>
          <w:sz w:val="24"/>
        </w:rPr>
        <w:t>①工作站</w:t>
      </w:r>
    </w:p>
    <w:p>
      <w:pPr>
        <w:spacing w:line="360" w:lineRule="auto"/>
        <w:ind w:firstLine="480" w:firstLineChars="200"/>
        <w:rPr>
          <w:rFonts w:cs="仿宋_GB2312"/>
          <w:sz w:val="24"/>
        </w:rPr>
      </w:pPr>
      <w:r>
        <w:rPr>
          <w:rFonts w:hint="eastAsia" w:cs="仿宋_GB2312"/>
          <w:sz w:val="24"/>
        </w:rPr>
        <w:t>1）CPU：不小于32位双核处理器；</w:t>
      </w:r>
    </w:p>
    <w:p>
      <w:pPr>
        <w:spacing w:line="360" w:lineRule="auto"/>
        <w:ind w:firstLine="480" w:firstLineChars="200"/>
        <w:rPr>
          <w:rFonts w:cs="仿宋_GB2312"/>
          <w:sz w:val="24"/>
        </w:rPr>
      </w:pPr>
      <w:r>
        <w:rPr>
          <w:rFonts w:hint="eastAsia" w:cs="仿宋_GB2312"/>
          <w:sz w:val="24"/>
        </w:rPr>
        <w:t>2）RAM：不小于4G；</w:t>
      </w:r>
    </w:p>
    <w:p>
      <w:pPr>
        <w:spacing w:line="360" w:lineRule="auto"/>
        <w:ind w:firstLine="480" w:firstLineChars="200"/>
        <w:rPr>
          <w:rFonts w:cs="仿宋_GB2312"/>
          <w:sz w:val="24"/>
        </w:rPr>
      </w:pPr>
      <w:r>
        <w:rPr>
          <w:rFonts w:hint="eastAsia" w:cs="仿宋_GB2312"/>
          <w:sz w:val="24"/>
        </w:rPr>
        <w:t>3）HDD：不小于500.0GB；</w:t>
      </w:r>
    </w:p>
    <w:p>
      <w:pPr>
        <w:spacing w:line="360" w:lineRule="auto"/>
        <w:ind w:firstLine="480" w:firstLineChars="200"/>
        <w:rPr>
          <w:rFonts w:cs="仿宋_GB2312"/>
          <w:sz w:val="24"/>
        </w:rPr>
      </w:pPr>
      <w:r>
        <w:rPr>
          <w:rFonts w:hint="eastAsia" w:cs="仿宋_GB2312"/>
          <w:sz w:val="24"/>
        </w:rPr>
        <w:t>4）DVD-ROM：不小于24倍速；</w:t>
      </w:r>
    </w:p>
    <w:p>
      <w:pPr>
        <w:spacing w:line="360" w:lineRule="auto"/>
        <w:ind w:firstLine="480" w:firstLineChars="200"/>
        <w:rPr>
          <w:rFonts w:cs="仿宋_GB2312"/>
          <w:sz w:val="24"/>
        </w:rPr>
      </w:pPr>
      <w:r>
        <w:rPr>
          <w:rFonts w:hint="eastAsia" w:cs="仿宋_GB2312"/>
          <w:sz w:val="24"/>
        </w:rPr>
        <w:t>5）通信接口：2XRS232、2XRS485和PCI网卡插槽；</w:t>
      </w:r>
    </w:p>
    <w:p>
      <w:pPr>
        <w:spacing w:line="360" w:lineRule="auto"/>
        <w:ind w:firstLine="480" w:firstLineChars="200"/>
        <w:rPr>
          <w:rFonts w:cs="仿宋_GB2312"/>
          <w:sz w:val="24"/>
        </w:rPr>
      </w:pPr>
      <w:r>
        <w:rPr>
          <w:rFonts w:hint="eastAsia" w:cs="仿宋_GB2312"/>
          <w:sz w:val="24"/>
        </w:rPr>
        <w:t>6）LCD： 21寸；</w:t>
      </w:r>
    </w:p>
    <w:p>
      <w:pPr>
        <w:spacing w:line="360" w:lineRule="auto"/>
        <w:ind w:firstLine="480" w:firstLineChars="200"/>
        <w:rPr>
          <w:rFonts w:cs="仿宋_GB2312"/>
          <w:sz w:val="24"/>
        </w:rPr>
      </w:pPr>
      <w:r>
        <w:rPr>
          <w:rFonts w:hint="eastAsia" w:cs="仿宋_GB2312"/>
          <w:sz w:val="24"/>
        </w:rPr>
        <w:t>7）输入：104键标准键盘及光电鼠标器。</w:t>
      </w:r>
    </w:p>
    <w:p>
      <w:pPr>
        <w:spacing w:line="300" w:lineRule="auto"/>
        <w:ind w:firstLine="480" w:firstLineChars="200"/>
        <w:rPr>
          <w:sz w:val="24"/>
        </w:rPr>
      </w:pPr>
      <w:r>
        <w:rPr>
          <w:rFonts w:hint="eastAsia"/>
          <w:sz w:val="24"/>
        </w:rPr>
        <w:t>②打印机</w:t>
      </w:r>
    </w:p>
    <w:p>
      <w:pPr>
        <w:spacing w:line="360" w:lineRule="auto"/>
        <w:ind w:firstLine="480" w:firstLineChars="200"/>
        <w:rPr>
          <w:rFonts w:cs="仿宋_GB2312"/>
          <w:sz w:val="24"/>
        </w:rPr>
      </w:pPr>
      <w:r>
        <w:rPr>
          <w:rFonts w:hint="eastAsia" w:cs="仿宋_GB2312"/>
          <w:sz w:val="24"/>
        </w:rPr>
        <w:t>1）A4幅面;</w:t>
      </w:r>
    </w:p>
    <w:p>
      <w:pPr>
        <w:spacing w:line="360" w:lineRule="auto"/>
        <w:ind w:firstLine="480" w:firstLineChars="200"/>
        <w:rPr>
          <w:rFonts w:cs="仿宋_GB2312"/>
          <w:sz w:val="24"/>
        </w:rPr>
      </w:pPr>
      <w:r>
        <w:rPr>
          <w:rFonts w:hint="eastAsia" w:cs="仿宋_GB2312"/>
          <w:sz w:val="24"/>
        </w:rPr>
        <w:t>2）黑白激光打印机。</w:t>
      </w:r>
    </w:p>
    <w:p>
      <w:pPr>
        <w:spacing w:line="360" w:lineRule="auto"/>
        <w:ind w:firstLine="480" w:firstLineChars="200"/>
        <w:rPr>
          <w:rFonts w:cs="仿宋_GB2312"/>
          <w:sz w:val="24"/>
        </w:rPr>
      </w:pPr>
      <w:r>
        <w:rPr>
          <w:rFonts w:hint="eastAsia" w:cs="仿宋_GB2312"/>
          <w:sz w:val="24"/>
        </w:rPr>
        <w:t>（4）直接数字控制器：</w:t>
      </w:r>
    </w:p>
    <w:p>
      <w:pPr>
        <w:spacing w:line="360" w:lineRule="auto"/>
        <w:ind w:firstLine="480" w:firstLineChars="200"/>
        <w:rPr>
          <w:rFonts w:cs="仿宋_GB2312"/>
          <w:sz w:val="24"/>
        </w:rPr>
      </w:pPr>
      <w:r>
        <w:rPr>
          <w:rFonts w:hint="eastAsia" w:cs="仿宋_GB2312"/>
          <w:sz w:val="24"/>
        </w:rPr>
        <w:t>DDC用于建筑设备现场控制，它应是一个完整的控制器，应具有应有的软件和硬件，能独立完成监控任务，不受网络和其他控制器故障的影响。</w:t>
      </w:r>
    </w:p>
    <w:p>
      <w:pPr>
        <w:spacing w:line="360" w:lineRule="auto"/>
        <w:ind w:firstLine="480" w:firstLineChars="200"/>
        <w:rPr>
          <w:rFonts w:cs="仿宋_GB2312"/>
          <w:sz w:val="24"/>
        </w:rPr>
      </w:pPr>
      <w:r>
        <w:rPr>
          <w:rFonts w:hint="eastAsia" w:cs="仿宋_GB2312"/>
          <w:sz w:val="24"/>
        </w:rPr>
        <w:t>系统承包商应根据不同类型的监控点之点数提供符合要求和数量的控制器，每个DDC应有15%-20%点数的余量。</w:t>
      </w:r>
    </w:p>
    <w:p>
      <w:pPr>
        <w:spacing w:line="360" w:lineRule="auto"/>
        <w:ind w:firstLine="480" w:firstLineChars="200"/>
        <w:rPr>
          <w:rFonts w:cs="仿宋_GB2312"/>
          <w:sz w:val="24"/>
        </w:rPr>
      </w:pPr>
      <w:r>
        <w:rPr>
          <w:rFonts w:hint="eastAsia" w:cs="仿宋_GB2312"/>
          <w:sz w:val="24"/>
        </w:rPr>
        <w:t>控制器构成至少应符合下列要求：</w:t>
      </w:r>
    </w:p>
    <w:p>
      <w:pPr>
        <w:numPr>
          <w:ilvl w:val="0"/>
          <w:numId w:val="22"/>
        </w:numPr>
        <w:spacing w:line="360" w:lineRule="auto"/>
        <w:ind w:firstLine="480" w:firstLineChars="200"/>
        <w:rPr>
          <w:rFonts w:cs="仿宋_GB2312"/>
          <w:sz w:val="24"/>
        </w:rPr>
      </w:pPr>
      <w:r>
        <w:rPr>
          <w:rFonts w:hint="eastAsia" w:cs="仿宋_GB2312"/>
          <w:sz w:val="24"/>
        </w:rPr>
        <w:t>以32位或64位微处理器为基础的可编程DDC模块化设计；</w:t>
      </w:r>
    </w:p>
    <w:p>
      <w:pPr>
        <w:numPr>
          <w:ilvl w:val="0"/>
          <w:numId w:val="22"/>
        </w:numPr>
        <w:spacing w:line="360" w:lineRule="auto"/>
        <w:ind w:firstLine="480" w:firstLineChars="200"/>
        <w:rPr>
          <w:rFonts w:cs="仿宋_GB2312"/>
          <w:sz w:val="24"/>
        </w:rPr>
      </w:pPr>
      <w:r>
        <w:rPr>
          <w:rFonts w:hint="eastAsia" w:cs="仿宋_GB2312"/>
          <w:sz w:val="24"/>
        </w:rPr>
        <w:t>需有双CPU功能，其中一个CPU专门用于通讯。</w:t>
      </w:r>
    </w:p>
    <w:p>
      <w:pPr>
        <w:numPr>
          <w:ilvl w:val="0"/>
          <w:numId w:val="22"/>
        </w:numPr>
        <w:spacing w:line="360" w:lineRule="auto"/>
        <w:ind w:firstLine="480" w:firstLineChars="200"/>
        <w:rPr>
          <w:rFonts w:cs="仿宋_GB2312"/>
          <w:sz w:val="24"/>
        </w:rPr>
      </w:pPr>
      <w:r>
        <w:rPr>
          <w:rFonts w:hint="eastAsia" w:cs="仿宋_GB2312"/>
          <w:sz w:val="24"/>
        </w:rPr>
        <w:t>具有可独立运行和联网的能力；</w:t>
      </w:r>
    </w:p>
    <w:p>
      <w:pPr>
        <w:numPr>
          <w:ilvl w:val="0"/>
          <w:numId w:val="22"/>
        </w:numPr>
        <w:spacing w:line="360" w:lineRule="auto"/>
        <w:ind w:firstLine="480" w:firstLineChars="200"/>
        <w:rPr>
          <w:rFonts w:cs="仿宋_GB2312"/>
          <w:sz w:val="24"/>
        </w:rPr>
      </w:pPr>
      <w:r>
        <w:rPr>
          <w:rFonts w:hint="eastAsia" w:cs="仿宋_GB2312"/>
          <w:sz w:val="24"/>
        </w:rPr>
        <w:t>储存器容量应足够大，在设备密集处，其RAM不应小1024 KB，EEPROM闪速存储器（Flash Memory）不应小于1024 KB；</w:t>
      </w:r>
    </w:p>
    <w:p>
      <w:pPr>
        <w:numPr>
          <w:ilvl w:val="0"/>
          <w:numId w:val="22"/>
        </w:numPr>
        <w:spacing w:line="360" w:lineRule="auto"/>
        <w:ind w:firstLine="480" w:firstLineChars="200"/>
        <w:rPr>
          <w:rFonts w:cs="仿宋_GB2312"/>
          <w:sz w:val="24"/>
        </w:rPr>
      </w:pPr>
      <w:r>
        <w:rPr>
          <w:rFonts w:hint="eastAsia" w:cs="仿宋_GB2312"/>
          <w:sz w:val="24"/>
        </w:rPr>
        <w:t>具备配置运行不同的输入/输出模块；</w:t>
      </w:r>
    </w:p>
    <w:p>
      <w:pPr>
        <w:numPr>
          <w:ilvl w:val="0"/>
          <w:numId w:val="22"/>
        </w:numPr>
        <w:spacing w:line="360" w:lineRule="auto"/>
        <w:ind w:firstLine="480" w:firstLineChars="200"/>
        <w:rPr>
          <w:rFonts w:cs="仿宋_GB2312"/>
          <w:sz w:val="24"/>
        </w:rPr>
      </w:pPr>
      <w:r>
        <w:rPr>
          <w:rFonts w:hint="eastAsia" w:cs="仿宋_GB2312"/>
          <w:sz w:val="24"/>
        </w:rPr>
        <w:t>模拟和数字信号都可支持的通用输入、输出；</w:t>
      </w:r>
    </w:p>
    <w:p>
      <w:pPr>
        <w:numPr>
          <w:ilvl w:val="0"/>
          <w:numId w:val="22"/>
        </w:numPr>
        <w:spacing w:line="360" w:lineRule="auto"/>
        <w:ind w:firstLine="480" w:firstLineChars="200"/>
        <w:rPr>
          <w:rFonts w:cs="仿宋_GB2312"/>
          <w:sz w:val="24"/>
        </w:rPr>
      </w:pPr>
      <w:r>
        <w:rPr>
          <w:rFonts w:hint="eastAsia" w:cs="仿宋_GB2312"/>
          <w:sz w:val="24"/>
        </w:rPr>
        <w:t>DDC需通过ANSI/ASHRAE 135标准BACnet附件L定义的B-AAC级，且得到BTL认证。</w:t>
      </w:r>
    </w:p>
    <w:p>
      <w:pPr>
        <w:numPr>
          <w:ilvl w:val="0"/>
          <w:numId w:val="22"/>
        </w:numPr>
        <w:spacing w:line="360" w:lineRule="auto"/>
        <w:ind w:firstLine="480" w:firstLineChars="200"/>
        <w:rPr>
          <w:rFonts w:cs="仿宋_GB2312"/>
          <w:sz w:val="24"/>
        </w:rPr>
      </w:pPr>
      <w:r>
        <w:rPr>
          <w:rFonts w:hint="eastAsia" w:cs="仿宋_GB2312"/>
          <w:sz w:val="24"/>
        </w:rPr>
        <w:t>DDC应有在面板的发光二极管显示每个数字和模拟输出点的实时变化状态，而不需另加I/O操作设备；</w:t>
      </w:r>
    </w:p>
    <w:p>
      <w:pPr>
        <w:numPr>
          <w:ilvl w:val="0"/>
          <w:numId w:val="22"/>
        </w:numPr>
        <w:spacing w:line="360" w:lineRule="auto"/>
        <w:ind w:firstLine="480" w:firstLineChars="200"/>
        <w:rPr>
          <w:rFonts w:cs="仿宋_GB2312"/>
          <w:sz w:val="24"/>
        </w:rPr>
      </w:pPr>
      <w:r>
        <w:rPr>
          <w:rFonts w:hint="eastAsia" w:cs="仿宋_GB2312"/>
          <w:sz w:val="24"/>
        </w:rPr>
        <w:t>DDC的数字输出点具有手动强制开关，可在发生故障时强制开启或停止设备；</w:t>
      </w:r>
    </w:p>
    <w:p>
      <w:pPr>
        <w:numPr>
          <w:ilvl w:val="0"/>
          <w:numId w:val="22"/>
        </w:numPr>
        <w:spacing w:line="360" w:lineRule="auto"/>
        <w:ind w:firstLine="480" w:firstLineChars="200"/>
        <w:rPr>
          <w:rFonts w:cs="仿宋_GB2312"/>
          <w:sz w:val="24"/>
        </w:rPr>
      </w:pPr>
      <w:r>
        <w:rPr>
          <w:rFonts w:hint="eastAsia" w:cs="仿宋_GB2312"/>
          <w:sz w:val="24"/>
        </w:rPr>
        <w:t>当外电断电时，DDC的后备电池应至少可供DDC内存中的趋势等数据记录在1万小时内不丢失；</w:t>
      </w:r>
    </w:p>
    <w:p>
      <w:pPr>
        <w:numPr>
          <w:ilvl w:val="0"/>
          <w:numId w:val="22"/>
        </w:numPr>
        <w:spacing w:line="360" w:lineRule="auto"/>
        <w:ind w:firstLine="480" w:firstLineChars="200"/>
        <w:rPr>
          <w:rFonts w:cs="仿宋_GB2312"/>
          <w:sz w:val="24"/>
        </w:rPr>
      </w:pPr>
      <w:r>
        <w:rPr>
          <w:rFonts w:hint="eastAsia" w:cs="仿宋_GB2312"/>
          <w:sz w:val="24"/>
        </w:rPr>
        <w:t>当外电恢复供电时，DDC应在无人干预的情况下自动恢复程序的自动运行；</w:t>
      </w:r>
    </w:p>
    <w:p>
      <w:pPr>
        <w:numPr>
          <w:ilvl w:val="0"/>
          <w:numId w:val="22"/>
        </w:numPr>
        <w:spacing w:line="360" w:lineRule="auto"/>
        <w:ind w:firstLine="480" w:firstLineChars="200"/>
        <w:rPr>
          <w:rFonts w:cs="仿宋_GB2312"/>
          <w:sz w:val="24"/>
        </w:rPr>
      </w:pPr>
      <w:r>
        <w:rPr>
          <w:rFonts w:hint="eastAsia" w:cs="仿宋_GB2312"/>
          <w:sz w:val="24"/>
        </w:rPr>
        <w:t>当DDC存储器的数据非正常丢失时，用户可通过现场标准串行数据接口、网络操作站或中央站将数据重新写入DDC。</w:t>
      </w:r>
    </w:p>
    <w:p>
      <w:pPr>
        <w:numPr>
          <w:ilvl w:val="0"/>
          <w:numId w:val="22"/>
        </w:numPr>
        <w:spacing w:line="360" w:lineRule="auto"/>
        <w:ind w:firstLine="480" w:firstLineChars="200"/>
        <w:rPr>
          <w:rFonts w:cs="仿宋_GB2312"/>
          <w:sz w:val="24"/>
        </w:rPr>
      </w:pPr>
      <w:r>
        <w:rPr>
          <w:rFonts w:hint="eastAsia" w:cs="仿宋_GB2312"/>
          <w:sz w:val="24"/>
        </w:rPr>
        <w:t>DDC控制程序的编写和输入，既可在中央站、网络操作站上进行，也可通过笔记本电脑进行；</w:t>
      </w:r>
    </w:p>
    <w:p>
      <w:pPr>
        <w:numPr>
          <w:ilvl w:val="0"/>
          <w:numId w:val="22"/>
        </w:numPr>
        <w:spacing w:line="360" w:lineRule="auto"/>
        <w:ind w:firstLine="480" w:firstLineChars="200"/>
        <w:rPr>
          <w:rFonts w:cs="仿宋_GB2312"/>
          <w:sz w:val="24"/>
        </w:rPr>
      </w:pPr>
      <w:r>
        <w:rPr>
          <w:rFonts w:hint="eastAsia" w:cs="仿宋_GB2312"/>
          <w:sz w:val="24"/>
        </w:rPr>
        <w:t>DDC本身能存储监控点的趋势记录，并能由笔记本电脑从其上读取；</w:t>
      </w:r>
    </w:p>
    <w:p>
      <w:pPr>
        <w:numPr>
          <w:ilvl w:val="0"/>
          <w:numId w:val="22"/>
        </w:numPr>
        <w:spacing w:line="360" w:lineRule="auto"/>
        <w:ind w:firstLine="480" w:firstLineChars="200"/>
        <w:rPr>
          <w:rFonts w:cs="仿宋_GB2312"/>
          <w:sz w:val="24"/>
        </w:rPr>
      </w:pPr>
      <w:r>
        <w:rPr>
          <w:rFonts w:hint="eastAsia" w:cs="仿宋_GB2312"/>
          <w:sz w:val="24"/>
        </w:rPr>
        <w:t>DDC的模拟量采集精度分辨率不小于12Bit，模拟量数据输出精度分辨率不小于8Bit；</w:t>
      </w:r>
    </w:p>
    <w:p>
      <w:pPr>
        <w:spacing w:line="360" w:lineRule="auto"/>
        <w:ind w:firstLine="480" w:firstLineChars="200"/>
        <w:rPr>
          <w:rFonts w:cs="仿宋_GB2312"/>
          <w:sz w:val="24"/>
        </w:rPr>
      </w:pPr>
      <w:r>
        <w:rPr>
          <w:rFonts w:hint="eastAsia" w:cs="仿宋_GB2312"/>
          <w:sz w:val="24"/>
        </w:rPr>
        <w:t>所有控制器的输入信号必须根据监控功能要求来选择，并配置相应的现场一次元件。整个系统的配置应能满足复杂控制和能源管理应用的要求，可与其它控制器进行对等通信，或用于协调、管理及处理现场总线的数据，还应能对现场总线网进行协调、管理和数据集中。</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2.3.4调试、验收及维护保养</w:t>
      </w:r>
    </w:p>
    <w:p>
      <w:pPr>
        <w:numPr>
          <w:ilvl w:val="0"/>
          <w:numId w:val="23"/>
        </w:numPr>
        <w:spacing w:line="360" w:lineRule="auto"/>
        <w:ind w:firstLine="480" w:firstLineChars="200"/>
        <w:rPr>
          <w:rFonts w:cs="仿宋_GB2312"/>
          <w:sz w:val="24"/>
        </w:rPr>
      </w:pPr>
      <w:r>
        <w:rPr>
          <w:rFonts w:hint="eastAsia" w:cs="仿宋_GB2312"/>
          <w:sz w:val="24"/>
        </w:rPr>
        <w:t>中标方在全部安装工程完成后，应负责系统的开通调试。</w:t>
      </w:r>
    </w:p>
    <w:p>
      <w:pPr>
        <w:numPr>
          <w:ilvl w:val="0"/>
          <w:numId w:val="23"/>
        </w:numPr>
        <w:spacing w:line="360" w:lineRule="auto"/>
        <w:ind w:firstLine="480" w:firstLineChars="200"/>
        <w:rPr>
          <w:rFonts w:cs="仿宋_GB2312"/>
          <w:sz w:val="24"/>
        </w:rPr>
      </w:pPr>
      <w:r>
        <w:rPr>
          <w:rFonts w:hint="eastAsia" w:cs="仿宋_GB2312"/>
          <w:sz w:val="24"/>
        </w:rPr>
        <w:t>当中标方认为系统已调试完成，达到招标方使用要求时，通知招标方，按有关规定进行系统的检验测试。所有试验应有详细的技术记录。试验结束后，中标方应将整理好的调试记录送交招标方。</w:t>
      </w:r>
    </w:p>
    <w:p>
      <w:pPr>
        <w:numPr>
          <w:ilvl w:val="0"/>
          <w:numId w:val="23"/>
        </w:numPr>
        <w:spacing w:line="360" w:lineRule="auto"/>
        <w:ind w:firstLine="480" w:firstLineChars="200"/>
        <w:rPr>
          <w:rFonts w:cs="仿宋_GB2312"/>
          <w:sz w:val="24"/>
        </w:rPr>
      </w:pPr>
      <w:r>
        <w:rPr>
          <w:rFonts w:hint="eastAsia" w:cs="仿宋_GB2312"/>
          <w:sz w:val="24"/>
        </w:rPr>
        <w:t>系统的检验和测试应按有关规范执行。</w:t>
      </w:r>
    </w:p>
    <w:p>
      <w:pPr>
        <w:numPr>
          <w:ilvl w:val="0"/>
          <w:numId w:val="23"/>
        </w:numPr>
        <w:spacing w:line="360" w:lineRule="auto"/>
        <w:ind w:firstLine="480" w:firstLineChars="200"/>
        <w:rPr>
          <w:rFonts w:cs="仿宋_GB2312"/>
          <w:sz w:val="24"/>
        </w:rPr>
      </w:pPr>
      <w:r>
        <w:rPr>
          <w:rFonts w:hint="eastAsia" w:cs="仿宋_GB2312"/>
          <w:sz w:val="24"/>
        </w:rPr>
        <w:t>经测试后的系统需经过一段时间的试运行。中标方应协助招标方有关工作人员完成试运行期间的工作记录，如有问题，应及时处理并记录在案。</w:t>
      </w:r>
    </w:p>
    <w:p>
      <w:pPr>
        <w:numPr>
          <w:ilvl w:val="0"/>
          <w:numId w:val="23"/>
        </w:numPr>
        <w:spacing w:line="360" w:lineRule="auto"/>
        <w:ind w:firstLine="480" w:firstLineChars="200"/>
        <w:rPr>
          <w:rFonts w:cs="仿宋_GB2312"/>
          <w:sz w:val="24"/>
        </w:rPr>
      </w:pPr>
      <w:r>
        <w:rPr>
          <w:rFonts w:hint="eastAsia" w:cs="仿宋_GB2312"/>
          <w:sz w:val="24"/>
        </w:rPr>
        <w:t>中标方须提供国际公认的检验和测试用工具和仪表。</w:t>
      </w:r>
    </w:p>
    <w:p>
      <w:pPr>
        <w:numPr>
          <w:ilvl w:val="0"/>
          <w:numId w:val="23"/>
        </w:numPr>
        <w:spacing w:line="360" w:lineRule="auto"/>
        <w:ind w:firstLine="480" w:firstLineChars="200"/>
        <w:rPr>
          <w:rFonts w:cs="仿宋_GB2312"/>
          <w:sz w:val="24"/>
        </w:rPr>
      </w:pPr>
      <w:r>
        <w:rPr>
          <w:rFonts w:hint="eastAsia" w:cs="仿宋_GB2312"/>
          <w:sz w:val="24"/>
        </w:rPr>
        <w:t>系统交付招标方的同时，中标方需提供二套完整的竣工图纸及二套中文操作及维修手册。</w:t>
      </w:r>
    </w:p>
    <w:p>
      <w:pPr>
        <w:numPr>
          <w:ilvl w:val="0"/>
          <w:numId w:val="23"/>
        </w:numPr>
        <w:spacing w:line="360" w:lineRule="auto"/>
        <w:ind w:firstLine="480" w:firstLineChars="200"/>
        <w:rPr>
          <w:rFonts w:cs="仿宋_GB2312"/>
          <w:sz w:val="24"/>
        </w:rPr>
      </w:pPr>
      <w:r>
        <w:rPr>
          <w:rFonts w:hint="eastAsia" w:cs="仿宋_GB2312"/>
          <w:sz w:val="24"/>
        </w:rPr>
        <w:t>在系统运行之前，中标方须对招标方的操作人员进行必要的培训，使其熟悉设计资料和图纸文件，掌握系统配置、设备运行等各方面情况，如每天的操作和监视，故障排除及系统设备的例行维护保养等。</w:t>
      </w:r>
    </w:p>
    <w:p>
      <w:pPr>
        <w:numPr>
          <w:ilvl w:val="0"/>
          <w:numId w:val="23"/>
        </w:numPr>
        <w:spacing w:line="360" w:lineRule="auto"/>
        <w:ind w:firstLine="480" w:firstLineChars="200"/>
        <w:rPr>
          <w:rFonts w:cs="仿宋_GB2312"/>
          <w:sz w:val="24"/>
        </w:rPr>
      </w:pPr>
      <w:r>
        <w:rPr>
          <w:rFonts w:hint="eastAsia" w:cs="仿宋_GB2312"/>
          <w:sz w:val="24"/>
        </w:rPr>
        <w:t>中标方每次到现场都需将工作内容详列并经招标方相关人员确认，且记录在案。因维修需要而将系统部分离线或停机，必须事先通知招标方。</w:t>
      </w:r>
    </w:p>
    <w:p>
      <w:pPr>
        <w:pStyle w:val="9"/>
        <w:spacing w:before="156"/>
        <w:ind w:firstLine="482" w:firstLineChars="200"/>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2.4冷却塔技术要求</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2.4.1总则</w:t>
      </w:r>
    </w:p>
    <w:p>
      <w:pPr>
        <w:numPr>
          <w:ilvl w:val="0"/>
          <w:numId w:val="24"/>
        </w:numPr>
        <w:spacing w:line="360" w:lineRule="auto"/>
        <w:ind w:firstLine="480" w:firstLineChars="200"/>
        <w:rPr>
          <w:rFonts w:cs="仿宋_GB2312"/>
          <w:sz w:val="24"/>
        </w:rPr>
      </w:pPr>
      <w:r>
        <w:rPr>
          <w:rFonts w:hint="eastAsia" w:cs="仿宋_GB2312"/>
          <w:sz w:val="24"/>
        </w:rPr>
        <w:t>引用标准、规范、规定：满足国家和地方关于冷却塔设计、生产、范和规定（包括推荐标准）。</w:t>
      </w:r>
    </w:p>
    <w:p>
      <w:pPr>
        <w:numPr>
          <w:ilvl w:val="0"/>
          <w:numId w:val="24"/>
        </w:numPr>
        <w:spacing w:line="360" w:lineRule="auto"/>
        <w:ind w:firstLine="480" w:firstLineChars="200"/>
        <w:rPr>
          <w:rFonts w:cs="仿宋_GB2312"/>
          <w:sz w:val="24"/>
        </w:rPr>
      </w:pPr>
      <w:r>
        <w:rPr>
          <w:rFonts w:hint="eastAsia" w:cs="仿宋_GB2312"/>
          <w:sz w:val="24"/>
        </w:rPr>
        <w:t>主要对象包括：横流式冷却塔8台。冷却塔视现场具体情况确定是否需要现场拼装。</w:t>
      </w:r>
    </w:p>
    <w:p>
      <w:pPr>
        <w:numPr>
          <w:ilvl w:val="0"/>
          <w:numId w:val="24"/>
        </w:numPr>
        <w:spacing w:line="360" w:lineRule="auto"/>
        <w:ind w:firstLine="480" w:firstLineChars="200"/>
        <w:rPr>
          <w:rFonts w:cs="仿宋_GB2312"/>
          <w:sz w:val="24"/>
        </w:rPr>
      </w:pPr>
      <w:r>
        <w:rPr>
          <w:rFonts w:hint="eastAsia" w:cs="仿宋_GB2312"/>
          <w:sz w:val="24"/>
        </w:rPr>
        <w:t>提供冷却塔需满足的重要性能指标：</w:t>
      </w:r>
    </w:p>
    <w:p>
      <w:pPr>
        <w:numPr>
          <w:ilvl w:val="0"/>
          <w:numId w:val="25"/>
        </w:numPr>
        <w:spacing w:line="360" w:lineRule="auto"/>
        <w:ind w:firstLine="480" w:firstLineChars="200"/>
        <w:rPr>
          <w:rFonts w:cs="仿宋_GB2312"/>
          <w:sz w:val="24"/>
        </w:rPr>
      </w:pPr>
      <w:r>
        <w:rPr>
          <w:rFonts w:hint="eastAsia" w:cs="仿宋_GB2312"/>
          <w:sz w:val="24"/>
        </w:rPr>
        <w:t>横流式、双面进风、阻燃型；</w:t>
      </w:r>
    </w:p>
    <w:p>
      <w:pPr>
        <w:numPr>
          <w:ilvl w:val="0"/>
          <w:numId w:val="25"/>
        </w:numPr>
        <w:spacing w:line="360" w:lineRule="auto"/>
        <w:ind w:firstLine="480" w:firstLineChars="200"/>
        <w:rPr>
          <w:rFonts w:cs="仿宋_GB2312"/>
          <w:sz w:val="24"/>
        </w:rPr>
      </w:pPr>
      <w:r>
        <w:rPr>
          <w:rFonts w:hint="eastAsia" w:cs="仿宋_GB2312"/>
          <w:sz w:val="24"/>
        </w:rPr>
        <w:t>设计工况：进塔空气干球温度34℃、湿球温度28℃、大气压力1.013×105Pa、进塔水温37℃、出塔水温32℃、进塔冷却水流量；</w:t>
      </w:r>
    </w:p>
    <w:p>
      <w:pPr>
        <w:numPr>
          <w:ilvl w:val="0"/>
          <w:numId w:val="25"/>
        </w:numPr>
        <w:spacing w:line="360" w:lineRule="auto"/>
        <w:ind w:firstLine="480" w:firstLineChars="200"/>
        <w:rPr>
          <w:rFonts w:cs="仿宋_GB2312"/>
          <w:sz w:val="24"/>
        </w:rPr>
      </w:pPr>
      <w:r>
        <w:rPr>
          <w:rFonts w:hint="eastAsia" w:cs="仿宋_GB2312"/>
          <w:sz w:val="24"/>
        </w:rPr>
        <w:t>冷却塔体扬程≤50Kpa；</w:t>
      </w:r>
    </w:p>
    <w:p>
      <w:pPr>
        <w:numPr>
          <w:ilvl w:val="0"/>
          <w:numId w:val="25"/>
        </w:numPr>
        <w:spacing w:line="360" w:lineRule="auto"/>
        <w:ind w:firstLine="480" w:firstLineChars="200"/>
        <w:rPr>
          <w:rFonts w:cs="仿宋_GB2312"/>
          <w:sz w:val="24"/>
        </w:rPr>
      </w:pPr>
      <w:r>
        <w:rPr>
          <w:rFonts w:hint="eastAsia" w:cs="仿宋_GB2312"/>
          <w:sz w:val="24"/>
        </w:rPr>
        <w:t>补水量：≤1.0%（不含排污）；</w:t>
      </w:r>
    </w:p>
    <w:p>
      <w:pPr>
        <w:numPr>
          <w:ilvl w:val="0"/>
          <w:numId w:val="25"/>
        </w:numPr>
        <w:spacing w:line="360" w:lineRule="auto"/>
        <w:ind w:firstLine="480" w:firstLineChars="200"/>
        <w:rPr>
          <w:rFonts w:cs="仿宋_GB2312"/>
          <w:sz w:val="24"/>
        </w:rPr>
      </w:pPr>
      <w:r>
        <w:rPr>
          <w:rFonts w:hint="eastAsia" w:cs="仿宋_GB2312"/>
          <w:sz w:val="24"/>
        </w:rPr>
        <w:t>冷却塔采用低噪音型并提供《检测报告》</w:t>
      </w:r>
    </w:p>
    <w:p>
      <w:pPr>
        <w:numPr>
          <w:ilvl w:val="0"/>
          <w:numId w:val="25"/>
        </w:numPr>
        <w:spacing w:line="360" w:lineRule="auto"/>
        <w:ind w:firstLine="480" w:firstLineChars="200"/>
        <w:rPr>
          <w:rFonts w:cs="仿宋_GB2312"/>
          <w:sz w:val="24"/>
        </w:rPr>
      </w:pPr>
      <w:r>
        <w:rPr>
          <w:rFonts w:hint="eastAsia" w:cs="仿宋_GB2312"/>
          <w:sz w:val="24"/>
        </w:rPr>
        <w:t>飘水率低于0.001%，并提供测试报告。</w:t>
      </w:r>
    </w:p>
    <w:p>
      <w:pPr>
        <w:numPr>
          <w:ilvl w:val="0"/>
          <w:numId w:val="25"/>
        </w:numPr>
        <w:spacing w:line="360" w:lineRule="auto"/>
        <w:ind w:firstLine="480" w:firstLineChars="200"/>
        <w:rPr>
          <w:rFonts w:cs="仿宋_GB2312"/>
          <w:sz w:val="24"/>
        </w:rPr>
      </w:pPr>
      <w:r>
        <w:rPr>
          <w:rFonts w:hint="eastAsia" w:cs="仿宋_GB2312"/>
          <w:sz w:val="24"/>
        </w:rPr>
        <w:t>并能满足风机变频和变冷却水流量运行的要求，可变流量范围不小于60%～100%。</w:t>
      </w:r>
    </w:p>
    <w:p>
      <w:pPr>
        <w:numPr>
          <w:ilvl w:val="0"/>
          <w:numId w:val="25"/>
        </w:numPr>
        <w:spacing w:line="360" w:lineRule="auto"/>
        <w:ind w:firstLine="480" w:firstLineChars="200"/>
        <w:rPr>
          <w:rFonts w:cs="仿宋_GB2312"/>
          <w:sz w:val="24"/>
        </w:rPr>
      </w:pPr>
      <w:r>
        <w:rPr>
          <w:rFonts w:hint="eastAsia" w:cs="仿宋_GB2312"/>
          <w:sz w:val="24"/>
        </w:rPr>
        <w:t>冷却塔顶部进水，底部出水；</w:t>
      </w:r>
    </w:p>
    <w:p>
      <w:pPr>
        <w:numPr>
          <w:ilvl w:val="0"/>
          <w:numId w:val="25"/>
        </w:numPr>
        <w:spacing w:line="360" w:lineRule="auto"/>
        <w:ind w:firstLine="480" w:firstLineChars="200"/>
        <w:rPr>
          <w:rFonts w:cs="仿宋_GB2312"/>
          <w:sz w:val="24"/>
        </w:rPr>
      </w:pPr>
      <w:r>
        <w:rPr>
          <w:rFonts w:hint="eastAsia" w:cs="仿宋_GB2312"/>
          <w:sz w:val="24"/>
        </w:rPr>
        <w:t>冷却能力不允许负偏差。</w:t>
      </w:r>
    </w:p>
    <w:p>
      <w:pPr>
        <w:numPr>
          <w:ilvl w:val="0"/>
          <w:numId w:val="24"/>
        </w:numPr>
        <w:spacing w:line="360" w:lineRule="auto"/>
        <w:ind w:firstLine="480" w:firstLineChars="200"/>
        <w:rPr>
          <w:rFonts w:cs="仿宋_GB2312"/>
          <w:sz w:val="24"/>
        </w:rPr>
      </w:pPr>
      <w:r>
        <w:rPr>
          <w:rFonts w:hint="eastAsia" w:cs="仿宋_GB2312"/>
          <w:sz w:val="24"/>
        </w:rPr>
        <w:t>提供技术文件：</w:t>
      </w:r>
    </w:p>
    <w:p>
      <w:pPr>
        <w:numPr>
          <w:ilvl w:val="0"/>
          <w:numId w:val="26"/>
        </w:numPr>
        <w:spacing w:line="360" w:lineRule="auto"/>
        <w:ind w:firstLine="480" w:firstLineChars="200"/>
        <w:rPr>
          <w:rFonts w:cs="仿宋_GB2312"/>
          <w:sz w:val="24"/>
        </w:rPr>
      </w:pPr>
      <w:r>
        <w:rPr>
          <w:rFonts w:hint="eastAsia" w:cs="仿宋_GB2312"/>
          <w:sz w:val="24"/>
        </w:rPr>
        <w:t>提供冷却塔选型计算书和冷却塔气流组织模拟分析图；</w:t>
      </w:r>
    </w:p>
    <w:p>
      <w:pPr>
        <w:numPr>
          <w:ilvl w:val="0"/>
          <w:numId w:val="26"/>
        </w:numPr>
        <w:spacing w:line="360" w:lineRule="auto"/>
        <w:ind w:firstLine="480" w:firstLineChars="200"/>
        <w:rPr>
          <w:rFonts w:cs="仿宋_GB2312"/>
          <w:sz w:val="24"/>
          <w:lang w:val="zh-CN"/>
        </w:rPr>
      </w:pPr>
      <w:r>
        <w:rPr>
          <w:rFonts w:hint="eastAsia" w:cs="仿宋_GB2312"/>
          <w:sz w:val="24"/>
        </w:rPr>
        <w:t>结合现场条件的CFD模拟。</w:t>
      </w:r>
      <w:r>
        <w:rPr>
          <w:rFonts w:hint="eastAsia" w:cs="仿宋_GB2312"/>
          <w:sz w:val="24"/>
          <w:lang w:val="zh-CN"/>
        </w:rPr>
        <w:t>如CFD模拟或运行时出现白烟情况，投标</w:t>
      </w:r>
      <w:r>
        <w:rPr>
          <w:rFonts w:hint="eastAsia" w:cs="仿宋_GB2312"/>
          <w:sz w:val="24"/>
        </w:rPr>
        <w:t>方</w:t>
      </w:r>
      <w:r>
        <w:rPr>
          <w:rFonts w:hint="eastAsia" w:cs="仿宋_GB2312"/>
          <w:sz w:val="24"/>
          <w:lang w:val="zh-CN"/>
        </w:rPr>
        <w:t>需增设防白烟功能或采取一切可能的措施。</w:t>
      </w:r>
    </w:p>
    <w:p>
      <w:pPr>
        <w:numPr>
          <w:ilvl w:val="0"/>
          <w:numId w:val="26"/>
        </w:numPr>
        <w:spacing w:line="360" w:lineRule="auto"/>
        <w:ind w:firstLine="480" w:firstLineChars="200"/>
        <w:rPr>
          <w:rFonts w:cs="仿宋_GB2312"/>
          <w:sz w:val="24"/>
        </w:rPr>
      </w:pPr>
      <w:r>
        <w:rPr>
          <w:rFonts w:hint="eastAsia" w:cs="仿宋_GB2312"/>
          <w:sz w:val="24"/>
        </w:rPr>
        <w:t>冷却塔参数表。在参数表中包含的内容：风机种类、规格型号、风量、全压、效率、出口风速、电机功率（含电压）、出口声压级噪音；冷却塔进出水温、进风温湿度、冷却能力、塔体扬程、飘水率、实测耗电比、变冷却水流量运行能力等。</w:t>
      </w:r>
    </w:p>
    <w:p>
      <w:pPr>
        <w:numPr>
          <w:ilvl w:val="0"/>
          <w:numId w:val="26"/>
        </w:numPr>
        <w:spacing w:line="360" w:lineRule="auto"/>
        <w:ind w:firstLine="480" w:firstLineChars="200"/>
        <w:rPr>
          <w:rFonts w:cs="仿宋_GB2312"/>
          <w:sz w:val="24"/>
        </w:rPr>
      </w:pPr>
      <w:r>
        <w:rPr>
          <w:rFonts w:hint="eastAsia" w:cs="仿宋_GB2312"/>
          <w:sz w:val="24"/>
        </w:rPr>
        <w:t>说明风机各主要部件（风机、电机、减速器、塔体、填料、布水器、集水盘、结构件）材料、型号、厂家、产地、技术参数。</w:t>
      </w:r>
    </w:p>
    <w:p>
      <w:pPr>
        <w:numPr>
          <w:ilvl w:val="0"/>
          <w:numId w:val="26"/>
        </w:numPr>
        <w:spacing w:line="360" w:lineRule="auto"/>
        <w:ind w:firstLine="480" w:firstLineChars="200"/>
        <w:rPr>
          <w:rFonts w:cs="仿宋_GB2312"/>
          <w:sz w:val="24"/>
        </w:rPr>
      </w:pPr>
      <w:r>
        <w:rPr>
          <w:rFonts w:hint="eastAsia" w:cs="仿宋_GB2312"/>
          <w:sz w:val="24"/>
        </w:rPr>
        <w:t>提供冷却塔的完整样本及安装尺寸、外形尺寸、冷却塔安装布置详图（应符合图纸及场地空间位置要求）、基础施工图、各接驳管位置图、电气接线图、安装说明。</w:t>
      </w:r>
    </w:p>
    <w:p>
      <w:pPr>
        <w:numPr>
          <w:ilvl w:val="0"/>
          <w:numId w:val="24"/>
        </w:numPr>
        <w:spacing w:line="360" w:lineRule="auto"/>
        <w:ind w:firstLine="480" w:firstLineChars="200"/>
        <w:rPr>
          <w:rFonts w:cs="仿宋_GB2312"/>
          <w:sz w:val="24"/>
        </w:rPr>
      </w:pPr>
      <w:r>
        <w:rPr>
          <w:rFonts w:hint="eastAsia" w:cs="仿宋_GB2312"/>
          <w:sz w:val="24"/>
        </w:rPr>
        <w:t>所投冷却塔的型号必须取得本身的CTI认证，并提供CTI检测报告。</w:t>
      </w:r>
    </w:p>
    <w:p>
      <w:pPr>
        <w:numPr>
          <w:ilvl w:val="0"/>
          <w:numId w:val="24"/>
        </w:numPr>
        <w:spacing w:line="360" w:lineRule="auto"/>
        <w:ind w:firstLine="480" w:firstLineChars="200"/>
        <w:rPr>
          <w:rFonts w:cs="仿宋_GB2312"/>
          <w:sz w:val="24"/>
        </w:rPr>
      </w:pPr>
      <w:r>
        <w:rPr>
          <w:rFonts w:hint="eastAsia" w:cs="仿宋_GB2312"/>
          <w:sz w:val="24"/>
        </w:rPr>
        <w:t>尽管有 CTI 认证，冷却塔在投入使用后，如果对热力性能有疑问，招标方可选择在设备运行第一年里进行按照 CTI 或ASME标准进行现场热力性能测试，测试由具有资质的，没有利益牵涉的第三方监督进行。如果塔的操作性能无法达到允许的测试误差，那么中标方将支付测试费用，并对设备进行修正，以满足招标方的要求，补偿操作性能上的缺陷。</w:t>
      </w:r>
    </w:p>
    <w:p>
      <w:pPr>
        <w:numPr>
          <w:ilvl w:val="0"/>
          <w:numId w:val="24"/>
        </w:numPr>
        <w:spacing w:line="360" w:lineRule="auto"/>
        <w:ind w:firstLine="480" w:firstLineChars="200"/>
        <w:rPr>
          <w:rFonts w:cs="仿宋_GB2312"/>
          <w:sz w:val="24"/>
        </w:rPr>
      </w:pPr>
      <w:r>
        <w:rPr>
          <w:rFonts w:hint="eastAsia" w:cs="仿宋_GB2312"/>
          <w:sz w:val="24"/>
        </w:rPr>
        <w:t>提供国家权威部门提供的塔体、填料等材料的防火性能检验报告。</w:t>
      </w:r>
    </w:p>
    <w:p>
      <w:pPr>
        <w:numPr>
          <w:ilvl w:val="0"/>
          <w:numId w:val="24"/>
        </w:numPr>
        <w:spacing w:line="360" w:lineRule="auto"/>
        <w:ind w:firstLine="480" w:firstLineChars="200"/>
        <w:rPr>
          <w:rFonts w:cs="仿宋_GB2312"/>
          <w:sz w:val="24"/>
        </w:rPr>
      </w:pPr>
      <w:r>
        <w:rPr>
          <w:rFonts w:hint="eastAsia" w:cs="仿宋_GB2312"/>
          <w:sz w:val="24"/>
        </w:rPr>
        <w:t>塔体</w:t>
      </w:r>
    </w:p>
    <w:p>
      <w:pPr>
        <w:numPr>
          <w:ilvl w:val="0"/>
          <w:numId w:val="27"/>
        </w:numPr>
        <w:spacing w:line="360" w:lineRule="auto"/>
        <w:ind w:firstLine="480" w:firstLineChars="200"/>
        <w:rPr>
          <w:rFonts w:cs="仿宋_GB2312"/>
          <w:sz w:val="24"/>
        </w:rPr>
      </w:pPr>
      <w:r>
        <w:rPr>
          <w:rFonts w:hint="eastAsia" w:cs="仿宋_GB2312"/>
          <w:sz w:val="24"/>
        </w:rPr>
        <w:t>全钢塔，不低于</w:t>
      </w:r>
      <w:r>
        <w:rPr>
          <w:rFonts w:hint="eastAsia" w:cs="仿宋_GB2312"/>
          <w:sz w:val="24"/>
          <w:lang w:val="zh-CN"/>
        </w:rPr>
        <w:t>G235/</w:t>
      </w:r>
      <w:r>
        <w:rPr>
          <w:rFonts w:hint="eastAsia" w:cs="仿宋_GB2312"/>
          <w:sz w:val="24"/>
        </w:rPr>
        <w:t xml:space="preserve"> </w:t>
      </w:r>
      <w:r>
        <w:rPr>
          <w:rFonts w:hint="eastAsia" w:cs="仿宋_GB2312"/>
          <w:sz w:val="24"/>
          <w:lang w:val="zh-CN"/>
        </w:rPr>
        <w:t>Z700镀锌钢标准</w:t>
      </w:r>
    </w:p>
    <w:p>
      <w:pPr>
        <w:numPr>
          <w:ilvl w:val="0"/>
          <w:numId w:val="27"/>
        </w:numPr>
        <w:spacing w:line="360" w:lineRule="auto"/>
        <w:ind w:firstLine="480" w:firstLineChars="200"/>
        <w:rPr>
          <w:rFonts w:cs="仿宋_GB2312"/>
          <w:sz w:val="24"/>
        </w:rPr>
      </w:pPr>
      <w:r>
        <w:rPr>
          <w:rFonts w:hint="eastAsia" w:cs="仿宋_GB2312"/>
          <w:sz w:val="24"/>
        </w:rPr>
        <w:t>集水底盘：集水量不少于循环水量1%，底盘容量须能够应付冷却塔在停止操作时的水量而不会出现满溢情况。</w:t>
      </w:r>
    </w:p>
    <w:p>
      <w:pPr>
        <w:numPr>
          <w:ilvl w:val="0"/>
          <w:numId w:val="27"/>
        </w:numPr>
        <w:spacing w:line="360" w:lineRule="auto"/>
        <w:ind w:firstLine="480" w:firstLineChars="200"/>
        <w:rPr>
          <w:rFonts w:cs="仿宋_GB2312"/>
          <w:sz w:val="24"/>
        </w:rPr>
      </w:pPr>
      <w:r>
        <w:rPr>
          <w:rFonts w:hint="eastAsia" w:cs="仿宋_GB2312"/>
          <w:sz w:val="24"/>
        </w:rPr>
        <w:t>应留有排污管、溢水管、平衡管接口、补给管、进、出口管的接口、需配有自动补水不锈钢浮球阀、出水槽连反旋涡挡板等配套设施。</w:t>
      </w:r>
    </w:p>
    <w:p>
      <w:pPr>
        <w:numPr>
          <w:ilvl w:val="0"/>
          <w:numId w:val="27"/>
        </w:numPr>
        <w:spacing w:line="360" w:lineRule="auto"/>
        <w:ind w:firstLine="480" w:firstLineChars="200"/>
        <w:rPr>
          <w:rFonts w:cs="仿宋_GB2312"/>
          <w:sz w:val="24"/>
        </w:rPr>
      </w:pPr>
      <w:r>
        <w:rPr>
          <w:rFonts w:hint="eastAsia" w:cs="仿宋_GB2312"/>
          <w:sz w:val="24"/>
        </w:rPr>
        <w:t>布水器（材质为</w:t>
      </w:r>
      <w:r>
        <w:rPr>
          <w:rFonts w:hint="eastAsia" w:cs="仿宋_GB2312"/>
          <w:sz w:val="24"/>
          <w:lang w:val="zh-CN"/>
        </w:rPr>
        <w:t>G235/</w:t>
      </w:r>
      <w:r>
        <w:rPr>
          <w:rFonts w:hint="eastAsia" w:cs="仿宋_GB2312"/>
          <w:sz w:val="24"/>
        </w:rPr>
        <w:t xml:space="preserve"> </w:t>
      </w:r>
      <w:r>
        <w:rPr>
          <w:rFonts w:hint="eastAsia" w:cs="仿宋_GB2312"/>
          <w:sz w:val="24"/>
          <w:lang w:val="zh-CN"/>
        </w:rPr>
        <w:t>Z700镀锌钢</w:t>
      </w:r>
      <w:r>
        <w:rPr>
          <w:rFonts w:hint="eastAsia" w:cs="仿宋_GB2312"/>
          <w:sz w:val="24"/>
        </w:rPr>
        <w:t>）：压力布水，布水均匀，便于维护，压力损失小，不易堵塞，确保填料表面能满布水幕；布水水槽采用热浸锌钢制作，并加设布水盘盖。</w:t>
      </w:r>
    </w:p>
    <w:p>
      <w:pPr>
        <w:numPr>
          <w:ilvl w:val="0"/>
          <w:numId w:val="24"/>
        </w:numPr>
        <w:spacing w:line="360" w:lineRule="auto"/>
        <w:ind w:firstLine="480" w:firstLineChars="200"/>
        <w:rPr>
          <w:rFonts w:cs="仿宋_GB2312"/>
          <w:sz w:val="24"/>
        </w:rPr>
      </w:pPr>
      <w:r>
        <w:rPr>
          <w:rFonts w:hint="eastAsia" w:cs="仿宋_GB2312"/>
          <w:sz w:val="24"/>
        </w:rPr>
        <w:t>风机与电机</w:t>
      </w:r>
    </w:p>
    <w:p>
      <w:pPr>
        <w:numPr>
          <w:ilvl w:val="0"/>
          <w:numId w:val="28"/>
        </w:numPr>
        <w:spacing w:line="360" w:lineRule="auto"/>
        <w:ind w:firstLine="480" w:firstLineChars="200"/>
        <w:rPr>
          <w:rFonts w:cs="仿宋_GB2312"/>
          <w:sz w:val="24"/>
        </w:rPr>
      </w:pPr>
      <w:r>
        <w:rPr>
          <w:rFonts w:hint="eastAsia" w:cs="仿宋_GB2312"/>
          <w:sz w:val="24"/>
        </w:rPr>
        <w:t>应为行业内性能优异的知名品牌。供电条件为3Φ/380V±6%/50HZ±2%，转速≤600rpm，绝缘等级：F级，防护等级：IP55。电机应为变频式电机，适应25~50Hz的变频应用。户外电动机，封闭式耐湿热型，对电动机的接线匣进行防水密封、上油防腐等处理。</w:t>
      </w:r>
    </w:p>
    <w:p>
      <w:pPr>
        <w:numPr>
          <w:ilvl w:val="0"/>
          <w:numId w:val="28"/>
        </w:numPr>
        <w:spacing w:line="360" w:lineRule="auto"/>
        <w:ind w:firstLine="480" w:firstLineChars="200"/>
        <w:rPr>
          <w:rFonts w:cs="仿宋_GB2312"/>
          <w:sz w:val="24"/>
        </w:rPr>
      </w:pPr>
      <w:r>
        <w:rPr>
          <w:rFonts w:hint="eastAsia" w:cs="仿宋_GB2312"/>
          <w:sz w:val="24"/>
        </w:rPr>
        <w:t>风机特性参数应符合设计工况要求，其主要配件（如传动轮、皮带、防护罩、减速器等）应符合有关技术规定。</w:t>
      </w:r>
    </w:p>
    <w:p>
      <w:pPr>
        <w:numPr>
          <w:ilvl w:val="0"/>
          <w:numId w:val="28"/>
        </w:numPr>
        <w:spacing w:line="360" w:lineRule="auto"/>
        <w:ind w:firstLine="480" w:firstLineChars="200"/>
        <w:rPr>
          <w:rFonts w:cs="仿宋_GB2312"/>
          <w:sz w:val="24"/>
        </w:rPr>
      </w:pPr>
      <w:r>
        <w:rPr>
          <w:rFonts w:hint="eastAsia" w:cs="仿宋_GB2312"/>
          <w:sz w:val="24"/>
        </w:rPr>
        <w:t>叶片采用高强度铝合金耐腐蚀高效叶片或SMC挤压成型的全钢材质叶片；风机叶片要求强度可靠，表面光洁，各截面过渡均匀、无裂纹、缺口、毛刺等缺陷。</w:t>
      </w:r>
    </w:p>
    <w:p>
      <w:pPr>
        <w:numPr>
          <w:ilvl w:val="0"/>
          <w:numId w:val="28"/>
        </w:numPr>
        <w:spacing w:line="360" w:lineRule="auto"/>
        <w:ind w:firstLine="480" w:firstLineChars="200"/>
        <w:rPr>
          <w:rFonts w:cs="仿宋_GB2312"/>
          <w:sz w:val="24"/>
        </w:rPr>
      </w:pPr>
      <w:r>
        <w:rPr>
          <w:rFonts w:hint="eastAsia" w:cs="仿宋_GB2312"/>
          <w:sz w:val="24"/>
        </w:rPr>
        <w:t>风机组装前，风机叶片应作静平衡试验，并按“刚性转子平衡精度”取G6.3等级，平衡力矩由计算求出。叶片平衡后应定位、编号；</w:t>
      </w:r>
    </w:p>
    <w:p>
      <w:pPr>
        <w:numPr>
          <w:ilvl w:val="0"/>
          <w:numId w:val="28"/>
        </w:numPr>
        <w:spacing w:line="360" w:lineRule="auto"/>
        <w:ind w:firstLine="480" w:firstLineChars="200"/>
        <w:rPr>
          <w:rFonts w:cs="仿宋_GB2312"/>
          <w:sz w:val="24"/>
        </w:rPr>
      </w:pPr>
      <w:r>
        <w:rPr>
          <w:rFonts w:hint="eastAsia" w:cs="仿宋_GB2312"/>
          <w:sz w:val="24"/>
        </w:rPr>
        <w:t>风机传动系统采用皮带传动型式时，皮带轮应与风机同时进行静平衡试验；风机转速不超过400rpm。</w:t>
      </w:r>
    </w:p>
    <w:p>
      <w:pPr>
        <w:numPr>
          <w:ilvl w:val="0"/>
          <w:numId w:val="28"/>
        </w:numPr>
        <w:spacing w:line="360" w:lineRule="auto"/>
        <w:ind w:firstLine="480" w:firstLineChars="200"/>
        <w:rPr>
          <w:rFonts w:cs="仿宋_GB2312"/>
          <w:sz w:val="24"/>
        </w:rPr>
      </w:pPr>
      <w:r>
        <w:rPr>
          <w:rFonts w:hint="eastAsia" w:cs="仿宋_GB2312"/>
          <w:sz w:val="24"/>
        </w:rPr>
        <w:t>风机须使用低噪音皮带驱动，须按电动机功率的百分之一百五十(150％)选用V形皮带(三角皮带)驱动风机。电动机须采用可调三角皮带轮，以能调节风机速度的+10％。而风机的设计应能接近可调节速度的中间值，皮带速度不超过25米／秒。</w:t>
      </w:r>
    </w:p>
    <w:p>
      <w:pPr>
        <w:numPr>
          <w:ilvl w:val="0"/>
          <w:numId w:val="24"/>
        </w:numPr>
        <w:spacing w:line="360" w:lineRule="auto"/>
        <w:ind w:firstLine="480" w:firstLineChars="200"/>
        <w:rPr>
          <w:rFonts w:cs="仿宋_GB2312"/>
          <w:sz w:val="24"/>
        </w:rPr>
      </w:pPr>
      <w:r>
        <w:rPr>
          <w:rFonts w:hint="eastAsia" w:cs="仿宋_GB2312"/>
          <w:sz w:val="24"/>
        </w:rPr>
        <w:t>填料</w:t>
      </w:r>
    </w:p>
    <w:p>
      <w:pPr>
        <w:numPr>
          <w:ilvl w:val="0"/>
          <w:numId w:val="29"/>
        </w:numPr>
        <w:spacing w:line="360" w:lineRule="auto"/>
        <w:ind w:firstLine="480" w:firstLineChars="200"/>
        <w:rPr>
          <w:rFonts w:cs="仿宋_GB2312"/>
          <w:sz w:val="24"/>
        </w:rPr>
      </w:pPr>
      <w:r>
        <w:rPr>
          <w:rFonts w:hint="eastAsia" w:cs="仿宋_GB2312"/>
          <w:sz w:val="24"/>
        </w:rPr>
        <w:t>填料材料选全新的环保难燃PVC材料，真空吸塑而成，不接受再生塑料；并且要具有抗紫外线长寿命、防腐，防老化，防霉或防蛀的特性。</w:t>
      </w:r>
    </w:p>
    <w:p>
      <w:pPr>
        <w:numPr>
          <w:ilvl w:val="0"/>
          <w:numId w:val="29"/>
        </w:numPr>
        <w:spacing w:line="360" w:lineRule="auto"/>
        <w:ind w:firstLine="480" w:firstLineChars="200"/>
        <w:rPr>
          <w:rFonts w:cs="仿宋_GB2312"/>
          <w:sz w:val="24"/>
        </w:rPr>
      </w:pPr>
      <w:r>
        <w:rPr>
          <w:rFonts w:hint="eastAsia" w:cs="仿宋_GB2312"/>
          <w:sz w:val="24"/>
        </w:rPr>
        <w:t>填料安装时要求间隙均匀、顶面平整、无塌落和叠片现象，填料片厚度不低于0.3mm，采用悬挂式安装，氧指数不低于36%，并提供近三年内国家权威部门出具的《检测报告》；</w:t>
      </w:r>
    </w:p>
    <w:p>
      <w:pPr>
        <w:numPr>
          <w:ilvl w:val="0"/>
          <w:numId w:val="29"/>
        </w:numPr>
        <w:spacing w:line="360" w:lineRule="auto"/>
        <w:ind w:firstLine="480" w:firstLineChars="200"/>
        <w:rPr>
          <w:rFonts w:cs="仿宋_GB2312"/>
          <w:sz w:val="24"/>
        </w:rPr>
      </w:pPr>
      <w:r>
        <w:rPr>
          <w:rFonts w:hint="eastAsia" w:cs="仿宋_GB2312"/>
          <w:sz w:val="24"/>
        </w:rPr>
        <w:t>能提供最佳的空气与热水的接触面而产生最有效的热交换作用。</w:t>
      </w:r>
    </w:p>
    <w:p>
      <w:pPr>
        <w:numPr>
          <w:ilvl w:val="0"/>
          <w:numId w:val="29"/>
        </w:numPr>
        <w:spacing w:line="360" w:lineRule="auto"/>
        <w:ind w:firstLine="480" w:firstLineChars="200"/>
        <w:rPr>
          <w:rFonts w:cs="仿宋_GB2312"/>
          <w:sz w:val="24"/>
        </w:rPr>
      </w:pPr>
      <w:r>
        <w:rPr>
          <w:rFonts w:hint="eastAsia" w:cs="仿宋_GB2312"/>
          <w:sz w:val="24"/>
        </w:rPr>
        <w:t>填料设计宜易于安装和取出清洗。</w:t>
      </w:r>
    </w:p>
    <w:p>
      <w:pPr>
        <w:numPr>
          <w:ilvl w:val="0"/>
          <w:numId w:val="29"/>
        </w:numPr>
        <w:spacing w:line="360" w:lineRule="auto"/>
        <w:ind w:firstLine="480" w:firstLineChars="200"/>
        <w:rPr>
          <w:rFonts w:cs="仿宋_GB2312"/>
          <w:sz w:val="24"/>
        </w:rPr>
      </w:pPr>
      <w:r>
        <w:rPr>
          <w:rFonts w:hint="eastAsia" w:cs="仿宋_GB2312"/>
          <w:sz w:val="24"/>
        </w:rPr>
        <w:t>填料与集水盘周边应有一定间隙，便于清洗。</w:t>
      </w:r>
    </w:p>
    <w:p>
      <w:pPr>
        <w:numPr>
          <w:ilvl w:val="0"/>
          <w:numId w:val="24"/>
        </w:numPr>
        <w:spacing w:line="360" w:lineRule="auto"/>
        <w:ind w:firstLine="480" w:firstLineChars="200"/>
        <w:rPr>
          <w:rFonts w:cs="仿宋_GB2312"/>
          <w:sz w:val="24"/>
        </w:rPr>
      </w:pPr>
      <w:r>
        <w:rPr>
          <w:rFonts w:hint="eastAsia" w:cs="仿宋_GB2312"/>
          <w:sz w:val="24"/>
        </w:rPr>
        <w:t>结构件</w:t>
      </w:r>
    </w:p>
    <w:p>
      <w:pPr>
        <w:numPr>
          <w:ilvl w:val="0"/>
          <w:numId w:val="30"/>
        </w:numPr>
        <w:spacing w:line="360" w:lineRule="auto"/>
        <w:ind w:firstLine="480" w:firstLineChars="200"/>
        <w:rPr>
          <w:rFonts w:cs="仿宋_GB2312"/>
          <w:sz w:val="24"/>
        </w:rPr>
      </w:pPr>
      <w:r>
        <w:rPr>
          <w:rFonts w:hint="eastAsia" w:cs="仿宋_GB2312"/>
          <w:sz w:val="24"/>
        </w:rPr>
        <w:t>所有结构应为金属件，表面应作去油、防锈、热侵镀锌防腐处理。</w:t>
      </w:r>
    </w:p>
    <w:p>
      <w:pPr>
        <w:numPr>
          <w:ilvl w:val="0"/>
          <w:numId w:val="30"/>
        </w:numPr>
        <w:spacing w:line="360" w:lineRule="auto"/>
        <w:ind w:firstLine="480" w:firstLineChars="200"/>
        <w:rPr>
          <w:rFonts w:cs="仿宋_GB2312"/>
          <w:sz w:val="24"/>
        </w:rPr>
      </w:pPr>
      <w:r>
        <w:rPr>
          <w:rFonts w:hint="eastAsia" w:cs="仿宋_GB2312"/>
          <w:sz w:val="24"/>
        </w:rPr>
        <w:t>连接件（含锁节）应使用不锈钢或镀锌钢。</w:t>
      </w:r>
    </w:p>
    <w:p>
      <w:pPr>
        <w:numPr>
          <w:ilvl w:val="0"/>
          <w:numId w:val="30"/>
        </w:numPr>
        <w:spacing w:line="360" w:lineRule="auto"/>
        <w:ind w:firstLine="480" w:firstLineChars="200"/>
        <w:rPr>
          <w:rFonts w:cs="仿宋_GB2312"/>
          <w:sz w:val="24"/>
        </w:rPr>
      </w:pPr>
      <w:r>
        <w:rPr>
          <w:rFonts w:hint="eastAsia" w:cs="仿宋_GB2312"/>
          <w:sz w:val="24"/>
          <w:lang w:val="zh-CN"/>
        </w:rPr>
        <w:t>所有金属件</w:t>
      </w:r>
      <w:r>
        <w:rPr>
          <w:rFonts w:hint="eastAsia" w:cs="仿宋_GB2312"/>
          <w:sz w:val="24"/>
        </w:rPr>
        <w:t>，应作去油、除锈、打毛、清洗处理。</w:t>
      </w:r>
    </w:p>
    <w:p>
      <w:pPr>
        <w:numPr>
          <w:ilvl w:val="0"/>
          <w:numId w:val="30"/>
        </w:numPr>
        <w:spacing w:line="360" w:lineRule="auto"/>
        <w:ind w:firstLine="480" w:firstLineChars="200"/>
        <w:rPr>
          <w:rFonts w:cs="仿宋_GB2312"/>
          <w:sz w:val="24"/>
        </w:rPr>
      </w:pPr>
      <w:r>
        <w:rPr>
          <w:rFonts w:hint="eastAsia" w:cs="仿宋_GB2312"/>
          <w:sz w:val="24"/>
        </w:rPr>
        <w:t>电动机应采用户外型冷却塔专用电机，电机采用内置式安装在风机下面冷却塔内。</w:t>
      </w:r>
    </w:p>
    <w:p>
      <w:pPr>
        <w:numPr>
          <w:ilvl w:val="0"/>
          <w:numId w:val="30"/>
        </w:numPr>
        <w:spacing w:line="360" w:lineRule="auto"/>
        <w:ind w:firstLine="480" w:firstLineChars="200"/>
        <w:rPr>
          <w:rFonts w:cs="仿宋_GB2312"/>
          <w:sz w:val="24"/>
        </w:rPr>
      </w:pPr>
      <w:r>
        <w:rPr>
          <w:rFonts w:hint="eastAsia" w:cs="仿宋_GB2312"/>
          <w:sz w:val="24"/>
        </w:rPr>
        <w:t>检修门门锁处应加厚至塔身板厚的2倍以上。</w:t>
      </w:r>
    </w:p>
    <w:p>
      <w:pPr>
        <w:numPr>
          <w:ilvl w:val="0"/>
          <w:numId w:val="30"/>
        </w:numPr>
        <w:spacing w:line="360" w:lineRule="auto"/>
        <w:ind w:firstLine="480" w:firstLineChars="200"/>
        <w:rPr>
          <w:rFonts w:cs="仿宋_GB2312"/>
          <w:sz w:val="24"/>
        </w:rPr>
      </w:pPr>
      <w:r>
        <w:rPr>
          <w:rFonts w:hint="eastAsia" w:cs="仿宋_GB2312"/>
          <w:sz w:val="24"/>
        </w:rPr>
        <w:t>冷却塔可多台拼接并联，内部通风、通水。</w:t>
      </w:r>
    </w:p>
    <w:p>
      <w:pPr>
        <w:numPr>
          <w:ilvl w:val="0"/>
          <w:numId w:val="30"/>
        </w:numPr>
        <w:spacing w:line="360" w:lineRule="auto"/>
        <w:ind w:firstLine="480" w:firstLineChars="200"/>
        <w:rPr>
          <w:rFonts w:cs="仿宋_GB2312"/>
          <w:sz w:val="24"/>
        </w:rPr>
      </w:pPr>
      <w:r>
        <w:rPr>
          <w:rFonts w:hint="eastAsia" w:cs="仿宋_GB2312"/>
          <w:sz w:val="24"/>
        </w:rPr>
        <w:t>塔内设维修走道和检修平台，塔外设有到塔顶的检修爬梯及塔顶围栏。顶部需设高度不少于1.0m的安全护栏。</w:t>
      </w:r>
    </w:p>
    <w:p>
      <w:pPr>
        <w:numPr>
          <w:ilvl w:val="0"/>
          <w:numId w:val="24"/>
        </w:numPr>
        <w:spacing w:line="360" w:lineRule="auto"/>
        <w:ind w:firstLine="480" w:firstLineChars="200"/>
        <w:rPr>
          <w:rFonts w:cs="仿宋_GB2312"/>
          <w:sz w:val="24"/>
        </w:rPr>
      </w:pPr>
      <w:r>
        <w:rPr>
          <w:rFonts w:hint="eastAsia" w:cs="仿宋_GB2312"/>
          <w:sz w:val="24"/>
        </w:rPr>
        <w:t>冷却塔平衡管应安装独立阀门，便于日后冷却塔清洗维护；</w:t>
      </w:r>
    </w:p>
    <w:p>
      <w:pPr>
        <w:numPr>
          <w:ilvl w:val="0"/>
          <w:numId w:val="24"/>
        </w:numPr>
        <w:spacing w:line="360" w:lineRule="auto"/>
        <w:ind w:firstLine="480" w:firstLineChars="200"/>
        <w:rPr>
          <w:rFonts w:cs="仿宋_GB2312"/>
          <w:sz w:val="24"/>
        </w:rPr>
      </w:pPr>
      <w:r>
        <w:rPr>
          <w:rFonts w:hint="eastAsia" w:cs="仿宋_GB2312"/>
          <w:sz w:val="24"/>
        </w:rPr>
        <w:t>冷却塔塔内通道平台设置及承重能力要便于日后清洗维护，塔顶播水槽盖板的硬度应能承人。护栏高度建议 1.1 米。</w:t>
      </w:r>
    </w:p>
    <w:p>
      <w:pPr>
        <w:numPr>
          <w:ilvl w:val="0"/>
          <w:numId w:val="24"/>
        </w:numPr>
        <w:spacing w:line="360" w:lineRule="auto"/>
        <w:ind w:firstLine="480" w:firstLineChars="200"/>
        <w:rPr>
          <w:rFonts w:cs="仿宋_GB2312"/>
          <w:sz w:val="24"/>
        </w:rPr>
      </w:pPr>
      <w:r>
        <w:rPr>
          <w:rFonts w:hint="eastAsia" w:cs="仿宋_GB2312"/>
          <w:sz w:val="24"/>
        </w:rPr>
        <w:t>冷却塔基础已施工完成，各厂家根据自家产品进行后期型钢基础制作。</w:t>
      </w:r>
    </w:p>
    <w:p>
      <w:pPr>
        <w:numPr>
          <w:ilvl w:val="0"/>
          <w:numId w:val="24"/>
        </w:numPr>
        <w:spacing w:line="360" w:lineRule="auto"/>
        <w:ind w:firstLine="480" w:firstLineChars="200"/>
        <w:rPr>
          <w:rFonts w:cs="仿宋_GB2312"/>
          <w:sz w:val="24"/>
        </w:rPr>
      </w:pPr>
      <w:r>
        <w:rPr>
          <w:rFonts w:hint="eastAsia" w:cs="仿宋_GB2312"/>
          <w:sz w:val="24"/>
        </w:rPr>
        <w:t>提供冷却塔远程监控运行系统，可通过手机APP或电脑时时监测和查看冷却塔水温、水量、电流、风机转速等各项数据并设置报警提醒。</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2.4.2横流式冷却塔</w:t>
      </w:r>
    </w:p>
    <w:p>
      <w:pPr>
        <w:pStyle w:val="9"/>
        <w:spacing w:before="156"/>
        <w:ind w:firstLine="480" w:firstLineChars="200"/>
        <w:outlineLvl w:val="9"/>
        <w:rPr>
          <w:rFonts w:ascii="Times New Roman" w:hAnsi="Times New Roman" w:eastAsia="宋体" w:cs="仿宋_GB2312"/>
          <w:sz w:val="24"/>
          <w:szCs w:val="24"/>
        </w:rPr>
      </w:pPr>
      <w:r>
        <w:rPr>
          <w:rFonts w:hint="eastAsia" w:ascii="Times New Roman" w:hAnsi="Times New Roman" w:eastAsia="宋体" w:cs="仿宋_GB2312"/>
          <w:sz w:val="24"/>
          <w:szCs w:val="24"/>
        </w:rPr>
        <w:t>冷却塔详细参数见下表</w:t>
      </w:r>
    </w:p>
    <w:tbl>
      <w:tblPr>
        <w:tblStyle w:val="5"/>
        <w:tblW w:w="8845" w:type="dxa"/>
        <w:jc w:val="center"/>
        <w:tblLayout w:type="fixed"/>
        <w:tblCellMar>
          <w:top w:w="0" w:type="dxa"/>
          <w:left w:w="0" w:type="dxa"/>
          <w:bottom w:w="0" w:type="dxa"/>
          <w:right w:w="0" w:type="dxa"/>
        </w:tblCellMar>
      </w:tblPr>
      <w:tblGrid>
        <w:gridCol w:w="482"/>
        <w:gridCol w:w="1559"/>
        <w:gridCol w:w="4961"/>
        <w:gridCol w:w="567"/>
        <w:gridCol w:w="567"/>
        <w:gridCol w:w="709"/>
      </w:tblGrid>
      <w:tr>
        <w:tblPrEx>
          <w:tblCellMar>
            <w:top w:w="0" w:type="dxa"/>
            <w:left w:w="0" w:type="dxa"/>
            <w:bottom w:w="0" w:type="dxa"/>
            <w:right w:w="0" w:type="dxa"/>
          </w:tblCellMar>
        </w:tblPrEx>
        <w:trPr>
          <w:trHeight w:val="799" w:hRule="atLeast"/>
          <w:jc w:val="center"/>
        </w:trPr>
        <w:tc>
          <w:tcPr>
            <w:tcW w:w="482" w:type="dxa"/>
            <w:tcBorders>
              <w:top w:val="double" w:color="auto" w:sz="6" w:space="0"/>
              <w:left w:val="double" w:color="auto" w:sz="6" w:space="0"/>
              <w:bottom w:val="single" w:color="auto" w:sz="4" w:space="0"/>
              <w:right w:val="single" w:color="auto" w:sz="4" w:space="0"/>
            </w:tcBorders>
            <w:noWrap/>
            <w:tcMar>
              <w:top w:w="15" w:type="dxa"/>
              <w:left w:w="15" w:type="dxa"/>
              <w:bottom w:w="0" w:type="dxa"/>
              <w:right w:w="15" w:type="dxa"/>
            </w:tcMar>
            <w:vAlign w:val="center"/>
          </w:tcPr>
          <w:p>
            <w:pPr>
              <w:spacing w:line="360" w:lineRule="auto"/>
              <w:jc w:val="center"/>
              <w:rPr>
                <w:rFonts w:cs="宋体"/>
                <w:sz w:val="24"/>
              </w:rPr>
            </w:pPr>
            <w:r>
              <w:rPr>
                <w:rFonts w:hint="eastAsia" w:cs="宋体"/>
                <w:sz w:val="24"/>
              </w:rPr>
              <w:t>序号</w:t>
            </w:r>
          </w:p>
        </w:tc>
        <w:tc>
          <w:tcPr>
            <w:tcW w:w="1559" w:type="dxa"/>
            <w:tcBorders>
              <w:top w:val="double" w:color="auto" w:sz="6" w:space="0"/>
              <w:left w:val="nil"/>
              <w:bottom w:val="single" w:color="auto" w:sz="4" w:space="0"/>
              <w:right w:val="single" w:color="auto" w:sz="4" w:space="0"/>
            </w:tcBorders>
            <w:noWrap/>
            <w:tcMar>
              <w:top w:w="15" w:type="dxa"/>
              <w:left w:w="15" w:type="dxa"/>
              <w:bottom w:w="0" w:type="dxa"/>
              <w:right w:w="15" w:type="dxa"/>
            </w:tcMar>
            <w:vAlign w:val="center"/>
          </w:tcPr>
          <w:p>
            <w:pPr>
              <w:spacing w:line="360" w:lineRule="auto"/>
              <w:jc w:val="center"/>
              <w:rPr>
                <w:rFonts w:cs="宋体"/>
                <w:sz w:val="24"/>
              </w:rPr>
            </w:pPr>
            <w:r>
              <w:rPr>
                <w:rFonts w:hint="eastAsia" w:cs="宋体"/>
                <w:sz w:val="24"/>
              </w:rPr>
              <w:t>名称</w:t>
            </w:r>
          </w:p>
        </w:tc>
        <w:tc>
          <w:tcPr>
            <w:tcW w:w="4961" w:type="dxa"/>
            <w:tcBorders>
              <w:top w:val="double" w:color="auto" w:sz="6" w:space="0"/>
              <w:left w:val="nil"/>
              <w:bottom w:val="single" w:color="auto" w:sz="4" w:space="0"/>
              <w:right w:val="single" w:color="auto" w:sz="4" w:space="0"/>
            </w:tcBorders>
            <w:noWrap/>
            <w:tcMar>
              <w:top w:w="15" w:type="dxa"/>
              <w:left w:w="15" w:type="dxa"/>
              <w:bottom w:w="0" w:type="dxa"/>
              <w:right w:w="15" w:type="dxa"/>
            </w:tcMar>
            <w:vAlign w:val="center"/>
          </w:tcPr>
          <w:p>
            <w:pPr>
              <w:spacing w:line="360" w:lineRule="auto"/>
              <w:jc w:val="center"/>
              <w:rPr>
                <w:rFonts w:cs="宋体"/>
                <w:sz w:val="24"/>
              </w:rPr>
            </w:pPr>
            <w:r>
              <w:rPr>
                <w:rFonts w:hint="eastAsia" w:cs="宋体"/>
                <w:sz w:val="24"/>
              </w:rPr>
              <w:t>型号及 规 格</w:t>
            </w:r>
          </w:p>
        </w:tc>
        <w:tc>
          <w:tcPr>
            <w:tcW w:w="567" w:type="dxa"/>
            <w:tcBorders>
              <w:top w:val="double" w:color="auto" w:sz="6" w:space="0"/>
              <w:left w:val="nil"/>
              <w:bottom w:val="single" w:color="auto" w:sz="4" w:space="0"/>
              <w:right w:val="single" w:color="auto" w:sz="4" w:space="0"/>
            </w:tcBorders>
            <w:vAlign w:val="center"/>
          </w:tcPr>
          <w:p>
            <w:pPr>
              <w:spacing w:line="360" w:lineRule="auto"/>
              <w:jc w:val="center"/>
              <w:rPr>
                <w:rFonts w:cs="宋体"/>
                <w:sz w:val="24"/>
              </w:rPr>
            </w:pPr>
            <w:r>
              <w:rPr>
                <w:rFonts w:hint="eastAsia" w:cs="宋体"/>
                <w:sz w:val="24"/>
              </w:rPr>
              <w:t>单位</w:t>
            </w:r>
          </w:p>
        </w:tc>
        <w:tc>
          <w:tcPr>
            <w:tcW w:w="567" w:type="dxa"/>
            <w:tcBorders>
              <w:top w:val="double" w:color="auto" w:sz="6" w:space="0"/>
              <w:left w:val="single" w:color="auto" w:sz="4" w:space="0"/>
              <w:bottom w:val="single" w:color="auto" w:sz="4" w:space="0"/>
              <w:right w:val="double" w:color="auto" w:sz="6" w:space="0"/>
            </w:tcBorders>
            <w:noWrap/>
            <w:tcMar>
              <w:top w:w="15" w:type="dxa"/>
              <w:left w:w="15" w:type="dxa"/>
              <w:bottom w:w="0" w:type="dxa"/>
              <w:right w:w="15" w:type="dxa"/>
            </w:tcMar>
            <w:vAlign w:val="center"/>
          </w:tcPr>
          <w:p>
            <w:pPr>
              <w:spacing w:line="360" w:lineRule="auto"/>
              <w:jc w:val="center"/>
              <w:rPr>
                <w:rFonts w:cs="宋体"/>
                <w:sz w:val="24"/>
              </w:rPr>
            </w:pPr>
            <w:r>
              <w:rPr>
                <w:rFonts w:hint="eastAsia" w:cs="宋体"/>
                <w:sz w:val="24"/>
              </w:rPr>
              <w:t>数量</w:t>
            </w:r>
          </w:p>
        </w:tc>
        <w:tc>
          <w:tcPr>
            <w:tcW w:w="709" w:type="dxa"/>
            <w:tcBorders>
              <w:top w:val="double" w:color="auto" w:sz="6" w:space="0"/>
              <w:left w:val="single" w:color="auto" w:sz="4" w:space="0"/>
              <w:bottom w:val="single" w:color="auto" w:sz="4" w:space="0"/>
              <w:right w:val="double" w:color="auto" w:sz="6" w:space="0"/>
            </w:tcBorders>
            <w:vAlign w:val="center"/>
          </w:tcPr>
          <w:p>
            <w:pPr>
              <w:spacing w:line="360" w:lineRule="auto"/>
              <w:jc w:val="center"/>
              <w:rPr>
                <w:rFonts w:cs="宋体"/>
                <w:sz w:val="24"/>
              </w:rPr>
            </w:pPr>
            <w:r>
              <w:rPr>
                <w:rFonts w:hint="eastAsia" w:cs="宋体"/>
                <w:sz w:val="24"/>
              </w:rPr>
              <w:t>备注</w:t>
            </w:r>
          </w:p>
        </w:tc>
      </w:tr>
      <w:tr>
        <w:tblPrEx>
          <w:tblCellMar>
            <w:top w:w="0" w:type="dxa"/>
            <w:left w:w="0" w:type="dxa"/>
            <w:bottom w:w="0" w:type="dxa"/>
            <w:right w:w="0" w:type="dxa"/>
          </w:tblCellMar>
        </w:tblPrEx>
        <w:trPr>
          <w:trHeight w:val="2490" w:hRule="atLeast"/>
          <w:jc w:val="center"/>
        </w:trPr>
        <w:tc>
          <w:tcPr>
            <w:tcW w:w="482" w:type="dxa"/>
            <w:tcBorders>
              <w:top w:val="single" w:color="auto" w:sz="4" w:space="0"/>
              <w:left w:val="double" w:color="auto" w:sz="6" w:space="0"/>
              <w:bottom w:val="single" w:color="auto" w:sz="4" w:space="0"/>
              <w:right w:val="single" w:color="auto" w:sz="4" w:space="0"/>
            </w:tcBorders>
            <w:noWrap/>
            <w:tcMar>
              <w:top w:w="15" w:type="dxa"/>
              <w:left w:w="15" w:type="dxa"/>
              <w:bottom w:w="0" w:type="dxa"/>
              <w:right w:w="15" w:type="dxa"/>
            </w:tcMar>
            <w:vAlign w:val="center"/>
          </w:tcPr>
          <w:p>
            <w:pPr>
              <w:spacing w:line="360" w:lineRule="auto"/>
              <w:jc w:val="center"/>
              <w:rPr>
                <w:rFonts w:cs="宋体"/>
                <w:sz w:val="24"/>
              </w:rPr>
            </w:pPr>
            <w:bookmarkStart w:id="4" w:name="_Hlk108366698"/>
            <w:r>
              <w:rPr>
                <w:rFonts w:hint="eastAsia" w:cs="宋体"/>
                <w:sz w:val="24"/>
              </w:rPr>
              <w:t>1</w:t>
            </w:r>
          </w:p>
        </w:tc>
        <w:tc>
          <w:tcPr>
            <w:tcW w:w="1559"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pPr>
              <w:spacing w:line="360" w:lineRule="auto"/>
              <w:rPr>
                <w:rFonts w:cs="宋体"/>
                <w:sz w:val="24"/>
              </w:rPr>
            </w:pPr>
            <w:r>
              <w:rPr>
                <w:rFonts w:hint="eastAsia" w:cs="宋体"/>
                <w:sz w:val="24"/>
              </w:rPr>
              <w:t>横流式低噪音全钢冷却塔</w:t>
            </w:r>
          </w:p>
          <w:p>
            <w:pPr>
              <w:spacing w:line="360" w:lineRule="auto"/>
              <w:rPr>
                <w:rFonts w:cs="宋体"/>
                <w:sz w:val="24"/>
              </w:rPr>
            </w:pPr>
          </w:p>
        </w:tc>
        <w:tc>
          <w:tcPr>
            <w:tcW w:w="496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60" w:lineRule="auto"/>
              <w:rPr>
                <w:rFonts w:cs="宋体"/>
                <w:sz w:val="24"/>
              </w:rPr>
            </w:pPr>
            <w:r>
              <w:rPr>
                <w:rFonts w:hint="eastAsia" w:cs="宋体"/>
                <w:sz w:val="24"/>
              </w:rPr>
              <w:t>N=</w:t>
            </w:r>
            <w:r>
              <w:rPr>
                <w:rFonts w:cs="宋体"/>
                <w:sz w:val="24"/>
              </w:rPr>
              <w:t>55</w:t>
            </w:r>
            <w:r>
              <w:rPr>
                <w:rFonts w:hint="eastAsia" w:cs="宋体"/>
                <w:sz w:val="24"/>
              </w:rPr>
              <w:t>kW/380V/50HZ， 变频控制</w:t>
            </w:r>
          </w:p>
          <w:p>
            <w:pPr>
              <w:spacing w:line="360" w:lineRule="auto"/>
              <w:rPr>
                <w:rFonts w:cs="宋体"/>
                <w:sz w:val="24"/>
              </w:rPr>
            </w:pPr>
            <w:r>
              <w:rPr>
                <w:rFonts w:hint="eastAsia" w:cs="宋体"/>
                <w:sz w:val="24"/>
              </w:rPr>
              <w:t>Q=</w:t>
            </w:r>
            <w:r>
              <w:rPr>
                <w:rFonts w:cs="宋体"/>
                <w:sz w:val="24"/>
              </w:rPr>
              <w:t>1050</w:t>
            </w:r>
            <w:r>
              <w:rPr>
                <w:rFonts w:hint="eastAsia" w:cs="宋体"/>
                <w:sz w:val="24"/>
              </w:rPr>
              <w:t>m3/h，进出水温度：3</w:t>
            </w:r>
            <w:r>
              <w:rPr>
                <w:rFonts w:cs="宋体"/>
                <w:sz w:val="24"/>
              </w:rPr>
              <w:t>7</w:t>
            </w:r>
            <w:r>
              <w:rPr>
                <w:rFonts w:hint="eastAsia"/>
                <w:sz w:val="24"/>
              </w:rPr>
              <w:t>℃</w:t>
            </w:r>
            <w:r>
              <w:rPr>
                <w:rFonts w:hint="eastAsia" w:cs="宋体"/>
                <w:sz w:val="24"/>
              </w:rPr>
              <w:t>/3</w:t>
            </w:r>
            <w:r>
              <w:rPr>
                <w:rFonts w:cs="宋体"/>
                <w:sz w:val="24"/>
              </w:rPr>
              <w:t>2</w:t>
            </w:r>
            <w:r>
              <w:rPr>
                <w:rFonts w:hint="eastAsia"/>
                <w:sz w:val="24"/>
              </w:rPr>
              <w:t>℃</w:t>
            </w:r>
            <w:r>
              <w:rPr>
                <w:rFonts w:hint="eastAsia" w:cs="宋体"/>
                <w:sz w:val="24"/>
              </w:rPr>
              <w:t>，外湿球温度：2</w:t>
            </w:r>
            <w:r>
              <w:rPr>
                <w:rFonts w:cs="宋体"/>
                <w:sz w:val="24"/>
              </w:rPr>
              <w:t>8</w:t>
            </w:r>
            <w:r>
              <w:rPr>
                <w:rFonts w:hint="eastAsia" w:cs="宋体"/>
                <w:sz w:val="24"/>
              </w:rPr>
              <w:t>℃；可变流量范围为60~100%,水压降≤50KPa 参考尺寸：</w:t>
            </w:r>
            <w:r>
              <w:rPr>
                <w:rFonts w:cs="宋体"/>
                <w:sz w:val="24"/>
              </w:rPr>
              <w:t>4850(</w:t>
            </w:r>
            <w:r>
              <w:rPr>
                <w:rFonts w:hint="eastAsia" w:cs="宋体"/>
                <w:sz w:val="24"/>
              </w:rPr>
              <w:t>进风侧</w:t>
            </w:r>
            <w:r>
              <w:rPr>
                <w:rFonts w:cs="宋体"/>
                <w:sz w:val="24"/>
              </w:rPr>
              <w:t>)</w:t>
            </w:r>
            <w:r>
              <w:rPr>
                <w:rFonts w:hint="eastAsia" w:cs="宋体"/>
                <w:sz w:val="24"/>
              </w:rPr>
              <w:t>x</w:t>
            </w:r>
            <w:r>
              <w:rPr>
                <w:rFonts w:cs="宋体"/>
                <w:sz w:val="24"/>
              </w:rPr>
              <w:t>7330</w:t>
            </w:r>
            <w:r>
              <w:rPr>
                <w:rFonts w:hint="eastAsia" w:cs="宋体"/>
                <w:sz w:val="24"/>
              </w:rPr>
              <w:t>（外板侧）x</w:t>
            </w:r>
            <w:r>
              <w:rPr>
                <w:rFonts w:cs="宋体"/>
                <w:sz w:val="24"/>
              </w:rPr>
              <w:t>6470</w:t>
            </w:r>
            <w:r>
              <w:rPr>
                <w:rFonts w:hint="eastAsia" w:cs="宋体"/>
                <w:sz w:val="24"/>
              </w:rPr>
              <w:t>（全高）</w:t>
            </w:r>
            <w:r>
              <w:rPr>
                <w:rFonts w:cs="宋体"/>
                <w:sz w:val="24"/>
              </w:rPr>
              <w:t>mm</w:t>
            </w:r>
            <w:r>
              <w:rPr>
                <w:rFonts w:hint="eastAsia" w:cs="宋体"/>
                <w:sz w:val="24"/>
              </w:rPr>
              <w:t>，CTI认证</w:t>
            </w:r>
          </w:p>
        </w:tc>
        <w:tc>
          <w:tcPr>
            <w:tcW w:w="567" w:type="dxa"/>
            <w:tcBorders>
              <w:top w:val="single" w:color="auto" w:sz="4" w:space="0"/>
              <w:left w:val="nil"/>
              <w:bottom w:val="single" w:color="auto" w:sz="4" w:space="0"/>
              <w:right w:val="single" w:color="auto" w:sz="4" w:space="0"/>
            </w:tcBorders>
            <w:vAlign w:val="center"/>
          </w:tcPr>
          <w:p>
            <w:pPr>
              <w:spacing w:line="360" w:lineRule="auto"/>
              <w:jc w:val="center"/>
              <w:rPr>
                <w:rFonts w:cs="宋体"/>
                <w:sz w:val="24"/>
              </w:rPr>
            </w:pPr>
            <w:r>
              <w:rPr>
                <w:rFonts w:hint="eastAsia" w:cs="宋体"/>
                <w:sz w:val="24"/>
              </w:rPr>
              <w:t>台</w:t>
            </w:r>
          </w:p>
        </w:tc>
        <w:tc>
          <w:tcPr>
            <w:tcW w:w="567" w:type="dxa"/>
            <w:tcBorders>
              <w:top w:val="single" w:color="auto" w:sz="4" w:space="0"/>
              <w:left w:val="single" w:color="auto" w:sz="4" w:space="0"/>
              <w:bottom w:val="single" w:color="auto" w:sz="4" w:space="0"/>
              <w:right w:val="double" w:color="auto" w:sz="6" w:space="0"/>
            </w:tcBorders>
            <w:noWrap/>
            <w:tcMar>
              <w:top w:w="15" w:type="dxa"/>
              <w:left w:w="15" w:type="dxa"/>
              <w:bottom w:w="0" w:type="dxa"/>
              <w:right w:w="15" w:type="dxa"/>
            </w:tcMar>
            <w:vAlign w:val="center"/>
          </w:tcPr>
          <w:p>
            <w:pPr>
              <w:spacing w:line="360" w:lineRule="auto"/>
              <w:jc w:val="center"/>
              <w:rPr>
                <w:rFonts w:cs="宋体"/>
                <w:sz w:val="24"/>
              </w:rPr>
            </w:pPr>
            <w:r>
              <w:rPr>
                <w:rFonts w:cs="宋体"/>
                <w:sz w:val="24"/>
              </w:rPr>
              <w:t>5</w:t>
            </w:r>
          </w:p>
        </w:tc>
        <w:tc>
          <w:tcPr>
            <w:tcW w:w="709" w:type="dxa"/>
            <w:tcBorders>
              <w:top w:val="single" w:color="auto" w:sz="4" w:space="0"/>
              <w:left w:val="single" w:color="auto" w:sz="4" w:space="0"/>
              <w:bottom w:val="single" w:color="auto" w:sz="4" w:space="0"/>
              <w:right w:val="double" w:color="auto" w:sz="6" w:space="0"/>
            </w:tcBorders>
            <w:vAlign w:val="center"/>
          </w:tcPr>
          <w:p>
            <w:pPr>
              <w:spacing w:line="360" w:lineRule="auto"/>
              <w:jc w:val="center"/>
              <w:rPr>
                <w:rFonts w:cs="宋体"/>
                <w:sz w:val="24"/>
              </w:rPr>
            </w:pPr>
            <w:r>
              <w:rPr>
                <w:rFonts w:hint="eastAsia" w:cs="宋体"/>
                <w:sz w:val="24"/>
              </w:rPr>
              <w:t>可</w:t>
            </w:r>
          </w:p>
          <w:p>
            <w:pPr>
              <w:spacing w:line="360" w:lineRule="auto"/>
              <w:jc w:val="center"/>
              <w:rPr>
                <w:rFonts w:cs="宋体"/>
                <w:sz w:val="24"/>
              </w:rPr>
            </w:pPr>
            <w:r>
              <w:rPr>
                <w:rFonts w:hint="eastAsia" w:cs="宋体"/>
                <w:sz w:val="24"/>
              </w:rPr>
              <w:t>拼</w:t>
            </w:r>
          </w:p>
          <w:p>
            <w:pPr>
              <w:spacing w:line="360" w:lineRule="auto"/>
              <w:jc w:val="center"/>
              <w:rPr>
                <w:rFonts w:cs="宋体"/>
                <w:sz w:val="24"/>
              </w:rPr>
            </w:pPr>
            <w:r>
              <w:rPr>
                <w:rFonts w:hint="eastAsia" w:cs="宋体"/>
                <w:sz w:val="24"/>
              </w:rPr>
              <w:t>接</w:t>
            </w:r>
          </w:p>
        </w:tc>
      </w:tr>
      <w:bookmarkEnd w:id="4"/>
      <w:tr>
        <w:tblPrEx>
          <w:tblCellMar>
            <w:top w:w="0" w:type="dxa"/>
            <w:left w:w="0" w:type="dxa"/>
            <w:bottom w:w="0" w:type="dxa"/>
            <w:right w:w="0" w:type="dxa"/>
          </w:tblCellMar>
        </w:tblPrEx>
        <w:trPr>
          <w:trHeight w:val="2488" w:hRule="atLeast"/>
          <w:jc w:val="center"/>
        </w:trPr>
        <w:tc>
          <w:tcPr>
            <w:tcW w:w="482" w:type="dxa"/>
            <w:tcBorders>
              <w:top w:val="single" w:color="auto" w:sz="4" w:space="0"/>
              <w:left w:val="double" w:color="auto" w:sz="6" w:space="0"/>
              <w:bottom w:val="single" w:color="auto" w:sz="4" w:space="0"/>
              <w:right w:val="single" w:color="auto" w:sz="4" w:space="0"/>
            </w:tcBorders>
            <w:noWrap/>
            <w:tcMar>
              <w:top w:w="15" w:type="dxa"/>
              <w:left w:w="15" w:type="dxa"/>
              <w:bottom w:w="0" w:type="dxa"/>
              <w:right w:w="15" w:type="dxa"/>
            </w:tcMar>
            <w:vAlign w:val="center"/>
          </w:tcPr>
          <w:p>
            <w:pPr>
              <w:spacing w:line="360" w:lineRule="auto"/>
              <w:jc w:val="center"/>
              <w:rPr>
                <w:rFonts w:cs="宋体"/>
                <w:sz w:val="24"/>
              </w:rPr>
            </w:pPr>
            <w:r>
              <w:rPr>
                <w:rFonts w:hint="eastAsia" w:cs="宋体"/>
                <w:sz w:val="24"/>
              </w:rPr>
              <w:t>2</w:t>
            </w:r>
          </w:p>
        </w:tc>
        <w:tc>
          <w:tcPr>
            <w:tcW w:w="1559"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pPr>
              <w:spacing w:line="360" w:lineRule="auto"/>
              <w:rPr>
                <w:rFonts w:cs="宋体"/>
                <w:sz w:val="24"/>
              </w:rPr>
            </w:pPr>
            <w:r>
              <w:rPr>
                <w:rFonts w:hint="eastAsia" w:cs="宋体"/>
                <w:sz w:val="24"/>
              </w:rPr>
              <w:t>横流式低噪音全钢冷却塔</w:t>
            </w:r>
          </w:p>
          <w:p>
            <w:pPr>
              <w:spacing w:line="360" w:lineRule="auto"/>
              <w:rPr>
                <w:rFonts w:cs="宋体"/>
                <w:sz w:val="24"/>
              </w:rPr>
            </w:pPr>
          </w:p>
        </w:tc>
        <w:tc>
          <w:tcPr>
            <w:tcW w:w="496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60" w:lineRule="auto"/>
              <w:rPr>
                <w:rFonts w:cs="宋体"/>
                <w:sz w:val="24"/>
              </w:rPr>
            </w:pPr>
            <w:r>
              <w:rPr>
                <w:rFonts w:hint="eastAsia" w:cs="宋体"/>
                <w:sz w:val="24"/>
              </w:rPr>
              <w:t>N=</w:t>
            </w:r>
            <w:r>
              <w:rPr>
                <w:rFonts w:cs="宋体"/>
                <w:sz w:val="24"/>
              </w:rPr>
              <w:t>22</w:t>
            </w:r>
            <w:r>
              <w:rPr>
                <w:rFonts w:hint="eastAsia" w:cs="宋体"/>
                <w:sz w:val="24"/>
              </w:rPr>
              <w:t>kW/380V/50HZ， 变频控制</w:t>
            </w:r>
          </w:p>
          <w:p>
            <w:pPr>
              <w:spacing w:line="360" w:lineRule="auto"/>
              <w:rPr>
                <w:rFonts w:cs="宋体"/>
                <w:sz w:val="24"/>
              </w:rPr>
            </w:pPr>
            <w:r>
              <w:rPr>
                <w:rFonts w:hint="eastAsia" w:cs="宋体"/>
                <w:sz w:val="24"/>
              </w:rPr>
              <w:t>Q=</w:t>
            </w:r>
            <w:r>
              <w:rPr>
                <w:rFonts w:cs="宋体"/>
                <w:sz w:val="24"/>
              </w:rPr>
              <w:t>500</w:t>
            </w:r>
            <w:r>
              <w:rPr>
                <w:rFonts w:hint="eastAsia" w:cs="宋体"/>
                <w:sz w:val="24"/>
              </w:rPr>
              <w:t>m3/h，进出水温度：3</w:t>
            </w:r>
            <w:r>
              <w:rPr>
                <w:rFonts w:cs="宋体"/>
                <w:sz w:val="24"/>
              </w:rPr>
              <w:t>7</w:t>
            </w:r>
            <w:r>
              <w:rPr>
                <w:rFonts w:hint="eastAsia"/>
                <w:sz w:val="24"/>
              </w:rPr>
              <w:t>℃</w:t>
            </w:r>
            <w:r>
              <w:rPr>
                <w:rFonts w:hint="eastAsia" w:cs="宋体"/>
                <w:sz w:val="24"/>
              </w:rPr>
              <w:t>/3</w:t>
            </w:r>
            <w:r>
              <w:rPr>
                <w:rFonts w:cs="宋体"/>
                <w:sz w:val="24"/>
              </w:rPr>
              <w:t>2</w:t>
            </w:r>
            <w:r>
              <w:rPr>
                <w:rFonts w:hint="eastAsia"/>
                <w:sz w:val="24"/>
              </w:rPr>
              <w:t>℃</w:t>
            </w:r>
            <w:r>
              <w:rPr>
                <w:rFonts w:hint="eastAsia" w:cs="宋体"/>
                <w:sz w:val="24"/>
              </w:rPr>
              <w:t>，外湿球温度：2</w:t>
            </w:r>
            <w:r>
              <w:rPr>
                <w:rFonts w:cs="宋体"/>
                <w:sz w:val="24"/>
              </w:rPr>
              <w:t>8</w:t>
            </w:r>
            <w:r>
              <w:rPr>
                <w:rFonts w:hint="eastAsia" w:cs="宋体"/>
                <w:sz w:val="24"/>
              </w:rPr>
              <w:t>℃；可变流量范围为60~100%,水压降≤50KPa 参考尺寸：</w:t>
            </w:r>
            <w:r>
              <w:rPr>
                <w:rFonts w:cs="宋体"/>
                <w:sz w:val="24"/>
              </w:rPr>
              <w:t>3650(</w:t>
            </w:r>
            <w:r>
              <w:rPr>
                <w:rFonts w:hint="eastAsia" w:cs="宋体"/>
                <w:sz w:val="24"/>
              </w:rPr>
              <w:t>进风侧</w:t>
            </w:r>
            <w:r>
              <w:rPr>
                <w:rFonts w:cs="宋体"/>
                <w:sz w:val="24"/>
              </w:rPr>
              <w:t>)</w:t>
            </w:r>
            <w:r>
              <w:rPr>
                <w:rFonts w:hint="eastAsia" w:cs="宋体"/>
                <w:sz w:val="24"/>
              </w:rPr>
              <w:t>x</w:t>
            </w:r>
            <w:r>
              <w:rPr>
                <w:rFonts w:cs="宋体"/>
                <w:sz w:val="24"/>
              </w:rPr>
              <w:t>6370</w:t>
            </w:r>
            <w:r>
              <w:rPr>
                <w:rFonts w:hint="eastAsia" w:cs="宋体"/>
                <w:sz w:val="24"/>
              </w:rPr>
              <w:t>（外板侧）x</w:t>
            </w:r>
            <w:r>
              <w:rPr>
                <w:rFonts w:cs="宋体"/>
                <w:sz w:val="24"/>
              </w:rPr>
              <w:t>6470</w:t>
            </w:r>
            <w:r>
              <w:rPr>
                <w:rFonts w:hint="eastAsia" w:cs="宋体"/>
                <w:sz w:val="24"/>
              </w:rPr>
              <w:t>（全高）</w:t>
            </w:r>
            <w:r>
              <w:rPr>
                <w:rFonts w:cs="宋体"/>
                <w:sz w:val="24"/>
              </w:rPr>
              <w:t>mm</w:t>
            </w:r>
            <w:r>
              <w:rPr>
                <w:rFonts w:hint="eastAsia" w:cs="宋体"/>
                <w:sz w:val="24"/>
              </w:rPr>
              <w:t>，CTI认证</w:t>
            </w:r>
          </w:p>
        </w:tc>
        <w:tc>
          <w:tcPr>
            <w:tcW w:w="567" w:type="dxa"/>
            <w:tcBorders>
              <w:top w:val="single" w:color="auto" w:sz="4" w:space="0"/>
              <w:left w:val="nil"/>
              <w:bottom w:val="single" w:color="auto" w:sz="4" w:space="0"/>
              <w:right w:val="single" w:color="auto" w:sz="4" w:space="0"/>
            </w:tcBorders>
            <w:vAlign w:val="center"/>
          </w:tcPr>
          <w:p>
            <w:pPr>
              <w:spacing w:line="360" w:lineRule="auto"/>
              <w:jc w:val="center"/>
              <w:rPr>
                <w:rFonts w:cs="宋体"/>
                <w:sz w:val="24"/>
              </w:rPr>
            </w:pPr>
            <w:r>
              <w:rPr>
                <w:rFonts w:hint="eastAsia" w:cs="宋体"/>
                <w:sz w:val="24"/>
              </w:rPr>
              <w:t>台</w:t>
            </w:r>
          </w:p>
        </w:tc>
        <w:tc>
          <w:tcPr>
            <w:tcW w:w="567" w:type="dxa"/>
            <w:tcBorders>
              <w:top w:val="single" w:color="auto" w:sz="4" w:space="0"/>
              <w:left w:val="single" w:color="auto" w:sz="4" w:space="0"/>
              <w:bottom w:val="single" w:color="auto" w:sz="4" w:space="0"/>
              <w:right w:val="double" w:color="auto" w:sz="6" w:space="0"/>
            </w:tcBorders>
            <w:noWrap/>
            <w:tcMar>
              <w:top w:w="15" w:type="dxa"/>
              <w:left w:w="15" w:type="dxa"/>
              <w:bottom w:w="0" w:type="dxa"/>
              <w:right w:w="15" w:type="dxa"/>
            </w:tcMar>
            <w:vAlign w:val="center"/>
          </w:tcPr>
          <w:p>
            <w:pPr>
              <w:spacing w:line="360" w:lineRule="auto"/>
              <w:jc w:val="center"/>
              <w:rPr>
                <w:rFonts w:cs="宋体"/>
                <w:sz w:val="24"/>
              </w:rPr>
            </w:pPr>
            <w:r>
              <w:rPr>
                <w:rFonts w:hint="eastAsia" w:cs="宋体"/>
                <w:sz w:val="24"/>
              </w:rPr>
              <w:t>3</w:t>
            </w:r>
          </w:p>
        </w:tc>
        <w:tc>
          <w:tcPr>
            <w:tcW w:w="709" w:type="dxa"/>
            <w:tcBorders>
              <w:top w:val="single" w:color="auto" w:sz="4" w:space="0"/>
              <w:left w:val="single" w:color="auto" w:sz="4" w:space="0"/>
              <w:bottom w:val="single" w:color="auto" w:sz="4" w:space="0"/>
              <w:right w:val="double" w:color="auto" w:sz="6" w:space="0"/>
            </w:tcBorders>
            <w:vAlign w:val="center"/>
          </w:tcPr>
          <w:p>
            <w:pPr>
              <w:spacing w:line="360" w:lineRule="auto"/>
              <w:jc w:val="center"/>
              <w:rPr>
                <w:rFonts w:cs="宋体"/>
                <w:sz w:val="24"/>
              </w:rPr>
            </w:pPr>
            <w:r>
              <w:rPr>
                <w:rFonts w:hint="eastAsia" w:cs="宋体"/>
                <w:sz w:val="24"/>
              </w:rPr>
              <w:t>可</w:t>
            </w:r>
          </w:p>
          <w:p>
            <w:pPr>
              <w:spacing w:line="360" w:lineRule="auto"/>
              <w:jc w:val="center"/>
              <w:rPr>
                <w:rFonts w:cs="宋体"/>
                <w:sz w:val="24"/>
              </w:rPr>
            </w:pPr>
            <w:r>
              <w:rPr>
                <w:rFonts w:hint="eastAsia" w:cs="宋体"/>
                <w:sz w:val="24"/>
              </w:rPr>
              <w:t>拼</w:t>
            </w:r>
          </w:p>
          <w:p>
            <w:pPr>
              <w:spacing w:line="360" w:lineRule="auto"/>
              <w:jc w:val="center"/>
              <w:rPr>
                <w:rFonts w:cs="宋体"/>
                <w:sz w:val="24"/>
              </w:rPr>
            </w:pPr>
            <w:r>
              <w:rPr>
                <w:rFonts w:hint="eastAsia" w:cs="宋体"/>
                <w:sz w:val="24"/>
              </w:rPr>
              <w:t>接</w:t>
            </w:r>
          </w:p>
        </w:tc>
      </w:tr>
    </w:tbl>
    <w:p>
      <w:pPr>
        <w:spacing w:line="360" w:lineRule="auto"/>
        <w:ind w:firstLine="480" w:firstLineChars="200"/>
        <w:rPr>
          <w:rFonts w:cs="仿宋_GB2312"/>
          <w:sz w:val="24"/>
        </w:rPr>
      </w:pPr>
      <w:r>
        <w:rPr>
          <w:rFonts w:hint="eastAsia" w:cs="仿宋_GB2312"/>
          <w:sz w:val="24"/>
        </w:rPr>
        <w:t>注：以上参数为考虑回流后的现场参数</w:t>
      </w:r>
    </w:p>
    <w:p>
      <w:pPr>
        <w:pStyle w:val="9"/>
        <w:spacing w:before="156"/>
        <w:ind w:firstLine="482" w:firstLineChars="200"/>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2.5水泵及控制柜技术要求</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2.5.1 总则</w:t>
      </w:r>
    </w:p>
    <w:p>
      <w:pPr>
        <w:spacing w:line="360" w:lineRule="auto"/>
        <w:ind w:firstLine="480" w:firstLineChars="200"/>
        <w:rPr>
          <w:rFonts w:cs="仿宋_GB2312"/>
          <w:sz w:val="24"/>
        </w:rPr>
      </w:pPr>
      <w:r>
        <w:rPr>
          <w:rFonts w:hint="eastAsia" w:cs="仿宋_GB2312"/>
          <w:sz w:val="24"/>
        </w:rPr>
        <w:t>（1）引用标准、规范、规定：水泵满足国家和地方相关风机设计、生产、检验的标准、规范和规定（包括推荐标准）。</w:t>
      </w:r>
    </w:p>
    <w:p>
      <w:pPr>
        <w:spacing w:line="360" w:lineRule="auto"/>
        <w:ind w:firstLine="480" w:firstLineChars="200"/>
        <w:rPr>
          <w:rFonts w:cs="仿宋_GB2312"/>
          <w:sz w:val="24"/>
        </w:rPr>
      </w:pPr>
      <w:r>
        <w:rPr>
          <w:rFonts w:hint="eastAsia" w:cs="仿宋_GB2312"/>
          <w:sz w:val="24"/>
        </w:rPr>
        <w:t>（2）提供水泵需满足的重要性能指标</w:t>
      </w:r>
    </w:p>
    <w:p>
      <w:pPr>
        <w:numPr>
          <w:ilvl w:val="0"/>
          <w:numId w:val="31"/>
        </w:numPr>
        <w:spacing w:line="360" w:lineRule="auto"/>
        <w:ind w:firstLine="480" w:firstLineChars="200"/>
        <w:rPr>
          <w:rFonts w:cs="仿宋_GB2312"/>
          <w:sz w:val="24"/>
        </w:rPr>
      </w:pPr>
      <w:r>
        <w:rPr>
          <w:rFonts w:hint="eastAsia" w:cs="仿宋_GB2312"/>
          <w:sz w:val="24"/>
        </w:rPr>
        <w:t>水泵效率满足《中小型三相异步电动机能效限定值及能效等级》（GB18613-2012）泵目标能效限定值的要求。</w:t>
      </w:r>
    </w:p>
    <w:p>
      <w:pPr>
        <w:numPr>
          <w:ilvl w:val="0"/>
          <w:numId w:val="31"/>
        </w:numPr>
        <w:spacing w:line="360" w:lineRule="auto"/>
        <w:ind w:firstLine="480" w:firstLineChars="200"/>
        <w:rPr>
          <w:rFonts w:cs="仿宋_GB2312"/>
          <w:sz w:val="24"/>
        </w:rPr>
      </w:pPr>
      <w:r>
        <w:rPr>
          <w:rFonts w:hint="eastAsia" w:cs="仿宋_GB2312"/>
          <w:sz w:val="24"/>
        </w:rPr>
        <w:t>水泵技术标准应符合《离心泵 技术条件（II类）》GB/T5656-2008要求。</w:t>
      </w:r>
    </w:p>
    <w:p>
      <w:pPr>
        <w:numPr>
          <w:ilvl w:val="0"/>
          <w:numId w:val="31"/>
        </w:numPr>
        <w:spacing w:line="360" w:lineRule="auto"/>
        <w:ind w:firstLine="480" w:firstLineChars="200"/>
        <w:rPr>
          <w:rFonts w:cs="仿宋_GB2312"/>
          <w:sz w:val="24"/>
        </w:rPr>
      </w:pPr>
      <w:r>
        <w:rPr>
          <w:rFonts w:hint="eastAsia" w:cs="仿宋_GB2312"/>
          <w:sz w:val="24"/>
        </w:rPr>
        <w:t>水泵振动符合《泵的振动测量与评价方法》（JB/T 8097）B级的要求。</w:t>
      </w:r>
    </w:p>
    <w:p>
      <w:pPr>
        <w:numPr>
          <w:ilvl w:val="0"/>
          <w:numId w:val="31"/>
        </w:numPr>
        <w:spacing w:line="360" w:lineRule="auto"/>
        <w:ind w:firstLine="480" w:firstLineChars="200"/>
        <w:rPr>
          <w:rFonts w:cs="仿宋_GB2312"/>
          <w:sz w:val="24"/>
        </w:rPr>
      </w:pPr>
      <w:r>
        <w:rPr>
          <w:rFonts w:hint="eastAsia" w:cs="仿宋_GB2312"/>
          <w:sz w:val="24"/>
        </w:rPr>
        <w:t>水泵噪声符合《泵的噪声测量与评价方法》（JB/T 8098）B级的要求。</w:t>
      </w:r>
    </w:p>
    <w:p>
      <w:pPr>
        <w:numPr>
          <w:ilvl w:val="0"/>
          <w:numId w:val="31"/>
        </w:numPr>
        <w:spacing w:line="360" w:lineRule="auto"/>
        <w:ind w:firstLine="480" w:firstLineChars="200"/>
        <w:rPr>
          <w:rFonts w:cs="仿宋_GB2312"/>
          <w:sz w:val="24"/>
        </w:rPr>
      </w:pPr>
      <w:r>
        <w:rPr>
          <w:rFonts w:hint="eastAsia" w:cs="仿宋_GB2312"/>
          <w:sz w:val="24"/>
        </w:rPr>
        <w:t xml:space="preserve">电机满足《中小型三相异步电动机能效限定值及节能评价值》（GB18613-2006）， </w:t>
      </w:r>
    </w:p>
    <w:p>
      <w:pPr>
        <w:numPr>
          <w:ilvl w:val="0"/>
          <w:numId w:val="31"/>
        </w:numPr>
        <w:spacing w:line="360" w:lineRule="auto"/>
        <w:ind w:firstLine="480" w:firstLineChars="200"/>
        <w:rPr>
          <w:rFonts w:cs="仿宋_GB2312"/>
          <w:sz w:val="24"/>
        </w:rPr>
      </w:pPr>
      <w:r>
        <w:rPr>
          <w:rFonts w:hint="eastAsia" w:cs="仿宋_GB2312"/>
          <w:sz w:val="24"/>
        </w:rPr>
        <w:t>选型：效率曲线需具有较宽广的高效区；水泵在额定工作点的流量应不超过水泵曲线末端(最大流量)的80%。</w:t>
      </w:r>
    </w:p>
    <w:p>
      <w:pPr>
        <w:numPr>
          <w:ilvl w:val="0"/>
          <w:numId w:val="31"/>
        </w:numPr>
        <w:spacing w:line="360" w:lineRule="auto"/>
        <w:ind w:firstLine="480" w:firstLineChars="200"/>
        <w:rPr>
          <w:rFonts w:cs="仿宋_GB2312"/>
          <w:sz w:val="24"/>
        </w:rPr>
      </w:pPr>
      <w:r>
        <w:rPr>
          <w:rFonts w:hint="eastAsia" w:cs="仿宋_GB2312"/>
          <w:sz w:val="24"/>
        </w:rPr>
        <w:t>冷水机组一台水泵配备一台变频控制柜。不同功率等级的变频器必须采用同一品牌、同一系列、同一配置、同一封装形式、以便运行维护方便和备品备件的采购和控制。</w:t>
      </w:r>
    </w:p>
    <w:p>
      <w:pPr>
        <w:spacing w:line="360" w:lineRule="auto"/>
        <w:ind w:firstLine="480" w:firstLineChars="200"/>
        <w:rPr>
          <w:rFonts w:cs="仿宋_GB2312"/>
          <w:sz w:val="24"/>
        </w:rPr>
      </w:pPr>
      <w:r>
        <w:rPr>
          <w:rFonts w:hint="eastAsia" w:cs="仿宋_GB2312"/>
          <w:sz w:val="24"/>
        </w:rPr>
        <w:t>（3）提供技术文件：</w:t>
      </w:r>
    </w:p>
    <w:p>
      <w:pPr>
        <w:numPr>
          <w:ilvl w:val="0"/>
          <w:numId w:val="32"/>
        </w:numPr>
        <w:spacing w:line="360" w:lineRule="auto"/>
        <w:ind w:firstLine="480" w:firstLineChars="200"/>
        <w:rPr>
          <w:rFonts w:cs="仿宋_GB2312"/>
          <w:sz w:val="24"/>
        </w:rPr>
      </w:pPr>
      <w:r>
        <w:rPr>
          <w:rFonts w:hint="eastAsia" w:cs="仿宋_GB2312"/>
          <w:sz w:val="24"/>
        </w:rPr>
        <w:t>水泵参数表。在</w:t>
      </w:r>
      <w:bookmarkStart w:id="5" w:name="OLE_LINK1"/>
      <w:r>
        <w:rPr>
          <w:rFonts w:hint="eastAsia" w:cs="仿宋_GB2312"/>
          <w:sz w:val="24"/>
        </w:rPr>
        <w:t>参数表</w:t>
      </w:r>
      <w:bookmarkEnd w:id="5"/>
      <w:r>
        <w:rPr>
          <w:rFonts w:hint="eastAsia" w:cs="仿宋_GB2312"/>
          <w:sz w:val="24"/>
        </w:rPr>
        <w:t>中包含的内容：水泵种类、规格型号、流量、压头、效率、电机功率（含电压）、噪音。</w:t>
      </w:r>
    </w:p>
    <w:p>
      <w:pPr>
        <w:numPr>
          <w:ilvl w:val="0"/>
          <w:numId w:val="32"/>
        </w:numPr>
        <w:spacing w:line="360" w:lineRule="auto"/>
        <w:ind w:firstLine="480" w:firstLineChars="200"/>
        <w:rPr>
          <w:rFonts w:cs="仿宋_GB2312"/>
          <w:sz w:val="24"/>
        </w:rPr>
      </w:pPr>
      <w:r>
        <w:rPr>
          <w:rFonts w:hint="eastAsia" w:cs="仿宋_GB2312"/>
          <w:sz w:val="24"/>
        </w:rPr>
        <w:t>说明水泵各主要部件（叶轮、壳体、底座、轴封、轴承、轴、联轴器、减震器、电机）材料、型号、厂家、产地、技术参数。</w:t>
      </w:r>
    </w:p>
    <w:p>
      <w:pPr>
        <w:numPr>
          <w:ilvl w:val="0"/>
          <w:numId w:val="32"/>
        </w:numPr>
        <w:spacing w:line="360" w:lineRule="auto"/>
        <w:ind w:firstLine="480" w:firstLineChars="200"/>
        <w:rPr>
          <w:rFonts w:cs="仿宋_GB2312"/>
          <w:sz w:val="24"/>
        </w:rPr>
      </w:pPr>
      <w:r>
        <w:rPr>
          <w:rFonts w:hint="eastAsia" w:cs="仿宋_GB2312"/>
          <w:sz w:val="24"/>
        </w:rPr>
        <w:t>提供水泵及其附件的完整样本及安装尺寸、外形尺寸、电气接线图、安装说明。</w:t>
      </w:r>
    </w:p>
    <w:p>
      <w:pPr>
        <w:numPr>
          <w:ilvl w:val="0"/>
          <w:numId w:val="32"/>
        </w:numPr>
        <w:spacing w:line="360" w:lineRule="auto"/>
        <w:ind w:firstLine="480" w:firstLineChars="200"/>
        <w:rPr>
          <w:rFonts w:cs="仿宋_GB2312"/>
          <w:sz w:val="24"/>
        </w:rPr>
      </w:pPr>
      <w:r>
        <w:rPr>
          <w:rFonts w:hint="eastAsia" w:cs="仿宋_GB2312"/>
          <w:sz w:val="24"/>
        </w:rPr>
        <w:t>提供标明水泵工作点的水泵性能曲线（流量、压头、效率、轴功率、气蚀余量）, 并在图上明确标注出水泵在50hz、40hz、30hz频率下的工作区域及效率。</w:t>
      </w:r>
    </w:p>
    <w:p>
      <w:pPr>
        <w:numPr>
          <w:ilvl w:val="0"/>
          <w:numId w:val="32"/>
        </w:numPr>
        <w:spacing w:line="360" w:lineRule="auto"/>
        <w:ind w:firstLine="480" w:firstLineChars="200"/>
        <w:rPr>
          <w:rFonts w:cs="仿宋_GB2312"/>
          <w:sz w:val="24"/>
        </w:rPr>
      </w:pPr>
      <w:r>
        <w:rPr>
          <w:rFonts w:hint="eastAsia" w:cs="仿宋_GB2312"/>
          <w:sz w:val="24"/>
        </w:rPr>
        <w:t>提供电脑选型水泵性能曲线，并现场展示选型结果。</w:t>
      </w:r>
    </w:p>
    <w:p>
      <w:pPr>
        <w:spacing w:line="360" w:lineRule="auto"/>
        <w:ind w:firstLine="480" w:firstLineChars="200"/>
        <w:rPr>
          <w:rFonts w:cs="仿宋_GB2312"/>
          <w:sz w:val="24"/>
        </w:rPr>
      </w:pPr>
      <w:r>
        <w:rPr>
          <w:rFonts w:hint="eastAsia" w:cs="仿宋_GB2312"/>
          <w:sz w:val="24"/>
        </w:rPr>
        <w:t>（4）水泵工作温度范围：-10℃～90℃。</w:t>
      </w:r>
    </w:p>
    <w:p>
      <w:pPr>
        <w:spacing w:line="360" w:lineRule="auto"/>
        <w:ind w:firstLine="480" w:firstLineChars="200"/>
        <w:rPr>
          <w:rFonts w:cs="仿宋_GB2312"/>
          <w:sz w:val="24"/>
        </w:rPr>
      </w:pPr>
      <w:r>
        <w:rPr>
          <w:rFonts w:hint="eastAsia" w:cs="仿宋_GB2312"/>
          <w:sz w:val="24"/>
        </w:rPr>
        <w:t>（5）水泵输送介质：清水。</w:t>
      </w:r>
    </w:p>
    <w:p>
      <w:pPr>
        <w:spacing w:line="360" w:lineRule="auto"/>
        <w:ind w:firstLine="480" w:firstLineChars="200"/>
        <w:rPr>
          <w:rFonts w:cs="仿宋_GB2312"/>
          <w:sz w:val="24"/>
        </w:rPr>
      </w:pPr>
      <w:r>
        <w:rPr>
          <w:rFonts w:hint="eastAsia" w:cs="仿宋_GB2312"/>
          <w:sz w:val="24"/>
        </w:rPr>
        <w:t>（6）水泵（包括叶轮、泵壳、轴、轴承、轴封、电机、底座、联轴器及罩等）必须在原厂组装完整，并进行机械运转试验，从原生产厂发货出厂。</w:t>
      </w:r>
    </w:p>
    <w:p>
      <w:pPr>
        <w:spacing w:line="360" w:lineRule="auto"/>
        <w:ind w:firstLine="480" w:firstLineChars="200"/>
        <w:rPr>
          <w:rFonts w:cs="宋体"/>
          <w:sz w:val="24"/>
        </w:rPr>
      </w:pPr>
      <w:r>
        <w:rPr>
          <w:rFonts w:hint="eastAsia" w:cs="仿宋_GB2312"/>
          <w:sz w:val="24"/>
        </w:rPr>
        <w:t>（7）叶轮：叶轮直径不大于其外壳能容纳下的最大叶轮的 85%。叶轮为青铜或不锈钢制造。应按照</w:t>
      </w:r>
      <w:bookmarkStart w:id="6" w:name="_Hlt37579044"/>
      <w:r>
        <w:rPr>
          <w:rFonts w:hint="eastAsia" w:cs="仿宋_GB2312"/>
          <w:sz w:val="24"/>
        </w:rPr>
        <w:t>ANSI/HI 1.1-1.5-1994，1.4.6.1.3.1节平衡级别G8.3</w:t>
      </w:r>
      <w:bookmarkEnd w:id="6"/>
      <w:r>
        <w:rPr>
          <w:rFonts w:hint="eastAsia" w:cs="仿宋_GB2312"/>
          <w:sz w:val="24"/>
        </w:rPr>
        <w:t>的标准进行平衡。</w:t>
      </w:r>
      <w:bookmarkStart w:id="7" w:name="_Hlt37579323"/>
      <w:r>
        <w:rPr>
          <w:rFonts w:hint="eastAsia" w:cs="仿宋_GB2312"/>
          <w:sz w:val="24"/>
        </w:rPr>
        <w:t>叶轮旋转装置的可允许残余失衡符合ANSI级别G6.3</w:t>
      </w:r>
      <w:bookmarkEnd w:id="7"/>
      <w:r>
        <w:rPr>
          <w:rFonts w:hint="eastAsia" w:cs="仿宋_GB2312"/>
          <w:sz w:val="24"/>
        </w:rPr>
        <w:t xml:space="preserve">。 叶轮的直径在工厂中经计算机计算选择，在出厂前叶轮已经切割至用户实际需要的大小。 </w:t>
      </w:r>
    </w:p>
    <w:p>
      <w:pPr>
        <w:spacing w:line="360" w:lineRule="auto"/>
        <w:ind w:firstLine="480" w:firstLineChars="200"/>
        <w:rPr>
          <w:rFonts w:cs="仿宋_GB2312"/>
          <w:sz w:val="24"/>
        </w:rPr>
      </w:pPr>
      <w:r>
        <w:rPr>
          <w:rFonts w:hint="eastAsia" w:cs="仿宋_GB2312"/>
          <w:sz w:val="24"/>
        </w:rPr>
        <w:t>（8）轴封：外置型，EPR—碳/硅多弹簧平衡式机械密封，并设置可靠的冲洗、润滑和冷却装置，方便更换。机械密封使用寿命应大于50000小时。</w:t>
      </w:r>
    </w:p>
    <w:p>
      <w:pPr>
        <w:spacing w:line="360" w:lineRule="auto"/>
        <w:ind w:firstLine="480" w:firstLineChars="200"/>
        <w:rPr>
          <w:rFonts w:cs="仿宋_GB2312"/>
          <w:sz w:val="24"/>
        </w:rPr>
      </w:pPr>
      <w:r>
        <w:rPr>
          <w:rFonts w:hint="eastAsia" w:cs="仿宋_GB2312"/>
          <w:sz w:val="24"/>
        </w:rPr>
        <w:t>（9）轴承：采用性能优越的行业认可度高的知名品牌轴承，高质量锂基润滑脂，轴承寿命不小于50000万小时。泵振动限制符合ANSI/HI 1.1-1.5-1994，1.4.6.5.2节所建议的可接受振动限制。</w:t>
      </w:r>
    </w:p>
    <w:p>
      <w:pPr>
        <w:spacing w:line="360" w:lineRule="auto"/>
        <w:ind w:firstLine="480" w:firstLineChars="200"/>
        <w:rPr>
          <w:rFonts w:cs="仿宋_GB2312"/>
          <w:sz w:val="24"/>
        </w:rPr>
      </w:pPr>
      <w:r>
        <w:rPr>
          <w:rFonts w:hint="eastAsia" w:cs="仿宋_GB2312"/>
          <w:sz w:val="24"/>
        </w:rPr>
        <w:t xml:space="preserve">（10）泵壳：铸铁或满足泵体工作压力要求的材质和生产工艺，有整体铸造支脚。 </w:t>
      </w:r>
    </w:p>
    <w:p>
      <w:pPr>
        <w:spacing w:line="360" w:lineRule="auto"/>
        <w:ind w:firstLine="480" w:firstLineChars="200"/>
        <w:rPr>
          <w:rFonts w:cs="仿宋_GB2312"/>
          <w:sz w:val="24"/>
        </w:rPr>
      </w:pPr>
      <w:r>
        <w:rPr>
          <w:rFonts w:hint="eastAsia" w:cs="仿宋_GB2312"/>
          <w:sz w:val="24"/>
        </w:rPr>
        <w:t xml:space="preserve">（11）泵轴：高强度不锈钢轴或轴套。      </w:t>
      </w:r>
    </w:p>
    <w:p>
      <w:pPr>
        <w:spacing w:line="360" w:lineRule="auto"/>
        <w:ind w:firstLine="480" w:firstLineChars="200"/>
        <w:rPr>
          <w:rFonts w:cs="仿宋_GB2312"/>
          <w:sz w:val="24"/>
        </w:rPr>
      </w:pPr>
      <w:r>
        <w:rPr>
          <w:rFonts w:hint="eastAsia" w:cs="仿宋_GB2312"/>
          <w:sz w:val="24"/>
        </w:rPr>
        <w:t>（12）联轴器：水泵应带有联轴器保护罩。联轴器材料应降低轴承负荷，避免由于水泵变频而产生的转速变化对水泵的影响。同时可以实现在不扰动泵或马达的情况下进行密封维护，方便日常保养。所有双吸泵要求可以不拆卸泵壳的情况下直接更换机械密封。</w:t>
      </w:r>
    </w:p>
    <w:p>
      <w:pPr>
        <w:spacing w:line="360" w:lineRule="auto"/>
        <w:ind w:firstLine="480" w:firstLineChars="200"/>
        <w:rPr>
          <w:rFonts w:cs="仿宋_GB2312"/>
          <w:sz w:val="24"/>
        </w:rPr>
      </w:pPr>
      <w:r>
        <w:rPr>
          <w:rFonts w:hint="eastAsia" w:cs="仿宋_GB2312"/>
          <w:sz w:val="24"/>
        </w:rPr>
        <w:t>（13）底座：采用重型刚性底座。应能承受水泵在各种工况下施加到泵体上的力和力矩，且应有足够的强度和刚度，确保泵头与电机对中负荷允许范围。</w:t>
      </w:r>
    </w:p>
    <w:p>
      <w:pPr>
        <w:spacing w:line="360" w:lineRule="auto"/>
        <w:ind w:firstLine="480" w:firstLineChars="200"/>
        <w:rPr>
          <w:rFonts w:cs="仿宋_GB2312"/>
          <w:sz w:val="24"/>
        </w:rPr>
      </w:pPr>
      <w:r>
        <w:rPr>
          <w:rFonts w:hint="eastAsia" w:cs="仿宋_GB2312"/>
          <w:sz w:val="24"/>
        </w:rPr>
        <w:t>（14）检修：水泵须采用易维护设计，在卸下叶轮、机械密封、轴承框和运转部件的同时不会干扰泵和管道校正或马达的电线连接。更换密封及轴承等易损件，从到达现场到更换完毕须在4小时内完成，并能投入使用。</w:t>
      </w:r>
    </w:p>
    <w:p>
      <w:pPr>
        <w:spacing w:line="360" w:lineRule="auto"/>
        <w:ind w:firstLine="480" w:firstLineChars="200"/>
        <w:rPr>
          <w:rFonts w:cs="仿宋_GB2312"/>
          <w:sz w:val="24"/>
        </w:rPr>
      </w:pPr>
      <w:r>
        <w:rPr>
          <w:rFonts w:hint="eastAsia" w:cs="仿宋_GB2312"/>
          <w:sz w:val="24"/>
        </w:rPr>
        <w:t>（15）电机：应为行业内性能优异的知名品牌，不接受水泵品牌原厂贴牌电机。供电条件为3Φ/380V±6%/50HZ±2%或1Φ/220V±6%/50HZ±2%，转速：≤1480rpm，绝缘等级：F级，防护等级：IP55。能适应变频运行，在25HZ下可长期运行。电机功率应大于水泵在任何工作点所需轴功率 (电机全流量不过载)。电机品牌需报招标方审批。</w:t>
      </w:r>
    </w:p>
    <w:p>
      <w:pPr>
        <w:spacing w:line="360" w:lineRule="auto"/>
        <w:ind w:firstLine="480" w:firstLineChars="200"/>
        <w:rPr>
          <w:rFonts w:cs="仿宋_GB2312"/>
          <w:sz w:val="24"/>
        </w:rPr>
      </w:pPr>
      <w:r>
        <w:rPr>
          <w:rFonts w:hint="eastAsia" w:cs="仿宋_GB2312"/>
          <w:sz w:val="24"/>
        </w:rPr>
        <w:t>（16）钢制减振台座：减振器及台座经严格选型计算，保证减振效率95%以上。每台水泵的钢制减振台座分别报价。</w:t>
      </w:r>
    </w:p>
    <w:p>
      <w:pPr>
        <w:spacing w:line="360" w:lineRule="auto"/>
        <w:ind w:firstLine="482" w:firstLineChars="200"/>
        <w:rPr>
          <w:rFonts w:cs="仿宋_GB2312"/>
          <w:b/>
          <w:bCs/>
          <w:sz w:val="24"/>
        </w:rPr>
      </w:pPr>
      <w:r>
        <w:rPr>
          <w:rFonts w:hint="eastAsia" w:cs="仿宋_GB2312"/>
          <w:b/>
          <w:bCs/>
          <w:sz w:val="24"/>
        </w:rPr>
        <w:t>（17）</w:t>
      </w:r>
      <w:r>
        <w:rPr>
          <w:rFonts w:hint="eastAsia" w:cs="宋体"/>
          <w:b/>
          <w:bCs/>
          <w:sz w:val="24"/>
        </w:rPr>
        <w:t>*</w:t>
      </w:r>
      <w:r>
        <w:rPr>
          <w:rFonts w:hint="eastAsia" w:cs="仿宋_GB2312"/>
          <w:b/>
          <w:bCs/>
          <w:sz w:val="24"/>
        </w:rPr>
        <w:t>如投标方提供与图纸类型不一致的水泵时，需提供证明文件，表明水泵流量、扬程、效率等指标不低于图纸所载类型水泵，并自行确认建筑条件能满足其替换类型水泵的安装和检修要求。</w:t>
      </w:r>
    </w:p>
    <w:p>
      <w:pPr>
        <w:pStyle w:val="9"/>
        <w:spacing w:before="156"/>
        <w:ind w:firstLine="482" w:firstLineChars="200"/>
        <w:outlineLvl w:val="3"/>
        <w:rPr>
          <w:rFonts w:ascii="Times New Roman" w:hAnsi="Times New Roman" w:eastAsia="宋体" w:cs="宋体"/>
          <w:sz w:val="24"/>
        </w:rPr>
      </w:pPr>
      <w:r>
        <w:rPr>
          <w:rFonts w:hint="eastAsia" w:ascii="Times New Roman" w:hAnsi="Times New Roman" w:eastAsia="宋体" w:cs="仿宋_GB2312"/>
          <w:b/>
          <w:bCs w:val="0"/>
          <w:sz w:val="24"/>
          <w:szCs w:val="24"/>
        </w:rPr>
        <w:t>2.5.2水平卧式端吸泵（冷水机组用）。</w:t>
      </w:r>
    </w:p>
    <w:p>
      <w:pPr>
        <w:tabs>
          <w:tab w:val="left" w:pos="832"/>
        </w:tabs>
        <w:spacing w:line="360" w:lineRule="auto"/>
        <w:ind w:firstLine="480"/>
        <w:rPr>
          <w:rFonts w:cs="仿宋_GB2312"/>
          <w:sz w:val="24"/>
        </w:rPr>
      </w:pPr>
      <w:r>
        <w:rPr>
          <w:rFonts w:hint="eastAsia" w:cs="仿宋_GB2312"/>
          <w:sz w:val="24"/>
        </w:rPr>
        <w:t>（1）水泵为单级卧式端吸离心泵，轴向进水，径向出水。水泵泵头和电机固定在同一公共底板上。驱动轴：由含 12-13%铬的不锈钢材料制成。外壳：由 260 号铸铁制造。当单泵流量大于 500m3/h 或工作压力大于 1.6Mpa 时，由球墨铸铁制造。 叶轮：由不锈钢或青铜制造。耐磨环：可替换式，由具有足够硬度且能防止磨损的青铜制造，设置在外壳及叶轮两侧。轴套：可替换式，由未经硬化处理的含 12-13%铬的不锈钢制造，与机械轴封配合使用。所有泵体应精确加工，作为一个整体应包括铸铁吸入口、接管、安装脚、减振垫及热电偶槽，热电偶适用于功率在85kW 以上的电动机测量其轴承温度。对于使用机械密封的水泵，密封垫应既能适用机械密封。一般机械密封无故障运行 20000 小时。</w:t>
      </w:r>
    </w:p>
    <w:p>
      <w:pPr>
        <w:tabs>
          <w:tab w:val="left" w:pos="832"/>
        </w:tabs>
        <w:spacing w:line="360" w:lineRule="auto"/>
        <w:ind w:firstLine="480"/>
        <w:rPr>
          <w:rFonts w:cs="仿宋_GB2312"/>
          <w:sz w:val="24"/>
        </w:rPr>
      </w:pPr>
      <w:r>
        <w:rPr>
          <w:rFonts w:hint="eastAsia" w:cs="仿宋_GB2312"/>
          <w:sz w:val="24"/>
        </w:rPr>
        <w:t>（2）水泵电动机应是 TEFC(全封闭风扇冷却)型的，其功率大小应为吸收功率的 115%。水泵（功率大于 15kW）满载转速不应超过 1480rpm，应能够防止水泵在其特性曲线任一位置下运行都不会产生过载现象。同时还应配有防止液体飞溅的保护外壳。</w:t>
      </w:r>
    </w:p>
    <w:p>
      <w:pPr>
        <w:tabs>
          <w:tab w:val="left" w:pos="832"/>
        </w:tabs>
        <w:spacing w:line="360" w:lineRule="auto"/>
        <w:ind w:firstLine="480"/>
        <w:rPr>
          <w:rFonts w:cs="仿宋_GB2312"/>
          <w:sz w:val="24"/>
        </w:rPr>
      </w:pPr>
      <w:r>
        <w:rPr>
          <w:rFonts w:hint="eastAsia" w:cs="仿宋_GB2312"/>
          <w:sz w:val="24"/>
        </w:rPr>
        <w:t>（3）所有水泵均为变频控制。所有水泵都应具有水泵控制功能以减少在离心泵启停过程中水泵系统产生浪涌现象。应能够在无反馈情况下在电机启停过程中控制电机转速。</w:t>
      </w:r>
    </w:p>
    <w:p>
      <w:pPr>
        <w:tabs>
          <w:tab w:val="left" w:pos="832"/>
        </w:tabs>
        <w:spacing w:line="360" w:lineRule="auto"/>
        <w:ind w:firstLine="480"/>
        <w:rPr>
          <w:rFonts w:cs="仿宋_GB2312"/>
          <w:sz w:val="24"/>
        </w:rPr>
      </w:pPr>
      <w:r>
        <w:rPr>
          <w:rFonts w:hint="eastAsia" w:cs="仿宋_GB2312"/>
          <w:sz w:val="24"/>
        </w:rPr>
        <w:t xml:space="preserve">（4）所有水泵都应具有变频启动/停止功能。当负荷造成的扭矩大于电机本身扭矩而引起电机电压下降到临界点时，应立即停止对电机加载。 </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2.5.4定压补水泵组（冷水机组冷冻水补水泵）</w:t>
      </w:r>
    </w:p>
    <w:p>
      <w:pPr>
        <w:tabs>
          <w:tab w:val="left" w:pos="832"/>
        </w:tabs>
        <w:spacing w:line="360" w:lineRule="auto"/>
        <w:ind w:firstLine="480"/>
        <w:rPr>
          <w:rFonts w:cs="仿宋_GB2312"/>
          <w:sz w:val="24"/>
        </w:rPr>
      </w:pPr>
      <w:r>
        <w:rPr>
          <w:rFonts w:hint="eastAsia" w:cs="仿宋_GB2312"/>
          <w:sz w:val="24"/>
        </w:rPr>
        <w:t>（1）定压补水泵安装连接于闭式循环系统总管路上，可采用远程压力信号控制定压补水泵的启停，控制系统采用触摸屏可编程PLC控制程序，远程信号可就地安装压力传感器进行调节也可取自群控系统。</w:t>
      </w:r>
    </w:p>
    <w:p>
      <w:pPr>
        <w:tabs>
          <w:tab w:val="left" w:pos="832"/>
        </w:tabs>
        <w:spacing w:line="360" w:lineRule="auto"/>
        <w:ind w:firstLine="480"/>
        <w:rPr>
          <w:rFonts w:cs="仿宋_GB2312"/>
          <w:sz w:val="24"/>
        </w:rPr>
      </w:pPr>
      <w:r>
        <w:rPr>
          <w:rFonts w:hint="eastAsia" w:cs="仿宋_GB2312"/>
          <w:sz w:val="24"/>
        </w:rPr>
        <w:t>（2）应具有低压报警、超低压报警、超高压自动泄水并报警功能。需能采用自动或手动操作及就地开关。</w:t>
      </w:r>
    </w:p>
    <w:p>
      <w:pPr>
        <w:tabs>
          <w:tab w:val="left" w:pos="832"/>
        </w:tabs>
        <w:spacing w:line="360" w:lineRule="auto"/>
        <w:ind w:firstLine="480"/>
        <w:rPr>
          <w:rFonts w:cs="仿宋_GB2312"/>
          <w:sz w:val="24"/>
        </w:rPr>
      </w:pPr>
      <w:r>
        <w:rPr>
          <w:rFonts w:hint="eastAsia" w:cs="仿宋_GB2312"/>
          <w:sz w:val="24"/>
        </w:rPr>
        <w:t>（3）定压补水压力的控制范围应在0.01MPa -0.15MPa 可调，压力控制精度±0.1bar。</w:t>
      </w:r>
    </w:p>
    <w:p>
      <w:pPr>
        <w:tabs>
          <w:tab w:val="left" w:pos="832"/>
        </w:tabs>
        <w:spacing w:line="360" w:lineRule="auto"/>
        <w:ind w:firstLine="480"/>
        <w:rPr>
          <w:rFonts w:cs="仿宋_GB2312"/>
          <w:sz w:val="24"/>
        </w:rPr>
      </w:pPr>
      <w:r>
        <w:rPr>
          <w:rFonts w:hint="eastAsia" w:cs="仿宋_GB2312"/>
          <w:sz w:val="24"/>
        </w:rPr>
        <w:t>（4）定压补水泵组采用两台功率相同补水泵，平时一用一备工作，可自动切换，当需大量补水时，两台补水泵可同时自动启动。当两台补水泵同时启动超过设定的时间段，系统仍处于低压时，机组应报警。</w:t>
      </w:r>
    </w:p>
    <w:p>
      <w:pPr>
        <w:tabs>
          <w:tab w:val="left" w:pos="832"/>
        </w:tabs>
        <w:spacing w:line="360" w:lineRule="auto"/>
        <w:ind w:firstLine="480"/>
        <w:rPr>
          <w:rFonts w:cs="仿宋_GB2312"/>
          <w:sz w:val="24"/>
        </w:rPr>
      </w:pPr>
      <w:r>
        <w:rPr>
          <w:rFonts w:hint="eastAsia" w:cs="仿宋_GB2312"/>
          <w:sz w:val="24"/>
        </w:rPr>
        <w:t>（5）环境条件，机组应可在环境温度 0℃—55℃，相对湿度≤90 %的条件下正常工作。</w:t>
      </w:r>
    </w:p>
    <w:p>
      <w:pPr>
        <w:tabs>
          <w:tab w:val="left" w:pos="832"/>
        </w:tabs>
        <w:spacing w:line="360" w:lineRule="auto"/>
        <w:ind w:firstLine="480"/>
        <w:rPr>
          <w:rFonts w:cs="仿宋_GB2312"/>
          <w:sz w:val="24"/>
        </w:rPr>
      </w:pPr>
      <w:r>
        <w:rPr>
          <w:rFonts w:hint="eastAsia" w:cs="仿宋_GB2312"/>
          <w:sz w:val="24"/>
        </w:rPr>
        <w:t xml:space="preserve">（6）机组保护功能：机组应具有欠压、过流、过载、缺相、短路、过热等故障的自动保护功能，并对可恢复的故障应能进行消除，恢复正常运行。 </w:t>
      </w:r>
    </w:p>
    <w:p>
      <w:pPr>
        <w:tabs>
          <w:tab w:val="left" w:pos="832"/>
        </w:tabs>
        <w:spacing w:line="360" w:lineRule="auto"/>
        <w:ind w:firstLine="480"/>
        <w:rPr>
          <w:rFonts w:cs="仿宋_GB2312"/>
          <w:sz w:val="24"/>
        </w:rPr>
      </w:pPr>
      <w:r>
        <w:rPr>
          <w:rFonts w:hint="eastAsia" w:cs="仿宋_GB2312"/>
          <w:sz w:val="24"/>
        </w:rPr>
        <w:t>（7）水泵效率应大于75%，水泵的综合效率（含水泵、电机、传动）应大于70%。</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 xml:space="preserve">2.5.5变频柜具体技术要求 </w:t>
      </w:r>
    </w:p>
    <w:p>
      <w:pPr>
        <w:tabs>
          <w:tab w:val="left" w:pos="832"/>
        </w:tabs>
        <w:spacing w:line="360" w:lineRule="auto"/>
        <w:ind w:firstLine="480"/>
        <w:rPr>
          <w:rFonts w:cs="仿宋_GB2312"/>
          <w:sz w:val="24"/>
        </w:rPr>
      </w:pPr>
      <w:r>
        <w:rPr>
          <w:rFonts w:hint="eastAsia" w:cs="仿宋_GB2312"/>
          <w:sz w:val="24"/>
        </w:rPr>
        <w:t>（1）冷冻水泵及冷却水泵变频恒压控制系统分为：水泵变频控制，恒压控制及水泵联动控制。水泵变频控制柜与水泵一拖一控制，每台水泵具备手动/停止/自动转换功能，手动模式为水泵检修模式：用户可手动设定水泵运行转速、可在控制柜盘面按下起停按钮手动起停水泵。自动模式为水泵工作模式：变频柜接受恒压控制及联动控制系统的起停以及转速命令起停并调速运行。停止模式下盘面起停按钮、以及恒压控制及联动控制系统的起停以及转速命令都不会控制水泵运行。</w:t>
      </w:r>
    </w:p>
    <w:p>
      <w:pPr>
        <w:tabs>
          <w:tab w:val="left" w:pos="832"/>
        </w:tabs>
        <w:spacing w:line="360" w:lineRule="auto"/>
        <w:ind w:firstLine="480"/>
        <w:rPr>
          <w:rFonts w:cs="仿宋_GB2312"/>
          <w:sz w:val="24"/>
        </w:rPr>
      </w:pPr>
      <w:r>
        <w:rPr>
          <w:rFonts w:hint="eastAsia" w:cs="仿宋_GB2312"/>
          <w:sz w:val="24"/>
        </w:rPr>
        <w:t>（2）变频控制柜应设置中文操作界面的液晶触摸屏以及可编程控制器，可编程控制器为变频控制柜的核心控制元件，可编程控制器具备与变频器通讯功能，实时读取变频器运行状况及数据。变频柜的联动起停信号为干接点信号，频率给定信号为0-10V/4-20mA模拟量输入信号，人机界面友好形象。</w:t>
      </w:r>
    </w:p>
    <w:p>
      <w:pPr>
        <w:tabs>
          <w:tab w:val="left" w:pos="832"/>
        </w:tabs>
        <w:spacing w:line="360" w:lineRule="auto"/>
        <w:ind w:firstLine="480"/>
        <w:rPr>
          <w:rFonts w:cs="仿宋_GB2312"/>
          <w:sz w:val="24"/>
        </w:rPr>
      </w:pPr>
      <w:r>
        <w:rPr>
          <w:rFonts w:hint="eastAsia" w:cs="仿宋_GB2312"/>
          <w:sz w:val="24"/>
        </w:rPr>
        <w:t>（3）其中一台变频控制柜除具备变频控制功能外，还应兼具恒压控制及水泵联动控制功能；水系统压力PID控制（恒压控制）：根据输入的压力设定，控制器进行合理的PID算法运算后，输出PID输出值调节变频器的输出频率，使压力始终稳定在设定值的误差范围内；控制柜与其他变频控制柜具备通讯功能实时读取其他变频柜设备运行状态，并根据系统设置以及备妥状态实现水泵之间的联动控制。人机界面增加整个系统的运行状态。</w:t>
      </w:r>
    </w:p>
    <w:p>
      <w:pPr>
        <w:tabs>
          <w:tab w:val="left" w:pos="832"/>
        </w:tabs>
        <w:spacing w:line="360" w:lineRule="auto"/>
        <w:ind w:firstLine="480"/>
        <w:rPr>
          <w:rFonts w:cs="仿宋_GB2312"/>
          <w:sz w:val="24"/>
        </w:rPr>
      </w:pPr>
      <w:r>
        <w:rPr>
          <w:rFonts w:hint="eastAsia" w:cs="仿宋_GB2312"/>
          <w:sz w:val="24"/>
        </w:rPr>
        <w:t>（4）变频控制柜恒压控制及水泵联动控制系统具备与群控系统远程通讯功能，数据通讯协议采用Modbus TCP/IP或满足群控系统通讯的协议. 群控系统实时读取系统设备运行状况，可远程起停设备、复位变频故障报警等。</w:t>
      </w:r>
    </w:p>
    <w:p>
      <w:pPr>
        <w:tabs>
          <w:tab w:val="left" w:pos="832"/>
        </w:tabs>
        <w:spacing w:line="360" w:lineRule="auto"/>
        <w:ind w:firstLine="480"/>
        <w:rPr>
          <w:rFonts w:cs="仿宋_GB2312"/>
          <w:sz w:val="24"/>
        </w:rPr>
      </w:pPr>
      <w:r>
        <w:rPr>
          <w:rFonts w:hint="eastAsia" w:cs="仿宋_GB2312"/>
          <w:sz w:val="24"/>
        </w:rPr>
        <w:t>（5）变频控制柜具备掉电自启动功能；若系统突然停电，系统恢复供电后，要求控制系统自动启动且快速的恢复系统正常压力。</w:t>
      </w:r>
    </w:p>
    <w:p>
      <w:pPr>
        <w:tabs>
          <w:tab w:val="left" w:pos="832"/>
        </w:tabs>
        <w:spacing w:line="360" w:lineRule="auto"/>
        <w:ind w:firstLine="480"/>
        <w:rPr>
          <w:rFonts w:cs="仿宋_GB2312"/>
          <w:sz w:val="24"/>
        </w:rPr>
      </w:pPr>
      <w:r>
        <w:rPr>
          <w:rFonts w:hint="eastAsia" w:cs="宋体"/>
          <w:sz w:val="24"/>
        </w:rPr>
        <w:t>（6）变</w:t>
      </w:r>
      <w:r>
        <w:rPr>
          <w:rFonts w:hint="eastAsia" w:cs="仿宋_GB2312"/>
          <w:sz w:val="24"/>
        </w:rPr>
        <w:t>频控制柜之间具备运行/备妥选择功能；开机前选择运行/备妥状态，运行水泵出现故障时保证备妥水泵安全投入保证系统压力的稳定。</w:t>
      </w:r>
    </w:p>
    <w:p>
      <w:pPr>
        <w:tabs>
          <w:tab w:val="left" w:pos="832"/>
        </w:tabs>
        <w:spacing w:line="360" w:lineRule="auto"/>
        <w:ind w:firstLine="480"/>
        <w:rPr>
          <w:rFonts w:cs="仿宋_GB2312"/>
          <w:sz w:val="24"/>
        </w:rPr>
      </w:pPr>
      <w:r>
        <w:rPr>
          <w:rFonts w:hint="eastAsia" w:cs="仿宋_GB2312"/>
          <w:sz w:val="24"/>
        </w:rPr>
        <w:t>（7）补水水泵控制柜一用一备控制或/一拖一控制，控制柜具备手动/停止/自动转换功能，手动模式为水泵检修模式：用户可手动设定水泵运行转速、可在控制柜盘面按下起停按钮手动起停水泵。自动模式为水泵工作模式：水泵根据水箱液位自动启停水泵。停止模式下盘面起停按钮、以及恒压控制及联动控制系统的起停以及转速命令都不会控制水泵运行。</w:t>
      </w:r>
    </w:p>
    <w:p>
      <w:pPr>
        <w:tabs>
          <w:tab w:val="left" w:pos="832"/>
        </w:tabs>
        <w:spacing w:line="360" w:lineRule="auto"/>
        <w:ind w:firstLine="480"/>
        <w:rPr>
          <w:rFonts w:cs="仿宋_GB2312"/>
          <w:sz w:val="24"/>
        </w:rPr>
      </w:pPr>
      <w:r>
        <w:rPr>
          <w:rFonts w:hint="eastAsia" w:cs="仿宋_GB2312"/>
          <w:sz w:val="24"/>
        </w:rPr>
        <w:t>（8）变频柜内变频器具备过电压、过电流、欠电、缺相、变频器过载、变频器过热、电机过载、输出接地、输出 短路等保护功能。</w:t>
      </w:r>
    </w:p>
    <w:p>
      <w:pPr>
        <w:tabs>
          <w:tab w:val="left" w:pos="832"/>
        </w:tabs>
        <w:spacing w:line="360" w:lineRule="auto"/>
        <w:ind w:firstLine="480"/>
        <w:rPr>
          <w:rFonts w:cs="仿宋_GB2312"/>
          <w:sz w:val="24"/>
        </w:rPr>
      </w:pPr>
      <w:r>
        <w:rPr>
          <w:rFonts w:hint="eastAsia" w:cs="仿宋_GB2312"/>
          <w:sz w:val="24"/>
        </w:rPr>
        <w:t>（9）变频控制柜盘面具备电流、电压指示，设备运行指示灯指示。</w:t>
      </w:r>
    </w:p>
    <w:p>
      <w:pPr>
        <w:tabs>
          <w:tab w:val="left" w:pos="832"/>
        </w:tabs>
        <w:spacing w:line="360" w:lineRule="auto"/>
        <w:ind w:firstLine="480"/>
        <w:rPr>
          <w:rFonts w:cs="仿宋_GB2312"/>
          <w:sz w:val="24"/>
        </w:rPr>
      </w:pPr>
      <w:r>
        <w:rPr>
          <w:rFonts w:hint="eastAsia" w:cs="仿宋_GB2312"/>
          <w:sz w:val="24"/>
        </w:rPr>
        <w:t>（10）变频控制柜主要元器件应采用国际国内一线品牌产品。</w:t>
      </w:r>
    </w:p>
    <w:p>
      <w:pPr>
        <w:tabs>
          <w:tab w:val="left" w:pos="832"/>
        </w:tabs>
        <w:spacing w:line="360" w:lineRule="auto"/>
        <w:ind w:firstLine="480"/>
        <w:rPr>
          <w:rFonts w:cs="仿宋_GB2312"/>
          <w:sz w:val="24"/>
        </w:rPr>
      </w:pPr>
      <w:r>
        <w:rPr>
          <w:rFonts w:hint="eastAsia" w:cs="仿宋_GB2312"/>
          <w:sz w:val="24"/>
        </w:rPr>
        <w:t>（11）控制柜防护等级为IP54。柜内导线、导线颜色、指示灯、按钮、插接件、走线槽等均应符合国家或行业的有关标准。</w:t>
      </w:r>
    </w:p>
    <w:p>
      <w:pPr>
        <w:pStyle w:val="9"/>
        <w:spacing w:before="156"/>
        <w:ind w:firstLine="482" w:firstLineChars="200"/>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2.6配套水处理设备技术要求</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2.6.1总则</w:t>
      </w:r>
    </w:p>
    <w:p>
      <w:pPr>
        <w:numPr>
          <w:ilvl w:val="0"/>
          <w:numId w:val="33"/>
        </w:numPr>
        <w:tabs>
          <w:tab w:val="left" w:pos="832"/>
        </w:tabs>
        <w:spacing w:line="360" w:lineRule="auto"/>
        <w:ind w:firstLine="480"/>
        <w:rPr>
          <w:rFonts w:cs="仿宋_GB2312"/>
          <w:sz w:val="24"/>
        </w:rPr>
      </w:pPr>
      <w:r>
        <w:rPr>
          <w:rFonts w:hint="eastAsia" w:cs="仿宋_GB2312"/>
          <w:sz w:val="24"/>
        </w:rPr>
        <w:t>根据招标文件以及招标图纸，提供冷冻站配套水处理设备及其所需材料，包括旁率加药系统、全程水处理器及全自动软水器的现场管理、安装施工，试验和调试、成品保护工作以及按照国家要求的工程资料编写和最后备案，直至工程最后顺利通过总体验收等工作。</w:t>
      </w:r>
    </w:p>
    <w:p>
      <w:pPr>
        <w:numPr>
          <w:ilvl w:val="0"/>
          <w:numId w:val="33"/>
        </w:numPr>
        <w:tabs>
          <w:tab w:val="left" w:pos="832"/>
        </w:tabs>
        <w:spacing w:line="360" w:lineRule="auto"/>
        <w:ind w:firstLine="480"/>
        <w:rPr>
          <w:rFonts w:cs="仿宋_GB2312"/>
          <w:sz w:val="24"/>
        </w:rPr>
      </w:pPr>
      <w:r>
        <w:rPr>
          <w:rFonts w:hint="eastAsia" w:cs="仿宋_GB2312"/>
          <w:sz w:val="24"/>
        </w:rPr>
        <w:t>满足设备功能需要及验收要求的前提下，以配置最优为首选；</w:t>
      </w:r>
    </w:p>
    <w:p>
      <w:pPr>
        <w:numPr>
          <w:ilvl w:val="0"/>
          <w:numId w:val="33"/>
        </w:numPr>
        <w:tabs>
          <w:tab w:val="left" w:pos="832"/>
        </w:tabs>
        <w:spacing w:line="360" w:lineRule="auto"/>
        <w:ind w:firstLine="480"/>
        <w:rPr>
          <w:rFonts w:cs="仿宋_GB2312"/>
          <w:sz w:val="24"/>
        </w:rPr>
      </w:pPr>
      <w:r>
        <w:rPr>
          <w:rFonts w:hint="eastAsia" w:cs="仿宋_GB2312"/>
          <w:sz w:val="24"/>
        </w:rPr>
        <w:t>本工程采用全流量过滤物理场水处理设备，落地式安装。</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2.6.2技术规格要求</w:t>
      </w:r>
    </w:p>
    <w:tbl>
      <w:tblPr>
        <w:tblStyle w:val="6"/>
        <w:tblW w:w="8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1"/>
        <w:gridCol w:w="4195"/>
        <w:gridCol w:w="951"/>
        <w:gridCol w:w="9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3" w:hRule="atLeast"/>
          <w:tblHeader/>
          <w:jc w:val="center"/>
        </w:trPr>
        <w:tc>
          <w:tcPr>
            <w:tcW w:w="2041" w:type="dxa"/>
            <w:vAlign w:val="center"/>
          </w:tcPr>
          <w:p>
            <w:pPr>
              <w:jc w:val="center"/>
              <w:rPr>
                <w:rFonts w:cs="宋体"/>
                <w:sz w:val="24"/>
              </w:rPr>
            </w:pPr>
            <w:r>
              <w:rPr>
                <w:rFonts w:hint="eastAsia" w:cs="宋体"/>
                <w:sz w:val="24"/>
              </w:rPr>
              <w:t>名称</w:t>
            </w:r>
          </w:p>
        </w:tc>
        <w:tc>
          <w:tcPr>
            <w:tcW w:w="4195" w:type="dxa"/>
            <w:vAlign w:val="center"/>
          </w:tcPr>
          <w:p>
            <w:pPr>
              <w:jc w:val="center"/>
              <w:rPr>
                <w:rFonts w:cs="宋体"/>
                <w:sz w:val="24"/>
              </w:rPr>
            </w:pPr>
            <w:r>
              <w:rPr>
                <w:rFonts w:hint="eastAsia" w:cs="宋体"/>
                <w:sz w:val="24"/>
              </w:rPr>
              <w:t>规格参数</w:t>
            </w:r>
          </w:p>
        </w:tc>
        <w:tc>
          <w:tcPr>
            <w:tcW w:w="951" w:type="dxa"/>
            <w:vAlign w:val="center"/>
          </w:tcPr>
          <w:p>
            <w:pPr>
              <w:jc w:val="center"/>
              <w:rPr>
                <w:rFonts w:cs="宋体"/>
                <w:sz w:val="24"/>
              </w:rPr>
            </w:pPr>
            <w:r>
              <w:rPr>
                <w:rFonts w:hint="eastAsia" w:cs="宋体"/>
                <w:sz w:val="24"/>
              </w:rPr>
              <w:t>单位</w:t>
            </w:r>
          </w:p>
        </w:tc>
        <w:tc>
          <w:tcPr>
            <w:tcW w:w="952" w:type="dxa"/>
            <w:vAlign w:val="center"/>
          </w:tcPr>
          <w:p>
            <w:pPr>
              <w:jc w:val="center"/>
              <w:rPr>
                <w:rFonts w:cs="宋体"/>
                <w:sz w:val="24"/>
              </w:rPr>
            </w:pPr>
            <w:r>
              <w:rPr>
                <w:rFonts w:hint="eastAsia" w:cs="宋体"/>
                <w:sz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blHeader/>
          <w:jc w:val="center"/>
        </w:trPr>
        <w:tc>
          <w:tcPr>
            <w:tcW w:w="2041" w:type="dxa"/>
            <w:vAlign w:val="center"/>
          </w:tcPr>
          <w:p>
            <w:pPr>
              <w:jc w:val="center"/>
              <w:rPr>
                <w:rFonts w:cs="宋体"/>
                <w:sz w:val="24"/>
              </w:rPr>
            </w:pPr>
            <w:r>
              <w:rPr>
                <w:bCs/>
                <w:sz w:val="24"/>
                <w:szCs w:val="21"/>
              </w:rPr>
              <w:t>旁滤加药系统</w:t>
            </w:r>
          </w:p>
        </w:tc>
        <w:tc>
          <w:tcPr>
            <w:tcW w:w="4195" w:type="dxa"/>
            <w:vAlign w:val="center"/>
          </w:tcPr>
          <w:p>
            <w:pPr>
              <w:jc w:val="left"/>
              <w:rPr>
                <w:rFonts w:cs="宋体"/>
                <w:sz w:val="24"/>
              </w:rPr>
            </w:pPr>
            <w:r>
              <w:rPr>
                <w:sz w:val="24"/>
                <w:szCs w:val="21"/>
              </w:rPr>
              <w:t>旁滤水量120m</w:t>
            </w:r>
            <w:r>
              <w:rPr>
                <w:sz w:val="24"/>
                <w:szCs w:val="21"/>
                <w:vertAlign w:val="superscript"/>
              </w:rPr>
              <w:t>3</w:t>
            </w:r>
            <w:r>
              <w:rPr>
                <w:sz w:val="24"/>
                <w:szCs w:val="21"/>
              </w:rPr>
              <w:t>，厂家成套供应</w:t>
            </w:r>
          </w:p>
        </w:tc>
        <w:tc>
          <w:tcPr>
            <w:tcW w:w="951" w:type="dxa"/>
            <w:vAlign w:val="center"/>
          </w:tcPr>
          <w:p>
            <w:pPr>
              <w:jc w:val="center"/>
              <w:rPr>
                <w:rFonts w:cs="宋体"/>
                <w:sz w:val="24"/>
              </w:rPr>
            </w:pPr>
            <w:r>
              <w:rPr>
                <w:rFonts w:hint="eastAsia" w:cs="宋体"/>
                <w:sz w:val="24"/>
              </w:rPr>
              <w:t>台</w:t>
            </w:r>
          </w:p>
        </w:tc>
        <w:tc>
          <w:tcPr>
            <w:tcW w:w="952" w:type="dxa"/>
            <w:vAlign w:val="center"/>
          </w:tcPr>
          <w:p>
            <w:pPr>
              <w:jc w:val="center"/>
              <w:rPr>
                <w:rFonts w:cs="宋体"/>
                <w:sz w:val="24"/>
              </w:rPr>
            </w:pPr>
            <w:r>
              <w:rPr>
                <w:rFonts w:hint="eastAsia" w:cs="宋体"/>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blHeader/>
          <w:jc w:val="center"/>
        </w:trPr>
        <w:tc>
          <w:tcPr>
            <w:tcW w:w="2041" w:type="dxa"/>
            <w:vAlign w:val="center"/>
          </w:tcPr>
          <w:p>
            <w:pPr>
              <w:jc w:val="center"/>
              <w:rPr>
                <w:rFonts w:cs="宋体"/>
                <w:sz w:val="24"/>
              </w:rPr>
            </w:pPr>
            <w:r>
              <w:rPr>
                <w:rFonts w:hint="eastAsia" w:cs="宋体"/>
                <w:sz w:val="24"/>
              </w:rPr>
              <w:t>全程水处理器</w:t>
            </w:r>
          </w:p>
        </w:tc>
        <w:tc>
          <w:tcPr>
            <w:tcW w:w="4195" w:type="dxa"/>
          </w:tcPr>
          <w:p>
            <w:pPr>
              <w:rPr>
                <w:rFonts w:cs="宋体"/>
                <w:sz w:val="24"/>
              </w:rPr>
            </w:pPr>
            <w:r>
              <w:rPr>
                <w:rFonts w:hint="eastAsia" w:cs="宋体"/>
                <w:sz w:val="24"/>
              </w:rPr>
              <w:t>缓蚀、除锈、防垢、超净过滤</w:t>
            </w:r>
          </w:p>
          <w:p>
            <w:pPr>
              <w:rPr>
                <w:rFonts w:cs="宋体"/>
                <w:sz w:val="24"/>
              </w:rPr>
            </w:pPr>
            <w:r>
              <w:rPr>
                <w:rFonts w:hint="eastAsia" w:cs="宋体"/>
                <w:sz w:val="24"/>
              </w:rPr>
              <w:t>工作压力：1.0MPa</w:t>
            </w:r>
          </w:p>
          <w:p>
            <w:pPr>
              <w:rPr>
                <w:rFonts w:cs="宋体"/>
                <w:sz w:val="24"/>
              </w:rPr>
            </w:pPr>
            <w:r>
              <w:rPr>
                <w:rFonts w:hint="eastAsia" w:cs="宋体"/>
                <w:sz w:val="24"/>
              </w:rPr>
              <w:t>电源：220V，50Hz，100~600W</w:t>
            </w:r>
          </w:p>
          <w:p>
            <w:pPr>
              <w:rPr>
                <w:rFonts w:cs="宋体"/>
                <w:sz w:val="24"/>
              </w:rPr>
            </w:pPr>
            <w:r>
              <w:rPr>
                <w:rFonts w:hint="eastAsia" w:cs="宋体"/>
                <w:sz w:val="24"/>
              </w:rPr>
              <w:t>腐蚀率&lt;0.085mm/y，防垢率&gt;97%</w:t>
            </w:r>
          </w:p>
          <w:p>
            <w:pPr>
              <w:rPr>
                <w:rFonts w:cs="宋体"/>
                <w:sz w:val="24"/>
              </w:rPr>
            </w:pPr>
            <w:r>
              <w:rPr>
                <w:sz w:val="24"/>
                <w:szCs w:val="21"/>
              </w:rPr>
              <w:t>Q=1000m</w:t>
            </w:r>
            <w:r>
              <w:rPr>
                <w:sz w:val="24"/>
                <w:szCs w:val="21"/>
                <w:vertAlign w:val="superscript"/>
              </w:rPr>
              <w:t>3</w:t>
            </w:r>
            <w:r>
              <w:rPr>
                <w:sz w:val="24"/>
                <w:szCs w:val="21"/>
              </w:rPr>
              <w:t xml:space="preserve">/h；N=480W  </w:t>
            </w:r>
          </w:p>
        </w:tc>
        <w:tc>
          <w:tcPr>
            <w:tcW w:w="951" w:type="dxa"/>
            <w:vAlign w:val="center"/>
          </w:tcPr>
          <w:p>
            <w:pPr>
              <w:jc w:val="center"/>
              <w:rPr>
                <w:rFonts w:cs="宋体"/>
                <w:sz w:val="24"/>
              </w:rPr>
            </w:pPr>
            <w:r>
              <w:rPr>
                <w:rFonts w:hint="eastAsia" w:cs="宋体"/>
                <w:sz w:val="24"/>
              </w:rPr>
              <w:t>台</w:t>
            </w:r>
          </w:p>
        </w:tc>
        <w:tc>
          <w:tcPr>
            <w:tcW w:w="952" w:type="dxa"/>
            <w:vAlign w:val="center"/>
          </w:tcPr>
          <w:p>
            <w:pPr>
              <w:jc w:val="center"/>
              <w:rPr>
                <w:rFonts w:cs="宋体"/>
                <w:sz w:val="24"/>
              </w:rPr>
            </w:pPr>
            <w:r>
              <w:rPr>
                <w:rFonts w:hint="eastAsia" w:cs="宋体"/>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blHeader/>
          <w:jc w:val="center"/>
        </w:trPr>
        <w:tc>
          <w:tcPr>
            <w:tcW w:w="2041" w:type="dxa"/>
            <w:vAlign w:val="center"/>
          </w:tcPr>
          <w:p>
            <w:pPr>
              <w:jc w:val="center"/>
              <w:rPr>
                <w:rFonts w:cs="宋体"/>
                <w:sz w:val="24"/>
              </w:rPr>
            </w:pPr>
            <w:r>
              <w:rPr>
                <w:kern w:val="0"/>
                <w:sz w:val="24"/>
                <w:szCs w:val="21"/>
              </w:rPr>
              <w:t>全自动软水器</w:t>
            </w:r>
          </w:p>
        </w:tc>
        <w:tc>
          <w:tcPr>
            <w:tcW w:w="4195" w:type="dxa"/>
          </w:tcPr>
          <w:p>
            <w:pPr>
              <w:spacing w:line="400" w:lineRule="exact"/>
              <w:rPr>
                <w:sz w:val="24"/>
                <w:szCs w:val="21"/>
              </w:rPr>
            </w:pPr>
            <w:r>
              <w:rPr>
                <w:sz w:val="24"/>
                <w:szCs w:val="21"/>
              </w:rPr>
              <w:t>软水硬度&lt;0.03mmol/L</w:t>
            </w:r>
          </w:p>
          <w:p>
            <w:pPr>
              <w:rPr>
                <w:sz w:val="24"/>
                <w:szCs w:val="21"/>
              </w:rPr>
            </w:pPr>
            <w:r>
              <w:rPr>
                <w:rFonts w:hint="eastAsia"/>
                <w:sz w:val="24"/>
                <w:szCs w:val="21"/>
              </w:rPr>
              <w:t>额定功率：0.04kW/220V</w:t>
            </w:r>
          </w:p>
          <w:p>
            <w:pPr>
              <w:rPr>
                <w:sz w:val="24"/>
                <w:szCs w:val="21"/>
              </w:rPr>
            </w:pPr>
            <w:r>
              <w:rPr>
                <w:sz w:val="24"/>
                <w:szCs w:val="21"/>
              </w:rPr>
              <w:t>处理水量：</w:t>
            </w:r>
            <w:r>
              <w:rPr>
                <w:rFonts w:hint="eastAsia"/>
                <w:sz w:val="24"/>
                <w:szCs w:val="21"/>
              </w:rPr>
              <w:t>6</w:t>
            </w:r>
            <w:r>
              <w:rPr>
                <w:sz w:val="24"/>
                <w:szCs w:val="21"/>
              </w:rPr>
              <w:t>0m</w:t>
            </w:r>
            <w:r>
              <w:rPr>
                <w:sz w:val="24"/>
                <w:szCs w:val="21"/>
                <w:vertAlign w:val="superscript"/>
              </w:rPr>
              <w:t>3</w:t>
            </w:r>
            <w:r>
              <w:rPr>
                <w:sz w:val="24"/>
                <w:szCs w:val="21"/>
              </w:rPr>
              <w:t>/h</w:t>
            </w:r>
          </w:p>
        </w:tc>
        <w:tc>
          <w:tcPr>
            <w:tcW w:w="951" w:type="dxa"/>
            <w:vAlign w:val="center"/>
          </w:tcPr>
          <w:p>
            <w:pPr>
              <w:jc w:val="center"/>
              <w:rPr>
                <w:rFonts w:cs="宋体"/>
                <w:sz w:val="24"/>
              </w:rPr>
            </w:pPr>
            <w:r>
              <w:rPr>
                <w:rFonts w:hint="eastAsia" w:cs="宋体"/>
                <w:sz w:val="24"/>
              </w:rPr>
              <w:t>台</w:t>
            </w:r>
          </w:p>
        </w:tc>
        <w:tc>
          <w:tcPr>
            <w:tcW w:w="952" w:type="dxa"/>
            <w:vAlign w:val="center"/>
          </w:tcPr>
          <w:p>
            <w:pPr>
              <w:jc w:val="center"/>
              <w:rPr>
                <w:rFonts w:cs="宋体"/>
                <w:sz w:val="24"/>
              </w:rPr>
            </w:pPr>
            <w:r>
              <w:rPr>
                <w:rFonts w:hint="eastAsia" w:cs="宋体"/>
                <w:sz w:val="24"/>
              </w:rPr>
              <w:t>1</w:t>
            </w:r>
          </w:p>
        </w:tc>
      </w:tr>
    </w:tbl>
    <w:p>
      <w:pPr>
        <w:numPr>
          <w:ilvl w:val="0"/>
          <w:numId w:val="34"/>
        </w:numPr>
        <w:tabs>
          <w:tab w:val="left" w:pos="832"/>
        </w:tabs>
        <w:spacing w:line="360" w:lineRule="auto"/>
        <w:ind w:firstLine="480" w:firstLineChars="200"/>
        <w:rPr>
          <w:rFonts w:cs="仿宋_GB2312"/>
          <w:sz w:val="24"/>
        </w:rPr>
      </w:pPr>
      <w:r>
        <w:rPr>
          <w:rFonts w:hint="eastAsia" w:cs="仿宋_GB2312"/>
          <w:sz w:val="24"/>
        </w:rPr>
        <w:t>要求具有防垢除垢，缓蚀防腐，杀菌灭藻，超净过滤，自动排污，自动控制水质的水处理功能。对系统中全部水流量进行处理，且在系统反冲洗时不间断过滤，滤体用处理后的净水反冲洗。</w:t>
      </w:r>
    </w:p>
    <w:p>
      <w:pPr>
        <w:numPr>
          <w:ilvl w:val="0"/>
          <w:numId w:val="34"/>
        </w:numPr>
        <w:tabs>
          <w:tab w:val="left" w:pos="832"/>
        </w:tabs>
        <w:spacing w:line="360" w:lineRule="auto"/>
        <w:ind w:firstLine="480" w:firstLineChars="200"/>
        <w:rPr>
          <w:rFonts w:cs="仿宋_GB2312"/>
          <w:sz w:val="24"/>
        </w:rPr>
      </w:pPr>
      <w:r>
        <w:rPr>
          <w:rFonts w:hint="eastAsia" w:cs="仿宋_GB2312"/>
          <w:sz w:val="24"/>
        </w:rPr>
        <w:t>冷冻循环水全程水处理器应具备防腐、过滤、防垢功能，冷却循环水全程水处理器应具备防腐、防垢、杀菌灭藻、过滤、水质监测、控制浓缩比功能。</w:t>
      </w:r>
    </w:p>
    <w:p>
      <w:pPr>
        <w:numPr>
          <w:ilvl w:val="0"/>
          <w:numId w:val="34"/>
        </w:numPr>
        <w:tabs>
          <w:tab w:val="left" w:pos="832"/>
        </w:tabs>
        <w:spacing w:line="360" w:lineRule="auto"/>
        <w:ind w:firstLine="480" w:firstLineChars="200"/>
        <w:rPr>
          <w:rFonts w:cs="仿宋_GB2312"/>
          <w:sz w:val="24"/>
        </w:rPr>
      </w:pPr>
      <w:r>
        <w:rPr>
          <w:rFonts w:hint="eastAsia" w:cs="仿宋_GB2312"/>
          <w:sz w:val="24"/>
        </w:rPr>
        <w:t>制造全程水处理器所用的各种材料均应符合国家标准或行业标准规定，制作电控器的主要电子或电器元件采用性能优异的行业内知名品牌器件，并在供货时提供材料材质合格证明文件。</w:t>
      </w:r>
    </w:p>
    <w:p>
      <w:pPr>
        <w:numPr>
          <w:ilvl w:val="0"/>
          <w:numId w:val="34"/>
        </w:numPr>
        <w:tabs>
          <w:tab w:val="left" w:pos="832"/>
        </w:tabs>
        <w:spacing w:line="360" w:lineRule="auto"/>
        <w:ind w:firstLine="480" w:firstLineChars="200"/>
        <w:rPr>
          <w:rFonts w:cs="仿宋_GB2312"/>
          <w:sz w:val="24"/>
        </w:rPr>
      </w:pPr>
      <w:r>
        <w:rPr>
          <w:rFonts w:hint="eastAsia" w:cs="仿宋_GB2312"/>
          <w:sz w:val="24"/>
        </w:rPr>
        <w:t>所有焊缝表明无裂纹想、弧坑等缺陷，外表面应进行防锈、涂漆处理，漆膜均匀、平整、光滑、牢固。</w:t>
      </w:r>
    </w:p>
    <w:p>
      <w:pPr>
        <w:numPr>
          <w:ilvl w:val="0"/>
          <w:numId w:val="34"/>
        </w:numPr>
        <w:tabs>
          <w:tab w:val="left" w:pos="832"/>
        </w:tabs>
        <w:spacing w:line="360" w:lineRule="auto"/>
        <w:ind w:firstLine="480" w:firstLineChars="200"/>
        <w:rPr>
          <w:rFonts w:cs="仿宋_GB2312"/>
          <w:sz w:val="24"/>
        </w:rPr>
      </w:pPr>
      <w:r>
        <w:rPr>
          <w:rFonts w:hint="eastAsia" w:cs="仿宋_GB2312"/>
          <w:sz w:val="24"/>
        </w:rPr>
        <w:t>全程水处理器的工作方式为（定时、压差、水质三种）、就地手动、制冷水系统群控。</w:t>
      </w:r>
    </w:p>
    <w:p>
      <w:pPr>
        <w:numPr>
          <w:ilvl w:val="0"/>
          <w:numId w:val="34"/>
        </w:numPr>
        <w:tabs>
          <w:tab w:val="left" w:pos="832"/>
        </w:tabs>
        <w:spacing w:line="360" w:lineRule="auto"/>
        <w:ind w:firstLine="480" w:firstLineChars="200"/>
        <w:rPr>
          <w:rFonts w:cs="仿宋_GB2312"/>
          <w:sz w:val="24"/>
        </w:rPr>
      </w:pPr>
      <w:r>
        <w:rPr>
          <w:rFonts w:hint="eastAsia" w:cs="仿宋_GB2312"/>
          <w:sz w:val="24"/>
        </w:rPr>
        <w:t>工作电压的波动范围220V±10%内能正常运行。</w:t>
      </w:r>
    </w:p>
    <w:p>
      <w:pPr>
        <w:numPr>
          <w:ilvl w:val="0"/>
          <w:numId w:val="34"/>
        </w:numPr>
        <w:tabs>
          <w:tab w:val="left" w:pos="832"/>
        </w:tabs>
        <w:spacing w:line="360" w:lineRule="auto"/>
        <w:ind w:firstLine="480" w:firstLineChars="200"/>
        <w:rPr>
          <w:rFonts w:cs="仿宋_GB2312"/>
          <w:sz w:val="24"/>
        </w:rPr>
      </w:pPr>
      <w:r>
        <w:rPr>
          <w:rFonts w:hint="eastAsia" w:cs="仿宋_GB2312"/>
          <w:sz w:val="24"/>
        </w:rPr>
        <w:t>电控箱的绝缘等级为F级，防护等级为IP55。供货商提供相关3C认证报告。</w:t>
      </w:r>
    </w:p>
    <w:p>
      <w:pPr>
        <w:numPr>
          <w:ilvl w:val="0"/>
          <w:numId w:val="34"/>
        </w:numPr>
        <w:tabs>
          <w:tab w:val="left" w:pos="832"/>
        </w:tabs>
        <w:spacing w:line="360" w:lineRule="auto"/>
        <w:ind w:firstLine="480" w:firstLineChars="200"/>
        <w:rPr>
          <w:rFonts w:cs="仿宋_GB2312"/>
          <w:sz w:val="24"/>
        </w:rPr>
      </w:pPr>
      <w:r>
        <w:rPr>
          <w:rFonts w:hint="eastAsia" w:cs="仿宋_GB2312"/>
          <w:sz w:val="24"/>
        </w:rPr>
        <w:t>设备耐压为1.0MPa。</w:t>
      </w:r>
    </w:p>
    <w:p>
      <w:pPr>
        <w:numPr>
          <w:ilvl w:val="0"/>
          <w:numId w:val="34"/>
        </w:numPr>
        <w:tabs>
          <w:tab w:val="left" w:pos="832"/>
        </w:tabs>
        <w:spacing w:line="360" w:lineRule="auto"/>
        <w:ind w:firstLine="480" w:firstLineChars="200"/>
        <w:rPr>
          <w:rFonts w:cs="仿宋_GB2312"/>
          <w:sz w:val="24"/>
        </w:rPr>
      </w:pPr>
      <w:r>
        <w:rPr>
          <w:rFonts w:hint="eastAsia" w:cs="仿宋_GB2312"/>
          <w:sz w:val="24"/>
        </w:rPr>
        <w:t>在设计流量增加15%的范围内，全程水处理器的各项性能指标无明显降低的现象发生。</w:t>
      </w:r>
    </w:p>
    <w:p>
      <w:pPr>
        <w:numPr>
          <w:ilvl w:val="0"/>
          <w:numId w:val="34"/>
        </w:numPr>
        <w:tabs>
          <w:tab w:val="left" w:pos="832"/>
        </w:tabs>
        <w:spacing w:line="360" w:lineRule="auto"/>
        <w:ind w:firstLine="480" w:firstLineChars="200"/>
        <w:rPr>
          <w:rFonts w:cs="仿宋_GB2312"/>
          <w:sz w:val="24"/>
        </w:rPr>
      </w:pPr>
      <w:r>
        <w:rPr>
          <w:rFonts w:hint="eastAsia" w:cs="仿宋_GB2312"/>
          <w:sz w:val="24"/>
        </w:rPr>
        <w:t>正常运行条件下，集成模块、电路总成、工频转换器中的电子元件使用寿命满足10年的使用要求，其他部件使用寿命高于15年。</w:t>
      </w:r>
    </w:p>
    <w:p>
      <w:pPr>
        <w:numPr>
          <w:ilvl w:val="0"/>
          <w:numId w:val="34"/>
        </w:numPr>
        <w:tabs>
          <w:tab w:val="left" w:pos="832"/>
        </w:tabs>
        <w:spacing w:line="360" w:lineRule="auto"/>
        <w:ind w:firstLine="480" w:firstLineChars="200"/>
        <w:rPr>
          <w:rFonts w:cs="仿宋_GB2312"/>
          <w:sz w:val="24"/>
        </w:rPr>
      </w:pPr>
      <w:r>
        <w:rPr>
          <w:rFonts w:hint="eastAsia" w:cs="仿宋_GB2312"/>
          <w:sz w:val="24"/>
        </w:rPr>
        <w:t>设备与循环水管道的连接采用标准法兰连接。</w:t>
      </w:r>
    </w:p>
    <w:p>
      <w:pPr>
        <w:numPr>
          <w:ilvl w:val="0"/>
          <w:numId w:val="34"/>
        </w:numPr>
        <w:tabs>
          <w:tab w:val="left" w:pos="832"/>
        </w:tabs>
        <w:spacing w:line="360" w:lineRule="auto"/>
        <w:ind w:firstLine="480" w:firstLineChars="200"/>
        <w:rPr>
          <w:rFonts w:cs="仿宋_GB2312"/>
          <w:sz w:val="24"/>
        </w:rPr>
      </w:pPr>
      <w:r>
        <w:rPr>
          <w:rFonts w:hint="eastAsia" w:cs="仿宋_GB2312"/>
          <w:sz w:val="24"/>
        </w:rPr>
        <w:t>设备材料：过滤体材质为不锈钢SUS304，设备主体采用优质碳钢，电气元件PLC等其他电气元件应采用为行业内性能优异的知名品牌。</w:t>
      </w:r>
    </w:p>
    <w:p>
      <w:pPr>
        <w:pStyle w:val="9"/>
        <w:spacing w:before="156"/>
        <w:ind w:firstLine="482" w:firstLineChars="200"/>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2.7包装、运输和储存</w:t>
      </w:r>
    </w:p>
    <w:p>
      <w:pPr>
        <w:numPr>
          <w:ilvl w:val="0"/>
          <w:numId w:val="35"/>
        </w:numPr>
        <w:tabs>
          <w:tab w:val="left" w:pos="832"/>
        </w:tabs>
        <w:spacing w:line="360" w:lineRule="auto"/>
        <w:ind w:firstLine="480" w:firstLineChars="200"/>
        <w:rPr>
          <w:rFonts w:cs="仿宋_GB2312"/>
          <w:sz w:val="24"/>
        </w:rPr>
      </w:pPr>
      <w:r>
        <w:rPr>
          <w:rFonts w:hint="eastAsia" w:cs="仿宋_GB2312"/>
          <w:sz w:val="24"/>
        </w:rPr>
        <w:t>运输时应采取正确的保护设施保护货物。所供货物为整体一体设备的，或成套组装货物（冷水机组、旁流水处理器等）内的整体一体设备必须整体到货，非经招标方许可，不得以散件交货到现场再进行组装。</w:t>
      </w:r>
    </w:p>
    <w:p>
      <w:pPr>
        <w:numPr>
          <w:ilvl w:val="0"/>
          <w:numId w:val="35"/>
        </w:numPr>
        <w:tabs>
          <w:tab w:val="left" w:pos="832"/>
        </w:tabs>
        <w:spacing w:line="360" w:lineRule="auto"/>
        <w:ind w:firstLine="480" w:firstLineChars="200"/>
        <w:rPr>
          <w:rFonts w:cs="仿宋_GB2312"/>
          <w:sz w:val="24"/>
        </w:rPr>
      </w:pPr>
      <w:r>
        <w:rPr>
          <w:rFonts w:hint="eastAsia" w:cs="仿宋_GB2312"/>
          <w:sz w:val="24"/>
        </w:rPr>
        <w:t>应在设备明显部位装设耐腐蚀材料制作的金属铭牌，金属铭牌至少应包括以下内容：设备名称、设备制造厂名称、设备制造年月、制造厂产品编号、制造许可证编号、设备型号、设计温度、设计压力及试验压力、质量等。</w:t>
      </w:r>
    </w:p>
    <w:p>
      <w:pPr>
        <w:numPr>
          <w:ilvl w:val="0"/>
          <w:numId w:val="35"/>
        </w:numPr>
        <w:tabs>
          <w:tab w:val="left" w:pos="832"/>
        </w:tabs>
        <w:spacing w:line="360" w:lineRule="auto"/>
        <w:ind w:firstLine="480" w:firstLineChars="200"/>
        <w:rPr>
          <w:rFonts w:cs="仿宋_GB2312"/>
          <w:sz w:val="24"/>
        </w:rPr>
      </w:pPr>
      <w:r>
        <w:rPr>
          <w:rFonts w:hint="eastAsia" w:cs="仿宋_GB2312"/>
          <w:sz w:val="24"/>
        </w:rPr>
        <w:t>在接口位置必须有介质进、出口标记。</w:t>
      </w:r>
    </w:p>
    <w:p>
      <w:pPr>
        <w:pStyle w:val="9"/>
        <w:spacing w:before="156"/>
        <w:ind w:firstLine="482" w:firstLineChars="200"/>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2.8现场交接及设备验收</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2.8.1总体要求</w:t>
      </w:r>
    </w:p>
    <w:p>
      <w:pPr>
        <w:numPr>
          <w:ilvl w:val="0"/>
          <w:numId w:val="36"/>
        </w:numPr>
        <w:tabs>
          <w:tab w:val="left" w:pos="832"/>
        </w:tabs>
        <w:spacing w:line="360" w:lineRule="auto"/>
        <w:ind w:firstLine="480" w:firstLineChars="200"/>
        <w:rPr>
          <w:rFonts w:cs="仿宋_GB2312"/>
          <w:sz w:val="24"/>
        </w:rPr>
      </w:pPr>
      <w:r>
        <w:rPr>
          <w:rFonts w:hint="eastAsia" w:cs="仿宋_GB2312"/>
          <w:sz w:val="24"/>
        </w:rPr>
        <w:t>中标方接到招标方通知后3个月内将货物送至招标方指定地点，当中标方所提供设备运抵现场后，在双方约定时间内，须由招标方、中标方等双方组成的验收小组，对中标方提供设备的外观和数量进行验收和核实。</w:t>
      </w:r>
    </w:p>
    <w:p>
      <w:pPr>
        <w:numPr>
          <w:ilvl w:val="0"/>
          <w:numId w:val="36"/>
        </w:numPr>
        <w:tabs>
          <w:tab w:val="left" w:pos="832"/>
        </w:tabs>
        <w:spacing w:line="360" w:lineRule="auto"/>
        <w:ind w:firstLine="480" w:firstLineChars="200"/>
        <w:rPr>
          <w:rFonts w:cs="仿宋_GB2312"/>
          <w:sz w:val="24"/>
        </w:rPr>
      </w:pPr>
      <w:r>
        <w:rPr>
          <w:rFonts w:hint="eastAsia" w:cs="仿宋_GB2312"/>
          <w:sz w:val="24"/>
        </w:rPr>
        <w:t>开箱验收：招标方查看所供产品是否与合同内容（数量与型号）一致；</w:t>
      </w:r>
    </w:p>
    <w:p>
      <w:pPr>
        <w:numPr>
          <w:ilvl w:val="0"/>
          <w:numId w:val="36"/>
        </w:numPr>
        <w:tabs>
          <w:tab w:val="left" w:pos="832"/>
        </w:tabs>
        <w:spacing w:line="360" w:lineRule="auto"/>
        <w:ind w:firstLine="480" w:firstLineChars="200"/>
        <w:rPr>
          <w:rFonts w:cs="仿宋_GB2312"/>
          <w:sz w:val="24"/>
        </w:rPr>
      </w:pPr>
      <w:r>
        <w:rPr>
          <w:rFonts w:hint="eastAsia" w:cs="仿宋_GB2312"/>
          <w:sz w:val="24"/>
        </w:rPr>
        <w:t>如果设备和材料的任一零部件经检验和试验后，不符合设计要求及合同技术附件中的规定，中标方应消除其缺陷，直至产品合格获得满意结果为止。</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2.8.2验收标准</w:t>
      </w:r>
    </w:p>
    <w:p>
      <w:pPr>
        <w:tabs>
          <w:tab w:val="left" w:pos="832"/>
        </w:tabs>
        <w:spacing w:line="360" w:lineRule="auto"/>
        <w:ind w:firstLine="480" w:firstLineChars="200"/>
        <w:rPr>
          <w:rFonts w:cs="仿宋_GB2312"/>
          <w:sz w:val="24"/>
        </w:rPr>
      </w:pPr>
      <w:r>
        <w:rPr>
          <w:rFonts w:hint="eastAsia" w:cs="仿宋_GB2312"/>
          <w:sz w:val="24"/>
        </w:rPr>
        <w:t>设备到达施工现场具备验收条件后4小时（工作时间）内，由招标方组织开始现场验收，若验收合格，则由招标方及中标方签署现场验收合格证明文件，此合格证明文件为现场验收通过且作为已交货的凭证。中标方须于招标方验收前至少提供如下技术文件：</w:t>
      </w:r>
    </w:p>
    <w:p>
      <w:pPr>
        <w:numPr>
          <w:ilvl w:val="0"/>
          <w:numId w:val="37"/>
        </w:numPr>
        <w:tabs>
          <w:tab w:val="left" w:pos="832"/>
        </w:tabs>
        <w:spacing w:line="360" w:lineRule="auto"/>
        <w:ind w:firstLine="480" w:firstLineChars="200"/>
        <w:rPr>
          <w:rFonts w:cs="仿宋_GB2312"/>
          <w:sz w:val="24"/>
        </w:rPr>
      </w:pPr>
      <w:r>
        <w:rPr>
          <w:rFonts w:hint="eastAsia" w:cs="仿宋_GB2312"/>
          <w:sz w:val="24"/>
        </w:rPr>
        <w:t>包含主要部件、外购件在内的产品合格证，内容包括但不限于：产品名称、型号及机组编号、检验员签章；生产厂家名称、商标及厂址。</w:t>
      </w:r>
    </w:p>
    <w:p>
      <w:pPr>
        <w:numPr>
          <w:ilvl w:val="0"/>
          <w:numId w:val="37"/>
        </w:numPr>
        <w:tabs>
          <w:tab w:val="left" w:pos="832"/>
        </w:tabs>
        <w:spacing w:line="360" w:lineRule="auto"/>
        <w:ind w:firstLine="480" w:firstLineChars="200"/>
        <w:rPr>
          <w:rFonts w:cs="仿宋_GB2312"/>
          <w:sz w:val="24"/>
        </w:rPr>
      </w:pPr>
      <w:r>
        <w:rPr>
          <w:rFonts w:hint="eastAsia" w:cs="仿宋_GB2312"/>
          <w:sz w:val="24"/>
        </w:rPr>
        <w:t>产品安装、使用说明书，运行维护手册等。内容包括但不限于：产品工作原理；主要技术参数；主要构件材料；安装、运行、维护技术要求及安全注意事项等。</w:t>
      </w:r>
    </w:p>
    <w:p>
      <w:pPr>
        <w:numPr>
          <w:ilvl w:val="0"/>
          <w:numId w:val="37"/>
        </w:numPr>
        <w:tabs>
          <w:tab w:val="left" w:pos="832"/>
        </w:tabs>
        <w:spacing w:line="360" w:lineRule="auto"/>
        <w:ind w:firstLine="480" w:firstLineChars="200"/>
        <w:rPr>
          <w:rFonts w:cs="仿宋_GB2312"/>
          <w:sz w:val="24"/>
        </w:rPr>
      </w:pPr>
      <w:r>
        <w:rPr>
          <w:rFonts w:hint="eastAsia" w:cs="仿宋_GB2312"/>
          <w:sz w:val="24"/>
        </w:rPr>
        <w:t>各类设计图纸。至少包括产品结构示意图、外形图、冷冻水及冷却水接口安装大样图、电气线路图与接线图、以及所有主要部件及整机安装所需的指导图纸。</w:t>
      </w:r>
    </w:p>
    <w:p>
      <w:pPr>
        <w:numPr>
          <w:ilvl w:val="0"/>
          <w:numId w:val="37"/>
        </w:numPr>
        <w:tabs>
          <w:tab w:val="left" w:pos="832"/>
        </w:tabs>
        <w:spacing w:line="360" w:lineRule="auto"/>
        <w:ind w:firstLine="480" w:firstLineChars="200"/>
        <w:rPr>
          <w:rFonts w:cs="仿宋_GB2312"/>
          <w:sz w:val="24"/>
        </w:rPr>
      </w:pPr>
      <w:r>
        <w:rPr>
          <w:rFonts w:hint="eastAsia" w:cs="仿宋_GB2312"/>
          <w:sz w:val="24"/>
        </w:rPr>
        <w:t>压力容器资料：压力容器质量证明书、压力容器竣工图及计算书。</w:t>
      </w:r>
    </w:p>
    <w:p>
      <w:pPr>
        <w:tabs>
          <w:tab w:val="left" w:pos="832"/>
        </w:tabs>
        <w:spacing w:line="360" w:lineRule="auto"/>
        <w:ind w:firstLine="480"/>
        <w:rPr>
          <w:rFonts w:cs="仿宋_GB2312"/>
          <w:b/>
          <w:kern w:val="0"/>
          <w:sz w:val="24"/>
        </w:rPr>
      </w:pPr>
      <w:r>
        <w:rPr>
          <w:rFonts w:hint="eastAsia" w:cs="仿宋_GB2312"/>
          <w:b/>
          <w:kern w:val="0"/>
          <w:sz w:val="24"/>
        </w:rPr>
        <w:t>2.8.3最终验收</w:t>
      </w:r>
    </w:p>
    <w:p>
      <w:pPr>
        <w:numPr>
          <w:ilvl w:val="0"/>
          <w:numId w:val="38"/>
        </w:numPr>
        <w:tabs>
          <w:tab w:val="left" w:pos="832"/>
        </w:tabs>
        <w:spacing w:line="360" w:lineRule="auto"/>
        <w:ind w:firstLine="480" w:firstLineChars="200"/>
        <w:rPr>
          <w:rFonts w:cs="仿宋_GB2312"/>
          <w:sz w:val="24"/>
        </w:rPr>
      </w:pPr>
      <w:r>
        <w:rPr>
          <w:rFonts w:hint="eastAsia" w:cs="仿宋_GB2312"/>
          <w:sz w:val="24"/>
        </w:rPr>
        <w:t>现场验收合格后，中标方负责对所供设备和系统进行安装，安装完毕以后，由中标方负责并组织有招标方代表、监理（若有）等参加的现场调试。调试按照中标方编制、招标方审核同意的调试方案进行。</w:t>
      </w:r>
    </w:p>
    <w:p>
      <w:pPr>
        <w:numPr>
          <w:ilvl w:val="0"/>
          <w:numId w:val="38"/>
        </w:numPr>
        <w:tabs>
          <w:tab w:val="left" w:pos="832"/>
        </w:tabs>
        <w:spacing w:line="360" w:lineRule="auto"/>
        <w:ind w:firstLine="480" w:firstLineChars="200"/>
        <w:rPr>
          <w:rFonts w:cs="仿宋_GB2312"/>
          <w:sz w:val="24"/>
        </w:rPr>
      </w:pPr>
      <w:r>
        <w:rPr>
          <w:rFonts w:hint="eastAsia" w:cs="仿宋_GB2312"/>
          <w:sz w:val="24"/>
        </w:rPr>
        <w:t>安装调试验收首先对单体设备进行性能检查，中标方负责提供单体设备的调试记录表，由招标方代表逐个签署验收。</w:t>
      </w:r>
    </w:p>
    <w:p>
      <w:pPr>
        <w:numPr>
          <w:ilvl w:val="0"/>
          <w:numId w:val="38"/>
        </w:numPr>
        <w:tabs>
          <w:tab w:val="left" w:pos="832"/>
        </w:tabs>
        <w:spacing w:line="360" w:lineRule="auto"/>
        <w:ind w:firstLine="480" w:firstLineChars="200"/>
        <w:rPr>
          <w:rFonts w:cs="仿宋_GB2312"/>
          <w:sz w:val="24"/>
        </w:rPr>
      </w:pPr>
      <w:r>
        <w:rPr>
          <w:rFonts w:hint="eastAsia" w:cs="仿宋_GB2312"/>
          <w:sz w:val="24"/>
        </w:rPr>
        <w:t>单体设备性能调试完成后，进行系统运行调试和性能检验。验收过程中，如发现任何设备存在质量问题、或单体设备或系统性能不能满足工艺设计要求，中标方须尽快修改、调整或更换，直至满足规定要求为止。期间发生的所有费用由中标方负责。</w:t>
      </w:r>
    </w:p>
    <w:p>
      <w:pPr>
        <w:numPr>
          <w:ilvl w:val="0"/>
          <w:numId w:val="38"/>
        </w:numPr>
        <w:tabs>
          <w:tab w:val="left" w:pos="832"/>
        </w:tabs>
        <w:spacing w:line="360" w:lineRule="auto"/>
        <w:ind w:firstLine="480" w:firstLineChars="200"/>
        <w:rPr>
          <w:rFonts w:cs="仿宋_GB2312"/>
          <w:sz w:val="24"/>
        </w:rPr>
      </w:pPr>
      <w:r>
        <w:rPr>
          <w:rFonts w:hint="eastAsia" w:cs="仿宋_GB2312"/>
          <w:sz w:val="24"/>
        </w:rPr>
        <w:t>所有设备质量和性能满足规定要求；系统性能指标符合设计要求、运转正常；文件资料完整齐全视为安装调试验收合格。安装调试验收合格后，无故障运行2个月，视为最终验收合格。</w:t>
      </w:r>
    </w:p>
    <w:p>
      <w:pPr>
        <w:tabs>
          <w:tab w:val="left" w:pos="832"/>
        </w:tabs>
        <w:spacing w:line="360" w:lineRule="auto"/>
        <w:ind w:firstLine="480"/>
        <w:outlineLvl w:val="2"/>
        <w:rPr>
          <w:rFonts w:cs="仿宋_GB2312"/>
          <w:b/>
          <w:kern w:val="0"/>
          <w:sz w:val="24"/>
        </w:rPr>
      </w:pPr>
      <w:r>
        <w:rPr>
          <w:rFonts w:hint="eastAsia" w:cs="仿宋_GB2312"/>
          <w:b/>
          <w:kern w:val="0"/>
          <w:sz w:val="24"/>
        </w:rPr>
        <w:t>2.9技术服务</w:t>
      </w:r>
    </w:p>
    <w:p>
      <w:pPr>
        <w:numPr>
          <w:ilvl w:val="0"/>
          <w:numId w:val="39"/>
        </w:numPr>
        <w:tabs>
          <w:tab w:val="left" w:pos="832"/>
        </w:tabs>
        <w:spacing w:line="360" w:lineRule="auto"/>
        <w:ind w:firstLine="480" w:firstLineChars="200"/>
        <w:rPr>
          <w:rFonts w:cs="仿宋_GB2312"/>
          <w:sz w:val="24"/>
        </w:rPr>
      </w:pPr>
      <w:r>
        <w:rPr>
          <w:rFonts w:hint="eastAsia" w:cs="仿宋_GB2312"/>
          <w:sz w:val="24"/>
        </w:rPr>
        <w:t>为方便工程顺利进行、要求中标方负责派谴熟练的专职技术人员到施工现场进行设备安装、调试和运行性能的考核等，完成合同规定中标方应履行的所有任务和职责。</w:t>
      </w:r>
    </w:p>
    <w:p>
      <w:pPr>
        <w:numPr>
          <w:ilvl w:val="0"/>
          <w:numId w:val="39"/>
        </w:numPr>
        <w:tabs>
          <w:tab w:val="left" w:pos="832"/>
        </w:tabs>
        <w:spacing w:line="360" w:lineRule="auto"/>
        <w:ind w:firstLine="480" w:firstLineChars="200"/>
        <w:rPr>
          <w:rFonts w:cs="仿宋_GB2312"/>
          <w:sz w:val="24"/>
        </w:rPr>
      </w:pPr>
      <w:r>
        <w:rPr>
          <w:rFonts w:hint="eastAsia" w:cs="仿宋_GB2312"/>
          <w:sz w:val="24"/>
        </w:rPr>
        <w:t>要求中标方技术人员负责对招标方进行技术交底工作、详细讲解图纸、工艺流程、操作规程、设备性能及注意的有关事项，并回答招标方提出的问题。</w:t>
      </w:r>
    </w:p>
    <w:p>
      <w:pPr>
        <w:numPr>
          <w:ilvl w:val="0"/>
          <w:numId w:val="39"/>
        </w:numPr>
        <w:tabs>
          <w:tab w:val="left" w:pos="832"/>
        </w:tabs>
        <w:spacing w:line="360" w:lineRule="auto"/>
        <w:ind w:firstLine="480" w:firstLineChars="200"/>
        <w:rPr>
          <w:rFonts w:cs="仿宋_GB2312"/>
          <w:sz w:val="24"/>
        </w:rPr>
      </w:pPr>
      <w:r>
        <w:rPr>
          <w:rFonts w:hint="eastAsia" w:cs="仿宋_GB2312"/>
          <w:sz w:val="24"/>
        </w:rPr>
        <w:t>设备投入运行前，中标方人员应向招标方提供全面正确的示范操作，直至教会操作人员操作为止。</w:t>
      </w:r>
    </w:p>
    <w:p>
      <w:pPr>
        <w:numPr>
          <w:ilvl w:val="0"/>
          <w:numId w:val="39"/>
        </w:numPr>
        <w:tabs>
          <w:tab w:val="left" w:pos="832"/>
        </w:tabs>
        <w:spacing w:line="360" w:lineRule="auto"/>
        <w:ind w:firstLine="480" w:firstLineChars="200"/>
        <w:rPr>
          <w:rFonts w:cs="仿宋_GB2312"/>
          <w:sz w:val="24"/>
        </w:rPr>
      </w:pPr>
      <w:r>
        <w:rPr>
          <w:rFonts w:hint="eastAsia" w:cs="仿宋_GB2312"/>
          <w:sz w:val="24"/>
        </w:rPr>
        <w:t>中标方必须无偿提供技术培训。</w:t>
      </w:r>
    </w:p>
    <w:p>
      <w:pPr>
        <w:numPr>
          <w:ilvl w:val="0"/>
          <w:numId w:val="39"/>
        </w:numPr>
        <w:tabs>
          <w:tab w:val="left" w:pos="832"/>
        </w:tabs>
        <w:spacing w:line="360" w:lineRule="auto"/>
        <w:ind w:firstLine="480" w:firstLineChars="200"/>
        <w:rPr>
          <w:rFonts w:cs="仿宋_GB2312"/>
          <w:sz w:val="24"/>
        </w:rPr>
      </w:pPr>
      <w:r>
        <w:rPr>
          <w:rFonts w:hint="eastAsia" w:cs="仿宋_GB2312"/>
          <w:sz w:val="24"/>
        </w:rPr>
        <w:t>产品投入运行后，若出现运行故障，无论操作失误或安装问题，本着先解决问题，后分析责任的原则，中标方需及时到达现场进行维修处理。</w:t>
      </w:r>
    </w:p>
    <w:p>
      <w:pPr>
        <w:tabs>
          <w:tab w:val="left" w:pos="832"/>
        </w:tabs>
        <w:spacing w:line="360" w:lineRule="auto"/>
        <w:ind w:firstLine="480"/>
        <w:outlineLvl w:val="2"/>
        <w:rPr>
          <w:rFonts w:cs="仿宋_GB2312"/>
          <w:b/>
          <w:kern w:val="0"/>
          <w:sz w:val="24"/>
        </w:rPr>
      </w:pPr>
      <w:r>
        <w:rPr>
          <w:rFonts w:hint="eastAsia" w:cs="仿宋_GB2312"/>
          <w:b/>
          <w:kern w:val="0"/>
          <w:sz w:val="24"/>
        </w:rPr>
        <w:t>2.10售后服务</w:t>
      </w:r>
    </w:p>
    <w:p>
      <w:pPr>
        <w:numPr>
          <w:ilvl w:val="0"/>
          <w:numId w:val="40"/>
        </w:numPr>
        <w:tabs>
          <w:tab w:val="left" w:pos="832"/>
        </w:tabs>
        <w:spacing w:line="360" w:lineRule="auto"/>
        <w:ind w:firstLine="480" w:firstLineChars="200"/>
        <w:rPr>
          <w:rFonts w:cs="仿宋_GB2312"/>
          <w:sz w:val="24"/>
        </w:rPr>
      </w:pPr>
      <w:r>
        <w:rPr>
          <w:rFonts w:hint="eastAsia" w:cs="仿宋_GB2312"/>
          <w:sz w:val="24"/>
        </w:rPr>
        <w:t>产品实行“三包”，质量保证期为设备验收合格后24个月。在质保期内，如因产品质量出现问题，中标方应在接到通知后2小时内做出明确答复，24小时内赶到使用现场，免费维修；</w:t>
      </w:r>
    </w:p>
    <w:p>
      <w:pPr>
        <w:numPr>
          <w:ilvl w:val="0"/>
          <w:numId w:val="40"/>
        </w:numPr>
        <w:tabs>
          <w:tab w:val="left" w:pos="832"/>
        </w:tabs>
        <w:spacing w:line="360" w:lineRule="auto"/>
        <w:ind w:firstLine="480" w:firstLineChars="200"/>
        <w:rPr>
          <w:rFonts w:cs="仿宋_GB2312"/>
          <w:sz w:val="24"/>
        </w:rPr>
      </w:pPr>
      <w:r>
        <w:rPr>
          <w:rFonts w:hint="eastAsia" w:cs="仿宋_GB2312"/>
          <w:sz w:val="24"/>
        </w:rPr>
        <w:t>超过保修期后，产品在运行中出现招标方不能处理的问题时，中标方售后服务人员在接到通知后应在2小时内做出明确答复，24小时内赶到使用现场解决问题；</w:t>
      </w:r>
    </w:p>
    <w:p>
      <w:pPr>
        <w:numPr>
          <w:ilvl w:val="0"/>
          <w:numId w:val="40"/>
        </w:numPr>
        <w:tabs>
          <w:tab w:val="left" w:pos="832"/>
        </w:tabs>
        <w:spacing w:line="360" w:lineRule="auto"/>
        <w:ind w:firstLine="480" w:firstLineChars="200"/>
        <w:rPr>
          <w:rFonts w:cs="仿宋_GB2312"/>
          <w:sz w:val="24"/>
        </w:rPr>
      </w:pPr>
      <w:r>
        <w:rPr>
          <w:rFonts w:hint="eastAsia" w:cs="仿宋_GB2312"/>
          <w:sz w:val="24"/>
        </w:rPr>
        <w:t>实行终身服务，以最优惠的价格长期提供易损件和零配件；</w:t>
      </w:r>
    </w:p>
    <w:p>
      <w:pPr>
        <w:numPr>
          <w:ilvl w:val="0"/>
          <w:numId w:val="40"/>
        </w:numPr>
        <w:tabs>
          <w:tab w:val="left" w:pos="832"/>
        </w:tabs>
        <w:spacing w:line="360" w:lineRule="auto"/>
        <w:ind w:firstLine="480" w:firstLineChars="200"/>
        <w:rPr>
          <w:rFonts w:cs="仿宋_GB2312"/>
          <w:sz w:val="24"/>
        </w:rPr>
      </w:pPr>
      <w:r>
        <w:rPr>
          <w:rFonts w:hint="eastAsia" w:cs="仿宋_GB2312"/>
          <w:sz w:val="24"/>
        </w:rPr>
        <w:t>质保期内，中标方须免费提供技术支持、人员培训、设备调试等服务。</w:t>
      </w:r>
    </w:p>
    <w:p>
      <w:pPr>
        <w:tabs>
          <w:tab w:val="left" w:pos="832"/>
        </w:tabs>
        <w:spacing w:line="360" w:lineRule="auto"/>
        <w:ind w:firstLine="480"/>
        <w:outlineLvl w:val="2"/>
        <w:rPr>
          <w:rFonts w:cs="仿宋_GB2312"/>
          <w:b/>
          <w:kern w:val="0"/>
          <w:sz w:val="24"/>
        </w:rPr>
      </w:pPr>
      <w:r>
        <w:rPr>
          <w:rFonts w:hint="eastAsia" w:cs="仿宋_GB2312"/>
          <w:b/>
          <w:kern w:val="0"/>
          <w:sz w:val="24"/>
        </w:rPr>
        <w:t>2.11附件、备件和消耗品</w:t>
      </w:r>
    </w:p>
    <w:p>
      <w:pPr>
        <w:numPr>
          <w:ilvl w:val="0"/>
          <w:numId w:val="41"/>
        </w:numPr>
        <w:tabs>
          <w:tab w:val="left" w:pos="832"/>
        </w:tabs>
        <w:spacing w:line="360" w:lineRule="auto"/>
        <w:ind w:firstLine="480" w:firstLineChars="200"/>
        <w:rPr>
          <w:rFonts w:cs="仿宋_GB2312"/>
          <w:sz w:val="24"/>
        </w:rPr>
      </w:pPr>
      <w:r>
        <w:rPr>
          <w:rFonts w:hint="eastAsia" w:cs="仿宋_GB2312"/>
          <w:sz w:val="24"/>
        </w:rPr>
        <w:t>中标方须提供保证正常运行所必须的附件、备件、工具和消耗品等。</w:t>
      </w:r>
    </w:p>
    <w:p>
      <w:pPr>
        <w:numPr>
          <w:ilvl w:val="0"/>
          <w:numId w:val="41"/>
        </w:numPr>
        <w:tabs>
          <w:tab w:val="left" w:pos="832"/>
        </w:tabs>
        <w:spacing w:line="360" w:lineRule="auto"/>
        <w:ind w:firstLine="480" w:firstLineChars="200"/>
        <w:rPr>
          <w:rFonts w:cs="仿宋_GB2312"/>
          <w:sz w:val="24"/>
        </w:rPr>
      </w:pPr>
      <w:r>
        <w:rPr>
          <w:rFonts w:hint="eastAsia" w:cs="仿宋_GB2312"/>
          <w:sz w:val="24"/>
        </w:rPr>
        <w:t>中标方还须保证，在保修期满后以优惠价格供应维持设备正常运转所必需的附件、备件及相应技术图纸等资料、工具和消耗品等。</w:t>
      </w:r>
    </w:p>
    <w:p>
      <w:pPr>
        <w:tabs>
          <w:tab w:val="left" w:pos="832"/>
        </w:tabs>
        <w:spacing w:line="360" w:lineRule="auto"/>
        <w:ind w:firstLine="480"/>
        <w:outlineLvl w:val="2"/>
        <w:rPr>
          <w:rFonts w:cs="仿宋_GB2312"/>
          <w:b/>
          <w:kern w:val="0"/>
          <w:sz w:val="24"/>
        </w:rPr>
      </w:pPr>
      <w:r>
        <w:rPr>
          <w:rFonts w:hint="eastAsia" w:cs="仿宋_GB2312"/>
          <w:b/>
          <w:kern w:val="0"/>
          <w:sz w:val="24"/>
        </w:rPr>
        <w:t>2.12技术附件清单（出厂随机材料）</w:t>
      </w:r>
    </w:p>
    <w:p>
      <w:pPr>
        <w:tabs>
          <w:tab w:val="left" w:pos="832"/>
        </w:tabs>
        <w:spacing w:line="360" w:lineRule="auto"/>
        <w:ind w:firstLine="480"/>
        <w:rPr>
          <w:rFonts w:cs="宋体"/>
          <w:sz w:val="24"/>
        </w:rPr>
      </w:pPr>
      <w:r>
        <w:rPr>
          <w:rFonts w:hint="eastAsia" w:cs="宋体"/>
          <w:sz w:val="24"/>
        </w:rPr>
        <w:t>设备到货验收时根据具体设备情况出具以下随机材料。</w:t>
      </w:r>
    </w:p>
    <w:tbl>
      <w:tblPr>
        <w:tblStyle w:val="5"/>
        <w:tblW w:w="8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6103"/>
        <w:gridCol w:w="11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vAlign w:val="center"/>
          </w:tcPr>
          <w:p>
            <w:pPr>
              <w:snapToGrid w:val="0"/>
              <w:spacing w:line="300" w:lineRule="auto"/>
              <w:jc w:val="center"/>
              <w:rPr>
                <w:rFonts w:cs="宋体"/>
                <w:b/>
                <w:sz w:val="24"/>
              </w:rPr>
            </w:pPr>
            <w:r>
              <w:rPr>
                <w:rFonts w:hint="eastAsia" w:cs="宋体"/>
                <w:b/>
                <w:sz w:val="24"/>
              </w:rPr>
              <w:t>序号</w:t>
            </w:r>
          </w:p>
        </w:tc>
        <w:tc>
          <w:tcPr>
            <w:tcW w:w="6103" w:type="dxa"/>
            <w:vAlign w:val="center"/>
          </w:tcPr>
          <w:p>
            <w:pPr>
              <w:snapToGrid w:val="0"/>
              <w:spacing w:line="300" w:lineRule="auto"/>
              <w:jc w:val="center"/>
              <w:rPr>
                <w:rFonts w:cs="宋体"/>
                <w:b/>
                <w:sz w:val="24"/>
              </w:rPr>
            </w:pPr>
            <w:r>
              <w:rPr>
                <w:rFonts w:hint="eastAsia" w:cs="宋体"/>
                <w:b/>
                <w:sz w:val="24"/>
              </w:rPr>
              <w:t>文件名称</w:t>
            </w:r>
          </w:p>
        </w:tc>
        <w:tc>
          <w:tcPr>
            <w:tcW w:w="1147" w:type="dxa"/>
            <w:vAlign w:val="center"/>
          </w:tcPr>
          <w:p>
            <w:pPr>
              <w:snapToGrid w:val="0"/>
              <w:spacing w:line="300" w:lineRule="auto"/>
              <w:rPr>
                <w:rFonts w:cs="宋体"/>
                <w:b/>
                <w:sz w:val="24"/>
              </w:rPr>
            </w:pPr>
            <w:r>
              <w:rPr>
                <w:rFonts w:hint="eastAsia" w:cs="宋体"/>
                <w:b/>
                <w:sz w:val="24"/>
              </w:rPr>
              <w:t>文件份数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vAlign w:val="center"/>
          </w:tcPr>
          <w:p>
            <w:pPr>
              <w:snapToGrid w:val="0"/>
              <w:spacing w:line="300" w:lineRule="auto"/>
              <w:jc w:val="center"/>
              <w:rPr>
                <w:rFonts w:cs="宋体"/>
                <w:sz w:val="24"/>
              </w:rPr>
            </w:pPr>
            <w:r>
              <w:rPr>
                <w:rFonts w:hint="eastAsia" w:cs="宋体"/>
                <w:sz w:val="24"/>
              </w:rPr>
              <w:t>1</w:t>
            </w:r>
          </w:p>
        </w:tc>
        <w:tc>
          <w:tcPr>
            <w:tcW w:w="6103" w:type="dxa"/>
            <w:vAlign w:val="center"/>
          </w:tcPr>
          <w:p>
            <w:pPr>
              <w:snapToGrid w:val="0"/>
              <w:spacing w:line="300" w:lineRule="auto"/>
              <w:rPr>
                <w:rFonts w:cs="宋体"/>
                <w:sz w:val="24"/>
              </w:rPr>
            </w:pPr>
            <w:r>
              <w:rPr>
                <w:rFonts w:hint="eastAsia" w:cs="宋体"/>
                <w:sz w:val="24"/>
              </w:rPr>
              <w:t>设备装箱单（中转站签字盖章的复印件）</w:t>
            </w:r>
          </w:p>
        </w:tc>
        <w:tc>
          <w:tcPr>
            <w:tcW w:w="1147" w:type="dxa"/>
            <w:vAlign w:val="center"/>
          </w:tcPr>
          <w:p>
            <w:pPr>
              <w:snapToGrid w:val="0"/>
              <w:spacing w:line="300" w:lineRule="auto"/>
              <w:jc w:val="center"/>
              <w:rPr>
                <w:rFonts w:cs="宋体"/>
                <w:sz w:val="24"/>
              </w:rPr>
            </w:pPr>
            <w:r>
              <w:rPr>
                <w:rFonts w:hint="eastAsia" w:cs="宋体"/>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vAlign w:val="center"/>
          </w:tcPr>
          <w:p>
            <w:pPr>
              <w:snapToGrid w:val="0"/>
              <w:spacing w:line="300" w:lineRule="auto"/>
              <w:jc w:val="center"/>
              <w:rPr>
                <w:rFonts w:cs="宋体"/>
                <w:sz w:val="24"/>
              </w:rPr>
            </w:pPr>
            <w:r>
              <w:rPr>
                <w:rFonts w:hint="eastAsia" w:cs="宋体"/>
                <w:sz w:val="24"/>
              </w:rPr>
              <w:t>2</w:t>
            </w:r>
          </w:p>
        </w:tc>
        <w:tc>
          <w:tcPr>
            <w:tcW w:w="6103" w:type="dxa"/>
            <w:vAlign w:val="center"/>
          </w:tcPr>
          <w:p>
            <w:pPr>
              <w:snapToGrid w:val="0"/>
              <w:spacing w:line="300" w:lineRule="auto"/>
              <w:rPr>
                <w:rFonts w:cs="宋体"/>
                <w:sz w:val="24"/>
              </w:rPr>
            </w:pPr>
            <w:r>
              <w:rPr>
                <w:rFonts w:hint="eastAsia" w:cs="宋体"/>
                <w:sz w:val="24"/>
              </w:rPr>
              <w:t>工具清单</w:t>
            </w:r>
          </w:p>
        </w:tc>
        <w:tc>
          <w:tcPr>
            <w:tcW w:w="1147" w:type="dxa"/>
            <w:vAlign w:val="center"/>
          </w:tcPr>
          <w:p>
            <w:pPr>
              <w:snapToGrid w:val="0"/>
              <w:spacing w:line="300" w:lineRule="auto"/>
              <w:jc w:val="center"/>
              <w:rPr>
                <w:rFonts w:cs="宋体"/>
                <w:sz w:val="24"/>
              </w:rPr>
            </w:pPr>
            <w:r>
              <w:rPr>
                <w:rFonts w:hint="eastAsia" w:cs="宋体"/>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vAlign w:val="center"/>
          </w:tcPr>
          <w:p>
            <w:pPr>
              <w:snapToGrid w:val="0"/>
              <w:spacing w:line="300" w:lineRule="auto"/>
              <w:jc w:val="center"/>
              <w:rPr>
                <w:rFonts w:cs="宋体"/>
                <w:sz w:val="24"/>
              </w:rPr>
            </w:pPr>
            <w:r>
              <w:rPr>
                <w:rFonts w:hint="eastAsia" w:cs="宋体"/>
                <w:sz w:val="24"/>
              </w:rPr>
              <w:t>3</w:t>
            </w:r>
          </w:p>
        </w:tc>
        <w:tc>
          <w:tcPr>
            <w:tcW w:w="6103" w:type="dxa"/>
            <w:vAlign w:val="center"/>
          </w:tcPr>
          <w:p>
            <w:pPr>
              <w:snapToGrid w:val="0"/>
              <w:spacing w:line="300" w:lineRule="auto"/>
              <w:rPr>
                <w:rFonts w:cs="宋体"/>
                <w:sz w:val="24"/>
              </w:rPr>
            </w:pPr>
            <w:r>
              <w:rPr>
                <w:rFonts w:hint="eastAsia" w:cs="宋体"/>
                <w:sz w:val="24"/>
              </w:rPr>
              <w:t>备品备件清单</w:t>
            </w:r>
          </w:p>
        </w:tc>
        <w:tc>
          <w:tcPr>
            <w:tcW w:w="1147" w:type="dxa"/>
            <w:vAlign w:val="center"/>
          </w:tcPr>
          <w:p>
            <w:pPr>
              <w:snapToGrid w:val="0"/>
              <w:spacing w:line="300" w:lineRule="auto"/>
              <w:jc w:val="center"/>
              <w:rPr>
                <w:rFonts w:cs="宋体"/>
                <w:sz w:val="24"/>
              </w:rPr>
            </w:pPr>
            <w:r>
              <w:rPr>
                <w:rFonts w:hint="eastAsia" w:cs="宋体"/>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vAlign w:val="center"/>
          </w:tcPr>
          <w:p>
            <w:pPr>
              <w:snapToGrid w:val="0"/>
              <w:spacing w:line="300" w:lineRule="auto"/>
              <w:jc w:val="center"/>
              <w:rPr>
                <w:rFonts w:cs="宋体"/>
                <w:sz w:val="24"/>
              </w:rPr>
            </w:pPr>
            <w:r>
              <w:rPr>
                <w:rFonts w:hint="eastAsia" w:cs="宋体"/>
                <w:sz w:val="24"/>
              </w:rPr>
              <w:t>4</w:t>
            </w:r>
          </w:p>
        </w:tc>
        <w:tc>
          <w:tcPr>
            <w:tcW w:w="6103" w:type="dxa"/>
            <w:vAlign w:val="center"/>
          </w:tcPr>
          <w:p>
            <w:pPr>
              <w:snapToGrid w:val="0"/>
              <w:spacing w:line="300" w:lineRule="auto"/>
              <w:rPr>
                <w:rFonts w:cs="宋体"/>
                <w:sz w:val="24"/>
              </w:rPr>
            </w:pPr>
            <w:r>
              <w:rPr>
                <w:rFonts w:hint="eastAsia" w:cs="宋体"/>
                <w:sz w:val="24"/>
              </w:rPr>
              <w:t>零部件目录</w:t>
            </w:r>
          </w:p>
        </w:tc>
        <w:tc>
          <w:tcPr>
            <w:tcW w:w="1147" w:type="dxa"/>
            <w:vAlign w:val="center"/>
          </w:tcPr>
          <w:p>
            <w:pPr>
              <w:snapToGrid w:val="0"/>
              <w:spacing w:line="300" w:lineRule="auto"/>
              <w:jc w:val="center"/>
              <w:rPr>
                <w:rFonts w:cs="宋体"/>
                <w:sz w:val="24"/>
              </w:rPr>
            </w:pPr>
            <w:r>
              <w:rPr>
                <w:rFonts w:hint="eastAsia" w:cs="宋体"/>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vAlign w:val="center"/>
          </w:tcPr>
          <w:p>
            <w:pPr>
              <w:snapToGrid w:val="0"/>
              <w:spacing w:line="300" w:lineRule="auto"/>
              <w:jc w:val="center"/>
              <w:rPr>
                <w:rFonts w:cs="宋体"/>
                <w:sz w:val="24"/>
              </w:rPr>
            </w:pPr>
            <w:r>
              <w:rPr>
                <w:rFonts w:hint="eastAsia" w:cs="宋体"/>
                <w:sz w:val="24"/>
              </w:rPr>
              <w:t>5</w:t>
            </w:r>
          </w:p>
        </w:tc>
        <w:tc>
          <w:tcPr>
            <w:tcW w:w="6103" w:type="dxa"/>
            <w:vAlign w:val="center"/>
          </w:tcPr>
          <w:p>
            <w:pPr>
              <w:snapToGrid w:val="0"/>
              <w:spacing w:line="300" w:lineRule="auto"/>
              <w:rPr>
                <w:rFonts w:cs="宋体"/>
                <w:sz w:val="24"/>
              </w:rPr>
            </w:pPr>
            <w:r>
              <w:rPr>
                <w:rFonts w:hint="eastAsia" w:cs="宋体"/>
                <w:sz w:val="24"/>
              </w:rPr>
              <w:t>有关技术重要的往来函件等</w:t>
            </w:r>
          </w:p>
        </w:tc>
        <w:tc>
          <w:tcPr>
            <w:tcW w:w="1147" w:type="dxa"/>
            <w:vAlign w:val="center"/>
          </w:tcPr>
          <w:p>
            <w:pPr>
              <w:snapToGrid w:val="0"/>
              <w:spacing w:line="300" w:lineRule="auto"/>
              <w:jc w:val="center"/>
              <w:rPr>
                <w:rFonts w:cs="宋体"/>
                <w:sz w:val="24"/>
              </w:rPr>
            </w:pPr>
            <w:r>
              <w:rPr>
                <w:rFonts w:hint="eastAsia" w:cs="宋体"/>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vAlign w:val="center"/>
          </w:tcPr>
          <w:p>
            <w:pPr>
              <w:snapToGrid w:val="0"/>
              <w:spacing w:line="300" w:lineRule="auto"/>
              <w:jc w:val="center"/>
              <w:rPr>
                <w:rFonts w:cs="宋体"/>
                <w:sz w:val="24"/>
              </w:rPr>
            </w:pPr>
            <w:r>
              <w:rPr>
                <w:rFonts w:hint="eastAsia" w:cs="宋体"/>
                <w:sz w:val="24"/>
              </w:rPr>
              <w:t>6</w:t>
            </w:r>
          </w:p>
        </w:tc>
        <w:tc>
          <w:tcPr>
            <w:tcW w:w="6103" w:type="dxa"/>
            <w:vAlign w:val="center"/>
          </w:tcPr>
          <w:p>
            <w:pPr>
              <w:snapToGrid w:val="0"/>
              <w:spacing w:line="300" w:lineRule="auto"/>
              <w:rPr>
                <w:rFonts w:cs="宋体"/>
                <w:sz w:val="24"/>
              </w:rPr>
            </w:pPr>
            <w:r>
              <w:rPr>
                <w:rFonts w:hint="eastAsia" w:cs="宋体"/>
                <w:sz w:val="24"/>
              </w:rPr>
              <w:t>出厂合格证（原件）</w:t>
            </w:r>
          </w:p>
        </w:tc>
        <w:tc>
          <w:tcPr>
            <w:tcW w:w="1147" w:type="dxa"/>
            <w:vAlign w:val="center"/>
          </w:tcPr>
          <w:p>
            <w:pPr>
              <w:snapToGrid w:val="0"/>
              <w:spacing w:line="300" w:lineRule="auto"/>
              <w:jc w:val="center"/>
              <w:rPr>
                <w:rFonts w:cs="宋体"/>
                <w:sz w:val="24"/>
              </w:rPr>
            </w:pPr>
            <w:r>
              <w:rPr>
                <w:rFonts w:hint="eastAsia" w:cs="宋体"/>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vAlign w:val="center"/>
          </w:tcPr>
          <w:p>
            <w:pPr>
              <w:snapToGrid w:val="0"/>
              <w:spacing w:line="300" w:lineRule="auto"/>
              <w:jc w:val="center"/>
              <w:rPr>
                <w:rFonts w:cs="宋体"/>
                <w:sz w:val="24"/>
              </w:rPr>
            </w:pPr>
            <w:r>
              <w:rPr>
                <w:rFonts w:hint="eastAsia" w:cs="宋体"/>
                <w:sz w:val="24"/>
              </w:rPr>
              <w:t>7</w:t>
            </w:r>
          </w:p>
        </w:tc>
        <w:tc>
          <w:tcPr>
            <w:tcW w:w="6103" w:type="dxa"/>
            <w:vAlign w:val="center"/>
          </w:tcPr>
          <w:p>
            <w:pPr>
              <w:snapToGrid w:val="0"/>
              <w:spacing w:line="300" w:lineRule="auto"/>
              <w:rPr>
                <w:rFonts w:cs="宋体"/>
                <w:sz w:val="24"/>
              </w:rPr>
            </w:pPr>
            <w:r>
              <w:rPr>
                <w:rFonts w:hint="eastAsia" w:cs="宋体"/>
                <w:sz w:val="24"/>
              </w:rPr>
              <w:t>出厂质量说明书（原件）</w:t>
            </w:r>
          </w:p>
        </w:tc>
        <w:tc>
          <w:tcPr>
            <w:tcW w:w="1147" w:type="dxa"/>
            <w:vAlign w:val="center"/>
          </w:tcPr>
          <w:p>
            <w:pPr>
              <w:snapToGrid w:val="0"/>
              <w:spacing w:line="300" w:lineRule="auto"/>
              <w:jc w:val="center"/>
              <w:rPr>
                <w:rFonts w:cs="宋体"/>
                <w:sz w:val="24"/>
              </w:rPr>
            </w:pPr>
            <w:r>
              <w:rPr>
                <w:rFonts w:hint="eastAsia" w:cs="宋体"/>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vAlign w:val="center"/>
          </w:tcPr>
          <w:p>
            <w:pPr>
              <w:snapToGrid w:val="0"/>
              <w:spacing w:line="300" w:lineRule="auto"/>
              <w:jc w:val="center"/>
              <w:rPr>
                <w:rFonts w:cs="宋体"/>
                <w:sz w:val="24"/>
              </w:rPr>
            </w:pPr>
            <w:r>
              <w:rPr>
                <w:rFonts w:hint="eastAsia" w:cs="宋体"/>
                <w:sz w:val="24"/>
              </w:rPr>
              <w:t>8</w:t>
            </w:r>
          </w:p>
        </w:tc>
        <w:tc>
          <w:tcPr>
            <w:tcW w:w="6103" w:type="dxa"/>
            <w:vAlign w:val="center"/>
          </w:tcPr>
          <w:p>
            <w:pPr>
              <w:snapToGrid w:val="0"/>
              <w:spacing w:line="300" w:lineRule="auto"/>
              <w:rPr>
                <w:rFonts w:cs="宋体"/>
                <w:sz w:val="24"/>
              </w:rPr>
            </w:pPr>
            <w:r>
              <w:rPr>
                <w:rFonts w:hint="eastAsia" w:cs="宋体"/>
                <w:sz w:val="24"/>
              </w:rPr>
              <w:t>出厂各项检验报告/实验记录/证书（原件）</w:t>
            </w:r>
          </w:p>
        </w:tc>
        <w:tc>
          <w:tcPr>
            <w:tcW w:w="1147" w:type="dxa"/>
            <w:vAlign w:val="center"/>
          </w:tcPr>
          <w:p>
            <w:pPr>
              <w:snapToGrid w:val="0"/>
              <w:spacing w:line="300" w:lineRule="auto"/>
              <w:jc w:val="center"/>
              <w:rPr>
                <w:rFonts w:cs="宋体"/>
                <w:sz w:val="24"/>
              </w:rPr>
            </w:pPr>
            <w:r>
              <w:rPr>
                <w:rFonts w:hint="eastAsia" w:cs="宋体"/>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vAlign w:val="center"/>
          </w:tcPr>
          <w:p>
            <w:pPr>
              <w:snapToGrid w:val="0"/>
              <w:spacing w:line="300" w:lineRule="auto"/>
              <w:jc w:val="center"/>
              <w:rPr>
                <w:rFonts w:cs="宋体"/>
                <w:sz w:val="24"/>
              </w:rPr>
            </w:pPr>
            <w:r>
              <w:rPr>
                <w:rFonts w:hint="eastAsia" w:cs="宋体"/>
                <w:sz w:val="24"/>
              </w:rPr>
              <w:t>9</w:t>
            </w:r>
          </w:p>
        </w:tc>
        <w:tc>
          <w:tcPr>
            <w:tcW w:w="6103" w:type="dxa"/>
            <w:vAlign w:val="center"/>
          </w:tcPr>
          <w:p>
            <w:pPr>
              <w:snapToGrid w:val="0"/>
              <w:spacing w:line="300" w:lineRule="auto"/>
              <w:rPr>
                <w:rFonts w:cs="宋体"/>
                <w:sz w:val="24"/>
              </w:rPr>
            </w:pPr>
            <w:r>
              <w:rPr>
                <w:rFonts w:hint="eastAsia" w:cs="宋体"/>
                <w:sz w:val="24"/>
              </w:rPr>
              <w:t>产品零部件质量证明/测试报告（若是复印件，加盖红章确认）</w:t>
            </w:r>
          </w:p>
        </w:tc>
        <w:tc>
          <w:tcPr>
            <w:tcW w:w="1147" w:type="dxa"/>
            <w:vAlign w:val="center"/>
          </w:tcPr>
          <w:p>
            <w:pPr>
              <w:snapToGrid w:val="0"/>
              <w:spacing w:line="300" w:lineRule="auto"/>
              <w:jc w:val="center"/>
              <w:rPr>
                <w:rFonts w:cs="宋体"/>
                <w:sz w:val="24"/>
              </w:rPr>
            </w:pPr>
            <w:r>
              <w:rPr>
                <w:rFonts w:hint="eastAsia" w:cs="宋体"/>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vAlign w:val="center"/>
          </w:tcPr>
          <w:p>
            <w:pPr>
              <w:snapToGrid w:val="0"/>
              <w:spacing w:line="300" w:lineRule="auto"/>
              <w:jc w:val="center"/>
              <w:rPr>
                <w:rFonts w:cs="宋体"/>
                <w:sz w:val="24"/>
              </w:rPr>
            </w:pPr>
            <w:r>
              <w:rPr>
                <w:rFonts w:hint="eastAsia" w:cs="宋体"/>
                <w:sz w:val="24"/>
              </w:rPr>
              <w:t>10</w:t>
            </w:r>
          </w:p>
        </w:tc>
        <w:tc>
          <w:tcPr>
            <w:tcW w:w="6103" w:type="dxa"/>
            <w:vAlign w:val="center"/>
          </w:tcPr>
          <w:p>
            <w:pPr>
              <w:snapToGrid w:val="0"/>
              <w:spacing w:line="300" w:lineRule="auto"/>
              <w:rPr>
                <w:rFonts w:cs="宋体"/>
                <w:sz w:val="24"/>
              </w:rPr>
            </w:pPr>
            <w:r>
              <w:rPr>
                <w:rFonts w:hint="eastAsia" w:cs="宋体"/>
                <w:sz w:val="24"/>
              </w:rPr>
              <w:t>产品原材料材质证明（若是复印件，加盖红章确认）</w:t>
            </w:r>
          </w:p>
        </w:tc>
        <w:tc>
          <w:tcPr>
            <w:tcW w:w="1147" w:type="dxa"/>
            <w:vAlign w:val="center"/>
          </w:tcPr>
          <w:p>
            <w:pPr>
              <w:snapToGrid w:val="0"/>
              <w:spacing w:line="300" w:lineRule="auto"/>
              <w:jc w:val="center"/>
              <w:rPr>
                <w:rFonts w:cs="宋体"/>
                <w:sz w:val="24"/>
              </w:rPr>
            </w:pPr>
            <w:r>
              <w:rPr>
                <w:rFonts w:hint="eastAsia" w:cs="宋体"/>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vAlign w:val="center"/>
          </w:tcPr>
          <w:p>
            <w:pPr>
              <w:snapToGrid w:val="0"/>
              <w:spacing w:line="300" w:lineRule="auto"/>
              <w:jc w:val="center"/>
              <w:rPr>
                <w:rFonts w:cs="宋体"/>
                <w:sz w:val="24"/>
              </w:rPr>
            </w:pPr>
            <w:r>
              <w:rPr>
                <w:rFonts w:hint="eastAsia" w:cs="宋体"/>
                <w:sz w:val="24"/>
              </w:rPr>
              <w:t>11</w:t>
            </w:r>
          </w:p>
        </w:tc>
        <w:tc>
          <w:tcPr>
            <w:tcW w:w="6103" w:type="dxa"/>
            <w:vAlign w:val="center"/>
          </w:tcPr>
          <w:p>
            <w:pPr>
              <w:snapToGrid w:val="0"/>
              <w:spacing w:line="300" w:lineRule="auto"/>
              <w:rPr>
                <w:rFonts w:cs="宋体"/>
                <w:sz w:val="24"/>
              </w:rPr>
            </w:pPr>
            <w:r>
              <w:rPr>
                <w:rFonts w:hint="eastAsia" w:cs="宋体"/>
                <w:sz w:val="24"/>
              </w:rPr>
              <w:t>原材料复检文件（若是复印件，加盖红章确认）</w:t>
            </w:r>
          </w:p>
        </w:tc>
        <w:tc>
          <w:tcPr>
            <w:tcW w:w="1147" w:type="dxa"/>
            <w:vAlign w:val="center"/>
          </w:tcPr>
          <w:p>
            <w:pPr>
              <w:snapToGrid w:val="0"/>
              <w:spacing w:line="300" w:lineRule="auto"/>
              <w:jc w:val="center"/>
              <w:rPr>
                <w:rFonts w:cs="宋体"/>
                <w:sz w:val="24"/>
              </w:rPr>
            </w:pPr>
            <w:r>
              <w:rPr>
                <w:rFonts w:hint="eastAsia" w:cs="宋体"/>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vAlign w:val="center"/>
          </w:tcPr>
          <w:p>
            <w:pPr>
              <w:snapToGrid w:val="0"/>
              <w:spacing w:line="300" w:lineRule="auto"/>
              <w:jc w:val="center"/>
              <w:rPr>
                <w:rFonts w:cs="宋体"/>
                <w:sz w:val="24"/>
              </w:rPr>
            </w:pPr>
            <w:r>
              <w:rPr>
                <w:rFonts w:hint="eastAsia" w:cs="宋体"/>
                <w:sz w:val="24"/>
              </w:rPr>
              <w:t>12</w:t>
            </w:r>
          </w:p>
        </w:tc>
        <w:tc>
          <w:tcPr>
            <w:tcW w:w="6103" w:type="dxa"/>
            <w:vAlign w:val="center"/>
          </w:tcPr>
          <w:p>
            <w:pPr>
              <w:snapToGrid w:val="0"/>
              <w:spacing w:line="300" w:lineRule="auto"/>
              <w:rPr>
                <w:rFonts w:cs="宋体"/>
                <w:sz w:val="24"/>
              </w:rPr>
            </w:pPr>
            <w:r>
              <w:rPr>
                <w:rFonts w:hint="eastAsia" w:cs="宋体"/>
                <w:sz w:val="24"/>
              </w:rPr>
              <w:t>安装手册</w:t>
            </w:r>
          </w:p>
        </w:tc>
        <w:tc>
          <w:tcPr>
            <w:tcW w:w="1147" w:type="dxa"/>
            <w:vAlign w:val="center"/>
          </w:tcPr>
          <w:p>
            <w:pPr>
              <w:snapToGrid w:val="0"/>
              <w:spacing w:line="300" w:lineRule="auto"/>
              <w:jc w:val="center"/>
              <w:rPr>
                <w:rFonts w:cs="宋体"/>
                <w:sz w:val="24"/>
              </w:rPr>
            </w:pPr>
            <w:r>
              <w:rPr>
                <w:rFonts w:hint="eastAsia" w:cs="宋体"/>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vAlign w:val="center"/>
          </w:tcPr>
          <w:p>
            <w:pPr>
              <w:snapToGrid w:val="0"/>
              <w:spacing w:line="300" w:lineRule="auto"/>
              <w:jc w:val="center"/>
              <w:rPr>
                <w:rFonts w:cs="宋体"/>
                <w:sz w:val="24"/>
              </w:rPr>
            </w:pPr>
            <w:r>
              <w:rPr>
                <w:rFonts w:hint="eastAsia" w:cs="宋体"/>
                <w:sz w:val="24"/>
              </w:rPr>
              <w:t>13</w:t>
            </w:r>
          </w:p>
        </w:tc>
        <w:tc>
          <w:tcPr>
            <w:tcW w:w="6103" w:type="dxa"/>
            <w:vAlign w:val="center"/>
          </w:tcPr>
          <w:p>
            <w:pPr>
              <w:snapToGrid w:val="0"/>
              <w:spacing w:line="300" w:lineRule="auto"/>
              <w:rPr>
                <w:rFonts w:cs="宋体"/>
                <w:sz w:val="24"/>
              </w:rPr>
            </w:pPr>
            <w:r>
              <w:rPr>
                <w:rFonts w:hint="eastAsia" w:cs="宋体"/>
                <w:sz w:val="24"/>
              </w:rPr>
              <w:t>使用及维护说明</w:t>
            </w:r>
          </w:p>
        </w:tc>
        <w:tc>
          <w:tcPr>
            <w:tcW w:w="1147" w:type="dxa"/>
            <w:vAlign w:val="center"/>
          </w:tcPr>
          <w:p>
            <w:pPr>
              <w:snapToGrid w:val="0"/>
              <w:spacing w:line="300" w:lineRule="auto"/>
              <w:jc w:val="center"/>
              <w:rPr>
                <w:rFonts w:cs="宋体"/>
                <w:sz w:val="24"/>
              </w:rPr>
            </w:pPr>
            <w:r>
              <w:rPr>
                <w:rFonts w:hint="eastAsia" w:cs="宋体"/>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vAlign w:val="center"/>
          </w:tcPr>
          <w:p>
            <w:pPr>
              <w:snapToGrid w:val="0"/>
              <w:spacing w:line="300" w:lineRule="auto"/>
              <w:jc w:val="center"/>
              <w:rPr>
                <w:rFonts w:cs="宋体"/>
                <w:sz w:val="24"/>
              </w:rPr>
            </w:pPr>
            <w:r>
              <w:rPr>
                <w:rFonts w:hint="eastAsia" w:cs="宋体"/>
                <w:sz w:val="24"/>
              </w:rPr>
              <w:t>14</w:t>
            </w:r>
          </w:p>
        </w:tc>
        <w:tc>
          <w:tcPr>
            <w:tcW w:w="6103" w:type="dxa"/>
            <w:vAlign w:val="center"/>
          </w:tcPr>
          <w:p>
            <w:pPr>
              <w:snapToGrid w:val="0"/>
              <w:spacing w:line="300" w:lineRule="auto"/>
              <w:rPr>
                <w:rFonts w:cs="宋体"/>
                <w:sz w:val="24"/>
              </w:rPr>
            </w:pPr>
            <w:r>
              <w:rPr>
                <w:rFonts w:hint="eastAsia" w:cs="宋体"/>
                <w:sz w:val="24"/>
              </w:rPr>
              <w:t>图纸</w:t>
            </w:r>
          </w:p>
        </w:tc>
        <w:tc>
          <w:tcPr>
            <w:tcW w:w="1147" w:type="dxa"/>
            <w:vAlign w:val="center"/>
          </w:tcPr>
          <w:p>
            <w:pPr>
              <w:snapToGrid w:val="0"/>
              <w:spacing w:line="300" w:lineRule="auto"/>
              <w:jc w:val="center"/>
              <w:rPr>
                <w:rFonts w:cs="宋体"/>
                <w:sz w:val="24"/>
              </w:rPr>
            </w:pPr>
            <w:r>
              <w:rPr>
                <w:rFonts w:hint="eastAsia" w:cs="宋体"/>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59" w:type="dxa"/>
            <w:vAlign w:val="center"/>
          </w:tcPr>
          <w:p>
            <w:pPr>
              <w:snapToGrid w:val="0"/>
              <w:spacing w:line="300" w:lineRule="auto"/>
              <w:jc w:val="center"/>
              <w:rPr>
                <w:rFonts w:cs="宋体"/>
                <w:sz w:val="24"/>
              </w:rPr>
            </w:pPr>
            <w:r>
              <w:rPr>
                <w:rFonts w:hint="eastAsia" w:cs="宋体"/>
                <w:sz w:val="24"/>
              </w:rPr>
              <w:t>15</w:t>
            </w:r>
          </w:p>
        </w:tc>
        <w:tc>
          <w:tcPr>
            <w:tcW w:w="6103" w:type="dxa"/>
            <w:vAlign w:val="center"/>
          </w:tcPr>
          <w:p>
            <w:pPr>
              <w:snapToGrid w:val="0"/>
              <w:spacing w:line="300" w:lineRule="auto"/>
              <w:rPr>
                <w:rFonts w:cs="宋体"/>
                <w:sz w:val="24"/>
              </w:rPr>
            </w:pPr>
            <w:r>
              <w:rPr>
                <w:rFonts w:hint="eastAsia" w:cs="宋体"/>
                <w:sz w:val="24"/>
              </w:rPr>
              <w:t>招标方要求的其他文件</w:t>
            </w:r>
          </w:p>
        </w:tc>
        <w:tc>
          <w:tcPr>
            <w:tcW w:w="1147" w:type="dxa"/>
            <w:vAlign w:val="center"/>
          </w:tcPr>
          <w:p>
            <w:pPr>
              <w:snapToGrid w:val="0"/>
              <w:spacing w:line="300" w:lineRule="auto"/>
              <w:jc w:val="center"/>
              <w:rPr>
                <w:rFonts w:cs="宋体"/>
                <w:sz w:val="24"/>
              </w:rPr>
            </w:pPr>
            <w:r>
              <w:rPr>
                <w:rFonts w:hint="eastAsia" w:cs="宋体"/>
                <w:sz w:val="24"/>
              </w:rPr>
              <w:t>1</w:t>
            </w:r>
          </w:p>
        </w:tc>
      </w:tr>
    </w:tbl>
    <w:p>
      <w:pPr>
        <w:spacing w:line="360" w:lineRule="auto"/>
        <w:ind w:firstLine="480" w:firstLineChars="200"/>
        <w:rPr>
          <w:bCs/>
          <w:sz w:val="24"/>
          <w:u w:val="single"/>
        </w:rPr>
      </w:pPr>
    </w:p>
    <w:p>
      <w:pPr>
        <w:spacing w:line="360" w:lineRule="auto"/>
        <w:ind w:firstLine="480" w:firstLineChars="200"/>
        <w:rPr>
          <w:bCs/>
          <w:sz w:val="24"/>
          <w:u w:val="single"/>
        </w:rPr>
      </w:pPr>
    </w:p>
    <w:p>
      <w:pPr>
        <w:spacing w:line="360" w:lineRule="auto"/>
        <w:ind w:firstLine="482" w:firstLineChars="200"/>
        <w:outlineLvl w:val="1"/>
        <w:rPr>
          <w:b/>
          <w:sz w:val="24"/>
        </w:rPr>
      </w:pPr>
      <w:r>
        <w:rPr>
          <w:rFonts w:hint="eastAsia"/>
          <w:b/>
          <w:sz w:val="24"/>
        </w:rPr>
        <w:t>3、设备及管道安装技术要求</w:t>
      </w:r>
    </w:p>
    <w:p>
      <w:pPr>
        <w:pStyle w:val="9"/>
        <w:spacing w:before="156"/>
        <w:ind w:firstLine="482" w:firstLineChars="200"/>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3.1工程内容</w:t>
      </w:r>
    </w:p>
    <w:p>
      <w:pPr>
        <w:spacing w:line="360" w:lineRule="auto"/>
        <w:ind w:firstLine="480" w:firstLineChars="200"/>
        <w:rPr>
          <w:bCs/>
          <w:sz w:val="24"/>
        </w:rPr>
      </w:pPr>
      <w:r>
        <w:rPr>
          <w:rFonts w:hint="eastAsia"/>
          <w:bCs/>
          <w:sz w:val="24"/>
        </w:rPr>
        <w:t>工艺循环冷却水系统工程装置区：总体布置为一个制冷中心，七个一次水站。冷源即二次水系统集中建设，与工艺空调系统共同放置在制冷中心内，一次水系统不在本次招标范围内。</w:t>
      </w:r>
    </w:p>
    <w:p>
      <w:pPr>
        <w:spacing w:line="360" w:lineRule="auto"/>
        <w:ind w:firstLine="480" w:firstLineChars="200"/>
        <w:rPr>
          <w:bCs/>
          <w:sz w:val="24"/>
        </w:rPr>
      </w:pPr>
      <w:r>
        <w:rPr>
          <w:rFonts w:hint="eastAsia"/>
          <w:bCs/>
          <w:sz w:val="24"/>
        </w:rPr>
        <w:t>本项目工程为包工包料工程，建设内容主要包括以下内容：</w:t>
      </w:r>
    </w:p>
    <w:p>
      <w:pPr>
        <w:spacing w:line="360" w:lineRule="auto"/>
        <w:ind w:firstLine="480" w:firstLineChars="200"/>
        <w:rPr>
          <w:bCs/>
          <w:sz w:val="24"/>
        </w:rPr>
      </w:pPr>
      <w:r>
        <w:rPr>
          <w:rFonts w:hint="eastAsia"/>
          <w:bCs/>
          <w:sz w:val="24"/>
        </w:rPr>
        <w:t>（1）D01冷冻站内所有冷水机组、群控系统、冷却塔、冷却水泵、冷冻水泵、补水泵组等相关的全部设备的采购及安装调试。冷冻站内所有管道、电气、桥架安装。制冷机房群控系统的安装及检修支撑钢平台的制作安装。</w:t>
      </w:r>
    </w:p>
    <w:p>
      <w:pPr>
        <w:spacing w:line="360" w:lineRule="auto"/>
        <w:ind w:firstLine="480" w:firstLineChars="200"/>
        <w:rPr>
          <w:bCs/>
          <w:sz w:val="24"/>
        </w:rPr>
      </w:pPr>
      <w:r>
        <w:rPr>
          <w:rFonts w:hint="eastAsia"/>
          <w:bCs/>
          <w:sz w:val="24"/>
        </w:rPr>
        <w:t>（2）承包范围内的保温工程。</w:t>
      </w:r>
    </w:p>
    <w:p>
      <w:pPr>
        <w:spacing w:line="360" w:lineRule="auto"/>
        <w:ind w:firstLine="480" w:firstLineChars="200"/>
        <w:rPr>
          <w:bCs/>
          <w:sz w:val="24"/>
        </w:rPr>
      </w:pPr>
      <w:r>
        <w:rPr>
          <w:rFonts w:hint="eastAsia"/>
          <w:bCs/>
          <w:sz w:val="24"/>
        </w:rPr>
        <w:t>（3）承包范围内穿墙孔洞的封堵。</w:t>
      </w:r>
    </w:p>
    <w:p>
      <w:pPr>
        <w:spacing w:line="360" w:lineRule="auto"/>
        <w:ind w:firstLine="480" w:firstLineChars="200"/>
        <w:rPr>
          <w:bCs/>
          <w:sz w:val="24"/>
        </w:rPr>
      </w:pPr>
      <w:r>
        <w:rPr>
          <w:rFonts w:hint="eastAsia"/>
          <w:bCs/>
          <w:sz w:val="24"/>
        </w:rPr>
        <w:t>（4）负责所承包工程的成品及半成品保护工作。</w:t>
      </w:r>
    </w:p>
    <w:p>
      <w:pPr>
        <w:spacing w:line="360" w:lineRule="auto"/>
        <w:ind w:firstLine="480" w:firstLineChars="200"/>
        <w:rPr>
          <w:bCs/>
          <w:sz w:val="24"/>
        </w:rPr>
      </w:pPr>
      <w:r>
        <w:rPr>
          <w:rFonts w:hint="eastAsia"/>
          <w:bCs/>
          <w:sz w:val="24"/>
        </w:rPr>
        <w:t>（5）负责配合总包单位完成机电图纸的深化工作。</w:t>
      </w:r>
    </w:p>
    <w:p>
      <w:pPr>
        <w:spacing w:line="360" w:lineRule="auto"/>
        <w:ind w:firstLine="480" w:firstLineChars="200"/>
        <w:rPr>
          <w:bCs/>
          <w:sz w:val="24"/>
        </w:rPr>
      </w:pPr>
      <w:r>
        <w:rPr>
          <w:rFonts w:hint="eastAsia"/>
          <w:bCs/>
          <w:sz w:val="24"/>
        </w:rPr>
        <w:t>（6）负责所承包工程竣工图的绘制及竣工资料的整理、编制。</w:t>
      </w:r>
    </w:p>
    <w:p>
      <w:pPr>
        <w:spacing w:line="360" w:lineRule="auto"/>
        <w:ind w:firstLine="480" w:firstLineChars="200"/>
        <w:rPr>
          <w:bCs/>
          <w:sz w:val="24"/>
        </w:rPr>
      </w:pPr>
      <w:r>
        <w:rPr>
          <w:rFonts w:hint="eastAsia"/>
          <w:bCs/>
          <w:sz w:val="24"/>
        </w:rPr>
        <w:t>（7）配合招标方完成对所承包工程政府主管部门的验收，确保验收合格，按招标方要求时间达到使用要求。</w:t>
      </w:r>
    </w:p>
    <w:p>
      <w:pPr>
        <w:spacing w:line="360" w:lineRule="auto"/>
        <w:ind w:firstLine="480" w:firstLineChars="200"/>
        <w:rPr>
          <w:bCs/>
          <w:sz w:val="24"/>
        </w:rPr>
      </w:pPr>
      <w:r>
        <w:rPr>
          <w:rFonts w:hint="eastAsia"/>
          <w:bCs/>
          <w:sz w:val="24"/>
        </w:rPr>
        <w:t>（8）与其他单位和专业的界限划分：</w:t>
      </w:r>
    </w:p>
    <w:p>
      <w:pPr>
        <w:numPr>
          <w:ilvl w:val="0"/>
          <w:numId w:val="42"/>
        </w:numPr>
        <w:spacing w:line="360" w:lineRule="auto"/>
        <w:ind w:firstLine="480" w:firstLineChars="200"/>
        <w:rPr>
          <w:bCs/>
          <w:sz w:val="24"/>
        </w:rPr>
      </w:pPr>
      <w:r>
        <w:rPr>
          <w:rFonts w:hint="eastAsia"/>
          <w:bCs/>
          <w:sz w:val="24"/>
        </w:rPr>
        <w:t>招标方负责将动力电缆安装至冷冻站房内各设备启动柜上端头。中标方负责冷冻站站房内各系统启动柜的供货及启动柜下端头至设备的电缆及桥架安装。</w:t>
      </w:r>
    </w:p>
    <w:p>
      <w:pPr>
        <w:numPr>
          <w:ilvl w:val="0"/>
          <w:numId w:val="42"/>
        </w:numPr>
        <w:spacing w:line="360" w:lineRule="auto"/>
        <w:ind w:firstLine="480" w:firstLineChars="200"/>
        <w:rPr>
          <w:bCs/>
          <w:sz w:val="24"/>
        </w:rPr>
      </w:pPr>
      <w:r>
        <w:rPr>
          <w:rFonts w:hint="eastAsia"/>
          <w:bCs/>
          <w:sz w:val="24"/>
        </w:rPr>
        <w:t>中标方负责将冷冻水管道安装至室内管沟高于地面1米处。</w:t>
      </w:r>
    </w:p>
    <w:p>
      <w:pPr>
        <w:pStyle w:val="9"/>
        <w:spacing w:before="156"/>
        <w:ind w:firstLine="482" w:firstLineChars="200"/>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3.2图纸和文件</w:t>
      </w:r>
    </w:p>
    <w:p>
      <w:pPr>
        <w:spacing w:line="360" w:lineRule="auto"/>
        <w:ind w:firstLine="480" w:firstLineChars="200"/>
        <w:rPr>
          <w:bCs/>
          <w:sz w:val="24"/>
        </w:rPr>
      </w:pPr>
      <w:r>
        <w:rPr>
          <w:rFonts w:hint="eastAsia"/>
          <w:bCs/>
          <w:sz w:val="24"/>
        </w:rPr>
        <w:t>（1）招标方提供的图纸和文件</w:t>
      </w:r>
    </w:p>
    <w:p>
      <w:pPr>
        <w:spacing w:line="360" w:lineRule="auto"/>
        <w:ind w:firstLine="480" w:firstLineChars="200"/>
        <w:rPr>
          <w:bCs/>
          <w:sz w:val="24"/>
        </w:rPr>
      </w:pPr>
      <w:r>
        <w:rPr>
          <w:rFonts w:hint="eastAsia"/>
          <w:bCs/>
          <w:sz w:val="24"/>
        </w:rPr>
        <w:t>招标方根据施工需要在开工前7天内，提供给中标方施工图纸和文件。</w:t>
      </w:r>
    </w:p>
    <w:p>
      <w:pPr>
        <w:spacing w:line="360" w:lineRule="auto"/>
        <w:ind w:firstLine="480" w:firstLineChars="200"/>
        <w:rPr>
          <w:bCs/>
          <w:sz w:val="24"/>
        </w:rPr>
      </w:pPr>
      <w:r>
        <w:rPr>
          <w:rFonts w:hint="eastAsia"/>
          <w:bCs/>
          <w:sz w:val="24"/>
        </w:rPr>
        <w:t>（2）中标方提交的施工图纸和文件</w:t>
      </w:r>
    </w:p>
    <w:p>
      <w:pPr>
        <w:spacing w:line="360" w:lineRule="auto"/>
        <w:ind w:firstLine="480" w:firstLineChars="200"/>
        <w:rPr>
          <w:bCs/>
          <w:sz w:val="24"/>
        </w:rPr>
      </w:pPr>
      <w:r>
        <w:rPr>
          <w:rFonts w:hint="eastAsia"/>
          <w:bCs/>
          <w:sz w:val="24"/>
        </w:rPr>
        <w:t>全部工程完工后中标方应提供5套竣工图和完工验收资料。</w:t>
      </w:r>
    </w:p>
    <w:p>
      <w:pPr>
        <w:pStyle w:val="9"/>
        <w:spacing w:before="156"/>
        <w:ind w:firstLine="482" w:firstLineChars="200"/>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3.3管道工程技术要求</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3.3.1总则</w:t>
      </w:r>
    </w:p>
    <w:p>
      <w:pPr>
        <w:numPr>
          <w:ilvl w:val="0"/>
          <w:numId w:val="43"/>
        </w:numPr>
        <w:spacing w:line="360" w:lineRule="auto"/>
        <w:ind w:firstLine="480" w:firstLineChars="200"/>
        <w:rPr>
          <w:bCs/>
          <w:sz w:val="24"/>
        </w:rPr>
      </w:pPr>
      <w:r>
        <w:rPr>
          <w:rFonts w:hint="eastAsia"/>
          <w:bCs/>
          <w:sz w:val="24"/>
        </w:rPr>
        <w:t>系统管道工程所用的原材料、半成品、成品等产品的品种、规格、性能必须符合国家有关标准的规定和设计要求。严禁使用国家明令淘汰、禁用的产品。</w:t>
      </w:r>
    </w:p>
    <w:p>
      <w:pPr>
        <w:numPr>
          <w:ilvl w:val="0"/>
          <w:numId w:val="43"/>
        </w:numPr>
        <w:spacing w:line="360" w:lineRule="auto"/>
        <w:ind w:firstLine="480" w:firstLineChars="200"/>
        <w:rPr>
          <w:bCs/>
          <w:sz w:val="24"/>
        </w:rPr>
      </w:pPr>
      <w:r>
        <w:rPr>
          <w:rFonts w:hint="eastAsia"/>
          <w:bCs/>
          <w:sz w:val="24"/>
        </w:rPr>
        <w:t>循环水系统管道施工，应按设计文件和国家相关规范的规定进行。当需要修改设计文件及材料代用时，必须经原设计单位同意，并应出具书面文件。</w:t>
      </w:r>
    </w:p>
    <w:p>
      <w:pPr>
        <w:numPr>
          <w:ilvl w:val="0"/>
          <w:numId w:val="43"/>
        </w:numPr>
        <w:spacing w:line="360" w:lineRule="auto"/>
        <w:ind w:firstLine="480" w:firstLineChars="200"/>
        <w:rPr>
          <w:bCs/>
          <w:sz w:val="24"/>
        </w:rPr>
      </w:pPr>
      <w:r>
        <w:rPr>
          <w:rFonts w:hint="eastAsia"/>
          <w:bCs/>
          <w:sz w:val="24"/>
        </w:rPr>
        <w:t>循环水管道防腐蚀工程的施工，应符合国家现行有关标准和设计文件的规定。金属管道绝热工程的施工，应符合国家标准《工业设备及管道绝热工程施工规范》和设计文件的规定。</w:t>
      </w:r>
    </w:p>
    <w:p>
      <w:pPr>
        <w:numPr>
          <w:ilvl w:val="0"/>
          <w:numId w:val="43"/>
        </w:numPr>
        <w:spacing w:line="360" w:lineRule="auto"/>
        <w:ind w:firstLine="480" w:firstLineChars="200"/>
        <w:rPr>
          <w:bCs/>
          <w:sz w:val="24"/>
        </w:rPr>
      </w:pPr>
      <w:r>
        <w:rPr>
          <w:rFonts w:hint="eastAsia"/>
          <w:bCs/>
          <w:sz w:val="24"/>
        </w:rPr>
        <w:t>中标方应建立管道施工现场的质量管理体系，并应具有健全的质量管理制度和相应的施工技术标准。参加管道施工的人员和施工质量检查、检验的人员应具备相应的资格。</w:t>
      </w:r>
    </w:p>
    <w:p>
      <w:pPr>
        <w:numPr>
          <w:ilvl w:val="0"/>
          <w:numId w:val="43"/>
        </w:numPr>
        <w:spacing w:line="360" w:lineRule="auto"/>
        <w:ind w:firstLine="480" w:firstLineChars="200"/>
        <w:rPr>
          <w:bCs/>
          <w:sz w:val="24"/>
        </w:rPr>
      </w:pPr>
      <w:r>
        <w:rPr>
          <w:rFonts w:hint="eastAsia"/>
          <w:bCs/>
          <w:sz w:val="24"/>
        </w:rPr>
        <w:t>冷冻站系统招标为配套工程的机电设备及工艺管路系统的安装，包含设备及附带电气安装、各种非标金属构件制作安装（含材料供应）、工艺管道制作安装（含管材、管件供应）、所有阀门及仪器仪表的安装。</w:t>
      </w:r>
    </w:p>
    <w:p>
      <w:pPr>
        <w:numPr>
          <w:ilvl w:val="0"/>
          <w:numId w:val="43"/>
        </w:numPr>
        <w:spacing w:line="360" w:lineRule="auto"/>
        <w:ind w:firstLine="480" w:firstLineChars="200"/>
        <w:rPr>
          <w:bCs/>
          <w:sz w:val="24"/>
        </w:rPr>
      </w:pPr>
      <w:r>
        <w:rPr>
          <w:rFonts w:hint="eastAsia"/>
          <w:bCs/>
          <w:sz w:val="24"/>
        </w:rPr>
        <w:t>工艺管道安装应对照工艺设备及管道布置图执行，并同时对照各流程图、系统图配合使用。在施工过程中出现的技术问题，设计变更，应征得招标方同意后方可修改。</w:t>
      </w:r>
    </w:p>
    <w:p>
      <w:pPr>
        <w:numPr>
          <w:ilvl w:val="0"/>
          <w:numId w:val="43"/>
        </w:numPr>
        <w:spacing w:line="360" w:lineRule="auto"/>
        <w:ind w:firstLine="480" w:firstLineChars="200"/>
        <w:rPr>
          <w:bCs/>
          <w:sz w:val="24"/>
        </w:rPr>
      </w:pPr>
      <w:r>
        <w:rPr>
          <w:rFonts w:hint="eastAsia"/>
          <w:bCs/>
          <w:sz w:val="24"/>
        </w:rPr>
        <w:t>本工程竣工后，按规定要求对工程实行保修，保修时间自通过竣工验收之日算起，质保期为两年。在规定的保修期内，凡因施工造成的质量事故和质量缺陷应由中标方无偿保修。其保修条件、范围和期限按建设部有关规定执行。</w:t>
      </w:r>
    </w:p>
    <w:p>
      <w:pPr>
        <w:numPr>
          <w:ilvl w:val="0"/>
          <w:numId w:val="43"/>
        </w:numPr>
        <w:spacing w:line="360" w:lineRule="auto"/>
        <w:ind w:firstLine="480" w:firstLineChars="200"/>
        <w:rPr>
          <w:bCs/>
          <w:sz w:val="24"/>
        </w:rPr>
      </w:pPr>
      <w:r>
        <w:rPr>
          <w:rFonts w:hint="eastAsia"/>
          <w:bCs/>
          <w:sz w:val="24"/>
        </w:rPr>
        <w:t>管道系统中所有的管材、管件及仪表必须具有制造厂的合格证；</w:t>
      </w:r>
    </w:p>
    <w:p>
      <w:pPr>
        <w:numPr>
          <w:ilvl w:val="0"/>
          <w:numId w:val="43"/>
        </w:numPr>
        <w:spacing w:line="360" w:lineRule="auto"/>
        <w:ind w:firstLine="480" w:firstLineChars="200"/>
        <w:rPr>
          <w:bCs/>
          <w:sz w:val="24"/>
        </w:rPr>
      </w:pPr>
      <w:r>
        <w:rPr>
          <w:rFonts w:hint="eastAsia"/>
          <w:bCs/>
          <w:sz w:val="24"/>
        </w:rPr>
        <w:t>为保证安装质量，杜绝野蛮施工、野蛮安装，必须遵守安装程序、安装质量要求，按生产厂家提供的设备安装使用说明书进行安装和调试，电气设备安装按国家统一的质量要求和规范、施工图进行安装调试，对施工队在施工中出现的违章违规现象，安装监理和招标方工艺、设备、电气技术人员均有权提出质疑，进行制止，并采取一定的处罚。</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3.3.2管道材料及附件技术要求</w:t>
      </w:r>
    </w:p>
    <w:p>
      <w:pPr>
        <w:spacing w:line="360" w:lineRule="auto"/>
        <w:ind w:firstLine="480" w:firstLineChars="200"/>
        <w:rPr>
          <w:bCs/>
          <w:sz w:val="24"/>
        </w:rPr>
      </w:pPr>
      <w:r>
        <w:rPr>
          <w:rFonts w:hint="eastAsia"/>
          <w:bCs/>
          <w:sz w:val="24"/>
        </w:rPr>
        <w:t>（1）管道及元件</w:t>
      </w:r>
    </w:p>
    <w:p>
      <w:pPr>
        <w:numPr>
          <w:ilvl w:val="0"/>
          <w:numId w:val="44"/>
        </w:numPr>
        <w:spacing w:line="360" w:lineRule="auto"/>
        <w:ind w:firstLine="480" w:firstLineChars="200"/>
        <w:rPr>
          <w:rFonts w:cs="仿宋_GB2312"/>
          <w:bCs/>
          <w:sz w:val="24"/>
        </w:rPr>
      </w:pPr>
      <w:r>
        <w:rPr>
          <w:rFonts w:hint="eastAsia" w:cs="仿宋_GB2312"/>
          <w:bCs/>
          <w:sz w:val="24"/>
        </w:rPr>
        <w:t>管道公称直径及相应管道标准及其外径尺寸依据《HG20553》Ⅱ系列选取。管道壁厚应根据管道运行压力的需求进行选取。</w:t>
      </w:r>
    </w:p>
    <w:p>
      <w:pPr>
        <w:numPr>
          <w:ilvl w:val="0"/>
          <w:numId w:val="44"/>
        </w:numPr>
        <w:spacing w:line="360" w:lineRule="auto"/>
        <w:ind w:firstLine="480" w:firstLineChars="200"/>
        <w:rPr>
          <w:rFonts w:cs="仿宋_GB2312"/>
          <w:bCs/>
          <w:sz w:val="24"/>
        </w:rPr>
      </w:pPr>
      <w:r>
        <w:rPr>
          <w:rFonts w:hint="eastAsia" w:cs="仿宋_GB2312"/>
          <w:bCs/>
          <w:sz w:val="24"/>
        </w:rPr>
        <w:t>如无特殊说明二次水管道及工艺通风空调系统管道采用碳钢管道。</w:t>
      </w:r>
    </w:p>
    <w:p>
      <w:pPr>
        <w:numPr>
          <w:ilvl w:val="0"/>
          <w:numId w:val="44"/>
        </w:numPr>
        <w:spacing w:line="360" w:lineRule="auto"/>
        <w:ind w:firstLine="480" w:firstLineChars="200"/>
        <w:rPr>
          <w:rFonts w:cs="仿宋_GB2312"/>
          <w:bCs/>
          <w:sz w:val="24"/>
        </w:rPr>
      </w:pPr>
      <w:r>
        <w:rPr>
          <w:rFonts w:hint="eastAsia" w:cs="仿宋_GB2312"/>
          <w:bCs/>
          <w:sz w:val="24"/>
        </w:rPr>
        <w:t>检查不合格的管道元件或材料不得使用，并应做好标识和隔离。管道和材料在施工过程中应妥善保管，不得混淆或损坏，其标记应明显清晰。材质为不锈钢、有色金属的管道元件和材料在运输和储存期间不得与碳素钢、低合金钢接触。</w:t>
      </w:r>
    </w:p>
    <w:p>
      <w:pPr>
        <w:numPr>
          <w:ilvl w:val="0"/>
          <w:numId w:val="44"/>
        </w:numPr>
        <w:spacing w:line="360" w:lineRule="auto"/>
        <w:ind w:firstLine="480" w:firstLineChars="200"/>
        <w:rPr>
          <w:rFonts w:cs="仿宋_GB2312"/>
          <w:bCs/>
          <w:sz w:val="24"/>
        </w:rPr>
      </w:pPr>
      <w:r>
        <w:rPr>
          <w:rFonts w:hint="eastAsia" w:cs="仿宋_GB2312"/>
          <w:bCs/>
          <w:sz w:val="24"/>
        </w:rPr>
        <w:t>对管道元件的外观质量和几何尺寸检查验收结果，应填写检查记录表。</w:t>
      </w:r>
    </w:p>
    <w:p>
      <w:pPr>
        <w:spacing w:line="360" w:lineRule="auto"/>
        <w:ind w:firstLine="480" w:firstLineChars="200"/>
        <w:rPr>
          <w:bCs/>
          <w:sz w:val="24"/>
        </w:rPr>
      </w:pPr>
      <w:r>
        <w:rPr>
          <w:rFonts w:hint="eastAsia"/>
          <w:bCs/>
          <w:sz w:val="24"/>
        </w:rPr>
        <w:t>（2）阀门</w:t>
      </w:r>
    </w:p>
    <w:p>
      <w:pPr>
        <w:numPr>
          <w:ilvl w:val="0"/>
          <w:numId w:val="45"/>
        </w:numPr>
        <w:spacing w:line="360" w:lineRule="auto"/>
        <w:ind w:firstLine="480" w:firstLineChars="200"/>
        <w:rPr>
          <w:rFonts w:cs="仿宋_GB2312"/>
          <w:bCs/>
          <w:sz w:val="24"/>
        </w:rPr>
      </w:pPr>
      <w:r>
        <w:rPr>
          <w:rFonts w:hint="eastAsia" w:cs="仿宋_GB2312"/>
          <w:bCs/>
          <w:sz w:val="24"/>
        </w:rPr>
        <w:t>阀门的工作压力应严格按施工图纸选型（详见施工图设计说明）。</w:t>
      </w:r>
    </w:p>
    <w:p>
      <w:pPr>
        <w:numPr>
          <w:ilvl w:val="0"/>
          <w:numId w:val="45"/>
        </w:numPr>
        <w:spacing w:line="360" w:lineRule="auto"/>
        <w:ind w:firstLine="480" w:firstLineChars="200"/>
        <w:rPr>
          <w:rFonts w:cs="仿宋_GB2312"/>
          <w:bCs/>
          <w:sz w:val="24"/>
        </w:rPr>
      </w:pPr>
      <w:r>
        <w:rPr>
          <w:rFonts w:hint="eastAsia" w:cs="仿宋_GB2312"/>
          <w:bCs/>
          <w:sz w:val="24"/>
        </w:rPr>
        <w:t>除特别标明外，所有阀门尺寸不可小于相连的管道尺寸。</w:t>
      </w:r>
    </w:p>
    <w:p>
      <w:pPr>
        <w:numPr>
          <w:ilvl w:val="0"/>
          <w:numId w:val="45"/>
        </w:numPr>
        <w:spacing w:line="360" w:lineRule="auto"/>
        <w:ind w:firstLine="480" w:firstLineChars="200"/>
        <w:rPr>
          <w:rFonts w:cs="仿宋_GB2312"/>
          <w:bCs/>
          <w:sz w:val="24"/>
        </w:rPr>
      </w:pPr>
      <w:r>
        <w:rPr>
          <w:rFonts w:hint="eastAsia" w:cs="仿宋_GB2312"/>
          <w:bCs/>
          <w:sz w:val="24"/>
        </w:rPr>
        <w:t>阀门工作温度：-10-90℃。环境温度：-10-40℃。介质：水；介质温度：-10-60℃。</w:t>
      </w:r>
    </w:p>
    <w:p>
      <w:pPr>
        <w:numPr>
          <w:ilvl w:val="0"/>
          <w:numId w:val="45"/>
        </w:numPr>
        <w:spacing w:line="360" w:lineRule="auto"/>
        <w:ind w:firstLine="480" w:firstLineChars="200"/>
        <w:rPr>
          <w:rFonts w:cs="仿宋_GB2312"/>
          <w:bCs/>
          <w:sz w:val="24"/>
        </w:rPr>
      </w:pPr>
      <w:r>
        <w:rPr>
          <w:rFonts w:hint="eastAsia" w:cs="仿宋_GB2312"/>
          <w:bCs/>
          <w:sz w:val="24"/>
        </w:rPr>
        <w:t>除工艺设备接口阀门外，如无特殊需求其他部位阀门一律采用蝶阀，蝶阀的选用类型需根据实际运行需求、维护检修等多方面考虑。工艺设备接口处阀门拟采用活接对焊球阀，口径由工艺设备接口决定。阀门的材质与所连接的管道材质保持一致。蝶阀对应的法兰必须使用对应的蝶阀专用法兰，不得使用平焊法兰。</w:t>
      </w:r>
    </w:p>
    <w:p>
      <w:pPr>
        <w:numPr>
          <w:ilvl w:val="0"/>
          <w:numId w:val="45"/>
        </w:numPr>
        <w:spacing w:line="360" w:lineRule="auto"/>
        <w:ind w:firstLine="480" w:firstLineChars="200"/>
        <w:rPr>
          <w:rFonts w:cs="仿宋_GB2312"/>
          <w:bCs/>
          <w:sz w:val="24"/>
        </w:rPr>
      </w:pPr>
      <w:r>
        <w:rPr>
          <w:rFonts w:hint="eastAsia"/>
          <w:bCs/>
          <w:sz w:val="24"/>
        </w:rPr>
        <w:t>阀门安</w:t>
      </w:r>
      <w:r>
        <w:rPr>
          <w:rFonts w:hint="eastAsia" w:cs="仿宋_GB2312"/>
          <w:bCs/>
          <w:sz w:val="24"/>
        </w:rPr>
        <w:t>装前应进行外观质量检查，阀体应完好，开启机构应灵活，阀杆应无歪斜、变形、卡涩现象，标牌应齐全。</w:t>
      </w:r>
    </w:p>
    <w:p>
      <w:pPr>
        <w:numPr>
          <w:ilvl w:val="0"/>
          <w:numId w:val="45"/>
        </w:numPr>
        <w:spacing w:line="360" w:lineRule="auto"/>
        <w:ind w:firstLine="480" w:firstLineChars="200"/>
        <w:rPr>
          <w:rFonts w:cs="仿宋_GB2312"/>
          <w:bCs/>
          <w:sz w:val="24"/>
        </w:rPr>
      </w:pPr>
      <w:r>
        <w:rPr>
          <w:rFonts w:hint="eastAsia" w:cs="仿宋_GB2312"/>
          <w:bCs/>
          <w:sz w:val="24"/>
        </w:rPr>
        <w:t>阀门应进行壳体压力试验和密封试验，试验时应以洁净水为介质。不锈钢阀门试验时，水中的氯离子含量不得超过25×10-6（25ppm）。试验合格后应立即将水渍清除干净。当有特殊要求时，试验介质应符合设计文件的规定。</w:t>
      </w:r>
    </w:p>
    <w:p>
      <w:pPr>
        <w:numPr>
          <w:ilvl w:val="0"/>
          <w:numId w:val="45"/>
        </w:numPr>
        <w:spacing w:line="360" w:lineRule="auto"/>
        <w:ind w:firstLine="480" w:firstLineChars="200"/>
        <w:rPr>
          <w:rFonts w:cs="仿宋_GB2312"/>
          <w:bCs/>
          <w:sz w:val="24"/>
        </w:rPr>
      </w:pPr>
      <w:r>
        <w:rPr>
          <w:rFonts w:hint="eastAsia" w:cs="仿宋_GB2312"/>
          <w:bCs/>
          <w:sz w:val="24"/>
        </w:rPr>
        <w:t>试验合格的阀门，应及时排尽内部积水，并应吹干。除需要脱脂的阀门外，密封面与阀杆上应涂防锈油，阀门应关闭，出入口应关闭，并应做出明显的标记。</w:t>
      </w:r>
    </w:p>
    <w:p>
      <w:pPr>
        <w:numPr>
          <w:ilvl w:val="0"/>
          <w:numId w:val="45"/>
        </w:numPr>
        <w:spacing w:line="360" w:lineRule="auto"/>
        <w:ind w:firstLine="480" w:firstLineChars="200"/>
        <w:rPr>
          <w:rFonts w:cs="仿宋_GB2312"/>
          <w:bCs/>
          <w:sz w:val="24"/>
        </w:rPr>
      </w:pPr>
      <w:r>
        <w:rPr>
          <w:rFonts w:hint="eastAsia" w:cs="仿宋_GB2312"/>
          <w:bCs/>
          <w:sz w:val="24"/>
        </w:rPr>
        <w:t>阀门试验合格后，应填写试验记录。</w:t>
      </w:r>
    </w:p>
    <w:p>
      <w:pPr>
        <w:spacing w:line="360" w:lineRule="auto"/>
        <w:ind w:firstLine="480" w:firstLineChars="200"/>
        <w:rPr>
          <w:bCs/>
          <w:sz w:val="24"/>
        </w:rPr>
      </w:pPr>
      <w:r>
        <w:rPr>
          <w:rFonts w:hint="eastAsia"/>
          <w:bCs/>
          <w:sz w:val="24"/>
        </w:rPr>
        <w:t>（3）平衡阀</w:t>
      </w:r>
    </w:p>
    <w:p>
      <w:pPr>
        <w:numPr>
          <w:ilvl w:val="0"/>
          <w:numId w:val="46"/>
        </w:numPr>
        <w:spacing w:line="360" w:lineRule="auto"/>
        <w:ind w:firstLine="480" w:firstLineChars="200"/>
        <w:rPr>
          <w:rFonts w:cs="仿宋_GB2312"/>
          <w:bCs/>
          <w:sz w:val="24"/>
        </w:rPr>
      </w:pPr>
      <w:r>
        <w:rPr>
          <w:rFonts w:hint="eastAsia" w:cs="仿宋_GB2312"/>
          <w:bCs/>
          <w:sz w:val="24"/>
        </w:rPr>
        <w:t>静态平衡阀应具有调节并联回路间水力平衡的功能，同时应具有关断功能。</w:t>
      </w:r>
    </w:p>
    <w:p>
      <w:pPr>
        <w:numPr>
          <w:ilvl w:val="0"/>
          <w:numId w:val="46"/>
        </w:numPr>
        <w:spacing w:line="360" w:lineRule="auto"/>
        <w:ind w:firstLine="480" w:firstLineChars="200"/>
        <w:rPr>
          <w:rFonts w:cs="仿宋_GB2312"/>
          <w:bCs/>
          <w:sz w:val="24"/>
        </w:rPr>
      </w:pPr>
      <w:r>
        <w:rPr>
          <w:rFonts w:hint="eastAsia" w:cs="仿宋_GB2312"/>
          <w:bCs/>
          <w:sz w:val="24"/>
        </w:rPr>
        <w:t>阀门特性曲线在60%~100%为线性，在60%以下为对数特性，保证在任何情况下都具有很高的调节精度。</w:t>
      </w:r>
    </w:p>
    <w:p>
      <w:pPr>
        <w:numPr>
          <w:ilvl w:val="0"/>
          <w:numId w:val="46"/>
        </w:numPr>
        <w:spacing w:line="360" w:lineRule="auto"/>
        <w:ind w:firstLine="480" w:firstLineChars="200"/>
        <w:rPr>
          <w:rFonts w:cs="仿宋_GB2312"/>
          <w:bCs/>
          <w:sz w:val="24"/>
        </w:rPr>
      </w:pPr>
      <w:r>
        <w:rPr>
          <w:rFonts w:hint="eastAsia" w:cs="仿宋_GB2312"/>
          <w:bCs/>
          <w:sz w:val="24"/>
        </w:rPr>
        <w:t>阀门调节手柄应采用内升降式结构，在调节的过程中阀门手柄的高度保持不变，以便于安装。</w:t>
      </w:r>
    </w:p>
    <w:p>
      <w:pPr>
        <w:numPr>
          <w:ilvl w:val="0"/>
          <w:numId w:val="46"/>
        </w:numPr>
        <w:spacing w:line="360" w:lineRule="auto"/>
        <w:ind w:firstLine="480" w:firstLineChars="200"/>
        <w:rPr>
          <w:rFonts w:cs="仿宋_GB2312"/>
          <w:bCs/>
          <w:sz w:val="24"/>
        </w:rPr>
      </w:pPr>
      <w:r>
        <w:rPr>
          <w:rFonts w:hint="eastAsia" w:cs="仿宋_GB2312"/>
          <w:bCs/>
          <w:sz w:val="24"/>
        </w:rPr>
        <w:t>静态平衡阀阀体上应有专用的防泄水测压口，配合专用工具，实现现场精确地测量平衡阀的流量。为方便调试工作的进行，测量通道应在阀体同侧,并保证测量的是阀门进出口的压差。</w:t>
      </w:r>
    </w:p>
    <w:p>
      <w:pPr>
        <w:numPr>
          <w:ilvl w:val="0"/>
          <w:numId w:val="46"/>
        </w:numPr>
        <w:spacing w:line="360" w:lineRule="auto"/>
        <w:ind w:firstLine="480" w:firstLineChars="200"/>
        <w:rPr>
          <w:rFonts w:cs="仿宋_GB2312"/>
          <w:bCs/>
          <w:sz w:val="24"/>
        </w:rPr>
      </w:pPr>
      <w:r>
        <w:rPr>
          <w:rFonts w:hint="eastAsia" w:cs="仿宋_GB2312"/>
          <w:bCs/>
          <w:sz w:val="24"/>
        </w:rPr>
        <w:t>为方便调试工作，静态平衡阀开度显示应在手柄正面,以方便在调试时读取刻度。</w:t>
      </w:r>
    </w:p>
    <w:p>
      <w:pPr>
        <w:numPr>
          <w:ilvl w:val="0"/>
          <w:numId w:val="46"/>
        </w:numPr>
        <w:spacing w:line="360" w:lineRule="auto"/>
        <w:ind w:firstLine="480" w:firstLineChars="200"/>
        <w:rPr>
          <w:rFonts w:cs="仿宋_GB2312"/>
          <w:bCs/>
          <w:sz w:val="24"/>
        </w:rPr>
      </w:pPr>
      <w:r>
        <w:rPr>
          <w:rFonts w:hint="eastAsia" w:cs="仿宋_GB2312"/>
          <w:bCs/>
          <w:sz w:val="24"/>
        </w:rPr>
        <w:t>为保证调试后水系统的平衡状态不因日后维护保养时打乱系统平衡，静态平衡阀手轮应具有最大开度锁定功能。</w:t>
      </w:r>
    </w:p>
    <w:p>
      <w:pPr>
        <w:numPr>
          <w:ilvl w:val="0"/>
          <w:numId w:val="46"/>
        </w:numPr>
        <w:spacing w:line="360" w:lineRule="auto"/>
        <w:ind w:firstLine="480" w:firstLineChars="200"/>
        <w:rPr>
          <w:rFonts w:cs="仿宋_GB2312"/>
          <w:bCs/>
          <w:sz w:val="24"/>
        </w:rPr>
      </w:pPr>
      <w:r>
        <w:rPr>
          <w:rFonts w:hint="eastAsia" w:cs="仿宋_GB2312"/>
          <w:bCs/>
          <w:sz w:val="24"/>
        </w:rPr>
        <w:t>流量控制精度：在开度为50-100%时误差小于±5％。</w:t>
      </w:r>
    </w:p>
    <w:p>
      <w:pPr>
        <w:numPr>
          <w:ilvl w:val="0"/>
          <w:numId w:val="46"/>
        </w:numPr>
        <w:spacing w:line="360" w:lineRule="auto"/>
        <w:ind w:firstLine="480" w:firstLineChars="200"/>
        <w:rPr>
          <w:rFonts w:cs="仿宋_GB2312"/>
          <w:bCs/>
          <w:sz w:val="24"/>
        </w:rPr>
      </w:pPr>
      <w:r>
        <w:rPr>
          <w:rFonts w:hint="eastAsia" w:cs="仿宋_GB2312"/>
          <w:bCs/>
          <w:sz w:val="24"/>
        </w:rPr>
        <w:t>工作压力：PN16</w:t>
      </w:r>
    </w:p>
    <w:p>
      <w:pPr>
        <w:numPr>
          <w:ilvl w:val="0"/>
          <w:numId w:val="46"/>
        </w:numPr>
        <w:spacing w:line="360" w:lineRule="auto"/>
        <w:ind w:firstLine="480" w:firstLineChars="200"/>
        <w:rPr>
          <w:rFonts w:cs="仿宋_GB2312"/>
          <w:bCs/>
          <w:sz w:val="24"/>
        </w:rPr>
      </w:pPr>
      <w:r>
        <w:rPr>
          <w:rFonts w:hint="eastAsia" w:cs="仿宋_GB2312"/>
          <w:bCs/>
          <w:sz w:val="24"/>
        </w:rPr>
        <w:t>工作温度：-10～80℃</w:t>
      </w:r>
    </w:p>
    <w:p>
      <w:pPr>
        <w:numPr>
          <w:ilvl w:val="0"/>
          <w:numId w:val="46"/>
        </w:numPr>
        <w:spacing w:line="360" w:lineRule="auto"/>
        <w:ind w:firstLine="480" w:firstLineChars="200"/>
        <w:rPr>
          <w:rFonts w:cs="仿宋_GB2312"/>
          <w:bCs/>
          <w:sz w:val="24"/>
        </w:rPr>
      </w:pPr>
      <w:r>
        <w:rPr>
          <w:rFonts w:hint="eastAsia" w:cs="仿宋_GB2312"/>
          <w:bCs/>
          <w:sz w:val="24"/>
        </w:rPr>
        <w:t>阀体材质：铸铁；阀杆及密封圈：不锈钢。</w:t>
      </w:r>
    </w:p>
    <w:p>
      <w:pPr>
        <w:numPr>
          <w:ilvl w:val="0"/>
          <w:numId w:val="46"/>
        </w:numPr>
        <w:spacing w:line="360" w:lineRule="auto"/>
        <w:ind w:firstLine="480" w:firstLineChars="200"/>
        <w:rPr>
          <w:rFonts w:cs="仿宋_GB2312"/>
          <w:bCs/>
          <w:sz w:val="24"/>
        </w:rPr>
      </w:pPr>
      <w:r>
        <w:rPr>
          <w:rFonts w:hint="eastAsia" w:cs="仿宋_GB2312"/>
          <w:bCs/>
          <w:sz w:val="24"/>
        </w:rPr>
        <w:t>连接方式：DN15-DN50：螺纹连接   ＞DN50：法兰连接</w:t>
      </w:r>
    </w:p>
    <w:p>
      <w:pPr>
        <w:numPr>
          <w:ilvl w:val="0"/>
          <w:numId w:val="46"/>
        </w:numPr>
        <w:spacing w:line="360" w:lineRule="auto"/>
        <w:ind w:firstLine="480" w:firstLineChars="200"/>
        <w:rPr>
          <w:rFonts w:cs="仿宋_GB2312"/>
          <w:bCs/>
          <w:sz w:val="24"/>
        </w:rPr>
      </w:pPr>
      <w:r>
        <w:rPr>
          <w:rFonts w:hint="eastAsia" w:cs="仿宋_GB2312"/>
          <w:bCs/>
          <w:sz w:val="24"/>
        </w:rPr>
        <w:t>调试：平衡阀调试应由中标方供应商专人负责现场调试，并由招标方旁站测值。</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3.3.3管道施工</w:t>
      </w:r>
    </w:p>
    <w:p>
      <w:pPr>
        <w:numPr>
          <w:ilvl w:val="0"/>
          <w:numId w:val="47"/>
        </w:numPr>
        <w:spacing w:line="360" w:lineRule="auto"/>
        <w:ind w:firstLine="480" w:firstLineChars="200"/>
        <w:rPr>
          <w:bCs/>
          <w:sz w:val="24"/>
        </w:rPr>
      </w:pPr>
      <w:r>
        <w:rPr>
          <w:rFonts w:hint="eastAsia"/>
          <w:bCs/>
          <w:sz w:val="24"/>
        </w:rPr>
        <w:t>管道元件的加工制作应符合国家相关规范的要求，管道元件在加工过程中，应及时进行标记移植。不锈钢及有色金属不得使用硬印标记。当不锈钢和有色金属材料采用色码标记时，印色不应含有对材料产生损害的物质。</w:t>
      </w:r>
    </w:p>
    <w:p>
      <w:pPr>
        <w:numPr>
          <w:ilvl w:val="0"/>
          <w:numId w:val="47"/>
        </w:numPr>
        <w:spacing w:line="360" w:lineRule="auto"/>
        <w:ind w:firstLine="480" w:firstLineChars="200"/>
        <w:rPr>
          <w:bCs/>
          <w:sz w:val="24"/>
        </w:rPr>
      </w:pPr>
      <w:r>
        <w:rPr>
          <w:rFonts w:hint="eastAsia"/>
          <w:bCs/>
          <w:sz w:val="24"/>
        </w:rPr>
        <w:t>切割质量应符合下列规定：</w:t>
      </w:r>
    </w:p>
    <w:p>
      <w:pPr>
        <w:numPr>
          <w:ilvl w:val="0"/>
          <w:numId w:val="48"/>
        </w:numPr>
        <w:spacing w:line="360" w:lineRule="auto"/>
        <w:ind w:firstLine="480" w:firstLineChars="200"/>
        <w:rPr>
          <w:rFonts w:cs="仿宋_GB2312"/>
          <w:bCs/>
          <w:sz w:val="24"/>
        </w:rPr>
      </w:pPr>
      <w:r>
        <w:rPr>
          <w:rFonts w:hint="eastAsia" w:cs="仿宋_GB2312"/>
          <w:bCs/>
          <w:sz w:val="24"/>
        </w:rPr>
        <w:t>切口表面应平整，尺寸应正确，并应无裂纹、重皮、毛刺、凸凹、缩口、熔渣、氧化物、铁屑等现象。</w:t>
      </w:r>
    </w:p>
    <w:p>
      <w:pPr>
        <w:numPr>
          <w:ilvl w:val="0"/>
          <w:numId w:val="48"/>
        </w:numPr>
        <w:spacing w:line="360" w:lineRule="auto"/>
        <w:ind w:firstLine="480" w:firstLineChars="200"/>
        <w:rPr>
          <w:bCs/>
          <w:sz w:val="24"/>
        </w:rPr>
      </w:pPr>
      <w:r>
        <w:rPr>
          <w:rFonts w:hint="eastAsia" w:cs="仿宋_GB2312"/>
          <w:bCs/>
          <w:sz w:val="24"/>
        </w:rPr>
        <w:t>管子切口端面倾斜偏差不应大于管子外</w:t>
      </w:r>
      <w:r>
        <w:rPr>
          <w:rFonts w:hint="eastAsia"/>
          <w:bCs/>
          <w:sz w:val="24"/>
        </w:rPr>
        <w:t>径的1%，且不得大于3mm。</w:t>
      </w:r>
    </w:p>
    <w:p>
      <w:pPr>
        <w:numPr>
          <w:ilvl w:val="0"/>
          <w:numId w:val="47"/>
        </w:numPr>
        <w:spacing w:line="360" w:lineRule="auto"/>
        <w:ind w:firstLine="480" w:firstLineChars="200"/>
        <w:rPr>
          <w:bCs/>
          <w:sz w:val="24"/>
        </w:rPr>
      </w:pPr>
      <w:r>
        <w:rPr>
          <w:rFonts w:hint="eastAsia"/>
          <w:bCs/>
          <w:sz w:val="24"/>
        </w:rPr>
        <w:t>支吊架制作</w:t>
      </w:r>
    </w:p>
    <w:p>
      <w:pPr>
        <w:numPr>
          <w:ilvl w:val="0"/>
          <w:numId w:val="49"/>
        </w:numPr>
        <w:spacing w:line="360" w:lineRule="auto"/>
        <w:ind w:firstLine="480" w:firstLineChars="200"/>
        <w:rPr>
          <w:rFonts w:cs="仿宋_GB2312"/>
          <w:bCs/>
          <w:sz w:val="24"/>
        </w:rPr>
      </w:pPr>
      <w:r>
        <w:rPr>
          <w:rFonts w:hint="eastAsia" w:cs="仿宋_GB2312"/>
          <w:bCs/>
          <w:sz w:val="24"/>
        </w:rPr>
        <w:t>支吊架的形式、材质、加工尺寸及精度应符合设计文件和国家现行有关标准的规定。</w:t>
      </w:r>
    </w:p>
    <w:p>
      <w:pPr>
        <w:numPr>
          <w:ilvl w:val="0"/>
          <w:numId w:val="49"/>
        </w:numPr>
        <w:spacing w:line="360" w:lineRule="auto"/>
        <w:ind w:firstLine="480" w:firstLineChars="200"/>
        <w:rPr>
          <w:rFonts w:cs="仿宋_GB2312"/>
          <w:bCs/>
          <w:sz w:val="24"/>
        </w:rPr>
      </w:pPr>
      <w:r>
        <w:rPr>
          <w:rFonts w:hint="eastAsia" w:cs="仿宋_GB2312"/>
          <w:bCs/>
          <w:sz w:val="24"/>
        </w:rPr>
        <w:t>支吊架的组装、焊接和检验应符合设计文件和国家现行有关标准规定。支吊架的焊接应由合格焊工进行，焊接完毕应进行外观检查，焊接变形应予矫正。所有螺纹连接均应按设计规定予以锁紧。</w:t>
      </w:r>
    </w:p>
    <w:p>
      <w:pPr>
        <w:numPr>
          <w:ilvl w:val="0"/>
          <w:numId w:val="49"/>
        </w:numPr>
        <w:spacing w:line="360" w:lineRule="auto"/>
        <w:ind w:firstLine="480" w:firstLineChars="200"/>
        <w:rPr>
          <w:rFonts w:cs="仿宋_GB2312"/>
          <w:bCs/>
          <w:sz w:val="24"/>
        </w:rPr>
      </w:pPr>
      <w:r>
        <w:rPr>
          <w:rFonts w:hint="eastAsia" w:cs="仿宋_GB2312"/>
          <w:bCs/>
          <w:sz w:val="24"/>
        </w:rPr>
        <w:t>制作合格的支吊架应进行防锈处理，并应妥善分类保管。合金钢支吊架应有材质标记。</w:t>
      </w:r>
    </w:p>
    <w:p>
      <w:pPr>
        <w:numPr>
          <w:ilvl w:val="0"/>
          <w:numId w:val="49"/>
        </w:numPr>
        <w:spacing w:line="360" w:lineRule="auto"/>
        <w:ind w:firstLine="480" w:firstLineChars="200"/>
        <w:rPr>
          <w:rFonts w:cs="仿宋_GB2312"/>
          <w:bCs/>
          <w:sz w:val="24"/>
        </w:rPr>
      </w:pPr>
      <w:r>
        <w:rPr>
          <w:rFonts w:hint="eastAsia" w:cs="仿宋_GB2312"/>
          <w:bCs/>
          <w:sz w:val="24"/>
        </w:rPr>
        <w:t>支吊架上的螺栓孔必须使用台钻或其他机械设备进行定位开孔，严禁使用电焊冲孔。</w:t>
      </w:r>
    </w:p>
    <w:p>
      <w:pPr>
        <w:numPr>
          <w:ilvl w:val="0"/>
          <w:numId w:val="49"/>
        </w:numPr>
        <w:spacing w:line="360" w:lineRule="auto"/>
        <w:ind w:firstLine="480" w:firstLineChars="200"/>
        <w:rPr>
          <w:rFonts w:cs="仿宋_GB2312"/>
          <w:bCs/>
          <w:sz w:val="24"/>
        </w:rPr>
      </w:pPr>
      <w:r>
        <w:rPr>
          <w:rFonts w:hint="eastAsia" w:cs="仿宋_GB2312"/>
          <w:bCs/>
          <w:sz w:val="24"/>
        </w:rPr>
        <w:t>支架安装必须进行支架负荷计算，支架底座需使用对应厚度钢板，不得使用支架本体材料；管道综合排布之后尽量使用综合支架，负荷计算书需由供应商提供，交由招标方审核后严格实施，供应商对支架合理性付最终责任。</w:t>
      </w:r>
    </w:p>
    <w:p>
      <w:pPr>
        <w:numPr>
          <w:ilvl w:val="0"/>
          <w:numId w:val="47"/>
        </w:numPr>
        <w:spacing w:line="360" w:lineRule="auto"/>
        <w:ind w:firstLine="480" w:firstLineChars="200"/>
        <w:rPr>
          <w:bCs/>
          <w:sz w:val="24"/>
        </w:rPr>
      </w:pPr>
      <w:r>
        <w:rPr>
          <w:rFonts w:hint="eastAsia"/>
          <w:bCs/>
          <w:sz w:val="24"/>
        </w:rPr>
        <w:t>管道安装前应对土建工程进行检验，满足安装要求，并办理交接手续。与管道连接的设备已找正合格，固定完毕。管道组成件及管道支撑件等已检验合格。管道、管件、阀门内部等已清理干净、无杂物。一次管道安装前应当对管道内部进行脱脂处理并做好保护，安装时进行检查，不得有油迹污染。</w:t>
      </w:r>
    </w:p>
    <w:p>
      <w:pPr>
        <w:numPr>
          <w:ilvl w:val="0"/>
          <w:numId w:val="47"/>
        </w:numPr>
        <w:spacing w:line="360" w:lineRule="auto"/>
        <w:ind w:firstLine="480" w:firstLineChars="200"/>
        <w:rPr>
          <w:bCs/>
          <w:sz w:val="24"/>
        </w:rPr>
      </w:pPr>
      <w:r>
        <w:rPr>
          <w:rFonts w:hint="eastAsia"/>
          <w:bCs/>
          <w:sz w:val="24"/>
        </w:rPr>
        <w:t>当管道安装工作有间断时，应及时封闭敞开的管口。</w:t>
      </w:r>
    </w:p>
    <w:p>
      <w:pPr>
        <w:numPr>
          <w:ilvl w:val="0"/>
          <w:numId w:val="47"/>
        </w:numPr>
        <w:spacing w:line="360" w:lineRule="auto"/>
        <w:ind w:firstLine="480" w:firstLineChars="200"/>
        <w:rPr>
          <w:bCs/>
          <w:sz w:val="24"/>
        </w:rPr>
      </w:pPr>
      <w:r>
        <w:rPr>
          <w:rFonts w:hint="eastAsia"/>
          <w:bCs/>
          <w:sz w:val="24"/>
        </w:rPr>
        <w:t>管道连接时，不得采用强力对口。端面的间隙、偏差、错口或不同心等缺陷不得采用加热管子，加偏垫等方法消除。</w:t>
      </w:r>
    </w:p>
    <w:p>
      <w:pPr>
        <w:numPr>
          <w:ilvl w:val="0"/>
          <w:numId w:val="47"/>
        </w:numPr>
        <w:spacing w:line="360" w:lineRule="auto"/>
        <w:ind w:firstLine="480" w:firstLineChars="200"/>
        <w:rPr>
          <w:bCs/>
          <w:sz w:val="24"/>
        </w:rPr>
      </w:pPr>
      <w:r>
        <w:rPr>
          <w:rFonts w:hint="eastAsia"/>
          <w:bCs/>
          <w:sz w:val="24"/>
        </w:rPr>
        <w:t>管道安装完毕应进行检查，并填写安装记录。</w:t>
      </w:r>
    </w:p>
    <w:p>
      <w:pPr>
        <w:numPr>
          <w:ilvl w:val="0"/>
          <w:numId w:val="47"/>
        </w:numPr>
        <w:spacing w:line="360" w:lineRule="auto"/>
        <w:ind w:firstLine="480" w:firstLineChars="200"/>
        <w:rPr>
          <w:bCs/>
          <w:sz w:val="24"/>
        </w:rPr>
      </w:pPr>
      <w:r>
        <w:rPr>
          <w:rFonts w:hint="eastAsia"/>
          <w:bCs/>
          <w:sz w:val="24"/>
        </w:rPr>
        <w:t>管段预制应按机械总图或BIM图规定的数量、规格、材质选配管道组成件，并在管段上表明管线号和焊缝编号。自由管段和封闭管段的选择应合理，封闭管段应按现场实测的安装长度加工。预制完成的管段，应将内部清理干净，并应及时封闭管口。管段在存放和运输过程中不得出现变形现象。</w:t>
      </w:r>
    </w:p>
    <w:p>
      <w:pPr>
        <w:numPr>
          <w:ilvl w:val="0"/>
          <w:numId w:val="47"/>
        </w:numPr>
        <w:spacing w:line="360" w:lineRule="auto"/>
        <w:ind w:firstLine="480" w:firstLineChars="200"/>
        <w:rPr>
          <w:bCs/>
          <w:sz w:val="24"/>
        </w:rPr>
      </w:pPr>
      <w:r>
        <w:rPr>
          <w:rFonts w:hint="eastAsia"/>
          <w:bCs/>
          <w:sz w:val="24"/>
        </w:rPr>
        <w:t>法兰安装时，法兰密封面及密封垫片不得有划痕、斑点等缺陷。</w:t>
      </w:r>
    </w:p>
    <w:p>
      <w:pPr>
        <w:numPr>
          <w:ilvl w:val="0"/>
          <w:numId w:val="47"/>
        </w:numPr>
        <w:spacing w:line="360" w:lineRule="auto"/>
        <w:ind w:firstLine="480" w:firstLineChars="200"/>
        <w:rPr>
          <w:bCs/>
          <w:sz w:val="24"/>
        </w:rPr>
      </w:pPr>
      <w:r>
        <w:rPr>
          <w:rFonts w:hint="eastAsia"/>
          <w:bCs/>
          <w:sz w:val="24"/>
        </w:rPr>
        <w:t>法兰连接应与管道同心，螺栓能自由穿入。法兰螺栓孔应跨中布置。法兰平面之间应保持平行，其偏差不得大于法兰外径的0.15%，且不得大于2mm。法兰接头的歪斜不得用强紧螺栓的方法消除。</w:t>
      </w:r>
    </w:p>
    <w:p>
      <w:pPr>
        <w:numPr>
          <w:ilvl w:val="0"/>
          <w:numId w:val="47"/>
        </w:numPr>
        <w:spacing w:line="360" w:lineRule="auto"/>
        <w:ind w:firstLine="480" w:firstLineChars="200"/>
        <w:rPr>
          <w:bCs/>
          <w:sz w:val="24"/>
        </w:rPr>
      </w:pPr>
      <w:r>
        <w:rPr>
          <w:rFonts w:hint="eastAsia"/>
          <w:bCs/>
          <w:sz w:val="24"/>
        </w:rPr>
        <w:t>法兰连接应使用统一规格螺栓，安装方向应一致。螺栓应对称紧固。螺栓紧固后应与法兰紧贴，不得有楔缝。当需要添加垫圈时，每个螺栓不应超过一个。所有螺母应全部拧入螺栓，且紧固后的螺栓与螺母宜齐平。</w:t>
      </w:r>
    </w:p>
    <w:p>
      <w:pPr>
        <w:numPr>
          <w:ilvl w:val="0"/>
          <w:numId w:val="47"/>
        </w:numPr>
        <w:spacing w:line="360" w:lineRule="auto"/>
        <w:ind w:firstLine="480" w:firstLineChars="200"/>
        <w:rPr>
          <w:bCs/>
          <w:sz w:val="24"/>
        </w:rPr>
      </w:pPr>
      <w:r>
        <w:rPr>
          <w:rFonts w:hint="eastAsia"/>
          <w:bCs/>
          <w:sz w:val="24"/>
        </w:rPr>
        <w:t>当管道安装遇到下列情况时，螺栓、螺帽应涂刷二硫化钼油脂、石墨机油或石墨粉等：</w:t>
      </w:r>
    </w:p>
    <w:p>
      <w:pPr>
        <w:numPr>
          <w:ilvl w:val="0"/>
          <w:numId w:val="50"/>
        </w:numPr>
        <w:spacing w:line="360" w:lineRule="auto"/>
        <w:ind w:firstLine="480" w:firstLineChars="200"/>
        <w:rPr>
          <w:rFonts w:cs="仿宋_GB2312"/>
          <w:bCs/>
          <w:sz w:val="24"/>
        </w:rPr>
      </w:pPr>
      <w:r>
        <w:rPr>
          <w:rFonts w:hint="eastAsia" w:cs="仿宋_GB2312"/>
          <w:bCs/>
          <w:sz w:val="24"/>
        </w:rPr>
        <w:t>不锈钢、合金钢螺栓和螺母；</w:t>
      </w:r>
    </w:p>
    <w:p>
      <w:pPr>
        <w:numPr>
          <w:ilvl w:val="0"/>
          <w:numId w:val="50"/>
        </w:numPr>
        <w:spacing w:line="360" w:lineRule="auto"/>
        <w:ind w:firstLine="480" w:firstLineChars="200"/>
        <w:rPr>
          <w:rFonts w:cs="仿宋_GB2312"/>
          <w:bCs/>
          <w:sz w:val="24"/>
        </w:rPr>
      </w:pPr>
      <w:r>
        <w:rPr>
          <w:rFonts w:hint="eastAsia" w:cs="仿宋_GB2312"/>
          <w:bCs/>
          <w:sz w:val="24"/>
        </w:rPr>
        <w:t>设计温度高于100℃或低于0摄氏度；</w:t>
      </w:r>
    </w:p>
    <w:p>
      <w:pPr>
        <w:numPr>
          <w:ilvl w:val="0"/>
          <w:numId w:val="50"/>
        </w:numPr>
        <w:spacing w:line="360" w:lineRule="auto"/>
        <w:ind w:firstLine="480" w:firstLineChars="200"/>
        <w:rPr>
          <w:rFonts w:cs="仿宋_GB2312"/>
          <w:bCs/>
          <w:sz w:val="24"/>
        </w:rPr>
      </w:pPr>
      <w:r>
        <w:rPr>
          <w:rFonts w:hint="eastAsia" w:cs="仿宋_GB2312"/>
          <w:bCs/>
          <w:sz w:val="24"/>
        </w:rPr>
        <w:t>露天装置；</w:t>
      </w:r>
    </w:p>
    <w:p>
      <w:pPr>
        <w:numPr>
          <w:ilvl w:val="0"/>
          <w:numId w:val="50"/>
        </w:numPr>
        <w:spacing w:line="360" w:lineRule="auto"/>
        <w:ind w:firstLine="480" w:firstLineChars="200"/>
        <w:rPr>
          <w:rFonts w:cs="仿宋_GB2312"/>
          <w:bCs/>
          <w:sz w:val="24"/>
        </w:rPr>
      </w:pPr>
      <w:r>
        <w:rPr>
          <w:rFonts w:hint="eastAsia" w:cs="仿宋_GB2312"/>
          <w:bCs/>
          <w:sz w:val="24"/>
        </w:rPr>
        <w:t>处于大气腐蚀环境或输送腐蚀介质。</w:t>
      </w:r>
    </w:p>
    <w:p>
      <w:pPr>
        <w:numPr>
          <w:ilvl w:val="0"/>
          <w:numId w:val="47"/>
        </w:numPr>
        <w:spacing w:line="360" w:lineRule="auto"/>
        <w:ind w:firstLine="480" w:firstLineChars="200"/>
        <w:rPr>
          <w:bCs/>
          <w:sz w:val="24"/>
        </w:rPr>
      </w:pPr>
      <w:r>
        <w:rPr>
          <w:rFonts w:hint="eastAsia"/>
          <w:bCs/>
          <w:sz w:val="24"/>
        </w:rPr>
        <w:t>当采用螺纹连接，工作温度低于200℃的管道，螺纹接头密封材料宜选用聚四氟乙烯带。拧紧螺纹时，不得将密封材料挤入管内。用于螺纹的保护剂或润滑剂应适用于工况条件，不得对输送的流体或管道材料产生影响。采用垫片密封而非螺纹密封的直螺纹接头，直螺纹上不应缠绕任何填料，在拧紧和安装后，不得产生任何扭矩。直螺纹接头与主管焊接时，不得出现密封面变形现象。</w:t>
      </w:r>
    </w:p>
    <w:p>
      <w:pPr>
        <w:numPr>
          <w:ilvl w:val="0"/>
          <w:numId w:val="47"/>
        </w:numPr>
        <w:spacing w:line="360" w:lineRule="auto"/>
        <w:ind w:firstLine="480" w:firstLineChars="200"/>
        <w:rPr>
          <w:bCs/>
          <w:sz w:val="24"/>
        </w:rPr>
      </w:pPr>
      <w:r>
        <w:rPr>
          <w:rFonts w:hint="eastAsia"/>
          <w:bCs/>
          <w:sz w:val="24"/>
        </w:rPr>
        <w:t>管子对口时应在距接口中心200mm处测量平直度，当管子公称尺寸小于100mm时，允许偏差为1mm；当管子公称尺寸大于或等于100mm时，运行偏差2mm，且全长允许偏差均为10mm。</w:t>
      </w:r>
    </w:p>
    <w:p>
      <w:pPr>
        <w:numPr>
          <w:ilvl w:val="0"/>
          <w:numId w:val="47"/>
        </w:numPr>
        <w:spacing w:line="360" w:lineRule="auto"/>
        <w:ind w:firstLine="480" w:firstLineChars="200"/>
        <w:rPr>
          <w:bCs/>
          <w:sz w:val="24"/>
        </w:rPr>
      </w:pPr>
      <w:r>
        <w:rPr>
          <w:rFonts w:hint="eastAsia"/>
          <w:bCs/>
          <w:sz w:val="24"/>
        </w:rPr>
        <w:t>管道上仪表取源部件的开孔和焊接应在管道安装前进行。当必须在在管道上开孔时，管内因切割产生的杂物应清除干净。取源仪表深入管道长度不得超过管道半径。</w:t>
      </w:r>
    </w:p>
    <w:p>
      <w:pPr>
        <w:numPr>
          <w:ilvl w:val="0"/>
          <w:numId w:val="47"/>
        </w:numPr>
        <w:spacing w:line="360" w:lineRule="auto"/>
        <w:ind w:firstLine="480" w:firstLineChars="200"/>
        <w:rPr>
          <w:bCs/>
          <w:sz w:val="24"/>
        </w:rPr>
      </w:pPr>
      <w:r>
        <w:rPr>
          <w:rFonts w:hint="eastAsia"/>
          <w:bCs/>
          <w:sz w:val="24"/>
        </w:rPr>
        <w:t>管道与设备连接应在设备安装定位并紧固地脚螺栓后进行。安装前将其内部清理干净。</w:t>
      </w:r>
    </w:p>
    <w:p>
      <w:pPr>
        <w:numPr>
          <w:ilvl w:val="0"/>
          <w:numId w:val="47"/>
        </w:numPr>
        <w:spacing w:line="360" w:lineRule="auto"/>
        <w:ind w:firstLine="480" w:firstLineChars="200"/>
        <w:rPr>
          <w:bCs/>
          <w:sz w:val="24"/>
        </w:rPr>
      </w:pPr>
      <w:r>
        <w:rPr>
          <w:rFonts w:hint="eastAsia"/>
          <w:bCs/>
          <w:sz w:val="24"/>
        </w:rPr>
        <w:t>阀门安装前应按设计文件核对其型号，并应按介质流向确定其安装方向。当阀门与管道以法兰或螺纹方式连接时，阀门应在关闭状态下安装。阀门安装位置应易于操作、检查和维修。水平管道上的阀门，其阀杆及传动装置应按设计规定进行安装，动作应灵活。所有阀门连接自然，不得强力对接或承受加重力负荷。法兰连接螺栓紧固力应均匀。</w:t>
      </w:r>
    </w:p>
    <w:p>
      <w:pPr>
        <w:numPr>
          <w:ilvl w:val="0"/>
          <w:numId w:val="47"/>
        </w:numPr>
        <w:spacing w:line="360" w:lineRule="auto"/>
        <w:ind w:firstLine="480" w:firstLineChars="200"/>
        <w:rPr>
          <w:bCs/>
          <w:sz w:val="24"/>
        </w:rPr>
      </w:pPr>
      <w:r>
        <w:rPr>
          <w:rFonts w:hint="eastAsia"/>
          <w:bCs/>
          <w:sz w:val="24"/>
        </w:rPr>
        <w:t>管道高点应安装排气阀，排气阀材质由管道材质决定。管道低点应安装放空阀，材质由管道材质决定。碳钢管道使用铜阀，不锈钢管道使用不锈钢阀。</w:t>
      </w:r>
    </w:p>
    <w:p>
      <w:pPr>
        <w:numPr>
          <w:ilvl w:val="0"/>
          <w:numId w:val="47"/>
        </w:numPr>
        <w:spacing w:line="360" w:lineRule="auto"/>
        <w:ind w:firstLine="480" w:firstLineChars="200"/>
        <w:rPr>
          <w:bCs/>
          <w:sz w:val="24"/>
        </w:rPr>
      </w:pPr>
      <w:r>
        <w:rPr>
          <w:rFonts w:hint="eastAsia"/>
          <w:bCs/>
          <w:sz w:val="24"/>
        </w:rPr>
        <w:t>管道安装完毕和无损检测合格后，应进行压力试验。压力试验应以液体为试验介质。不锈钢管道需采用纯水作为试验介质。试验过程中发现泄漏时，不得带压处理。消除缺陷后应重新进行试验。压力试验合格后应填写试验记录。</w:t>
      </w:r>
    </w:p>
    <w:p>
      <w:pPr>
        <w:numPr>
          <w:ilvl w:val="0"/>
          <w:numId w:val="47"/>
        </w:numPr>
        <w:spacing w:line="360" w:lineRule="auto"/>
        <w:ind w:firstLine="480" w:firstLineChars="200"/>
        <w:rPr>
          <w:bCs/>
          <w:sz w:val="24"/>
        </w:rPr>
      </w:pPr>
      <w:r>
        <w:rPr>
          <w:rFonts w:hint="eastAsia"/>
          <w:bCs/>
          <w:sz w:val="24"/>
        </w:rPr>
        <w:t>管道清洗需制定详细的方案，经招标方评审通过后方可实施。</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3.3.4管道的防腐与保温</w:t>
      </w:r>
    </w:p>
    <w:p>
      <w:pPr>
        <w:numPr>
          <w:ilvl w:val="0"/>
          <w:numId w:val="51"/>
        </w:numPr>
        <w:spacing w:line="360" w:lineRule="auto"/>
        <w:ind w:firstLine="480" w:firstLineChars="200"/>
        <w:rPr>
          <w:bCs/>
          <w:sz w:val="24"/>
        </w:rPr>
      </w:pPr>
      <w:r>
        <w:rPr>
          <w:rFonts w:hint="eastAsia"/>
          <w:bCs/>
          <w:sz w:val="24"/>
        </w:rPr>
        <w:t>管道的保温及防腐要求应按招标方提供的图纸进行施工。</w:t>
      </w:r>
    </w:p>
    <w:p>
      <w:pPr>
        <w:numPr>
          <w:ilvl w:val="0"/>
          <w:numId w:val="51"/>
        </w:numPr>
        <w:spacing w:line="360" w:lineRule="auto"/>
        <w:ind w:firstLine="480" w:firstLineChars="200"/>
        <w:rPr>
          <w:bCs/>
          <w:sz w:val="24"/>
        </w:rPr>
      </w:pPr>
      <w:r>
        <w:rPr>
          <w:rFonts w:hint="eastAsia"/>
          <w:bCs/>
          <w:sz w:val="24"/>
        </w:rPr>
        <w:t>防腐用的涂料和保温工程的主要材料应有制造厂合格证或分析检验报告，过期的涂料和没有合格证的保温材料必须重新检验，确认合格后方可施工。</w:t>
      </w:r>
    </w:p>
    <w:p>
      <w:pPr>
        <w:numPr>
          <w:ilvl w:val="0"/>
          <w:numId w:val="51"/>
        </w:numPr>
        <w:spacing w:line="360" w:lineRule="auto"/>
        <w:ind w:firstLine="480" w:firstLineChars="200"/>
        <w:rPr>
          <w:bCs/>
          <w:sz w:val="24"/>
        </w:rPr>
      </w:pPr>
      <w:r>
        <w:rPr>
          <w:rFonts w:hint="eastAsia"/>
          <w:bCs/>
          <w:sz w:val="24"/>
        </w:rPr>
        <w:t>既要防腐又要保温的管道系统，应先做防腐，后做保温。涂漆前应清除被涂表面的锈质、焊渣、毛刺、油水等污物。保温前，管道外表面应保持清洁干燥。冬、雨季施工应有防火、防冻、防雨措施。</w:t>
      </w:r>
    </w:p>
    <w:p>
      <w:pPr>
        <w:numPr>
          <w:ilvl w:val="0"/>
          <w:numId w:val="51"/>
        </w:numPr>
        <w:spacing w:line="360" w:lineRule="auto"/>
        <w:ind w:firstLine="480" w:firstLineChars="200"/>
        <w:rPr>
          <w:bCs/>
          <w:sz w:val="24"/>
        </w:rPr>
      </w:pPr>
      <w:r>
        <w:rPr>
          <w:rFonts w:hint="eastAsia"/>
          <w:bCs/>
          <w:sz w:val="24"/>
        </w:rPr>
        <w:t>管道的防腐和保温应符合GB50185-2010《工业设备及管道绝热工程施工质量验收规范》的要求。</w:t>
      </w:r>
    </w:p>
    <w:p>
      <w:pPr>
        <w:numPr>
          <w:ilvl w:val="0"/>
          <w:numId w:val="51"/>
        </w:numPr>
        <w:spacing w:line="360" w:lineRule="auto"/>
        <w:ind w:firstLine="480" w:firstLineChars="200"/>
        <w:rPr>
          <w:bCs/>
          <w:sz w:val="24"/>
        </w:rPr>
      </w:pPr>
      <w:r>
        <w:rPr>
          <w:rFonts w:hint="eastAsia"/>
          <w:bCs/>
          <w:sz w:val="24"/>
        </w:rPr>
        <w:t>保温层需用保护壳进行保护，保护壳的材料选用铝板或以上材质。</w:t>
      </w:r>
    </w:p>
    <w:p>
      <w:pPr>
        <w:pStyle w:val="9"/>
        <w:spacing w:before="156"/>
        <w:ind w:firstLine="482" w:firstLineChars="200"/>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3.4过程质量控制</w:t>
      </w:r>
    </w:p>
    <w:p>
      <w:pPr>
        <w:numPr>
          <w:ilvl w:val="0"/>
          <w:numId w:val="52"/>
        </w:numPr>
        <w:spacing w:line="360" w:lineRule="auto"/>
        <w:ind w:firstLine="480" w:firstLineChars="200"/>
        <w:rPr>
          <w:bCs/>
          <w:sz w:val="24"/>
        </w:rPr>
      </w:pPr>
      <w:r>
        <w:rPr>
          <w:rFonts w:hint="eastAsia"/>
          <w:bCs/>
          <w:sz w:val="24"/>
        </w:rPr>
        <w:t>制冷中心冷冻站系统为加速器工艺配套系统，与普通建筑的空调系统不同，其设计严格按照CiADS装置需求进行设计，对系统的气密性、稳定性、可靠性等方面均有较高的精度设计，为保证系统的最终使用效果，招标方有权对施工过程采取全方位的质量控制措施。</w:t>
      </w:r>
    </w:p>
    <w:p>
      <w:pPr>
        <w:numPr>
          <w:ilvl w:val="0"/>
          <w:numId w:val="52"/>
        </w:numPr>
        <w:spacing w:line="360" w:lineRule="auto"/>
        <w:ind w:firstLine="480" w:firstLineChars="200"/>
        <w:rPr>
          <w:bCs/>
          <w:sz w:val="24"/>
        </w:rPr>
      </w:pPr>
      <w:r>
        <w:rPr>
          <w:rFonts w:hint="eastAsia"/>
          <w:bCs/>
          <w:sz w:val="24"/>
        </w:rPr>
        <w:t>焊接工艺的要求：工程施工前，由中标方组织，招标方参与，对所有焊接工人进行现场焊接能力考核，考试合格后由招标方发放合格证，只有考核合格的焊工才能进行后续施工任务。一经发现未持有合格证焊接管道，招标方有权进行罚款。</w:t>
      </w:r>
    </w:p>
    <w:p>
      <w:pPr>
        <w:numPr>
          <w:ilvl w:val="0"/>
          <w:numId w:val="52"/>
        </w:numPr>
        <w:spacing w:line="360" w:lineRule="auto"/>
        <w:ind w:firstLine="480" w:firstLineChars="200"/>
        <w:rPr>
          <w:bCs/>
          <w:sz w:val="24"/>
        </w:rPr>
      </w:pPr>
      <w:r>
        <w:rPr>
          <w:rFonts w:hint="eastAsia"/>
          <w:bCs/>
          <w:sz w:val="24"/>
        </w:rPr>
        <w:t>样段施工制：对工程的关键工序、重点部位等实施样段指导施工制，中标方按要求制作样段的工序和部位的样段样件并封存拍照，经招标方认可后方可进行后续过程的安装。</w:t>
      </w:r>
    </w:p>
    <w:p>
      <w:pPr>
        <w:numPr>
          <w:ilvl w:val="0"/>
          <w:numId w:val="52"/>
        </w:numPr>
        <w:spacing w:line="360" w:lineRule="auto"/>
        <w:ind w:firstLine="480" w:firstLineChars="200"/>
        <w:rPr>
          <w:bCs/>
          <w:sz w:val="24"/>
        </w:rPr>
      </w:pPr>
      <w:r>
        <w:rPr>
          <w:rFonts w:hint="eastAsia"/>
          <w:bCs/>
          <w:sz w:val="24"/>
        </w:rPr>
        <w:t>现场技术人员能力需求：中标方应指派经验丰富的技术员对工程全程负责。</w:t>
      </w:r>
    </w:p>
    <w:p>
      <w:pPr>
        <w:numPr>
          <w:ilvl w:val="0"/>
          <w:numId w:val="52"/>
        </w:numPr>
        <w:spacing w:line="360" w:lineRule="auto"/>
        <w:ind w:firstLine="480" w:firstLineChars="200"/>
        <w:rPr>
          <w:bCs/>
          <w:sz w:val="24"/>
        </w:rPr>
      </w:pPr>
      <w:r>
        <w:rPr>
          <w:rFonts w:hint="eastAsia"/>
          <w:bCs/>
          <w:sz w:val="24"/>
        </w:rPr>
        <w:t>工程质量日常巡检、抽检、隐检、旁站和工序质量检查制度，对杨本段复制安装过程采取不定时、不定期、随时抽查抽检，并登记造册，对不合格的工序、施工过程、安全等责令整改。</w:t>
      </w:r>
    </w:p>
    <w:p>
      <w:pPr>
        <w:rPr>
          <w:bCs/>
          <w:sz w:val="24"/>
        </w:rPr>
      </w:pPr>
      <w:r>
        <w:rPr>
          <w:bCs/>
          <w:sz w:val="24"/>
        </w:rPr>
        <w:br w:type="page"/>
      </w:r>
    </w:p>
    <w:p>
      <w:pPr>
        <w:pStyle w:val="8"/>
        <w:numPr>
          <w:ilvl w:val="0"/>
          <w:numId w:val="2"/>
        </w:numPr>
        <w:spacing w:before="156" w:beforeLines="50" w:after="156" w:afterLines="50" w:line="360" w:lineRule="auto"/>
        <w:ind w:firstLineChars="0"/>
        <w:outlineLvl w:val="0"/>
        <w:rPr>
          <w:rFonts w:ascii="Times New Roman" w:hAnsi="Times New Roman"/>
          <w:bCs/>
          <w:sz w:val="24"/>
        </w:rPr>
      </w:pPr>
      <w:r>
        <w:rPr>
          <w:rFonts w:ascii="Times New Roman" w:hAnsi="Times New Roman"/>
          <w:bCs/>
          <w:sz w:val="24"/>
        </w:rPr>
        <w:t>采购项目测试验收标准（验收内容、验收方法、测试报告等）</w:t>
      </w:r>
    </w:p>
    <w:p>
      <w:pPr>
        <w:spacing w:line="360" w:lineRule="auto"/>
        <w:ind w:firstLine="480" w:firstLineChars="200"/>
        <w:rPr>
          <w:bCs/>
          <w:sz w:val="24"/>
        </w:rPr>
      </w:pPr>
      <w:r>
        <w:rPr>
          <w:rFonts w:hint="eastAsia"/>
          <w:bCs/>
          <w:sz w:val="24"/>
        </w:rPr>
        <w:t>根据CiADS冷冻站系统的使用要求，为指导设备、管道、电气等完工后的调试与验收工作，确保装置最终顺利投入使用，特制定本标准。</w:t>
      </w:r>
    </w:p>
    <w:p>
      <w:pPr>
        <w:spacing w:line="360" w:lineRule="auto"/>
        <w:ind w:firstLine="480" w:firstLineChars="200"/>
        <w:rPr>
          <w:bCs/>
          <w:sz w:val="24"/>
        </w:rPr>
      </w:pPr>
      <w:r>
        <w:rPr>
          <w:rFonts w:hint="eastAsia"/>
          <w:bCs/>
          <w:sz w:val="24"/>
        </w:rPr>
        <w:t>本标准为CiADS冷冻站系统验收的指导性文件，是招标文件的一部分，对中标方具有合同约束力。中标方在中标后，需要根据本大纲的要求细化实施方案，并对可能出现的问题提出解决预案。调试、验收实施方案作为二次设计材料的一部分一并提交。交中科院近代物理研究所审定后实施。</w:t>
      </w:r>
    </w:p>
    <w:p>
      <w:pPr>
        <w:spacing w:line="360" w:lineRule="auto"/>
        <w:ind w:firstLine="482" w:firstLineChars="200"/>
        <w:outlineLvl w:val="1"/>
        <w:rPr>
          <w:b/>
          <w:sz w:val="24"/>
        </w:rPr>
      </w:pPr>
      <w:r>
        <w:rPr>
          <w:rFonts w:hint="eastAsia"/>
          <w:b/>
          <w:sz w:val="24"/>
        </w:rPr>
        <w:t>1、概述</w:t>
      </w:r>
    </w:p>
    <w:p>
      <w:pPr>
        <w:pStyle w:val="9"/>
        <w:spacing w:before="156" w:line="360" w:lineRule="auto"/>
        <w:ind w:firstLine="480"/>
        <w:outlineLvl w:val="9"/>
        <w:rPr>
          <w:rFonts w:ascii="Times New Roman" w:hAnsi="Times New Roman" w:eastAsia="宋体"/>
          <w:kern w:val="2"/>
          <w:sz w:val="24"/>
          <w:szCs w:val="24"/>
        </w:rPr>
      </w:pPr>
      <w:r>
        <w:rPr>
          <w:rFonts w:hint="eastAsia" w:ascii="Times New Roman" w:hAnsi="Times New Roman" w:eastAsia="宋体"/>
          <w:kern w:val="2"/>
          <w:sz w:val="24"/>
          <w:szCs w:val="24"/>
        </w:rPr>
        <w:t>招标文件提供的关于CiADS冷冻站系统的设计说明，包括冷冻水设备、冷却水设备、旁流水处理设备、配电及控制设备、水管及附件、阀门、电缆及附件等。它提出了上述设备和材料的一些技术要求，包括功能设计、技术参数、性能、结构、材质、安装和试验等方面，施工过程必须完全符合其要求，否则视为验收不合格。</w:t>
      </w:r>
    </w:p>
    <w:p>
      <w:pPr>
        <w:pStyle w:val="9"/>
        <w:spacing w:before="156" w:line="360" w:lineRule="auto"/>
        <w:ind w:firstLine="480"/>
        <w:outlineLvl w:val="9"/>
        <w:rPr>
          <w:rFonts w:ascii="Times New Roman" w:hAnsi="Times New Roman" w:eastAsia="宋体"/>
          <w:kern w:val="2"/>
          <w:sz w:val="24"/>
          <w:szCs w:val="24"/>
        </w:rPr>
      </w:pPr>
      <w:r>
        <w:rPr>
          <w:rFonts w:hint="eastAsia" w:ascii="Times New Roman" w:hAnsi="Times New Roman" w:eastAsia="宋体"/>
          <w:kern w:val="2"/>
          <w:sz w:val="24"/>
          <w:szCs w:val="24"/>
        </w:rPr>
        <w:t>本大纲所引用的标准如遇与卖方所执行的标准发生矛盾时，按较高标准执行。</w:t>
      </w:r>
    </w:p>
    <w:p>
      <w:pPr>
        <w:pStyle w:val="9"/>
        <w:spacing w:before="156" w:line="360" w:lineRule="auto"/>
        <w:ind w:firstLine="480"/>
        <w:outlineLvl w:val="9"/>
        <w:rPr>
          <w:rFonts w:ascii="Times New Roman" w:hAnsi="Times New Roman" w:eastAsia="宋体"/>
          <w:kern w:val="2"/>
          <w:sz w:val="24"/>
          <w:szCs w:val="24"/>
          <w:u w:val="single"/>
        </w:rPr>
      </w:pPr>
      <w:r>
        <w:rPr>
          <w:rFonts w:hint="eastAsia" w:ascii="Times New Roman" w:hAnsi="Times New Roman" w:eastAsia="宋体"/>
          <w:kern w:val="2"/>
          <w:sz w:val="24"/>
          <w:szCs w:val="24"/>
        </w:rPr>
        <w:t>本大纲经买卖双方确定后，作为合同附件，与合同正文具有同等的法律效力</w:t>
      </w:r>
      <w:r>
        <w:rPr>
          <w:rFonts w:hint="eastAsia" w:ascii="Times New Roman" w:hAnsi="Times New Roman" w:eastAsia="宋体"/>
          <w:kern w:val="2"/>
          <w:sz w:val="24"/>
          <w:szCs w:val="24"/>
          <w:u w:val="single"/>
        </w:rPr>
        <w:t>。</w:t>
      </w:r>
    </w:p>
    <w:p>
      <w:pPr>
        <w:pStyle w:val="9"/>
        <w:spacing w:before="156" w:line="360" w:lineRule="auto"/>
        <w:ind w:firstLine="480"/>
        <w:outlineLvl w:val="9"/>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调试、验收是中标方标内工作与义务，调试、验收所产生的计量、设备购置或租赁及对现有设备必要的改造等一切费用由中标方承担，中标方不得以验收需要或相关的任何名目提请费用增补。</w:t>
      </w:r>
    </w:p>
    <w:p>
      <w:pPr>
        <w:tabs>
          <w:tab w:val="left" w:pos="832"/>
        </w:tabs>
        <w:spacing w:line="360" w:lineRule="auto"/>
        <w:ind w:firstLine="480"/>
        <w:outlineLvl w:val="2"/>
        <w:rPr>
          <w:rFonts w:cs="仿宋_GB2312"/>
          <w:b/>
          <w:kern w:val="0"/>
          <w:sz w:val="24"/>
        </w:rPr>
      </w:pPr>
      <w:r>
        <w:rPr>
          <w:rFonts w:hint="eastAsia" w:cs="仿宋_GB2312"/>
          <w:b/>
          <w:kern w:val="0"/>
          <w:sz w:val="24"/>
        </w:rPr>
        <w:t>1.1测试依据标准</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标准及规范</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GB3836《爆炸性气体环境用电气设备》</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GB4208《外壳防护等级（IP 代码）》</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GB50058《爆炸危险环境电力装置设计规范》</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HG/T 20592-2009 《钢质管法兰（PN 系列）》</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HG/T 20553-2011 《化工配管用无缝及焊接钢管尺寸选用系列》</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ASMEB1.20.1Piping Threads</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ASMEB16.5Pipe Flanges and Flanged Fittings. IEC60629Degrees of Protection Provided by Enclosures (IP Code)</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DL/T 5072-2007 《火力发电厂保温油漆设计规程》</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GB150 《压力容器》</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HG/T20677 《橡胶衬里化工设备》</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GB/T50109 《工业用水软化除盐设计规范》</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DL/T588 《水质污染指数测定方法》</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GB/T 30425 《高压直流输电换流阀水冷却设备》</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JB/T 2932 《水处理设备技术条件》</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GB/T50265-2010 《泵站设计规范》</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ISO9001 《质量系统的设计、生产、安装和服务的质量保证体系》</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IEC60034 《旋转电机》</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ISO10816-1 《机械振动》</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ISO2858 《离心泵》</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ASTMB165 《不锈钢法兰》</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GB50260 《电力设施抗震设计规范》</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DL/T801 《大型发电机内冷却水质及系统技术要求》</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JB/ZQ4170-2006 《焊接设计规范》</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GB50014-2016 《室外排水设计规范》</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GB50013-2006 《室外给水设计规范》</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GB50050-2007 《工业循环冷却水处理设计规范》</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GB50231-2009 《机械设备安装工程施工及验收通用规范》</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GB/T14976-2012 《流体输送用不锈钢无缝钢管》</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GB/T12771-2008 《流体输送用不锈钢焊接钢管》</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HG/T20553-2011 《化工配管用无缝及焊接钢管尺寸选用系列》</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HG/T20592-2009 《钢制管法兰、垫片、紧固件》</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GB50264-2013 《工业设备及管道绝热工程设计规范》</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GB50316-2000（2008 版）《工业金属管道设计规范》</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GB50235-2010 《工业金属管道工程施工规范》</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GB50184-2011 《工业金属管道工程施工质量验收规范》</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GB50236-2011 《现场设备、工业管道焊接工程施工及验收规范》</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 50727-2011 《工业设备及管道防腐蚀工程施工质量验收规范》</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GB50185- 2000 《工业设备及管道绝热工程施工质量验收规范》</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GB50231- 2009 《机械设备安装工程施工及验收通用规范》</w:t>
      </w:r>
    </w:p>
    <w:p>
      <w:pPr>
        <w:pStyle w:val="9"/>
        <w:spacing w:before="156"/>
        <w:ind w:firstLine="480"/>
        <w:outlineLvl w:val="9"/>
        <w:rPr>
          <w:rFonts w:ascii="Times New Roman" w:hAnsi="Times New Roman" w:eastAsia="宋体" w:cs="宋体"/>
          <w:sz w:val="24"/>
          <w:szCs w:val="24"/>
        </w:rPr>
      </w:pPr>
      <w:r>
        <w:rPr>
          <w:rFonts w:hint="eastAsia" w:ascii="Times New Roman" w:hAnsi="Times New Roman" w:eastAsia="宋体" w:cs="宋体"/>
          <w:sz w:val="24"/>
          <w:szCs w:val="24"/>
        </w:rPr>
        <w:t>GB50683-2011 《现场设备、工业管道焊接工程施工质量验收规范》</w:t>
      </w:r>
    </w:p>
    <w:p>
      <w:pPr>
        <w:tabs>
          <w:tab w:val="left" w:pos="832"/>
        </w:tabs>
        <w:spacing w:line="360" w:lineRule="auto"/>
        <w:ind w:firstLine="480"/>
        <w:outlineLvl w:val="2"/>
        <w:rPr>
          <w:rFonts w:cs="仿宋_GB2312"/>
          <w:b/>
          <w:kern w:val="0"/>
          <w:sz w:val="24"/>
        </w:rPr>
      </w:pPr>
      <w:r>
        <w:rPr>
          <w:rFonts w:hint="eastAsia" w:cs="仿宋_GB2312"/>
          <w:b/>
          <w:kern w:val="0"/>
          <w:sz w:val="24"/>
        </w:rPr>
        <w:t>1.2验收的必要条件</w:t>
      </w:r>
    </w:p>
    <w:p>
      <w:pPr>
        <w:pStyle w:val="9"/>
        <w:spacing w:before="156" w:line="360" w:lineRule="auto"/>
        <w:ind w:firstLine="482"/>
        <w:outlineLvl w:val="9"/>
        <w:rPr>
          <w:rFonts w:ascii="Times New Roman" w:hAnsi="Times New Roman" w:eastAsia="宋体"/>
          <w:kern w:val="2"/>
          <w:sz w:val="24"/>
          <w:szCs w:val="24"/>
        </w:rPr>
      </w:pPr>
      <w:r>
        <w:rPr>
          <w:rFonts w:hint="eastAsia" w:ascii="Times New Roman" w:hAnsi="Times New Roman" w:eastAsia="宋体"/>
          <w:kern w:val="2"/>
          <w:sz w:val="24"/>
          <w:szCs w:val="24"/>
        </w:rPr>
        <w:t>系统设备（冷却塔、循环泵组、板换、纯水设备）及管道、阀门附件就位并安装完成，系统试压合格、管道冲洗完毕。同时，电气系统安装完成，设备通讯、启停、报警、测试合格，测点数据通讯正常，仪器仪表计量合格，具备完善的控制与数据采集功能。</w:t>
      </w:r>
    </w:p>
    <w:p>
      <w:pPr>
        <w:spacing w:line="360" w:lineRule="auto"/>
        <w:ind w:firstLine="482" w:firstLineChars="200"/>
        <w:outlineLvl w:val="1"/>
        <w:rPr>
          <w:b/>
          <w:sz w:val="24"/>
        </w:rPr>
      </w:pPr>
      <w:r>
        <w:rPr>
          <w:rFonts w:hint="eastAsia"/>
          <w:b/>
          <w:sz w:val="24"/>
        </w:rPr>
        <w:t>2、验收工作的主要内容</w:t>
      </w:r>
    </w:p>
    <w:p>
      <w:pPr>
        <w:pStyle w:val="9"/>
        <w:spacing w:before="156" w:line="360" w:lineRule="auto"/>
        <w:ind w:firstLine="480" w:firstLineChars="200"/>
        <w:outlineLvl w:val="9"/>
        <w:rPr>
          <w:rFonts w:ascii="Times New Roman" w:hAnsi="Times New Roman" w:eastAsia="宋体"/>
          <w:kern w:val="2"/>
          <w:sz w:val="24"/>
          <w:szCs w:val="24"/>
        </w:rPr>
      </w:pPr>
      <w:r>
        <w:rPr>
          <w:rFonts w:hint="eastAsia" w:ascii="Times New Roman" w:hAnsi="Times New Roman" w:eastAsia="宋体"/>
          <w:kern w:val="2"/>
          <w:sz w:val="24"/>
          <w:szCs w:val="24"/>
        </w:rPr>
        <w:t>（1）配合招标方完成资产核对：根据合同，对主要设备的数量、规格进行核对与确认。</w:t>
      </w:r>
    </w:p>
    <w:p>
      <w:pPr>
        <w:pStyle w:val="9"/>
        <w:spacing w:beforeLines="0" w:line="360" w:lineRule="auto"/>
        <w:ind w:firstLine="480" w:firstLineChars="200"/>
        <w:outlineLvl w:val="9"/>
        <w:rPr>
          <w:rFonts w:ascii="Times New Roman" w:hAnsi="Times New Roman" w:eastAsia="宋体"/>
          <w:kern w:val="2"/>
          <w:sz w:val="24"/>
          <w:szCs w:val="24"/>
        </w:rPr>
      </w:pPr>
      <w:r>
        <w:rPr>
          <w:rFonts w:hint="eastAsia" w:ascii="Times New Roman" w:hAnsi="Times New Roman" w:eastAsia="宋体"/>
          <w:kern w:val="2"/>
          <w:sz w:val="24"/>
          <w:szCs w:val="24"/>
        </w:rPr>
        <w:t>（2）配合招标方对管道工艺（管道焊接、支架规格）等重要工艺进行抽检、认证。</w:t>
      </w:r>
    </w:p>
    <w:p>
      <w:pPr>
        <w:pStyle w:val="9"/>
        <w:spacing w:beforeLines="0" w:line="360" w:lineRule="auto"/>
        <w:ind w:firstLine="480" w:firstLineChars="200"/>
        <w:outlineLvl w:val="9"/>
        <w:rPr>
          <w:rFonts w:ascii="Times New Roman" w:hAnsi="Times New Roman" w:eastAsia="宋体"/>
          <w:kern w:val="2"/>
          <w:sz w:val="24"/>
          <w:szCs w:val="24"/>
        </w:rPr>
      </w:pPr>
      <w:r>
        <w:rPr>
          <w:rFonts w:hint="eastAsia" w:ascii="Times New Roman" w:hAnsi="Times New Roman" w:eastAsia="宋体"/>
          <w:kern w:val="2"/>
          <w:sz w:val="24"/>
          <w:szCs w:val="24"/>
        </w:rPr>
        <w:t>（3）依托完备的控制系统，对约定的流量、压力、纯水处理效率进行试运行实验。</w:t>
      </w:r>
    </w:p>
    <w:p>
      <w:pPr>
        <w:pStyle w:val="9"/>
        <w:spacing w:beforeLines="0" w:line="360" w:lineRule="auto"/>
        <w:ind w:firstLine="480" w:firstLineChars="200"/>
        <w:outlineLvl w:val="9"/>
        <w:rPr>
          <w:rFonts w:ascii="Times New Roman" w:hAnsi="Times New Roman" w:eastAsia="宋体"/>
          <w:kern w:val="2"/>
          <w:sz w:val="24"/>
          <w:szCs w:val="24"/>
        </w:rPr>
      </w:pPr>
      <w:r>
        <w:rPr>
          <w:rFonts w:hint="eastAsia" w:ascii="Times New Roman" w:hAnsi="Times New Roman" w:eastAsia="宋体"/>
          <w:kern w:val="2"/>
          <w:sz w:val="24"/>
          <w:szCs w:val="24"/>
        </w:rPr>
        <w:t>（4）完成对招标方人员的培训及相关资料(图纸、说明书、合格证、检验资料等)移交。</w:t>
      </w:r>
    </w:p>
    <w:p>
      <w:pPr>
        <w:spacing w:line="360" w:lineRule="auto"/>
        <w:ind w:firstLine="482" w:firstLineChars="200"/>
        <w:outlineLvl w:val="1"/>
        <w:rPr>
          <w:b/>
          <w:sz w:val="24"/>
        </w:rPr>
      </w:pPr>
      <w:r>
        <w:rPr>
          <w:rFonts w:hint="eastAsia"/>
          <w:b/>
          <w:sz w:val="24"/>
        </w:rPr>
        <w:t>3、验收主要指标</w:t>
      </w:r>
    </w:p>
    <w:p>
      <w:pPr>
        <w:pStyle w:val="9"/>
        <w:spacing w:before="156" w:line="360" w:lineRule="auto"/>
        <w:ind w:firstLine="480" w:firstLineChars="200"/>
        <w:outlineLvl w:val="9"/>
        <w:rPr>
          <w:rFonts w:ascii="Times New Roman" w:hAnsi="Times New Roman" w:eastAsia="宋体"/>
          <w:kern w:val="2"/>
          <w:sz w:val="24"/>
          <w:szCs w:val="24"/>
        </w:rPr>
      </w:pPr>
      <w:r>
        <w:rPr>
          <w:rFonts w:hint="eastAsia" w:ascii="Times New Roman" w:hAnsi="Times New Roman" w:eastAsia="宋体"/>
          <w:kern w:val="2"/>
          <w:sz w:val="24"/>
          <w:szCs w:val="24"/>
        </w:rPr>
        <w:t>指标确立的目的在于验证试验装置是否已达到设计要求，能否完全满足招标方的使用需求。指标的提出应精简、明确，对于有代表性的工况进行提炼和科学性的验证。</w:t>
      </w:r>
    </w:p>
    <w:p>
      <w:pPr>
        <w:pStyle w:val="9"/>
        <w:spacing w:beforeLines="0" w:line="360" w:lineRule="auto"/>
        <w:ind w:firstLine="480" w:firstLineChars="200"/>
        <w:outlineLvl w:val="9"/>
        <w:rPr>
          <w:rFonts w:ascii="Times New Roman" w:hAnsi="Times New Roman" w:eastAsia="宋体"/>
          <w:kern w:val="2"/>
          <w:sz w:val="24"/>
          <w:szCs w:val="24"/>
          <w:u w:val="single"/>
        </w:rPr>
      </w:pPr>
      <w:r>
        <w:rPr>
          <w:rFonts w:hint="eastAsia" w:ascii="Times New Roman" w:hAnsi="Times New Roman" w:eastAsia="宋体"/>
          <w:kern w:val="2"/>
          <w:sz w:val="24"/>
          <w:szCs w:val="24"/>
        </w:rPr>
        <w:t>双方对验收标准约定如下（详见招标文件-招标需求）</w:t>
      </w:r>
    </w:p>
    <w:p>
      <w:pPr>
        <w:spacing w:line="360" w:lineRule="auto"/>
        <w:ind w:firstLine="482" w:firstLineChars="200"/>
        <w:outlineLvl w:val="1"/>
        <w:rPr>
          <w:b/>
          <w:sz w:val="24"/>
        </w:rPr>
      </w:pPr>
      <w:r>
        <w:rPr>
          <w:rFonts w:hint="eastAsia"/>
          <w:b/>
          <w:sz w:val="24"/>
        </w:rPr>
        <w:t>4、验收工作</w:t>
      </w:r>
    </w:p>
    <w:p>
      <w:pPr>
        <w:tabs>
          <w:tab w:val="left" w:pos="832"/>
        </w:tabs>
        <w:spacing w:line="360" w:lineRule="auto"/>
        <w:ind w:firstLine="480"/>
        <w:outlineLvl w:val="2"/>
        <w:rPr>
          <w:rFonts w:cs="仿宋_GB2312"/>
          <w:b/>
          <w:kern w:val="0"/>
          <w:sz w:val="24"/>
        </w:rPr>
      </w:pPr>
      <w:r>
        <w:rPr>
          <w:rFonts w:hint="eastAsia" w:cs="仿宋_GB2312"/>
          <w:b/>
          <w:kern w:val="0"/>
          <w:sz w:val="24"/>
        </w:rPr>
        <w:t>4.1设备资产与形制验收</w:t>
      </w:r>
    </w:p>
    <w:p>
      <w:pPr>
        <w:pStyle w:val="9"/>
        <w:spacing w:before="156" w:line="360" w:lineRule="auto"/>
        <w:ind w:firstLine="480" w:firstLineChars="200"/>
        <w:outlineLvl w:val="9"/>
        <w:rPr>
          <w:rFonts w:ascii="Times New Roman" w:hAnsi="Times New Roman" w:eastAsia="宋体"/>
          <w:kern w:val="2"/>
          <w:sz w:val="24"/>
          <w:szCs w:val="24"/>
        </w:rPr>
      </w:pPr>
      <w:r>
        <w:rPr>
          <w:rFonts w:hint="eastAsia" w:ascii="Times New Roman" w:hAnsi="Times New Roman" w:eastAsia="宋体"/>
          <w:kern w:val="2"/>
          <w:sz w:val="24"/>
          <w:szCs w:val="24"/>
        </w:rPr>
        <w:t>（1）装置已完工，设计图纸的工程量结束。</w:t>
      </w:r>
    </w:p>
    <w:p>
      <w:pPr>
        <w:pStyle w:val="9"/>
        <w:spacing w:beforeLines="0" w:line="360" w:lineRule="auto"/>
        <w:ind w:firstLine="480" w:firstLineChars="200"/>
        <w:outlineLvl w:val="9"/>
        <w:rPr>
          <w:rFonts w:ascii="Times New Roman" w:hAnsi="Times New Roman" w:eastAsia="宋体"/>
          <w:kern w:val="2"/>
          <w:sz w:val="24"/>
          <w:szCs w:val="24"/>
        </w:rPr>
      </w:pPr>
      <w:r>
        <w:rPr>
          <w:rFonts w:hint="eastAsia" w:ascii="Times New Roman" w:hAnsi="Times New Roman" w:eastAsia="宋体"/>
          <w:kern w:val="2"/>
          <w:sz w:val="24"/>
          <w:szCs w:val="24"/>
        </w:rPr>
        <w:t>（2）设备形制完整、数量正确、配件齐全主要设备规格、数量应与合同内容相符，或性能更优。</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4.1.1设备核对</w:t>
      </w:r>
    </w:p>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验收表1：主要设备核对表（待合同签订后录入）</w:t>
      </w:r>
    </w:p>
    <w:tbl>
      <w:tblPr>
        <w:tblStyle w:val="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1420"/>
        <w:gridCol w:w="1420"/>
        <w:gridCol w:w="1420"/>
        <w:gridCol w:w="1420"/>
        <w:gridCol w:w="14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20" w:type="dxa"/>
            <w:vAlign w:val="center"/>
          </w:tcPr>
          <w:p>
            <w:pPr>
              <w:jc w:val="center"/>
              <w:rPr>
                <w:rFonts w:cs="宋体"/>
                <w:sz w:val="24"/>
              </w:rPr>
            </w:pPr>
            <w:r>
              <w:rPr>
                <w:rFonts w:hint="eastAsia" w:cs="宋体"/>
                <w:sz w:val="24"/>
              </w:rPr>
              <w:t>设备</w:t>
            </w:r>
          </w:p>
        </w:tc>
        <w:tc>
          <w:tcPr>
            <w:tcW w:w="1420" w:type="dxa"/>
            <w:vAlign w:val="center"/>
          </w:tcPr>
          <w:p>
            <w:pPr>
              <w:jc w:val="center"/>
              <w:rPr>
                <w:rFonts w:cs="宋体"/>
                <w:sz w:val="24"/>
              </w:rPr>
            </w:pPr>
            <w:r>
              <w:rPr>
                <w:rFonts w:hint="eastAsia" w:cs="宋体"/>
                <w:sz w:val="24"/>
              </w:rPr>
              <w:t>型号规格</w:t>
            </w:r>
          </w:p>
        </w:tc>
        <w:tc>
          <w:tcPr>
            <w:tcW w:w="1420" w:type="dxa"/>
            <w:vAlign w:val="center"/>
          </w:tcPr>
          <w:p>
            <w:pPr>
              <w:jc w:val="center"/>
              <w:rPr>
                <w:rFonts w:cs="宋体"/>
                <w:sz w:val="24"/>
              </w:rPr>
            </w:pPr>
            <w:r>
              <w:rPr>
                <w:rFonts w:hint="eastAsia" w:cs="宋体"/>
                <w:sz w:val="24"/>
              </w:rPr>
              <w:t>品牌</w:t>
            </w:r>
          </w:p>
        </w:tc>
        <w:tc>
          <w:tcPr>
            <w:tcW w:w="1420" w:type="dxa"/>
            <w:vAlign w:val="center"/>
          </w:tcPr>
          <w:p>
            <w:pPr>
              <w:jc w:val="center"/>
              <w:rPr>
                <w:rFonts w:cs="宋体"/>
                <w:sz w:val="24"/>
              </w:rPr>
            </w:pPr>
            <w:r>
              <w:rPr>
                <w:rFonts w:hint="eastAsia" w:cs="宋体"/>
                <w:sz w:val="24"/>
              </w:rPr>
              <w:t>工位</w:t>
            </w:r>
          </w:p>
        </w:tc>
        <w:tc>
          <w:tcPr>
            <w:tcW w:w="1420" w:type="dxa"/>
            <w:vAlign w:val="center"/>
          </w:tcPr>
          <w:p>
            <w:pPr>
              <w:jc w:val="center"/>
              <w:rPr>
                <w:rFonts w:cs="宋体"/>
                <w:sz w:val="24"/>
              </w:rPr>
            </w:pPr>
            <w:r>
              <w:rPr>
                <w:rFonts w:hint="eastAsia" w:cs="宋体"/>
                <w:sz w:val="24"/>
              </w:rPr>
              <w:t>是否与合同（招标文件）一致</w:t>
            </w:r>
          </w:p>
        </w:tc>
        <w:tc>
          <w:tcPr>
            <w:tcW w:w="1422" w:type="dxa"/>
            <w:vAlign w:val="center"/>
          </w:tcPr>
          <w:p>
            <w:pPr>
              <w:jc w:val="center"/>
              <w:rPr>
                <w:rFonts w:cs="宋体"/>
                <w:sz w:val="24"/>
              </w:rPr>
            </w:pPr>
            <w:r>
              <w:rPr>
                <w:rFonts w:hint="eastAsia" w:cs="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20" w:type="dxa"/>
            <w:vAlign w:val="center"/>
          </w:tcPr>
          <w:p>
            <w:pPr>
              <w:jc w:val="center"/>
              <w:rPr>
                <w:rFonts w:cs="宋体"/>
                <w:sz w:val="24"/>
              </w:rPr>
            </w:pPr>
            <w:r>
              <w:rPr>
                <w:rFonts w:hint="eastAsia" w:cs="宋体"/>
                <w:sz w:val="24"/>
              </w:rPr>
              <w:t>XX冷水机组</w:t>
            </w:r>
          </w:p>
        </w:tc>
        <w:tc>
          <w:tcPr>
            <w:tcW w:w="1420" w:type="dxa"/>
            <w:vAlign w:val="center"/>
          </w:tcPr>
          <w:p>
            <w:pPr>
              <w:jc w:val="center"/>
              <w:rPr>
                <w:rFonts w:cs="宋体"/>
                <w:sz w:val="24"/>
              </w:rPr>
            </w:pPr>
            <w:r>
              <w:rPr>
                <w:rFonts w:hint="eastAsia" w:cs="宋体"/>
                <w:sz w:val="24"/>
              </w:rPr>
              <w:t>XX</w:t>
            </w:r>
          </w:p>
        </w:tc>
        <w:tc>
          <w:tcPr>
            <w:tcW w:w="1420" w:type="dxa"/>
            <w:vAlign w:val="center"/>
          </w:tcPr>
          <w:p>
            <w:pPr>
              <w:jc w:val="center"/>
              <w:rPr>
                <w:rFonts w:cs="宋体"/>
                <w:sz w:val="24"/>
              </w:rPr>
            </w:pPr>
            <w:r>
              <w:rPr>
                <w:rFonts w:hint="eastAsia" w:cs="宋体"/>
                <w:sz w:val="24"/>
              </w:rPr>
              <w:t>XX</w:t>
            </w:r>
          </w:p>
        </w:tc>
        <w:tc>
          <w:tcPr>
            <w:tcW w:w="1420" w:type="dxa"/>
            <w:vAlign w:val="center"/>
          </w:tcPr>
          <w:p>
            <w:pPr>
              <w:jc w:val="center"/>
              <w:rPr>
                <w:rFonts w:cs="宋体"/>
                <w:sz w:val="24"/>
              </w:rPr>
            </w:pPr>
            <w:r>
              <w:rPr>
                <w:rFonts w:hint="eastAsia" w:cs="宋体"/>
                <w:sz w:val="24"/>
              </w:rPr>
              <w:t>1</w:t>
            </w:r>
          </w:p>
        </w:tc>
        <w:tc>
          <w:tcPr>
            <w:tcW w:w="1420" w:type="dxa"/>
            <w:vAlign w:val="center"/>
          </w:tcPr>
          <w:p>
            <w:pPr>
              <w:jc w:val="center"/>
              <w:rPr>
                <w:rFonts w:cs="宋体"/>
                <w:sz w:val="24"/>
              </w:rPr>
            </w:pPr>
            <w:r>
              <w:rPr>
                <w:rFonts w:ascii="Segoe UI Symbol" w:hAnsi="Segoe UI Symbol" w:cs="Segoe UI Symbol"/>
                <w:sz w:val="24"/>
              </w:rPr>
              <w:t>☑</w:t>
            </w:r>
            <w:r>
              <w:rPr>
                <w:rFonts w:hint="eastAsia" w:cs="宋体"/>
                <w:sz w:val="24"/>
              </w:rPr>
              <w:t xml:space="preserve"> 是 □ 否</w:t>
            </w:r>
          </w:p>
        </w:tc>
        <w:tc>
          <w:tcPr>
            <w:tcW w:w="1422" w:type="dxa"/>
            <w:vAlign w:val="center"/>
          </w:tcPr>
          <w:p>
            <w:pPr>
              <w:jc w:val="center"/>
              <w:rPr>
                <w:rFonts w:cs="宋体"/>
                <w:sz w:val="24"/>
              </w:rPr>
            </w:pPr>
            <w:r>
              <w:rPr>
                <w:rFonts w:hint="eastAsia" w:cs="宋体"/>
                <w:sz w:val="24"/>
              </w:rPr>
              <w:t>合格证、说明书情况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20" w:type="dxa"/>
            <w:vAlign w:val="center"/>
          </w:tcPr>
          <w:p>
            <w:pPr>
              <w:jc w:val="center"/>
              <w:rPr>
                <w:rFonts w:cs="宋体"/>
                <w:sz w:val="24"/>
              </w:rPr>
            </w:pPr>
            <w:r>
              <w:rPr>
                <w:rFonts w:hint="eastAsia" w:cs="宋体"/>
                <w:sz w:val="24"/>
              </w:rPr>
              <w:t>XX水泵</w:t>
            </w:r>
          </w:p>
        </w:tc>
        <w:tc>
          <w:tcPr>
            <w:tcW w:w="1420" w:type="dxa"/>
            <w:vAlign w:val="center"/>
          </w:tcPr>
          <w:p>
            <w:pPr>
              <w:jc w:val="center"/>
              <w:rPr>
                <w:rFonts w:cs="宋体"/>
                <w:sz w:val="24"/>
              </w:rPr>
            </w:pPr>
            <w:r>
              <w:rPr>
                <w:rFonts w:hint="eastAsia" w:cs="宋体"/>
                <w:sz w:val="24"/>
              </w:rPr>
              <w:t>...</w:t>
            </w:r>
          </w:p>
        </w:tc>
        <w:tc>
          <w:tcPr>
            <w:tcW w:w="1420" w:type="dxa"/>
            <w:vAlign w:val="center"/>
          </w:tcPr>
          <w:p>
            <w:pPr>
              <w:jc w:val="center"/>
              <w:rPr>
                <w:rFonts w:cs="宋体"/>
                <w:sz w:val="24"/>
              </w:rPr>
            </w:pPr>
            <w:r>
              <w:rPr>
                <w:rFonts w:hint="eastAsia" w:cs="宋体"/>
                <w:sz w:val="24"/>
              </w:rPr>
              <w:t>...</w:t>
            </w:r>
          </w:p>
        </w:tc>
        <w:tc>
          <w:tcPr>
            <w:tcW w:w="1420" w:type="dxa"/>
            <w:vAlign w:val="center"/>
          </w:tcPr>
          <w:p>
            <w:pPr>
              <w:jc w:val="center"/>
              <w:rPr>
                <w:rFonts w:cs="宋体"/>
                <w:sz w:val="24"/>
              </w:rPr>
            </w:pPr>
            <w:r>
              <w:rPr>
                <w:rFonts w:hint="eastAsia" w:cs="宋体"/>
                <w:sz w:val="24"/>
              </w:rPr>
              <w:t>...</w:t>
            </w:r>
          </w:p>
        </w:tc>
        <w:tc>
          <w:tcPr>
            <w:tcW w:w="1420" w:type="dxa"/>
            <w:vAlign w:val="center"/>
          </w:tcPr>
          <w:p>
            <w:pPr>
              <w:jc w:val="center"/>
              <w:rPr>
                <w:rFonts w:cs="宋体"/>
                <w:sz w:val="24"/>
              </w:rPr>
            </w:pPr>
            <w:r>
              <w:rPr>
                <w:rFonts w:hint="eastAsia" w:cs="宋体"/>
                <w:sz w:val="24"/>
              </w:rPr>
              <w:t>...</w:t>
            </w:r>
          </w:p>
        </w:tc>
        <w:tc>
          <w:tcPr>
            <w:tcW w:w="1422" w:type="dxa"/>
            <w:vAlign w:val="center"/>
          </w:tcPr>
          <w:p>
            <w:pPr>
              <w:jc w:val="center"/>
              <w:rPr>
                <w:rFonts w:cs="宋体"/>
                <w:sz w:val="24"/>
              </w:rPr>
            </w:pPr>
            <w:r>
              <w:rPr>
                <w:rFonts w:hint="eastAsia"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20" w:type="dxa"/>
            <w:vAlign w:val="center"/>
          </w:tcPr>
          <w:p>
            <w:pPr>
              <w:jc w:val="center"/>
              <w:rPr>
                <w:rFonts w:cs="宋体"/>
                <w:sz w:val="24"/>
              </w:rPr>
            </w:pPr>
            <w:r>
              <w:rPr>
                <w:rFonts w:hint="eastAsia" w:cs="宋体"/>
                <w:sz w:val="24"/>
              </w:rPr>
              <w:t>XX冷却塔</w:t>
            </w:r>
          </w:p>
        </w:tc>
        <w:tc>
          <w:tcPr>
            <w:tcW w:w="1420" w:type="dxa"/>
            <w:vAlign w:val="center"/>
          </w:tcPr>
          <w:p>
            <w:pPr>
              <w:jc w:val="center"/>
              <w:rPr>
                <w:rFonts w:cs="宋体"/>
                <w:sz w:val="24"/>
              </w:rPr>
            </w:pPr>
            <w:r>
              <w:rPr>
                <w:rFonts w:hint="eastAsia" w:cs="宋体"/>
                <w:sz w:val="24"/>
              </w:rPr>
              <w:t>...</w:t>
            </w:r>
          </w:p>
        </w:tc>
        <w:tc>
          <w:tcPr>
            <w:tcW w:w="1420" w:type="dxa"/>
            <w:vAlign w:val="center"/>
          </w:tcPr>
          <w:p>
            <w:pPr>
              <w:jc w:val="center"/>
              <w:rPr>
                <w:rFonts w:cs="宋体"/>
                <w:sz w:val="24"/>
              </w:rPr>
            </w:pPr>
            <w:r>
              <w:rPr>
                <w:rFonts w:hint="eastAsia" w:cs="宋体"/>
                <w:sz w:val="24"/>
              </w:rPr>
              <w:t>...</w:t>
            </w:r>
          </w:p>
        </w:tc>
        <w:tc>
          <w:tcPr>
            <w:tcW w:w="1420" w:type="dxa"/>
            <w:vAlign w:val="center"/>
          </w:tcPr>
          <w:p>
            <w:pPr>
              <w:jc w:val="center"/>
              <w:rPr>
                <w:rFonts w:cs="宋体"/>
                <w:sz w:val="24"/>
              </w:rPr>
            </w:pPr>
            <w:r>
              <w:rPr>
                <w:rFonts w:hint="eastAsia" w:cs="宋体"/>
                <w:sz w:val="24"/>
              </w:rPr>
              <w:t>...</w:t>
            </w:r>
          </w:p>
        </w:tc>
        <w:tc>
          <w:tcPr>
            <w:tcW w:w="1420" w:type="dxa"/>
            <w:vAlign w:val="center"/>
          </w:tcPr>
          <w:p>
            <w:pPr>
              <w:jc w:val="center"/>
              <w:rPr>
                <w:rFonts w:cs="宋体"/>
                <w:sz w:val="24"/>
              </w:rPr>
            </w:pPr>
            <w:r>
              <w:rPr>
                <w:rFonts w:hint="eastAsia" w:cs="宋体"/>
                <w:sz w:val="24"/>
              </w:rPr>
              <w:t>...</w:t>
            </w:r>
          </w:p>
        </w:tc>
        <w:tc>
          <w:tcPr>
            <w:tcW w:w="1422" w:type="dxa"/>
            <w:vAlign w:val="center"/>
          </w:tcPr>
          <w:p>
            <w:pPr>
              <w:jc w:val="center"/>
              <w:rPr>
                <w:rFonts w:cs="宋体"/>
                <w:sz w:val="24"/>
              </w:rPr>
            </w:pPr>
            <w:r>
              <w:rPr>
                <w:rFonts w:hint="eastAsia"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20" w:type="dxa"/>
            <w:vAlign w:val="center"/>
          </w:tcPr>
          <w:p>
            <w:pPr>
              <w:jc w:val="center"/>
              <w:rPr>
                <w:rFonts w:cs="宋体"/>
                <w:sz w:val="24"/>
              </w:rPr>
            </w:pPr>
          </w:p>
        </w:tc>
        <w:tc>
          <w:tcPr>
            <w:tcW w:w="1420" w:type="dxa"/>
            <w:vAlign w:val="center"/>
          </w:tcPr>
          <w:p>
            <w:pPr>
              <w:jc w:val="center"/>
              <w:rPr>
                <w:rFonts w:cs="宋体"/>
                <w:sz w:val="24"/>
              </w:rPr>
            </w:pPr>
          </w:p>
        </w:tc>
        <w:tc>
          <w:tcPr>
            <w:tcW w:w="1420" w:type="dxa"/>
            <w:vAlign w:val="center"/>
          </w:tcPr>
          <w:p>
            <w:pPr>
              <w:jc w:val="center"/>
              <w:rPr>
                <w:rFonts w:cs="宋体"/>
                <w:sz w:val="24"/>
              </w:rPr>
            </w:pPr>
          </w:p>
        </w:tc>
        <w:tc>
          <w:tcPr>
            <w:tcW w:w="1420" w:type="dxa"/>
            <w:vAlign w:val="center"/>
          </w:tcPr>
          <w:p>
            <w:pPr>
              <w:jc w:val="center"/>
              <w:rPr>
                <w:rFonts w:cs="宋体"/>
                <w:sz w:val="24"/>
              </w:rPr>
            </w:pPr>
          </w:p>
        </w:tc>
        <w:tc>
          <w:tcPr>
            <w:tcW w:w="1420" w:type="dxa"/>
            <w:vAlign w:val="center"/>
          </w:tcPr>
          <w:p>
            <w:pPr>
              <w:jc w:val="center"/>
              <w:rPr>
                <w:rFonts w:cs="宋体"/>
                <w:sz w:val="24"/>
              </w:rPr>
            </w:pPr>
          </w:p>
        </w:tc>
        <w:tc>
          <w:tcPr>
            <w:tcW w:w="1422"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20" w:type="dxa"/>
            <w:vAlign w:val="center"/>
          </w:tcPr>
          <w:p>
            <w:pPr>
              <w:jc w:val="center"/>
              <w:rPr>
                <w:rFonts w:cs="宋体"/>
                <w:sz w:val="24"/>
              </w:rPr>
            </w:pPr>
          </w:p>
        </w:tc>
        <w:tc>
          <w:tcPr>
            <w:tcW w:w="1420" w:type="dxa"/>
            <w:vAlign w:val="center"/>
          </w:tcPr>
          <w:p>
            <w:pPr>
              <w:jc w:val="center"/>
              <w:rPr>
                <w:rFonts w:cs="宋体"/>
                <w:sz w:val="24"/>
              </w:rPr>
            </w:pPr>
          </w:p>
        </w:tc>
        <w:tc>
          <w:tcPr>
            <w:tcW w:w="1420" w:type="dxa"/>
            <w:vAlign w:val="center"/>
          </w:tcPr>
          <w:p>
            <w:pPr>
              <w:jc w:val="center"/>
              <w:rPr>
                <w:rFonts w:cs="宋体"/>
                <w:sz w:val="24"/>
              </w:rPr>
            </w:pPr>
          </w:p>
        </w:tc>
        <w:tc>
          <w:tcPr>
            <w:tcW w:w="1420" w:type="dxa"/>
            <w:vAlign w:val="center"/>
          </w:tcPr>
          <w:p>
            <w:pPr>
              <w:jc w:val="center"/>
              <w:rPr>
                <w:rFonts w:cs="宋体"/>
                <w:sz w:val="24"/>
              </w:rPr>
            </w:pPr>
          </w:p>
        </w:tc>
        <w:tc>
          <w:tcPr>
            <w:tcW w:w="1420" w:type="dxa"/>
            <w:vAlign w:val="center"/>
          </w:tcPr>
          <w:p>
            <w:pPr>
              <w:jc w:val="center"/>
              <w:rPr>
                <w:rFonts w:cs="宋体"/>
                <w:sz w:val="24"/>
              </w:rPr>
            </w:pPr>
          </w:p>
        </w:tc>
        <w:tc>
          <w:tcPr>
            <w:tcW w:w="1422"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420" w:type="dxa"/>
            <w:vAlign w:val="center"/>
          </w:tcPr>
          <w:p>
            <w:pPr>
              <w:jc w:val="center"/>
              <w:rPr>
                <w:rFonts w:cs="宋体"/>
                <w:sz w:val="24"/>
              </w:rPr>
            </w:pPr>
            <w:r>
              <w:rPr>
                <w:rFonts w:hint="eastAsia" w:cs="宋体"/>
                <w:sz w:val="24"/>
              </w:rPr>
              <w:t>招标方代表</w:t>
            </w:r>
          </w:p>
        </w:tc>
        <w:tc>
          <w:tcPr>
            <w:tcW w:w="1420" w:type="dxa"/>
            <w:vAlign w:val="center"/>
          </w:tcPr>
          <w:p>
            <w:pPr>
              <w:jc w:val="center"/>
              <w:rPr>
                <w:rFonts w:cs="宋体"/>
                <w:sz w:val="24"/>
              </w:rPr>
            </w:pPr>
            <w:r>
              <w:rPr>
                <w:rFonts w:hint="eastAsia" w:cs="宋体"/>
                <w:sz w:val="24"/>
              </w:rPr>
              <w:t>（签字）</w:t>
            </w:r>
          </w:p>
        </w:tc>
        <w:tc>
          <w:tcPr>
            <w:tcW w:w="1420" w:type="dxa"/>
            <w:vAlign w:val="center"/>
          </w:tcPr>
          <w:p>
            <w:pPr>
              <w:jc w:val="center"/>
              <w:rPr>
                <w:rFonts w:cs="宋体"/>
                <w:sz w:val="24"/>
              </w:rPr>
            </w:pPr>
            <w:r>
              <w:rPr>
                <w:rFonts w:hint="eastAsia" w:cs="宋体"/>
                <w:sz w:val="24"/>
              </w:rPr>
              <w:t>中标方代表</w:t>
            </w:r>
          </w:p>
        </w:tc>
        <w:tc>
          <w:tcPr>
            <w:tcW w:w="1420" w:type="dxa"/>
            <w:vAlign w:val="center"/>
          </w:tcPr>
          <w:p>
            <w:pPr>
              <w:jc w:val="center"/>
              <w:rPr>
                <w:rFonts w:cs="宋体"/>
                <w:sz w:val="24"/>
              </w:rPr>
            </w:pPr>
            <w:r>
              <w:rPr>
                <w:rFonts w:hint="eastAsia" w:cs="宋体"/>
                <w:sz w:val="24"/>
              </w:rPr>
              <w:t>（签字）</w:t>
            </w:r>
          </w:p>
        </w:tc>
        <w:tc>
          <w:tcPr>
            <w:tcW w:w="1420" w:type="dxa"/>
            <w:vAlign w:val="center"/>
          </w:tcPr>
          <w:p>
            <w:pPr>
              <w:jc w:val="center"/>
              <w:rPr>
                <w:rFonts w:cs="宋体"/>
                <w:sz w:val="24"/>
              </w:rPr>
            </w:pPr>
            <w:r>
              <w:rPr>
                <w:rFonts w:hint="eastAsia" w:cs="宋体"/>
                <w:sz w:val="24"/>
              </w:rPr>
              <w:t>日期</w:t>
            </w:r>
          </w:p>
        </w:tc>
        <w:tc>
          <w:tcPr>
            <w:tcW w:w="1422" w:type="dxa"/>
            <w:vAlign w:val="center"/>
          </w:tcPr>
          <w:p>
            <w:pPr>
              <w:jc w:val="right"/>
              <w:rPr>
                <w:rFonts w:cs="宋体"/>
                <w:sz w:val="24"/>
              </w:rPr>
            </w:pPr>
            <w:r>
              <w:rPr>
                <w:rFonts w:hint="eastAsia" w:cs="宋体"/>
                <w:sz w:val="24"/>
              </w:rPr>
              <w:t>年  月  日</w:t>
            </w:r>
          </w:p>
        </w:tc>
      </w:tr>
    </w:tbl>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4.1.2仪器仪表核对</w:t>
      </w:r>
    </w:p>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验收表2：仪器仪表核对表（待完工后录入）</w:t>
      </w:r>
    </w:p>
    <w:tbl>
      <w:tblPr>
        <w:tblStyle w:val="6"/>
        <w:tblW w:w="8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7"/>
        <w:gridCol w:w="1217"/>
        <w:gridCol w:w="1217"/>
        <w:gridCol w:w="1217"/>
        <w:gridCol w:w="1217"/>
        <w:gridCol w:w="1218"/>
        <w:gridCol w:w="1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17" w:type="dxa"/>
            <w:vAlign w:val="center"/>
          </w:tcPr>
          <w:p>
            <w:pPr>
              <w:jc w:val="center"/>
              <w:rPr>
                <w:rFonts w:cs="宋体"/>
                <w:sz w:val="24"/>
              </w:rPr>
            </w:pPr>
            <w:r>
              <w:rPr>
                <w:rFonts w:hint="eastAsia" w:cs="宋体"/>
                <w:sz w:val="24"/>
              </w:rPr>
              <w:t>传感器</w:t>
            </w:r>
          </w:p>
        </w:tc>
        <w:tc>
          <w:tcPr>
            <w:tcW w:w="1217" w:type="dxa"/>
            <w:vAlign w:val="center"/>
          </w:tcPr>
          <w:p>
            <w:pPr>
              <w:jc w:val="center"/>
              <w:rPr>
                <w:rFonts w:cs="宋体"/>
                <w:sz w:val="24"/>
              </w:rPr>
            </w:pPr>
            <w:r>
              <w:rPr>
                <w:rFonts w:hint="eastAsia" w:cs="宋体"/>
                <w:sz w:val="24"/>
              </w:rPr>
              <w:t>型号规格</w:t>
            </w:r>
          </w:p>
        </w:tc>
        <w:tc>
          <w:tcPr>
            <w:tcW w:w="1217" w:type="dxa"/>
            <w:vAlign w:val="center"/>
          </w:tcPr>
          <w:p>
            <w:pPr>
              <w:jc w:val="center"/>
              <w:rPr>
                <w:rFonts w:cs="宋体"/>
                <w:sz w:val="24"/>
              </w:rPr>
            </w:pPr>
            <w:r>
              <w:rPr>
                <w:rFonts w:hint="eastAsia" w:cs="宋体"/>
                <w:sz w:val="24"/>
              </w:rPr>
              <w:t>品牌</w:t>
            </w:r>
          </w:p>
        </w:tc>
        <w:tc>
          <w:tcPr>
            <w:tcW w:w="1217" w:type="dxa"/>
            <w:vAlign w:val="center"/>
          </w:tcPr>
          <w:p>
            <w:pPr>
              <w:jc w:val="center"/>
              <w:rPr>
                <w:rFonts w:cs="宋体"/>
                <w:sz w:val="24"/>
              </w:rPr>
            </w:pPr>
            <w:r>
              <w:rPr>
                <w:rFonts w:hint="eastAsia" w:cs="宋体"/>
                <w:sz w:val="24"/>
              </w:rPr>
              <w:t>工位</w:t>
            </w:r>
          </w:p>
        </w:tc>
        <w:tc>
          <w:tcPr>
            <w:tcW w:w="1217" w:type="dxa"/>
            <w:vAlign w:val="center"/>
          </w:tcPr>
          <w:p>
            <w:pPr>
              <w:jc w:val="center"/>
              <w:rPr>
                <w:rFonts w:cs="宋体"/>
                <w:sz w:val="24"/>
              </w:rPr>
            </w:pPr>
            <w:r>
              <w:rPr>
                <w:rFonts w:hint="eastAsia" w:cs="宋体"/>
                <w:sz w:val="24"/>
              </w:rPr>
              <w:t>是否与合同（招标文件）一致</w:t>
            </w:r>
          </w:p>
        </w:tc>
        <w:tc>
          <w:tcPr>
            <w:tcW w:w="1218" w:type="dxa"/>
            <w:vAlign w:val="center"/>
          </w:tcPr>
          <w:p>
            <w:pPr>
              <w:jc w:val="center"/>
              <w:rPr>
                <w:rFonts w:cs="宋体"/>
                <w:sz w:val="24"/>
              </w:rPr>
            </w:pPr>
            <w:r>
              <w:rPr>
                <w:rFonts w:hint="eastAsia" w:cs="宋体"/>
                <w:sz w:val="24"/>
              </w:rPr>
              <w:t>修正值</w:t>
            </w:r>
          </w:p>
          <w:p>
            <w:pPr>
              <w:jc w:val="center"/>
              <w:rPr>
                <w:rFonts w:cs="宋体"/>
                <w:sz w:val="24"/>
              </w:rPr>
            </w:pPr>
            <w:r>
              <w:rPr>
                <w:rFonts w:hint="eastAsia" w:cs="宋体"/>
                <w:sz w:val="24"/>
              </w:rPr>
              <w:t>（可附表）</w:t>
            </w:r>
          </w:p>
        </w:tc>
        <w:tc>
          <w:tcPr>
            <w:tcW w:w="1218" w:type="dxa"/>
            <w:vAlign w:val="center"/>
          </w:tcPr>
          <w:p>
            <w:pPr>
              <w:jc w:val="center"/>
              <w:rPr>
                <w:rFonts w:cs="宋体"/>
                <w:sz w:val="24"/>
              </w:rPr>
            </w:pPr>
            <w:r>
              <w:rPr>
                <w:rFonts w:hint="eastAsia" w:cs="宋体"/>
                <w:sz w:val="24"/>
              </w:rPr>
              <w:t>计量证书号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17" w:type="dxa"/>
            <w:vAlign w:val="center"/>
          </w:tcPr>
          <w:p>
            <w:pPr>
              <w:jc w:val="center"/>
              <w:rPr>
                <w:rFonts w:cs="宋体"/>
                <w:sz w:val="24"/>
              </w:rPr>
            </w:pPr>
            <w:r>
              <w:rPr>
                <w:rFonts w:hint="eastAsia" w:cs="宋体"/>
                <w:sz w:val="24"/>
              </w:rPr>
              <w:t>XX压力传感器</w:t>
            </w:r>
          </w:p>
        </w:tc>
        <w:tc>
          <w:tcPr>
            <w:tcW w:w="1217" w:type="dxa"/>
            <w:vAlign w:val="center"/>
          </w:tcPr>
          <w:p>
            <w:pPr>
              <w:jc w:val="center"/>
              <w:rPr>
                <w:rFonts w:cs="宋体"/>
                <w:sz w:val="24"/>
              </w:rPr>
            </w:pPr>
            <w:r>
              <w:rPr>
                <w:rFonts w:hint="eastAsia" w:cs="宋体"/>
                <w:sz w:val="24"/>
              </w:rPr>
              <w:t>XX</w:t>
            </w:r>
          </w:p>
        </w:tc>
        <w:tc>
          <w:tcPr>
            <w:tcW w:w="1217" w:type="dxa"/>
            <w:vAlign w:val="center"/>
          </w:tcPr>
          <w:p>
            <w:pPr>
              <w:jc w:val="center"/>
              <w:rPr>
                <w:rFonts w:cs="宋体"/>
                <w:sz w:val="24"/>
              </w:rPr>
            </w:pPr>
            <w:r>
              <w:rPr>
                <w:rFonts w:hint="eastAsia" w:cs="宋体"/>
                <w:sz w:val="24"/>
              </w:rPr>
              <w:t>XX</w:t>
            </w:r>
          </w:p>
        </w:tc>
        <w:tc>
          <w:tcPr>
            <w:tcW w:w="1217" w:type="dxa"/>
            <w:vAlign w:val="center"/>
          </w:tcPr>
          <w:p>
            <w:pPr>
              <w:jc w:val="center"/>
              <w:rPr>
                <w:rFonts w:cs="宋体"/>
                <w:sz w:val="24"/>
              </w:rPr>
            </w:pPr>
            <w:r>
              <w:rPr>
                <w:rFonts w:hint="eastAsia" w:cs="宋体"/>
                <w:sz w:val="24"/>
              </w:rPr>
              <w:t>1</w:t>
            </w:r>
          </w:p>
        </w:tc>
        <w:tc>
          <w:tcPr>
            <w:tcW w:w="1217" w:type="dxa"/>
            <w:vAlign w:val="center"/>
          </w:tcPr>
          <w:p>
            <w:pPr>
              <w:jc w:val="center"/>
              <w:rPr>
                <w:rFonts w:cs="宋体"/>
                <w:sz w:val="24"/>
              </w:rPr>
            </w:pPr>
            <w:r>
              <w:rPr>
                <w:rFonts w:ascii="Segoe UI Symbol" w:hAnsi="Segoe UI Symbol" w:cs="Segoe UI Symbol"/>
                <w:sz w:val="24"/>
              </w:rPr>
              <w:t>☑</w:t>
            </w:r>
            <w:r>
              <w:rPr>
                <w:rFonts w:hint="eastAsia" w:cs="宋体"/>
                <w:sz w:val="24"/>
              </w:rPr>
              <w:t xml:space="preserve"> 是 □ 否</w:t>
            </w:r>
          </w:p>
        </w:tc>
        <w:tc>
          <w:tcPr>
            <w:tcW w:w="1218" w:type="dxa"/>
            <w:vAlign w:val="center"/>
          </w:tcPr>
          <w:p>
            <w:pPr>
              <w:jc w:val="center"/>
              <w:rPr>
                <w:rFonts w:cs="宋体"/>
                <w:sz w:val="24"/>
              </w:rPr>
            </w:pPr>
            <w:r>
              <w:rPr>
                <w:rFonts w:hint="eastAsia" w:cs="宋体"/>
                <w:sz w:val="24"/>
              </w:rPr>
              <w:t>XXX</w:t>
            </w:r>
          </w:p>
        </w:tc>
        <w:tc>
          <w:tcPr>
            <w:tcW w:w="1218"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17" w:type="dxa"/>
            <w:vAlign w:val="center"/>
          </w:tcPr>
          <w:p>
            <w:pPr>
              <w:jc w:val="center"/>
              <w:rPr>
                <w:rFonts w:cs="宋体"/>
                <w:sz w:val="24"/>
              </w:rPr>
            </w:pPr>
            <w:r>
              <w:rPr>
                <w:rFonts w:hint="eastAsia" w:cs="宋体"/>
                <w:sz w:val="24"/>
              </w:rPr>
              <w:t>XX温度传感器</w:t>
            </w:r>
          </w:p>
        </w:tc>
        <w:tc>
          <w:tcPr>
            <w:tcW w:w="1217" w:type="dxa"/>
            <w:vAlign w:val="center"/>
          </w:tcPr>
          <w:p>
            <w:pPr>
              <w:jc w:val="center"/>
              <w:rPr>
                <w:rFonts w:cs="宋体"/>
                <w:sz w:val="24"/>
              </w:rPr>
            </w:pPr>
            <w:r>
              <w:rPr>
                <w:rFonts w:hint="eastAsia" w:cs="宋体"/>
                <w:sz w:val="24"/>
              </w:rPr>
              <w:t>...</w:t>
            </w:r>
          </w:p>
        </w:tc>
        <w:tc>
          <w:tcPr>
            <w:tcW w:w="1217" w:type="dxa"/>
            <w:vAlign w:val="center"/>
          </w:tcPr>
          <w:p>
            <w:pPr>
              <w:jc w:val="center"/>
              <w:rPr>
                <w:rFonts w:cs="宋体"/>
                <w:sz w:val="24"/>
              </w:rPr>
            </w:pPr>
            <w:r>
              <w:rPr>
                <w:rFonts w:hint="eastAsia" w:cs="宋体"/>
                <w:sz w:val="24"/>
              </w:rPr>
              <w:t>...</w:t>
            </w:r>
          </w:p>
        </w:tc>
        <w:tc>
          <w:tcPr>
            <w:tcW w:w="1217" w:type="dxa"/>
            <w:vAlign w:val="center"/>
          </w:tcPr>
          <w:p>
            <w:pPr>
              <w:jc w:val="center"/>
              <w:rPr>
                <w:rFonts w:cs="宋体"/>
                <w:sz w:val="24"/>
              </w:rPr>
            </w:pPr>
            <w:r>
              <w:rPr>
                <w:rFonts w:hint="eastAsia" w:cs="宋体"/>
                <w:sz w:val="24"/>
              </w:rPr>
              <w:t>...</w:t>
            </w:r>
          </w:p>
        </w:tc>
        <w:tc>
          <w:tcPr>
            <w:tcW w:w="1217" w:type="dxa"/>
            <w:vAlign w:val="center"/>
          </w:tcPr>
          <w:p>
            <w:pPr>
              <w:jc w:val="center"/>
              <w:rPr>
                <w:rFonts w:cs="宋体"/>
                <w:sz w:val="24"/>
              </w:rPr>
            </w:pPr>
            <w:r>
              <w:rPr>
                <w:rFonts w:hint="eastAsia" w:cs="宋体"/>
                <w:sz w:val="24"/>
              </w:rPr>
              <w:t>...</w:t>
            </w:r>
          </w:p>
        </w:tc>
        <w:tc>
          <w:tcPr>
            <w:tcW w:w="1218" w:type="dxa"/>
            <w:vAlign w:val="center"/>
          </w:tcPr>
          <w:p>
            <w:pPr>
              <w:jc w:val="center"/>
              <w:rPr>
                <w:rFonts w:cs="宋体"/>
                <w:sz w:val="24"/>
              </w:rPr>
            </w:pPr>
          </w:p>
        </w:tc>
        <w:tc>
          <w:tcPr>
            <w:tcW w:w="1218" w:type="dxa"/>
            <w:vAlign w:val="center"/>
          </w:tcPr>
          <w:p>
            <w:pPr>
              <w:jc w:val="center"/>
              <w:rPr>
                <w:rFonts w:cs="宋体"/>
                <w:sz w:val="24"/>
              </w:rPr>
            </w:pPr>
            <w:r>
              <w:rPr>
                <w:rFonts w:hint="eastAsia"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17" w:type="dxa"/>
            <w:vAlign w:val="center"/>
          </w:tcPr>
          <w:p>
            <w:pPr>
              <w:jc w:val="center"/>
              <w:rPr>
                <w:rFonts w:cs="宋体"/>
                <w:sz w:val="24"/>
              </w:rPr>
            </w:pPr>
          </w:p>
        </w:tc>
        <w:tc>
          <w:tcPr>
            <w:tcW w:w="1217" w:type="dxa"/>
            <w:vAlign w:val="center"/>
          </w:tcPr>
          <w:p>
            <w:pPr>
              <w:jc w:val="center"/>
              <w:rPr>
                <w:rFonts w:cs="宋体"/>
                <w:sz w:val="24"/>
              </w:rPr>
            </w:pPr>
          </w:p>
        </w:tc>
        <w:tc>
          <w:tcPr>
            <w:tcW w:w="1217" w:type="dxa"/>
            <w:vAlign w:val="center"/>
          </w:tcPr>
          <w:p>
            <w:pPr>
              <w:jc w:val="center"/>
              <w:rPr>
                <w:rFonts w:cs="宋体"/>
                <w:sz w:val="24"/>
              </w:rPr>
            </w:pPr>
          </w:p>
        </w:tc>
        <w:tc>
          <w:tcPr>
            <w:tcW w:w="1217" w:type="dxa"/>
            <w:vAlign w:val="center"/>
          </w:tcPr>
          <w:p>
            <w:pPr>
              <w:jc w:val="center"/>
              <w:rPr>
                <w:rFonts w:cs="宋体"/>
                <w:sz w:val="24"/>
              </w:rPr>
            </w:pPr>
          </w:p>
        </w:tc>
        <w:tc>
          <w:tcPr>
            <w:tcW w:w="1217" w:type="dxa"/>
            <w:vAlign w:val="center"/>
          </w:tcPr>
          <w:p>
            <w:pPr>
              <w:jc w:val="center"/>
              <w:rPr>
                <w:rFonts w:cs="宋体"/>
                <w:sz w:val="24"/>
              </w:rPr>
            </w:pPr>
          </w:p>
        </w:tc>
        <w:tc>
          <w:tcPr>
            <w:tcW w:w="1218" w:type="dxa"/>
            <w:vAlign w:val="center"/>
          </w:tcPr>
          <w:p>
            <w:pPr>
              <w:jc w:val="center"/>
              <w:rPr>
                <w:rFonts w:cs="宋体"/>
                <w:sz w:val="24"/>
              </w:rPr>
            </w:pPr>
          </w:p>
        </w:tc>
        <w:tc>
          <w:tcPr>
            <w:tcW w:w="1218"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17" w:type="dxa"/>
            <w:vAlign w:val="center"/>
          </w:tcPr>
          <w:p>
            <w:pPr>
              <w:jc w:val="center"/>
              <w:rPr>
                <w:rFonts w:cs="宋体"/>
                <w:sz w:val="24"/>
              </w:rPr>
            </w:pPr>
            <w:r>
              <w:rPr>
                <w:rFonts w:hint="eastAsia" w:cs="宋体"/>
                <w:sz w:val="24"/>
              </w:rPr>
              <w:t>招标方代表</w:t>
            </w:r>
          </w:p>
        </w:tc>
        <w:tc>
          <w:tcPr>
            <w:tcW w:w="1217" w:type="dxa"/>
            <w:vAlign w:val="center"/>
          </w:tcPr>
          <w:p>
            <w:pPr>
              <w:jc w:val="center"/>
              <w:rPr>
                <w:rFonts w:cs="宋体"/>
                <w:sz w:val="24"/>
              </w:rPr>
            </w:pPr>
            <w:r>
              <w:rPr>
                <w:rFonts w:hint="eastAsia" w:cs="宋体"/>
                <w:sz w:val="24"/>
              </w:rPr>
              <w:t>（签字）</w:t>
            </w:r>
          </w:p>
        </w:tc>
        <w:tc>
          <w:tcPr>
            <w:tcW w:w="1217" w:type="dxa"/>
            <w:vAlign w:val="center"/>
          </w:tcPr>
          <w:p>
            <w:pPr>
              <w:jc w:val="center"/>
              <w:rPr>
                <w:rFonts w:cs="宋体"/>
                <w:sz w:val="24"/>
              </w:rPr>
            </w:pPr>
            <w:r>
              <w:rPr>
                <w:rFonts w:hint="eastAsia" w:cs="宋体"/>
                <w:sz w:val="24"/>
              </w:rPr>
              <w:t>中标方代表</w:t>
            </w:r>
          </w:p>
        </w:tc>
        <w:tc>
          <w:tcPr>
            <w:tcW w:w="1217" w:type="dxa"/>
            <w:vAlign w:val="center"/>
          </w:tcPr>
          <w:p>
            <w:pPr>
              <w:jc w:val="center"/>
              <w:rPr>
                <w:rFonts w:cs="宋体"/>
                <w:sz w:val="24"/>
              </w:rPr>
            </w:pPr>
            <w:r>
              <w:rPr>
                <w:rFonts w:hint="eastAsia" w:cs="宋体"/>
                <w:sz w:val="24"/>
              </w:rPr>
              <w:t>（签字）</w:t>
            </w:r>
          </w:p>
        </w:tc>
        <w:tc>
          <w:tcPr>
            <w:tcW w:w="1217" w:type="dxa"/>
            <w:vAlign w:val="center"/>
          </w:tcPr>
          <w:p>
            <w:pPr>
              <w:jc w:val="center"/>
              <w:rPr>
                <w:rFonts w:cs="宋体"/>
                <w:sz w:val="24"/>
              </w:rPr>
            </w:pPr>
            <w:r>
              <w:rPr>
                <w:rFonts w:hint="eastAsia" w:cs="宋体"/>
                <w:sz w:val="24"/>
              </w:rPr>
              <w:t>日期</w:t>
            </w:r>
          </w:p>
        </w:tc>
        <w:tc>
          <w:tcPr>
            <w:tcW w:w="1218" w:type="dxa"/>
            <w:vAlign w:val="center"/>
          </w:tcPr>
          <w:p>
            <w:pPr>
              <w:jc w:val="right"/>
              <w:rPr>
                <w:rFonts w:cs="宋体"/>
                <w:sz w:val="24"/>
              </w:rPr>
            </w:pPr>
          </w:p>
        </w:tc>
        <w:tc>
          <w:tcPr>
            <w:tcW w:w="1218" w:type="dxa"/>
            <w:vAlign w:val="center"/>
          </w:tcPr>
          <w:p>
            <w:pPr>
              <w:jc w:val="right"/>
              <w:rPr>
                <w:rFonts w:cs="宋体"/>
                <w:sz w:val="24"/>
              </w:rPr>
            </w:pPr>
            <w:r>
              <w:rPr>
                <w:rFonts w:hint="eastAsia" w:cs="宋体"/>
                <w:sz w:val="24"/>
              </w:rPr>
              <w:t>年  月  日</w:t>
            </w:r>
          </w:p>
        </w:tc>
      </w:tr>
    </w:tbl>
    <w:p>
      <w:pPr>
        <w:spacing w:line="360" w:lineRule="auto"/>
        <w:ind w:firstLine="480" w:firstLineChars="200"/>
        <w:rPr>
          <w:rFonts w:cs="仿宋_GB2312"/>
          <w:sz w:val="24"/>
        </w:rPr>
      </w:pPr>
      <w:r>
        <w:rPr>
          <w:rFonts w:hint="eastAsia" w:cs="仿宋_GB2312"/>
          <w:sz w:val="24"/>
        </w:rPr>
        <w:t>注：上表中具备现场计量条件的，应在工位上连接本地的数据采集终端进行计量。不具备现场标定条件的，送交计量站计量。</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4.1.3管道工艺验收</w:t>
      </w:r>
    </w:p>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验收表3：管道工艺验收表</w:t>
      </w:r>
    </w:p>
    <w:tbl>
      <w:tblPr>
        <w:tblStyle w:val="6"/>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6"/>
        <w:gridCol w:w="1066"/>
        <w:gridCol w:w="533"/>
        <w:gridCol w:w="533"/>
        <w:gridCol w:w="1066"/>
        <w:gridCol w:w="1066"/>
        <w:gridCol w:w="429"/>
        <w:gridCol w:w="638"/>
        <w:gridCol w:w="1067"/>
        <w:gridCol w:w="10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66" w:type="dxa"/>
            <w:vAlign w:val="center"/>
          </w:tcPr>
          <w:p>
            <w:pPr>
              <w:jc w:val="center"/>
              <w:rPr>
                <w:rFonts w:cs="宋体"/>
                <w:sz w:val="24"/>
              </w:rPr>
            </w:pPr>
            <w:r>
              <w:rPr>
                <w:rFonts w:hint="eastAsia" w:cs="宋体"/>
                <w:sz w:val="24"/>
              </w:rPr>
              <w:t>管路</w:t>
            </w:r>
          </w:p>
        </w:tc>
        <w:tc>
          <w:tcPr>
            <w:tcW w:w="1066" w:type="dxa"/>
            <w:vAlign w:val="center"/>
          </w:tcPr>
          <w:p>
            <w:pPr>
              <w:jc w:val="center"/>
              <w:rPr>
                <w:rFonts w:cs="宋体"/>
                <w:sz w:val="24"/>
              </w:rPr>
            </w:pPr>
            <w:r>
              <w:rPr>
                <w:rFonts w:hint="eastAsia" w:cs="宋体"/>
                <w:sz w:val="24"/>
              </w:rPr>
              <w:t>型号规格（管径、壁厚）</w:t>
            </w:r>
          </w:p>
        </w:tc>
        <w:tc>
          <w:tcPr>
            <w:tcW w:w="1066" w:type="dxa"/>
            <w:gridSpan w:val="2"/>
            <w:vAlign w:val="center"/>
          </w:tcPr>
          <w:p>
            <w:pPr>
              <w:jc w:val="center"/>
              <w:rPr>
                <w:rFonts w:cs="宋体"/>
                <w:sz w:val="24"/>
              </w:rPr>
            </w:pPr>
            <w:r>
              <w:rPr>
                <w:rFonts w:hint="eastAsia" w:cs="宋体"/>
                <w:sz w:val="24"/>
              </w:rPr>
              <w:t>保温（材质、厚度）</w:t>
            </w:r>
          </w:p>
        </w:tc>
        <w:tc>
          <w:tcPr>
            <w:tcW w:w="1066" w:type="dxa"/>
            <w:vAlign w:val="center"/>
          </w:tcPr>
          <w:p>
            <w:pPr>
              <w:jc w:val="center"/>
              <w:rPr>
                <w:rFonts w:cs="宋体"/>
                <w:sz w:val="24"/>
              </w:rPr>
            </w:pPr>
            <w:r>
              <w:rPr>
                <w:rFonts w:hint="eastAsia" w:cs="宋体"/>
                <w:sz w:val="24"/>
              </w:rPr>
              <w:t>是否与合同（招标文件）一致</w:t>
            </w:r>
          </w:p>
        </w:tc>
        <w:tc>
          <w:tcPr>
            <w:tcW w:w="1066" w:type="dxa"/>
            <w:vAlign w:val="center"/>
          </w:tcPr>
          <w:p>
            <w:pPr>
              <w:jc w:val="center"/>
              <w:rPr>
                <w:rFonts w:cs="宋体"/>
                <w:sz w:val="24"/>
              </w:rPr>
            </w:pPr>
            <w:r>
              <w:rPr>
                <w:rFonts w:hint="eastAsia" w:cs="宋体"/>
                <w:sz w:val="24"/>
              </w:rPr>
              <w:t>焊接工艺是否满足</w:t>
            </w:r>
          </w:p>
        </w:tc>
        <w:tc>
          <w:tcPr>
            <w:tcW w:w="1067" w:type="dxa"/>
            <w:gridSpan w:val="2"/>
            <w:vAlign w:val="center"/>
          </w:tcPr>
          <w:p>
            <w:pPr>
              <w:jc w:val="center"/>
              <w:rPr>
                <w:rFonts w:cs="宋体"/>
                <w:sz w:val="24"/>
              </w:rPr>
            </w:pPr>
            <w:r>
              <w:rPr>
                <w:rFonts w:hint="eastAsia" w:cs="宋体"/>
                <w:sz w:val="24"/>
              </w:rPr>
              <w:t>进厂材料（管道、焊条）登记单编号、合格证编号</w:t>
            </w:r>
          </w:p>
        </w:tc>
        <w:tc>
          <w:tcPr>
            <w:tcW w:w="1067" w:type="dxa"/>
            <w:vAlign w:val="center"/>
          </w:tcPr>
          <w:p>
            <w:pPr>
              <w:jc w:val="center"/>
              <w:rPr>
                <w:rFonts w:cs="宋体"/>
                <w:sz w:val="24"/>
              </w:rPr>
            </w:pPr>
            <w:r>
              <w:rPr>
                <w:rFonts w:hint="eastAsia" w:cs="宋体"/>
                <w:sz w:val="24"/>
              </w:rPr>
              <w:t>打压测试报告</w:t>
            </w:r>
          </w:p>
        </w:tc>
        <w:tc>
          <w:tcPr>
            <w:tcW w:w="1052" w:type="dxa"/>
            <w:vAlign w:val="center"/>
          </w:tcPr>
          <w:p>
            <w:pPr>
              <w:jc w:val="center"/>
              <w:rPr>
                <w:rFonts w:cs="宋体"/>
                <w:sz w:val="24"/>
              </w:rPr>
            </w:pPr>
            <w:r>
              <w:rPr>
                <w:rFonts w:hint="eastAsia" w:cs="宋体"/>
                <w:sz w:val="24"/>
              </w:rPr>
              <w:t>是否委外材料测试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66" w:type="dxa"/>
            <w:vAlign w:val="center"/>
          </w:tcPr>
          <w:p>
            <w:pPr>
              <w:jc w:val="center"/>
              <w:rPr>
                <w:rFonts w:cs="宋体"/>
                <w:sz w:val="24"/>
              </w:rPr>
            </w:pPr>
            <w:r>
              <w:rPr>
                <w:rFonts w:hint="eastAsia" w:cs="宋体"/>
                <w:sz w:val="24"/>
              </w:rPr>
              <w:t>XX回路</w:t>
            </w:r>
          </w:p>
        </w:tc>
        <w:tc>
          <w:tcPr>
            <w:tcW w:w="1066" w:type="dxa"/>
            <w:vAlign w:val="center"/>
          </w:tcPr>
          <w:p>
            <w:pPr>
              <w:jc w:val="center"/>
              <w:rPr>
                <w:rFonts w:cs="宋体"/>
                <w:sz w:val="24"/>
              </w:rPr>
            </w:pPr>
            <w:r>
              <w:rPr>
                <w:rFonts w:hint="eastAsia" w:cs="宋体"/>
                <w:sz w:val="24"/>
              </w:rPr>
              <w:t>DN XX</w:t>
            </w:r>
          </w:p>
        </w:tc>
        <w:tc>
          <w:tcPr>
            <w:tcW w:w="1066" w:type="dxa"/>
            <w:gridSpan w:val="2"/>
            <w:vAlign w:val="center"/>
          </w:tcPr>
          <w:p>
            <w:pPr>
              <w:jc w:val="center"/>
              <w:rPr>
                <w:rFonts w:cs="宋体"/>
                <w:sz w:val="24"/>
              </w:rPr>
            </w:pPr>
            <w:r>
              <w:rPr>
                <w:rFonts w:hint="eastAsia" w:cs="宋体"/>
                <w:sz w:val="24"/>
              </w:rPr>
              <w:t>XX</w:t>
            </w:r>
          </w:p>
        </w:tc>
        <w:tc>
          <w:tcPr>
            <w:tcW w:w="1066" w:type="dxa"/>
            <w:vAlign w:val="center"/>
          </w:tcPr>
          <w:p>
            <w:pPr>
              <w:jc w:val="center"/>
              <w:rPr>
                <w:rFonts w:cs="宋体"/>
                <w:sz w:val="24"/>
              </w:rPr>
            </w:pPr>
            <w:r>
              <w:rPr>
                <w:rFonts w:ascii="Segoe UI Symbol" w:hAnsi="Segoe UI Symbol" w:cs="Segoe UI Symbol"/>
                <w:sz w:val="24"/>
              </w:rPr>
              <w:t>☑</w:t>
            </w:r>
            <w:r>
              <w:rPr>
                <w:rFonts w:hint="eastAsia" w:cs="宋体"/>
                <w:sz w:val="24"/>
              </w:rPr>
              <w:t xml:space="preserve"> 是 □ 否</w:t>
            </w:r>
          </w:p>
        </w:tc>
        <w:tc>
          <w:tcPr>
            <w:tcW w:w="1066" w:type="dxa"/>
            <w:vAlign w:val="center"/>
          </w:tcPr>
          <w:p>
            <w:pPr>
              <w:jc w:val="center"/>
              <w:rPr>
                <w:rFonts w:cs="宋体"/>
                <w:sz w:val="24"/>
              </w:rPr>
            </w:pPr>
            <w:r>
              <w:rPr>
                <w:rFonts w:ascii="Segoe UI Symbol" w:hAnsi="Segoe UI Symbol" w:cs="Segoe UI Symbol"/>
                <w:sz w:val="24"/>
              </w:rPr>
              <w:t>☑</w:t>
            </w:r>
            <w:r>
              <w:rPr>
                <w:rFonts w:hint="eastAsia" w:cs="宋体"/>
                <w:sz w:val="24"/>
              </w:rPr>
              <w:t xml:space="preserve"> 是 □ 否</w:t>
            </w:r>
          </w:p>
        </w:tc>
        <w:tc>
          <w:tcPr>
            <w:tcW w:w="1067" w:type="dxa"/>
            <w:gridSpan w:val="2"/>
            <w:vAlign w:val="center"/>
          </w:tcPr>
          <w:p>
            <w:pPr>
              <w:jc w:val="center"/>
              <w:rPr>
                <w:rFonts w:cs="宋体"/>
                <w:sz w:val="24"/>
              </w:rPr>
            </w:pPr>
            <w:r>
              <w:rPr>
                <w:rFonts w:hint="eastAsia" w:cs="宋体"/>
                <w:sz w:val="24"/>
              </w:rPr>
              <w:t>XXX</w:t>
            </w:r>
          </w:p>
        </w:tc>
        <w:tc>
          <w:tcPr>
            <w:tcW w:w="1067" w:type="dxa"/>
            <w:vAlign w:val="center"/>
          </w:tcPr>
          <w:p>
            <w:pPr>
              <w:jc w:val="center"/>
              <w:rPr>
                <w:rFonts w:cs="宋体"/>
                <w:sz w:val="24"/>
              </w:rPr>
            </w:pPr>
          </w:p>
        </w:tc>
        <w:tc>
          <w:tcPr>
            <w:tcW w:w="1052"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66" w:type="dxa"/>
            <w:vAlign w:val="center"/>
          </w:tcPr>
          <w:p>
            <w:pPr>
              <w:jc w:val="center"/>
              <w:rPr>
                <w:rFonts w:cs="宋体"/>
                <w:sz w:val="24"/>
              </w:rPr>
            </w:pPr>
            <w:r>
              <w:rPr>
                <w:rFonts w:hint="eastAsia" w:cs="宋体"/>
                <w:sz w:val="24"/>
              </w:rPr>
              <w:t>XX回路</w:t>
            </w:r>
          </w:p>
        </w:tc>
        <w:tc>
          <w:tcPr>
            <w:tcW w:w="1066" w:type="dxa"/>
            <w:vAlign w:val="center"/>
          </w:tcPr>
          <w:p>
            <w:pPr>
              <w:jc w:val="center"/>
              <w:rPr>
                <w:rFonts w:cs="宋体"/>
                <w:sz w:val="24"/>
              </w:rPr>
            </w:pPr>
            <w:r>
              <w:rPr>
                <w:rFonts w:hint="eastAsia" w:cs="宋体"/>
                <w:sz w:val="24"/>
              </w:rPr>
              <w:t>...</w:t>
            </w:r>
          </w:p>
        </w:tc>
        <w:tc>
          <w:tcPr>
            <w:tcW w:w="1066" w:type="dxa"/>
            <w:gridSpan w:val="2"/>
            <w:vAlign w:val="center"/>
          </w:tcPr>
          <w:p>
            <w:pPr>
              <w:jc w:val="center"/>
              <w:rPr>
                <w:rFonts w:cs="宋体"/>
                <w:sz w:val="24"/>
              </w:rPr>
            </w:pPr>
            <w:r>
              <w:rPr>
                <w:rFonts w:hint="eastAsia" w:cs="宋体"/>
                <w:sz w:val="24"/>
              </w:rPr>
              <w:t>...</w:t>
            </w:r>
          </w:p>
        </w:tc>
        <w:tc>
          <w:tcPr>
            <w:tcW w:w="1066" w:type="dxa"/>
            <w:vAlign w:val="center"/>
          </w:tcPr>
          <w:p>
            <w:pPr>
              <w:jc w:val="center"/>
              <w:rPr>
                <w:rFonts w:cs="宋体"/>
                <w:sz w:val="24"/>
              </w:rPr>
            </w:pPr>
            <w:r>
              <w:rPr>
                <w:rFonts w:hint="eastAsia" w:cs="宋体"/>
                <w:sz w:val="24"/>
              </w:rPr>
              <w:t>...</w:t>
            </w:r>
          </w:p>
        </w:tc>
        <w:tc>
          <w:tcPr>
            <w:tcW w:w="1066" w:type="dxa"/>
            <w:vAlign w:val="center"/>
          </w:tcPr>
          <w:p>
            <w:pPr>
              <w:jc w:val="center"/>
              <w:rPr>
                <w:rFonts w:cs="宋体"/>
                <w:sz w:val="24"/>
              </w:rPr>
            </w:pPr>
            <w:r>
              <w:rPr>
                <w:rFonts w:hint="eastAsia" w:cs="宋体"/>
                <w:sz w:val="24"/>
              </w:rPr>
              <w:t>...</w:t>
            </w:r>
          </w:p>
        </w:tc>
        <w:tc>
          <w:tcPr>
            <w:tcW w:w="1067" w:type="dxa"/>
            <w:gridSpan w:val="2"/>
            <w:vAlign w:val="center"/>
          </w:tcPr>
          <w:p>
            <w:pPr>
              <w:jc w:val="center"/>
              <w:rPr>
                <w:rFonts w:cs="宋体"/>
                <w:sz w:val="24"/>
              </w:rPr>
            </w:pPr>
          </w:p>
        </w:tc>
        <w:tc>
          <w:tcPr>
            <w:tcW w:w="1067" w:type="dxa"/>
            <w:vAlign w:val="center"/>
          </w:tcPr>
          <w:p>
            <w:pPr>
              <w:jc w:val="center"/>
              <w:rPr>
                <w:rFonts w:cs="宋体"/>
                <w:sz w:val="24"/>
              </w:rPr>
            </w:pPr>
            <w:r>
              <w:rPr>
                <w:rFonts w:hint="eastAsia" w:cs="宋体"/>
                <w:sz w:val="24"/>
              </w:rPr>
              <w:t>...</w:t>
            </w:r>
          </w:p>
        </w:tc>
        <w:tc>
          <w:tcPr>
            <w:tcW w:w="1052"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66" w:type="dxa"/>
            <w:vAlign w:val="center"/>
          </w:tcPr>
          <w:p>
            <w:pPr>
              <w:jc w:val="center"/>
              <w:rPr>
                <w:rFonts w:cs="宋体"/>
                <w:sz w:val="24"/>
              </w:rPr>
            </w:pPr>
          </w:p>
        </w:tc>
        <w:tc>
          <w:tcPr>
            <w:tcW w:w="1066" w:type="dxa"/>
            <w:vAlign w:val="center"/>
          </w:tcPr>
          <w:p>
            <w:pPr>
              <w:jc w:val="center"/>
              <w:rPr>
                <w:rFonts w:cs="宋体"/>
                <w:sz w:val="24"/>
              </w:rPr>
            </w:pPr>
          </w:p>
        </w:tc>
        <w:tc>
          <w:tcPr>
            <w:tcW w:w="1066" w:type="dxa"/>
            <w:gridSpan w:val="2"/>
            <w:vAlign w:val="center"/>
          </w:tcPr>
          <w:p>
            <w:pPr>
              <w:jc w:val="center"/>
              <w:rPr>
                <w:rFonts w:cs="宋体"/>
                <w:sz w:val="24"/>
              </w:rPr>
            </w:pPr>
          </w:p>
        </w:tc>
        <w:tc>
          <w:tcPr>
            <w:tcW w:w="1066" w:type="dxa"/>
            <w:vAlign w:val="center"/>
          </w:tcPr>
          <w:p>
            <w:pPr>
              <w:jc w:val="center"/>
              <w:rPr>
                <w:rFonts w:cs="宋体"/>
                <w:sz w:val="24"/>
              </w:rPr>
            </w:pPr>
          </w:p>
        </w:tc>
        <w:tc>
          <w:tcPr>
            <w:tcW w:w="1066" w:type="dxa"/>
            <w:vAlign w:val="center"/>
          </w:tcPr>
          <w:p>
            <w:pPr>
              <w:jc w:val="center"/>
              <w:rPr>
                <w:rFonts w:cs="宋体"/>
                <w:sz w:val="24"/>
              </w:rPr>
            </w:pPr>
          </w:p>
        </w:tc>
        <w:tc>
          <w:tcPr>
            <w:tcW w:w="1067" w:type="dxa"/>
            <w:gridSpan w:val="2"/>
            <w:vAlign w:val="center"/>
          </w:tcPr>
          <w:p>
            <w:pPr>
              <w:jc w:val="center"/>
              <w:rPr>
                <w:rFonts w:cs="宋体"/>
                <w:sz w:val="24"/>
              </w:rPr>
            </w:pPr>
          </w:p>
        </w:tc>
        <w:tc>
          <w:tcPr>
            <w:tcW w:w="1067" w:type="dxa"/>
            <w:vAlign w:val="center"/>
          </w:tcPr>
          <w:p>
            <w:pPr>
              <w:jc w:val="center"/>
              <w:rPr>
                <w:rFonts w:cs="宋体"/>
                <w:sz w:val="24"/>
              </w:rPr>
            </w:pPr>
          </w:p>
        </w:tc>
        <w:tc>
          <w:tcPr>
            <w:tcW w:w="1052"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66" w:type="dxa"/>
            <w:vAlign w:val="center"/>
          </w:tcPr>
          <w:p>
            <w:pPr>
              <w:jc w:val="center"/>
              <w:rPr>
                <w:rFonts w:cs="宋体"/>
                <w:sz w:val="24"/>
              </w:rPr>
            </w:pPr>
            <w:r>
              <w:rPr>
                <w:rFonts w:hint="eastAsia" w:cs="宋体"/>
                <w:sz w:val="24"/>
              </w:rPr>
              <w:t>招标方代表</w:t>
            </w:r>
          </w:p>
        </w:tc>
        <w:tc>
          <w:tcPr>
            <w:tcW w:w="1599" w:type="dxa"/>
            <w:gridSpan w:val="2"/>
            <w:vAlign w:val="center"/>
          </w:tcPr>
          <w:p>
            <w:pPr>
              <w:jc w:val="center"/>
              <w:rPr>
                <w:rFonts w:cs="宋体"/>
                <w:sz w:val="24"/>
              </w:rPr>
            </w:pPr>
            <w:r>
              <w:rPr>
                <w:rFonts w:hint="eastAsia" w:cs="宋体"/>
                <w:sz w:val="24"/>
              </w:rPr>
              <w:t>（签字）</w:t>
            </w:r>
          </w:p>
        </w:tc>
        <w:tc>
          <w:tcPr>
            <w:tcW w:w="1599" w:type="dxa"/>
            <w:gridSpan w:val="2"/>
            <w:vAlign w:val="center"/>
          </w:tcPr>
          <w:p>
            <w:pPr>
              <w:jc w:val="center"/>
              <w:rPr>
                <w:rFonts w:cs="宋体"/>
                <w:sz w:val="24"/>
              </w:rPr>
            </w:pPr>
            <w:r>
              <w:rPr>
                <w:rFonts w:hint="eastAsia" w:cs="宋体"/>
                <w:sz w:val="24"/>
              </w:rPr>
              <w:t>中标方代表</w:t>
            </w:r>
          </w:p>
        </w:tc>
        <w:tc>
          <w:tcPr>
            <w:tcW w:w="1495" w:type="dxa"/>
            <w:gridSpan w:val="2"/>
            <w:vAlign w:val="center"/>
          </w:tcPr>
          <w:p>
            <w:pPr>
              <w:jc w:val="center"/>
              <w:rPr>
                <w:rFonts w:cs="宋体"/>
                <w:sz w:val="24"/>
              </w:rPr>
            </w:pPr>
            <w:r>
              <w:rPr>
                <w:rFonts w:hint="eastAsia" w:cs="宋体"/>
                <w:sz w:val="24"/>
              </w:rPr>
              <w:t>（签字）</w:t>
            </w:r>
          </w:p>
        </w:tc>
        <w:tc>
          <w:tcPr>
            <w:tcW w:w="638" w:type="dxa"/>
            <w:vAlign w:val="center"/>
          </w:tcPr>
          <w:p>
            <w:pPr>
              <w:jc w:val="right"/>
              <w:rPr>
                <w:rFonts w:cs="宋体"/>
                <w:sz w:val="24"/>
              </w:rPr>
            </w:pPr>
            <w:r>
              <w:rPr>
                <w:rFonts w:hint="eastAsia" w:cs="宋体"/>
                <w:sz w:val="24"/>
              </w:rPr>
              <w:t>日期</w:t>
            </w:r>
          </w:p>
        </w:tc>
        <w:tc>
          <w:tcPr>
            <w:tcW w:w="2119" w:type="dxa"/>
            <w:gridSpan w:val="2"/>
            <w:vAlign w:val="center"/>
          </w:tcPr>
          <w:p>
            <w:pPr>
              <w:jc w:val="right"/>
              <w:rPr>
                <w:rFonts w:cs="宋体"/>
                <w:sz w:val="24"/>
              </w:rPr>
            </w:pPr>
            <w:r>
              <w:rPr>
                <w:rFonts w:hint="eastAsia" w:cs="宋体"/>
                <w:sz w:val="24"/>
              </w:rPr>
              <w:t>年    月    日</w:t>
            </w:r>
          </w:p>
        </w:tc>
      </w:tr>
    </w:tbl>
    <w:p>
      <w:pPr>
        <w:spacing w:line="360" w:lineRule="auto"/>
        <w:ind w:firstLine="480" w:firstLineChars="200"/>
        <w:rPr>
          <w:rFonts w:cs="仿宋_GB2312"/>
          <w:sz w:val="24"/>
        </w:rPr>
      </w:pPr>
      <w:r>
        <w:rPr>
          <w:rFonts w:hint="eastAsia" w:cs="仿宋_GB2312"/>
          <w:sz w:val="24"/>
        </w:rPr>
        <w:t>注：①主管DN100口径以上的管道，乙方有义务保留样管段。便于招标方材料核查。</w:t>
      </w:r>
    </w:p>
    <w:p>
      <w:pPr>
        <w:spacing w:line="360" w:lineRule="auto"/>
        <w:ind w:firstLine="960" w:firstLineChars="400"/>
        <w:rPr>
          <w:rFonts w:cs="仿宋_GB2312"/>
          <w:sz w:val="24"/>
        </w:rPr>
      </w:pPr>
      <w:r>
        <w:rPr>
          <w:rFonts w:hint="eastAsia" w:cs="仿宋_GB2312"/>
          <w:sz w:val="24"/>
        </w:rPr>
        <w:t>②管道焊接施工前，乙方需报备焊接工艺，以备核查。</w:t>
      </w:r>
    </w:p>
    <w:p>
      <w:pPr>
        <w:tabs>
          <w:tab w:val="left" w:pos="832"/>
        </w:tabs>
        <w:spacing w:line="360" w:lineRule="auto"/>
        <w:ind w:firstLine="480"/>
        <w:outlineLvl w:val="2"/>
        <w:rPr>
          <w:rFonts w:cs="仿宋_GB2312"/>
          <w:b/>
          <w:kern w:val="0"/>
          <w:sz w:val="24"/>
        </w:rPr>
      </w:pPr>
      <w:r>
        <w:rPr>
          <w:rFonts w:hint="eastAsia" w:cs="仿宋_GB2312"/>
          <w:b/>
          <w:kern w:val="0"/>
          <w:sz w:val="24"/>
        </w:rPr>
        <w:t>4.2主要性能指标</w:t>
      </w:r>
    </w:p>
    <w:p>
      <w:pPr>
        <w:spacing w:line="360" w:lineRule="auto"/>
        <w:ind w:firstLine="480"/>
        <w:rPr>
          <w:bCs/>
          <w:sz w:val="24"/>
        </w:rPr>
      </w:pPr>
      <w:r>
        <w:rPr>
          <w:rFonts w:hint="eastAsia"/>
          <w:bCs/>
          <w:sz w:val="24"/>
        </w:rPr>
        <w:t>资产核对完成了对设备的资产验收。性能验收试验是为了在实验条件下，尽可能模拟后期使用情况，以验证水冷系统的功能性。</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4.2.1主要设备动作实验</w:t>
      </w:r>
    </w:p>
    <w:p>
      <w:pPr>
        <w:pStyle w:val="9"/>
        <w:spacing w:before="156"/>
        <w:ind w:firstLine="480"/>
        <w:outlineLvl w:val="9"/>
        <w:rPr>
          <w:rFonts w:ascii="Times New Roman" w:hAnsi="Times New Roman" w:eastAsia="宋体"/>
          <w:kern w:val="2"/>
          <w:sz w:val="24"/>
          <w:szCs w:val="24"/>
        </w:rPr>
      </w:pPr>
      <w:r>
        <w:rPr>
          <w:rFonts w:hint="eastAsia" w:ascii="Times New Roman" w:hAnsi="Times New Roman" w:eastAsia="宋体"/>
          <w:kern w:val="2"/>
          <w:sz w:val="24"/>
          <w:szCs w:val="24"/>
        </w:rPr>
        <w:t>设备动作试验，可确保保设备启停、独立运行功能正常，验证设备基本状态的完备，以排除基本的电控问题和故障。同时，对安全性的连锁进行验证。</w:t>
      </w:r>
    </w:p>
    <w:p>
      <w:pPr>
        <w:spacing w:line="360" w:lineRule="auto"/>
        <w:jc w:val="center"/>
        <w:rPr>
          <w:rFonts w:cs="宋体"/>
          <w:sz w:val="24"/>
        </w:rPr>
      </w:pPr>
      <w:r>
        <w:rPr>
          <w:rFonts w:hint="eastAsia" w:cs="宋体"/>
          <w:sz w:val="24"/>
        </w:rPr>
        <w:t>验收表4：主要设备动作试验</w:t>
      </w:r>
    </w:p>
    <w:tbl>
      <w:tblPr>
        <w:tblStyle w:val="6"/>
        <w:tblW w:w="88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964"/>
        <w:gridCol w:w="1701"/>
        <w:gridCol w:w="1701"/>
        <w:gridCol w:w="1701"/>
        <w:gridCol w:w="1701"/>
        <w:gridCol w:w="5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87" w:type="dxa"/>
            <w:vAlign w:val="center"/>
          </w:tcPr>
          <w:p>
            <w:pPr>
              <w:jc w:val="center"/>
              <w:rPr>
                <w:rFonts w:cs="宋体"/>
                <w:sz w:val="24"/>
              </w:rPr>
            </w:pPr>
            <w:r>
              <w:rPr>
                <w:rFonts w:hint="eastAsia" w:cs="宋体"/>
                <w:sz w:val="24"/>
              </w:rPr>
              <w:t>序号</w:t>
            </w:r>
          </w:p>
        </w:tc>
        <w:tc>
          <w:tcPr>
            <w:tcW w:w="964" w:type="dxa"/>
            <w:vAlign w:val="center"/>
          </w:tcPr>
          <w:p>
            <w:pPr>
              <w:jc w:val="center"/>
              <w:rPr>
                <w:rFonts w:cs="宋体"/>
                <w:sz w:val="24"/>
              </w:rPr>
            </w:pPr>
            <w:r>
              <w:rPr>
                <w:rFonts w:hint="eastAsia" w:cs="宋体"/>
                <w:sz w:val="24"/>
              </w:rPr>
              <w:t>实验名称</w:t>
            </w:r>
          </w:p>
        </w:tc>
        <w:tc>
          <w:tcPr>
            <w:tcW w:w="1701" w:type="dxa"/>
            <w:vAlign w:val="center"/>
          </w:tcPr>
          <w:p>
            <w:pPr>
              <w:jc w:val="center"/>
              <w:rPr>
                <w:rFonts w:cs="宋体"/>
                <w:sz w:val="24"/>
              </w:rPr>
            </w:pPr>
            <w:r>
              <w:rPr>
                <w:rFonts w:hint="eastAsia" w:cs="宋体"/>
                <w:sz w:val="24"/>
              </w:rPr>
              <w:t>试验内容</w:t>
            </w:r>
          </w:p>
        </w:tc>
        <w:tc>
          <w:tcPr>
            <w:tcW w:w="1701" w:type="dxa"/>
            <w:vAlign w:val="center"/>
          </w:tcPr>
          <w:p>
            <w:pPr>
              <w:jc w:val="center"/>
              <w:rPr>
                <w:rFonts w:cs="宋体"/>
                <w:sz w:val="24"/>
              </w:rPr>
            </w:pPr>
            <w:r>
              <w:rPr>
                <w:rFonts w:hint="eastAsia" w:cs="宋体"/>
                <w:sz w:val="24"/>
              </w:rPr>
              <w:t>反复性或时间要求</w:t>
            </w:r>
          </w:p>
        </w:tc>
        <w:tc>
          <w:tcPr>
            <w:tcW w:w="1701" w:type="dxa"/>
            <w:vAlign w:val="center"/>
          </w:tcPr>
          <w:p>
            <w:pPr>
              <w:jc w:val="center"/>
              <w:rPr>
                <w:rFonts w:cs="宋体"/>
                <w:sz w:val="24"/>
              </w:rPr>
            </w:pPr>
            <w:r>
              <w:rPr>
                <w:rFonts w:hint="eastAsia" w:cs="宋体"/>
                <w:sz w:val="24"/>
              </w:rPr>
              <w:t>实验目的</w:t>
            </w:r>
          </w:p>
        </w:tc>
        <w:tc>
          <w:tcPr>
            <w:tcW w:w="1701" w:type="dxa"/>
            <w:vAlign w:val="center"/>
          </w:tcPr>
          <w:p>
            <w:pPr>
              <w:jc w:val="center"/>
              <w:rPr>
                <w:rFonts w:cs="宋体"/>
                <w:sz w:val="24"/>
              </w:rPr>
            </w:pPr>
            <w:r>
              <w:rPr>
                <w:rFonts w:hint="eastAsia" w:cs="宋体"/>
                <w:sz w:val="24"/>
              </w:rPr>
              <w:t>实验数据记录</w:t>
            </w:r>
          </w:p>
        </w:tc>
        <w:tc>
          <w:tcPr>
            <w:tcW w:w="535" w:type="dxa"/>
            <w:vAlign w:val="center"/>
          </w:tcPr>
          <w:p>
            <w:pPr>
              <w:jc w:val="center"/>
              <w:rPr>
                <w:rFonts w:cs="宋体"/>
                <w:sz w:val="24"/>
              </w:rPr>
            </w:pPr>
            <w:r>
              <w:rPr>
                <w:rFonts w:hint="eastAsia" w:cs="宋体"/>
                <w:sz w:val="24"/>
              </w:rPr>
              <w:t>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87" w:type="dxa"/>
            <w:vAlign w:val="center"/>
          </w:tcPr>
          <w:p>
            <w:pPr>
              <w:jc w:val="center"/>
              <w:rPr>
                <w:rFonts w:cs="宋体"/>
                <w:sz w:val="24"/>
              </w:rPr>
            </w:pPr>
            <w:r>
              <w:rPr>
                <w:rFonts w:hint="eastAsia" w:cs="宋体"/>
                <w:sz w:val="24"/>
              </w:rPr>
              <w:t>1</w:t>
            </w:r>
          </w:p>
        </w:tc>
        <w:tc>
          <w:tcPr>
            <w:tcW w:w="964" w:type="dxa"/>
            <w:vAlign w:val="center"/>
          </w:tcPr>
          <w:p>
            <w:pPr>
              <w:jc w:val="center"/>
              <w:rPr>
                <w:rFonts w:cs="宋体"/>
                <w:sz w:val="24"/>
              </w:rPr>
            </w:pPr>
            <w:r>
              <w:rPr>
                <w:rFonts w:hint="eastAsia" w:cs="宋体"/>
                <w:sz w:val="24"/>
              </w:rPr>
              <w:t>泵动作实验</w:t>
            </w:r>
          </w:p>
        </w:tc>
        <w:tc>
          <w:tcPr>
            <w:tcW w:w="1701" w:type="dxa"/>
            <w:vAlign w:val="center"/>
          </w:tcPr>
          <w:p>
            <w:pPr>
              <w:jc w:val="left"/>
              <w:rPr>
                <w:rFonts w:cs="宋体"/>
                <w:sz w:val="24"/>
              </w:rPr>
            </w:pPr>
            <w:r>
              <w:rPr>
                <w:rFonts w:hint="eastAsia" w:cs="宋体"/>
                <w:sz w:val="24"/>
              </w:rPr>
              <w:t>控制泵体频率，泵出口阀门开度30%，查看泵体正反转</w:t>
            </w:r>
          </w:p>
        </w:tc>
        <w:tc>
          <w:tcPr>
            <w:tcW w:w="1701" w:type="dxa"/>
            <w:vAlign w:val="center"/>
          </w:tcPr>
          <w:p>
            <w:pPr>
              <w:jc w:val="left"/>
              <w:rPr>
                <w:rFonts w:cs="宋体"/>
                <w:sz w:val="24"/>
              </w:rPr>
            </w:pPr>
            <w:r>
              <w:rPr>
                <w:rFonts w:hint="eastAsia" w:cs="宋体"/>
                <w:sz w:val="24"/>
              </w:rPr>
              <w:t>启动并全频率试运行后关闭。重复2~3次。2min内由0%至100%</w:t>
            </w:r>
          </w:p>
        </w:tc>
        <w:tc>
          <w:tcPr>
            <w:tcW w:w="1701" w:type="dxa"/>
            <w:vAlign w:val="center"/>
          </w:tcPr>
          <w:p>
            <w:pPr>
              <w:jc w:val="left"/>
              <w:rPr>
                <w:rFonts w:cs="宋体"/>
                <w:sz w:val="24"/>
              </w:rPr>
            </w:pPr>
            <w:r>
              <w:rPr>
                <w:rFonts w:hint="eastAsia" w:cs="宋体"/>
                <w:sz w:val="24"/>
              </w:rPr>
              <w:t>控制线路正常</w:t>
            </w:r>
          </w:p>
        </w:tc>
        <w:tc>
          <w:tcPr>
            <w:tcW w:w="1701" w:type="dxa"/>
            <w:vAlign w:val="center"/>
          </w:tcPr>
          <w:p>
            <w:pPr>
              <w:jc w:val="left"/>
              <w:rPr>
                <w:rFonts w:cs="宋体"/>
                <w:sz w:val="24"/>
              </w:rPr>
            </w:pPr>
            <w:r>
              <w:rPr>
                <w:rFonts w:hint="eastAsia" w:cs="宋体"/>
                <w:sz w:val="24"/>
              </w:rPr>
              <w:t>噪音</w:t>
            </w:r>
          </w:p>
          <w:p>
            <w:pPr>
              <w:jc w:val="left"/>
              <w:rPr>
                <w:rFonts w:cs="宋体"/>
                <w:sz w:val="24"/>
              </w:rPr>
            </w:pPr>
            <w:r>
              <w:rPr>
                <w:rFonts w:hint="eastAsia" w:cs="宋体"/>
                <w:sz w:val="24"/>
              </w:rPr>
              <w:t>出口压力</w:t>
            </w:r>
          </w:p>
          <w:p>
            <w:pPr>
              <w:jc w:val="left"/>
              <w:rPr>
                <w:rFonts w:cs="宋体"/>
                <w:sz w:val="24"/>
              </w:rPr>
            </w:pPr>
            <w:r>
              <w:rPr>
                <w:rFonts w:hint="eastAsia" w:cs="宋体"/>
                <w:sz w:val="24"/>
              </w:rPr>
              <w:t>最大电流</w:t>
            </w:r>
          </w:p>
        </w:tc>
        <w:tc>
          <w:tcPr>
            <w:tcW w:w="535"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87" w:type="dxa"/>
            <w:vAlign w:val="center"/>
          </w:tcPr>
          <w:p>
            <w:pPr>
              <w:jc w:val="center"/>
              <w:rPr>
                <w:rFonts w:cs="宋体"/>
                <w:sz w:val="24"/>
              </w:rPr>
            </w:pPr>
            <w:r>
              <w:rPr>
                <w:rFonts w:hint="eastAsia" w:cs="宋体"/>
                <w:sz w:val="24"/>
              </w:rPr>
              <w:t>2</w:t>
            </w:r>
          </w:p>
        </w:tc>
        <w:tc>
          <w:tcPr>
            <w:tcW w:w="964" w:type="dxa"/>
            <w:vAlign w:val="center"/>
          </w:tcPr>
          <w:p>
            <w:pPr>
              <w:jc w:val="center"/>
              <w:rPr>
                <w:rFonts w:cs="宋体"/>
                <w:sz w:val="24"/>
              </w:rPr>
            </w:pPr>
            <w:r>
              <w:rPr>
                <w:rFonts w:hint="eastAsia" w:cs="宋体"/>
                <w:sz w:val="24"/>
              </w:rPr>
              <w:t>阀门动作实验</w:t>
            </w:r>
          </w:p>
        </w:tc>
        <w:tc>
          <w:tcPr>
            <w:tcW w:w="1701" w:type="dxa"/>
            <w:vAlign w:val="center"/>
          </w:tcPr>
          <w:p>
            <w:pPr>
              <w:jc w:val="left"/>
              <w:rPr>
                <w:rFonts w:cs="宋体"/>
                <w:sz w:val="24"/>
              </w:rPr>
            </w:pPr>
            <w:r>
              <w:rPr>
                <w:rFonts w:hint="eastAsia" w:cs="宋体"/>
                <w:sz w:val="24"/>
              </w:rPr>
              <w:t>控制阀门开度或启闭，并核对状态</w:t>
            </w:r>
          </w:p>
        </w:tc>
        <w:tc>
          <w:tcPr>
            <w:tcW w:w="1701" w:type="dxa"/>
            <w:vAlign w:val="center"/>
          </w:tcPr>
          <w:p>
            <w:pPr>
              <w:jc w:val="left"/>
              <w:rPr>
                <w:rFonts w:cs="宋体"/>
                <w:sz w:val="24"/>
              </w:rPr>
            </w:pPr>
            <w:r>
              <w:rPr>
                <w:rFonts w:hint="eastAsia" w:cs="宋体"/>
                <w:sz w:val="24"/>
              </w:rPr>
              <w:t>至少3次开启或全行程</w:t>
            </w:r>
          </w:p>
        </w:tc>
        <w:tc>
          <w:tcPr>
            <w:tcW w:w="1701" w:type="dxa"/>
            <w:vAlign w:val="center"/>
          </w:tcPr>
          <w:p>
            <w:pPr>
              <w:jc w:val="left"/>
              <w:rPr>
                <w:rFonts w:cs="宋体"/>
                <w:sz w:val="24"/>
              </w:rPr>
            </w:pPr>
            <w:r>
              <w:rPr>
                <w:rFonts w:hint="eastAsia" w:cs="宋体"/>
                <w:sz w:val="24"/>
              </w:rPr>
              <w:t>控制线路正常、阀门动作正常</w:t>
            </w:r>
          </w:p>
        </w:tc>
        <w:tc>
          <w:tcPr>
            <w:tcW w:w="1701" w:type="dxa"/>
            <w:vAlign w:val="center"/>
          </w:tcPr>
          <w:p>
            <w:pPr>
              <w:jc w:val="left"/>
              <w:rPr>
                <w:rFonts w:cs="宋体"/>
                <w:sz w:val="24"/>
              </w:rPr>
            </w:pPr>
            <w:r>
              <w:rPr>
                <w:rFonts w:hint="eastAsia" w:cs="宋体"/>
                <w:sz w:val="24"/>
              </w:rPr>
              <w:t>执行是否到位</w:t>
            </w:r>
          </w:p>
        </w:tc>
        <w:tc>
          <w:tcPr>
            <w:tcW w:w="535"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87" w:type="dxa"/>
            <w:vAlign w:val="center"/>
          </w:tcPr>
          <w:p>
            <w:pPr>
              <w:jc w:val="center"/>
              <w:rPr>
                <w:rFonts w:cs="宋体"/>
                <w:sz w:val="24"/>
              </w:rPr>
            </w:pPr>
            <w:r>
              <w:rPr>
                <w:rFonts w:hint="eastAsia" w:cs="宋体"/>
                <w:sz w:val="24"/>
              </w:rPr>
              <w:t>3</w:t>
            </w:r>
          </w:p>
        </w:tc>
        <w:tc>
          <w:tcPr>
            <w:tcW w:w="964" w:type="dxa"/>
            <w:vAlign w:val="center"/>
          </w:tcPr>
          <w:p>
            <w:pPr>
              <w:jc w:val="center"/>
              <w:rPr>
                <w:rFonts w:cs="宋体"/>
                <w:sz w:val="24"/>
              </w:rPr>
            </w:pPr>
            <w:r>
              <w:rPr>
                <w:rFonts w:hint="eastAsia" w:cs="宋体"/>
                <w:sz w:val="24"/>
              </w:rPr>
              <w:t>电气开关及防护</w:t>
            </w:r>
          </w:p>
        </w:tc>
        <w:tc>
          <w:tcPr>
            <w:tcW w:w="1701" w:type="dxa"/>
            <w:vAlign w:val="center"/>
          </w:tcPr>
          <w:p>
            <w:pPr>
              <w:jc w:val="left"/>
              <w:rPr>
                <w:rFonts w:cs="宋体"/>
                <w:sz w:val="24"/>
              </w:rPr>
            </w:pPr>
            <w:r>
              <w:rPr>
                <w:rFonts w:hint="eastAsia" w:cs="宋体"/>
                <w:sz w:val="24"/>
              </w:rPr>
              <w:t>包括热继电器、漏电防护、防雷、接地线路的测试</w:t>
            </w:r>
          </w:p>
        </w:tc>
        <w:tc>
          <w:tcPr>
            <w:tcW w:w="1701" w:type="dxa"/>
            <w:vAlign w:val="center"/>
          </w:tcPr>
          <w:p>
            <w:pPr>
              <w:jc w:val="left"/>
              <w:rPr>
                <w:rFonts w:cs="宋体"/>
                <w:sz w:val="24"/>
              </w:rPr>
            </w:pPr>
            <w:r>
              <w:rPr>
                <w:rFonts w:hint="eastAsia" w:cs="宋体"/>
                <w:sz w:val="24"/>
              </w:rPr>
              <w:t>1-2次</w:t>
            </w:r>
          </w:p>
        </w:tc>
        <w:tc>
          <w:tcPr>
            <w:tcW w:w="1701" w:type="dxa"/>
            <w:vAlign w:val="center"/>
          </w:tcPr>
          <w:p>
            <w:pPr>
              <w:jc w:val="left"/>
              <w:rPr>
                <w:rFonts w:cs="宋体"/>
                <w:sz w:val="24"/>
              </w:rPr>
            </w:pPr>
            <w:r>
              <w:rPr>
                <w:rFonts w:hint="eastAsia" w:cs="宋体"/>
                <w:sz w:val="24"/>
              </w:rPr>
              <w:t>检测电气安全性</w:t>
            </w:r>
          </w:p>
        </w:tc>
        <w:tc>
          <w:tcPr>
            <w:tcW w:w="1701" w:type="dxa"/>
            <w:vAlign w:val="center"/>
          </w:tcPr>
          <w:p>
            <w:pPr>
              <w:jc w:val="left"/>
              <w:rPr>
                <w:rFonts w:cs="宋体"/>
                <w:sz w:val="24"/>
              </w:rPr>
            </w:pPr>
            <w:r>
              <w:rPr>
                <w:rFonts w:hint="eastAsia" w:cs="宋体"/>
                <w:sz w:val="24"/>
              </w:rPr>
              <w:t>设备是否正常关闭、继电器是否正常动作</w:t>
            </w:r>
          </w:p>
        </w:tc>
        <w:tc>
          <w:tcPr>
            <w:tcW w:w="535"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87" w:type="dxa"/>
            <w:vAlign w:val="center"/>
          </w:tcPr>
          <w:p>
            <w:pPr>
              <w:jc w:val="center"/>
              <w:rPr>
                <w:rFonts w:cs="宋体"/>
                <w:sz w:val="24"/>
              </w:rPr>
            </w:pPr>
            <w:r>
              <w:rPr>
                <w:rFonts w:hint="eastAsia" w:cs="宋体"/>
                <w:sz w:val="24"/>
              </w:rPr>
              <w:t>4</w:t>
            </w:r>
          </w:p>
        </w:tc>
        <w:tc>
          <w:tcPr>
            <w:tcW w:w="964" w:type="dxa"/>
            <w:vAlign w:val="center"/>
          </w:tcPr>
          <w:p>
            <w:pPr>
              <w:jc w:val="center"/>
              <w:rPr>
                <w:rFonts w:cs="宋体"/>
                <w:sz w:val="24"/>
              </w:rPr>
            </w:pPr>
            <w:r>
              <w:rPr>
                <w:rFonts w:hint="eastAsia" w:cs="宋体"/>
                <w:sz w:val="24"/>
              </w:rPr>
              <w:t>...</w:t>
            </w:r>
          </w:p>
        </w:tc>
        <w:tc>
          <w:tcPr>
            <w:tcW w:w="1701" w:type="dxa"/>
            <w:vAlign w:val="center"/>
          </w:tcPr>
          <w:p>
            <w:pPr>
              <w:jc w:val="center"/>
              <w:rPr>
                <w:rFonts w:cs="宋体"/>
                <w:sz w:val="24"/>
              </w:rPr>
            </w:pPr>
            <w:r>
              <w:rPr>
                <w:rFonts w:hint="eastAsia" w:cs="宋体"/>
                <w:sz w:val="24"/>
              </w:rPr>
              <w:t>...</w:t>
            </w:r>
          </w:p>
        </w:tc>
        <w:tc>
          <w:tcPr>
            <w:tcW w:w="1701" w:type="dxa"/>
            <w:vAlign w:val="center"/>
          </w:tcPr>
          <w:p>
            <w:pPr>
              <w:jc w:val="center"/>
              <w:rPr>
                <w:rFonts w:cs="宋体"/>
                <w:sz w:val="24"/>
              </w:rPr>
            </w:pPr>
            <w:r>
              <w:rPr>
                <w:rFonts w:hint="eastAsia" w:cs="宋体"/>
                <w:sz w:val="24"/>
              </w:rPr>
              <w:t>...</w:t>
            </w:r>
          </w:p>
        </w:tc>
        <w:tc>
          <w:tcPr>
            <w:tcW w:w="1701" w:type="dxa"/>
            <w:vAlign w:val="center"/>
          </w:tcPr>
          <w:p>
            <w:pPr>
              <w:jc w:val="center"/>
              <w:rPr>
                <w:rFonts w:cs="宋体"/>
                <w:sz w:val="24"/>
              </w:rPr>
            </w:pPr>
            <w:r>
              <w:rPr>
                <w:rFonts w:hint="eastAsia" w:cs="宋体"/>
                <w:sz w:val="24"/>
              </w:rPr>
              <w:t>...</w:t>
            </w:r>
          </w:p>
        </w:tc>
        <w:tc>
          <w:tcPr>
            <w:tcW w:w="1701" w:type="dxa"/>
            <w:vAlign w:val="center"/>
          </w:tcPr>
          <w:p>
            <w:pPr>
              <w:jc w:val="center"/>
              <w:rPr>
                <w:rFonts w:cs="宋体"/>
                <w:sz w:val="24"/>
              </w:rPr>
            </w:pPr>
            <w:r>
              <w:rPr>
                <w:rFonts w:hint="eastAsia" w:cs="宋体"/>
                <w:sz w:val="24"/>
              </w:rPr>
              <w:t>...</w:t>
            </w:r>
          </w:p>
        </w:tc>
        <w:tc>
          <w:tcPr>
            <w:tcW w:w="535"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87" w:type="dxa"/>
            <w:vAlign w:val="center"/>
          </w:tcPr>
          <w:p>
            <w:pPr>
              <w:jc w:val="center"/>
              <w:rPr>
                <w:rFonts w:cs="宋体"/>
                <w:sz w:val="24"/>
              </w:rPr>
            </w:pPr>
          </w:p>
        </w:tc>
        <w:tc>
          <w:tcPr>
            <w:tcW w:w="964" w:type="dxa"/>
            <w:vAlign w:val="center"/>
          </w:tcPr>
          <w:p>
            <w:pPr>
              <w:jc w:val="center"/>
              <w:rPr>
                <w:rFonts w:cs="宋体"/>
                <w:sz w:val="24"/>
              </w:rPr>
            </w:pPr>
          </w:p>
        </w:tc>
        <w:tc>
          <w:tcPr>
            <w:tcW w:w="1701" w:type="dxa"/>
            <w:vAlign w:val="center"/>
          </w:tcPr>
          <w:p>
            <w:pPr>
              <w:jc w:val="center"/>
              <w:rPr>
                <w:rFonts w:cs="宋体"/>
                <w:sz w:val="24"/>
              </w:rPr>
            </w:pPr>
          </w:p>
        </w:tc>
        <w:tc>
          <w:tcPr>
            <w:tcW w:w="1701" w:type="dxa"/>
            <w:vAlign w:val="center"/>
          </w:tcPr>
          <w:p>
            <w:pPr>
              <w:jc w:val="center"/>
              <w:rPr>
                <w:rFonts w:cs="宋体"/>
                <w:sz w:val="24"/>
              </w:rPr>
            </w:pPr>
          </w:p>
        </w:tc>
        <w:tc>
          <w:tcPr>
            <w:tcW w:w="1701" w:type="dxa"/>
            <w:vAlign w:val="center"/>
          </w:tcPr>
          <w:p>
            <w:pPr>
              <w:jc w:val="center"/>
              <w:rPr>
                <w:rFonts w:cs="宋体"/>
                <w:sz w:val="24"/>
              </w:rPr>
            </w:pPr>
          </w:p>
        </w:tc>
        <w:tc>
          <w:tcPr>
            <w:tcW w:w="1701" w:type="dxa"/>
            <w:vAlign w:val="center"/>
          </w:tcPr>
          <w:p>
            <w:pPr>
              <w:jc w:val="center"/>
              <w:rPr>
                <w:rFonts w:cs="宋体"/>
                <w:sz w:val="24"/>
              </w:rPr>
            </w:pPr>
          </w:p>
        </w:tc>
        <w:tc>
          <w:tcPr>
            <w:tcW w:w="535"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551" w:type="dxa"/>
            <w:gridSpan w:val="2"/>
            <w:vAlign w:val="center"/>
          </w:tcPr>
          <w:p>
            <w:pPr>
              <w:jc w:val="center"/>
              <w:rPr>
                <w:rFonts w:cs="宋体"/>
                <w:sz w:val="24"/>
              </w:rPr>
            </w:pPr>
            <w:r>
              <w:rPr>
                <w:rFonts w:hint="eastAsia" w:cs="宋体"/>
                <w:sz w:val="24"/>
              </w:rPr>
              <w:t>中标方</w:t>
            </w:r>
          </w:p>
          <w:p>
            <w:pPr>
              <w:jc w:val="center"/>
              <w:rPr>
                <w:rFonts w:cs="宋体"/>
                <w:sz w:val="24"/>
              </w:rPr>
            </w:pPr>
            <w:r>
              <w:rPr>
                <w:rFonts w:hint="eastAsia" w:cs="宋体"/>
                <w:sz w:val="24"/>
              </w:rPr>
              <w:t>现场技术人员</w:t>
            </w:r>
          </w:p>
        </w:tc>
        <w:tc>
          <w:tcPr>
            <w:tcW w:w="1701" w:type="dxa"/>
            <w:vAlign w:val="center"/>
          </w:tcPr>
          <w:p>
            <w:pPr>
              <w:jc w:val="center"/>
              <w:rPr>
                <w:rFonts w:cs="宋体"/>
                <w:sz w:val="24"/>
              </w:rPr>
            </w:pPr>
            <w:r>
              <w:rPr>
                <w:rFonts w:hint="eastAsia" w:cs="宋体"/>
                <w:sz w:val="24"/>
              </w:rPr>
              <w:t>（签字）</w:t>
            </w:r>
          </w:p>
        </w:tc>
        <w:tc>
          <w:tcPr>
            <w:tcW w:w="1701" w:type="dxa"/>
            <w:vAlign w:val="center"/>
          </w:tcPr>
          <w:p>
            <w:pPr>
              <w:jc w:val="center"/>
              <w:rPr>
                <w:rFonts w:cs="宋体"/>
                <w:sz w:val="24"/>
              </w:rPr>
            </w:pPr>
            <w:r>
              <w:rPr>
                <w:rFonts w:hint="eastAsia" w:cs="宋体"/>
                <w:sz w:val="24"/>
              </w:rPr>
              <w:t>招标方确认</w:t>
            </w:r>
          </w:p>
        </w:tc>
        <w:tc>
          <w:tcPr>
            <w:tcW w:w="1701" w:type="dxa"/>
            <w:vAlign w:val="center"/>
          </w:tcPr>
          <w:p>
            <w:pPr>
              <w:jc w:val="center"/>
              <w:rPr>
                <w:rFonts w:cs="宋体"/>
                <w:sz w:val="24"/>
              </w:rPr>
            </w:pPr>
            <w:r>
              <w:rPr>
                <w:rFonts w:hint="eastAsia" w:cs="宋体"/>
                <w:sz w:val="24"/>
              </w:rPr>
              <w:t>（签字）</w:t>
            </w:r>
          </w:p>
        </w:tc>
        <w:tc>
          <w:tcPr>
            <w:tcW w:w="1701" w:type="dxa"/>
            <w:vAlign w:val="center"/>
          </w:tcPr>
          <w:p>
            <w:pPr>
              <w:jc w:val="left"/>
              <w:rPr>
                <w:rFonts w:cs="宋体"/>
                <w:sz w:val="24"/>
              </w:rPr>
            </w:pPr>
            <w:r>
              <w:rPr>
                <w:rFonts w:hint="eastAsia" w:cs="宋体"/>
                <w:sz w:val="24"/>
              </w:rPr>
              <w:t>日期</w:t>
            </w:r>
          </w:p>
        </w:tc>
        <w:tc>
          <w:tcPr>
            <w:tcW w:w="535" w:type="dxa"/>
            <w:vAlign w:val="center"/>
          </w:tcPr>
          <w:p>
            <w:pPr>
              <w:jc w:val="center"/>
              <w:rPr>
                <w:rFonts w:cs="宋体"/>
                <w:sz w:val="24"/>
              </w:rPr>
            </w:pPr>
          </w:p>
        </w:tc>
      </w:tr>
    </w:tbl>
    <w:p>
      <w:pPr>
        <w:spacing w:line="360" w:lineRule="auto"/>
        <w:ind w:firstLine="480" w:firstLineChars="200"/>
        <w:rPr>
          <w:rFonts w:cs="仿宋_GB2312"/>
          <w:sz w:val="24"/>
        </w:rPr>
      </w:pPr>
      <w:r>
        <w:rPr>
          <w:rFonts w:hint="eastAsia" w:cs="仿宋_GB2312"/>
          <w:sz w:val="24"/>
        </w:rPr>
        <w:t>注：中标方对表格细化。并出具测试记录，需覆盖所有的报警、工艺设备。</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4.2.2系统空载试验</w:t>
      </w:r>
    </w:p>
    <w:p>
      <w:pPr>
        <w:spacing w:line="360" w:lineRule="auto"/>
        <w:ind w:firstLine="480"/>
        <w:rPr>
          <w:bCs/>
          <w:sz w:val="24"/>
        </w:rPr>
      </w:pPr>
      <w:r>
        <w:rPr>
          <w:rFonts w:hint="eastAsia"/>
          <w:bCs/>
          <w:sz w:val="24"/>
        </w:rPr>
        <w:t>设备动作试验后，进行系统空载试验。以验证流量、压力的可实现性。对软件、控制系统进行全面的动态试验。</w:t>
      </w:r>
    </w:p>
    <w:p>
      <w:pPr>
        <w:spacing w:line="360" w:lineRule="auto"/>
        <w:ind w:firstLine="480"/>
        <w:rPr>
          <w:bCs/>
          <w:sz w:val="24"/>
        </w:rPr>
      </w:pPr>
      <w:r>
        <w:rPr>
          <w:rFonts w:hint="eastAsia"/>
          <w:bCs/>
          <w:sz w:val="24"/>
        </w:rPr>
        <w:t>试验方法：流量计</w:t>
      </w:r>
    </w:p>
    <w:p>
      <w:pPr>
        <w:spacing w:line="360" w:lineRule="auto"/>
        <w:ind w:firstLine="480"/>
        <w:rPr>
          <w:bCs/>
          <w:sz w:val="24"/>
        </w:rPr>
      </w:pPr>
      <w:r>
        <w:rPr>
          <w:rFonts w:hint="eastAsia"/>
          <w:bCs/>
          <w:sz w:val="24"/>
        </w:rPr>
        <w:t>验收依据：工艺需求表</w:t>
      </w:r>
    </w:p>
    <w:p>
      <w:pPr>
        <w:spacing w:line="360" w:lineRule="auto"/>
        <w:ind w:firstLine="480"/>
        <w:rPr>
          <w:bCs/>
          <w:sz w:val="24"/>
        </w:rPr>
      </w:pPr>
      <w:r>
        <w:rPr>
          <w:rFonts w:hint="eastAsia"/>
          <w:bCs/>
          <w:sz w:val="24"/>
        </w:rPr>
        <w:t>试验步骤：</w:t>
      </w:r>
    </w:p>
    <w:p>
      <w:pPr>
        <w:spacing w:line="360" w:lineRule="auto"/>
        <w:ind w:firstLine="480"/>
        <w:rPr>
          <w:bCs/>
          <w:sz w:val="24"/>
        </w:rPr>
      </w:pPr>
      <w:r>
        <w:rPr>
          <w:rFonts w:hint="eastAsia"/>
          <w:bCs/>
          <w:sz w:val="24"/>
        </w:rPr>
        <w:t>①终端供回水阀门打开，开度 100%。</w:t>
      </w:r>
    </w:p>
    <w:p>
      <w:pPr>
        <w:spacing w:line="360" w:lineRule="auto"/>
        <w:ind w:firstLine="480"/>
        <w:rPr>
          <w:bCs/>
          <w:sz w:val="24"/>
        </w:rPr>
      </w:pPr>
      <w:r>
        <w:rPr>
          <w:rFonts w:hint="eastAsia"/>
          <w:bCs/>
          <w:sz w:val="24"/>
        </w:rPr>
        <w:t>②设置各末端供水压力为系统最低值 0.3Mpa，运行泵组，排空空气。</w:t>
      </w:r>
    </w:p>
    <w:p>
      <w:pPr>
        <w:spacing w:line="360" w:lineRule="auto"/>
        <w:ind w:firstLine="480"/>
        <w:rPr>
          <w:bCs/>
          <w:sz w:val="24"/>
        </w:rPr>
      </w:pPr>
      <w:r>
        <w:rPr>
          <w:rFonts w:hint="eastAsia"/>
          <w:bCs/>
          <w:sz w:val="24"/>
        </w:rPr>
        <w:t>③检查管道震动与排气。</w:t>
      </w:r>
    </w:p>
    <w:p>
      <w:pPr>
        <w:spacing w:line="360" w:lineRule="auto"/>
        <w:ind w:firstLine="480"/>
        <w:rPr>
          <w:bCs/>
          <w:sz w:val="24"/>
        </w:rPr>
      </w:pPr>
      <w:r>
        <w:rPr>
          <w:rFonts w:hint="eastAsia"/>
          <w:bCs/>
          <w:sz w:val="24"/>
        </w:rPr>
        <w:t>④调节泵组至最大流量，利用流量计测试并记录各干管和支管的流量分配情况，在每一个主要和次要水管核对和确定水流量调节。对于冷却塔，调节冷却塔阀门使其布水均匀，无漫水现象。</w:t>
      </w:r>
    </w:p>
    <w:p>
      <w:pPr>
        <w:spacing w:line="360" w:lineRule="auto"/>
        <w:ind w:firstLine="480"/>
        <w:rPr>
          <w:bCs/>
          <w:sz w:val="24"/>
        </w:rPr>
      </w:pPr>
      <w:r>
        <w:rPr>
          <w:rFonts w:hint="eastAsia"/>
          <w:bCs/>
          <w:sz w:val="24"/>
        </w:rPr>
        <w:t>⑤调节泵组的输出压力工作点，待达到设定点后，观察系统压力波动及流量波动，要求流量波动＜±5%，压力波动＜±0.5Bar，视为合格。</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4.2.3系统负载试验</w:t>
      </w:r>
    </w:p>
    <w:p>
      <w:pPr>
        <w:spacing w:line="360" w:lineRule="auto"/>
        <w:ind w:firstLine="480"/>
        <w:rPr>
          <w:bCs/>
          <w:sz w:val="24"/>
        </w:rPr>
      </w:pPr>
      <w:r>
        <w:rPr>
          <w:rFonts w:hint="eastAsia"/>
          <w:bCs/>
          <w:sz w:val="24"/>
        </w:rPr>
        <w:t>本水冷系统装置的主要目的是为了带走设备热量，换热效果依赖一次系统换热器的设计，项目对进水温度和压力做了明确规定，本系统的任务应考虑最大负荷条件下的热回水的散热效率。</w:t>
      </w:r>
    </w:p>
    <w:p>
      <w:pPr>
        <w:spacing w:line="360" w:lineRule="auto"/>
        <w:ind w:firstLine="480"/>
        <w:rPr>
          <w:bCs/>
          <w:sz w:val="24"/>
        </w:rPr>
      </w:pPr>
      <w:r>
        <w:rPr>
          <w:rFonts w:hint="eastAsia"/>
          <w:bCs/>
          <w:sz w:val="24"/>
        </w:rPr>
        <w:t>鉴于系统规模，可采用单一换热器模拟，利用冷水机组冷凝器的散热，对单一冷却塔进行散热量的热计量。测量时先关闭其余冷却塔供回水管，只保留一台冷却塔运行，开启外循环及内循环泵组，调节冷水机组进口流量直至冷却塔运行至设定液位，调节冷水机组工频运行，直至冷却回水温度至机组允许最高值，或设计值；对单塔散热量进行计量，记录当前计算数据并记录当前气象数据。查询样本，散热量达到对应工况标称值的95%验收合格。</w:t>
      </w:r>
    </w:p>
    <w:p>
      <w:pPr>
        <w:spacing w:line="360" w:lineRule="auto"/>
        <w:ind w:firstLine="480"/>
        <w:rPr>
          <w:bCs/>
          <w:sz w:val="24"/>
        </w:rPr>
      </w:pPr>
      <w:r>
        <w:rPr>
          <w:rFonts w:hint="eastAsia"/>
          <w:bCs/>
          <w:sz w:val="24"/>
        </w:rPr>
        <w:t>同时带负载情况下设定一次侧供水温度值，观察系统温度响应时间与温度稳定度，要求温度响应耗时＜10min，温度精度磁铁±2℃，电源±1℃。</w:t>
      </w:r>
    </w:p>
    <w:p>
      <w:pPr>
        <w:pStyle w:val="9"/>
        <w:spacing w:before="156"/>
        <w:ind w:firstLine="482" w:firstLineChars="200"/>
        <w:outlineLvl w:val="3"/>
        <w:rPr>
          <w:rFonts w:ascii="Times New Roman" w:hAnsi="Times New Roman" w:eastAsia="宋体" w:cs="仿宋_GB2312"/>
          <w:b/>
          <w:bCs w:val="0"/>
          <w:sz w:val="24"/>
          <w:szCs w:val="24"/>
        </w:rPr>
      </w:pPr>
      <w:r>
        <w:rPr>
          <w:rFonts w:hint="eastAsia" w:ascii="Times New Roman" w:hAnsi="Times New Roman" w:eastAsia="宋体" w:cs="仿宋_GB2312"/>
          <w:b/>
          <w:bCs w:val="0"/>
          <w:sz w:val="24"/>
          <w:szCs w:val="24"/>
        </w:rPr>
        <w:t>4.2.4系统动态响应实验</w:t>
      </w:r>
    </w:p>
    <w:p>
      <w:pPr>
        <w:spacing w:line="360" w:lineRule="auto"/>
        <w:ind w:firstLine="480"/>
        <w:rPr>
          <w:bCs/>
          <w:sz w:val="24"/>
        </w:rPr>
      </w:pPr>
      <w:r>
        <w:rPr>
          <w:rFonts w:hint="eastAsia"/>
          <w:bCs/>
          <w:sz w:val="24"/>
        </w:rPr>
        <w:t>根据末端工艺需求，对多点多台换热机组进行跳跃式设置，检验系统响应性的目的。选取多台换热机组设置一次侧出水温度，记录温度响应曲线和二次侧及制冷中心各设备的运行情况，温度响应耗时＜10min，视为合格。</w:t>
      </w:r>
    </w:p>
    <w:p>
      <w:pPr>
        <w:spacing w:line="360" w:lineRule="auto"/>
        <w:ind w:firstLine="482" w:firstLineChars="200"/>
        <w:outlineLvl w:val="1"/>
        <w:rPr>
          <w:b/>
          <w:sz w:val="24"/>
        </w:rPr>
      </w:pPr>
      <w:r>
        <w:rPr>
          <w:rFonts w:hint="eastAsia"/>
          <w:b/>
          <w:sz w:val="24"/>
        </w:rPr>
        <w:t>5、问题解决记录</w:t>
      </w:r>
    </w:p>
    <w:p>
      <w:pPr>
        <w:spacing w:line="360" w:lineRule="auto"/>
        <w:ind w:firstLine="420"/>
        <w:rPr>
          <w:rFonts w:cs="宋体"/>
          <w:sz w:val="24"/>
        </w:rPr>
      </w:pPr>
      <w:r>
        <w:rPr>
          <w:rFonts w:hint="eastAsia" w:cs="宋体"/>
          <w:sz w:val="24"/>
        </w:rPr>
        <w:t>列表如下：</w:t>
      </w:r>
    </w:p>
    <w:p>
      <w:pPr>
        <w:spacing w:line="360" w:lineRule="auto"/>
        <w:jc w:val="center"/>
        <w:rPr>
          <w:rFonts w:cs="宋体"/>
          <w:sz w:val="24"/>
        </w:rPr>
      </w:pPr>
      <w:r>
        <w:rPr>
          <w:rFonts w:hint="eastAsia" w:cs="宋体"/>
          <w:sz w:val="24"/>
        </w:rPr>
        <w:t>验收表5：问题解决记录（参考）</w:t>
      </w:r>
    </w:p>
    <w:tbl>
      <w:tblPr>
        <w:tblStyle w:val="6"/>
        <w:tblW w:w="88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1134"/>
        <w:gridCol w:w="382"/>
        <w:gridCol w:w="1149"/>
        <w:gridCol w:w="367"/>
        <w:gridCol w:w="1334"/>
        <w:gridCol w:w="182"/>
        <w:gridCol w:w="1519"/>
        <w:gridCol w:w="1542"/>
        <w:gridCol w:w="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87" w:type="dxa"/>
            <w:vAlign w:val="center"/>
          </w:tcPr>
          <w:p>
            <w:pPr>
              <w:jc w:val="center"/>
              <w:rPr>
                <w:rFonts w:cs="宋体"/>
                <w:sz w:val="24"/>
              </w:rPr>
            </w:pPr>
            <w:r>
              <w:rPr>
                <w:rFonts w:hint="eastAsia" w:cs="宋体"/>
                <w:sz w:val="24"/>
              </w:rPr>
              <w:t>序号</w:t>
            </w:r>
          </w:p>
        </w:tc>
        <w:tc>
          <w:tcPr>
            <w:tcW w:w="1516" w:type="dxa"/>
            <w:gridSpan w:val="2"/>
            <w:vAlign w:val="center"/>
          </w:tcPr>
          <w:p>
            <w:pPr>
              <w:jc w:val="center"/>
              <w:rPr>
                <w:rFonts w:cs="宋体"/>
                <w:sz w:val="24"/>
              </w:rPr>
            </w:pPr>
            <w:r>
              <w:rPr>
                <w:rFonts w:hint="eastAsia" w:cs="宋体"/>
                <w:sz w:val="24"/>
              </w:rPr>
              <w:t>问题</w:t>
            </w:r>
          </w:p>
        </w:tc>
        <w:tc>
          <w:tcPr>
            <w:tcW w:w="1516" w:type="dxa"/>
            <w:gridSpan w:val="2"/>
            <w:vAlign w:val="center"/>
          </w:tcPr>
          <w:p>
            <w:pPr>
              <w:jc w:val="center"/>
              <w:rPr>
                <w:rFonts w:cs="宋体"/>
                <w:sz w:val="24"/>
              </w:rPr>
            </w:pPr>
            <w:r>
              <w:rPr>
                <w:rFonts w:hint="eastAsia" w:cs="宋体"/>
                <w:sz w:val="24"/>
              </w:rPr>
              <w:t>原因分析</w:t>
            </w:r>
          </w:p>
        </w:tc>
        <w:tc>
          <w:tcPr>
            <w:tcW w:w="1516" w:type="dxa"/>
            <w:gridSpan w:val="2"/>
            <w:vAlign w:val="center"/>
          </w:tcPr>
          <w:p>
            <w:pPr>
              <w:jc w:val="center"/>
              <w:rPr>
                <w:rFonts w:cs="宋体"/>
                <w:sz w:val="24"/>
              </w:rPr>
            </w:pPr>
            <w:r>
              <w:rPr>
                <w:rFonts w:hint="eastAsia" w:cs="宋体"/>
                <w:sz w:val="24"/>
              </w:rPr>
              <w:t>拟解决方案</w:t>
            </w:r>
          </w:p>
        </w:tc>
        <w:tc>
          <w:tcPr>
            <w:tcW w:w="1519" w:type="dxa"/>
            <w:vAlign w:val="center"/>
          </w:tcPr>
          <w:p>
            <w:pPr>
              <w:jc w:val="center"/>
              <w:rPr>
                <w:rFonts w:cs="宋体"/>
                <w:sz w:val="24"/>
              </w:rPr>
            </w:pPr>
            <w:r>
              <w:rPr>
                <w:rFonts w:hint="eastAsia" w:cs="宋体"/>
                <w:sz w:val="24"/>
              </w:rPr>
              <w:t>责任人</w:t>
            </w:r>
          </w:p>
        </w:tc>
        <w:tc>
          <w:tcPr>
            <w:tcW w:w="1542" w:type="dxa"/>
            <w:vAlign w:val="center"/>
          </w:tcPr>
          <w:p>
            <w:pPr>
              <w:jc w:val="center"/>
              <w:rPr>
                <w:rFonts w:cs="宋体"/>
                <w:sz w:val="24"/>
              </w:rPr>
            </w:pPr>
            <w:r>
              <w:rPr>
                <w:rFonts w:hint="eastAsia" w:cs="宋体"/>
                <w:sz w:val="24"/>
              </w:rPr>
              <w:t>整改验证完成</w:t>
            </w:r>
          </w:p>
        </w:tc>
        <w:tc>
          <w:tcPr>
            <w:tcW w:w="694" w:type="dxa"/>
            <w:vAlign w:val="center"/>
          </w:tcPr>
          <w:p>
            <w:pPr>
              <w:jc w:val="center"/>
              <w:rPr>
                <w:rFonts w:cs="宋体"/>
                <w:sz w:val="24"/>
              </w:rPr>
            </w:pPr>
            <w:r>
              <w:rPr>
                <w:rFonts w:hint="eastAsia" w:cs="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87" w:type="dxa"/>
            <w:vAlign w:val="center"/>
          </w:tcPr>
          <w:p>
            <w:pPr>
              <w:jc w:val="center"/>
              <w:rPr>
                <w:rFonts w:cs="宋体"/>
                <w:sz w:val="24"/>
              </w:rPr>
            </w:pPr>
            <w:r>
              <w:rPr>
                <w:rFonts w:hint="eastAsia" w:cs="宋体"/>
                <w:sz w:val="24"/>
              </w:rPr>
              <w:t>1</w:t>
            </w:r>
          </w:p>
        </w:tc>
        <w:tc>
          <w:tcPr>
            <w:tcW w:w="1516" w:type="dxa"/>
            <w:gridSpan w:val="2"/>
            <w:vAlign w:val="center"/>
          </w:tcPr>
          <w:p>
            <w:pPr>
              <w:jc w:val="center"/>
              <w:rPr>
                <w:rFonts w:cs="宋体"/>
                <w:sz w:val="24"/>
              </w:rPr>
            </w:pPr>
          </w:p>
        </w:tc>
        <w:tc>
          <w:tcPr>
            <w:tcW w:w="1516" w:type="dxa"/>
            <w:gridSpan w:val="2"/>
            <w:vAlign w:val="center"/>
          </w:tcPr>
          <w:p>
            <w:pPr>
              <w:jc w:val="left"/>
              <w:rPr>
                <w:rFonts w:cs="宋体"/>
                <w:sz w:val="24"/>
              </w:rPr>
            </w:pPr>
          </w:p>
        </w:tc>
        <w:tc>
          <w:tcPr>
            <w:tcW w:w="1516" w:type="dxa"/>
            <w:gridSpan w:val="2"/>
            <w:vAlign w:val="center"/>
          </w:tcPr>
          <w:p>
            <w:pPr>
              <w:jc w:val="left"/>
              <w:rPr>
                <w:rFonts w:cs="宋体"/>
                <w:sz w:val="24"/>
              </w:rPr>
            </w:pPr>
          </w:p>
        </w:tc>
        <w:tc>
          <w:tcPr>
            <w:tcW w:w="1519" w:type="dxa"/>
            <w:vAlign w:val="center"/>
          </w:tcPr>
          <w:p>
            <w:pPr>
              <w:jc w:val="left"/>
              <w:rPr>
                <w:rFonts w:cs="宋体"/>
                <w:sz w:val="24"/>
              </w:rPr>
            </w:pPr>
          </w:p>
        </w:tc>
        <w:tc>
          <w:tcPr>
            <w:tcW w:w="1542" w:type="dxa"/>
            <w:vAlign w:val="center"/>
          </w:tcPr>
          <w:p>
            <w:pPr>
              <w:jc w:val="center"/>
              <w:rPr>
                <w:rFonts w:cs="宋体"/>
                <w:sz w:val="24"/>
              </w:rPr>
            </w:pPr>
            <w:r>
              <w:rPr>
                <w:rFonts w:hint="eastAsia" w:cs="宋体"/>
                <w:sz w:val="24"/>
              </w:rPr>
              <w:t>□ 是 □ 否</w:t>
            </w:r>
          </w:p>
        </w:tc>
        <w:tc>
          <w:tcPr>
            <w:tcW w:w="694"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87" w:type="dxa"/>
            <w:vAlign w:val="center"/>
          </w:tcPr>
          <w:p>
            <w:pPr>
              <w:jc w:val="center"/>
              <w:rPr>
                <w:rFonts w:cs="宋体"/>
                <w:sz w:val="24"/>
              </w:rPr>
            </w:pPr>
            <w:r>
              <w:rPr>
                <w:rFonts w:hint="eastAsia" w:cs="宋体"/>
                <w:sz w:val="24"/>
              </w:rPr>
              <w:t>2</w:t>
            </w:r>
          </w:p>
        </w:tc>
        <w:tc>
          <w:tcPr>
            <w:tcW w:w="1516" w:type="dxa"/>
            <w:gridSpan w:val="2"/>
            <w:vAlign w:val="center"/>
          </w:tcPr>
          <w:p>
            <w:pPr>
              <w:jc w:val="center"/>
              <w:rPr>
                <w:rFonts w:cs="宋体"/>
                <w:sz w:val="24"/>
              </w:rPr>
            </w:pPr>
          </w:p>
        </w:tc>
        <w:tc>
          <w:tcPr>
            <w:tcW w:w="1516" w:type="dxa"/>
            <w:gridSpan w:val="2"/>
            <w:vAlign w:val="center"/>
          </w:tcPr>
          <w:p>
            <w:pPr>
              <w:jc w:val="left"/>
              <w:rPr>
                <w:rFonts w:cs="宋体"/>
                <w:sz w:val="24"/>
              </w:rPr>
            </w:pPr>
          </w:p>
        </w:tc>
        <w:tc>
          <w:tcPr>
            <w:tcW w:w="1516" w:type="dxa"/>
            <w:gridSpan w:val="2"/>
            <w:vAlign w:val="center"/>
          </w:tcPr>
          <w:p>
            <w:pPr>
              <w:jc w:val="left"/>
              <w:rPr>
                <w:rFonts w:cs="宋体"/>
                <w:sz w:val="24"/>
              </w:rPr>
            </w:pPr>
          </w:p>
        </w:tc>
        <w:tc>
          <w:tcPr>
            <w:tcW w:w="1519" w:type="dxa"/>
            <w:vAlign w:val="center"/>
          </w:tcPr>
          <w:p>
            <w:pPr>
              <w:jc w:val="left"/>
              <w:rPr>
                <w:rFonts w:cs="宋体"/>
                <w:sz w:val="24"/>
              </w:rPr>
            </w:pPr>
          </w:p>
        </w:tc>
        <w:tc>
          <w:tcPr>
            <w:tcW w:w="1542" w:type="dxa"/>
            <w:vAlign w:val="center"/>
          </w:tcPr>
          <w:p>
            <w:pPr>
              <w:jc w:val="center"/>
              <w:rPr>
                <w:rFonts w:cs="宋体"/>
                <w:sz w:val="24"/>
              </w:rPr>
            </w:pPr>
            <w:r>
              <w:rPr>
                <w:rFonts w:hint="eastAsia" w:cs="宋体"/>
                <w:sz w:val="24"/>
              </w:rPr>
              <w:t>□ 是 □ 否</w:t>
            </w:r>
          </w:p>
        </w:tc>
        <w:tc>
          <w:tcPr>
            <w:tcW w:w="694"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87" w:type="dxa"/>
            <w:vAlign w:val="center"/>
          </w:tcPr>
          <w:p>
            <w:pPr>
              <w:jc w:val="center"/>
              <w:rPr>
                <w:rFonts w:cs="宋体"/>
                <w:sz w:val="24"/>
              </w:rPr>
            </w:pPr>
            <w:r>
              <w:rPr>
                <w:rFonts w:hint="eastAsia" w:cs="宋体"/>
                <w:sz w:val="24"/>
              </w:rPr>
              <w:t>3</w:t>
            </w:r>
          </w:p>
        </w:tc>
        <w:tc>
          <w:tcPr>
            <w:tcW w:w="1516" w:type="dxa"/>
            <w:gridSpan w:val="2"/>
            <w:vAlign w:val="center"/>
          </w:tcPr>
          <w:p>
            <w:pPr>
              <w:jc w:val="center"/>
              <w:rPr>
                <w:rFonts w:cs="宋体"/>
                <w:sz w:val="24"/>
              </w:rPr>
            </w:pPr>
          </w:p>
        </w:tc>
        <w:tc>
          <w:tcPr>
            <w:tcW w:w="1516" w:type="dxa"/>
            <w:gridSpan w:val="2"/>
            <w:vAlign w:val="center"/>
          </w:tcPr>
          <w:p>
            <w:pPr>
              <w:jc w:val="left"/>
              <w:rPr>
                <w:rFonts w:cs="宋体"/>
                <w:sz w:val="24"/>
              </w:rPr>
            </w:pPr>
          </w:p>
        </w:tc>
        <w:tc>
          <w:tcPr>
            <w:tcW w:w="1516" w:type="dxa"/>
            <w:gridSpan w:val="2"/>
            <w:vAlign w:val="center"/>
          </w:tcPr>
          <w:p>
            <w:pPr>
              <w:jc w:val="left"/>
              <w:rPr>
                <w:rFonts w:cs="宋体"/>
                <w:sz w:val="24"/>
              </w:rPr>
            </w:pPr>
          </w:p>
        </w:tc>
        <w:tc>
          <w:tcPr>
            <w:tcW w:w="1519" w:type="dxa"/>
            <w:vAlign w:val="center"/>
          </w:tcPr>
          <w:p>
            <w:pPr>
              <w:jc w:val="left"/>
              <w:rPr>
                <w:rFonts w:cs="宋体"/>
                <w:sz w:val="24"/>
              </w:rPr>
            </w:pPr>
          </w:p>
        </w:tc>
        <w:tc>
          <w:tcPr>
            <w:tcW w:w="1542" w:type="dxa"/>
            <w:vAlign w:val="center"/>
          </w:tcPr>
          <w:p>
            <w:pPr>
              <w:jc w:val="center"/>
              <w:rPr>
                <w:rFonts w:cs="宋体"/>
                <w:sz w:val="24"/>
              </w:rPr>
            </w:pPr>
            <w:r>
              <w:rPr>
                <w:rFonts w:hint="eastAsia" w:cs="宋体"/>
                <w:sz w:val="24"/>
              </w:rPr>
              <w:t>□ 是 □ 否</w:t>
            </w:r>
          </w:p>
        </w:tc>
        <w:tc>
          <w:tcPr>
            <w:tcW w:w="694"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87" w:type="dxa"/>
            <w:vAlign w:val="center"/>
          </w:tcPr>
          <w:p>
            <w:pPr>
              <w:jc w:val="center"/>
              <w:rPr>
                <w:rFonts w:cs="宋体"/>
                <w:sz w:val="24"/>
              </w:rPr>
            </w:pPr>
            <w:r>
              <w:rPr>
                <w:rFonts w:hint="eastAsia" w:cs="宋体"/>
                <w:sz w:val="24"/>
              </w:rPr>
              <w:t>4</w:t>
            </w:r>
          </w:p>
        </w:tc>
        <w:tc>
          <w:tcPr>
            <w:tcW w:w="1516" w:type="dxa"/>
            <w:gridSpan w:val="2"/>
            <w:vAlign w:val="center"/>
          </w:tcPr>
          <w:p>
            <w:pPr>
              <w:jc w:val="center"/>
              <w:rPr>
                <w:rFonts w:cs="宋体"/>
                <w:sz w:val="24"/>
              </w:rPr>
            </w:pPr>
          </w:p>
        </w:tc>
        <w:tc>
          <w:tcPr>
            <w:tcW w:w="1516" w:type="dxa"/>
            <w:gridSpan w:val="2"/>
            <w:vAlign w:val="center"/>
          </w:tcPr>
          <w:p>
            <w:pPr>
              <w:jc w:val="center"/>
              <w:rPr>
                <w:rFonts w:cs="宋体"/>
                <w:sz w:val="24"/>
              </w:rPr>
            </w:pPr>
          </w:p>
        </w:tc>
        <w:tc>
          <w:tcPr>
            <w:tcW w:w="1516" w:type="dxa"/>
            <w:gridSpan w:val="2"/>
            <w:vAlign w:val="center"/>
          </w:tcPr>
          <w:p>
            <w:pPr>
              <w:jc w:val="center"/>
              <w:rPr>
                <w:rFonts w:cs="宋体"/>
                <w:sz w:val="24"/>
              </w:rPr>
            </w:pPr>
          </w:p>
        </w:tc>
        <w:tc>
          <w:tcPr>
            <w:tcW w:w="1519" w:type="dxa"/>
            <w:vAlign w:val="center"/>
          </w:tcPr>
          <w:p>
            <w:pPr>
              <w:jc w:val="center"/>
              <w:rPr>
                <w:rFonts w:cs="宋体"/>
                <w:sz w:val="24"/>
              </w:rPr>
            </w:pPr>
          </w:p>
        </w:tc>
        <w:tc>
          <w:tcPr>
            <w:tcW w:w="1542" w:type="dxa"/>
            <w:vAlign w:val="center"/>
          </w:tcPr>
          <w:p>
            <w:pPr>
              <w:jc w:val="center"/>
              <w:rPr>
                <w:rFonts w:cs="宋体"/>
                <w:sz w:val="24"/>
              </w:rPr>
            </w:pPr>
            <w:r>
              <w:rPr>
                <w:rFonts w:hint="eastAsia" w:cs="宋体"/>
                <w:sz w:val="24"/>
              </w:rPr>
              <w:t>□ 是 □ 否</w:t>
            </w:r>
          </w:p>
        </w:tc>
        <w:tc>
          <w:tcPr>
            <w:tcW w:w="694"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87" w:type="dxa"/>
            <w:vAlign w:val="center"/>
          </w:tcPr>
          <w:p>
            <w:pPr>
              <w:jc w:val="center"/>
              <w:rPr>
                <w:rFonts w:cs="宋体"/>
                <w:sz w:val="24"/>
              </w:rPr>
            </w:pPr>
            <w:r>
              <w:rPr>
                <w:rFonts w:hint="eastAsia" w:cs="宋体"/>
                <w:sz w:val="24"/>
              </w:rPr>
              <w:t>5</w:t>
            </w:r>
          </w:p>
        </w:tc>
        <w:tc>
          <w:tcPr>
            <w:tcW w:w="1516" w:type="dxa"/>
            <w:gridSpan w:val="2"/>
            <w:vAlign w:val="center"/>
          </w:tcPr>
          <w:p>
            <w:pPr>
              <w:jc w:val="center"/>
              <w:rPr>
                <w:rFonts w:cs="宋体"/>
                <w:sz w:val="24"/>
              </w:rPr>
            </w:pPr>
          </w:p>
        </w:tc>
        <w:tc>
          <w:tcPr>
            <w:tcW w:w="1516" w:type="dxa"/>
            <w:gridSpan w:val="2"/>
            <w:vAlign w:val="center"/>
          </w:tcPr>
          <w:p>
            <w:pPr>
              <w:jc w:val="center"/>
              <w:rPr>
                <w:rFonts w:cs="宋体"/>
                <w:sz w:val="24"/>
              </w:rPr>
            </w:pPr>
          </w:p>
        </w:tc>
        <w:tc>
          <w:tcPr>
            <w:tcW w:w="1516" w:type="dxa"/>
            <w:gridSpan w:val="2"/>
            <w:vAlign w:val="center"/>
          </w:tcPr>
          <w:p>
            <w:pPr>
              <w:jc w:val="center"/>
              <w:rPr>
                <w:rFonts w:cs="宋体"/>
                <w:sz w:val="24"/>
              </w:rPr>
            </w:pPr>
          </w:p>
        </w:tc>
        <w:tc>
          <w:tcPr>
            <w:tcW w:w="1519" w:type="dxa"/>
            <w:vAlign w:val="center"/>
          </w:tcPr>
          <w:p>
            <w:pPr>
              <w:jc w:val="center"/>
              <w:rPr>
                <w:rFonts w:cs="宋体"/>
                <w:sz w:val="24"/>
              </w:rPr>
            </w:pPr>
          </w:p>
        </w:tc>
        <w:tc>
          <w:tcPr>
            <w:tcW w:w="1542" w:type="dxa"/>
            <w:vAlign w:val="center"/>
          </w:tcPr>
          <w:p>
            <w:pPr>
              <w:jc w:val="center"/>
              <w:rPr>
                <w:rFonts w:cs="宋体"/>
                <w:sz w:val="24"/>
              </w:rPr>
            </w:pPr>
            <w:r>
              <w:rPr>
                <w:rFonts w:hint="eastAsia" w:cs="宋体"/>
                <w:sz w:val="24"/>
              </w:rPr>
              <w:t>□ 是 □ 否</w:t>
            </w:r>
          </w:p>
        </w:tc>
        <w:tc>
          <w:tcPr>
            <w:tcW w:w="694"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87" w:type="dxa"/>
            <w:vAlign w:val="center"/>
          </w:tcPr>
          <w:p>
            <w:pPr>
              <w:jc w:val="center"/>
              <w:rPr>
                <w:rFonts w:cs="宋体"/>
                <w:sz w:val="24"/>
              </w:rPr>
            </w:pPr>
            <w:r>
              <w:rPr>
                <w:rFonts w:hint="eastAsia" w:cs="宋体"/>
                <w:sz w:val="24"/>
              </w:rPr>
              <w:t>6</w:t>
            </w:r>
          </w:p>
        </w:tc>
        <w:tc>
          <w:tcPr>
            <w:tcW w:w="1516" w:type="dxa"/>
            <w:gridSpan w:val="2"/>
            <w:vAlign w:val="center"/>
          </w:tcPr>
          <w:p>
            <w:pPr>
              <w:jc w:val="center"/>
              <w:rPr>
                <w:rFonts w:cs="宋体"/>
                <w:sz w:val="24"/>
              </w:rPr>
            </w:pPr>
          </w:p>
        </w:tc>
        <w:tc>
          <w:tcPr>
            <w:tcW w:w="1516" w:type="dxa"/>
            <w:gridSpan w:val="2"/>
            <w:vAlign w:val="center"/>
          </w:tcPr>
          <w:p>
            <w:pPr>
              <w:jc w:val="center"/>
              <w:rPr>
                <w:rFonts w:cs="宋体"/>
                <w:sz w:val="24"/>
              </w:rPr>
            </w:pPr>
          </w:p>
        </w:tc>
        <w:tc>
          <w:tcPr>
            <w:tcW w:w="1516" w:type="dxa"/>
            <w:gridSpan w:val="2"/>
            <w:vAlign w:val="center"/>
          </w:tcPr>
          <w:p>
            <w:pPr>
              <w:jc w:val="center"/>
              <w:rPr>
                <w:rFonts w:cs="宋体"/>
                <w:sz w:val="24"/>
              </w:rPr>
            </w:pPr>
          </w:p>
        </w:tc>
        <w:tc>
          <w:tcPr>
            <w:tcW w:w="1519" w:type="dxa"/>
            <w:vAlign w:val="center"/>
          </w:tcPr>
          <w:p>
            <w:pPr>
              <w:jc w:val="center"/>
              <w:rPr>
                <w:rFonts w:cs="宋体"/>
                <w:sz w:val="24"/>
              </w:rPr>
            </w:pPr>
          </w:p>
        </w:tc>
        <w:tc>
          <w:tcPr>
            <w:tcW w:w="1542" w:type="dxa"/>
            <w:vAlign w:val="center"/>
          </w:tcPr>
          <w:p>
            <w:pPr>
              <w:jc w:val="center"/>
              <w:rPr>
                <w:rFonts w:cs="宋体"/>
                <w:sz w:val="24"/>
              </w:rPr>
            </w:pPr>
            <w:r>
              <w:rPr>
                <w:rFonts w:hint="eastAsia" w:cs="宋体"/>
                <w:sz w:val="24"/>
              </w:rPr>
              <w:t>□ 是 □ 否</w:t>
            </w:r>
          </w:p>
        </w:tc>
        <w:tc>
          <w:tcPr>
            <w:tcW w:w="694"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87" w:type="dxa"/>
            <w:vAlign w:val="center"/>
          </w:tcPr>
          <w:p>
            <w:pPr>
              <w:jc w:val="center"/>
              <w:rPr>
                <w:rFonts w:cs="宋体"/>
                <w:sz w:val="24"/>
              </w:rPr>
            </w:pPr>
            <w:r>
              <w:rPr>
                <w:rFonts w:hint="eastAsia" w:cs="宋体"/>
                <w:sz w:val="24"/>
              </w:rPr>
              <w:t>7</w:t>
            </w:r>
          </w:p>
        </w:tc>
        <w:tc>
          <w:tcPr>
            <w:tcW w:w="1516" w:type="dxa"/>
            <w:gridSpan w:val="2"/>
            <w:vAlign w:val="center"/>
          </w:tcPr>
          <w:p>
            <w:pPr>
              <w:jc w:val="center"/>
              <w:rPr>
                <w:rFonts w:cs="宋体"/>
                <w:sz w:val="24"/>
              </w:rPr>
            </w:pPr>
          </w:p>
        </w:tc>
        <w:tc>
          <w:tcPr>
            <w:tcW w:w="1516" w:type="dxa"/>
            <w:gridSpan w:val="2"/>
            <w:vAlign w:val="center"/>
          </w:tcPr>
          <w:p>
            <w:pPr>
              <w:jc w:val="center"/>
              <w:rPr>
                <w:rFonts w:cs="宋体"/>
                <w:sz w:val="24"/>
              </w:rPr>
            </w:pPr>
          </w:p>
        </w:tc>
        <w:tc>
          <w:tcPr>
            <w:tcW w:w="1516" w:type="dxa"/>
            <w:gridSpan w:val="2"/>
            <w:vAlign w:val="center"/>
          </w:tcPr>
          <w:p>
            <w:pPr>
              <w:jc w:val="center"/>
              <w:rPr>
                <w:rFonts w:cs="宋体"/>
                <w:sz w:val="24"/>
              </w:rPr>
            </w:pPr>
          </w:p>
        </w:tc>
        <w:tc>
          <w:tcPr>
            <w:tcW w:w="1519" w:type="dxa"/>
            <w:vAlign w:val="center"/>
          </w:tcPr>
          <w:p>
            <w:pPr>
              <w:jc w:val="center"/>
              <w:rPr>
                <w:rFonts w:cs="宋体"/>
                <w:sz w:val="24"/>
              </w:rPr>
            </w:pPr>
          </w:p>
        </w:tc>
        <w:tc>
          <w:tcPr>
            <w:tcW w:w="1542" w:type="dxa"/>
            <w:vAlign w:val="center"/>
          </w:tcPr>
          <w:p>
            <w:pPr>
              <w:jc w:val="center"/>
              <w:rPr>
                <w:rFonts w:cs="宋体"/>
                <w:sz w:val="24"/>
              </w:rPr>
            </w:pPr>
            <w:r>
              <w:rPr>
                <w:rFonts w:hint="eastAsia" w:cs="宋体"/>
                <w:sz w:val="24"/>
              </w:rPr>
              <w:t>□ 是 □ 否</w:t>
            </w:r>
          </w:p>
        </w:tc>
        <w:tc>
          <w:tcPr>
            <w:tcW w:w="694"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87" w:type="dxa"/>
            <w:vAlign w:val="center"/>
          </w:tcPr>
          <w:p>
            <w:pPr>
              <w:jc w:val="center"/>
              <w:rPr>
                <w:rFonts w:cs="宋体"/>
                <w:sz w:val="24"/>
              </w:rPr>
            </w:pPr>
            <w:r>
              <w:rPr>
                <w:rFonts w:hint="eastAsia" w:cs="宋体"/>
                <w:sz w:val="24"/>
              </w:rPr>
              <w:t>8</w:t>
            </w:r>
          </w:p>
        </w:tc>
        <w:tc>
          <w:tcPr>
            <w:tcW w:w="1516" w:type="dxa"/>
            <w:gridSpan w:val="2"/>
            <w:vAlign w:val="center"/>
          </w:tcPr>
          <w:p>
            <w:pPr>
              <w:jc w:val="center"/>
              <w:rPr>
                <w:rFonts w:cs="宋体"/>
                <w:sz w:val="24"/>
              </w:rPr>
            </w:pPr>
          </w:p>
        </w:tc>
        <w:tc>
          <w:tcPr>
            <w:tcW w:w="1516" w:type="dxa"/>
            <w:gridSpan w:val="2"/>
            <w:vAlign w:val="center"/>
          </w:tcPr>
          <w:p>
            <w:pPr>
              <w:jc w:val="center"/>
              <w:rPr>
                <w:rFonts w:cs="宋体"/>
                <w:sz w:val="24"/>
              </w:rPr>
            </w:pPr>
          </w:p>
        </w:tc>
        <w:tc>
          <w:tcPr>
            <w:tcW w:w="1516" w:type="dxa"/>
            <w:gridSpan w:val="2"/>
            <w:vAlign w:val="center"/>
          </w:tcPr>
          <w:p>
            <w:pPr>
              <w:jc w:val="center"/>
              <w:rPr>
                <w:rFonts w:cs="宋体"/>
                <w:sz w:val="24"/>
              </w:rPr>
            </w:pPr>
          </w:p>
        </w:tc>
        <w:tc>
          <w:tcPr>
            <w:tcW w:w="1519" w:type="dxa"/>
            <w:vAlign w:val="center"/>
          </w:tcPr>
          <w:p>
            <w:pPr>
              <w:jc w:val="center"/>
              <w:rPr>
                <w:rFonts w:cs="宋体"/>
                <w:sz w:val="24"/>
              </w:rPr>
            </w:pPr>
          </w:p>
        </w:tc>
        <w:tc>
          <w:tcPr>
            <w:tcW w:w="1542" w:type="dxa"/>
            <w:vAlign w:val="center"/>
          </w:tcPr>
          <w:p>
            <w:pPr>
              <w:jc w:val="center"/>
              <w:rPr>
                <w:rFonts w:cs="宋体"/>
                <w:sz w:val="24"/>
              </w:rPr>
            </w:pPr>
            <w:r>
              <w:rPr>
                <w:rFonts w:hint="eastAsia" w:cs="宋体"/>
                <w:sz w:val="24"/>
              </w:rPr>
              <w:t>□ 是 □ 否</w:t>
            </w:r>
          </w:p>
        </w:tc>
        <w:tc>
          <w:tcPr>
            <w:tcW w:w="694"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87" w:type="dxa"/>
            <w:vAlign w:val="center"/>
          </w:tcPr>
          <w:p>
            <w:pPr>
              <w:jc w:val="center"/>
              <w:rPr>
                <w:rFonts w:cs="宋体"/>
                <w:sz w:val="24"/>
              </w:rPr>
            </w:pPr>
            <w:r>
              <w:rPr>
                <w:rFonts w:hint="eastAsia" w:cs="宋体"/>
                <w:sz w:val="24"/>
              </w:rPr>
              <w:t>9</w:t>
            </w:r>
          </w:p>
        </w:tc>
        <w:tc>
          <w:tcPr>
            <w:tcW w:w="1516" w:type="dxa"/>
            <w:gridSpan w:val="2"/>
            <w:vAlign w:val="center"/>
          </w:tcPr>
          <w:p>
            <w:pPr>
              <w:jc w:val="center"/>
              <w:rPr>
                <w:rFonts w:cs="宋体"/>
                <w:sz w:val="24"/>
              </w:rPr>
            </w:pPr>
          </w:p>
        </w:tc>
        <w:tc>
          <w:tcPr>
            <w:tcW w:w="1516" w:type="dxa"/>
            <w:gridSpan w:val="2"/>
            <w:vAlign w:val="center"/>
          </w:tcPr>
          <w:p>
            <w:pPr>
              <w:jc w:val="center"/>
              <w:rPr>
                <w:rFonts w:cs="宋体"/>
                <w:sz w:val="24"/>
              </w:rPr>
            </w:pPr>
          </w:p>
        </w:tc>
        <w:tc>
          <w:tcPr>
            <w:tcW w:w="1516" w:type="dxa"/>
            <w:gridSpan w:val="2"/>
            <w:vAlign w:val="center"/>
          </w:tcPr>
          <w:p>
            <w:pPr>
              <w:jc w:val="center"/>
              <w:rPr>
                <w:rFonts w:cs="宋体"/>
                <w:sz w:val="24"/>
              </w:rPr>
            </w:pPr>
          </w:p>
        </w:tc>
        <w:tc>
          <w:tcPr>
            <w:tcW w:w="1519" w:type="dxa"/>
            <w:vAlign w:val="center"/>
          </w:tcPr>
          <w:p>
            <w:pPr>
              <w:jc w:val="center"/>
              <w:rPr>
                <w:rFonts w:cs="宋体"/>
                <w:sz w:val="24"/>
              </w:rPr>
            </w:pPr>
          </w:p>
        </w:tc>
        <w:tc>
          <w:tcPr>
            <w:tcW w:w="1542" w:type="dxa"/>
            <w:vAlign w:val="center"/>
          </w:tcPr>
          <w:p>
            <w:pPr>
              <w:jc w:val="center"/>
              <w:rPr>
                <w:rFonts w:cs="宋体"/>
                <w:sz w:val="24"/>
              </w:rPr>
            </w:pPr>
            <w:r>
              <w:rPr>
                <w:rFonts w:hint="eastAsia" w:cs="宋体"/>
                <w:sz w:val="24"/>
              </w:rPr>
              <w:t>□ 是 □ 否</w:t>
            </w:r>
          </w:p>
        </w:tc>
        <w:tc>
          <w:tcPr>
            <w:tcW w:w="694"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87" w:type="dxa"/>
            <w:vAlign w:val="center"/>
          </w:tcPr>
          <w:p>
            <w:pPr>
              <w:jc w:val="center"/>
              <w:rPr>
                <w:rFonts w:cs="宋体"/>
                <w:sz w:val="24"/>
              </w:rPr>
            </w:pPr>
            <w:r>
              <w:rPr>
                <w:rFonts w:hint="eastAsia" w:cs="宋体"/>
                <w:sz w:val="24"/>
              </w:rPr>
              <w:t>10</w:t>
            </w:r>
          </w:p>
        </w:tc>
        <w:tc>
          <w:tcPr>
            <w:tcW w:w="1516" w:type="dxa"/>
            <w:gridSpan w:val="2"/>
            <w:vAlign w:val="center"/>
          </w:tcPr>
          <w:p>
            <w:pPr>
              <w:jc w:val="center"/>
              <w:rPr>
                <w:rFonts w:cs="宋体"/>
                <w:sz w:val="24"/>
              </w:rPr>
            </w:pPr>
          </w:p>
        </w:tc>
        <w:tc>
          <w:tcPr>
            <w:tcW w:w="1516" w:type="dxa"/>
            <w:gridSpan w:val="2"/>
            <w:vAlign w:val="center"/>
          </w:tcPr>
          <w:p>
            <w:pPr>
              <w:jc w:val="center"/>
              <w:rPr>
                <w:rFonts w:cs="宋体"/>
                <w:sz w:val="24"/>
              </w:rPr>
            </w:pPr>
          </w:p>
        </w:tc>
        <w:tc>
          <w:tcPr>
            <w:tcW w:w="1516" w:type="dxa"/>
            <w:gridSpan w:val="2"/>
            <w:vAlign w:val="center"/>
          </w:tcPr>
          <w:p>
            <w:pPr>
              <w:jc w:val="center"/>
              <w:rPr>
                <w:rFonts w:cs="宋体"/>
                <w:sz w:val="24"/>
              </w:rPr>
            </w:pPr>
          </w:p>
        </w:tc>
        <w:tc>
          <w:tcPr>
            <w:tcW w:w="1519" w:type="dxa"/>
            <w:vAlign w:val="center"/>
          </w:tcPr>
          <w:p>
            <w:pPr>
              <w:jc w:val="center"/>
              <w:rPr>
                <w:rFonts w:cs="宋体"/>
                <w:sz w:val="24"/>
              </w:rPr>
            </w:pPr>
          </w:p>
        </w:tc>
        <w:tc>
          <w:tcPr>
            <w:tcW w:w="1542" w:type="dxa"/>
            <w:vAlign w:val="center"/>
          </w:tcPr>
          <w:p>
            <w:pPr>
              <w:jc w:val="center"/>
              <w:rPr>
                <w:rFonts w:cs="宋体"/>
                <w:sz w:val="24"/>
              </w:rPr>
            </w:pPr>
            <w:r>
              <w:rPr>
                <w:rFonts w:hint="eastAsia" w:cs="宋体"/>
                <w:sz w:val="24"/>
              </w:rPr>
              <w:t>□ 是 □ 否</w:t>
            </w:r>
          </w:p>
        </w:tc>
        <w:tc>
          <w:tcPr>
            <w:tcW w:w="694"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87" w:type="dxa"/>
            <w:vAlign w:val="center"/>
          </w:tcPr>
          <w:p>
            <w:pPr>
              <w:jc w:val="center"/>
              <w:rPr>
                <w:rFonts w:cs="宋体"/>
                <w:sz w:val="24"/>
              </w:rPr>
            </w:pPr>
            <w:r>
              <w:rPr>
                <w:rFonts w:hint="eastAsia" w:cs="宋体"/>
                <w:sz w:val="24"/>
              </w:rPr>
              <w:t>11</w:t>
            </w:r>
          </w:p>
        </w:tc>
        <w:tc>
          <w:tcPr>
            <w:tcW w:w="1516" w:type="dxa"/>
            <w:gridSpan w:val="2"/>
            <w:vAlign w:val="center"/>
          </w:tcPr>
          <w:p>
            <w:pPr>
              <w:jc w:val="center"/>
              <w:rPr>
                <w:rFonts w:cs="宋体"/>
                <w:sz w:val="24"/>
              </w:rPr>
            </w:pPr>
          </w:p>
        </w:tc>
        <w:tc>
          <w:tcPr>
            <w:tcW w:w="1516" w:type="dxa"/>
            <w:gridSpan w:val="2"/>
            <w:vAlign w:val="center"/>
          </w:tcPr>
          <w:p>
            <w:pPr>
              <w:jc w:val="center"/>
              <w:rPr>
                <w:rFonts w:cs="宋体"/>
                <w:sz w:val="24"/>
              </w:rPr>
            </w:pPr>
          </w:p>
        </w:tc>
        <w:tc>
          <w:tcPr>
            <w:tcW w:w="1516" w:type="dxa"/>
            <w:gridSpan w:val="2"/>
            <w:vAlign w:val="center"/>
          </w:tcPr>
          <w:p>
            <w:pPr>
              <w:jc w:val="center"/>
              <w:rPr>
                <w:rFonts w:cs="宋体"/>
                <w:sz w:val="24"/>
              </w:rPr>
            </w:pPr>
          </w:p>
        </w:tc>
        <w:tc>
          <w:tcPr>
            <w:tcW w:w="1519" w:type="dxa"/>
            <w:vAlign w:val="center"/>
          </w:tcPr>
          <w:p>
            <w:pPr>
              <w:jc w:val="center"/>
              <w:rPr>
                <w:rFonts w:cs="宋体"/>
                <w:sz w:val="24"/>
              </w:rPr>
            </w:pPr>
          </w:p>
        </w:tc>
        <w:tc>
          <w:tcPr>
            <w:tcW w:w="1542" w:type="dxa"/>
            <w:vAlign w:val="center"/>
          </w:tcPr>
          <w:p>
            <w:pPr>
              <w:jc w:val="center"/>
              <w:rPr>
                <w:rFonts w:cs="宋体"/>
                <w:sz w:val="24"/>
              </w:rPr>
            </w:pPr>
            <w:r>
              <w:rPr>
                <w:rFonts w:hint="eastAsia" w:cs="宋体"/>
                <w:sz w:val="24"/>
              </w:rPr>
              <w:t>□ 是 □ 否</w:t>
            </w:r>
          </w:p>
        </w:tc>
        <w:tc>
          <w:tcPr>
            <w:tcW w:w="694"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87" w:type="dxa"/>
            <w:vAlign w:val="center"/>
          </w:tcPr>
          <w:p>
            <w:pPr>
              <w:jc w:val="center"/>
              <w:rPr>
                <w:rFonts w:cs="宋体"/>
                <w:sz w:val="24"/>
              </w:rPr>
            </w:pPr>
            <w:r>
              <w:rPr>
                <w:rFonts w:hint="eastAsia" w:cs="宋体"/>
                <w:sz w:val="24"/>
              </w:rPr>
              <w:t>12</w:t>
            </w:r>
          </w:p>
        </w:tc>
        <w:tc>
          <w:tcPr>
            <w:tcW w:w="1516" w:type="dxa"/>
            <w:gridSpan w:val="2"/>
            <w:vAlign w:val="center"/>
          </w:tcPr>
          <w:p>
            <w:pPr>
              <w:jc w:val="center"/>
              <w:rPr>
                <w:rFonts w:cs="宋体"/>
                <w:sz w:val="24"/>
              </w:rPr>
            </w:pPr>
          </w:p>
        </w:tc>
        <w:tc>
          <w:tcPr>
            <w:tcW w:w="1516" w:type="dxa"/>
            <w:gridSpan w:val="2"/>
            <w:vAlign w:val="center"/>
          </w:tcPr>
          <w:p>
            <w:pPr>
              <w:jc w:val="center"/>
              <w:rPr>
                <w:rFonts w:cs="宋体"/>
                <w:sz w:val="24"/>
              </w:rPr>
            </w:pPr>
          </w:p>
        </w:tc>
        <w:tc>
          <w:tcPr>
            <w:tcW w:w="1516" w:type="dxa"/>
            <w:gridSpan w:val="2"/>
            <w:vAlign w:val="center"/>
          </w:tcPr>
          <w:p>
            <w:pPr>
              <w:jc w:val="center"/>
              <w:rPr>
                <w:rFonts w:cs="宋体"/>
                <w:sz w:val="24"/>
              </w:rPr>
            </w:pPr>
          </w:p>
        </w:tc>
        <w:tc>
          <w:tcPr>
            <w:tcW w:w="1519" w:type="dxa"/>
            <w:vAlign w:val="center"/>
          </w:tcPr>
          <w:p>
            <w:pPr>
              <w:jc w:val="center"/>
              <w:rPr>
                <w:rFonts w:cs="宋体"/>
                <w:sz w:val="24"/>
              </w:rPr>
            </w:pPr>
          </w:p>
        </w:tc>
        <w:tc>
          <w:tcPr>
            <w:tcW w:w="1542" w:type="dxa"/>
            <w:vAlign w:val="center"/>
          </w:tcPr>
          <w:p>
            <w:pPr>
              <w:jc w:val="center"/>
              <w:rPr>
                <w:rFonts w:cs="宋体"/>
                <w:sz w:val="24"/>
              </w:rPr>
            </w:pPr>
            <w:r>
              <w:rPr>
                <w:rFonts w:hint="eastAsia" w:cs="宋体"/>
                <w:sz w:val="24"/>
              </w:rPr>
              <w:t>□ 是 □ 否</w:t>
            </w:r>
          </w:p>
        </w:tc>
        <w:tc>
          <w:tcPr>
            <w:tcW w:w="694"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587" w:type="dxa"/>
            <w:vAlign w:val="center"/>
          </w:tcPr>
          <w:p>
            <w:pPr>
              <w:jc w:val="center"/>
              <w:rPr>
                <w:rFonts w:cs="宋体"/>
                <w:sz w:val="24"/>
              </w:rPr>
            </w:pPr>
            <w:r>
              <w:rPr>
                <w:rFonts w:hint="eastAsia" w:cs="宋体"/>
                <w:sz w:val="24"/>
              </w:rPr>
              <w:t>13</w:t>
            </w:r>
          </w:p>
        </w:tc>
        <w:tc>
          <w:tcPr>
            <w:tcW w:w="1516" w:type="dxa"/>
            <w:gridSpan w:val="2"/>
            <w:vAlign w:val="center"/>
          </w:tcPr>
          <w:p>
            <w:pPr>
              <w:jc w:val="center"/>
              <w:rPr>
                <w:rFonts w:cs="宋体"/>
                <w:sz w:val="24"/>
              </w:rPr>
            </w:pPr>
          </w:p>
        </w:tc>
        <w:tc>
          <w:tcPr>
            <w:tcW w:w="1516" w:type="dxa"/>
            <w:gridSpan w:val="2"/>
            <w:vAlign w:val="center"/>
          </w:tcPr>
          <w:p>
            <w:pPr>
              <w:jc w:val="center"/>
              <w:rPr>
                <w:rFonts w:cs="宋体"/>
                <w:sz w:val="24"/>
              </w:rPr>
            </w:pPr>
          </w:p>
        </w:tc>
        <w:tc>
          <w:tcPr>
            <w:tcW w:w="1516" w:type="dxa"/>
            <w:gridSpan w:val="2"/>
            <w:vAlign w:val="center"/>
          </w:tcPr>
          <w:p>
            <w:pPr>
              <w:jc w:val="center"/>
              <w:rPr>
                <w:rFonts w:cs="宋体"/>
                <w:sz w:val="24"/>
              </w:rPr>
            </w:pPr>
          </w:p>
        </w:tc>
        <w:tc>
          <w:tcPr>
            <w:tcW w:w="1519" w:type="dxa"/>
            <w:vAlign w:val="center"/>
          </w:tcPr>
          <w:p>
            <w:pPr>
              <w:jc w:val="center"/>
              <w:rPr>
                <w:rFonts w:cs="宋体"/>
                <w:sz w:val="24"/>
              </w:rPr>
            </w:pPr>
          </w:p>
        </w:tc>
        <w:tc>
          <w:tcPr>
            <w:tcW w:w="1542" w:type="dxa"/>
            <w:vAlign w:val="center"/>
          </w:tcPr>
          <w:p>
            <w:pPr>
              <w:jc w:val="center"/>
              <w:rPr>
                <w:rFonts w:cs="宋体"/>
                <w:sz w:val="24"/>
              </w:rPr>
            </w:pPr>
            <w:r>
              <w:rPr>
                <w:rFonts w:hint="eastAsia" w:cs="宋体"/>
                <w:sz w:val="24"/>
              </w:rPr>
              <w:t>□ 是 □ 否</w:t>
            </w:r>
          </w:p>
        </w:tc>
        <w:tc>
          <w:tcPr>
            <w:tcW w:w="694" w:type="dxa"/>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721" w:type="dxa"/>
            <w:gridSpan w:val="2"/>
            <w:vAlign w:val="center"/>
          </w:tcPr>
          <w:p>
            <w:pPr>
              <w:jc w:val="center"/>
              <w:rPr>
                <w:rFonts w:cs="宋体"/>
                <w:sz w:val="24"/>
              </w:rPr>
            </w:pPr>
            <w:r>
              <w:rPr>
                <w:rFonts w:hint="eastAsia" w:cs="宋体"/>
                <w:sz w:val="24"/>
              </w:rPr>
              <w:t>中标方</w:t>
            </w:r>
          </w:p>
          <w:p>
            <w:pPr>
              <w:jc w:val="center"/>
              <w:rPr>
                <w:rFonts w:cs="宋体"/>
                <w:sz w:val="24"/>
              </w:rPr>
            </w:pPr>
            <w:r>
              <w:rPr>
                <w:rFonts w:hint="eastAsia" w:cs="宋体"/>
                <w:sz w:val="24"/>
              </w:rPr>
              <w:t>现场技术人员</w:t>
            </w:r>
          </w:p>
        </w:tc>
        <w:tc>
          <w:tcPr>
            <w:tcW w:w="1531" w:type="dxa"/>
            <w:gridSpan w:val="2"/>
            <w:vAlign w:val="center"/>
          </w:tcPr>
          <w:p>
            <w:pPr>
              <w:jc w:val="center"/>
              <w:rPr>
                <w:rFonts w:cs="宋体"/>
                <w:sz w:val="24"/>
              </w:rPr>
            </w:pPr>
            <w:r>
              <w:rPr>
                <w:rFonts w:hint="eastAsia" w:cs="宋体"/>
                <w:sz w:val="24"/>
              </w:rPr>
              <w:t>（签字）</w:t>
            </w:r>
          </w:p>
        </w:tc>
        <w:tc>
          <w:tcPr>
            <w:tcW w:w="1701" w:type="dxa"/>
            <w:gridSpan w:val="2"/>
            <w:vAlign w:val="center"/>
          </w:tcPr>
          <w:p>
            <w:pPr>
              <w:jc w:val="center"/>
              <w:rPr>
                <w:rFonts w:cs="宋体"/>
                <w:sz w:val="24"/>
              </w:rPr>
            </w:pPr>
            <w:r>
              <w:rPr>
                <w:rFonts w:hint="eastAsia" w:cs="宋体"/>
                <w:sz w:val="24"/>
              </w:rPr>
              <w:t>招标方确认</w:t>
            </w:r>
          </w:p>
        </w:tc>
        <w:tc>
          <w:tcPr>
            <w:tcW w:w="1701" w:type="dxa"/>
            <w:gridSpan w:val="2"/>
            <w:vAlign w:val="center"/>
          </w:tcPr>
          <w:p>
            <w:pPr>
              <w:jc w:val="center"/>
              <w:rPr>
                <w:rFonts w:cs="宋体"/>
                <w:sz w:val="24"/>
              </w:rPr>
            </w:pPr>
            <w:r>
              <w:rPr>
                <w:rFonts w:hint="eastAsia" w:cs="宋体"/>
                <w:sz w:val="24"/>
              </w:rPr>
              <w:t>（签字）</w:t>
            </w:r>
          </w:p>
        </w:tc>
        <w:tc>
          <w:tcPr>
            <w:tcW w:w="1542" w:type="dxa"/>
            <w:vAlign w:val="center"/>
          </w:tcPr>
          <w:p>
            <w:pPr>
              <w:jc w:val="left"/>
              <w:rPr>
                <w:rFonts w:cs="宋体"/>
                <w:sz w:val="24"/>
              </w:rPr>
            </w:pPr>
            <w:r>
              <w:rPr>
                <w:rFonts w:hint="eastAsia" w:cs="宋体"/>
                <w:sz w:val="24"/>
              </w:rPr>
              <w:t>日期</w:t>
            </w:r>
          </w:p>
        </w:tc>
        <w:tc>
          <w:tcPr>
            <w:tcW w:w="694" w:type="dxa"/>
            <w:vAlign w:val="center"/>
          </w:tcPr>
          <w:p>
            <w:pPr>
              <w:jc w:val="center"/>
              <w:rPr>
                <w:rFonts w:cs="宋体"/>
                <w:sz w:val="24"/>
              </w:rPr>
            </w:pPr>
          </w:p>
        </w:tc>
      </w:tr>
    </w:tbl>
    <w:p>
      <w:pPr>
        <w:spacing w:line="360" w:lineRule="auto"/>
        <w:ind w:firstLine="482" w:firstLineChars="200"/>
        <w:outlineLvl w:val="1"/>
        <w:rPr>
          <w:b/>
          <w:sz w:val="24"/>
        </w:rPr>
      </w:pPr>
      <w:r>
        <w:rPr>
          <w:rFonts w:hint="eastAsia"/>
          <w:b/>
          <w:sz w:val="24"/>
        </w:rPr>
        <w:t>6、验收时交付招标方的材料</w:t>
      </w:r>
    </w:p>
    <w:p>
      <w:pPr>
        <w:spacing w:line="360" w:lineRule="auto"/>
        <w:jc w:val="center"/>
        <w:rPr>
          <w:rFonts w:cs="宋体"/>
          <w:sz w:val="24"/>
        </w:rPr>
      </w:pPr>
      <w:r>
        <w:rPr>
          <w:rFonts w:hint="eastAsia" w:cs="宋体"/>
          <w:sz w:val="24"/>
        </w:rPr>
        <w:t>验收表6：材料交付</w:t>
      </w:r>
    </w:p>
    <w:tbl>
      <w:tblPr>
        <w:tblStyle w:val="6"/>
        <w:tblW w:w="8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805"/>
        <w:gridCol w:w="1437"/>
        <w:gridCol w:w="1227"/>
        <w:gridCol w:w="448"/>
        <w:gridCol w:w="1150"/>
        <w:gridCol w:w="388"/>
        <w:gridCol w:w="862"/>
        <w:gridCol w:w="1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4" w:type="dxa"/>
            <w:vAlign w:val="center"/>
          </w:tcPr>
          <w:p>
            <w:pPr>
              <w:jc w:val="center"/>
              <w:rPr>
                <w:rFonts w:cs="宋体"/>
                <w:sz w:val="24"/>
              </w:rPr>
            </w:pPr>
            <w:r>
              <w:rPr>
                <w:rFonts w:hint="eastAsia" w:cs="宋体"/>
                <w:sz w:val="24"/>
              </w:rPr>
              <w:t>序号</w:t>
            </w:r>
          </w:p>
        </w:tc>
        <w:tc>
          <w:tcPr>
            <w:tcW w:w="2242" w:type="dxa"/>
            <w:gridSpan w:val="2"/>
            <w:vAlign w:val="center"/>
          </w:tcPr>
          <w:p>
            <w:pPr>
              <w:jc w:val="center"/>
              <w:rPr>
                <w:rFonts w:cs="宋体"/>
                <w:sz w:val="24"/>
              </w:rPr>
            </w:pPr>
            <w:r>
              <w:rPr>
                <w:rFonts w:hint="eastAsia" w:cs="宋体"/>
                <w:sz w:val="24"/>
              </w:rPr>
              <w:t>名称</w:t>
            </w:r>
          </w:p>
        </w:tc>
        <w:tc>
          <w:tcPr>
            <w:tcW w:w="1227" w:type="dxa"/>
            <w:vAlign w:val="center"/>
          </w:tcPr>
          <w:p>
            <w:pPr>
              <w:jc w:val="center"/>
              <w:rPr>
                <w:rFonts w:cs="宋体"/>
                <w:sz w:val="24"/>
              </w:rPr>
            </w:pPr>
            <w:r>
              <w:rPr>
                <w:rFonts w:hint="eastAsia" w:cs="宋体"/>
                <w:sz w:val="24"/>
              </w:rPr>
              <w:t>数量</w:t>
            </w:r>
          </w:p>
        </w:tc>
        <w:tc>
          <w:tcPr>
            <w:tcW w:w="1598" w:type="dxa"/>
            <w:gridSpan w:val="2"/>
            <w:vAlign w:val="center"/>
          </w:tcPr>
          <w:p>
            <w:pPr>
              <w:jc w:val="center"/>
              <w:rPr>
                <w:rFonts w:cs="宋体"/>
                <w:sz w:val="24"/>
              </w:rPr>
            </w:pPr>
            <w:r>
              <w:rPr>
                <w:rFonts w:hint="eastAsia" w:cs="宋体"/>
                <w:sz w:val="24"/>
              </w:rPr>
              <w:t>单位</w:t>
            </w:r>
          </w:p>
        </w:tc>
        <w:tc>
          <w:tcPr>
            <w:tcW w:w="2829" w:type="dxa"/>
            <w:gridSpan w:val="3"/>
            <w:vAlign w:val="center"/>
          </w:tcPr>
          <w:p>
            <w:pPr>
              <w:jc w:val="center"/>
              <w:rPr>
                <w:rFonts w:cs="宋体"/>
                <w:sz w:val="24"/>
              </w:rPr>
            </w:pPr>
            <w:r>
              <w:rPr>
                <w:rFonts w:hint="eastAsia" w:cs="宋体"/>
                <w:sz w:val="24"/>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4" w:type="dxa"/>
            <w:vAlign w:val="center"/>
          </w:tcPr>
          <w:p>
            <w:pPr>
              <w:jc w:val="center"/>
              <w:rPr>
                <w:rFonts w:cs="宋体"/>
                <w:sz w:val="24"/>
              </w:rPr>
            </w:pPr>
            <w:r>
              <w:rPr>
                <w:rFonts w:hint="eastAsia" w:cs="宋体"/>
                <w:sz w:val="24"/>
              </w:rPr>
              <w:t>1</w:t>
            </w:r>
          </w:p>
        </w:tc>
        <w:tc>
          <w:tcPr>
            <w:tcW w:w="2242" w:type="dxa"/>
            <w:gridSpan w:val="2"/>
            <w:vAlign w:val="center"/>
          </w:tcPr>
          <w:p>
            <w:pPr>
              <w:jc w:val="center"/>
              <w:rPr>
                <w:rFonts w:cs="宋体"/>
                <w:sz w:val="24"/>
              </w:rPr>
            </w:pPr>
            <w:r>
              <w:rPr>
                <w:rFonts w:hint="eastAsia" w:cs="宋体"/>
                <w:sz w:val="24"/>
              </w:rPr>
              <w:t>系统图纸</w:t>
            </w:r>
          </w:p>
        </w:tc>
        <w:tc>
          <w:tcPr>
            <w:tcW w:w="1227" w:type="dxa"/>
            <w:vAlign w:val="center"/>
          </w:tcPr>
          <w:p>
            <w:pPr>
              <w:jc w:val="center"/>
              <w:rPr>
                <w:rFonts w:cs="宋体"/>
                <w:sz w:val="24"/>
              </w:rPr>
            </w:pPr>
            <w:r>
              <w:rPr>
                <w:rFonts w:hint="eastAsia" w:cs="宋体"/>
                <w:sz w:val="24"/>
              </w:rPr>
              <w:t>1</w:t>
            </w:r>
          </w:p>
        </w:tc>
        <w:tc>
          <w:tcPr>
            <w:tcW w:w="1598" w:type="dxa"/>
            <w:gridSpan w:val="2"/>
            <w:vAlign w:val="center"/>
          </w:tcPr>
          <w:p>
            <w:pPr>
              <w:jc w:val="center"/>
              <w:rPr>
                <w:rFonts w:cs="宋体"/>
                <w:sz w:val="24"/>
              </w:rPr>
            </w:pPr>
            <w:r>
              <w:rPr>
                <w:rFonts w:hint="eastAsia" w:cs="宋体"/>
                <w:sz w:val="24"/>
              </w:rPr>
              <w:t>套</w:t>
            </w:r>
          </w:p>
        </w:tc>
        <w:tc>
          <w:tcPr>
            <w:tcW w:w="2829" w:type="dxa"/>
            <w:gridSpan w:val="3"/>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4" w:type="dxa"/>
            <w:vAlign w:val="center"/>
          </w:tcPr>
          <w:p>
            <w:pPr>
              <w:jc w:val="center"/>
              <w:rPr>
                <w:rFonts w:cs="宋体"/>
                <w:sz w:val="24"/>
              </w:rPr>
            </w:pPr>
            <w:r>
              <w:rPr>
                <w:rFonts w:hint="eastAsia" w:cs="宋体"/>
                <w:sz w:val="24"/>
              </w:rPr>
              <w:t>2</w:t>
            </w:r>
          </w:p>
        </w:tc>
        <w:tc>
          <w:tcPr>
            <w:tcW w:w="2242" w:type="dxa"/>
            <w:gridSpan w:val="2"/>
            <w:vAlign w:val="center"/>
          </w:tcPr>
          <w:p>
            <w:pPr>
              <w:jc w:val="center"/>
              <w:rPr>
                <w:rFonts w:cs="宋体"/>
                <w:sz w:val="24"/>
              </w:rPr>
            </w:pPr>
            <w:r>
              <w:rPr>
                <w:rFonts w:hint="eastAsia" w:cs="宋体"/>
                <w:sz w:val="24"/>
              </w:rPr>
              <w:t>电气图纸</w:t>
            </w:r>
          </w:p>
        </w:tc>
        <w:tc>
          <w:tcPr>
            <w:tcW w:w="1227" w:type="dxa"/>
            <w:vAlign w:val="center"/>
          </w:tcPr>
          <w:p>
            <w:pPr>
              <w:jc w:val="center"/>
              <w:rPr>
                <w:rFonts w:cs="宋体"/>
                <w:sz w:val="24"/>
              </w:rPr>
            </w:pPr>
            <w:r>
              <w:rPr>
                <w:rFonts w:hint="eastAsia" w:cs="宋体"/>
                <w:sz w:val="24"/>
              </w:rPr>
              <w:t>1</w:t>
            </w:r>
          </w:p>
        </w:tc>
        <w:tc>
          <w:tcPr>
            <w:tcW w:w="1598" w:type="dxa"/>
            <w:gridSpan w:val="2"/>
            <w:vAlign w:val="center"/>
          </w:tcPr>
          <w:p>
            <w:pPr>
              <w:jc w:val="center"/>
              <w:rPr>
                <w:rFonts w:cs="宋体"/>
                <w:sz w:val="24"/>
              </w:rPr>
            </w:pPr>
            <w:r>
              <w:rPr>
                <w:rFonts w:hint="eastAsia" w:cs="宋体"/>
                <w:sz w:val="24"/>
              </w:rPr>
              <w:t>套</w:t>
            </w:r>
          </w:p>
        </w:tc>
        <w:tc>
          <w:tcPr>
            <w:tcW w:w="2829" w:type="dxa"/>
            <w:gridSpan w:val="3"/>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4" w:type="dxa"/>
            <w:vAlign w:val="center"/>
          </w:tcPr>
          <w:p>
            <w:pPr>
              <w:jc w:val="center"/>
              <w:rPr>
                <w:rFonts w:cs="宋体"/>
                <w:sz w:val="24"/>
              </w:rPr>
            </w:pPr>
            <w:r>
              <w:rPr>
                <w:rFonts w:hint="eastAsia" w:cs="宋体"/>
                <w:sz w:val="24"/>
              </w:rPr>
              <w:t>3</w:t>
            </w:r>
          </w:p>
        </w:tc>
        <w:tc>
          <w:tcPr>
            <w:tcW w:w="2242" w:type="dxa"/>
            <w:gridSpan w:val="2"/>
            <w:vAlign w:val="center"/>
          </w:tcPr>
          <w:p>
            <w:pPr>
              <w:jc w:val="center"/>
              <w:rPr>
                <w:rFonts w:cs="宋体"/>
                <w:sz w:val="24"/>
              </w:rPr>
            </w:pPr>
            <w:r>
              <w:rPr>
                <w:rFonts w:hint="eastAsia" w:cs="宋体"/>
                <w:sz w:val="24"/>
              </w:rPr>
              <w:t>系统调试报告</w:t>
            </w:r>
          </w:p>
        </w:tc>
        <w:tc>
          <w:tcPr>
            <w:tcW w:w="1227" w:type="dxa"/>
            <w:vAlign w:val="center"/>
          </w:tcPr>
          <w:p>
            <w:pPr>
              <w:jc w:val="center"/>
              <w:rPr>
                <w:rFonts w:cs="宋体"/>
                <w:sz w:val="24"/>
              </w:rPr>
            </w:pPr>
            <w:r>
              <w:rPr>
                <w:rFonts w:hint="eastAsia" w:cs="宋体"/>
                <w:sz w:val="24"/>
              </w:rPr>
              <w:t>1</w:t>
            </w:r>
          </w:p>
        </w:tc>
        <w:tc>
          <w:tcPr>
            <w:tcW w:w="1598" w:type="dxa"/>
            <w:gridSpan w:val="2"/>
            <w:vAlign w:val="center"/>
          </w:tcPr>
          <w:p>
            <w:pPr>
              <w:jc w:val="center"/>
              <w:rPr>
                <w:rFonts w:cs="宋体"/>
                <w:sz w:val="24"/>
              </w:rPr>
            </w:pPr>
            <w:r>
              <w:rPr>
                <w:rFonts w:hint="eastAsia" w:cs="宋体"/>
                <w:sz w:val="24"/>
              </w:rPr>
              <w:t>份</w:t>
            </w:r>
          </w:p>
        </w:tc>
        <w:tc>
          <w:tcPr>
            <w:tcW w:w="2829" w:type="dxa"/>
            <w:gridSpan w:val="3"/>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4" w:type="dxa"/>
            <w:vAlign w:val="center"/>
          </w:tcPr>
          <w:p>
            <w:pPr>
              <w:jc w:val="center"/>
              <w:rPr>
                <w:rFonts w:cs="宋体"/>
                <w:sz w:val="24"/>
              </w:rPr>
            </w:pPr>
            <w:r>
              <w:rPr>
                <w:rFonts w:hint="eastAsia" w:cs="宋体"/>
                <w:sz w:val="24"/>
              </w:rPr>
              <w:t>4</w:t>
            </w:r>
          </w:p>
        </w:tc>
        <w:tc>
          <w:tcPr>
            <w:tcW w:w="2242" w:type="dxa"/>
            <w:gridSpan w:val="2"/>
            <w:vAlign w:val="center"/>
          </w:tcPr>
          <w:p>
            <w:pPr>
              <w:jc w:val="center"/>
              <w:rPr>
                <w:rFonts w:cs="宋体"/>
                <w:sz w:val="24"/>
              </w:rPr>
            </w:pPr>
            <w:r>
              <w:rPr>
                <w:rFonts w:hint="eastAsia" w:cs="宋体"/>
                <w:sz w:val="24"/>
              </w:rPr>
              <w:t>操作使用说明书</w:t>
            </w:r>
          </w:p>
        </w:tc>
        <w:tc>
          <w:tcPr>
            <w:tcW w:w="1227" w:type="dxa"/>
            <w:vAlign w:val="center"/>
          </w:tcPr>
          <w:p>
            <w:pPr>
              <w:jc w:val="center"/>
              <w:rPr>
                <w:rFonts w:cs="宋体"/>
                <w:sz w:val="24"/>
              </w:rPr>
            </w:pPr>
            <w:r>
              <w:rPr>
                <w:rFonts w:hint="eastAsia" w:cs="宋体"/>
                <w:sz w:val="24"/>
              </w:rPr>
              <w:t>1</w:t>
            </w:r>
          </w:p>
        </w:tc>
        <w:tc>
          <w:tcPr>
            <w:tcW w:w="1598" w:type="dxa"/>
            <w:gridSpan w:val="2"/>
            <w:vAlign w:val="center"/>
          </w:tcPr>
          <w:p>
            <w:pPr>
              <w:jc w:val="center"/>
              <w:rPr>
                <w:rFonts w:cs="宋体"/>
                <w:sz w:val="24"/>
              </w:rPr>
            </w:pPr>
            <w:r>
              <w:rPr>
                <w:rFonts w:hint="eastAsia" w:cs="宋体"/>
                <w:sz w:val="24"/>
              </w:rPr>
              <w:t>份</w:t>
            </w:r>
          </w:p>
        </w:tc>
        <w:tc>
          <w:tcPr>
            <w:tcW w:w="2829" w:type="dxa"/>
            <w:gridSpan w:val="3"/>
            <w:vAlign w:val="center"/>
          </w:tcPr>
          <w:p>
            <w:pPr>
              <w:jc w:val="center"/>
              <w:rPr>
                <w:rFonts w:cs="宋体"/>
                <w:sz w:val="24"/>
              </w:rPr>
            </w:pPr>
            <w:r>
              <w:rPr>
                <w:rFonts w:hint="eastAsia" w:cs="宋体"/>
                <w:sz w:val="24"/>
              </w:rPr>
              <w:t>含主要试验的操作方法、主要设备的操作及注意事项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4" w:type="dxa"/>
            <w:vAlign w:val="center"/>
          </w:tcPr>
          <w:p>
            <w:pPr>
              <w:jc w:val="center"/>
              <w:rPr>
                <w:rFonts w:cs="宋体"/>
                <w:sz w:val="24"/>
              </w:rPr>
            </w:pPr>
            <w:r>
              <w:rPr>
                <w:rFonts w:hint="eastAsia" w:cs="宋体"/>
                <w:sz w:val="24"/>
              </w:rPr>
              <w:t>5</w:t>
            </w:r>
          </w:p>
        </w:tc>
        <w:tc>
          <w:tcPr>
            <w:tcW w:w="2242" w:type="dxa"/>
            <w:gridSpan w:val="2"/>
            <w:vAlign w:val="center"/>
          </w:tcPr>
          <w:p>
            <w:pPr>
              <w:jc w:val="center"/>
              <w:rPr>
                <w:rFonts w:cs="宋体"/>
                <w:sz w:val="24"/>
              </w:rPr>
            </w:pPr>
            <w:r>
              <w:rPr>
                <w:rFonts w:hint="eastAsia" w:cs="宋体"/>
                <w:sz w:val="24"/>
              </w:rPr>
              <w:t>主要设备出厂说明书、合格证移交清单</w:t>
            </w:r>
          </w:p>
        </w:tc>
        <w:tc>
          <w:tcPr>
            <w:tcW w:w="1227" w:type="dxa"/>
            <w:vAlign w:val="center"/>
          </w:tcPr>
          <w:p>
            <w:pPr>
              <w:jc w:val="center"/>
              <w:rPr>
                <w:rFonts w:cs="宋体"/>
                <w:sz w:val="24"/>
              </w:rPr>
            </w:pPr>
            <w:r>
              <w:rPr>
                <w:rFonts w:hint="eastAsia" w:cs="宋体"/>
                <w:sz w:val="24"/>
              </w:rPr>
              <w:t>1</w:t>
            </w:r>
          </w:p>
        </w:tc>
        <w:tc>
          <w:tcPr>
            <w:tcW w:w="1598" w:type="dxa"/>
            <w:gridSpan w:val="2"/>
            <w:vAlign w:val="center"/>
          </w:tcPr>
          <w:p>
            <w:pPr>
              <w:jc w:val="center"/>
              <w:rPr>
                <w:rFonts w:cs="宋体"/>
                <w:sz w:val="24"/>
              </w:rPr>
            </w:pPr>
            <w:r>
              <w:rPr>
                <w:rFonts w:hint="eastAsia" w:cs="宋体"/>
                <w:sz w:val="24"/>
              </w:rPr>
              <w:t>份</w:t>
            </w:r>
          </w:p>
        </w:tc>
        <w:tc>
          <w:tcPr>
            <w:tcW w:w="2829" w:type="dxa"/>
            <w:gridSpan w:val="3"/>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4" w:type="dxa"/>
            <w:vAlign w:val="center"/>
          </w:tcPr>
          <w:p>
            <w:pPr>
              <w:jc w:val="center"/>
              <w:rPr>
                <w:rFonts w:cs="宋体"/>
                <w:sz w:val="24"/>
              </w:rPr>
            </w:pPr>
            <w:r>
              <w:rPr>
                <w:rFonts w:hint="eastAsia" w:cs="宋体"/>
                <w:sz w:val="24"/>
              </w:rPr>
              <w:t>6</w:t>
            </w:r>
          </w:p>
        </w:tc>
        <w:tc>
          <w:tcPr>
            <w:tcW w:w="2242" w:type="dxa"/>
            <w:gridSpan w:val="2"/>
            <w:vAlign w:val="center"/>
          </w:tcPr>
          <w:p>
            <w:pPr>
              <w:jc w:val="center"/>
              <w:rPr>
                <w:rFonts w:cs="宋体"/>
                <w:sz w:val="24"/>
              </w:rPr>
            </w:pPr>
            <w:r>
              <w:rPr>
                <w:rFonts w:hint="eastAsia" w:cs="宋体"/>
                <w:sz w:val="24"/>
              </w:rPr>
              <w:t>软件及图纸备份（电子版）</w:t>
            </w:r>
          </w:p>
        </w:tc>
        <w:tc>
          <w:tcPr>
            <w:tcW w:w="1227" w:type="dxa"/>
            <w:vAlign w:val="center"/>
          </w:tcPr>
          <w:p>
            <w:pPr>
              <w:jc w:val="center"/>
              <w:rPr>
                <w:rFonts w:cs="宋体"/>
                <w:sz w:val="24"/>
              </w:rPr>
            </w:pPr>
            <w:r>
              <w:rPr>
                <w:rFonts w:hint="eastAsia" w:cs="宋体"/>
                <w:sz w:val="24"/>
              </w:rPr>
              <w:t>1</w:t>
            </w:r>
          </w:p>
        </w:tc>
        <w:tc>
          <w:tcPr>
            <w:tcW w:w="1598" w:type="dxa"/>
            <w:gridSpan w:val="2"/>
            <w:vAlign w:val="center"/>
          </w:tcPr>
          <w:p>
            <w:pPr>
              <w:jc w:val="center"/>
              <w:rPr>
                <w:rFonts w:cs="宋体"/>
                <w:sz w:val="24"/>
              </w:rPr>
            </w:pPr>
            <w:r>
              <w:rPr>
                <w:rFonts w:hint="eastAsia" w:cs="宋体"/>
                <w:sz w:val="24"/>
              </w:rPr>
              <w:t>份</w:t>
            </w:r>
          </w:p>
        </w:tc>
        <w:tc>
          <w:tcPr>
            <w:tcW w:w="2829" w:type="dxa"/>
            <w:gridSpan w:val="3"/>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4" w:type="dxa"/>
            <w:vAlign w:val="center"/>
          </w:tcPr>
          <w:p>
            <w:pPr>
              <w:jc w:val="center"/>
              <w:rPr>
                <w:rFonts w:cs="宋体"/>
                <w:sz w:val="24"/>
              </w:rPr>
            </w:pPr>
            <w:r>
              <w:rPr>
                <w:rFonts w:hint="eastAsia" w:cs="宋体"/>
                <w:sz w:val="24"/>
              </w:rPr>
              <w:t>7</w:t>
            </w:r>
          </w:p>
        </w:tc>
        <w:tc>
          <w:tcPr>
            <w:tcW w:w="2242" w:type="dxa"/>
            <w:gridSpan w:val="2"/>
            <w:vAlign w:val="center"/>
          </w:tcPr>
          <w:p>
            <w:pPr>
              <w:jc w:val="center"/>
              <w:rPr>
                <w:rFonts w:cs="宋体"/>
                <w:sz w:val="24"/>
              </w:rPr>
            </w:pPr>
            <w:r>
              <w:rPr>
                <w:rFonts w:hint="eastAsia" w:cs="宋体"/>
                <w:sz w:val="24"/>
              </w:rPr>
              <w:t>培训记录</w:t>
            </w:r>
          </w:p>
        </w:tc>
        <w:tc>
          <w:tcPr>
            <w:tcW w:w="1227" w:type="dxa"/>
            <w:vAlign w:val="center"/>
          </w:tcPr>
          <w:p>
            <w:pPr>
              <w:jc w:val="center"/>
              <w:rPr>
                <w:rFonts w:cs="宋体"/>
                <w:sz w:val="24"/>
              </w:rPr>
            </w:pPr>
            <w:r>
              <w:rPr>
                <w:rFonts w:hint="eastAsia" w:cs="宋体"/>
                <w:sz w:val="24"/>
              </w:rPr>
              <w:t>1</w:t>
            </w:r>
          </w:p>
        </w:tc>
        <w:tc>
          <w:tcPr>
            <w:tcW w:w="1598" w:type="dxa"/>
            <w:gridSpan w:val="2"/>
            <w:vAlign w:val="center"/>
          </w:tcPr>
          <w:p>
            <w:pPr>
              <w:jc w:val="center"/>
              <w:rPr>
                <w:rFonts w:cs="宋体"/>
                <w:sz w:val="24"/>
              </w:rPr>
            </w:pPr>
            <w:r>
              <w:rPr>
                <w:rFonts w:hint="eastAsia" w:cs="宋体"/>
                <w:sz w:val="24"/>
              </w:rPr>
              <w:t>份</w:t>
            </w:r>
          </w:p>
        </w:tc>
        <w:tc>
          <w:tcPr>
            <w:tcW w:w="2829" w:type="dxa"/>
            <w:gridSpan w:val="3"/>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4" w:type="dxa"/>
            <w:vAlign w:val="center"/>
          </w:tcPr>
          <w:p>
            <w:pPr>
              <w:jc w:val="center"/>
              <w:rPr>
                <w:rFonts w:cs="宋体"/>
                <w:sz w:val="24"/>
              </w:rPr>
            </w:pPr>
            <w:r>
              <w:rPr>
                <w:rFonts w:hint="eastAsia" w:cs="宋体"/>
                <w:sz w:val="24"/>
              </w:rPr>
              <w:t>8</w:t>
            </w:r>
          </w:p>
        </w:tc>
        <w:tc>
          <w:tcPr>
            <w:tcW w:w="2242" w:type="dxa"/>
            <w:gridSpan w:val="2"/>
            <w:vAlign w:val="center"/>
          </w:tcPr>
          <w:p>
            <w:pPr>
              <w:jc w:val="center"/>
              <w:rPr>
                <w:rFonts w:cs="宋体"/>
                <w:sz w:val="24"/>
              </w:rPr>
            </w:pPr>
            <w:r>
              <w:rPr>
                <w:rFonts w:hint="eastAsia" w:cs="宋体"/>
                <w:sz w:val="24"/>
              </w:rPr>
              <w:t>验收大纲</w:t>
            </w:r>
          </w:p>
        </w:tc>
        <w:tc>
          <w:tcPr>
            <w:tcW w:w="1227" w:type="dxa"/>
            <w:vAlign w:val="center"/>
          </w:tcPr>
          <w:p>
            <w:pPr>
              <w:jc w:val="center"/>
              <w:rPr>
                <w:rFonts w:cs="宋体"/>
                <w:sz w:val="24"/>
              </w:rPr>
            </w:pPr>
            <w:r>
              <w:rPr>
                <w:rFonts w:hint="eastAsia" w:cs="宋体"/>
                <w:sz w:val="24"/>
              </w:rPr>
              <w:t>1</w:t>
            </w:r>
          </w:p>
        </w:tc>
        <w:tc>
          <w:tcPr>
            <w:tcW w:w="1598" w:type="dxa"/>
            <w:gridSpan w:val="2"/>
            <w:vAlign w:val="center"/>
          </w:tcPr>
          <w:p>
            <w:pPr>
              <w:jc w:val="center"/>
              <w:rPr>
                <w:rFonts w:cs="宋体"/>
                <w:sz w:val="24"/>
              </w:rPr>
            </w:pPr>
            <w:r>
              <w:rPr>
                <w:rFonts w:hint="eastAsia" w:cs="宋体"/>
                <w:sz w:val="24"/>
              </w:rPr>
              <w:t>份</w:t>
            </w:r>
          </w:p>
        </w:tc>
        <w:tc>
          <w:tcPr>
            <w:tcW w:w="2829" w:type="dxa"/>
            <w:gridSpan w:val="3"/>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4" w:type="dxa"/>
            <w:vAlign w:val="center"/>
          </w:tcPr>
          <w:p>
            <w:pPr>
              <w:jc w:val="center"/>
              <w:rPr>
                <w:rFonts w:cs="宋体"/>
                <w:sz w:val="24"/>
              </w:rPr>
            </w:pPr>
            <w:r>
              <w:rPr>
                <w:rFonts w:hint="eastAsia" w:cs="宋体"/>
                <w:sz w:val="24"/>
              </w:rPr>
              <w:t>9</w:t>
            </w:r>
          </w:p>
        </w:tc>
        <w:tc>
          <w:tcPr>
            <w:tcW w:w="2242" w:type="dxa"/>
            <w:gridSpan w:val="2"/>
            <w:vAlign w:val="center"/>
          </w:tcPr>
          <w:p>
            <w:pPr>
              <w:jc w:val="center"/>
              <w:rPr>
                <w:rFonts w:cs="宋体"/>
                <w:sz w:val="24"/>
              </w:rPr>
            </w:pPr>
            <w:r>
              <w:rPr>
                <w:rFonts w:hint="eastAsia" w:cs="宋体"/>
                <w:sz w:val="24"/>
              </w:rPr>
              <w:t>其他文件</w:t>
            </w:r>
          </w:p>
        </w:tc>
        <w:tc>
          <w:tcPr>
            <w:tcW w:w="1227" w:type="dxa"/>
            <w:vAlign w:val="center"/>
          </w:tcPr>
          <w:p>
            <w:pPr>
              <w:jc w:val="center"/>
              <w:rPr>
                <w:rFonts w:cs="宋体"/>
                <w:sz w:val="24"/>
              </w:rPr>
            </w:pPr>
          </w:p>
        </w:tc>
        <w:tc>
          <w:tcPr>
            <w:tcW w:w="1598" w:type="dxa"/>
            <w:gridSpan w:val="2"/>
            <w:vAlign w:val="center"/>
          </w:tcPr>
          <w:p>
            <w:pPr>
              <w:jc w:val="center"/>
              <w:rPr>
                <w:rFonts w:cs="宋体"/>
                <w:sz w:val="24"/>
              </w:rPr>
            </w:pPr>
          </w:p>
        </w:tc>
        <w:tc>
          <w:tcPr>
            <w:tcW w:w="2829" w:type="dxa"/>
            <w:gridSpan w:val="3"/>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64" w:type="dxa"/>
            <w:vAlign w:val="center"/>
          </w:tcPr>
          <w:p>
            <w:pPr>
              <w:jc w:val="center"/>
              <w:rPr>
                <w:rFonts w:cs="宋体"/>
                <w:sz w:val="24"/>
              </w:rPr>
            </w:pPr>
            <w:r>
              <w:rPr>
                <w:rFonts w:hint="eastAsia" w:cs="宋体"/>
                <w:sz w:val="24"/>
              </w:rPr>
              <w:t>10</w:t>
            </w:r>
          </w:p>
        </w:tc>
        <w:tc>
          <w:tcPr>
            <w:tcW w:w="2242" w:type="dxa"/>
            <w:gridSpan w:val="2"/>
            <w:vAlign w:val="center"/>
          </w:tcPr>
          <w:p>
            <w:pPr>
              <w:jc w:val="center"/>
              <w:rPr>
                <w:rFonts w:cs="宋体"/>
                <w:sz w:val="24"/>
              </w:rPr>
            </w:pPr>
          </w:p>
        </w:tc>
        <w:tc>
          <w:tcPr>
            <w:tcW w:w="1227" w:type="dxa"/>
            <w:vAlign w:val="center"/>
          </w:tcPr>
          <w:p>
            <w:pPr>
              <w:jc w:val="center"/>
              <w:rPr>
                <w:rFonts w:cs="宋体"/>
                <w:sz w:val="24"/>
              </w:rPr>
            </w:pPr>
          </w:p>
        </w:tc>
        <w:tc>
          <w:tcPr>
            <w:tcW w:w="1598" w:type="dxa"/>
            <w:gridSpan w:val="2"/>
            <w:vAlign w:val="center"/>
          </w:tcPr>
          <w:p>
            <w:pPr>
              <w:jc w:val="center"/>
              <w:rPr>
                <w:rFonts w:cs="宋体"/>
                <w:sz w:val="24"/>
              </w:rPr>
            </w:pPr>
          </w:p>
        </w:tc>
        <w:tc>
          <w:tcPr>
            <w:tcW w:w="2829" w:type="dxa"/>
            <w:gridSpan w:val="3"/>
            <w:vAlign w:val="center"/>
          </w:tcPr>
          <w:p>
            <w:pPr>
              <w:jc w:val="center"/>
              <w:rPr>
                <w:rFonts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1569" w:type="dxa"/>
            <w:gridSpan w:val="2"/>
            <w:vAlign w:val="center"/>
          </w:tcPr>
          <w:p>
            <w:pPr>
              <w:jc w:val="center"/>
              <w:rPr>
                <w:rFonts w:cs="宋体"/>
                <w:sz w:val="24"/>
              </w:rPr>
            </w:pPr>
            <w:r>
              <w:rPr>
                <w:rFonts w:hint="eastAsia" w:cs="宋体"/>
                <w:sz w:val="24"/>
              </w:rPr>
              <w:t>中标方</w:t>
            </w:r>
          </w:p>
          <w:p>
            <w:pPr>
              <w:jc w:val="center"/>
              <w:rPr>
                <w:rFonts w:cs="宋体"/>
                <w:sz w:val="24"/>
              </w:rPr>
            </w:pPr>
            <w:r>
              <w:rPr>
                <w:rFonts w:hint="eastAsia" w:cs="宋体"/>
                <w:sz w:val="24"/>
              </w:rPr>
              <w:t>现场技术人员</w:t>
            </w:r>
          </w:p>
        </w:tc>
        <w:tc>
          <w:tcPr>
            <w:tcW w:w="1437" w:type="dxa"/>
            <w:vAlign w:val="center"/>
          </w:tcPr>
          <w:p>
            <w:pPr>
              <w:jc w:val="center"/>
              <w:rPr>
                <w:rFonts w:cs="宋体"/>
                <w:sz w:val="24"/>
              </w:rPr>
            </w:pPr>
            <w:r>
              <w:rPr>
                <w:rFonts w:hint="eastAsia" w:cs="宋体"/>
                <w:sz w:val="24"/>
              </w:rPr>
              <w:t>（签字）</w:t>
            </w:r>
          </w:p>
        </w:tc>
        <w:tc>
          <w:tcPr>
            <w:tcW w:w="1675" w:type="dxa"/>
            <w:gridSpan w:val="2"/>
            <w:vAlign w:val="center"/>
          </w:tcPr>
          <w:p>
            <w:pPr>
              <w:jc w:val="center"/>
              <w:rPr>
                <w:rFonts w:cs="宋体"/>
                <w:sz w:val="24"/>
              </w:rPr>
            </w:pPr>
            <w:r>
              <w:rPr>
                <w:rFonts w:hint="eastAsia" w:cs="宋体"/>
                <w:sz w:val="24"/>
              </w:rPr>
              <w:t>招标方确认</w:t>
            </w:r>
          </w:p>
        </w:tc>
        <w:tc>
          <w:tcPr>
            <w:tcW w:w="1538" w:type="dxa"/>
            <w:gridSpan w:val="2"/>
            <w:vAlign w:val="center"/>
          </w:tcPr>
          <w:p>
            <w:pPr>
              <w:jc w:val="center"/>
              <w:rPr>
                <w:rFonts w:cs="宋体"/>
                <w:sz w:val="24"/>
              </w:rPr>
            </w:pPr>
            <w:r>
              <w:rPr>
                <w:rFonts w:hint="eastAsia" w:cs="宋体"/>
                <w:sz w:val="24"/>
              </w:rPr>
              <w:t>（签字）</w:t>
            </w:r>
          </w:p>
        </w:tc>
        <w:tc>
          <w:tcPr>
            <w:tcW w:w="862" w:type="dxa"/>
            <w:vAlign w:val="center"/>
          </w:tcPr>
          <w:p>
            <w:pPr>
              <w:jc w:val="center"/>
              <w:rPr>
                <w:rFonts w:cs="宋体"/>
                <w:sz w:val="24"/>
              </w:rPr>
            </w:pPr>
            <w:r>
              <w:rPr>
                <w:rFonts w:hint="eastAsia" w:cs="宋体"/>
                <w:sz w:val="24"/>
              </w:rPr>
              <w:t>日期</w:t>
            </w:r>
          </w:p>
        </w:tc>
        <w:tc>
          <w:tcPr>
            <w:tcW w:w="1579" w:type="dxa"/>
            <w:vAlign w:val="center"/>
          </w:tcPr>
          <w:p>
            <w:pPr>
              <w:jc w:val="center"/>
              <w:rPr>
                <w:rFonts w:cs="宋体"/>
                <w:sz w:val="24"/>
              </w:rPr>
            </w:pPr>
          </w:p>
        </w:tc>
      </w:tr>
    </w:tbl>
    <w:p>
      <w:pPr>
        <w:spacing w:before="156" w:beforeLines="50" w:line="360" w:lineRule="auto"/>
        <w:ind w:firstLine="482"/>
        <w:rPr>
          <w:bCs/>
          <w:sz w:val="24"/>
        </w:rPr>
      </w:pPr>
      <w:r>
        <w:rPr>
          <w:rFonts w:hint="eastAsia"/>
          <w:bCs/>
          <w:sz w:val="24"/>
        </w:rPr>
        <w:t>项目的调试验收大纲，经由中标方细化形成调试验收计划或实施细则后，由招标方审定同意后即可实施。实施的各记录表格需有招标方人员的签字确认。</w:t>
      </w:r>
    </w:p>
    <w:p>
      <w:pPr>
        <w:spacing w:line="360" w:lineRule="auto"/>
        <w:ind w:firstLine="480"/>
        <w:rPr>
          <w:bCs/>
          <w:sz w:val="24"/>
          <w:u w:val="single"/>
        </w:rPr>
      </w:pPr>
      <w:r>
        <w:rPr>
          <w:rFonts w:hint="eastAsia"/>
          <w:bCs/>
          <w:sz w:val="24"/>
        </w:rPr>
        <w:t>各检验表格与试验记录是验收报告不可或缺的一部分。待形成完整的验收报告后，由招标方、中标方、监理（若有）三方签字认可后，即认为验收通过。</w:t>
      </w:r>
    </w:p>
    <w:p>
      <w:pPr>
        <w:rPr>
          <w:bCs/>
          <w:sz w:val="24"/>
        </w:rPr>
      </w:pPr>
      <w:r>
        <w:rPr>
          <w:rFonts w:hint="eastAsia"/>
          <w:bCs/>
          <w:sz w:val="24"/>
        </w:rPr>
        <w:br w:type="page"/>
      </w:r>
    </w:p>
    <w:p>
      <w:pPr>
        <w:pStyle w:val="8"/>
        <w:numPr>
          <w:ilvl w:val="0"/>
          <w:numId w:val="2"/>
        </w:numPr>
        <w:spacing w:before="156" w:beforeLines="50" w:after="156" w:afterLines="50" w:line="360" w:lineRule="auto"/>
        <w:ind w:firstLineChars="0"/>
        <w:outlineLvl w:val="0"/>
        <w:rPr>
          <w:rFonts w:ascii="Times New Roman" w:hAnsi="Times New Roman"/>
          <w:bCs/>
          <w:sz w:val="24"/>
        </w:rPr>
      </w:pPr>
      <w:r>
        <w:rPr>
          <w:rFonts w:hint="eastAsia" w:ascii="Times New Roman" w:hAnsi="Times New Roman"/>
          <w:bCs/>
          <w:sz w:val="24"/>
        </w:rPr>
        <w:t>采购项目售后服务</w:t>
      </w:r>
      <w:r>
        <w:rPr>
          <w:rFonts w:ascii="Times New Roman" w:hAnsi="Times New Roman"/>
          <w:bCs/>
          <w:sz w:val="24"/>
        </w:rPr>
        <w:t>要求（</w:t>
      </w:r>
      <w:r>
        <w:rPr>
          <w:rFonts w:hint="eastAsia" w:ascii="Times New Roman" w:hAnsi="Times New Roman"/>
          <w:bCs/>
          <w:sz w:val="24"/>
        </w:rPr>
        <w:t>包括</w:t>
      </w:r>
      <w:r>
        <w:rPr>
          <w:rFonts w:ascii="Times New Roman" w:hAnsi="Times New Roman"/>
          <w:bCs/>
          <w:sz w:val="24"/>
        </w:rPr>
        <w:t>质保期、维修响应时间等）</w:t>
      </w:r>
    </w:p>
    <w:p>
      <w:pPr>
        <w:spacing w:line="360" w:lineRule="auto"/>
        <w:ind w:firstLine="482" w:firstLineChars="200"/>
        <w:outlineLvl w:val="1"/>
        <w:rPr>
          <w:b/>
          <w:sz w:val="24"/>
        </w:rPr>
      </w:pPr>
      <w:r>
        <w:rPr>
          <w:rFonts w:hint="eastAsia"/>
          <w:b/>
          <w:sz w:val="24"/>
        </w:rPr>
        <w:t>1、招标方重要需求</w:t>
      </w:r>
    </w:p>
    <w:p>
      <w:pPr>
        <w:pStyle w:val="8"/>
        <w:snapToGrid w:val="0"/>
        <w:spacing w:before="156" w:beforeLines="50" w:after="156" w:line="360" w:lineRule="auto"/>
        <w:ind w:firstLine="480"/>
        <w:rPr>
          <w:rFonts w:ascii="Times New Roman" w:hAnsi="Times New Roman"/>
          <w:bCs/>
          <w:sz w:val="24"/>
        </w:rPr>
      </w:pPr>
      <w:r>
        <w:rPr>
          <w:rFonts w:hint="eastAsia" w:ascii="Times New Roman" w:hAnsi="Times New Roman"/>
          <w:bCs/>
          <w:sz w:val="24"/>
        </w:rPr>
        <w:t>（1）投标方中标后须接受招标方对其单位履约能力的考察，工程施工期间，若发现中标方有挂靠、转包等违规行为，招标方有权终止合同，并没收履约保证金，同时进一步追究相关责任；</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（2）根据现场情况，需要变更或调整工程量的内容部分，中标方不得以清单或图纸无此内容拒绝施工，变更程序依据招标方的变更程序办理，因政策调整导致变更超过 200 万元的项目，招标方有权进行二次招标；</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3）本工程为重点工程，工期要求紧，投标方投标报价时应充分考虑因项目建设需要可能发生的如夜间施工、人员及机械加大投入、恶劣气候下施工等一切费用的产生，文明施工等费用投入、政府及相关社会组织参观接待以及维稳协调等产生的费用，后期不得以任何名义要求增加工程造价。投标方应及时发放施工人员工资，若因工资发放不及时造成上访等事件，经执法部门确认后，招标方有权直接发放工人工资，所有费用从工程款扣除，给招标方造成影响的，招标方有权追究违约责任。</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4）本工程所有涉及的设备基础、预留孔洞等已在土建承包中，其他因设备安装产生的零星工程所需费用包含在投标报价中，后期不予计量。所有设备的设备基础及平面布置需由中标方深化，进场后第一时间提供设备预留通道的砌体预留洞图，深化图纸交由招标方审核后由总包方预留及施工，机房内组织排水、基础合理性、通道满足检修等由中标方最终负责。</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5）为了使用单位更好的操作，维修和管理所采购的设备，投标方要负责对招标方指派的操作人员、机械设备维修人员、电气、自控仪表操作维修人员和管理人员等进行认真和有效的培训。培训的范围包括但不限于：各项操作控制指标、开车操作、停车操作及应急处理措施等、安全生产规程、设备结构和工作原理、自动控制系统原理、主要检测指标的分析原理以及系统培训等。施工期间，投标方应安排具有高级职称的人员对招标方安排的相关人员进行图纸讲解、施工答疑。</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（6）中标后，中标方需在 15天内确定并提供本工程所有采购设备的规格、型号、参数明细表。设备采购确定后，30日内根据采购设备的相关参数完成本工程深化施工图设计，并提交使用单位及设计单位审核确认，确保本项目安装完工后满足验收标准要求。中标方对深化设计成果负责，提供深化施工图纸，不得因此调增工程价款，减少的工程量，招标方有权扣减相关工程费用。</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（7）人员要求：投标方中标后应组建优秀的项目管理机构，配备不少于以下人员，并具备相应资格。</w:t>
      </w:r>
    </w:p>
    <w:p>
      <w:pPr>
        <w:pStyle w:val="8"/>
        <w:snapToGrid w:val="0"/>
        <w:spacing w:before="156" w:after="156" w:line="360" w:lineRule="auto"/>
        <w:ind w:firstLine="0" w:firstLineChars="0"/>
        <w:jc w:val="center"/>
        <w:rPr>
          <w:rFonts w:ascii="Times New Roman" w:hAnsi="Times New Roman" w:cs="宋体"/>
          <w:sz w:val="24"/>
        </w:rPr>
      </w:pPr>
      <w:r>
        <w:rPr>
          <w:rFonts w:hint="eastAsia" w:ascii="Times New Roman" w:hAnsi="Times New Roman" w:cs="宋体"/>
          <w:sz w:val="24"/>
        </w:rPr>
        <w:t>项目管理人员配备表</w:t>
      </w:r>
    </w:p>
    <w:tbl>
      <w:tblPr>
        <w:tblStyle w:val="6"/>
        <w:tblW w:w="7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1868"/>
        <w:gridCol w:w="1357"/>
        <w:gridCol w:w="3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blHeader/>
          <w:jc w:val="center"/>
        </w:trPr>
        <w:tc>
          <w:tcPr>
            <w:tcW w:w="1170"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序号</w:t>
            </w:r>
          </w:p>
        </w:tc>
        <w:tc>
          <w:tcPr>
            <w:tcW w:w="1868"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岗位</w:t>
            </w:r>
          </w:p>
        </w:tc>
        <w:tc>
          <w:tcPr>
            <w:tcW w:w="1357"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人数</w:t>
            </w:r>
          </w:p>
        </w:tc>
        <w:tc>
          <w:tcPr>
            <w:tcW w:w="3245"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blHeader/>
          <w:jc w:val="center"/>
        </w:trPr>
        <w:tc>
          <w:tcPr>
            <w:tcW w:w="1170"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1</w:t>
            </w:r>
          </w:p>
        </w:tc>
        <w:tc>
          <w:tcPr>
            <w:tcW w:w="1868"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项目经理</w:t>
            </w:r>
          </w:p>
        </w:tc>
        <w:tc>
          <w:tcPr>
            <w:tcW w:w="1357"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1</w:t>
            </w:r>
          </w:p>
        </w:tc>
        <w:tc>
          <w:tcPr>
            <w:tcW w:w="3245"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具备相应资质证书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blHeader/>
          <w:jc w:val="center"/>
        </w:trPr>
        <w:tc>
          <w:tcPr>
            <w:tcW w:w="1170"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2</w:t>
            </w:r>
          </w:p>
        </w:tc>
        <w:tc>
          <w:tcPr>
            <w:tcW w:w="1868"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技术负责人</w:t>
            </w:r>
          </w:p>
        </w:tc>
        <w:tc>
          <w:tcPr>
            <w:tcW w:w="1357"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1</w:t>
            </w:r>
          </w:p>
        </w:tc>
        <w:tc>
          <w:tcPr>
            <w:tcW w:w="3245"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具备相关项目经验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blHeader/>
          <w:jc w:val="center"/>
        </w:trPr>
        <w:tc>
          <w:tcPr>
            <w:tcW w:w="1170"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3</w:t>
            </w:r>
          </w:p>
        </w:tc>
        <w:tc>
          <w:tcPr>
            <w:tcW w:w="1868"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给排水工程师</w:t>
            </w:r>
          </w:p>
        </w:tc>
        <w:tc>
          <w:tcPr>
            <w:tcW w:w="1357"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2</w:t>
            </w:r>
          </w:p>
        </w:tc>
        <w:tc>
          <w:tcPr>
            <w:tcW w:w="3245"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专业匹配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blHeader/>
          <w:jc w:val="center"/>
        </w:trPr>
        <w:tc>
          <w:tcPr>
            <w:tcW w:w="1170"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4</w:t>
            </w:r>
          </w:p>
        </w:tc>
        <w:tc>
          <w:tcPr>
            <w:tcW w:w="1868"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暖通工程师</w:t>
            </w:r>
          </w:p>
        </w:tc>
        <w:tc>
          <w:tcPr>
            <w:tcW w:w="1357"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1</w:t>
            </w:r>
          </w:p>
        </w:tc>
        <w:tc>
          <w:tcPr>
            <w:tcW w:w="3245"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专业匹配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blHeader/>
          <w:jc w:val="center"/>
        </w:trPr>
        <w:tc>
          <w:tcPr>
            <w:tcW w:w="1170"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5</w:t>
            </w:r>
          </w:p>
        </w:tc>
        <w:tc>
          <w:tcPr>
            <w:tcW w:w="1868"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电气工程师</w:t>
            </w:r>
          </w:p>
        </w:tc>
        <w:tc>
          <w:tcPr>
            <w:tcW w:w="1357"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1</w:t>
            </w:r>
          </w:p>
        </w:tc>
        <w:tc>
          <w:tcPr>
            <w:tcW w:w="3245"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专业匹配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blHeader/>
          <w:jc w:val="center"/>
        </w:trPr>
        <w:tc>
          <w:tcPr>
            <w:tcW w:w="1170"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6</w:t>
            </w:r>
          </w:p>
        </w:tc>
        <w:tc>
          <w:tcPr>
            <w:tcW w:w="1868"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专职安全员</w:t>
            </w:r>
          </w:p>
        </w:tc>
        <w:tc>
          <w:tcPr>
            <w:tcW w:w="1357"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1</w:t>
            </w:r>
          </w:p>
        </w:tc>
        <w:tc>
          <w:tcPr>
            <w:tcW w:w="3245"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具备相应资质证书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blHeader/>
          <w:jc w:val="center"/>
        </w:trPr>
        <w:tc>
          <w:tcPr>
            <w:tcW w:w="1170"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7</w:t>
            </w:r>
          </w:p>
        </w:tc>
        <w:tc>
          <w:tcPr>
            <w:tcW w:w="1868"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BIM工程师</w:t>
            </w:r>
          </w:p>
        </w:tc>
        <w:tc>
          <w:tcPr>
            <w:tcW w:w="1357"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1</w:t>
            </w:r>
          </w:p>
        </w:tc>
        <w:tc>
          <w:tcPr>
            <w:tcW w:w="3245" w:type="dxa"/>
            <w:vAlign w:val="center"/>
          </w:tcPr>
          <w:p>
            <w:pPr>
              <w:pStyle w:val="9"/>
              <w:spacing w:before="156"/>
              <w:jc w:val="center"/>
              <w:outlineLvl w:val="9"/>
              <w:rPr>
                <w:rFonts w:ascii="Times New Roman" w:hAnsi="Times New Roman"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blHeader/>
          <w:jc w:val="center"/>
        </w:trPr>
        <w:tc>
          <w:tcPr>
            <w:tcW w:w="1170"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8</w:t>
            </w:r>
          </w:p>
        </w:tc>
        <w:tc>
          <w:tcPr>
            <w:tcW w:w="1868"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资料员</w:t>
            </w:r>
          </w:p>
        </w:tc>
        <w:tc>
          <w:tcPr>
            <w:tcW w:w="1357"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1</w:t>
            </w:r>
          </w:p>
        </w:tc>
        <w:tc>
          <w:tcPr>
            <w:tcW w:w="3245" w:type="dxa"/>
            <w:vAlign w:val="center"/>
          </w:tcPr>
          <w:p>
            <w:pPr>
              <w:pStyle w:val="9"/>
              <w:spacing w:before="156"/>
              <w:jc w:val="center"/>
              <w:outlineLvl w:val="9"/>
              <w:rPr>
                <w:rFonts w:ascii="Times New Roman" w:hAnsi="Times New Roman" w:eastAsia="宋体" w:cs="宋体"/>
                <w:sz w:val="24"/>
                <w:szCs w:val="24"/>
              </w:rPr>
            </w:pPr>
            <w:r>
              <w:rPr>
                <w:rFonts w:hint="eastAsia" w:ascii="Times New Roman" w:hAnsi="Times New Roman" w:eastAsia="宋体" w:cs="宋体"/>
                <w:sz w:val="24"/>
                <w:szCs w:val="24"/>
              </w:rPr>
              <w:t>具备完成一个完整项目资料</w:t>
            </w:r>
          </w:p>
        </w:tc>
      </w:tr>
    </w:tbl>
    <w:p>
      <w:pPr>
        <w:pStyle w:val="8"/>
        <w:snapToGrid w:val="0"/>
        <w:spacing w:before="156" w:beforeLines="50" w:after="156" w:line="360" w:lineRule="auto"/>
        <w:ind w:firstLine="480"/>
        <w:rPr>
          <w:rFonts w:ascii="Times New Roman" w:hAnsi="Times New Roman"/>
          <w:bCs/>
          <w:sz w:val="24"/>
        </w:rPr>
      </w:pPr>
      <w:r>
        <w:rPr>
          <w:rFonts w:hint="eastAsia" w:ascii="Times New Roman" w:hAnsi="Times New Roman"/>
          <w:bCs/>
          <w:sz w:val="24"/>
        </w:rPr>
        <w:t>（8）中标方应做好日常的疫情防控工作，所需费用包含在投标报价中，中标后不予计量相关疫情防控费用。</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9）投标方中标后采购的所有设备，如果是进口设备应提供包括报关文件在内的所有技术资料，所有设备应提供设备生产厂的授权书及售后服务承诺书，招标方有权进行出厂前验收，中标方必须服从并给予配合。所有设备到场后，招标方将随机抽取部分产品（包括水泵、板换等），组织三检单位对设备上检测台进行性能检验，如果性能不满足设计要求，中标方无条件进行更换，造成招标方损失的按违约条款处理。</w:t>
      </w:r>
    </w:p>
    <w:p>
      <w:pPr>
        <w:spacing w:line="360" w:lineRule="auto"/>
        <w:ind w:firstLine="482" w:firstLineChars="200"/>
        <w:outlineLvl w:val="1"/>
        <w:rPr>
          <w:b/>
          <w:sz w:val="24"/>
        </w:rPr>
      </w:pPr>
      <w:r>
        <w:rPr>
          <w:rFonts w:hint="eastAsia"/>
          <w:b/>
          <w:sz w:val="24"/>
        </w:rPr>
        <w:t>2、施工管理的要求</w:t>
      </w:r>
    </w:p>
    <w:p>
      <w:pPr>
        <w:tabs>
          <w:tab w:val="left" w:pos="832"/>
        </w:tabs>
        <w:spacing w:line="360" w:lineRule="auto"/>
        <w:ind w:firstLine="480"/>
        <w:outlineLvl w:val="2"/>
        <w:rPr>
          <w:rFonts w:cs="仿宋_GB2312"/>
          <w:b/>
          <w:kern w:val="0"/>
          <w:sz w:val="24"/>
        </w:rPr>
      </w:pPr>
      <w:r>
        <w:rPr>
          <w:rFonts w:hint="eastAsia" w:cs="仿宋_GB2312"/>
          <w:b/>
          <w:kern w:val="0"/>
          <w:sz w:val="24"/>
        </w:rPr>
        <w:t>2.1 总体要求</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（1）货物到达目的地后，中标方应及时通知招标方及监理单位（若有）一起根据运货单和装箱清单组织对货物包装、外观和数量进行清点检验，如果发现不符合之处应无条件退换货；</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（2）本工程设备安装由投标方进行。施工期间中标方需在项目现场配套项目经理部，项目经理部人员至少包括工艺负责人、项目管理负责人（施工驻场）、运营管理负责人（运营驻场）、QC 专员和安全管理人员（施工驻场），各成员不允许相互兼职。</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（3）中标方根据安装进度要求安排详细安装计划、安装方案及工艺要求。中方所提供的安装和调试方案须取得招标方认可后，方可实施；</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4）中标方应向招标方提出合同设备所有基础的图纸，并根据土建施工单位提交的设备安装基础及时参与验收并进行交接手续，包括检查中心线、标高、预埋柱脚螺栓（或其它预埋件）的跨距、丝扣的外观质量、偏移量等，发现问题及时解决，以便安装进度计划的顺利施工；</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（5）中标方安装进度满足招标方工程进度要求，对工程进度检查、动态控制和及时调整；</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（6）中标方应制定施工安全、质量目标，杜绝各类事故的发生，各分项、分部、单位工程达到合格标准且符合技术协议的要求；</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（7）中标方应掌握和熟悉质量控制的技术依据,如施工图纸、施工承包合同、工程质量验收规范、工程建设强制性标准等；</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（8）中标方项目负责人、项目技术负责人及工程师熟悉施工图纸，参与由招标方组织的设计交底和施工图纸会审会议，整理图纸会审纪要；</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9）中标方向招标方及项目监理部（若有）报送施工组织设计（包含施工进度计划）、专项施工方案及作业指导书、营业执照、资质证书、质量保证体系（包括项目组织机构、质量/技术管理制度）、安全保证体系、安全生产许可证、专职管理人员和特殊工种人员的资格证、上岗证等；</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（10）中标方应向招标方及项目监理部（若有）报送的工程检测、计量仪器具检定证书及专职测量人员的岗位证书，并对单位工程坐标定位测量、工程基线进行复核；</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（11）中标方应向招标方及项目监理部（若有）报送的工程施工材料/构配件/设备报审表，对用于工程施工的主要原材料、构配件等按规定进行见证取样抽检，经检验合格后使用；</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（12）中标方施工机械设备的质量检查：</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1）检查进场的机械设备是否符合施工组织设计内容要求；</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2）核查现场施工机械和设施的安装验收手续；</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3）对机械设备的使用、操作要求检查，是否实行定机、定人、定岗位责任的“三定”制度，有无制定相关的操作规程。</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（13）中标方的安装工作包含物化及污水处理系统、供水系统范围内的安装和土建的配合等；</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（14）中标方应向招标方及项目监理部（若有）提交的质量检验项目划分报审表；</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（15）中标方应检查施工场地的清障工作，特别是地下管道、电缆的清理，施工场地是否满足工程开工条件；</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16）中标方进行施工现场质量管理检查记录，向项目监理部报送开工申请报告。检查项目经理部现场管理人员是否到位，施工机具、施工人员是否进场，主要工程材料是否落实，“三通一平”工作是否满足开工要求等；</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（17）中标方施工工艺过程的质量控制，检查施工过程中的人员、机械设备、施工材料、施工方法、检测仪器及施工环境条件等（即人、机、料、法、仪、环）是否均处在良好的状态，是否符合工程质量的要求；</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（18）施工过程中，中标方应对部分重要部位、环节应进行现场检查，并填写检查记录；</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19）中标方各道工序、分项工程检查验收：坚持上道工序不经检查验收或验收不合格，不得进行下道工序施工的原则。上道工序完工后，先由投标方进行自检，自检合格后，填写报验申请表，书面通知现场监理人员到现场检查验收，经检验合格后监理人员予以签认；</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20）隐蔽工程检查验收：隐蔽工程完成后，中标方进行自检，自查合格后项目经理部填写报验申请表，通知现场招标方及监理人员（若有）检查验收，经检验合格后招标方及监理人员（若有）予以签认。检验合格后方可隐蔽。如果在检查验收中，发现有不符合验收规范和设计要求之处，应立即进行纠正，纠正后再进行验收，直至合格为止；</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（21）工程（设计）变更和处理：工程变更由提议单位提出变更申请，经招标方、设计、监理（若有）三方同意后进行变更设计，未经批准同意不得变更；</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（22）对施工过程中出现的质量缺陷中标方应及时整改至符合要求；</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（23）中标方发现施工存在重大质量隐患，可能造成质量事故或已经造成质量事故时，应停工整改，并报送招标方。整改完毕并经招标方及监理人员（若有）复查，符合规定要求后及时复工；</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（24）对需要返工处理或加固补强的质量事故中标方应报送质量事故处理方案，处理方案经由招标方批准实施，中标方对处理过程及处理结果进行跟踪检查和验证；</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（25）建立施工日记：现场人员应按招标方的要求，对当日现场施工情况逐一作记录；</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（26）中标方参加工地有关的会议（监理例会、专题会等）；</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（27）中标方应进行施工技术交底会，对特殊部位的工序做施工技术交底；</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（28）中标方完成承包合同规定的施工内容，经自检合格后，参加由招标方及监理人员（若有）组织的工程竣工预验收。中标方应报送的竣工资料。对检查出的问题，中标方及时进行整改；</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（29）参加由招标方组织的工程竣工验收，并提供相关施工资料；</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（30）在招标方组织下，完成竣工图、并整理归档资料；</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（31）中标方应根据工程项目实际，设置专职或兼职安全监理人员，并明确岗位职责。安全人员应当依照法律、法规和建设工程强制性标准实施；</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（32）中标方建立安全保证体系、安全责任制，制定各工种安全技术操作规程，并督促项目各分包单位的安全生产制度；</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33）中标方应检查施工组织设计中的安全技术措施及安全专项施工方案、施工现场临时用电施工方案或者安全用电技术措施和电气防火措施是否符合安全生产强制性标准要求，冬季、雨季等季节性施工方案的制定是否符合实际需要；</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（34）安全控制以预防为主，坚持“三不”措施：无安全措施不施工，隐患不排除不施工，无安全条件不施工；</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（35）中标方作业人员应当遵守国家建筑安全标准和安全技术操作规程，进入施工现场必须正确使用合格的安全防护用品及施工机械设备；</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（36）中标方应核查施工现场建筑施工机械和安全设施的验收手续，并签署监理意见。进入施工现场的施工起重机械必须按规定检测合格后方可投入使用；</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（37）中标方在建工程临时施工用电必须采用“三相五线制”，宜使用五芯电缆；</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（38）中标方检查施工现场各种安全标志和安全网架设、临时用电设备等安全防护、文明施工措施是否符合有关工程技术标准规范要求；</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（39）中标方应检查施工现场安全防护是否符合投标时承诺和《建筑施工现场环境与卫生标准》等标准要求情况；</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（40）中标方及时制止施工中的违规作业等现象，对严重危及人身设备安全的可下施工暂停令，直至整改合格后方可复工；</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41）中标方对安全事故的处理：对施工中发生的安全事故，按照“三不放过原则”（即事故原因没查清楚不放过、事故责任者和应受到教育者没有受到教育不放过、没有采取防范措施不放过），参与事故调查、责任原因分析和处理；</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（42）施工现场主要出入口投标方应设置企业的门头标志和规范的 “五牌一图”（工程概况牌、管理人员名单及监督电话牌、消防保卫牌、安全生产牌、文明施工牌和施工现场总平面图），实行封闭管理；在施工现场危险部位应设置符合国家标准的安全警示牌；</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（43）施工临时设施投标方应按《建筑施工安全检查标准》规定设置，不得使用石棉瓦和易燃材料搭设；</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（44）中标方工程施工对地下管线、毗邻建筑物、构筑物和特殊作业环境可能造成损坏的，项目经理部必须采取安全防护措施；</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（45）中标方应当按照规定采取噪声、固体废物和废水等污染环境的有效措施；</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46）中标方应当按照《安全检查标准》的规定，开展施工现场文明施工。工程施工场地主要道路必须进行硬底化处理，并做好排水设施。工程施工现场应当全过程做好保洁工作；中标方报价中包含招标方领导、政府检查组等临时大清扫的临星费用；</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（47）建筑材料应当按照建设工程施工现场平面布置图确定的位置归类堆放。可能产生尘污染的建筑材料应当在库房内存放或者严密遮盖。存放油料、油漆等必须有防止泄漏和防止污染措施；</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（48）中标方必须将施工现场的施工区和生活区分隔设置，不得在宿舍生火煮食。环境应进行绿化和美化。装配式活动房屋应当有产品合格证；</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49）中标方应督促和检查施工现场施工人员的安全教育和特殊工种人员的考核培训。安全教育不合格的人员禁止进场施工，无特殊工种作业合格证的人员禁止从事特殊作业，如电工、焊工、操作、驾驶、起重、爆破、架子工等；</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（50）中标方的事故应急预案，针对不同阶段的施工任务，提出安全工作重点，督促提前做好事故的预测、预防、预控工作，对所有工人购买保险；</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（51）任何施工项目施工前投标方必须有切实可行的施工方案和安全技术措施，重要的施工项目应办理安全施工作业票，经单位技术负责人批准后报监理部审查、签署意见；</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（52）中标方应加强安全教育宣传，建立安全教育区，设置安全宣传栏，组织施工人员以班组为单位，认真开展每周一次的安全活动，开好工作前的站班会，并做好活动记录和交底记录；</w:t>
      </w:r>
    </w:p>
    <w:p>
      <w:pPr>
        <w:tabs>
          <w:tab w:val="left" w:pos="832"/>
        </w:tabs>
        <w:spacing w:line="360" w:lineRule="auto"/>
        <w:ind w:firstLine="480"/>
        <w:outlineLvl w:val="2"/>
        <w:rPr>
          <w:rFonts w:cs="仿宋_GB2312"/>
          <w:b/>
          <w:kern w:val="0"/>
          <w:sz w:val="24"/>
        </w:rPr>
      </w:pPr>
      <w:r>
        <w:rPr>
          <w:rFonts w:hint="eastAsia" w:cs="仿宋_GB2312"/>
          <w:b/>
          <w:kern w:val="0"/>
          <w:sz w:val="24"/>
        </w:rPr>
        <w:t>2.2材料、设备检验和试验</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（1）中标方采购的设备在交货前应提供下列技术资料：</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①安装、运行、维护、检修所需的详尽图纸和技术文件，包括设备总图、部件总图、分图和必要的零件图、计算资料等；</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②详细的产品质量文件，包括材质、材质检验、焊接、热处理、加工质量、外形尺寸、水压试验和性能检验等的证明；</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③设备和备品管理资料文件，包括设备和备品发运和装箱的详细资料（各种清单），备品存放保管技术要求；</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④系统设计、安装、运行、维护、检修说明书，包括系统设备结构特点、安装程序和系统要求、起动调试要领、运行操作规定和控制数据、定期校验和维护说明等；</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⑤系统的详细操作、控制中文版说明书；</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⑥设备的维修手册.</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（2）中标方负责采购的材料和工程设备到达施工现场后，投标方应通知监理人共同进行检验和开箱验收，验收时应同时查验材质证明和产品合格证书。</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（3）中标方还应按国家规范的规定进行材料的抽样检验和工程设备的检验测试，并将检验结果提交监理人，其所需费用由投标方承担。</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（4）额外检验和重新检验</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①若监理人要求投标方对某项材料和工程设备进行的检查和检验超出国家规范和本合同的规定，监理人可以指示投标方增加额外检验，投标方应遵照执行。</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②投标方不按合同相应的规定完成监理人指示的检查和检验工作，监理人可以指派自己的人员或委托其它有资质的检验机构或人员进行检查和检验，投标方不得拒绝，并应提供一切方便。由此增加的费用和工期延误责任由投标方承担。</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③不论何种原因，若监理人对以往的检验结果有疑问时，可以指示投标方重新检验，投标方不得拒绝。</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（5）招标方人员有权在加工、生产和施工期间（在现场和其他合同规定的范围），对材料和工艺进行检查、检验、测量和试验，并对工程设备的制造和材料的加工生产进度进行检查。</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（6）中标方应向招标方员进行上述活动提供一切机会，包括提供进入条件、设施、许可和安全装备，此类活动不应解除投标方的任何义务和职责。</w:t>
      </w:r>
    </w:p>
    <w:p>
      <w:pPr>
        <w:spacing w:line="360" w:lineRule="auto"/>
        <w:ind w:firstLine="482" w:firstLineChars="200"/>
        <w:outlineLvl w:val="1"/>
        <w:rPr>
          <w:b/>
          <w:sz w:val="24"/>
        </w:rPr>
      </w:pPr>
      <w:r>
        <w:rPr>
          <w:rFonts w:hint="eastAsia"/>
          <w:b/>
          <w:sz w:val="24"/>
        </w:rPr>
        <w:t>3、质量保证和备品备件</w:t>
      </w:r>
    </w:p>
    <w:p>
      <w:pPr>
        <w:tabs>
          <w:tab w:val="left" w:pos="832"/>
        </w:tabs>
        <w:spacing w:line="360" w:lineRule="auto"/>
        <w:ind w:firstLine="480"/>
        <w:outlineLvl w:val="2"/>
        <w:rPr>
          <w:rFonts w:cs="仿宋_GB2312"/>
          <w:b/>
          <w:kern w:val="0"/>
          <w:sz w:val="24"/>
        </w:rPr>
      </w:pPr>
      <w:r>
        <w:rPr>
          <w:rFonts w:hint="eastAsia" w:cs="仿宋_GB2312"/>
          <w:b/>
          <w:kern w:val="0"/>
          <w:sz w:val="24"/>
        </w:rPr>
        <w:t>3.1质量保证</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（1）合同项目内设备及安装工程的质量保证期为自系统通过竣工验收之日起 24 个月。质量保证期内所有维护、维修费用均包含在投标报价中，后期不单独予以计量。整体系统运行提供终身技术咨询及指导服务；</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（2）在质量保证期内，中标方在收到招标方通知后，维修人员必须在 48 小时内到达现场，3天内应免费维修或更换有缺陷的货物或部件。更换的货物或部件的质保期顺延；</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（3）如果中标方在收到通知后 3 天内没有弥补缺陷，招标方可采取必要的补救措施，但风险和费用将由投标方承担。</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（4）根据招标方要求，中标方应免费及时修补软件缺陷，定期免费升级软件版本；</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（5）在质保期内非人为损坏应免费负责维修；</w:t>
      </w:r>
    </w:p>
    <w:p>
      <w:pPr>
        <w:tabs>
          <w:tab w:val="left" w:pos="832"/>
        </w:tabs>
        <w:spacing w:line="360" w:lineRule="auto"/>
        <w:ind w:firstLine="480"/>
        <w:outlineLvl w:val="2"/>
        <w:rPr>
          <w:rFonts w:cs="仿宋_GB2312"/>
          <w:b/>
          <w:kern w:val="0"/>
          <w:sz w:val="24"/>
        </w:rPr>
      </w:pPr>
      <w:r>
        <w:rPr>
          <w:rFonts w:hint="eastAsia" w:cs="仿宋_GB2312"/>
          <w:b/>
          <w:kern w:val="0"/>
          <w:sz w:val="24"/>
        </w:rPr>
        <w:t>3.2备品备件</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中标方应提供系统正常运行所需的备品备件、操作维保工具、易损部件清单和价格表，费用包含在投标报价中，后期不单独予以计量。非标准备品备件、易损部件需提供制作加工图纸。如若投标方提供的备品备件无法满足实际运行所需，必须及时补足，费用含在报价中。</w:t>
      </w:r>
    </w:p>
    <w:p>
      <w:pPr>
        <w:spacing w:line="360" w:lineRule="auto"/>
        <w:ind w:firstLine="482" w:firstLineChars="200"/>
        <w:outlineLvl w:val="1"/>
        <w:rPr>
          <w:b/>
          <w:sz w:val="24"/>
        </w:rPr>
      </w:pPr>
      <w:r>
        <w:rPr>
          <w:rFonts w:hint="eastAsia"/>
          <w:b/>
          <w:sz w:val="24"/>
        </w:rPr>
        <w:t>4、工程验收和移交</w:t>
      </w:r>
    </w:p>
    <w:p>
      <w:pPr>
        <w:tabs>
          <w:tab w:val="left" w:pos="832"/>
        </w:tabs>
        <w:spacing w:line="360" w:lineRule="auto"/>
        <w:ind w:firstLine="480"/>
        <w:outlineLvl w:val="2"/>
        <w:rPr>
          <w:rFonts w:cs="仿宋_GB2312"/>
          <w:b/>
          <w:kern w:val="0"/>
          <w:sz w:val="24"/>
        </w:rPr>
      </w:pPr>
      <w:r>
        <w:rPr>
          <w:rFonts w:hint="eastAsia" w:cs="仿宋_GB2312"/>
          <w:b/>
          <w:kern w:val="0"/>
          <w:sz w:val="24"/>
        </w:rPr>
        <w:t>4.1前提条件</w:t>
      </w:r>
    </w:p>
    <w:p>
      <w:pPr>
        <w:pStyle w:val="8"/>
        <w:snapToGrid w:val="0"/>
        <w:spacing w:before="156" w:beforeLines="50" w:after="156" w:line="360" w:lineRule="auto"/>
        <w:ind w:firstLine="480"/>
        <w:rPr>
          <w:rFonts w:ascii="Times New Roman" w:hAnsi="Times New Roman"/>
          <w:bCs/>
          <w:sz w:val="24"/>
        </w:rPr>
      </w:pPr>
      <w:r>
        <w:rPr>
          <w:rFonts w:hint="eastAsia" w:ascii="Times New Roman" w:hAnsi="Times New Roman"/>
          <w:bCs/>
          <w:sz w:val="24"/>
        </w:rPr>
        <w:t>本工程竣工验收前应经过试车试运行合格，系统性能及使用安全性需经过招标方确认认可，系统涉及压力容器及相关安全附件的应取得使用登记及校检合格证书，且工程竣工资料已经整理齐全。具备以上条件的方可办理工程移交。</w:t>
      </w:r>
    </w:p>
    <w:p>
      <w:pPr>
        <w:tabs>
          <w:tab w:val="left" w:pos="832"/>
        </w:tabs>
        <w:spacing w:line="360" w:lineRule="auto"/>
        <w:ind w:firstLine="480"/>
        <w:outlineLvl w:val="2"/>
        <w:rPr>
          <w:rFonts w:cs="仿宋_GB2312"/>
          <w:b/>
          <w:kern w:val="0"/>
          <w:sz w:val="24"/>
        </w:rPr>
      </w:pPr>
      <w:r>
        <w:rPr>
          <w:rFonts w:hint="eastAsia" w:cs="仿宋_GB2312"/>
          <w:b/>
          <w:kern w:val="0"/>
          <w:sz w:val="24"/>
        </w:rPr>
        <w:t>4.2工程资料的移交</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中标方移交技术资料完毕。至少包括（但不限于）如下资料：</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（1）方案优化设计；</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（2）设计变更文件；</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（3）制造厂设备竣工图纸、说明书、质保书、出厂证明等设备技术文件资料；</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（4）系统的工艺技术指标、操作规程、安全规程等；</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（5）工程施工的所有工程文件资料；</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（6）政府管理部门对特种设备的安全管理、质量管理、计量要求等的检验合格资料；</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（7）完整的整体工程竣工图纸 10 份，竣工图纸应包括但不限于：图纸目录、施工设计说明、工艺、电气及仪表自控设备明细表、工艺、电气及仪表自控材料表、带控制点的工艺流程图、设备、管道、电缆等平面/剖面布置图、检测及控制回路接线原理图、控制系统配置示意图、控制系统供电原理图、I/O 表、仪表电缆敷设系统图（或电缆表）、仪表电缆平面敷设图、各现场测量仪表安装示意图、设备平立面布置图（检修、操作平台和梯子）、同时移交资料还应包括各采购设备必备的所有资料。</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（8）易损件及非标备品备件的制作图；</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（9）中标方提供的技术服务内容及措施；</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（10）售后服务承诺，包括内容及措施。</w:t>
      </w:r>
    </w:p>
    <w:p>
      <w:pPr>
        <w:tabs>
          <w:tab w:val="left" w:pos="832"/>
        </w:tabs>
        <w:spacing w:line="360" w:lineRule="auto"/>
        <w:ind w:firstLine="480"/>
        <w:outlineLvl w:val="2"/>
        <w:rPr>
          <w:rFonts w:cs="仿宋_GB2312"/>
          <w:b/>
          <w:kern w:val="0"/>
          <w:sz w:val="24"/>
        </w:rPr>
      </w:pPr>
      <w:r>
        <w:rPr>
          <w:rFonts w:hint="eastAsia" w:cs="仿宋_GB2312"/>
          <w:b/>
          <w:kern w:val="0"/>
          <w:sz w:val="24"/>
        </w:rPr>
        <w:t>4.3 其他移交</w:t>
      </w:r>
    </w:p>
    <w:p>
      <w:pPr>
        <w:pStyle w:val="8"/>
        <w:snapToGrid w:val="0"/>
        <w:spacing w:before="156" w:beforeLines="50" w:after="156" w:line="360" w:lineRule="auto"/>
        <w:ind w:firstLine="480"/>
        <w:rPr>
          <w:rFonts w:ascii="Times New Roman" w:hAnsi="Times New Roman"/>
          <w:bCs/>
          <w:sz w:val="24"/>
        </w:rPr>
      </w:pPr>
      <w:r>
        <w:rPr>
          <w:rFonts w:hint="eastAsia" w:ascii="Times New Roman" w:hAnsi="Times New Roman"/>
          <w:bCs/>
          <w:sz w:val="24"/>
        </w:rPr>
        <w:t>中标方按设备合同供应的备品备件、配件、专用仪器和专用工具交付招标方。</w:t>
      </w:r>
    </w:p>
    <w:p>
      <w:pPr>
        <w:tabs>
          <w:tab w:val="left" w:pos="832"/>
        </w:tabs>
        <w:spacing w:line="360" w:lineRule="auto"/>
        <w:ind w:firstLine="480"/>
        <w:outlineLvl w:val="2"/>
        <w:rPr>
          <w:rFonts w:cs="仿宋_GB2312"/>
          <w:b/>
          <w:kern w:val="0"/>
          <w:sz w:val="24"/>
        </w:rPr>
      </w:pPr>
      <w:r>
        <w:rPr>
          <w:rFonts w:hint="eastAsia" w:cs="仿宋_GB2312"/>
          <w:b/>
          <w:kern w:val="0"/>
          <w:sz w:val="24"/>
        </w:rPr>
        <w:t>4.4 缺陷责任期（免费质保期）</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（1）本项目的缺陷责任期（免费质保期）为竣工验收合格之日起 24 个月，在该缺陷责任期内所有维护、维修费用均包含在投标报价中，后期不单独予以计量。整体系统运行提供终身技术咨询及指导服务；</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（2）在质量保证期内，中标方在收到招标方通知后，维修人员必须在 48 小时内到达现场，3天内应免费维修或更换有缺陷的货物或部件。更换的货物或部件的质保期顺延；</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（3）如果中标方在收到通知后 3 天内没有弥补缺陷，招标方可采取必要的补救措施，但风险和费用将由投标方承担；</w:t>
      </w:r>
    </w:p>
    <w:p>
      <w:pPr>
        <w:pStyle w:val="8"/>
        <w:snapToGrid w:val="0"/>
        <w:spacing w:before="156" w:after="156" w:line="360" w:lineRule="auto"/>
        <w:ind w:firstLine="480"/>
        <w:rPr>
          <w:rFonts w:ascii="Times New Roman" w:hAnsi="Times New Roman"/>
          <w:bCs/>
          <w:sz w:val="24"/>
        </w:rPr>
      </w:pPr>
      <w:r>
        <w:rPr>
          <w:rFonts w:hint="eastAsia" w:ascii="Times New Roman" w:hAnsi="Times New Roman"/>
          <w:bCs/>
          <w:sz w:val="24"/>
        </w:rPr>
        <w:t>（4）根据招标方要求，中标方应免费及时修补软件缺陷，定期免费升级软件版本；</w:t>
      </w:r>
    </w:p>
    <w:p>
      <w:pPr>
        <w:pStyle w:val="8"/>
        <w:snapToGrid w:val="0"/>
        <w:spacing w:before="156" w:after="156" w:line="360" w:lineRule="auto"/>
        <w:ind w:firstLine="480"/>
        <w:rPr>
          <w:rFonts w:ascii="Times New Roman" w:hAnsi="Times New Roman"/>
          <w:bCs/>
          <w:sz w:val="24"/>
          <w:u w:val="single"/>
        </w:rPr>
      </w:pPr>
      <w:r>
        <w:rPr>
          <w:rFonts w:hint="eastAsia" w:ascii="Times New Roman" w:hAnsi="Times New Roman"/>
          <w:bCs/>
          <w:sz w:val="24"/>
        </w:rPr>
        <w:t>（5）在质保期内非人为损坏应免费负责维修，且反馈时效性必须在12小时内，若反馈不及时造成损失，招标方有权索赔。</w:t>
      </w:r>
    </w:p>
    <w:p>
      <w:pPr>
        <w:rPr>
          <w:bCs/>
          <w:sz w:val="24"/>
        </w:rPr>
      </w:pPr>
      <w:r>
        <w:rPr>
          <w:rFonts w:hint="eastAsia"/>
          <w:bCs/>
          <w:sz w:val="24"/>
        </w:rPr>
        <w:br w:type="page"/>
      </w:r>
    </w:p>
    <w:p>
      <w:pPr>
        <w:pStyle w:val="8"/>
        <w:numPr>
          <w:ilvl w:val="0"/>
          <w:numId w:val="2"/>
        </w:numPr>
        <w:spacing w:before="156" w:beforeLines="50" w:after="156" w:afterLines="50" w:line="360" w:lineRule="auto"/>
        <w:ind w:firstLineChars="0"/>
        <w:outlineLvl w:val="0"/>
        <w:rPr>
          <w:rFonts w:ascii="Times New Roman" w:hAnsi="Times New Roman"/>
          <w:bCs/>
          <w:sz w:val="24"/>
        </w:rPr>
      </w:pPr>
      <w:r>
        <w:rPr>
          <w:rFonts w:hint="eastAsia" w:ascii="Times New Roman" w:hAnsi="Times New Roman"/>
          <w:bCs/>
          <w:sz w:val="24"/>
        </w:rPr>
        <w:t>采购项目交货要求</w:t>
      </w:r>
    </w:p>
    <w:p>
      <w:pPr>
        <w:adjustRightInd w:val="0"/>
        <w:snapToGrid w:val="0"/>
        <w:spacing w:line="480" w:lineRule="auto"/>
        <w:ind w:firstLine="480" w:firstLineChars="200"/>
        <w:rPr>
          <w:bCs/>
          <w:sz w:val="24"/>
          <w:u w:val="single"/>
        </w:rPr>
      </w:pPr>
      <w:r>
        <w:rPr>
          <w:rFonts w:hint="eastAsia"/>
          <w:bCs/>
          <w:sz w:val="24"/>
        </w:rPr>
        <w:t>1、交货时间：</w:t>
      </w:r>
      <w:r>
        <w:rPr>
          <w:rFonts w:hint="eastAsia"/>
          <w:bCs/>
          <w:sz w:val="24"/>
          <w:u w:val="single"/>
        </w:rPr>
        <w:t>合同签订后8个月或接到招标方书面通知后3个月内；</w:t>
      </w:r>
    </w:p>
    <w:p>
      <w:pPr>
        <w:adjustRightInd w:val="0"/>
        <w:snapToGrid w:val="0"/>
        <w:spacing w:line="480" w:lineRule="auto"/>
        <w:ind w:firstLine="480" w:firstLineChars="200"/>
        <w:rPr>
          <w:bCs/>
          <w:sz w:val="24"/>
          <w:u w:val="single"/>
        </w:rPr>
      </w:pPr>
      <w:r>
        <w:rPr>
          <w:rFonts w:hint="eastAsia"/>
          <w:bCs/>
          <w:sz w:val="24"/>
        </w:rPr>
        <w:t>2、交货地点：</w:t>
      </w:r>
      <w:r>
        <w:rPr>
          <w:rFonts w:hint="eastAsia"/>
          <w:bCs/>
          <w:sz w:val="24"/>
          <w:u w:val="single"/>
        </w:rPr>
        <w:t>广东省惠州市惠东县CiADS装置区D01子项内。</w:t>
      </w:r>
    </w:p>
    <w:p>
      <w:pPr>
        <w:spacing w:line="360" w:lineRule="auto"/>
        <w:rPr>
          <w:rFonts w:ascii="宋体" w:hAnsi="宋体" w:cs="宋体"/>
          <w:b/>
          <w:sz w:val="30"/>
          <w:szCs w:val="30"/>
        </w:rPr>
      </w:pPr>
    </w:p>
    <w:p>
      <w:bookmarkStart w:id="8" w:name="_GoBack"/>
      <w:bookmarkEnd w:id="8"/>
    </w:p>
    <w:sectPr>
      <w:headerReference r:id="rId4" w:type="first"/>
      <w:headerReference r:id="rId3" w:type="default"/>
      <w:footerReference r:id="rId5"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Segoe UI Symbol">
    <w:panose1 w:val="020B0502040204020203"/>
    <w:charset w:val="00"/>
    <w:family w:val="swiss"/>
    <w:pitch w:val="default"/>
    <w:sig w:usb0="800001E3" w:usb1="1200FFEF" w:usb2="00040000" w:usb3="04000000" w:csb0="00000001" w:csb1="4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fldChar w:fldCharType="begin"/>
    </w:r>
    <w:r>
      <w:instrText xml:space="preserve">PAGE   \* MERGEFORMAT</w:instrText>
    </w:r>
    <w:r>
      <w:fldChar w:fldCharType="separate"/>
    </w:r>
    <w:r>
      <w:rPr>
        <w:lang w:val="zh-CN"/>
      </w:rP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both"/>
    </w:pPr>
    <w:r>
      <w:rPr>
        <w:rFonts w:hint="eastAsia"/>
        <w:i/>
      </w:rPr>
      <w:t>东方国际招标有限责任公司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before="120"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A8D37D"/>
    <w:multiLevelType w:val="singleLevel"/>
    <w:tmpl w:val="84A8D37D"/>
    <w:lvl w:ilvl="0" w:tentative="0">
      <w:start w:val="1"/>
      <w:numFmt w:val="decimal"/>
      <w:suff w:val="nothing"/>
      <w:lvlText w:val="（%1）"/>
      <w:lvlJc w:val="left"/>
    </w:lvl>
  </w:abstractNum>
  <w:abstractNum w:abstractNumId="1">
    <w:nsid w:val="869F8E1D"/>
    <w:multiLevelType w:val="singleLevel"/>
    <w:tmpl w:val="869F8E1D"/>
    <w:lvl w:ilvl="0" w:tentative="0">
      <w:start w:val="1"/>
      <w:numFmt w:val="decimal"/>
      <w:suff w:val="nothing"/>
      <w:lvlText w:val="（%1）"/>
      <w:lvlJc w:val="left"/>
    </w:lvl>
  </w:abstractNum>
  <w:abstractNum w:abstractNumId="2">
    <w:nsid w:val="88C8F456"/>
    <w:multiLevelType w:val="singleLevel"/>
    <w:tmpl w:val="88C8F456"/>
    <w:lvl w:ilvl="0" w:tentative="0">
      <w:start w:val="1"/>
      <w:numFmt w:val="decimalEnclosedCircleChinese"/>
      <w:suff w:val="nothing"/>
      <w:lvlText w:val="%1　"/>
      <w:lvlJc w:val="left"/>
      <w:pPr>
        <w:ind w:left="0" w:firstLine="400"/>
      </w:pPr>
      <w:rPr>
        <w:rFonts w:hint="eastAsia"/>
      </w:rPr>
    </w:lvl>
  </w:abstractNum>
  <w:abstractNum w:abstractNumId="3">
    <w:nsid w:val="92037F24"/>
    <w:multiLevelType w:val="singleLevel"/>
    <w:tmpl w:val="92037F24"/>
    <w:lvl w:ilvl="0" w:tentative="0">
      <w:start w:val="1"/>
      <w:numFmt w:val="decimalEnclosedCircleChinese"/>
      <w:suff w:val="nothing"/>
      <w:lvlText w:val="%1　"/>
      <w:lvlJc w:val="left"/>
      <w:pPr>
        <w:ind w:left="0" w:firstLine="400"/>
      </w:pPr>
      <w:rPr>
        <w:rFonts w:hint="eastAsia"/>
      </w:rPr>
    </w:lvl>
  </w:abstractNum>
  <w:abstractNum w:abstractNumId="4">
    <w:nsid w:val="942BD9BD"/>
    <w:multiLevelType w:val="singleLevel"/>
    <w:tmpl w:val="942BD9BD"/>
    <w:lvl w:ilvl="0" w:tentative="0">
      <w:start w:val="1"/>
      <w:numFmt w:val="decimal"/>
      <w:suff w:val="nothing"/>
      <w:lvlText w:val="（%1）"/>
      <w:lvlJc w:val="left"/>
    </w:lvl>
  </w:abstractNum>
  <w:abstractNum w:abstractNumId="5">
    <w:nsid w:val="98961938"/>
    <w:multiLevelType w:val="singleLevel"/>
    <w:tmpl w:val="98961938"/>
    <w:lvl w:ilvl="0" w:tentative="0">
      <w:start w:val="1"/>
      <w:numFmt w:val="decimalEnclosedCircleChinese"/>
      <w:suff w:val="nothing"/>
      <w:lvlText w:val="%1　"/>
      <w:lvlJc w:val="left"/>
      <w:pPr>
        <w:ind w:left="0" w:firstLine="400"/>
      </w:pPr>
      <w:rPr>
        <w:rFonts w:hint="eastAsia"/>
      </w:rPr>
    </w:lvl>
  </w:abstractNum>
  <w:abstractNum w:abstractNumId="6">
    <w:nsid w:val="989C4E65"/>
    <w:multiLevelType w:val="singleLevel"/>
    <w:tmpl w:val="989C4E65"/>
    <w:lvl w:ilvl="0" w:tentative="0">
      <w:start w:val="1"/>
      <w:numFmt w:val="decimalEnclosedCircleChinese"/>
      <w:suff w:val="nothing"/>
      <w:lvlText w:val="%1　"/>
      <w:lvlJc w:val="left"/>
      <w:pPr>
        <w:ind w:left="0" w:firstLine="400"/>
      </w:pPr>
      <w:rPr>
        <w:rFonts w:hint="eastAsia"/>
      </w:rPr>
    </w:lvl>
  </w:abstractNum>
  <w:abstractNum w:abstractNumId="7">
    <w:nsid w:val="9CEFCB05"/>
    <w:multiLevelType w:val="singleLevel"/>
    <w:tmpl w:val="9CEFCB05"/>
    <w:lvl w:ilvl="0" w:tentative="0">
      <w:start w:val="2"/>
      <w:numFmt w:val="decimal"/>
      <w:suff w:val="nothing"/>
      <w:lvlText w:val="（%1）"/>
      <w:lvlJc w:val="left"/>
    </w:lvl>
  </w:abstractNum>
  <w:abstractNum w:abstractNumId="8">
    <w:nsid w:val="A1D645F1"/>
    <w:multiLevelType w:val="singleLevel"/>
    <w:tmpl w:val="A1D645F1"/>
    <w:lvl w:ilvl="0" w:tentative="0">
      <w:start w:val="1"/>
      <w:numFmt w:val="decimalEnclosedCircleChinese"/>
      <w:suff w:val="nothing"/>
      <w:lvlText w:val="%1　"/>
      <w:lvlJc w:val="left"/>
      <w:pPr>
        <w:ind w:left="0" w:firstLine="400"/>
      </w:pPr>
      <w:rPr>
        <w:rFonts w:hint="eastAsia"/>
      </w:rPr>
    </w:lvl>
  </w:abstractNum>
  <w:abstractNum w:abstractNumId="9">
    <w:nsid w:val="A2FFA5F1"/>
    <w:multiLevelType w:val="singleLevel"/>
    <w:tmpl w:val="A2FFA5F1"/>
    <w:lvl w:ilvl="0" w:tentative="0">
      <w:start w:val="1"/>
      <w:numFmt w:val="decimal"/>
      <w:suff w:val="nothing"/>
      <w:lvlText w:val="（%1）"/>
      <w:lvlJc w:val="left"/>
    </w:lvl>
  </w:abstractNum>
  <w:abstractNum w:abstractNumId="10">
    <w:nsid w:val="A417929C"/>
    <w:multiLevelType w:val="singleLevel"/>
    <w:tmpl w:val="A417929C"/>
    <w:lvl w:ilvl="0" w:tentative="0">
      <w:start w:val="1"/>
      <w:numFmt w:val="decimalEnclosedCircleChinese"/>
      <w:suff w:val="nothing"/>
      <w:lvlText w:val="%1　"/>
      <w:lvlJc w:val="left"/>
      <w:pPr>
        <w:ind w:left="0" w:firstLine="400"/>
      </w:pPr>
      <w:rPr>
        <w:rFonts w:hint="eastAsia"/>
      </w:rPr>
    </w:lvl>
  </w:abstractNum>
  <w:abstractNum w:abstractNumId="11">
    <w:nsid w:val="AAE15D59"/>
    <w:multiLevelType w:val="singleLevel"/>
    <w:tmpl w:val="AAE15D59"/>
    <w:lvl w:ilvl="0" w:tentative="0">
      <w:start w:val="1"/>
      <w:numFmt w:val="decimal"/>
      <w:suff w:val="nothing"/>
      <w:lvlText w:val="（%1）"/>
      <w:lvlJc w:val="left"/>
    </w:lvl>
  </w:abstractNum>
  <w:abstractNum w:abstractNumId="12">
    <w:nsid w:val="AFE9E04F"/>
    <w:multiLevelType w:val="singleLevel"/>
    <w:tmpl w:val="AFE9E04F"/>
    <w:lvl w:ilvl="0" w:tentative="0">
      <w:start w:val="1"/>
      <w:numFmt w:val="decimal"/>
      <w:suff w:val="nothing"/>
      <w:lvlText w:val="（%1）"/>
      <w:lvlJc w:val="left"/>
    </w:lvl>
  </w:abstractNum>
  <w:abstractNum w:abstractNumId="13">
    <w:nsid w:val="B705EA65"/>
    <w:multiLevelType w:val="singleLevel"/>
    <w:tmpl w:val="B705EA65"/>
    <w:lvl w:ilvl="0" w:tentative="0">
      <w:start w:val="1"/>
      <w:numFmt w:val="decimal"/>
      <w:suff w:val="nothing"/>
      <w:lvlText w:val="（%1）"/>
      <w:lvlJc w:val="left"/>
    </w:lvl>
  </w:abstractNum>
  <w:abstractNum w:abstractNumId="14">
    <w:nsid w:val="BD9BA0CE"/>
    <w:multiLevelType w:val="singleLevel"/>
    <w:tmpl w:val="BD9BA0CE"/>
    <w:lvl w:ilvl="0" w:tentative="0">
      <w:start w:val="1"/>
      <w:numFmt w:val="decimal"/>
      <w:lvlText w:val="(%1)"/>
      <w:lvlJc w:val="left"/>
      <w:pPr>
        <w:ind w:left="425" w:hanging="425"/>
      </w:pPr>
      <w:rPr>
        <w:rFonts w:hint="default"/>
      </w:rPr>
    </w:lvl>
  </w:abstractNum>
  <w:abstractNum w:abstractNumId="15">
    <w:nsid w:val="C1309A36"/>
    <w:multiLevelType w:val="singleLevel"/>
    <w:tmpl w:val="C1309A36"/>
    <w:lvl w:ilvl="0" w:tentative="0">
      <w:start w:val="1"/>
      <w:numFmt w:val="decimalEnclosedCircleChinese"/>
      <w:suff w:val="nothing"/>
      <w:lvlText w:val="%1　"/>
      <w:lvlJc w:val="left"/>
      <w:pPr>
        <w:ind w:left="0" w:firstLine="400"/>
      </w:pPr>
      <w:rPr>
        <w:rFonts w:hint="eastAsia"/>
      </w:rPr>
    </w:lvl>
  </w:abstractNum>
  <w:abstractNum w:abstractNumId="16">
    <w:nsid w:val="C649ED6A"/>
    <w:multiLevelType w:val="singleLevel"/>
    <w:tmpl w:val="C649ED6A"/>
    <w:lvl w:ilvl="0" w:tentative="0">
      <w:start w:val="1"/>
      <w:numFmt w:val="decimalEnclosedCircleChinese"/>
      <w:suff w:val="nothing"/>
      <w:lvlText w:val="%1　"/>
      <w:lvlJc w:val="left"/>
      <w:pPr>
        <w:ind w:left="0" w:firstLine="400"/>
      </w:pPr>
      <w:rPr>
        <w:rFonts w:hint="eastAsia"/>
      </w:rPr>
    </w:lvl>
  </w:abstractNum>
  <w:abstractNum w:abstractNumId="17">
    <w:nsid w:val="C9165DE5"/>
    <w:multiLevelType w:val="singleLevel"/>
    <w:tmpl w:val="C9165DE5"/>
    <w:lvl w:ilvl="0" w:tentative="0">
      <w:start w:val="1"/>
      <w:numFmt w:val="decimal"/>
      <w:suff w:val="nothing"/>
      <w:lvlText w:val="（%1）"/>
      <w:lvlJc w:val="left"/>
    </w:lvl>
  </w:abstractNum>
  <w:abstractNum w:abstractNumId="18">
    <w:nsid w:val="C98C86A2"/>
    <w:multiLevelType w:val="singleLevel"/>
    <w:tmpl w:val="C98C86A2"/>
    <w:lvl w:ilvl="0" w:tentative="0">
      <w:start w:val="1"/>
      <w:numFmt w:val="decimalEnclosedCircleChinese"/>
      <w:suff w:val="nothing"/>
      <w:lvlText w:val="%1　"/>
      <w:lvlJc w:val="left"/>
      <w:pPr>
        <w:ind w:left="0" w:firstLine="400"/>
      </w:pPr>
      <w:rPr>
        <w:rFonts w:hint="eastAsia"/>
      </w:rPr>
    </w:lvl>
  </w:abstractNum>
  <w:abstractNum w:abstractNumId="19">
    <w:nsid w:val="DB07D0D2"/>
    <w:multiLevelType w:val="singleLevel"/>
    <w:tmpl w:val="DB07D0D2"/>
    <w:lvl w:ilvl="0" w:tentative="0">
      <w:start w:val="1"/>
      <w:numFmt w:val="decimalEnclosedCircleChinese"/>
      <w:suff w:val="nothing"/>
      <w:lvlText w:val="%1　"/>
      <w:lvlJc w:val="left"/>
      <w:pPr>
        <w:ind w:left="0" w:firstLine="400"/>
      </w:pPr>
      <w:rPr>
        <w:rFonts w:hint="eastAsia"/>
      </w:rPr>
    </w:lvl>
  </w:abstractNum>
  <w:abstractNum w:abstractNumId="20">
    <w:nsid w:val="DFE32D65"/>
    <w:multiLevelType w:val="singleLevel"/>
    <w:tmpl w:val="DFE32D65"/>
    <w:lvl w:ilvl="0" w:tentative="0">
      <w:start w:val="1"/>
      <w:numFmt w:val="decimal"/>
      <w:suff w:val="nothing"/>
      <w:lvlText w:val="（%1）"/>
      <w:lvlJc w:val="left"/>
    </w:lvl>
  </w:abstractNum>
  <w:abstractNum w:abstractNumId="21">
    <w:nsid w:val="E930036A"/>
    <w:multiLevelType w:val="singleLevel"/>
    <w:tmpl w:val="E930036A"/>
    <w:lvl w:ilvl="0" w:tentative="0">
      <w:start w:val="1"/>
      <w:numFmt w:val="decimalEnclosedCircleChinese"/>
      <w:suff w:val="nothing"/>
      <w:lvlText w:val="%1　"/>
      <w:lvlJc w:val="left"/>
      <w:pPr>
        <w:ind w:left="0" w:firstLine="400"/>
      </w:pPr>
      <w:rPr>
        <w:rFonts w:hint="eastAsia"/>
      </w:rPr>
    </w:lvl>
  </w:abstractNum>
  <w:abstractNum w:abstractNumId="22">
    <w:nsid w:val="ED498F6D"/>
    <w:multiLevelType w:val="singleLevel"/>
    <w:tmpl w:val="ED498F6D"/>
    <w:lvl w:ilvl="0" w:tentative="0">
      <w:start w:val="1"/>
      <w:numFmt w:val="decimalEnclosedCircleChinese"/>
      <w:suff w:val="nothing"/>
      <w:lvlText w:val="%1　"/>
      <w:lvlJc w:val="left"/>
      <w:pPr>
        <w:ind w:left="0" w:firstLine="400"/>
      </w:pPr>
      <w:rPr>
        <w:rFonts w:hint="eastAsia"/>
      </w:rPr>
    </w:lvl>
  </w:abstractNum>
  <w:abstractNum w:abstractNumId="23">
    <w:nsid w:val="FC445F22"/>
    <w:multiLevelType w:val="singleLevel"/>
    <w:tmpl w:val="FC445F22"/>
    <w:lvl w:ilvl="0" w:tentative="0">
      <w:start w:val="1"/>
      <w:numFmt w:val="decimal"/>
      <w:suff w:val="nothing"/>
      <w:lvlText w:val="（%1）"/>
      <w:lvlJc w:val="left"/>
    </w:lvl>
  </w:abstractNum>
  <w:abstractNum w:abstractNumId="24">
    <w:nsid w:val="FCAB93A9"/>
    <w:multiLevelType w:val="singleLevel"/>
    <w:tmpl w:val="FCAB93A9"/>
    <w:lvl w:ilvl="0" w:tentative="0">
      <w:start w:val="1"/>
      <w:numFmt w:val="decimalEnclosedCircleChinese"/>
      <w:suff w:val="nothing"/>
      <w:lvlText w:val="%1　"/>
      <w:lvlJc w:val="left"/>
      <w:pPr>
        <w:ind w:left="0" w:firstLine="400"/>
      </w:pPr>
      <w:rPr>
        <w:rFonts w:hint="eastAsia"/>
      </w:rPr>
    </w:lvl>
  </w:abstractNum>
  <w:abstractNum w:abstractNumId="25">
    <w:nsid w:val="FF705B2C"/>
    <w:multiLevelType w:val="singleLevel"/>
    <w:tmpl w:val="FF705B2C"/>
    <w:lvl w:ilvl="0" w:tentative="0">
      <w:start w:val="1"/>
      <w:numFmt w:val="decimalEnclosedCircleChinese"/>
      <w:suff w:val="nothing"/>
      <w:lvlText w:val="%1　"/>
      <w:lvlJc w:val="left"/>
      <w:pPr>
        <w:ind w:left="0" w:firstLine="400"/>
      </w:pPr>
      <w:rPr>
        <w:rFonts w:hint="eastAsia"/>
      </w:rPr>
    </w:lvl>
  </w:abstractNum>
  <w:abstractNum w:abstractNumId="26">
    <w:nsid w:val="05140317"/>
    <w:multiLevelType w:val="singleLevel"/>
    <w:tmpl w:val="05140317"/>
    <w:lvl w:ilvl="0" w:tentative="0">
      <w:start w:val="1"/>
      <w:numFmt w:val="decimalEnclosedCircleChinese"/>
      <w:suff w:val="nothing"/>
      <w:lvlText w:val="%1　"/>
      <w:lvlJc w:val="left"/>
      <w:pPr>
        <w:ind w:left="0" w:firstLine="400"/>
      </w:pPr>
      <w:rPr>
        <w:rFonts w:hint="eastAsia"/>
      </w:rPr>
    </w:lvl>
  </w:abstractNum>
  <w:abstractNum w:abstractNumId="27">
    <w:nsid w:val="07E92AFC"/>
    <w:multiLevelType w:val="singleLevel"/>
    <w:tmpl w:val="07E92AFC"/>
    <w:lvl w:ilvl="0" w:tentative="0">
      <w:start w:val="1"/>
      <w:numFmt w:val="decimal"/>
      <w:lvlText w:val="(%1)"/>
      <w:lvlJc w:val="left"/>
      <w:pPr>
        <w:ind w:left="425" w:hanging="425"/>
      </w:pPr>
      <w:rPr>
        <w:rFonts w:hint="default"/>
      </w:rPr>
    </w:lvl>
  </w:abstractNum>
  <w:abstractNum w:abstractNumId="28">
    <w:nsid w:val="091C4CC4"/>
    <w:multiLevelType w:val="singleLevel"/>
    <w:tmpl w:val="091C4CC4"/>
    <w:lvl w:ilvl="0" w:tentative="0">
      <w:start w:val="1"/>
      <w:numFmt w:val="decimalEnclosedCircleChinese"/>
      <w:suff w:val="nothing"/>
      <w:lvlText w:val="%1　"/>
      <w:lvlJc w:val="left"/>
      <w:pPr>
        <w:ind w:left="0" w:firstLine="400"/>
      </w:pPr>
      <w:rPr>
        <w:rFonts w:hint="eastAsia"/>
      </w:rPr>
    </w:lvl>
  </w:abstractNum>
  <w:abstractNum w:abstractNumId="29">
    <w:nsid w:val="1387E9BB"/>
    <w:multiLevelType w:val="singleLevel"/>
    <w:tmpl w:val="1387E9BB"/>
    <w:lvl w:ilvl="0" w:tentative="0">
      <w:start w:val="1"/>
      <w:numFmt w:val="decimal"/>
      <w:suff w:val="nothing"/>
      <w:lvlText w:val="（%1）"/>
      <w:lvlJc w:val="left"/>
    </w:lvl>
  </w:abstractNum>
  <w:abstractNum w:abstractNumId="30">
    <w:nsid w:val="16E589D9"/>
    <w:multiLevelType w:val="singleLevel"/>
    <w:tmpl w:val="16E589D9"/>
    <w:lvl w:ilvl="0" w:tentative="0">
      <w:start w:val="1"/>
      <w:numFmt w:val="decimalEnclosedCircleChinese"/>
      <w:suff w:val="nothing"/>
      <w:lvlText w:val="%1　"/>
      <w:lvlJc w:val="left"/>
      <w:pPr>
        <w:ind w:left="0" w:firstLine="400"/>
      </w:pPr>
      <w:rPr>
        <w:rFonts w:hint="eastAsia"/>
      </w:rPr>
    </w:lvl>
  </w:abstractNum>
  <w:abstractNum w:abstractNumId="31">
    <w:nsid w:val="1D617EBB"/>
    <w:multiLevelType w:val="singleLevel"/>
    <w:tmpl w:val="1D617EBB"/>
    <w:lvl w:ilvl="0" w:tentative="0">
      <w:start w:val="1"/>
      <w:numFmt w:val="decimalEnclosedCircleChinese"/>
      <w:suff w:val="nothing"/>
      <w:lvlText w:val="%1　"/>
      <w:lvlJc w:val="left"/>
      <w:pPr>
        <w:ind w:left="0" w:firstLine="400"/>
      </w:pPr>
      <w:rPr>
        <w:rFonts w:hint="eastAsia"/>
      </w:rPr>
    </w:lvl>
  </w:abstractNum>
  <w:abstractNum w:abstractNumId="32">
    <w:nsid w:val="20B871C4"/>
    <w:multiLevelType w:val="singleLevel"/>
    <w:tmpl w:val="20B871C4"/>
    <w:lvl w:ilvl="0" w:tentative="0">
      <w:start w:val="1"/>
      <w:numFmt w:val="decimalEnclosedCircleChinese"/>
      <w:suff w:val="nothing"/>
      <w:lvlText w:val="%1　"/>
      <w:lvlJc w:val="left"/>
      <w:pPr>
        <w:ind w:left="0" w:firstLine="400"/>
      </w:pPr>
      <w:rPr>
        <w:rFonts w:hint="eastAsia"/>
      </w:rPr>
    </w:lvl>
  </w:abstractNum>
  <w:abstractNum w:abstractNumId="33">
    <w:nsid w:val="247A133C"/>
    <w:multiLevelType w:val="singleLevel"/>
    <w:tmpl w:val="247A133C"/>
    <w:lvl w:ilvl="0" w:tentative="0">
      <w:start w:val="1"/>
      <w:numFmt w:val="decimalEnclosedCircleChinese"/>
      <w:suff w:val="nothing"/>
      <w:lvlText w:val="%1　"/>
      <w:lvlJc w:val="left"/>
      <w:pPr>
        <w:ind w:left="0" w:firstLine="400"/>
      </w:pPr>
      <w:rPr>
        <w:rFonts w:hint="eastAsia"/>
      </w:rPr>
    </w:lvl>
  </w:abstractNum>
  <w:abstractNum w:abstractNumId="34">
    <w:nsid w:val="26B9C15B"/>
    <w:multiLevelType w:val="singleLevel"/>
    <w:tmpl w:val="26B9C15B"/>
    <w:lvl w:ilvl="0" w:tentative="0">
      <w:start w:val="1"/>
      <w:numFmt w:val="decimal"/>
      <w:suff w:val="nothing"/>
      <w:lvlText w:val="（%1）"/>
      <w:lvlJc w:val="left"/>
    </w:lvl>
  </w:abstractNum>
  <w:abstractNum w:abstractNumId="35">
    <w:nsid w:val="4417D368"/>
    <w:multiLevelType w:val="singleLevel"/>
    <w:tmpl w:val="4417D368"/>
    <w:lvl w:ilvl="0" w:tentative="0">
      <w:start w:val="1"/>
      <w:numFmt w:val="decimal"/>
      <w:suff w:val="nothing"/>
      <w:lvlText w:val="（%1）"/>
      <w:lvlJc w:val="left"/>
    </w:lvl>
  </w:abstractNum>
  <w:abstractNum w:abstractNumId="36">
    <w:nsid w:val="46A582A5"/>
    <w:multiLevelType w:val="singleLevel"/>
    <w:tmpl w:val="46A582A5"/>
    <w:lvl w:ilvl="0" w:tentative="0">
      <w:start w:val="1"/>
      <w:numFmt w:val="decimalEnclosedCircleChinese"/>
      <w:suff w:val="nothing"/>
      <w:lvlText w:val="%1　"/>
      <w:lvlJc w:val="left"/>
      <w:pPr>
        <w:ind w:left="0" w:firstLine="400"/>
      </w:pPr>
      <w:rPr>
        <w:rFonts w:hint="eastAsia"/>
      </w:rPr>
    </w:lvl>
  </w:abstractNum>
  <w:abstractNum w:abstractNumId="37">
    <w:nsid w:val="4CFFA6BC"/>
    <w:multiLevelType w:val="singleLevel"/>
    <w:tmpl w:val="4CFFA6BC"/>
    <w:lvl w:ilvl="0" w:tentative="0">
      <w:start w:val="1"/>
      <w:numFmt w:val="decimal"/>
      <w:suff w:val="nothing"/>
      <w:lvlText w:val="（%1）"/>
      <w:lvlJc w:val="left"/>
    </w:lvl>
  </w:abstractNum>
  <w:abstractNum w:abstractNumId="38">
    <w:nsid w:val="51305B3A"/>
    <w:multiLevelType w:val="singleLevel"/>
    <w:tmpl w:val="51305B3A"/>
    <w:lvl w:ilvl="0" w:tentative="0">
      <w:start w:val="1"/>
      <w:numFmt w:val="decimalEnclosedCircleChinese"/>
      <w:suff w:val="nothing"/>
      <w:lvlText w:val="%1　"/>
      <w:lvlJc w:val="left"/>
      <w:pPr>
        <w:ind w:left="0" w:firstLine="400"/>
      </w:pPr>
      <w:rPr>
        <w:rFonts w:hint="eastAsia"/>
      </w:rPr>
    </w:lvl>
  </w:abstractNum>
  <w:abstractNum w:abstractNumId="39">
    <w:nsid w:val="5347BA6C"/>
    <w:multiLevelType w:val="singleLevel"/>
    <w:tmpl w:val="5347BA6C"/>
    <w:lvl w:ilvl="0" w:tentative="0">
      <w:start w:val="1"/>
      <w:numFmt w:val="decimal"/>
      <w:suff w:val="nothing"/>
      <w:lvlText w:val="（%1）"/>
      <w:lvlJc w:val="left"/>
    </w:lvl>
  </w:abstractNum>
  <w:abstractNum w:abstractNumId="40">
    <w:nsid w:val="5637832D"/>
    <w:multiLevelType w:val="singleLevel"/>
    <w:tmpl w:val="5637832D"/>
    <w:lvl w:ilvl="0" w:tentative="0">
      <w:start w:val="1"/>
      <w:numFmt w:val="decimal"/>
      <w:suff w:val="nothing"/>
      <w:lvlText w:val="（%1）"/>
      <w:lvlJc w:val="left"/>
    </w:lvl>
  </w:abstractNum>
  <w:abstractNum w:abstractNumId="41">
    <w:nsid w:val="56DB7F05"/>
    <w:multiLevelType w:val="singleLevel"/>
    <w:tmpl w:val="56DB7F05"/>
    <w:lvl w:ilvl="0" w:tentative="0">
      <w:start w:val="1"/>
      <w:numFmt w:val="decimalEnclosedCircleChinese"/>
      <w:suff w:val="nothing"/>
      <w:lvlText w:val="%1　"/>
      <w:lvlJc w:val="left"/>
      <w:pPr>
        <w:ind w:left="0" w:firstLine="400"/>
      </w:pPr>
      <w:rPr>
        <w:rFonts w:hint="eastAsia"/>
      </w:rPr>
    </w:lvl>
  </w:abstractNum>
  <w:abstractNum w:abstractNumId="42">
    <w:nsid w:val="5E29D120"/>
    <w:multiLevelType w:val="singleLevel"/>
    <w:tmpl w:val="5E29D120"/>
    <w:lvl w:ilvl="0" w:tentative="0">
      <w:start w:val="1"/>
      <w:numFmt w:val="decimal"/>
      <w:suff w:val="nothing"/>
      <w:lvlText w:val="（%1）"/>
      <w:lvlJc w:val="left"/>
    </w:lvl>
  </w:abstractNum>
  <w:abstractNum w:abstractNumId="43">
    <w:nsid w:val="603ADE5A"/>
    <w:multiLevelType w:val="singleLevel"/>
    <w:tmpl w:val="603ADE5A"/>
    <w:lvl w:ilvl="0" w:tentative="0">
      <w:start w:val="1"/>
      <w:numFmt w:val="decimal"/>
      <w:suff w:val="nothing"/>
      <w:lvlText w:val="（%1）"/>
      <w:lvlJc w:val="left"/>
    </w:lvl>
  </w:abstractNum>
  <w:abstractNum w:abstractNumId="44">
    <w:nsid w:val="60D60C10"/>
    <w:multiLevelType w:val="singleLevel"/>
    <w:tmpl w:val="60D60C10"/>
    <w:lvl w:ilvl="0" w:tentative="0">
      <w:start w:val="1"/>
      <w:numFmt w:val="decimalEnclosedCircleChinese"/>
      <w:suff w:val="nothing"/>
      <w:lvlText w:val="%1　"/>
      <w:lvlJc w:val="left"/>
      <w:pPr>
        <w:ind w:left="0" w:firstLine="400"/>
      </w:pPr>
      <w:rPr>
        <w:rFonts w:hint="eastAsia"/>
      </w:rPr>
    </w:lvl>
  </w:abstractNum>
  <w:abstractNum w:abstractNumId="45">
    <w:nsid w:val="6874D221"/>
    <w:multiLevelType w:val="singleLevel"/>
    <w:tmpl w:val="6874D221"/>
    <w:lvl w:ilvl="0" w:tentative="0">
      <w:start w:val="1"/>
      <w:numFmt w:val="decimalEnclosedCircleChinese"/>
      <w:suff w:val="nothing"/>
      <w:lvlText w:val="%1　"/>
      <w:lvlJc w:val="left"/>
      <w:pPr>
        <w:ind w:left="0" w:firstLine="400"/>
      </w:pPr>
      <w:rPr>
        <w:rFonts w:hint="eastAsia"/>
      </w:rPr>
    </w:lvl>
  </w:abstractNum>
  <w:abstractNum w:abstractNumId="46">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7">
    <w:nsid w:val="702D196E"/>
    <w:multiLevelType w:val="singleLevel"/>
    <w:tmpl w:val="702D196E"/>
    <w:lvl w:ilvl="0" w:tentative="0">
      <w:start w:val="1"/>
      <w:numFmt w:val="decimalEnclosedCircleChinese"/>
      <w:suff w:val="nothing"/>
      <w:lvlText w:val="%1　"/>
      <w:lvlJc w:val="left"/>
      <w:pPr>
        <w:ind w:left="0" w:firstLine="400"/>
      </w:pPr>
      <w:rPr>
        <w:rFonts w:hint="eastAsia"/>
      </w:rPr>
    </w:lvl>
  </w:abstractNum>
  <w:abstractNum w:abstractNumId="48">
    <w:nsid w:val="7145BEA9"/>
    <w:multiLevelType w:val="singleLevel"/>
    <w:tmpl w:val="7145BEA9"/>
    <w:lvl w:ilvl="0" w:tentative="0">
      <w:start w:val="1"/>
      <w:numFmt w:val="decimal"/>
      <w:suff w:val="nothing"/>
      <w:lvlText w:val="（%1）"/>
      <w:lvlJc w:val="left"/>
    </w:lvl>
  </w:abstractNum>
  <w:abstractNum w:abstractNumId="49">
    <w:nsid w:val="7B123E72"/>
    <w:multiLevelType w:val="singleLevel"/>
    <w:tmpl w:val="7B123E72"/>
    <w:lvl w:ilvl="0" w:tentative="0">
      <w:start w:val="1"/>
      <w:numFmt w:val="decimalEnclosedCircleChinese"/>
      <w:suff w:val="nothing"/>
      <w:lvlText w:val="%1　"/>
      <w:lvlJc w:val="left"/>
      <w:pPr>
        <w:ind w:left="0" w:firstLine="400"/>
      </w:pPr>
      <w:rPr>
        <w:rFonts w:hint="eastAsia"/>
      </w:rPr>
    </w:lvl>
  </w:abstractNum>
  <w:abstractNum w:abstractNumId="50">
    <w:nsid w:val="7CA4DF34"/>
    <w:multiLevelType w:val="singleLevel"/>
    <w:tmpl w:val="7CA4DF34"/>
    <w:lvl w:ilvl="0" w:tentative="0">
      <w:start w:val="1"/>
      <w:numFmt w:val="decimalEnclosedCircleChinese"/>
      <w:suff w:val="nothing"/>
      <w:lvlText w:val="%1　"/>
      <w:lvlJc w:val="left"/>
      <w:pPr>
        <w:ind w:left="0" w:firstLine="400"/>
      </w:pPr>
      <w:rPr>
        <w:rFonts w:hint="eastAsia"/>
      </w:rPr>
    </w:lvl>
  </w:abstractNum>
  <w:abstractNum w:abstractNumId="51">
    <w:nsid w:val="7E41517D"/>
    <w:multiLevelType w:val="multilevel"/>
    <w:tmpl w:val="7E41517D"/>
    <w:lvl w:ilvl="0" w:tentative="0">
      <w:start w:val="1"/>
      <w:numFmt w:val="japaneseCount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6"/>
  </w:num>
  <w:num w:numId="2">
    <w:abstractNumId w:val="51"/>
  </w:num>
  <w:num w:numId="3">
    <w:abstractNumId w:val="14"/>
  </w:num>
  <w:num w:numId="4">
    <w:abstractNumId w:val="37"/>
  </w:num>
  <w:num w:numId="5">
    <w:abstractNumId w:val="9"/>
  </w:num>
  <w:num w:numId="6">
    <w:abstractNumId w:val="35"/>
  </w:num>
  <w:num w:numId="7">
    <w:abstractNumId w:val="31"/>
  </w:num>
  <w:num w:numId="8">
    <w:abstractNumId w:val="19"/>
  </w:num>
  <w:num w:numId="9">
    <w:abstractNumId w:val="27"/>
  </w:num>
  <w:num w:numId="10">
    <w:abstractNumId w:val="7"/>
  </w:num>
  <w:num w:numId="11">
    <w:abstractNumId w:val="30"/>
  </w:num>
  <w:num w:numId="12">
    <w:abstractNumId w:val="15"/>
  </w:num>
  <w:num w:numId="13">
    <w:abstractNumId w:val="8"/>
  </w:num>
  <w:num w:numId="14">
    <w:abstractNumId w:val="41"/>
  </w:num>
  <w:num w:numId="15">
    <w:abstractNumId w:val="47"/>
  </w:num>
  <w:num w:numId="16">
    <w:abstractNumId w:val="28"/>
  </w:num>
  <w:num w:numId="17">
    <w:abstractNumId w:val="5"/>
  </w:num>
  <w:num w:numId="18">
    <w:abstractNumId w:val="24"/>
  </w:num>
  <w:num w:numId="19">
    <w:abstractNumId w:val="34"/>
  </w:num>
  <w:num w:numId="20">
    <w:abstractNumId w:val="2"/>
  </w:num>
  <w:num w:numId="21">
    <w:abstractNumId w:val="45"/>
  </w:num>
  <w:num w:numId="22">
    <w:abstractNumId w:val="10"/>
  </w:num>
  <w:num w:numId="23">
    <w:abstractNumId w:val="0"/>
  </w:num>
  <w:num w:numId="24">
    <w:abstractNumId w:val="1"/>
  </w:num>
  <w:num w:numId="25">
    <w:abstractNumId w:val="21"/>
  </w:num>
  <w:num w:numId="26">
    <w:abstractNumId w:val="33"/>
  </w:num>
  <w:num w:numId="27">
    <w:abstractNumId w:val="50"/>
  </w:num>
  <w:num w:numId="28">
    <w:abstractNumId w:val="44"/>
  </w:num>
  <w:num w:numId="29">
    <w:abstractNumId w:val="38"/>
  </w:num>
  <w:num w:numId="30">
    <w:abstractNumId w:val="22"/>
  </w:num>
  <w:num w:numId="31">
    <w:abstractNumId w:val="26"/>
  </w:num>
  <w:num w:numId="32">
    <w:abstractNumId w:val="32"/>
  </w:num>
  <w:num w:numId="33">
    <w:abstractNumId w:val="12"/>
  </w:num>
  <w:num w:numId="34">
    <w:abstractNumId w:val="4"/>
  </w:num>
  <w:num w:numId="35">
    <w:abstractNumId w:val="40"/>
  </w:num>
  <w:num w:numId="36">
    <w:abstractNumId w:val="17"/>
  </w:num>
  <w:num w:numId="37">
    <w:abstractNumId w:val="23"/>
  </w:num>
  <w:num w:numId="38">
    <w:abstractNumId w:val="42"/>
  </w:num>
  <w:num w:numId="39">
    <w:abstractNumId w:val="11"/>
  </w:num>
  <w:num w:numId="40">
    <w:abstractNumId w:val="43"/>
  </w:num>
  <w:num w:numId="41">
    <w:abstractNumId w:val="48"/>
  </w:num>
  <w:num w:numId="42">
    <w:abstractNumId w:val="36"/>
  </w:num>
  <w:num w:numId="43">
    <w:abstractNumId w:val="13"/>
  </w:num>
  <w:num w:numId="44">
    <w:abstractNumId w:val="18"/>
  </w:num>
  <w:num w:numId="45">
    <w:abstractNumId w:val="25"/>
  </w:num>
  <w:num w:numId="46">
    <w:abstractNumId w:val="49"/>
  </w:num>
  <w:num w:numId="47">
    <w:abstractNumId w:val="29"/>
  </w:num>
  <w:num w:numId="48">
    <w:abstractNumId w:val="16"/>
  </w:num>
  <w:num w:numId="49">
    <w:abstractNumId w:val="3"/>
  </w:num>
  <w:num w:numId="50">
    <w:abstractNumId w:val="6"/>
  </w:num>
  <w:num w:numId="51">
    <w:abstractNumId w:val="20"/>
  </w:num>
  <w:num w:numId="5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hmMzJiZDczMmJlZGExNjNkMzQwMmVkYWFmOTdhMjcifQ=="/>
  </w:docVars>
  <w:rsids>
    <w:rsidRoot w:val="0C06690D"/>
    <w:rsid w:val="0C0669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szCs w:val="20"/>
    </w:r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List Paragraph"/>
    <w:basedOn w:val="1"/>
    <w:qFormat/>
    <w:uiPriority w:val="34"/>
    <w:pPr>
      <w:ind w:firstLine="420" w:firstLineChars="200"/>
    </w:pPr>
    <w:rPr>
      <w:rFonts w:ascii="Calibri" w:hAnsi="Calibri"/>
      <w:szCs w:val="22"/>
    </w:rPr>
  </w:style>
  <w:style w:type="paragraph" w:customStyle="1" w:styleId="9">
    <w:name w:val="3.1.1.1"/>
    <w:basedOn w:val="1"/>
    <w:qFormat/>
    <w:uiPriority w:val="0"/>
    <w:pPr>
      <w:widowControl/>
      <w:adjustRightInd w:val="0"/>
      <w:snapToGrid w:val="0"/>
      <w:spacing w:beforeLines="50" w:line="300" w:lineRule="auto"/>
      <w:jc w:val="left"/>
      <w:outlineLvl w:val="2"/>
    </w:pPr>
    <w:rPr>
      <w:rFonts w:ascii="黑体" w:hAnsi="黑体" w:eastAsia="黑体"/>
      <w:bCs/>
      <w:kern w:val="0"/>
      <w:sz w:val="28"/>
      <w:szCs w:val="3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2022-08-15T06:40:00Z</dcterms:created>
  <dc:creator>Robin</dc:creator>
  <cp:lastModifiedBy>Robin</cp:lastModifiedBy>
  <dcterms:modified xsi:type="dcterms:W3CDTF">2022-08-15T06:40:21Z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479ABE84DFA148C1964FCFC57C375681</vt:lpwstr>
  </property>
</Properties>
</file>