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ind w:left="0" w:firstLine="0" w:firstLineChars="0"/>
        <w:jc w:val="center"/>
        <w:outlineLvl w:val="0"/>
        <w:rPr>
          <w:rFonts w:ascii="宋体" w:eastAsia="宋体"/>
          <w:b/>
          <w:bCs/>
          <w:color w:val="000000"/>
          <w:sz w:val="40"/>
          <w:szCs w:val="24"/>
          <w:highlight w:val="none"/>
        </w:rPr>
      </w:pPr>
      <w:bookmarkStart w:id="2" w:name="_GoBack"/>
      <w:bookmarkEnd w:id="2"/>
      <w:r>
        <w:rPr>
          <w:rFonts w:hint="eastAsia" w:ascii="宋体" w:eastAsia="宋体"/>
          <w:b/>
          <w:bCs/>
          <w:color w:val="000000"/>
          <w:sz w:val="40"/>
          <w:szCs w:val="24"/>
          <w:highlight w:val="none"/>
        </w:rPr>
        <w:t>项目需求</w:t>
      </w:r>
    </w:p>
    <w:p>
      <w:pPr>
        <w:pStyle w:val="7"/>
        <w:ind w:left="0" w:firstLine="0" w:firstLineChars="0"/>
        <w:rPr>
          <w:rFonts w:ascii="宋体" w:eastAsia="宋体"/>
          <w:color w:val="000000"/>
          <w:highlight w:val="none"/>
        </w:rPr>
      </w:pPr>
    </w:p>
    <w:p>
      <w:pPr>
        <w:pStyle w:val="7"/>
        <w:ind w:left="0" w:firstLine="0" w:firstLineChars="0"/>
        <w:rPr>
          <w:rFonts w:ascii="宋体" w:eastAsia="宋体"/>
          <w:color w:val="000000"/>
          <w:highlight w:val="none"/>
        </w:rPr>
      </w:pPr>
    </w:p>
    <w:p>
      <w:pPr>
        <w:pStyle w:val="7"/>
        <w:spacing w:line="360" w:lineRule="auto"/>
        <w:ind w:left="0" w:firstLine="0" w:firstLineChars="0"/>
        <w:rPr>
          <w:rFonts w:ascii="宋体" w:eastAsia="宋体"/>
          <w:color w:val="000000"/>
          <w:sz w:val="24"/>
          <w:szCs w:val="18"/>
          <w:highlight w:val="none"/>
        </w:rPr>
      </w:pPr>
    </w:p>
    <w:p>
      <w:pPr>
        <w:pStyle w:val="7"/>
        <w:spacing w:line="360" w:lineRule="auto"/>
        <w:ind w:left="0" w:firstLine="0" w:firstLineChars="0"/>
        <w:rPr>
          <w:rFonts w:hint="eastAsia" w:ascii="宋体" w:eastAsia="宋体"/>
          <w:b/>
          <w:bCs/>
          <w:color w:val="FF0000"/>
          <w:sz w:val="24"/>
          <w:szCs w:val="18"/>
          <w:highlight w:val="none"/>
          <w:lang w:val="en-US" w:eastAsia="zh-CN"/>
        </w:rPr>
      </w:pPr>
      <w:r>
        <w:rPr>
          <w:rFonts w:hint="eastAsia" w:ascii="宋体" w:eastAsia="宋体"/>
          <w:b/>
          <w:bCs/>
          <w:color w:val="FF0000"/>
          <w:sz w:val="24"/>
          <w:szCs w:val="18"/>
          <w:highlight w:val="none"/>
          <w:lang w:val="en-US" w:eastAsia="zh-CN"/>
        </w:rPr>
        <w:t>注意事项：</w:t>
      </w:r>
    </w:p>
    <w:p>
      <w:pPr>
        <w:widowControl/>
        <w:shd w:val="clear" w:color="auto" w:fill="FFFFFF"/>
        <w:spacing w:line="360" w:lineRule="auto"/>
        <w:textAlignment w:val="baseline"/>
        <w:rPr>
          <w:rFonts w:ascii="宋体" w:hAnsi="宋体" w:eastAsia="宋体" w:cs="宋体"/>
          <w:b w:val="0"/>
          <w:bCs w:val="0"/>
          <w:kern w:val="0"/>
          <w:sz w:val="24"/>
          <w:szCs w:val="24"/>
          <w:highlight w:val="none"/>
          <w:shd w:val="clear" w:color="auto" w:fill="FFFFFF"/>
        </w:rPr>
      </w:pPr>
      <w:bookmarkStart w:id="0" w:name="_Toc385940873"/>
      <w:r>
        <w:rPr>
          <w:rFonts w:hint="eastAsia" w:ascii="宋体" w:hAnsi="宋体" w:eastAsia="宋体" w:cs="宋体"/>
          <w:b w:val="0"/>
          <w:bCs w:val="0"/>
          <w:kern w:val="0"/>
          <w:sz w:val="24"/>
          <w:szCs w:val="24"/>
          <w:highlight w:val="none"/>
          <w:shd w:val="clear" w:color="auto" w:fill="FFFFFF"/>
        </w:rPr>
        <w:t>（1）本项目兼投不兼中：</w:t>
      </w:r>
    </w:p>
    <w:p>
      <w:pPr>
        <w:widowControl/>
        <w:shd w:val="clear" w:color="auto" w:fill="FFFFFF"/>
        <w:spacing w:line="360" w:lineRule="auto"/>
        <w:textAlignment w:val="baseline"/>
        <w:rPr>
          <w:rFonts w:ascii="宋体" w:hAnsi="宋体" w:eastAsia="宋体" w:cs="Times New Roman"/>
          <w:sz w:val="24"/>
          <w:szCs w:val="20"/>
          <w:highlight w:val="none"/>
        </w:rPr>
      </w:pPr>
      <w:r>
        <w:rPr>
          <w:rFonts w:hint="eastAsia" w:ascii="宋体" w:hAnsi="宋体" w:eastAsia="宋体" w:cs="宋体"/>
          <w:kern w:val="0"/>
          <w:sz w:val="24"/>
          <w:szCs w:val="24"/>
          <w:highlight w:val="none"/>
          <w:shd w:val="clear" w:color="auto" w:fill="FFFFFF"/>
        </w:rPr>
        <w:t>每个投标人最多只能被确定为1个子包的第一</w:t>
      </w:r>
      <w:r>
        <w:rPr>
          <w:rFonts w:hint="eastAsia" w:ascii="宋体" w:hAnsi="宋体" w:eastAsia="宋体" w:cs="宋体"/>
          <w:kern w:val="0"/>
          <w:sz w:val="24"/>
          <w:szCs w:val="24"/>
          <w:highlight w:val="none"/>
          <w:shd w:val="clear" w:color="auto" w:fill="FFFFFF"/>
          <w:lang w:val="en-US" w:eastAsia="zh-CN"/>
        </w:rPr>
        <w:t>中标候选人</w:t>
      </w:r>
      <w:r>
        <w:rPr>
          <w:rFonts w:hint="eastAsia" w:ascii="宋体" w:hAnsi="宋体" w:eastAsia="宋体" w:cs="宋体"/>
          <w:kern w:val="0"/>
          <w:sz w:val="24"/>
          <w:szCs w:val="24"/>
          <w:highlight w:val="none"/>
          <w:shd w:val="clear" w:color="auto" w:fill="FFFFFF"/>
        </w:rPr>
        <w:t>。本项目按子包的顺序进行评审，依次按照评</w:t>
      </w:r>
      <w:r>
        <w:rPr>
          <w:rFonts w:hint="eastAsia" w:ascii="宋体" w:hAnsi="宋体" w:eastAsia="宋体" w:cs="宋体"/>
          <w:kern w:val="0"/>
          <w:sz w:val="24"/>
          <w:szCs w:val="24"/>
          <w:highlight w:val="none"/>
          <w:shd w:val="clear" w:color="auto" w:fill="FFFFFF"/>
          <w:lang w:val="en-US" w:eastAsia="zh-CN"/>
        </w:rPr>
        <w:t>审</w:t>
      </w:r>
      <w:r>
        <w:rPr>
          <w:rFonts w:hint="eastAsia" w:ascii="宋体" w:hAnsi="宋体" w:eastAsia="宋体" w:cs="宋体"/>
          <w:kern w:val="0"/>
          <w:sz w:val="24"/>
          <w:szCs w:val="24"/>
          <w:highlight w:val="none"/>
          <w:shd w:val="clear" w:color="auto" w:fill="FFFFFF"/>
        </w:rPr>
        <w:t>总得分由高到低的顺序，每包组推荐相应数量的</w:t>
      </w:r>
      <w:r>
        <w:rPr>
          <w:rFonts w:hint="eastAsia" w:ascii="宋体" w:hAnsi="宋体" w:eastAsia="宋体" w:cs="宋体"/>
          <w:kern w:val="0"/>
          <w:sz w:val="24"/>
          <w:szCs w:val="24"/>
          <w:highlight w:val="none"/>
          <w:shd w:val="clear" w:color="auto" w:fill="FFFFFF"/>
          <w:lang w:val="en-US" w:eastAsia="zh-CN"/>
        </w:rPr>
        <w:t>中标候选人</w:t>
      </w:r>
      <w:r>
        <w:rPr>
          <w:rFonts w:hint="eastAsia" w:ascii="宋体" w:hAnsi="宋体" w:eastAsia="宋体" w:cs="宋体"/>
          <w:kern w:val="0"/>
          <w:sz w:val="24"/>
          <w:szCs w:val="24"/>
          <w:highlight w:val="none"/>
          <w:shd w:val="clear" w:color="auto" w:fill="FFFFFF"/>
        </w:rPr>
        <w:t>。已获得子包一的第一</w:t>
      </w:r>
      <w:r>
        <w:rPr>
          <w:rFonts w:hint="eastAsia" w:ascii="宋体" w:hAnsi="宋体" w:eastAsia="宋体" w:cs="宋体"/>
          <w:kern w:val="0"/>
          <w:sz w:val="24"/>
          <w:szCs w:val="24"/>
          <w:highlight w:val="none"/>
          <w:shd w:val="clear" w:color="auto" w:fill="FFFFFF"/>
          <w:lang w:val="en-US" w:eastAsia="zh-CN"/>
        </w:rPr>
        <w:t>中标候选人</w:t>
      </w:r>
      <w:r>
        <w:rPr>
          <w:rFonts w:hint="eastAsia" w:ascii="宋体" w:hAnsi="宋体" w:eastAsia="宋体" w:cs="宋体"/>
          <w:kern w:val="0"/>
          <w:sz w:val="24"/>
          <w:szCs w:val="24"/>
          <w:highlight w:val="none"/>
          <w:shd w:val="clear" w:color="auto" w:fill="FFFFFF"/>
        </w:rPr>
        <w:t>资格的，将不具有子包二的候选人推荐资格;子包二从具有</w:t>
      </w:r>
      <w:r>
        <w:rPr>
          <w:rFonts w:hint="eastAsia" w:ascii="宋体" w:hAnsi="宋体" w:eastAsia="宋体" w:cs="宋体"/>
          <w:kern w:val="0"/>
          <w:sz w:val="24"/>
          <w:szCs w:val="24"/>
          <w:highlight w:val="none"/>
          <w:shd w:val="clear" w:color="auto" w:fill="FFFFFF"/>
          <w:lang w:val="en-US" w:eastAsia="zh-CN"/>
        </w:rPr>
        <w:t>中标候选人</w:t>
      </w:r>
      <w:r>
        <w:rPr>
          <w:rFonts w:hint="eastAsia" w:ascii="宋体" w:hAnsi="宋体" w:eastAsia="宋体" w:cs="宋体"/>
          <w:kern w:val="0"/>
          <w:sz w:val="24"/>
          <w:szCs w:val="24"/>
          <w:highlight w:val="none"/>
          <w:shd w:val="clear" w:color="auto" w:fill="FFFFFF"/>
        </w:rPr>
        <w:t>资格的投标人中，排名最高的投标供应商为第一</w:t>
      </w:r>
      <w:r>
        <w:rPr>
          <w:rFonts w:hint="eastAsia" w:ascii="宋体" w:hAnsi="宋体" w:eastAsia="宋体" w:cs="宋体"/>
          <w:kern w:val="0"/>
          <w:sz w:val="24"/>
          <w:szCs w:val="24"/>
          <w:highlight w:val="none"/>
          <w:shd w:val="clear" w:color="auto" w:fill="FFFFFF"/>
          <w:lang w:val="en-US" w:eastAsia="zh-CN"/>
        </w:rPr>
        <w:t>中标候选人</w:t>
      </w:r>
      <w:r>
        <w:rPr>
          <w:rFonts w:hint="eastAsia" w:ascii="宋体" w:hAnsi="宋体" w:eastAsia="宋体" w:cs="宋体"/>
          <w:kern w:val="0"/>
          <w:sz w:val="24"/>
          <w:szCs w:val="24"/>
          <w:highlight w:val="none"/>
          <w:shd w:val="clear" w:color="auto" w:fill="FFFFFF"/>
        </w:rPr>
        <w:t>，排名次高的投标供应商为第二</w:t>
      </w:r>
      <w:r>
        <w:rPr>
          <w:rFonts w:hint="eastAsia" w:ascii="宋体" w:hAnsi="宋体" w:eastAsia="宋体" w:cs="宋体"/>
          <w:kern w:val="0"/>
          <w:sz w:val="24"/>
          <w:szCs w:val="24"/>
          <w:highlight w:val="none"/>
          <w:shd w:val="clear" w:color="auto" w:fill="FFFFFF"/>
          <w:lang w:val="en-US" w:eastAsia="zh-CN"/>
        </w:rPr>
        <w:t>中标候选人</w:t>
      </w:r>
      <w:r>
        <w:rPr>
          <w:rFonts w:hint="eastAsia" w:ascii="宋体" w:hAnsi="宋体" w:eastAsia="宋体" w:cs="宋体"/>
          <w:kern w:val="0"/>
          <w:sz w:val="24"/>
          <w:szCs w:val="24"/>
          <w:highlight w:val="none"/>
          <w:shd w:val="clear" w:color="auto" w:fill="FFFFFF"/>
        </w:rPr>
        <w:t>，以此类推。</w:t>
      </w:r>
    </w:p>
    <w:p>
      <w:pPr>
        <w:pStyle w:val="6"/>
        <w:rPr>
          <w:rFonts w:hint="eastAsia" w:ascii="宋体" w:hAnsi="宋体" w:eastAsia="宋体" w:cs="宋体"/>
          <w:smallCaps w:val="0"/>
          <w:kern w:val="2"/>
          <w:sz w:val="24"/>
          <w:szCs w:val="24"/>
          <w:highlight w:val="none"/>
          <w:lang w:val="en-US" w:eastAsia="zh-CN" w:bidi="ar-SA"/>
        </w:rPr>
      </w:pPr>
    </w:p>
    <w:p>
      <w:pPr>
        <w:numPr>
          <w:ilvl w:val="0"/>
          <w:numId w:val="0"/>
        </w:numPr>
        <w:spacing w:line="360" w:lineRule="auto"/>
        <w:ind w:leftChars="0"/>
        <w:outlineLvl w:val="9"/>
        <w:rPr>
          <w:rFonts w:hint="eastAsia" w:ascii="宋体" w:hAnsi="宋体" w:eastAsia="宋体" w:cs="宋体"/>
          <w:smallCaps w:val="0"/>
          <w:kern w:val="2"/>
          <w:sz w:val="24"/>
          <w:szCs w:val="24"/>
          <w:highlight w:val="none"/>
          <w:lang w:val="en-US" w:eastAsia="zh-CN" w:bidi="ar-SA"/>
        </w:rPr>
      </w:pPr>
      <w:r>
        <w:rPr>
          <w:rFonts w:hint="eastAsia" w:ascii="宋体" w:hAnsi="宋体" w:cs="宋体"/>
          <w:smallCaps w:val="0"/>
          <w:kern w:val="2"/>
          <w:sz w:val="24"/>
          <w:szCs w:val="24"/>
          <w:highlight w:val="none"/>
          <w:lang w:val="en-US" w:eastAsia="zh-CN" w:bidi="ar-SA"/>
        </w:rPr>
        <w:t>（2）</w:t>
      </w:r>
      <w:r>
        <w:rPr>
          <w:rFonts w:hint="eastAsia" w:ascii="宋体" w:hAnsi="宋体" w:eastAsia="宋体" w:cs="宋体"/>
          <w:smallCaps w:val="0"/>
          <w:kern w:val="2"/>
          <w:sz w:val="24"/>
          <w:szCs w:val="24"/>
          <w:highlight w:val="none"/>
          <w:lang w:val="en-US" w:eastAsia="zh-CN" w:bidi="ar-SA"/>
        </w:rPr>
        <w:t>中小企业所属行业</w:t>
      </w:r>
    </w:p>
    <w:p>
      <w:pPr>
        <w:pStyle w:val="7"/>
        <w:spacing w:line="360" w:lineRule="auto"/>
        <w:ind w:left="0" w:firstLine="0" w:firstLineChars="0"/>
        <w:rPr>
          <w:rFonts w:ascii="宋体" w:eastAsia="宋体"/>
          <w:color w:val="000000"/>
          <w:sz w:val="24"/>
          <w:highlight w:val="none"/>
        </w:rPr>
      </w:pPr>
      <w:r>
        <w:rPr>
          <w:rFonts w:hint="eastAsia" w:ascii="宋体" w:hAnsi="宋体" w:eastAsia="宋体" w:cs="宋体"/>
          <w:smallCaps w:val="0"/>
          <w:kern w:val="2"/>
          <w:sz w:val="24"/>
          <w:szCs w:val="24"/>
          <w:highlight w:val="none"/>
          <w:lang w:val="en-US" w:eastAsia="zh-CN" w:bidi="ar-SA"/>
        </w:rPr>
        <w:t>根据《关于印发中小企业划型标准规定的通知》（工信部联企业〔2011〕300号）的通知，行业划分具体为</w:t>
      </w:r>
      <w:r>
        <w:rPr>
          <w:rFonts w:hint="eastAsia" w:ascii="宋体" w:eastAsia="宋体"/>
          <w:color w:val="000000"/>
          <w:sz w:val="24"/>
          <w:highlight w:val="none"/>
        </w:rPr>
        <w:t>：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7"/>
        <w:spacing w:line="360" w:lineRule="auto"/>
        <w:ind w:left="0" w:firstLine="0" w:firstLineChars="0"/>
        <w:rPr>
          <w:rFonts w:ascii="宋体" w:eastAsia="宋体"/>
          <w:b/>
          <w:bCs/>
          <w:color w:val="000000"/>
          <w:sz w:val="24"/>
          <w:highlight w:val="none"/>
        </w:rPr>
      </w:pPr>
      <w:r>
        <w:rPr>
          <w:rFonts w:hint="eastAsia" w:ascii="宋体" w:eastAsia="宋体"/>
          <w:b/>
          <w:bCs/>
          <w:color w:val="000000"/>
          <w:sz w:val="24"/>
          <w:highlight w:val="none"/>
        </w:rPr>
        <w:t>本项目所属行业为：</w:t>
      </w:r>
      <w:r>
        <w:rPr>
          <w:rFonts w:hint="eastAsia" w:ascii="宋体" w:eastAsia="宋体"/>
          <w:b/>
          <w:bCs/>
          <w:color w:val="000000"/>
          <w:sz w:val="24"/>
          <w:highlight w:val="none"/>
          <w:u w:val="single"/>
        </w:rPr>
        <w:t xml:space="preserve">    其他未列明行业         </w:t>
      </w:r>
    </w:p>
    <w:p>
      <w:pPr>
        <w:rPr>
          <w:rFonts w:hint="eastAsia" w:ascii="宋体" w:hAnsi="宋体"/>
          <w:sz w:val="24"/>
          <w:szCs w:val="24"/>
          <w:highlight w:val="none"/>
        </w:rPr>
      </w:pPr>
    </w:p>
    <w:p>
      <w:pPr>
        <w:pStyle w:val="6"/>
        <w:rPr>
          <w:highlight w:val="none"/>
        </w:rPr>
      </w:pPr>
    </w:p>
    <w:p>
      <w:pPr>
        <w:spacing w:line="240" w:lineRule="auto"/>
        <w:ind w:firstLine="0" w:firstLineChars="0"/>
        <w:rPr>
          <w:rFonts w:ascii="宋体" w:hAnsi="宋体"/>
          <w:b/>
          <w:bCs/>
          <w:sz w:val="24"/>
          <w:szCs w:val="24"/>
          <w:highlight w:val="none"/>
        </w:rPr>
      </w:pPr>
      <w:r>
        <w:rPr>
          <w:rFonts w:hint="eastAsia" w:ascii="宋体" w:hAnsi="宋体"/>
          <w:sz w:val="24"/>
          <w:szCs w:val="24"/>
          <w:highlight w:val="none"/>
        </w:rPr>
        <w:br w:type="page"/>
      </w:r>
    </w:p>
    <w:p>
      <w:pPr>
        <w:spacing w:line="360" w:lineRule="auto"/>
        <w:ind w:firstLine="482" w:firstLineChars="200"/>
        <w:jc w:val="center"/>
        <w:outlineLvl w:val="1"/>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第1包新冠调研服务</w:t>
      </w:r>
    </w:p>
    <w:p>
      <w:pPr>
        <w:spacing w:line="360" w:lineRule="auto"/>
        <w:ind w:firstLine="482" w:firstLineChars="200"/>
        <w:outlineLvl w:val="2"/>
        <w:rPr>
          <w:rFonts w:ascii="宋体" w:hAnsi="宋体"/>
          <w:b/>
          <w:bCs/>
          <w:sz w:val="24"/>
          <w:szCs w:val="24"/>
          <w:highlight w:val="none"/>
        </w:rPr>
      </w:pPr>
      <w:r>
        <w:rPr>
          <w:rFonts w:hint="eastAsia" w:ascii="宋体" w:hAnsi="宋体"/>
          <w:b/>
          <w:bCs/>
          <w:sz w:val="24"/>
          <w:szCs w:val="24"/>
          <w:highlight w:val="none"/>
          <w:lang w:val="en-US" w:eastAsia="zh-CN"/>
        </w:rPr>
        <w:t>一</w:t>
      </w:r>
      <w:r>
        <w:rPr>
          <w:rFonts w:hint="eastAsia" w:ascii="宋体" w:hAnsi="宋体"/>
          <w:b/>
          <w:bCs/>
          <w:sz w:val="24"/>
          <w:szCs w:val="24"/>
          <w:highlight w:val="none"/>
        </w:rPr>
        <w:t>、技术要求</w:t>
      </w:r>
    </w:p>
    <w:p>
      <w:pPr>
        <w:widowControl/>
        <w:numPr>
          <w:ilvl w:val="0"/>
          <w:numId w:val="0"/>
        </w:numPr>
        <w:tabs>
          <w:tab w:val="left" w:pos="525"/>
          <w:tab w:val="left" w:pos="851"/>
          <w:tab w:val="left" w:pos="3398"/>
        </w:tabs>
        <w:autoSpaceDE w:val="0"/>
        <w:autoSpaceDN w:val="0"/>
        <w:adjustRightInd w:val="0"/>
        <w:snapToGrid w:val="0"/>
        <w:spacing w:line="360" w:lineRule="auto"/>
        <w:ind w:left="0" w:leftChars="0" w:firstLine="480" w:firstLineChars="200"/>
        <w:jc w:val="left"/>
        <w:rPr>
          <w:rFonts w:hint="eastAsia" w:ascii="宋体" w:hAnsi="宋体" w:eastAsia="宋体" w:cs="宋体"/>
          <w:b w:val="0"/>
          <w:bCs w:val="0"/>
          <w:sz w:val="24"/>
          <w:szCs w:val="24"/>
          <w:highlight w:val="none"/>
        </w:rPr>
      </w:pPr>
      <w:r>
        <w:rPr>
          <w:rFonts w:hint="eastAsia" w:ascii="宋体" w:hAnsi="宋体" w:cs="宋体"/>
          <w:b w:val="0"/>
          <w:bCs w:val="0"/>
          <w:kern w:val="2"/>
          <w:sz w:val="24"/>
          <w:szCs w:val="24"/>
          <w:highlight w:val="none"/>
          <w:lang w:val="en-US" w:eastAsia="zh-CN" w:bidi="ar-SA"/>
        </w:rPr>
        <w:t>（一）</w:t>
      </w:r>
      <w:r>
        <w:rPr>
          <w:rFonts w:hint="eastAsia" w:ascii="宋体" w:hAnsi="宋体" w:eastAsia="宋体" w:cs="宋体"/>
          <w:b w:val="0"/>
          <w:bCs w:val="0"/>
          <w:sz w:val="24"/>
          <w:szCs w:val="24"/>
          <w:highlight w:val="none"/>
          <w:lang w:val="zh-CN"/>
        </w:rPr>
        <w:t>服务要求</w:t>
      </w:r>
    </w:p>
    <w:p>
      <w:pPr>
        <w:widowControl/>
        <w:adjustRightInd w:val="0"/>
        <w:snapToGrid w:val="0"/>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1、采购目的</w:t>
      </w:r>
    </w:p>
    <w:p>
      <w:pPr>
        <w:widowControl/>
        <w:adjustRightInd w:val="0"/>
        <w:snapToGrid w:val="0"/>
        <w:spacing w:line="360" w:lineRule="auto"/>
        <w:ind w:firstLine="480" w:firstLineChars="200"/>
        <w:rPr>
          <w:rFonts w:hint="eastAsia" w:ascii="宋体" w:hAnsi="宋体" w:eastAsia="宋体" w:cs="宋体"/>
          <w:color w:val="000000"/>
          <w:sz w:val="24"/>
          <w:szCs w:val="24"/>
          <w:highlight w:val="none"/>
        </w:rPr>
      </w:pPr>
      <w:bookmarkStart w:id="1" w:name="_Toc432093682"/>
      <w:r>
        <w:rPr>
          <w:rFonts w:hint="eastAsia" w:ascii="宋体" w:hAnsi="宋体" w:eastAsia="宋体" w:cs="宋体"/>
          <w:color w:val="000000"/>
          <w:sz w:val="24"/>
          <w:szCs w:val="24"/>
          <w:highlight w:val="none"/>
        </w:rPr>
        <w:t>本项目主要为了对当前新冠疫情的流行情况进行线上监测及流行病学调查分析，</w:t>
      </w:r>
      <w:bookmarkEnd w:id="1"/>
      <w:r>
        <w:rPr>
          <w:rFonts w:hint="eastAsia" w:ascii="宋体" w:hAnsi="宋体" w:eastAsia="宋体" w:cs="宋体"/>
          <w:color w:val="000000"/>
          <w:sz w:val="24"/>
          <w:szCs w:val="24"/>
          <w:highlight w:val="none"/>
        </w:rPr>
        <w:t>委托活动推广公司严格按照</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要求收集有关“新冠调研”相关信息。</w:t>
      </w:r>
    </w:p>
    <w:p>
      <w:pPr>
        <w:widowControl/>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2、采购需求</w:t>
      </w:r>
    </w:p>
    <w:p>
      <w:pPr>
        <w:widowControl/>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本临床研究项目收集展开地拟在全国开展，拟纳入共</w:t>
      </w:r>
      <w:r>
        <w:rPr>
          <w:rFonts w:hint="eastAsia" w:ascii="宋体" w:hAnsi="宋体" w:cs="宋体"/>
          <w:color w:val="000000"/>
          <w:sz w:val="24"/>
          <w:szCs w:val="24"/>
          <w:highlight w:val="none"/>
          <w:lang w:val="en-US" w:eastAsia="zh-CN"/>
        </w:rPr>
        <w:t>20</w:t>
      </w:r>
      <w:r>
        <w:rPr>
          <w:rFonts w:hint="eastAsia" w:ascii="宋体" w:hAnsi="宋体" w:eastAsia="宋体" w:cs="宋体"/>
          <w:color w:val="000000"/>
          <w:sz w:val="24"/>
          <w:szCs w:val="24"/>
          <w:highlight w:val="none"/>
        </w:rPr>
        <w:t>万份的调研信息收集</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按照</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的需求，要求受委托的活动推广</w:t>
      </w:r>
      <w:r>
        <w:rPr>
          <w:rFonts w:hint="eastAsia" w:ascii="宋体" w:hAnsi="宋体" w:cs="宋体"/>
          <w:color w:val="000000"/>
          <w:sz w:val="24"/>
          <w:szCs w:val="24"/>
          <w:highlight w:val="none"/>
          <w:lang w:val="en-US" w:eastAsia="zh-CN"/>
        </w:rPr>
        <w:t>投标人</w:t>
      </w:r>
      <w:r>
        <w:rPr>
          <w:rFonts w:hint="eastAsia" w:ascii="宋体" w:hAnsi="宋体" w:eastAsia="宋体" w:cs="宋体"/>
          <w:color w:val="000000"/>
          <w:sz w:val="24"/>
          <w:szCs w:val="24"/>
          <w:highlight w:val="none"/>
        </w:rPr>
        <w:t>执行项目中调研收集信息、整理反馈信息、监控数据信息等工作和任务，确保新冠调研项目执行过程严格按照</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的相关规范要求，保证收集资料完整、真实、准确。</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备注：具体数据以双方对接人T+1确认的有效数据为准，具体已交付要求文件为准</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“新冠调研”信息收集</w:t>
      </w:r>
      <w:r>
        <w:rPr>
          <w:rFonts w:hint="eastAsia" w:ascii="宋体" w:hAnsi="宋体" w:cs="宋体"/>
          <w:color w:val="000000"/>
          <w:sz w:val="24"/>
          <w:szCs w:val="24"/>
          <w:highlight w:val="none"/>
          <w:lang w:val="en-US" w:eastAsia="zh-CN"/>
        </w:rPr>
        <w:t>在</w:t>
      </w:r>
      <w:r>
        <w:rPr>
          <w:rFonts w:hint="eastAsia" w:ascii="宋体" w:hAnsi="宋体" w:eastAsia="宋体" w:cs="宋体"/>
          <w:color w:val="000000"/>
          <w:sz w:val="24"/>
          <w:szCs w:val="24"/>
          <w:highlight w:val="none"/>
        </w:rPr>
        <w:t>全国各地不限制人群的感染时间、接种时间、评估报告相关调研信息。</w:t>
      </w:r>
    </w:p>
    <w:p>
      <w:pPr>
        <w:widowControl/>
        <w:adjustRightInd w:val="0"/>
        <w:snapToGrid w:val="0"/>
        <w:spacing w:before="48" w:beforeLines="20" w:after="48" w:afterLines="20"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二</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总体需求</w:t>
      </w:r>
    </w:p>
    <w:p>
      <w:pPr>
        <w:widowControl/>
        <w:adjustRightInd w:val="0"/>
        <w:snapToGrid w:val="0"/>
        <w:spacing w:before="0" w:beforeLines="-2147483648" w:after="0" w:afterLines="-2147483648" w:line="360" w:lineRule="auto"/>
        <w:ind w:firstLine="480" w:firstLineChars="20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新冠调研要求广告推广</w:t>
      </w:r>
      <w:r>
        <w:rPr>
          <w:rFonts w:hint="eastAsia" w:ascii="宋体" w:hAnsi="宋体" w:cs="宋体"/>
          <w:color w:val="000000"/>
          <w:sz w:val="24"/>
          <w:szCs w:val="24"/>
          <w:highlight w:val="none"/>
          <w:lang w:val="en-US" w:eastAsia="zh-CN"/>
        </w:rPr>
        <w:t>投标人</w:t>
      </w:r>
      <w:r>
        <w:rPr>
          <w:rFonts w:hint="eastAsia" w:ascii="宋体" w:hAnsi="宋体" w:eastAsia="宋体" w:cs="宋体"/>
          <w:color w:val="000000"/>
          <w:sz w:val="24"/>
          <w:szCs w:val="24"/>
          <w:highlight w:val="none"/>
        </w:rPr>
        <w:t>对本项目需求进行充分理解，并对本项目提出具体的运营管理计划，包括但不限于工作实施方案、质量控制方案、应急预案；要求广告推广</w:t>
      </w:r>
      <w:r>
        <w:rPr>
          <w:rFonts w:hint="eastAsia" w:ascii="宋体" w:hAnsi="宋体" w:cs="宋体"/>
          <w:color w:val="000000"/>
          <w:sz w:val="24"/>
          <w:szCs w:val="24"/>
          <w:highlight w:val="none"/>
          <w:lang w:val="en-US" w:eastAsia="zh-CN"/>
        </w:rPr>
        <w:t>投标人</w:t>
      </w:r>
      <w:r>
        <w:rPr>
          <w:rFonts w:hint="eastAsia" w:ascii="宋体" w:hAnsi="宋体" w:eastAsia="宋体" w:cs="宋体"/>
          <w:color w:val="000000"/>
          <w:sz w:val="24"/>
          <w:szCs w:val="24"/>
          <w:highlight w:val="none"/>
        </w:rPr>
        <w:t>组建具有丰富经验的专业团队实施项目服务，以充分保证项目质量及效率。</w:t>
      </w:r>
    </w:p>
    <w:p>
      <w:pPr>
        <w:widowControl/>
        <w:adjustRightInd w:val="0"/>
        <w:snapToGrid w:val="0"/>
        <w:spacing w:before="48" w:beforeLines="20" w:after="48" w:afterLines="20" w:line="360" w:lineRule="auto"/>
        <w:jc w:val="left"/>
        <w:outlineLvl w:val="9"/>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三</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具体技术与服务内容</w:t>
      </w:r>
    </w:p>
    <w:tbl>
      <w:tblPr>
        <w:tblStyle w:val="8"/>
        <w:tblW w:w="5051" w:type="pct"/>
        <w:tblInd w:w="0" w:type="dxa"/>
        <w:tblLayout w:type="fixed"/>
        <w:tblCellMar>
          <w:top w:w="0" w:type="dxa"/>
          <w:left w:w="108" w:type="dxa"/>
          <w:bottom w:w="0" w:type="dxa"/>
          <w:right w:w="108" w:type="dxa"/>
        </w:tblCellMar>
      </w:tblPr>
      <w:tblGrid>
        <w:gridCol w:w="810"/>
        <w:gridCol w:w="1810"/>
        <w:gridCol w:w="5989"/>
      </w:tblGrid>
      <w:tr>
        <w:tblPrEx>
          <w:tblCellMar>
            <w:top w:w="0" w:type="dxa"/>
            <w:left w:w="108" w:type="dxa"/>
            <w:bottom w:w="0" w:type="dxa"/>
            <w:right w:w="108" w:type="dxa"/>
          </w:tblCellMar>
        </w:tblPrEx>
        <w:trPr>
          <w:trHeight w:val="303" w:hRule="atLeast"/>
        </w:trPr>
        <w:tc>
          <w:tcPr>
            <w:tcW w:w="470" w:type="pct"/>
            <w:tcBorders>
              <w:top w:val="single" w:color="000000" w:sz="8" w:space="0"/>
              <w:left w:val="single" w:color="000000" w:sz="8" w:space="0"/>
              <w:bottom w:val="single" w:color="000000" w:sz="8" w:space="0"/>
              <w:right w:val="single" w:color="000000" w:sz="8"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编号</w:t>
            </w:r>
          </w:p>
        </w:tc>
        <w:tc>
          <w:tcPr>
            <w:tcW w:w="1051" w:type="pct"/>
            <w:tcBorders>
              <w:top w:val="single" w:color="000000" w:sz="8" w:space="0"/>
              <w:left w:val="nil"/>
              <w:bottom w:val="single" w:color="000000" w:sz="8" w:space="0"/>
              <w:right w:val="single" w:color="000000" w:sz="8"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服务名称</w:t>
            </w:r>
          </w:p>
        </w:tc>
        <w:tc>
          <w:tcPr>
            <w:tcW w:w="3477" w:type="pct"/>
            <w:tcBorders>
              <w:top w:val="single" w:color="000000" w:sz="8" w:space="0"/>
              <w:left w:val="nil"/>
              <w:bottom w:val="single" w:color="000000" w:sz="8" w:space="0"/>
              <w:right w:val="single" w:color="000000" w:sz="8"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具体服务内容</w:t>
            </w:r>
          </w:p>
        </w:tc>
      </w:tr>
      <w:tr>
        <w:tblPrEx>
          <w:tblCellMar>
            <w:top w:w="0" w:type="dxa"/>
            <w:left w:w="108" w:type="dxa"/>
            <w:bottom w:w="0" w:type="dxa"/>
            <w:right w:w="108" w:type="dxa"/>
          </w:tblCellMar>
        </w:tblPrEx>
        <w:trPr>
          <w:trHeight w:val="303" w:hRule="atLeast"/>
        </w:trPr>
        <w:tc>
          <w:tcPr>
            <w:tcW w:w="470" w:type="pct"/>
            <w:vMerge w:val="restart"/>
            <w:tcBorders>
              <w:top w:val="single" w:color="auto" w:sz="4" w:space="0"/>
              <w:left w:val="single" w:color="auto" w:sz="4" w:space="0"/>
              <w:right w:val="single" w:color="auto" w:sz="4" w:space="0"/>
            </w:tcBorders>
            <w:noWrap w:val="0"/>
            <w:vAlign w:val="center"/>
          </w:tcPr>
          <w:p>
            <w:pPr>
              <w:widowControl/>
              <w:adjustRightInd w:val="0"/>
              <w:snapToGrid w:val="0"/>
              <w:spacing w:line="360" w:lineRule="auto"/>
              <w:ind w:firstLine="240" w:firstLineChars="1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051" w:type="pct"/>
            <w:vMerge w:val="restart"/>
            <w:tcBorders>
              <w:top w:val="single" w:color="auto" w:sz="4" w:space="0"/>
              <w:left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交付和进度沟通</w:t>
            </w: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确认调研信息的交付标准：相对应的图片和信息</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制定收集预期调研收集进度</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确认交付电子文件同一格式，以便稽查</w:t>
            </w:r>
          </w:p>
        </w:tc>
      </w:tr>
      <w:tr>
        <w:tblPrEx>
          <w:tblCellMar>
            <w:top w:w="0" w:type="dxa"/>
            <w:left w:w="108" w:type="dxa"/>
            <w:bottom w:w="0" w:type="dxa"/>
            <w:right w:w="108" w:type="dxa"/>
          </w:tblCellMar>
        </w:tblPrEx>
        <w:trPr>
          <w:trHeight w:val="591" w:hRule="atLeast"/>
        </w:trPr>
        <w:tc>
          <w:tcPr>
            <w:tcW w:w="470"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1051"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质量稽查与调整</w:t>
            </w: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对质量不符合标准的数据提出问题点，及时调整</w:t>
            </w:r>
          </w:p>
        </w:tc>
      </w:tr>
      <w:tr>
        <w:tblPrEx>
          <w:tblCellMar>
            <w:top w:w="0" w:type="dxa"/>
            <w:left w:w="108" w:type="dxa"/>
            <w:bottom w:w="0" w:type="dxa"/>
            <w:right w:w="108" w:type="dxa"/>
          </w:tblCellMar>
        </w:tblPrEx>
        <w:trPr>
          <w:trHeight w:val="303" w:hRule="atLeast"/>
        </w:trPr>
        <w:tc>
          <w:tcPr>
            <w:tcW w:w="470" w:type="pct"/>
            <w:vMerge w:val="restart"/>
            <w:tcBorders>
              <w:top w:val="single" w:color="auto" w:sz="4" w:space="0"/>
              <w:left w:val="single" w:color="auto" w:sz="4" w:space="0"/>
              <w:right w:val="single" w:color="auto" w:sz="4" w:space="0"/>
            </w:tcBorders>
            <w:noWrap w:val="0"/>
            <w:vAlign w:val="center"/>
          </w:tcPr>
          <w:p>
            <w:pPr>
              <w:widowControl/>
              <w:adjustRightInd w:val="0"/>
              <w:snapToGrid w:val="0"/>
              <w:spacing w:line="360" w:lineRule="auto"/>
              <w:ind w:firstLine="240" w:firstLineChars="1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1051" w:type="pct"/>
            <w:vMerge w:val="restart"/>
            <w:tcBorders>
              <w:top w:val="single" w:color="auto" w:sz="4" w:space="0"/>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项目培训</w:t>
            </w: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项目团队培训：</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项目相关背景介绍</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制定项目执行计划</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同一交付文件提交格式</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数据监控分析（特指非真人填写情况）</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进度未符合预期处理：增加项目执行团队人手</w:t>
            </w:r>
          </w:p>
        </w:tc>
      </w:tr>
      <w:tr>
        <w:tblPrEx>
          <w:tblCellMar>
            <w:top w:w="0" w:type="dxa"/>
            <w:left w:w="108" w:type="dxa"/>
            <w:bottom w:w="0" w:type="dxa"/>
            <w:right w:w="108" w:type="dxa"/>
          </w:tblCellMar>
        </w:tblPrEx>
        <w:trPr>
          <w:trHeight w:val="303" w:hRule="atLeast"/>
        </w:trPr>
        <w:tc>
          <w:tcPr>
            <w:tcW w:w="470" w:type="pct"/>
            <w:tcBorders>
              <w:top w:val="nil"/>
              <w:left w:val="single" w:color="000000" w:sz="8" w:space="0"/>
              <w:bottom w:val="single" w:color="000000" w:sz="8" w:space="0"/>
              <w:right w:val="single" w:color="000000" w:sz="8" w:space="0"/>
            </w:tcBorders>
            <w:noWrap w:val="0"/>
            <w:vAlign w:val="center"/>
          </w:tcPr>
          <w:p>
            <w:pPr>
              <w:widowControl/>
              <w:adjustRightInd w:val="0"/>
              <w:snapToGrid w:val="0"/>
              <w:spacing w:line="360" w:lineRule="auto"/>
              <w:ind w:firstLine="240" w:firstLineChars="1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1051" w:type="pct"/>
            <w:tcBorders>
              <w:top w:val="nil"/>
              <w:left w:val="nil"/>
              <w:bottom w:val="single" w:color="000000" w:sz="8" w:space="0"/>
              <w:right w:val="single" w:color="000000" w:sz="8"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项目售后</w:t>
            </w:r>
          </w:p>
        </w:tc>
        <w:tc>
          <w:tcPr>
            <w:tcW w:w="3477" w:type="pct"/>
            <w:tcBorders>
              <w:top w:val="nil"/>
              <w:left w:val="nil"/>
              <w:bottom w:val="single" w:color="000000" w:sz="8" w:space="0"/>
              <w:right w:val="single" w:color="000000" w:sz="8"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协助</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完善项目后续各项事宜</w:t>
            </w:r>
          </w:p>
        </w:tc>
      </w:tr>
    </w:tbl>
    <w:p>
      <w:pPr>
        <w:widowControl w:val="0"/>
        <w:spacing w:line="360" w:lineRule="auto"/>
        <w:jc w:val="both"/>
        <w:outlineLvl w:val="9"/>
        <w:rPr>
          <w:rFonts w:hint="eastAsia" w:ascii="宋体" w:hAnsi="宋体" w:eastAsia="宋体" w:cs="宋体"/>
          <w:b/>
          <w:color w:val="000000"/>
          <w:kern w:val="2"/>
          <w:sz w:val="24"/>
          <w:szCs w:val="24"/>
          <w:highlight w:val="none"/>
          <w:lang w:val="en-US" w:eastAsia="zh-CN" w:bidi="ar-SA"/>
        </w:rPr>
      </w:pPr>
    </w:p>
    <w:p>
      <w:pPr>
        <w:numPr>
          <w:ilvl w:val="-1"/>
          <w:numId w:val="0"/>
        </w:numPr>
        <w:adjustRightInd w:val="0"/>
        <w:snapToGrid w:val="0"/>
        <w:spacing w:before="48" w:beforeLines="20" w:after="48" w:afterLines="20" w:line="360" w:lineRule="auto"/>
        <w:outlineLvl w:val="9"/>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四</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人员配置要求</w:t>
      </w:r>
    </w:p>
    <w:tbl>
      <w:tblPr>
        <w:tblStyle w:val="8"/>
        <w:tblW w:w="4555" w:type="pct"/>
        <w:jc w:val="center"/>
        <w:tblLayout w:type="fixed"/>
        <w:tblCellMar>
          <w:top w:w="0" w:type="dxa"/>
          <w:left w:w="108" w:type="dxa"/>
          <w:bottom w:w="0" w:type="dxa"/>
          <w:right w:w="108" w:type="dxa"/>
        </w:tblCellMar>
      </w:tblPr>
      <w:tblGrid>
        <w:gridCol w:w="495"/>
        <w:gridCol w:w="1292"/>
        <w:gridCol w:w="5978"/>
      </w:tblGrid>
      <w:tr>
        <w:tblPrEx>
          <w:tblCellMar>
            <w:top w:w="0" w:type="dxa"/>
            <w:left w:w="108" w:type="dxa"/>
            <w:bottom w:w="0" w:type="dxa"/>
            <w:right w:w="108" w:type="dxa"/>
          </w:tblCellMar>
        </w:tblPrEx>
        <w:trPr>
          <w:trHeight w:val="288" w:hRule="atLeast"/>
          <w:jc w:val="center"/>
        </w:trPr>
        <w:tc>
          <w:tcPr>
            <w:tcW w:w="318" w:type="pct"/>
            <w:tcBorders>
              <w:top w:val="single" w:color="000000" w:sz="4" w:space="0"/>
              <w:left w:val="single" w:color="000000" w:sz="4" w:space="0"/>
              <w:bottom w:val="nil"/>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831" w:type="pct"/>
            <w:tcBorders>
              <w:top w:val="single" w:color="000000" w:sz="4" w:space="0"/>
              <w:left w:val="single" w:color="000000" w:sz="4" w:space="0"/>
              <w:bottom w:val="nil"/>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人员配置</w:t>
            </w:r>
          </w:p>
        </w:tc>
        <w:tc>
          <w:tcPr>
            <w:tcW w:w="3849" w:type="pct"/>
            <w:tcBorders>
              <w:top w:val="single" w:color="000000" w:sz="4" w:space="0"/>
              <w:left w:val="single" w:color="000000" w:sz="4" w:space="0"/>
              <w:bottom w:val="nil"/>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具体要求</w:t>
            </w:r>
          </w:p>
        </w:tc>
      </w:tr>
      <w:tr>
        <w:tblPrEx>
          <w:tblCellMar>
            <w:top w:w="0" w:type="dxa"/>
            <w:left w:w="108" w:type="dxa"/>
            <w:bottom w:w="0" w:type="dxa"/>
            <w:right w:w="108" w:type="dxa"/>
          </w:tblCellMar>
        </w:tblPrEx>
        <w:trPr>
          <w:trHeight w:val="115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righ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831"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项目经理</w:t>
            </w:r>
          </w:p>
        </w:tc>
        <w:tc>
          <w:tcPr>
            <w:tcW w:w="384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需至少配备负责本调研项目工作的项目经理（PM）1名，PM需要有丰富的相关调研项目执行管理经验，确保项目进度的正常推动。</w:t>
            </w:r>
          </w:p>
        </w:tc>
      </w:tr>
      <w:tr>
        <w:tblPrEx>
          <w:tblCellMar>
            <w:top w:w="0" w:type="dxa"/>
            <w:left w:w="108" w:type="dxa"/>
            <w:bottom w:w="0" w:type="dxa"/>
            <w:right w:w="108" w:type="dxa"/>
          </w:tblCellMar>
        </w:tblPrEx>
        <w:trPr>
          <w:trHeight w:val="1152" w:hRule="atLeast"/>
          <w:jc w:val="center"/>
        </w:trPr>
        <w:tc>
          <w:tcPr>
            <w:tcW w:w="318" w:type="pct"/>
            <w:vMerge w:val="restart"/>
            <w:tcBorders>
              <w:top w:val="single" w:color="000000" w:sz="4" w:space="0"/>
              <w:left w:val="single" w:color="000000" w:sz="4" w:space="0"/>
              <w:right w:val="single" w:color="000000" w:sz="4" w:space="0"/>
            </w:tcBorders>
            <w:noWrap w:val="0"/>
            <w:vAlign w:val="center"/>
          </w:tcPr>
          <w:p>
            <w:pPr>
              <w:widowControl/>
              <w:spacing w:line="360" w:lineRule="auto"/>
              <w:jc w:val="righ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p>
            <w:pPr>
              <w:widowControl/>
              <w:spacing w:line="360" w:lineRule="auto"/>
              <w:textAlignment w:val="center"/>
              <w:outlineLvl w:val="9"/>
              <w:rPr>
                <w:rFonts w:hint="eastAsia" w:ascii="宋体" w:hAnsi="宋体" w:eastAsia="宋体" w:cs="宋体"/>
                <w:b/>
                <w:bCs/>
                <w:color w:val="000000"/>
                <w:sz w:val="24"/>
                <w:szCs w:val="24"/>
                <w:highlight w:val="none"/>
              </w:rPr>
            </w:pPr>
          </w:p>
        </w:tc>
        <w:tc>
          <w:tcPr>
            <w:tcW w:w="831" w:type="pct"/>
            <w:vMerge w:val="restart"/>
            <w:tcBorders>
              <w:top w:val="single" w:color="000000" w:sz="4" w:space="0"/>
              <w:left w:val="single" w:color="000000" w:sz="4" w:space="0"/>
              <w:right w:val="single" w:color="000000" w:sz="4" w:space="0"/>
            </w:tcBorders>
            <w:noWrap w:val="0"/>
            <w:vAlign w:val="center"/>
          </w:tcPr>
          <w:p>
            <w:pPr>
              <w:widowControl/>
              <w:spacing w:line="360" w:lineRule="auto"/>
              <w:jc w:val="center"/>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项目服务实施团队</w:t>
            </w:r>
          </w:p>
        </w:tc>
        <w:tc>
          <w:tcPr>
            <w:tcW w:w="384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应对执行人员进行全面的管理与质量控制，完成项目的启动、执行及结束工作，并及时与项目对接人进行沟通和协调，确保所有调研信息的收集严格按照标准操作程序和相关法规进行；</w:t>
            </w:r>
          </w:p>
        </w:tc>
      </w:tr>
      <w:tr>
        <w:tblPrEx>
          <w:tblCellMar>
            <w:top w:w="0" w:type="dxa"/>
            <w:left w:w="108" w:type="dxa"/>
            <w:bottom w:w="0" w:type="dxa"/>
            <w:right w:w="108" w:type="dxa"/>
          </w:tblCellMar>
        </w:tblPrEx>
        <w:trPr>
          <w:trHeight w:val="1152" w:hRule="atLeast"/>
          <w:jc w:val="center"/>
        </w:trPr>
        <w:tc>
          <w:tcPr>
            <w:tcW w:w="318" w:type="pct"/>
            <w:vMerge w:val="continue"/>
            <w:tcBorders>
              <w:left w:val="single" w:color="000000" w:sz="4" w:space="0"/>
              <w:bottom w:val="single" w:color="000000" w:sz="4" w:space="0"/>
              <w:right w:val="single" w:color="000000" w:sz="4" w:space="0"/>
            </w:tcBorders>
            <w:noWrap w:val="0"/>
            <w:vAlign w:val="center"/>
          </w:tcPr>
          <w:p>
            <w:pPr>
              <w:widowControl/>
              <w:spacing w:line="360" w:lineRule="auto"/>
              <w:jc w:val="right"/>
              <w:textAlignment w:val="center"/>
              <w:outlineLvl w:val="9"/>
              <w:rPr>
                <w:rFonts w:hint="eastAsia" w:ascii="宋体" w:hAnsi="宋体" w:eastAsia="宋体" w:cs="宋体"/>
                <w:color w:val="000000"/>
                <w:sz w:val="24"/>
                <w:szCs w:val="24"/>
                <w:highlight w:val="none"/>
              </w:rPr>
            </w:pPr>
          </w:p>
        </w:tc>
        <w:tc>
          <w:tcPr>
            <w:tcW w:w="831" w:type="pct"/>
            <w:vMerge w:val="continue"/>
            <w:tcBorders>
              <w:left w:val="single" w:color="000000" w:sz="4" w:space="0"/>
              <w:bottom w:val="single" w:color="000000" w:sz="4" w:space="0"/>
              <w:right w:val="single" w:color="000000" w:sz="4" w:space="0"/>
            </w:tcBorders>
            <w:noWrap w:val="0"/>
            <w:vAlign w:val="center"/>
          </w:tcPr>
          <w:p>
            <w:pPr>
              <w:spacing w:line="360" w:lineRule="auto"/>
              <w:jc w:val="center"/>
              <w:outlineLvl w:val="9"/>
              <w:rPr>
                <w:rFonts w:hint="eastAsia" w:ascii="宋体" w:hAnsi="宋体" w:eastAsia="宋体" w:cs="宋体"/>
                <w:color w:val="000000"/>
                <w:sz w:val="24"/>
                <w:szCs w:val="24"/>
                <w:highlight w:val="none"/>
              </w:rPr>
            </w:pPr>
          </w:p>
        </w:tc>
        <w:tc>
          <w:tcPr>
            <w:tcW w:w="384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应对项目进行规范管理，定期工作总结及管理项目进度，确保项目按照申办方整体计划如期进行；</w:t>
            </w:r>
          </w:p>
        </w:tc>
      </w:tr>
    </w:tbl>
    <w:p>
      <w:pPr>
        <w:widowControl w:val="0"/>
        <w:spacing w:line="360" w:lineRule="auto"/>
        <w:ind w:left="0" w:firstLine="0" w:firstLineChars="0"/>
        <w:jc w:val="both"/>
        <w:outlineLvl w:val="9"/>
        <w:rPr>
          <w:rFonts w:hint="eastAsia" w:ascii="宋体" w:hAnsi="宋体" w:eastAsia="宋体" w:cs="宋体"/>
          <w:kern w:val="2"/>
          <w:sz w:val="24"/>
          <w:szCs w:val="24"/>
          <w:highlight w:val="none"/>
          <w:lang w:val="en-US" w:eastAsia="zh-CN" w:bidi="ar-SA"/>
        </w:rPr>
      </w:pPr>
    </w:p>
    <w:p>
      <w:pPr>
        <w:adjustRightInd w:val="0"/>
        <w:snapToGrid w:val="0"/>
        <w:spacing w:before="48" w:beforeLines="20" w:after="48" w:afterLines="20"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五</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进度要求</w:t>
      </w:r>
    </w:p>
    <w:p>
      <w:pPr>
        <w:adjustRightInd w:val="0"/>
        <w:snapToGrid w:val="0"/>
        <w:spacing w:before="48" w:beforeLines="20" w:after="48" w:afterLines="20"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按采购人与中标人商定的项目计划进行各个阶段工作，完成新冠调研相关信息收集。</w:t>
      </w:r>
    </w:p>
    <w:p>
      <w:pPr>
        <w:adjustRightInd w:val="0"/>
        <w:snapToGrid w:val="0"/>
        <w:spacing w:before="48" w:beforeLines="20" w:after="48" w:afterLines="20" w:line="360" w:lineRule="auto"/>
        <w:outlineLvl w:val="9"/>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六</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项目地点：全国。</w:t>
      </w:r>
    </w:p>
    <w:p>
      <w:pPr>
        <w:wordWrap w:val="0"/>
        <w:adjustRightInd w:val="0"/>
        <w:snapToGrid w:val="0"/>
        <w:spacing w:line="360" w:lineRule="auto"/>
        <w:ind w:firstLine="480" w:firstLineChars="200"/>
        <w:outlineLvl w:val="9"/>
        <w:rPr>
          <w:rFonts w:hint="eastAsia" w:ascii="宋体" w:hAnsi="宋体" w:eastAsia="宋体" w:cs="宋体"/>
          <w:iCs/>
          <w:sz w:val="24"/>
          <w:szCs w:val="24"/>
          <w:highlight w:val="none"/>
        </w:rPr>
      </w:pPr>
    </w:p>
    <w:p>
      <w:pPr>
        <w:widowControl w:val="0"/>
        <w:wordWrap w:val="0"/>
        <w:adjustRightInd w:val="0"/>
        <w:snapToGrid w:val="0"/>
        <w:spacing w:line="360" w:lineRule="auto"/>
        <w:ind w:firstLine="0" w:firstLineChars="0"/>
        <w:jc w:val="both"/>
        <w:outlineLvl w:val="9"/>
        <w:rPr>
          <w:rFonts w:hint="default" w:ascii="宋体" w:hAnsi="宋体" w:eastAsia="宋体" w:cs="宋体"/>
          <w:b/>
          <w:bCs/>
          <w:iCs/>
          <w:kern w:val="2"/>
          <w:sz w:val="24"/>
          <w:szCs w:val="24"/>
          <w:highlight w:val="none"/>
          <w:lang w:val="en-US" w:eastAsia="zh-CN" w:bidi="ar-SA"/>
        </w:rPr>
      </w:pPr>
    </w:p>
    <w:p>
      <w:pPr>
        <w:widowControl w:val="0"/>
        <w:wordWrap w:val="0"/>
        <w:adjustRightInd w:val="0"/>
        <w:snapToGrid w:val="0"/>
        <w:spacing w:line="360" w:lineRule="auto"/>
        <w:ind w:firstLine="0" w:firstLineChars="0"/>
        <w:jc w:val="both"/>
        <w:outlineLvl w:val="9"/>
        <w:rPr>
          <w:rFonts w:hint="default" w:ascii="宋体" w:hAnsi="宋体" w:eastAsia="宋体" w:cs="宋体"/>
          <w:b/>
          <w:bCs/>
          <w:iCs/>
          <w:kern w:val="2"/>
          <w:sz w:val="24"/>
          <w:szCs w:val="24"/>
          <w:highlight w:val="none"/>
          <w:lang w:val="en-US" w:eastAsia="zh-CN" w:bidi="ar-SA"/>
        </w:rPr>
      </w:pPr>
    </w:p>
    <w:p>
      <w:pPr>
        <w:widowControl w:val="0"/>
        <w:wordWrap w:val="0"/>
        <w:adjustRightInd w:val="0"/>
        <w:snapToGrid w:val="0"/>
        <w:spacing w:line="360" w:lineRule="auto"/>
        <w:ind w:firstLine="0" w:firstLineChars="0"/>
        <w:jc w:val="both"/>
        <w:outlineLvl w:val="9"/>
        <w:rPr>
          <w:rFonts w:hint="default" w:ascii="宋体" w:hAnsi="宋体" w:eastAsia="宋体" w:cs="宋体"/>
          <w:b/>
          <w:bCs/>
          <w:iCs/>
          <w:kern w:val="2"/>
          <w:sz w:val="24"/>
          <w:szCs w:val="24"/>
          <w:highlight w:val="none"/>
          <w:lang w:val="en-US" w:eastAsia="zh-CN" w:bidi="ar-SA"/>
        </w:rPr>
      </w:pPr>
    </w:p>
    <w:p>
      <w:pPr>
        <w:widowControl w:val="0"/>
        <w:wordWrap w:val="0"/>
        <w:adjustRightInd w:val="0"/>
        <w:snapToGrid w:val="0"/>
        <w:spacing w:line="360" w:lineRule="auto"/>
        <w:ind w:firstLine="0" w:firstLineChars="0"/>
        <w:jc w:val="both"/>
        <w:outlineLvl w:val="9"/>
        <w:rPr>
          <w:rFonts w:hint="default" w:ascii="宋体" w:hAnsi="宋体" w:eastAsia="宋体" w:cs="宋体"/>
          <w:b/>
          <w:bCs/>
          <w:iCs/>
          <w:kern w:val="2"/>
          <w:sz w:val="24"/>
          <w:szCs w:val="24"/>
          <w:highlight w:val="none"/>
          <w:lang w:val="en-US" w:eastAsia="zh-CN" w:bidi="ar-SA"/>
        </w:rPr>
      </w:pPr>
    </w:p>
    <w:p>
      <w:pPr>
        <w:widowControl w:val="0"/>
        <w:wordWrap w:val="0"/>
        <w:adjustRightInd w:val="0"/>
        <w:snapToGrid w:val="0"/>
        <w:spacing w:line="360" w:lineRule="auto"/>
        <w:ind w:firstLine="0" w:firstLineChars="0"/>
        <w:jc w:val="both"/>
        <w:outlineLvl w:val="2"/>
        <w:rPr>
          <w:rFonts w:hint="eastAsia" w:ascii="宋体" w:hAnsi="宋体" w:eastAsia="宋体" w:cs="宋体"/>
          <w:b/>
          <w:bCs/>
          <w:iCs/>
          <w:kern w:val="2"/>
          <w:sz w:val="24"/>
          <w:szCs w:val="24"/>
          <w:highlight w:val="none"/>
          <w:lang w:val="en-US" w:eastAsia="zh-CN" w:bidi="ar-SA"/>
        </w:rPr>
      </w:pPr>
      <w:r>
        <w:rPr>
          <w:rFonts w:hint="eastAsia" w:ascii="宋体" w:hAnsi="宋体" w:eastAsia="宋体" w:cs="宋体"/>
          <w:b/>
          <w:bCs/>
          <w:iCs/>
          <w:kern w:val="2"/>
          <w:sz w:val="24"/>
          <w:szCs w:val="24"/>
          <w:highlight w:val="none"/>
          <w:lang w:val="en-US" w:eastAsia="zh-CN" w:bidi="ar-SA"/>
        </w:rPr>
        <w:t>二、商务要求：</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（一）委托事项及合作方式</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1、采购人将基于国家呼吸系统疾病临床医学研究中心网络的新冠感染大数据分析中的“新冠调研”服务项目委托给供应商承担，供应商需根据采购人的要求，通过收集全国人群中新冠感染时间、疫苗接种品类与时间、评估报告等调研信息，完成对本项目的组织、管理并实施质量控制，为预警预测提供足够多的数据支撑。</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iCs/>
          <w:sz w:val="24"/>
          <w:szCs w:val="24"/>
          <w:highlight w:val="none"/>
        </w:rPr>
        <w:t>2、供应商不得将本项目以任何形式转委托第三方（除临床试验单位外）完成。如有特殊需要，供应商需委托任何第三方参加本项目工作，必须获得采购人书面认可。</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b/>
          <w:bCs/>
          <w:iCs/>
          <w:sz w:val="24"/>
          <w:szCs w:val="24"/>
          <w:highlight w:val="none"/>
        </w:rPr>
        <w:t>（二）履约合同时间</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自合同生效之日起6个月内完成全部服务内容。</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（三）验收标准及方式</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1、验收标准</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按国家及行业现行标准、规范及本项目技术服务要求。</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★2、验收方式</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由供应商向采购人交付成果，包括提供的本调研项目相应的电子资料，由采购人签字确认的方式进行验收。</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（四）付款方式</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第一期，在合同生效后15个工作日内支付合同总价的30%；</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第二期，在完成项目进度30%（即</w:t>
      </w:r>
      <w:r>
        <w:rPr>
          <w:rFonts w:hint="eastAsia" w:ascii="宋体" w:hAnsi="宋体" w:cs="宋体"/>
          <w:iCs/>
          <w:sz w:val="24"/>
          <w:szCs w:val="24"/>
          <w:highlight w:val="none"/>
          <w:lang w:val="en-US" w:eastAsia="zh-CN"/>
        </w:rPr>
        <w:t>60</w:t>
      </w:r>
      <w:r>
        <w:rPr>
          <w:rFonts w:hint="eastAsia" w:ascii="宋体" w:hAnsi="宋体" w:eastAsia="宋体" w:cs="宋体"/>
          <w:iCs/>
          <w:sz w:val="24"/>
          <w:szCs w:val="24"/>
          <w:highlight w:val="none"/>
        </w:rPr>
        <w:t>000例）并提供</w:t>
      </w:r>
      <w:r>
        <w:rPr>
          <w:rFonts w:hint="eastAsia" w:ascii="宋体" w:hAnsi="宋体" w:cs="宋体"/>
          <w:iCs/>
          <w:sz w:val="24"/>
          <w:szCs w:val="24"/>
          <w:highlight w:val="none"/>
          <w:lang w:val="en-US" w:eastAsia="zh-CN"/>
        </w:rPr>
        <w:t>阶段性</w:t>
      </w:r>
      <w:r>
        <w:rPr>
          <w:rFonts w:hint="eastAsia" w:ascii="宋体" w:hAnsi="宋体" w:eastAsia="宋体" w:cs="宋体"/>
          <w:iCs/>
          <w:sz w:val="24"/>
          <w:szCs w:val="24"/>
          <w:highlight w:val="none"/>
        </w:rPr>
        <w:t>调研资料总结报告</w:t>
      </w:r>
      <w:r>
        <w:rPr>
          <w:rFonts w:hint="eastAsia" w:ascii="宋体" w:hAnsi="宋体" w:cs="宋体"/>
          <w:iCs/>
          <w:sz w:val="24"/>
          <w:szCs w:val="24"/>
          <w:highlight w:val="none"/>
          <w:lang w:val="en-US" w:eastAsia="zh-CN"/>
        </w:rPr>
        <w:t>且通过甲方验收</w:t>
      </w:r>
      <w:r>
        <w:rPr>
          <w:rFonts w:hint="eastAsia" w:ascii="宋体" w:hAnsi="宋体" w:eastAsia="宋体" w:cs="宋体"/>
          <w:iCs/>
          <w:sz w:val="24"/>
          <w:szCs w:val="24"/>
          <w:highlight w:val="none"/>
        </w:rPr>
        <w:t>后15个工作日内支付合同总价的30%；</w:t>
      </w:r>
    </w:p>
    <w:p>
      <w:pPr>
        <w:wordWrap w:val="0"/>
        <w:adjustRightInd w:val="0"/>
        <w:snapToGrid w:val="0"/>
        <w:spacing w:line="360" w:lineRule="auto"/>
        <w:ind w:firstLine="480" w:firstLineChars="200"/>
        <w:rPr>
          <w:rFonts w:hint="eastAsia" w:ascii="宋体" w:hAnsi="宋体" w:eastAsia="宋体" w:cs="宋体"/>
          <w:i/>
          <w:sz w:val="24"/>
          <w:szCs w:val="24"/>
          <w:highlight w:val="none"/>
        </w:rPr>
      </w:pPr>
      <w:r>
        <w:rPr>
          <w:rFonts w:hint="eastAsia" w:ascii="宋体" w:hAnsi="宋体" w:eastAsia="宋体" w:cs="宋体"/>
          <w:iCs/>
          <w:sz w:val="24"/>
          <w:szCs w:val="24"/>
          <w:highlight w:val="none"/>
        </w:rPr>
        <w:t>第三期，在调研完成后并提供调研资料总结报告后</w:t>
      </w:r>
      <w:r>
        <w:rPr>
          <w:rFonts w:hint="eastAsia" w:ascii="宋体" w:hAnsi="宋体" w:cs="宋体"/>
          <w:iCs/>
          <w:sz w:val="24"/>
          <w:szCs w:val="24"/>
          <w:highlight w:val="none"/>
          <w:lang w:eastAsia="zh-CN"/>
        </w:rPr>
        <w:t>，</w:t>
      </w:r>
      <w:r>
        <w:rPr>
          <w:rFonts w:hint="eastAsia" w:ascii="宋体" w:hAnsi="宋体" w:cs="宋体"/>
          <w:iCs/>
          <w:sz w:val="24"/>
          <w:szCs w:val="24"/>
          <w:highlight w:val="none"/>
          <w:lang w:val="en-US" w:eastAsia="zh-CN"/>
        </w:rPr>
        <w:t>乙方应向甲方</w:t>
      </w:r>
      <w:r>
        <w:rPr>
          <w:rFonts w:hint="eastAsia" w:ascii="宋体" w:hAnsi="宋体" w:eastAsia="宋体" w:cs="宋体"/>
          <w:iCs/>
          <w:sz w:val="24"/>
          <w:szCs w:val="24"/>
          <w:highlight w:val="none"/>
        </w:rPr>
        <w:t>提供调研资料总结报告</w:t>
      </w:r>
      <w:r>
        <w:rPr>
          <w:rFonts w:hint="eastAsia" w:ascii="宋体" w:hAnsi="宋体" w:cs="宋体"/>
          <w:iCs/>
          <w:sz w:val="24"/>
          <w:szCs w:val="24"/>
          <w:highlight w:val="none"/>
          <w:lang w:eastAsia="zh-CN"/>
        </w:rPr>
        <w:t>，</w:t>
      </w:r>
      <w:r>
        <w:rPr>
          <w:rFonts w:hint="eastAsia" w:ascii="宋体" w:hAnsi="宋体" w:cs="宋体"/>
          <w:iCs/>
          <w:sz w:val="24"/>
          <w:szCs w:val="24"/>
          <w:highlight w:val="none"/>
          <w:lang w:val="en-US" w:eastAsia="zh-CN"/>
        </w:rPr>
        <w:t>经甲方验收通过后</w:t>
      </w:r>
      <w:r>
        <w:rPr>
          <w:rFonts w:hint="eastAsia" w:ascii="宋体" w:hAnsi="宋体" w:eastAsia="宋体" w:cs="宋体"/>
          <w:iCs/>
          <w:sz w:val="24"/>
          <w:szCs w:val="24"/>
          <w:highlight w:val="none"/>
        </w:rPr>
        <w:t>15个工作日内，采购人根据供应商完成项目的实际情况据实结算，在结算完成后15个工作日内采购人支付剩下的合同结算款。如经双方结算采购人已支付给供应商合同总价60%款项超过合同结算款项的，对于采购人多支付的款项，供应商应在5个工作日内退回给采购人。</w:t>
      </w:r>
    </w:p>
    <w:p>
      <w:pPr>
        <w:wordWrap w:val="0"/>
        <w:adjustRightInd w:val="0"/>
        <w:snapToGrid w:val="0"/>
        <w:spacing w:line="360" w:lineRule="auto"/>
        <w:ind w:firstLine="480" w:firstLineChars="200"/>
        <w:rPr>
          <w:rFonts w:hint="eastAsia" w:ascii="宋体" w:hAnsi="宋体" w:eastAsia="宋体" w:cs="宋体"/>
          <w:b/>
          <w:bCs/>
          <w:iCs/>
          <w:sz w:val="24"/>
          <w:szCs w:val="24"/>
          <w:highlight w:val="none"/>
        </w:rPr>
      </w:pPr>
      <w:r>
        <w:rPr>
          <w:rFonts w:hint="eastAsia" w:ascii="宋体" w:hAnsi="宋体" w:eastAsia="宋体" w:cs="宋体"/>
          <w:iCs/>
          <w:sz w:val="24"/>
          <w:szCs w:val="24"/>
          <w:highlight w:val="none"/>
        </w:rPr>
        <w:t>注：因采购人使用的是财政资金支付合同款，采购人在约定期限内办理了财政支付申请手续即</w:t>
      </w:r>
      <w:r>
        <w:rPr>
          <w:rFonts w:hint="eastAsia" w:ascii="宋体" w:hAnsi="宋体" w:cs="宋体"/>
          <w:iCs/>
          <w:sz w:val="24"/>
          <w:szCs w:val="24"/>
          <w:highlight w:val="none"/>
          <w:lang w:val="en-US" w:eastAsia="zh-CN"/>
        </w:rPr>
        <w:t>视</w:t>
      </w:r>
      <w:r>
        <w:rPr>
          <w:rFonts w:hint="eastAsia" w:ascii="宋体" w:hAnsi="宋体" w:eastAsia="宋体" w:cs="宋体"/>
          <w:iCs/>
          <w:sz w:val="24"/>
          <w:szCs w:val="24"/>
          <w:highlight w:val="none"/>
        </w:rPr>
        <w:t>为</w:t>
      </w:r>
      <w:r>
        <w:rPr>
          <w:rFonts w:hint="eastAsia" w:ascii="宋体" w:hAnsi="宋体" w:cs="宋体"/>
          <w:iCs/>
          <w:sz w:val="24"/>
          <w:szCs w:val="24"/>
          <w:highlight w:val="none"/>
          <w:lang w:val="en-US" w:eastAsia="zh-CN"/>
        </w:rPr>
        <w:t>履行了</w:t>
      </w:r>
      <w:r>
        <w:rPr>
          <w:rFonts w:hint="eastAsia" w:ascii="宋体" w:hAnsi="宋体" w:eastAsia="宋体" w:cs="宋体"/>
          <w:iCs/>
          <w:sz w:val="24"/>
          <w:szCs w:val="24"/>
          <w:highlight w:val="none"/>
        </w:rPr>
        <w:t>付款</w:t>
      </w:r>
      <w:r>
        <w:rPr>
          <w:rFonts w:hint="eastAsia" w:ascii="宋体" w:hAnsi="宋体" w:cs="宋体"/>
          <w:iCs/>
          <w:sz w:val="24"/>
          <w:szCs w:val="24"/>
          <w:highlight w:val="none"/>
          <w:lang w:val="en-US" w:eastAsia="zh-CN"/>
        </w:rPr>
        <w:t>义务</w:t>
      </w:r>
      <w:r>
        <w:rPr>
          <w:rFonts w:hint="eastAsia" w:ascii="宋体" w:hAnsi="宋体" w:eastAsia="宋体" w:cs="宋体"/>
          <w:iCs/>
          <w:sz w:val="24"/>
          <w:szCs w:val="24"/>
          <w:highlight w:val="none"/>
        </w:rPr>
        <w:t>; 因财政审批、财政拨款未及时到位、集中支付延误等致成交供应商收款延迟到账，不属于采购人违约情形，采购人无需承担任何责任。</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（五）</w:t>
      </w:r>
      <w:r>
        <w:rPr>
          <w:rFonts w:hint="eastAsia" w:ascii="宋体" w:hAnsi="宋体" w:eastAsia="宋体" w:cs="宋体"/>
          <w:b/>
          <w:bCs/>
          <w:iCs/>
          <w:color w:val="000000"/>
          <w:sz w:val="24"/>
          <w:szCs w:val="24"/>
          <w:highlight w:val="none"/>
        </w:rPr>
        <w:t>质量及</w:t>
      </w:r>
      <w:r>
        <w:rPr>
          <w:rFonts w:hint="eastAsia" w:ascii="宋体" w:hAnsi="宋体" w:eastAsia="宋体" w:cs="宋体"/>
          <w:b/>
          <w:bCs/>
          <w:iCs/>
          <w:color w:val="000000"/>
          <w:sz w:val="24"/>
          <w:szCs w:val="24"/>
          <w:highlight w:val="none"/>
          <w:lang w:val="zh-CN"/>
        </w:rPr>
        <w:t>知识产权要求</w:t>
      </w:r>
    </w:p>
    <w:p>
      <w:pPr>
        <w:adjustRightInd w:val="0"/>
        <w:snapToGrid w:val="0"/>
        <w:spacing w:before="48" w:beforeLines="20" w:after="48" w:afterLines="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1、供应商应在满足本项目技术服务要求前提下符合</w:t>
      </w:r>
      <w:r>
        <w:rPr>
          <w:rFonts w:hint="eastAsia" w:ascii="宋体" w:hAnsi="宋体" w:cs="宋体"/>
          <w:color w:val="000000"/>
          <w:sz w:val="24"/>
          <w:szCs w:val="24"/>
          <w:highlight w:val="none"/>
          <w:lang w:eastAsia="zh-CN"/>
        </w:rPr>
        <w:t>采购人</w:t>
      </w:r>
      <w:r>
        <w:rPr>
          <w:rFonts w:hint="eastAsia" w:ascii="宋体" w:hAnsi="宋体" w:eastAsia="宋体" w:cs="宋体"/>
          <w:color w:val="000000"/>
          <w:sz w:val="24"/>
          <w:szCs w:val="24"/>
          <w:highlight w:val="none"/>
        </w:rPr>
        <w:t>的要求。</w:t>
      </w:r>
    </w:p>
    <w:p>
      <w:pPr>
        <w:adjustRightInd w:val="0"/>
        <w:snapToGrid w:val="0"/>
        <w:spacing w:before="48" w:beforeLines="20" w:after="48" w:afterLines="20" w:line="360" w:lineRule="auto"/>
        <w:ind w:firstLine="480"/>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2、双方确认，在项目合作过程中，与本项目采用的设备、技术相关的知识产权及其衍生权利（包括但不限于著作权、申请专利的权利、专利权、专利申请权、商业秘密、商标、集成电路布图设计等），均归采购人所有，供应商不享有任何权利。</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b/>
          <w:bCs/>
          <w:iCs/>
          <w:sz w:val="24"/>
          <w:szCs w:val="24"/>
          <w:highlight w:val="none"/>
        </w:rPr>
        <w:t>（六）报价要求</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1、投标报价应以招标文件采购需求中所要求的新冠调研项目，包括人力费用、数据整理费用、服务费用等完成本项目要求的内容发生的所有费用及各项</w:t>
      </w:r>
      <w:r>
        <w:rPr>
          <w:rFonts w:hint="eastAsia" w:ascii="宋体" w:hAnsi="宋体" w:eastAsia="宋体" w:cs="宋体"/>
          <w:color w:val="000000"/>
          <w:kern w:val="2"/>
          <w:sz w:val="24"/>
          <w:szCs w:val="24"/>
          <w:highlight w:val="none"/>
          <w:lang w:val="zh-CN" w:eastAsia="zh-CN" w:bidi="ar-SA"/>
        </w:rPr>
        <w:t>税费及合同实施过程中不可预见费用等</w:t>
      </w:r>
      <w:r>
        <w:rPr>
          <w:rFonts w:hint="eastAsia" w:ascii="宋体" w:hAnsi="宋体" w:eastAsia="宋体" w:cs="宋体"/>
          <w:color w:val="000000"/>
          <w:kern w:val="2"/>
          <w:sz w:val="24"/>
          <w:szCs w:val="24"/>
          <w:highlight w:val="none"/>
          <w:lang w:val="en-US" w:eastAsia="zh-CN" w:bidi="ar-SA"/>
        </w:rPr>
        <w:t>。投标报价中应包含供应商已缴纳或应缴纳的全部税费。</w:t>
      </w:r>
    </w:p>
    <w:p>
      <w:pPr>
        <w:widowControl w:val="0"/>
        <w:spacing w:line="360" w:lineRule="auto"/>
        <w:ind w:left="0" w:firstLine="480" w:firstLineChars="200"/>
        <w:jc w:val="both"/>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2、本项目供应商报单价报价，最高限价为7.5元/份。</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3、供应商需就整个包进行响应，不完整的投标将被拒绝。</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4、投标报价不得超出最高限价，否则投标将被拒绝。</w:t>
      </w:r>
    </w:p>
    <w:p>
      <w:pPr>
        <w:widowControl w:val="0"/>
        <w:spacing w:line="360" w:lineRule="auto"/>
        <w:ind w:left="0" w:firstLine="480" w:firstLineChars="200"/>
        <w:jc w:val="both"/>
        <w:rPr>
          <w:rFonts w:hint="eastAsia" w:ascii="宋体" w:hAnsi="宋体" w:eastAsia="宋体" w:cs="宋体"/>
          <w:b/>
          <w:bCs/>
          <w:iCs/>
          <w:sz w:val="24"/>
          <w:szCs w:val="24"/>
          <w:highlight w:val="none"/>
        </w:rPr>
      </w:pPr>
      <w:r>
        <w:rPr>
          <w:rFonts w:hint="eastAsia" w:ascii="宋体" w:hAnsi="宋体" w:eastAsia="宋体" w:cs="宋体"/>
          <w:color w:val="000000"/>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供应商不得以低于成本的报价竞标；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iCs/>
          <w:sz w:val="24"/>
          <w:szCs w:val="24"/>
          <w:highlight w:val="none"/>
        </w:rPr>
        <w:t>（七）</w:t>
      </w:r>
      <w:r>
        <w:rPr>
          <w:rFonts w:hint="eastAsia" w:ascii="宋体" w:hAnsi="宋体" w:eastAsia="宋体" w:cs="宋体"/>
          <w:b/>
          <w:bCs/>
          <w:iCs/>
          <w:color w:val="000000"/>
          <w:sz w:val="24"/>
          <w:szCs w:val="24"/>
          <w:highlight w:val="none"/>
        </w:rPr>
        <w:t>违约责任</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中标人应严格按照与采购人约定的时间及进度安排提供服务。如因中标人原因导致实际进度比计划延期超过60天，采购人有权视情况终止采购合同并通过法律程序对供应商进行索赔。中标人存在故意或者重大过失造成采购人财产损失的，应向采购人支付违约金。</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2、采购人有权对中标人就本项目要求提供的相关证明资料（原件）进行审查。中标人提供虚假资料被查实的，采购人有权采取如下措施：</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 xml:space="preserve">a、上报财政监管部门取消中标人本项目中标资格； </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b、上报财政监管部门列入不良行为记录名单和三年内禁止参与政府采购活动；</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c、追返采购人向中标人已支付的相关费用，并要求中标人赔偿合同总金额30%的违约金。违约金不足以弥补采购人损失的，中标人应当继续赔偿。由此造成的一切损失由中标人承担。</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3、中标人所提供的服务及质量不符合规定标准的，采购人有权拒绝验收且无需承担任何责任，同时采购人有权要求中标人限期重新服务或解除采购合同，由此造成的一切损失由中标人承担。</w:t>
      </w:r>
    </w:p>
    <w:p>
      <w:pPr>
        <w:wordWrap w:val="0"/>
        <w:adjustRightInd w:val="0"/>
        <w:snapToGrid w:val="0"/>
        <w:spacing w:line="360" w:lineRule="auto"/>
        <w:ind w:firstLine="480" w:firstLineChars="200"/>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4、其他由违法导致违约的行为按相关法律法规执行。</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（八）采购标的需执行的国家相关标准、行业标准、地方标准或者其他标准规范</w:t>
      </w:r>
    </w:p>
    <w:p>
      <w:pPr>
        <w:wordWrap w:val="0"/>
        <w:adjustRightInd w:val="0"/>
        <w:snapToGrid w:val="0"/>
        <w:spacing w:line="360" w:lineRule="auto"/>
        <w:ind w:firstLine="480" w:firstLineChars="200"/>
        <w:rPr>
          <w:rFonts w:hint="eastAsia" w:ascii="宋体" w:hAnsi="宋体" w:eastAsia="宋体" w:cs="宋体"/>
          <w:b/>
          <w:bCs/>
          <w:iCs/>
          <w:sz w:val="24"/>
          <w:szCs w:val="24"/>
          <w:highlight w:val="none"/>
        </w:rPr>
      </w:pPr>
      <w:r>
        <w:rPr>
          <w:rFonts w:hint="eastAsia" w:ascii="宋体" w:hAnsi="宋体" w:eastAsia="宋体" w:cs="宋体"/>
          <w:iCs/>
          <w:sz w:val="24"/>
          <w:szCs w:val="24"/>
          <w:highlight w:val="none"/>
        </w:rPr>
        <w:t>严格按照ICH-GCP等国家食品药品监督管理局临床试验有关法规要求执行。</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b/>
          <w:bCs/>
          <w:iCs/>
          <w:sz w:val="24"/>
          <w:szCs w:val="24"/>
          <w:highlight w:val="none"/>
        </w:rPr>
        <w:t>（九）保密要求</w:t>
      </w:r>
    </w:p>
    <w:p>
      <w:pPr>
        <w:widowControl/>
        <w:adjustRightInd w:val="0"/>
        <w:snapToGrid w:val="0"/>
        <w:spacing w:line="360" w:lineRule="auto"/>
        <w:ind w:firstLine="480" w:firstLineChars="200"/>
        <w:jc w:val="left"/>
        <w:rPr>
          <w:rFonts w:hint="eastAsia" w:ascii="宋体" w:hAnsi="宋体" w:eastAsia="宋体" w:cs="宋体"/>
          <w:iCs/>
          <w:color w:val="000000"/>
          <w:sz w:val="24"/>
          <w:szCs w:val="24"/>
          <w:highlight w:val="none"/>
        </w:rPr>
      </w:pPr>
      <w:r>
        <w:rPr>
          <w:rFonts w:hint="eastAsia" w:ascii="宋体" w:hAnsi="宋体" w:eastAsia="宋体" w:cs="宋体"/>
          <w:color w:val="000000"/>
          <w:sz w:val="24"/>
          <w:szCs w:val="24"/>
          <w:highlight w:val="none"/>
        </w:rPr>
        <w:t>1、未经采购人许可，供应商不允许对外公开、宣传或泄露采购人单位具体名称有关信息及采购项目等相关信息，如违反上述承诺，给采购人造成任何不利后果（包括但不限于经济责任、行政责任等），均由供应商承担。</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b/>
          <w:bCs/>
          <w:iCs/>
          <w:sz w:val="24"/>
          <w:szCs w:val="24"/>
          <w:highlight w:val="none"/>
        </w:rPr>
      </w:pPr>
      <w:r>
        <w:rPr>
          <w:rFonts w:hint="eastAsia" w:ascii="宋体" w:hAnsi="宋体" w:eastAsia="宋体" w:cs="宋体"/>
          <w:bCs/>
          <w:iCs/>
          <w:color w:val="000000"/>
          <w:sz w:val="24"/>
          <w:szCs w:val="24"/>
          <w:highlight w:val="none"/>
        </w:rPr>
        <w:t>2、不论何时、何种原因无效或终止本项目，上述保密义务继续有效。</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（十）补充说明</w:t>
      </w:r>
    </w:p>
    <w:p>
      <w:p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签订合同后双方的任何一方由于不可抗力的原因不能在指定的服务合同期限内履行或不能完全履行合同时，应尽快向对方通报理由，在提供相应证明后，可允许延期履行、部分履行或不履行，并可根据情况部分或全部免于承担违约责任，不可抗力指双方在订立合同时不能预见、对其发生和后果不能避免且不能克服的事件，包括但不限于地震、火灾、飓风、海啸、战争、政府行为、政府部门内容审查等。</w:t>
      </w:r>
    </w:p>
    <w:bookmarkEnd w:id="0"/>
    <w:p>
      <w:pPr>
        <w:widowControl/>
        <w:spacing w:line="360" w:lineRule="auto"/>
        <w:jc w:val="left"/>
        <w:rPr>
          <w:rFonts w:ascii="宋体" w:hAnsi="宋体"/>
          <w:color w:val="000000"/>
          <w:sz w:val="24"/>
          <w:szCs w:val="24"/>
          <w:highlight w:val="none"/>
        </w:rPr>
      </w:pPr>
    </w:p>
    <w:p>
      <w:pPr>
        <w:rPr>
          <w:rFonts w:ascii="宋体" w:hAnsi="宋体"/>
          <w:color w:val="000000"/>
          <w:sz w:val="24"/>
          <w:szCs w:val="24"/>
          <w:highlight w:val="none"/>
        </w:rPr>
      </w:pPr>
      <w:r>
        <w:rPr>
          <w:rFonts w:ascii="宋体" w:hAnsi="宋体"/>
          <w:color w:val="000000"/>
          <w:sz w:val="24"/>
          <w:szCs w:val="24"/>
          <w:highlight w:val="none"/>
        </w:rPr>
        <w:br w:type="page"/>
      </w:r>
    </w:p>
    <w:p>
      <w:pPr>
        <w:spacing w:line="360" w:lineRule="auto"/>
        <w:ind w:firstLine="482" w:firstLineChars="200"/>
        <w:jc w:val="center"/>
        <w:outlineLvl w:val="1"/>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第2包新冠调研服务</w:t>
      </w:r>
    </w:p>
    <w:p>
      <w:pPr>
        <w:spacing w:line="360" w:lineRule="auto"/>
        <w:ind w:firstLine="482" w:firstLineChars="200"/>
        <w:outlineLvl w:val="2"/>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、技术要求</w:t>
      </w:r>
    </w:p>
    <w:p>
      <w:pPr>
        <w:widowControl/>
        <w:numPr>
          <w:ilvl w:val="0"/>
          <w:numId w:val="0"/>
        </w:numPr>
        <w:tabs>
          <w:tab w:val="left" w:pos="525"/>
          <w:tab w:val="left" w:pos="851"/>
          <w:tab w:val="left" w:pos="3398"/>
        </w:tabs>
        <w:autoSpaceDE w:val="0"/>
        <w:autoSpaceDN w:val="0"/>
        <w:adjustRightInd w:val="0"/>
        <w:snapToGrid w:val="0"/>
        <w:spacing w:line="360" w:lineRule="auto"/>
        <w:ind w:left="0" w:leftChars="0" w:firstLine="480" w:firstLineChars="200"/>
        <w:jc w:val="left"/>
        <w:rPr>
          <w:rFonts w:hint="eastAsia" w:ascii="宋体" w:hAnsi="宋体" w:eastAsia="宋体" w:cs="宋体"/>
          <w:b w:val="0"/>
          <w:bCs w:val="0"/>
          <w:sz w:val="24"/>
          <w:szCs w:val="24"/>
          <w:highlight w:val="none"/>
        </w:rPr>
      </w:pPr>
      <w:r>
        <w:rPr>
          <w:rFonts w:hint="eastAsia" w:ascii="宋体" w:hAnsi="宋体" w:eastAsia="宋体" w:cs="宋体"/>
          <w:b w:val="0"/>
          <w:bCs w:val="0"/>
          <w:kern w:val="2"/>
          <w:sz w:val="24"/>
          <w:szCs w:val="24"/>
          <w:highlight w:val="none"/>
          <w:lang w:val="en-US" w:eastAsia="zh-CN" w:bidi="ar-SA"/>
        </w:rPr>
        <w:t>（一）</w:t>
      </w:r>
      <w:r>
        <w:rPr>
          <w:rFonts w:hint="eastAsia" w:ascii="宋体" w:hAnsi="宋体" w:eastAsia="宋体" w:cs="宋体"/>
          <w:b w:val="0"/>
          <w:bCs w:val="0"/>
          <w:sz w:val="24"/>
          <w:szCs w:val="24"/>
          <w:highlight w:val="none"/>
          <w:lang w:val="zh-CN"/>
        </w:rPr>
        <w:t>服务要求</w:t>
      </w:r>
    </w:p>
    <w:p>
      <w:pPr>
        <w:widowControl/>
        <w:adjustRightInd w:val="0"/>
        <w:snapToGrid w:val="0"/>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1、采购目的</w:t>
      </w:r>
    </w:p>
    <w:p>
      <w:pPr>
        <w:widowControl/>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本项目主要为了对当前新冠疫情的流行情况进行线上监测及流行病学调查分析，委托活动推广公司严格按照</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要求收集有关“新冠调研”相关信息。</w:t>
      </w:r>
    </w:p>
    <w:p>
      <w:pPr>
        <w:widowControl/>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2、采购需求</w:t>
      </w:r>
    </w:p>
    <w:p>
      <w:pPr>
        <w:widowControl w:val="0"/>
        <w:adjustRightInd w:val="0"/>
        <w:snapToGrid w:val="0"/>
        <w:spacing w:line="360" w:lineRule="auto"/>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color w:val="000000"/>
          <w:sz w:val="24"/>
          <w:szCs w:val="24"/>
          <w:highlight w:val="none"/>
        </w:rPr>
        <w:t>本临床研究项目收集展开地拟在全国开展，拟纳入共</w:t>
      </w:r>
      <w:r>
        <w:rPr>
          <w:rFonts w:hint="eastAsia" w:ascii="宋体" w:hAnsi="宋体" w:eastAsia="宋体" w:cs="宋体"/>
          <w:color w:val="000000"/>
          <w:sz w:val="24"/>
          <w:szCs w:val="24"/>
          <w:highlight w:val="none"/>
          <w:lang w:val="en-US" w:eastAsia="zh-CN"/>
        </w:rPr>
        <w:t>15</w:t>
      </w:r>
      <w:r>
        <w:rPr>
          <w:rFonts w:hint="eastAsia" w:ascii="宋体" w:hAnsi="宋体" w:eastAsia="宋体" w:cs="宋体"/>
          <w:color w:val="000000"/>
          <w:sz w:val="24"/>
          <w:szCs w:val="24"/>
          <w:highlight w:val="none"/>
        </w:rPr>
        <w:t>万份的调研信息收集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按照</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的需求，要求受委托的活动推广</w:t>
      </w:r>
      <w:r>
        <w:rPr>
          <w:rFonts w:hint="eastAsia" w:ascii="宋体" w:hAnsi="宋体" w:eastAsia="宋体" w:cs="宋体"/>
          <w:color w:val="000000"/>
          <w:sz w:val="24"/>
          <w:szCs w:val="24"/>
          <w:highlight w:val="none"/>
          <w:lang w:val="en-US" w:eastAsia="zh-CN"/>
        </w:rPr>
        <w:t>投标人</w:t>
      </w:r>
      <w:r>
        <w:rPr>
          <w:rFonts w:hint="eastAsia" w:ascii="宋体" w:hAnsi="宋体" w:eastAsia="宋体" w:cs="宋体"/>
          <w:color w:val="000000"/>
          <w:sz w:val="24"/>
          <w:szCs w:val="24"/>
          <w:highlight w:val="none"/>
        </w:rPr>
        <w:t>执行项目中调研收集信息、整理反馈信息、监控数据信息等工作和任务，确保新冠调研项目执行过程严格按照</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的相关规范要求，保证收集资料完整、真实、准确</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备注：具体数据以双方对接人T+1确认的有效数据为准，具体已交付要求文件为准</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kern w:val="2"/>
          <w:sz w:val="24"/>
          <w:szCs w:val="24"/>
          <w:highlight w:val="none"/>
          <w:lang w:val="en-US" w:eastAsia="zh-CN" w:bidi="ar-SA"/>
        </w:rPr>
        <w:t>“新冠调研”信息收集在全国各地不限制人群的感染时间、接种时间、评估报告相关调研信息。</w:t>
      </w:r>
    </w:p>
    <w:p>
      <w:pPr>
        <w:widowControl/>
        <w:adjustRightInd w:val="0"/>
        <w:snapToGrid w:val="0"/>
        <w:spacing w:before="48" w:beforeLines="20" w:after="48" w:afterLines="20"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总体需求</w:t>
      </w:r>
    </w:p>
    <w:p>
      <w:pPr>
        <w:widowControl w:val="0"/>
        <w:adjustRightInd w:val="0"/>
        <w:snapToGrid w:val="0"/>
        <w:spacing w:before="0" w:beforeLines="-2147483648" w:after="0" w:afterLines="-2147483648" w:line="360" w:lineRule="auto"/>
        <w:ind w:firstLine="480" w:firstLineChars="200"/>
        <w:jc w:val="both"/>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新冠调研要求广告推广</w:t>
      </w:r>
      <w:r>
        <w:rPr>
          <w:rFonts w:hint="eastAsia" w:ascii="宋体" w:hAnsi="宋体" w:eastAsia="宋体" w:cs="宋体"/>
          <w:color w:val="000000"/>
          <w:sz w:val="24"/>
          <w:szCs w:val="24"/>
          <w:highlight w:val="none"/>
          <w:lang w:val="en-US" w:eastAsia="zh-CN"/>
        </w:rPr>
        <w:t>投标人</w:t>
      </w:r>
      <w:r>
        <w:rPr>
          <w:rFonts w:hint="eastAsia" w:ascii="宋体" w:hAnsi="宋体" w:eastAsia="宋体" w:cs="宋体"/>
          <w:color w:val="000000"/>
          <w:sz w:val="24"/>
          <w:szCs w:val="24"/>
          <w:highlight w:val="none"/>
        </w:rPr>
        <w:t>对本项目需求进行充分理解，并对本项目提出具体的运营管理计划，包括但不限于工作实施方案、质量控制方案、应急预案；要求广告推广</w:t>
      </w:r>
      <w:r>
        <w:rPr>
          <w:rFonts w:hint="eastAsia" w:ascii="宋体" w:hAnsi="宋体" w:eastAsia="宋体" w:cs="宋体"/>
          <w:color w:val="000000"/>
          <w:sz w:val="24"/>
          <w:szCs w:val="24"/>
          <w:highlight w:val="none"/>
          <w:lang w:val="en-US" w:eastAsia="zh-CN"/>
        </w:rPr>
        <w:t>投标人</w:t>
      </w:r>
      <w:r>
        <w:rPr>
          <w:rFonts w:hint="eastAsia" w:ascii="宋体" w:hAnsi="宋体" w:eastAsia="宋体" w:cs="宋体"/>
          <w:color w:val="000000"/>
          <w:sz w:val="24"/>
          <w:szCs w:val="24"/>
          <w:highlight w:val="none"/>
        </w:rPr>
        <w:t>组建具有丰富经验的专业团队实施项目服务，以充分保证项目质量及效率。</w:t>
      </w:r>
    </w:p>
    <w:p>
      <w:pPr>
        <w:widowControl/>
        <w:adjustRightInd w:val="0"/>
        <w:snapToGrid w:val="0"/>
        <w:spacing w:before="48" w:beforeLines="20" w:after="48" w:afterLines="20" w:line="360" w:lineRule="auto"/>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具体技术与服务内容</w:t>
      </w:r>
    </w:p>
    <w:tbl>
      <w:tblPr>
        <w:tblStyle w:val="8"/>
        <w:tblW w:w="5051" w:type="pct"/>
        <w:tblInd w:w="0" w:type="dxa"/>
        <w:tblLayout w:type="fixed"/>
        <w:tblCellMar>
          <w:top w:w="0" w:type="dxa"/>
          <w:left w:w="108" w:type="dxa"/>
          <w:bottom w:w="0" w:type="dxa"/>
          <w:right w:w="108" w:type="dxa"/>
        </w:tblCellMar>
      </w:tblPr>
      <w:tblGrid>
        <w:gridCol w:w="810"/>
        <w:gridCol w:w="1810"/>
        <w:gridCol w:w="5989"/>
      </w:tblGrid>
      <w:tr>
        <w:tblPrEx>
          <w:tblCellMar>
            <w:top w:w="0" w:type="dxa"/>
            <w:left w:w="108" w:type="dxa"/>
            <w:bottom w:w="0" w:type="dxa"/>
            <w:right w:w="108" w:type="dxa"/>
          </w:tblCellMar>
        </w:tblPrEx>
        <w:trPr>
          <w:trHeight w:val="303" w:hRule="atLeast"/>
        </w:trPr>
        <w:tc>
          <w:tcPr>
            <w:tcW w:w="470" w:type="pct"/>
            <w:tcBorders>
              <w:top w:val="single" w:color="000000" w:sz="8" w:space="0"/>
              <w:left w:val="single" w:color="000000" w:sz="8" w:space="0"/>
              <w:bottom w:val="single" w:color="000000" w:sz="8" w:space="0"/>
              <w:right w:val="single" w:color="000000" w:sz="8"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编号</w:t>
            </w:r>
          </w:p>
        </w:tc>
        <w:tc>
          <w:tcPr>
            <w:tcW w:w="1051" w:type="pct"/>
            <w:tcBorders>
              <w:top w:val="single" w:color="000000" w:sz="8" w:space="0"/>
              <w:left w:val="nil"/>
              <w:bottom w:val="single" w:color="000000" w:sz="8" w:space="0"/>
              <w:right w:val="single" w:color="000000" w:sz="8"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服务名称</w:t>
            </w:r>
          </w:p>
        </w:tc>
        <w:tc>
          <w:tcPr>
            <w:tcW w:w="3477" w:type="pct"/>
            <w:tcBorders>
              <w:top w:val="single" w:color="000000" w:sz="8" w:space="0"/>
              <w:left w:val="nil"/>
              <w:bottom w:val="single" w:color="000000" w:sz="8" w:space="0"/>
              <w:right w:val="single" w:color="000000" w:sz="8"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具体服务内容</w:t>
            </w:r>
          </w:p>
        </w:tc>
      </w:tr>
      <w:tr>
        <w:tblPrEx>
          <w:tblCellMar>
            <w:top w:w="0" w:type="dxa"/>
            <w:left w:w="108" w:type="dxa"/>
            <w:bottom w:w="0" w:type="dxa"/>
            <w:right w:w="108" w:type="dxa"/>
          </w:tblCellMar>
        </w:tblPrEx>
        <w:trPr>
          <w:trHeight w:val="303" w:hRule="atLeast"/>
        </w:trPr>
        <w:tc>
          <w:tcPr>
            <w:tcW w:w="470" w:type="pct"/>
            <w:vMerge w:val="restart"/>
            <w:tcBorders>
              <w:top w:val="single" w:color="auto" w:sz="4" w:space="0"/>
              <w:left w:val="single" w:color="auto" w:sz="4" w:space="0"/>
              <w:right w:val="single" w:color="auto" w:sz="4" w:space="0"/>
            </w:tcBorders>
            <w:noWrap w:val="0"/>
            <w:vAlign w:val="center"/>
          </w:tcPr>
          <w:p>
            <w:pPr>
              <w:widowControl/>
              <w:adjustRightInd w:val="0"/>
              <w:snapToGrid w:val="0"/>
              <w:spacing w:line="360" w:lineRule="auto"/>
              <w:ind w:firstLine="240" w:firstLineChars="1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051" w:type="pct"/>
            <w:vMerge w:val="restart"/>
            <w:tcBorders>
              <w:top w:val="single" w:color="auto" w:sz="4" w:space="0"/>
              <w:left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交付和进度沟通</w:t>
            </w: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确认调研信息的交付标准：相对应的图片和信息</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制定收集预期调研收集进度</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确认交付电子文件同一格式，以便稽查</w:t>
            </w:r>
          </w:p>
        </w:tc>
      </w:tr>
      <w:tr>
        <w:tblPrEx>
          <w:tblCellMar>
            <w:top w:w="0" w:type="dxa"/>
            <w:left w:w="108" w:type="dxa"/>
            <w:bottom w:w="0" w:type="dxa"/>
            <w:right w:w="108" w:type="dxa"/>
          </w:tblCellMar>
        </w:tblPrEx>
        <w:trPr>
          <w:trHeight w:val="591" w:hRule="atLeast"/>
        </w:trPr>
        <w:tc>
          <w:tcPr>
            <w:tcW w:w="470"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1051"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质量稽查与调整</w:t>
            </w: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对质量不符合标准的数据提出问题点，及时调整</w:t>
            </w:r>
          </w:p>
        </w:tc>
      </w:tr>
      <w:tr>
        <w:tblPrEx>
          <w:tblCellMar>
            <w:top w:w="0" w:type="dxa"/>
            <w:left w:w="108" w:type="dxa"/>
            <w:bottom w:w="0" w:type="dxa"/>
            <w:right w:w="108" w:type="dxa"/>
          </w:tblCellMar>
        </w:tblPrEx>
        <w:trPr>
          <w:trHeight w:val="303" w:hRule="atLeast"/>
        </w:trPr>
        <w:tc>
          <w:tcPr>
            <w:tcW w:w="470" w:type="pct"/>
            <w:vMerge w:val="restart"/>
            <w:tcBorders>
              <w:top w:val="single" w:color="auto" w:sz="4" w:space="0"/>
              <w:left w:val="single" w:color="auto" w:sz="4" w:space="0"/>
              <w:right w:val="single" w:color="auto" w:sz="4" w:space="0"/>
            </w:tcBorders>
            <w:noWrap w:val="0"/>
            <w:vAlign w:val="center"/>
          </w:tcPr>
          <w:p>
            <w:pPr>
              <w:widowControl/>
              <w:adjustRightInd w:val="0"/>
              <w:snapToGrid w:val="0"/>
              <w:spacing w:line="360" w:lineRule="auto"/>
              <w:ind w:firstLine="240" w:firstLineChars="1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1051" w:type="pct"/>
            <w:vMerge w:val="restart"/>
            <w:tcBorders>
              <w:top w:val="single" w:color="auto" w:sz="4" w:space="0"/>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项目培训</w:t>
            </w: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项目团队培训：</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项目相关背景介绍</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制定项目执行计划</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同一交付文件提交格式</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数据监控分析（特指非真人填写情况）</w:t>
            </w:r>
          </w:p>
        </w:tc>
      </w:tr>
      <w:tr>
        <w:tblPrEx>
          <w:tblCellMar>
            <w:top w:w="0" w:type="dxa"/>
            <w:left w:w="108" w:type="dxa"/>
            <w:bottom w:w="0" w:type="dxa"/>
            <w:right w:w="108" w:type="dxa"/>
          </w:tblCellMar>
        </w:tblPrEx>
        <w:trPr>
          <w:trHeight w:val="303" w:hRule="atLeast"/>
        </w:trPr>
        <w:tc>
          <w:tcPr>
            <w:tcW w:w="470" w:type="pct"/>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360" w:lineRule="auto"/>
              <w:ind w:firstLine="480" w:firstLineChars="200"/>
              <w:jc w:val="center"/>
              <w:outlineLvl w:val="9"/>
              <w:rPr>
                <w:rFonts w:hint="eastAsia" w:ascii="宋体" w:hAnsi="宋体" w:eastAsia="宋体" w:cs="宋体"/>
                <w:color w:val="000000"/>
                <w:sz w:val="24"/>
                <w:szCs w:val="24"/>
                <w:highlight w:val="none"/>
              </w:rPr>
            </w:pPr>
          </w:p>
        </w:tc>
        <w:tc>
          <w:tcPr>
            <w:tcW w:w="1051" w:type="pct"/>
            <w:vMerge w:val="continue"/>
            <w:tcBorders>
              <w:left w:val="single" w:color="auto" w:sz="4" w:space="0"/>
              <w:bottom w:val="single" w:color="auto" w:sz="4" w:space="0"/>
              <w:right w:val="single" w:color="auto" w:sz="4"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p>
        </w:tc>
        <w:tc>
          <w:tcPr>
            <w:tcW w:w="3477" w:type="pct"/>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进度未符合预期处理：增加项目执行团队人手</w:t>
            </w:r>
          </w:p>
        </w:tc>
      </w:tr>
      <w:tr>
        <w:tblPrEx>
          <w:tblCellMar>
            <w:top w:w="0" w:type="dxa"/>
            <w:left w:w="108" w:type="dxa"/>
            <w:bottom w:w="0" w:type="dxa"/>
            <w:right w:w="108" w:type="dxa"/>
          </w:tblCellMar>
        </w:tblPrEx>
        <w:trPr>
          <w:trHeight w:val="303" w:hRule="atLeast"/>
        </w:trPr>
        <w:tc>
          <w:tcPr>
            <w:tcW w:w="470" w:type="pct"/>
            <w:tcBorders>
              <w:top w:val="nil"/>
              <w:left w:val="single" w:color="000000" w:sz="8" w:space="0"/>
              <w:bottom w:val="single" w:color="000000" w:sz="8" w:space="0"/>
              <w:right w:val="single" w:color="000000" w:sz="8" w:space="0"/>
            </w:tcBorders>
            <w:noWrap w:val="0"/>
            <w:vAlign w:val="center"/>
          </w:tcPr>
          <w:p>
            <w:pPr>
              <w:widowControl/>
              <w:adjustRightInd w:val="0"/>
              <w:snapToGrid w:val="0"/>
              <w:spacing w:line="360" w:lineRule="auto"/>
              <w:ind w:firstLine="240" w:firstLineChars="1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1051" w:type="pct"/>
            <w:tcBorders>
              <w:top w:val="nil"/>
              <w:left w:val="nil"/>
              <w:bottom w:val="single" w:color="000000" w:sz="8" w:space="0"/>
              <w:right w:val="single" w:color="000000" w:sz="8" w:space="0"/>
            </w:tcBorders>
            <w:noWrap w:val="0"/>
            <w:vAlign w:val="center"/>
          </w:tcPr>
          <w:p>
            <w:pPr>
              <w:widowControl/>
              <w:adjustRightInd w:val="0"/>
              <w:snapToGrid w:val="0"/>
              <w:spacing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项目售后</w:t>
            </w:r>
          </w:p>
        </w:tc>
        <w:tc>
          <w:tcPr>
            <w:tcW w:w="3477" w:type="pct"/>
            <w:tcBorders>
              <w:top w:val="nil"/>
              <w:left w:val="nil"/>
              <w:bottom w:val="single" w:color="000000" w:sz="8" w:space="0"/>
              <w:right w:val="single" w:color="000000" w:sz="8" w:space="0"/>
            </w:tcBorders>
            <w:noWrap w:val="0"/>
            <w:vAlign w:val="center"/>
          </w:tcPr>
          <w:p>
            <w:pPr>
              <w:widowControl/>
              <w:adjustRightInd w:val="0"/>
              <w:snapToGrid w:val="0"/>
              <w:spacing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协助</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完善项目后续各项事宜</w:t>
            </w:r>
          </w:p>
        </w:tc>
      </w:tr>
    </w:tbl>
    <w:p>
      <w:pPr>
        <w:widowControl w:val="0"/>
        <w:spacing w:line="360" w:lineRule="auto"/>
        <w:jc w:val="both"/>
        <w:outlineLvl w:val="9"/>
        <w:rPr>
          <w:rFonts w:hint="eastAsia" w:ascii="宋体" w:hAnsi="宋体" w:eastAsia="宋体" w:cs="宋体"/>
          <w:b/>
          <w:color w:val="000000"/>
          <w:kern w:val="2"/>
          <w:sz w:val="24"/>
          <w:szCs w:val="24"/>
          <w:highlight w:val="none"/>
          <w:lang w:val="en-US" w:eastAsia="zh-CN" w:bidi="ar-SA"/>
        </w:rPr>
      </w:pPr>
    </w:p>
    <w:p>
      <w:pPr>
        <w:numPr>
          <w:ilvl w:val="-1"/>
          <w:numId w:val="0"/>
        </w:numPr>
        <w:adjustRightInd w:val="0"/>
        <w:snapToGrid w:val="0"/>
        <w:spacing w:before="48" w:beforeLines="20" w:after="48" w:afterLines="20" w:line="360" w:lineRule="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（四）人员配置要求</w:t>
      </w:r>
    </w:p>
    <w:tbl>
      <w:tblPr>
        <w:tblStyle w:val="8"/>
        <w:tblW w:w="4555" w:type="pct"/>
        <w:jc w:val="center"/>
        <w:tblLayout w:type="fixed"/>
        <w:tblCellMar>
          <w:top w:w="0" w:type="dxa"/>
          <w:left w:w="108" w:type="dxa"/>
          <w:bottom w:w="0" w:type="dxa"/>
          <w:right w:w="108" w:type="dxa"/>
        </w:tblCellMar>
      </w:tblPr>
      <w:tblGrid>
        <w:gridCol w:w="495"/>
        <w:gridCol w:w="1292"/>
        <w:gridCol w:w="5978"/>
      </w:tblGrid>
      <w:tr>
        <w:tblPrEx>
          <w:tblCellMar>
            <w:top w:w="0" w:type="dxa"/>
            <w:left w:w="108" w:type="dxa"/>
            <w:bottom w:w="0" w:type="dxa"/>
            <w:right w:w="108" w:type="dxa"/>
          </w:tblCellMar>
        </w:tblPrEx>
        <w:trPr>
          <w:trHeight w:val="288" w:hRule="atLeast"/>
          <w:jc w:val="center"/>
        </w:trPr>
        <w:tc>
          <w:tcPr>
            <w:tcW w:w="318" w:type="pct"/>
            <w:tcBorders>
              <w:top w:val="single" w:color="000000" w:sz="4" w:space="0"/>
              <w:left w:val="single" w:color="000000" w:sz="4" w:space="0"/>
              <w:bottom w:val="nil"/>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831" w:type="pct"/>
            <w:tcBorders>
              <w:top w:val="single" w:color="000000" w:sz="4" w:space="0"/>
              <w:left w:val="single" w:color="000000" w:sz="4" w:space="0"/>
              <w:bottom w:val="nil"/>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人员配置</w:t>
            </w:r>
          </w:p>
        </w:tc>
        <w:tc>
          <w:tcPr>
            <w:tcW w:w="3849" w:type="pct"/>
            <w:tcBorders>
              <w:top w:val="single" w:color="000000" w:sz="4" w:space="0"/>
              <w:left w:val="single" w:color="000000" w:sz="4" w:space="0"/>
              <w:bottom w:val="nil"/>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具体要求</w:t>
            </w:r>
          </w:p>
        </w:tc>
      </w:tr>
      <w:tr>
        <w:tblPrEx>
          <w:tblCellMar>
            <w:top w:w="0" w:type="dxa"/>
            <w:left w:w="108" w:type="dxa"/>
            <w:bottom w:w="0" w:type="dxa"/>
            <w:right w:w="108" w:type="dxa"/>
          </w:tblCellMar>
        </w:tblPrEx>
        <w:trPr>
          <w:trHeight w:val="1152" w:hRule="atLeast"/>
          <w:jc w:val="center"/>
        </w:trPr>
        <w:tc>
          <w:tcPr>
            <w:tcW w:w="31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righ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831"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项目经理</w:t>
            </w:r>
          </w:p>
        </w:tc>
        <w:tc>
          <w:tcPr>
            <w:tcW w:w="384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需至少配备负责本调研项目工作的项目经理（PM）1名，PM需要有丰富的相关调研项目执行管理经验，确保项目进度的正常推动。</w:t>
            </w:r>
          </w:p>
        </w:tc>
      </w:tr>
      <w:tr>
        <w:tblPrEx>
          <w:tblCellMar>
            <w:top w:w="0" w:type="dxa"/>
            <w:left w:w="108" w:type="dxa"/>
            <w:bottom w:w="0" w:type="dxa"/>
            <w:right w:w="108" w:type="dxa"/>
          </w:tblCellMar>
        </w:tblPrEx>
        <w:trPr>
          <w:trHeight w:val="1152" w:hRule="atLeast"/>
          <w:jc w:val="center"/>
        </w:trPr>
        <w:tc>
          <w:tcPr>
            <w:tcW w:w="318" w:type="pct"/>
            <w:vMerge w:val="restart"/>
            <w:tcBorders>
              <w:top w:val="single" w:color="000000" w:sz="4" w:space="0"/>
              <w:left w:val="single" w:color="000000" w:sz="4" w:space="0"/>
              <w:right w:val="single" w:color="000000" w:sz="4" w:space="0"/>
            </w:tcBorders>
            <w:noWrap w:val="0"/>
            <w:vAlign w:val="center"/>
          </w:tcPr>
          <w:p>
            <w:pPr>
              <w:widowControl/>
              <w:spacing w:line="360" w:lineRule="auto"/>
              <w:jc w:val="righ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p>
            <w:pPr>
              <w:widowControl/>
              <w:spacing w:line="360" w:lineRule="auto"/>
              <w:textAlignment w:val="center"/>
              <w:outlineLvl w:val="9"/>
              <w:rPr>
                <w:rFonts w:hint="eastAsia" w:ascii="宋体" w:hAnsi="宋体" w:eastAsia="宋体" w:cs="宋体"/>
                <w:b/>
                <w:bCs/>
                <w:color w:val="000000"/>
                <w:sz w:val="24"/>
                <w:szCs w:val="24"/>
                <w:highlight w:val="none"/>
              </w:rPr>
            </w:pPr>
          </w:p>
        </w:tc>
        <w:tc>
          <w:tcPr>
            <w:tcW w:w="831" w:type="pct"/>
            <w:vMerge w:val="restart"/>
            <w:tcBorders>
              <w:top w:val="single" w:color="000000" w:sz="4" w:space="0"/>
              <w:left w:val="single" w:color="000000" w:sz="4" w:space="0"/>
              <w:right w:val="single" w:color="000000" w:sz="4" w:space="0"/>
            </w:tcBorders>
            <w:noWrap w:val="0"/>
            <w:vAlign w:val="center"/>
          </w:tcPr>
          <w:p>
            <w:pPr>
              <w:widowControl/>
              <w:spacing w:line="360" w:lineRule="auto"/>
              <w:jc w:val="center"/>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项目服务实施团队</w:t>
            </w:r>
          </w:p>
        </w:tc>
        <w:tc>
          <w:tcPr>
            <w:tcW w:w="384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应对执行人员进行全面的管理与质量控制，完成项目的启动、执行及结束工作，并及时与项目对接人进行沟通和协调，确保所有调研信息的收集严格按照标准操作程序和相关法规进行；</w:t>
            </w:r>
          </w:p>
        </w:tc>
      </w:tr>
      <w:tr>
        <w:tblPrEx>
          <w:tblCellMar>
            <w:top w:w="0" w:type="dxa"/>
            <w:left w:w="108" w:type="dxa"/>
            <w:bottom w:w="0" w:type="dxa"/>
            <w:right w:w="108" w:type="dxa"/>
          </w:tblCellMar>
        </w:tblPrEx>
        <w:trPr>
          <w:trHeight w:val="1152" w:hRule="atLeast"/>
          <w:jc w:val="center"/>
        </w:trPr>
        <w:tc>
          <w:tcPr>
            <w:tcW w:w="318" w:type="pct"/>
            <w:vMerge w:val="continue"/>
            <w:tcBorders>
              <w:left w:val="single" w:color="000000" w:sz="4" w:space="0"/>
              <w:bottom w:val="single" w:color="000000" w:sz="4" w:space="0"/>
              <w:right w:val="single" w:color="000000" w:sz="4" w:space="0"/>
            </w:tcBorders>
            <w:noWrap w:val="0"/>
            <w:vAlign w:val="center"/>
          </w:tcPr>
          <w:p>
            <w:pPr>
              <w:widowControl/>
              <w:spacing w:line="360" w:lineRule="auto"/>
              <w:jc w:val="right"/>
              <w:textAlignment w:val="center"/>
              <w:outlineLvl w:val="9"/>
              <w:rPr>
                <w:rFonts w:hint="eastAsia" w:ascii="宋体" w:hAnsi="宋体" w:eastAsia="宋体" w:cs="宋体"/>
                <w:color w:val="000000"/>
                <w:sz w:val="24"/>
                <w:szCs w:val="24"/>
                <w:highlight w:val="none"/>
              </w:rPr>
            </w:pPr>
          </w:p>
        </w:tc>
        <w:tc>
          <w:tcPr>
            <w:tcW w:w="831" w:type="pct"/>
            <w:vMerge w:val="continue"/>
            <w:tcBorders>
              <w:left w:val="single" w:color="000000" w:sz="4" w:space="0"/>
              <w:bottom w:val="single" w:color="000000" w:sz="4" w:space="0"/>
              <w:right w:val="single" w:color="000000" w:sz="4" w:space="0"/>
            </w:tcBorders>
            <w:noWrap w:val="0"/>
            <w:vAlign w:val="center"/>
          </w:tcPr>
          <w:p>
            <w:pPr>
              <w:spacing w:line="360" w:lineRule="auto"/>
              <w:jc w:val="center"/>
              <w:outlineLvl w:val="9"/>
              <w:rPr>
                <w:rFonts w:hint="eastAsia" w:ascii="宋体" w:hAnsi="宋体" w:eastAsia="宋体" w:cs="宋体"/>
                <w:color w:val="000000"/>
                <w:sz w:val="24"/>
                <w:szCs w:val="24"/>
                <w:highlight w:val="none"/>
              </w:rPr>
            </w:pPr>
          </w:p>
        </w:tc>
        <w:tc>
          <w:tcPr>
            <w:tcW w:w="384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jc w:val="left"/>
              <w:textAlignment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应对项目进行规范管理，定期工作总结及管理项目进度，确保项目按照申办方整体计划如期进行；</w:t>
            </w:r>
          </w:p>
        </w:tc>
      </w:tr>
    </w:tbl>
    <w:p>
      <w:pPr>
        <w:widowControl w:val="0"/>
        <w:spacing w:line="360" w:lineRule="auto"/>
        <w:ind w:left="0" w:firstLine="0" w:firstLineChars="0"/>
        <w:jc w:val="both"/>
        <w:outlineLvl w:val="9"/>
        <w:rPr>
          <w:rFonts w:hint="eastAsia" w:ascii="宋体" w:hAnsi="宋体" w:eastAsia="宋体" w:cs="宋体"/>
          <w:kern w:val="2"/>
          <w:sz w:val="24"/>
          <w:szCs w:val="24"/>
          <w:highlight w:val="none"/>
          <w:lang w:val="en-US" w:eastAsia="zh-CN" w:bidi="ar-SA"/>
        </w:rPr>
      </w:pPr>
    </w:p>
    <w:p>
      <w:pPr>
        <w:adjustRightInd w:val="0"/>
        <w:snapToGrid w:val="0"/>
        <w:spacing w:before="48" w:beforeLines="20" w:after="48" w:afterLines="20"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进度要求</w:t>
      </w:r>
    </w:p>
    <w:p>
      <w:pPr>
        <w:adjustRightInd w:val="0"/>
        <w:snapToGrid w:val="0"/>
        <w:spacing w:before="48" w:beforeLines="20" w:after="48" w:afterLines="20" w:line="360" w:lineRule="auto"/>
        <w:ind w:firstLine="480" w:firstLineChars="200"/>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按采购人与中标人商定的项目计划进行各个阶段工作，完成新冠调研相关信息收集。</w:t>
      </w:r>
    </w:p>
    <w:p>
      <w:pPr>
        <w:adjustRightInd w:val="0"/>
        <w:snapToGrid w:val="0"/>
        <w:spacing w:before="48" w:beforeLines="20" w:after="48" w:afterLines="20" w:line="360" w:lineRule="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六</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项目地点：全国。</w:t>
      </w:r>
    </w:p>
    <w:p>
      <w:pPr>
        <w:wordWrap w:val="0"/>
        <w:adjustRightInd w:val="0"/>
        <w:snapToGrid w:val="0"/>
        <w:spacing w:line="360" w:lineRule="auto"/>
        <w:ind w:firstLine="480" w:firstLineChars="200"/>
        <w:outlineLvl w:val="9"/>
        <w:rPr>
          <w:rFonts w:hint="eastAsia" w:ascii="宋体" w:hAnsi="宋体" w:eastAsia="宋体" w:cs="宋体"/>
          <w:iCs/>
          <w:sz w:val="24"/>
          <w:szCs w:val="24"/>
          <w:highlight w:val="none"/>
        </w:rPr>
      </w:pPr>
    </w:p>
    <w:p>
      <w:pPr>
        <w:pStyle w:val="2"/>
        <w:outlineLvl w:val="9"/>
        <w:rPr>
          <w:rFonts w:hint="eastAsia" w:ascii="宋体" w:hAnsi="宋体" w:eastAsia="宋体" w:cs="宋体"/>
          <w:iCs/>
          <w:sz w:val="24"/>
          <w:szCs w:val="24"/>
          <w:highlight w:val="none"/>
        </w:rPr>
      </w:pPr>
    </w:p>
    <w:p>
      <w:pPr>
        <w:pStyle w:val="3"/>
        <w:outlineLvl w:val="9"/>
        <w:rPr>
          <w:rFonts w:hint="eastAsia" w:ascii="宋体" w:hAnsi="宋体" w:eastAsia="宋体" w:cs="宋体"/>
          <w:iCs/>
          <w:sz w:val="24"/>
          <w:szCs w:val="24"/>
          <w:highlight w:val="none"/>
        </w:rPr>
      </w:pPr>
    </w:p>
    <w:p>
      <w:pPr>
        <w:rPr>
          <w:rFonts w:hint="eastAsia"/>
          <w:highlight w:val="none"/>
        </w:rPr>
      </w:pPr>
    </w:p>
    <w:p>
      <w:pPr>
        <w:widowControl w:val="0"/>
        <w:wordWrap w:val="0"/>
        <w:adjustRightInd w:val="0"/>
        <w:snapToGrid w:val="0"/>
        <w:spacing w:line="360" w:lineRule="auto"/>
        <w:ind w:firstLine="0" w:firstLineChars="0"/>
        <w:jc w:val="both"/>
        <w:outlineLvl w:val="2"/>
        <w:rPr>
          <w:rFonts w:hint="eastAsia" w:ascii="宋体" w:hAnsi="宋体" w:eastAsia="宋体" w:cs="宋体"/>
          <w:b/>
          <w:bCs/>
          <w:iCs/>
          <w:kern w:val="2"/>
          <w:sz w:val="24"/>
          <w:szCs w:val="24"/>
          <w:highlight w:val="none"/>
          <w:lang w:val="en-US" w:eastAsia="zh-CN" w:bidi="ar-SA"/>
        </w:rPr>
      </w:pPr>
      <w:r>
        <w:rPr>
          <w:rFonts w:hint="eastAsia" w:ascii="宋体" w:hAnsi="宋体" w:eastAsia="宋体" w:cs="宋体"/>
          <w:b/>
          <w:bCs/>
          <w:iCs/>
          <w:kern w:val="2"/>
          <w:sz w:val="24"/>
          <w:szCs w:val="24"/>
          <w:highlight w:val="none"/>
          <w:lang w:val="en-US" w:eastAsia="zh-CN" w:bidi="ar-SA"/>
        </w:rPr>
        <w:t>二、商务要求：</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（一）委托事项及合作方式</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1、采购人将基于国家呼吸系统疾病临床医学研究中心网络的新冠感染大数据分析中的“新冠调研”服务项目委托给供应商承担，供应商需根据采购人的要求，通过收集全国人群中新冠感染时间、疫苗接种品类与时间、评估报告等调研信息，完成对本项目的组织、管理并实施质量控制，为预警预测提供足够多的数据支撑。</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iCs/>
          <w:sz w:val="24"/>
          <w:szCs w:val="24"/>
          <w:highlight w:val="none"/>
        </w:rPr>
        <w:t>2、供应商不得将本项目以任何形式转委托第三方（除临床试验单位外）完成。如有特殊需要，供应商需委托任何第三方参加本项目工作，必须获得采购人书面认可。</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b/>
          <w:bCs/>
          <w:iCs/>
          <w:sz w:val="24"/>
          <w:szCs w:val="24"/>
          <w:highlight w:val="none"/>
        </w:rPr>
        <w:t>（二）履约合同时间</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自合同生效之日起6个月内完成全部服务内容。</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（三）验收标准及方式</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1、验收标准</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按国家及行业现行标准、规范及本项目技术服务要求。</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★2、验收方式</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由供应商向采购人交付成果，包括提供的本调研项目相应的电子资料，由采购人签字确认的方式进行验收。</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（四）付款方式</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第一期，在合同生效后15个工作日内支付合同总价的30%；</w:t>
      </w:r>
    </w:p>
    <w:p>
      <w:pPr>
        <w:wordWrap w:val="0"/>
        <w:adjustRightInd w:val="0"/>
        <w:snapToGrid w:val="0"/>
        <w:spacing w:line="360" w:lineRule="auto"/>
        <w:ind w:firstLine="480" w:firstLine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第二期，在完成项目进度30%（即</w:t>
      </w:r>
      <w:r>
        <w:rPr>
          <w:rFonts w:hint="eastAsia" w:ascii="宋体" w:hAnsi="宋体" w:cs="宋体"/>
          <w:iCs/>
          <w:sz w:val="24"/>
          <w:szCs w:val="24"/>
          <w:highlight w:val="none"/>
          <w:lang w:val="en-US" w:eastAsia="zh-CN"/>
        </w:rPr>
        <w:t>45</w:t>
      </w:r>
      <w:r>
        <w:rPr>
          <w:rFonts w:hint="eastAsia" w:ascii="宋体" w:hAnsi="宋体" w:eastAsia="宋体" w:cs="宋体"/>
          <w:iCs/>
          <w:sz w:val="24"/>
          <w:szCs w:val="24"/>
          <w:highlight w:val="none"/>
        </w:rPr>
        <w:t>000例）并提供</w:t>
      </w:r>
      <w:r>
        <w:rPr>
          <w:rFonts w:hint="eastAsia" w:ascii="宋体" w:hAnsi="宋体" w:cs="宋体"/>
          <w:iCs/>
          <w:sz w:val="24"/>
          <w:szCs w:val="24"/>
          <w:highlight w:val="none"/>
          <w:lang w:val="en-US" w:eastAsia="zh-CN"/>
        </w:rPr>
        <w:t>阶段性</w:t>
      </w:r>
      <w:r>
        <w:rPr>
          <w:rFonts w:hint="eastAsia" w:ascii="宋体" w:hAnsi="宋体" w:eastAsia="宋体" w:cs="宋体"/>
          <w:iCs/>
          <w:sz w:val="24"/>
          <w:szCs w:val="24"/>
          <w:highlight w:val="none"/>
        </w:rPr>
        <w:t>调研资料总结报告</w:t>
      </w:r>
      <w:r>
        <w:rPr>
          <w:rFonts w:hint="eastAsia" w:ascii="宋体" w:hAnsi="宋体" w:cs="宋体"/>
          <w:iCs/>
          <w:sz w:val="24"/>
          <w:szCs w:val="24"/>
          <w:highlight w:val="none"/>
          <w:lang w:val="en-US" w:eastAsia="zh-CN"/>
        </w:rPr>
        <w:t>且通过甲方验收</w:t>
      </w:r>
      <w:r>
        <w:rPr>
          <w:rFonts w:hint="eastAsia" w:ascii="宋体" w:hAnsi="宋体" w:eastAsia="宋体" w:cs="宋体"/>
          <w:iCs/>
          <w:sz w:val="24"/>
          <w:szCs w:val="24"/>
          <w:highlight w:val="none"/>
        </w:rPr>
        <w:t>后15个工作日内支付合同总价的30%；</w:t>
      </w:r>
    </w:p>
    <w:p>
      <w:pPr>
        <w:wordWrap w:val="0"/>
        <w:adjustRightInd w:val="0"/>
        <w:snapToGrid w:val="0"/>
        <w:spacing w:line="360" w:lineRule="auto"/>
        <w:ind w:firstLine="480" w:firstLineChars="200"/>
        <w:rPr>
          <w:rFonts w:hint="eastAsia" w:ascii="宋体" w:hAnsi="宋体" w:eastAsia="宋体" w:cs="宋体"/>
          <w:i/>
          <w:sz w:val="24"/>
          <w:szCs w:val="24"/>
          <w:highlight w:val="none"/>
        </w:rPr>
      </w:pPr>
      <w:r>
        <w:rPr>
          <w:rFonts w:hint="eastAsia" w:ascii="宋体" w:hAnsi="宋体" w:eastAsia="宋体" w:cs="宋体"/>
          <w:iCs/>
          <w:sz w:val="24"/>
          <w:szCs w:val="24"/>
          <w:highlight w:val="none"/>
        </w:rPr>
        <w:t>第三期，在调研完成后</w:t>
      </w:r>
      <w:r>
        <w:rPr>
          <w:rFonts w:hint="eastAsia" w:ascii="宋体" w:hAnsi="宋体" w:cs="宋体"/>
          <w:iCs/>
          <w:sz w:val="24"/>
          <w:szCs w:val="24"/>
          <w:highlight w:val="none"/>
          <w:lang w:val="en-US" w:eastAsia="zh-CN"/>
        </w:rPr>
        <w:t>乙方应向甲方</w:t>
      </w:r>
      <w:r>
        <w:rPr>
          <w:rFonts w:hint="eastAsia" w:ascii="宋体" w:hAnsi="宋体" w:eastAsia="宋体" w:cs="宋体"/>
          <w:iCs/>
          <w:sz w:val="24"/>
          <w:szCs w:val="24"/>
          <w:highlight w:val="none"/>
        </w:rPr>
        <w:t>提供调研资料总结报告</w:t>
      </w:r>
      <w:r>
        <w:rPr>
          <w:rFonts w:hint="eastAsia" w:ascii="宋体" w:hAnsi="宋体" w:cs="宋体"/>
          <w:iCs/>
          <w:sz w:val="24"/>
          <w:szCs w:val="24"/>
          <w:highlight w:val="none"/>
          <w:lang w:eastAsia="zh-CN"/>
        </w:rPr>
        <w:t>，</w:t>
      </w:r>
      <w:r>
        <w:rPr>
          <w:rFonts w:hint="eastAsia" w:ascii="宋体" w:hAnsi="宋体" w:cs="宋体"/>
          <w:iCs/>
          <w:sz w:val="24"/>
          <w:szCs w:val="24"/>
          <w:highlight w:val="none"/>
          <w:lang w:val="en-US" w:eastAsia="zh-CN"/>
        </w:rPr>
        <w:t>经甲方验收通过</w:t>
      </w:r>
      <w:r>
        <w:rPr>
          <w:rFonts w:hint="eastAsia" w:ascii="宋体" w:hAnsi="宋体" w:eastAsia="宋体" w:cs="宋体"/>
          <w:iCs/>
          <w:sz w:val="24"/>
          <w:szCs w:val="24"/>
          <w:highlight w:val="none"/>
        </w:rPr>
        <w:t>后15个工作日内，采购人根据供应商完成项目的实际情况据实结算，在结算完成后15个工作日内采购人支付剩下的合同结算款。如经双方结算采购人已支付给供应商合同总价60%款项超过合同结算款项的，对于采购人多支付的款项，供应商应在5个工作日内退回给采购人。</w:t>
      </w:r>
    </w:p>
    <w:p>
      <w:pPr>
        <w:wordWrap w:val="0"/>
        <w:adjustRightInd w:val="0"/>
        <w:snapToGrid w:val="0"/>
        <w:spacing w:line="360" w:lineRule="auto"/>
        <w:ind w:firstLine="480" w:firstLineChars="200"/>
        <w:rPr>
          <w:rFonts w:hint="eastAsia" w:ascii="宋体" w:hAnsi="宋体" w:eastAsia="宋体" w:cs="宋体"/>
          <w:b/>
          <w:bCs/>
          <w:iCs/>
          <w:sz w:val="24"/>
          <w:szCs w:val="24"/>
          <w:highlight w:val="none"/>
        </w:rPr>
      </w:pPr>
      <w:r>
        <w:rPr>
          <w:rFonts w:hint="eastAsia" w:ascii="宋体" w:hAnsi="宋体" w:eastAsia="宋体" w:cs="宋体"/>
          <w:iCs/>
          <w:sz w:val="24"/>
          <w:szCs w:val="24"/>
          <w:highlight w:val="none"/>
        </w:rPr>
        <w:t>注：因采购人使用的是财政资金支付合同款，采购人在约定期限内办理了财政支付申请手续即为付款; 因财政审批、财政拨款未及时到位、集中支付延误等致成交供应商收款延迟到账，不属于采购人违约情形，采购人无需承担任何责任。</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（五）</w:t>
      </w:r>
      <w:r>
        <w:rPr>
          <w:rFonts w:hint="eastAsia" w:ascii="宋体" w:hAnsi="宋体" w:eastAsia="宋体" w:cs="宋体"/>
          <w:b/>
          <w:bCs/>
          <w:iCs/>
          <w:color w:val="000000"/>
          <w:sz w:val="24"/>
          <w:szCs w:val="24"/>
          <w:highlight w:val="none"/>
        </w:rPr>
        <w:t>质量及</w:t>
      </w:r>
      <w:r>
        <w:rPr>
          <w:rFonts w:hint="eastAsia" w:ascii="宋体" w:hAnsi="宋体" w:eastAsia="宋体" w:cs="宋体"/>
          <w:b/>
          <w:bCs/>
          <w:iCs/>
          <w:color w:val="000000"/>
          <w:sz w:val="24"/>
          <w:szCs w:val="24"/>
          <w:highlight w:val="none"/>
          <w:lang w:val="zh-CN"/>
        </w:rPr>
        <w:t>知识产权要求</w:t>
      </w:r>
    </w:p>
    <w:p>
      <w:pPr>
        <w:adjustRightInd w:val="0"/>
        <w:snapToGrid w:val="0"/>
        <w:spacing w:before="48" w:beforeLines="20" w:after="48" w:afterLines="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1、供应商应在满足本项目技术服务要求前提下符合</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的要求。</w:t>
      </w:r>
    </w:p>
    <w:p>
      <w:pPr>
        <w:adjustRightInd w:val="0"/>
        <w:snapToGrid w:val="0"/>
        <w:spacing w:before="48" w:beforeLines="20" w:after="48" w:afterLines="20" w:line="360" w:lineRule="auto"/>
        <w:ind w:firstLine="480"/>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2、双方确认，在项目合作过程中，与本项目采用的设备、技术相关的知识产权及其衍生权利（包括但不限于著作权、申请专利的权利、专利权、专利申请权、商业秘密、商标、集成电路布图设计等），均归采购人所有，供应商不享有任何权利。</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b/>
          <w:bCs/>
          <w:iCs/>
          <w:sz w:val="24"/>
          <w:szCs w:val="24"/>
          <w:highlight w:val="none"/>
        </w:rPr>
        <w:t>（六）报价要求</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1、投标报价应以招标文件采购需求中所要求的新冠调研项目，包括人力费用、数据整理费用、服务费用等完成本项目要求的内容发生的所有费用及各项</w:t>
      </w:r>
      <w:r>
        <w:rPr>
          <w:rFonts w:hint="eastAsia" w:ascii="宋体" w:hAnsi="宋体" w:eastAsia="宋体" w:cs="宋体"/>
          <w:color w:val="000000"/>
          <w:kern w:val="2"/>
          <w:sz w:val="24"/>
          <w:szCs w:val="24"/>
          <w:highlight w:val="none"/>
          <w:lang w:val="zh-CN" w:eastAsia="zh-CN" w:bidi="ar-SA"/>
        </w:rPr>
        <w:t>税费及合同实施过程中不可预见费用等</w:t>
      </w:r>
      <w:r>
        <w:rPr>
          <w:rFonts w:hint="eastAsia" w:ascii="宋体" w:hAnsi="宋体" w:eastAsia="宋体" w:cs="宋体"/>
          <w:color w:val="000000"/>
          <w:kern w:val="2"/>
          <w:sz w:val="24"/>
          <w:szCs w:val="24"/>
          <w:highlight w:val="none"/>
          <w:lang w:val="en-US" w:eastAsia="zh-CN" w:bidi="ar-SA"/>
        </w:rPr>
        <w:t>。投标报价中应包含供应商已缴纳或应缴纳的全部税费。</w:t>
      </w:r>
    </w:p>
    <w:p>
      <w:pPr>
        <w:widowControl w:val="0"/>
        <w:spacing w:line="360" w:lineRule="auto"/>
        <w:ind w:left="0" w:firstLine="480" w:firstLineChars="200"/>
        <w:jc w:val="both"/>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2、本项目供应商报单价报价，最高限价为7.5元/份。</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3、供应商需就整个包进行响应，不完整的投标将被拒绝。</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4、投标报价不得超出最高限价，否则投标将被拒绝。</w:t>
      </w:r>
    </w:p>
    <w:p>
      <w:pPr>
        <w:widowControl w:val="0"/>
        <w:spacing w:line="360" w:lineRule="auto"/>
        <w:ind w:left="0" w:firstLine="480" w:firstLineChars="200"/>
        <w:jc w:val="both"/>
        <w:rPr>
          <w:rFonts w:hint="eastAsia" w:ascii="宋体" w:hAnsi="宋体" w:eastAsia="宋体" w:cs="宋体"/>
          <w:b/>
          <w:bCs/>
          <w:iCs/>
          <w:sz w:val="24"/>
          <w:szCs w:val="24"/>
          <w:highlight w:val="none"/>
        </w:rPr>
      </w:pPr>
      <w:r>
        <w:rPr>
          <w:rFonts w:hint="eastAsia" w:ascii="宋体" w:hAnsi="宋体" w:eastAsia="宋体" w:cs="宋体"/>
          <w:color w:val="000000"/>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供应商不得以低于成本的报价竞标；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iCs/>
          <w:sz w:val="24"/>
          <w:szCs w:val="24"/>
          <w:highlight w:val="none"/>
        </w:rPr>
        <w:t>（七）</w:t>
      </w:r>
      <w:r>
        <w:rPr>
          <w:rFonts w:hint="eastAsia" w:ascii="宋体" w:hAnsi="宋体" w:eastAsia="宋体" w:cs="宋体"/>
          <w:b/>
          <w:bCs/>
          <w:iCs/>
          <w:color w:val="000000"/>
          <w:sz w:val="24"/>
          <w:szCs w:val="24"/>
          <w:highlight w:val="none"/>
        </w:rPr>
        <w:t>违约责任</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中标人应严格按照与采购人约定的时间及进度安排提供服务。如因中标人原因导致实际进度比计划延期超过60天，采购人有权视情况终止采购合同并通过法律程序对供应商进行索赔。中标人存在故意或者重大过失造成采购人财产损失的，应向采购人支付违约金。</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2、采购人有权对中标人就本项目要求提供的相关证明资料（原件）进行审查。中标人提供虚假资料被查实的，采购人有权采取如下措施：</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 xml:space="preserve">a、上报财政监管部门取消中标人本项目中标资格； </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b、上报财政监管部门列入不良行为记录名单和三年内禁止参与政府采购活动；</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c、追返采购人向中标人已支付的相关费用，并要求中标人赔偿合同总金额30%的违约金。违约金不足以弥补采购人损失的，中标人应当继续赔偿。由此造成的一切损失由中标人承担。</w:t>
      </w:r>
    </w:p>
    <w:p>
      <w:pPr>
        <w:widowControl w:val="0"/>
        <w:spacing w:line="360" w:lineRule="auto"/>
        <w:ind w:left="0"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3、中标人所提供的服务及质量不符合规定标准的，采购人有权拒绝验收且无需承担任何责任，同时采购人有权要求中标人限期重新服务或解除采购合同，由此造成的一切损失由中标人承担。</w:t>
      </w:r>
    </w:p>
    <w:p>
      <w:pPr>
        <w:wordWrap w:val="0"/>
        <w:adjustRightInd w:val="0"/>
        <w:snapToGrid w:val="0"/>
        <w:spacing w:line="360" w:lineRule="auto"/>
        <w:ind w:firstLine="480" w:firstLineChars="200"/>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4、其他由违法导致违约的行为按相关法律法规执行。</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（八）采购标的需执行的国家相关标准、行业标准、地方标准或者其他标准规范</w:t>
      </w:r>
    </w:p>
    <w:p>
      <w:pPr>
        <w:wordWrap w:val="0"/>
        <w:adjustRightInd w:val="0"/>
        <w:snapToGrid w:val="0"/>
        <w:spacing w:line="360" w:lineRule="auto"/>
        <w:ind w:firstLine="480" w:firstLineChars="200"/>
        <w:rPr>
          <w:rFonts w:hint="eastAsia" w:ascii="宋体" w:hAnsi="宋体" w:eastAsia="宋体" w:cs="宋体"/>
          <w:b/>
          <w:bCs/>
          <w:iCs/>
          <w:sz w:val="24"/>
          <w:szCs w:val="24"/>
          <w:highlight w:val="none"/>
        </w:rPr>
      </w:pPr>
      <w:r>
        <w:rPr>
          <w:rFonts w:hint="eastAsia" w:ascii="宋体" w:hAnsi="宋体" w:eastAsia="宋体" w:cs="宋体"/>
          <w:iCs/>
          <w:sz w:val="24"/>
          <w:szCs w:val="24"/>
          <w:highlight w:val="none"/>
        </w:rPr>
        <w:t>严格按照ICH-GCP等国家食品药品监督管理局临床试验有关法规要求执行。</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b/>
          <w:bCs/>
          <w:iCs/>
          <w:sz w:val="24"/>
          <w:szCs w:val="24"/>
          <w:highlight w:val="none"/>
        </w:rPr>
        <w:t>（九）保密要求</w:t>
      </w:r>
    </w:p>
    <w:p>
      <w:pPr>
        <w:widowControl/>
        <w:adjustRightInd w:val="0"/>
        <w:snapToGrid w:val="0"/>
        <w:spacing w:line="360" w:lineRule="auto"/>
        <w:ind w:firstLine="480" w:firstLineChars="200"/>
        <w:jc w:val="left"/>
        <w:rPr>
          <w:rFonts w:hint="eastAsia" w:ascii="宋体" w:hAnsi="宋体" w:eastAsia="宋体" w:cs="宋体"/>
          <w:iCs/>
          <w:color w:val="000000"/>
          <w:sz w:val="24"/>
          <w:szCs w:val="24"/>
          <w:highlight w:val="none"/>
        </w:rPr>
      </w:pPr>
      <w:r>
        <w:rPr>
          <w:rFonts w:hint="eastAsia" w:ascii="宋体" w:hAnsi="宋体" w:eastAsia="宋体" w:cs="宋体"/>
          <w:color w:val="000000"/>
          <w:sz w:val="24"/>
          <w:szCs w:val="24"/>
          <w:highlight w:val="none"/>
        </w:rPr>
        <w:t>1、未经采购人许可，供应商不允许对外公开、宣传或泄露采购人单位具体名称有关信息及采购项目等相关信息，如违反上述承诺，给采购人造成任何不利后果（包括但不限于经济责任、行政责任等），均由供应商承担。</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b/>
          <w:bCs/>
          <w:iCs/>
          <w:sz w:val="24"/>
          <w:szCs w:val="24"/>
          <w:highlight w:val="none"/>
        </w:rPr>
      </w:pPr>
      <w:r>
        <w:rPr>
          <w:rFonts w:hint="eastAsia" w:ascii="宋体" w:hAnsi="宋体" w:eastAsia="宋体" w:cs="宋体"/>
          <w:bCs/>
          <w:iCs/>
          <w:color w:val="000000"/>
          <w:sz w:val="24"/>
          <w:szCs w:val="24"/>
          <w:highlight w:val="none"/>
        </w:rPr>
        <w:t>2、不论何时、何种原因无效或终止本项目，上述保密义务继续有效。</w:t>
      </w:r>
    </w:p>
    <w:p>
      <w:pPr>
        <w:wordWrap w:val="0"/>
        <w:adjustRightInd w:val="0"/>
        <w:snapToGrid w:val="0"/>
        <w:spacing w:line="360" w:lineRule="auto"/>
        <w:rPr>
          <w:rFonts w:hint="eastAsia" w:ascii="宋体" w:hAnsi="宋体" w:eastAsia="宋体" w:cs="宋体"/>
          <w:b/>
          <w:bCs/>
          <w:iCs/>
          <w:sz w:val="24"/>
          <w:szCs w:val="24"/>
          <w:highlight w:val="none"/>
        </w:rPr>
      </w:pPr>
      <w:r>
        <w:rPr>
          <w:rFonts w:hint="eastAsia" w:ascii="宋体" w:hAnsi="宋体" w:eastAsia="宋体" w:cs="宋体"/>
          <w:b/>
          <w:bCs/>
          <w:iCs/>
          <w:sz w:val="24"/>
          <w:szCs w:val="24"/>
          <w:highlight w:val="none"/>
        </w:rPr>
        <w:t>（十）补充说明</w:t>
      </w:r>
    </w:p>
    <w:p>
      <w:p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签订合同后双方的任何一方由于不可抗力的原因不能在指定的服务合同期限内履行或不能完全履行合同时，应尽快向对方通报理由，在提供相应证明后，可允许延期履行、部分履行或不履行，并可根据情况部分或全部免于承担违约责任，不可抗力指双方在订立合同时不能预见、对其发生和后果不能避免且不能克服的事件，包括但不限于地震、火灾、飓风、海啸、战争、政府行为、政府部门内容审查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wNmYzNTdjN2ZlYjFiMTM1ZDhlN2NmZmFiODU3YTQifQ=="/>
  </w:docVars>
  <w:rsids>
    <w:rsidRoot w:val="7A5E2745"/>
    <w:rsid w:val="7A5E27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lang w:val="en-US" w:eastAsia="zh-CN" w:bidi="ar-SA"/>
    </w:rPr>
  </w:style>
  <w:style w:type="character" w:default="1" w:styleId="9">
    <w:name w:val="Default Paragraph Font"/>
    <w:autoRedefine/>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line="480" w:lineRule="atLeast"/>
    </w:pPr>
    <w:rPr>
      <w:rFonts w:ascii="楷体_GB2312" w:eastAsia="楷体_GB2312"/>
      <w:b/>
      <w:sz w:val="30"/>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Body Text Indent"/>
    <w:basedOn w:val="1"/>
    <w:next w:val="5"/>
    <w:qFormat/>
    <w:uiPriority w:val="99"/>
    <w:pPr>
      <w:ind w:firstLine="700" w:firstLineChars="250"/>
    </w:pPr>
    <w:rPr>
      <w:rFonts w:ascii="楷体_GB2312" w:hAnsi="宋体" w:eastAsia="楷体_GB2312"/>
      <w:sz w:val="28"/>
    </w:rPr>
  </w:style>
  <w:style w:type="paragraph" w:styleId="5">
    <w:name w:val="envelope return"/>
    <w:basedOn w:val="1"/>
    <w:qFormat/>
    <w:uiPriority w:val="99"/>
    <w:pPr>
      <w:snapToGrid w:val="0"/>
    </w:pPr>
    <w:rPr>
      <w:rFonts w:ascii="Arial" w:hAnsi="Arial"/>
    </w:rPr>
  </w:style>
  <w:style w:type="paragraph" w:styleId="6">
    <w:name w:val="toc 2"/>
    <w:basedOn w:val="1"/>
    <w:next w:val="1"/>
    <w:qFormat/>
    <w:uiPriority w:val="39"/>
    <w:pPr>
      <w:tabs>
        <w:tab w:val="right" w:leader="dot" w:pos="9180"/>
      </w:tabs>
      <w:spacing w:line="360" w:lineRule="auto"/>
      <w:ind w:left="210"/>
      <w:jc w:val="left"/>
    </w:pPr>
    <w:rPr>
      <w:smallCaps/>
      <w:szCs w:val="24"/>
    </w:rPr>
  </w:style>
  <w:style w:type="paragraph" w:styleId="7">
    <w:name w:val="Body Text First Indent 2"/>
    <w:basedOn w:val="4"/>
    <w:qFormat/>
    <w:uiPriority w:val="99"/>
    <w:pPr>
      <w:ind w:left="420"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2024-03-05T07:02:00Z</dcterms:created>
  <dc:creator>DF</dc:creator>
  <cp:lastModifiedBy>DF</cp:lastModifiedBy>
  <dcterms:modified xsi:type="dcterms:W3CDTF">2024-03-05T07:03:35Z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DC02513354CB4852B70C015F528234B2_11</vt:lpwstr>
  </property>
</Properties>
</file>