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44EB4">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72F95839">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2"/>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5E98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4CC9B6B">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73A7A4AE">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4A58B45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33EB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9A9FD54">
            <w:pPr>
              <w:adjustRightInd w:val="0"/>
              <w:snapToGrid w:val="0"/>
              <w:spacing w:line="288" w:lineRule="auto"/>
              <w:jc w:val="center"/>
              <w:rPr>
                <w:rFonts w:ascii="宋体" w:hAnsi="宋体" w:cs="宋体"/>
                <w:b/>
                <w:bCs/>
                <w:color w:val="auto"/>
                <w:sz w:val="21"/>
                <w:szCs w:val="21"/>
                <w:highlight w:val="none"/>
              </w:rPr>
            </w:pPr>
            <w:r>
              <w:rPr>
                <w:rFonts w:hint="eastAsia" w:ascii="宋体" w:hAnsi="宋体" w:cs="宋体"/>
                <w:color w:val="auto"/>
                <w:sz w:val="21"/>
                <w:szCs w:val="21"/>
                <w:highlight w:val="none"/>
              </w:rPr>
              <w:t>1</w:t>
            </w:r>
          </w:p>
        </w:tc>
        <w:tc>
          <w:tcPr>
            <w:tcW w:w="3256" w:type="dxa"/>
            <w:noWrap w:val="0"/>
            <w:vAlign w:val="center"/>
          </w:tcPr>
          <w:p w14:paraId="37E2BB69">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7CBE7AEA">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不允许采购进口产品</w:t>
            </w:r>
          </w:p>
        </w:tc>
      </w:tr>
      <w:tr w14:paraId="788C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6D3C1D7">
            <w:pPr>
              <w:adjustRightInd w:val="0"/>
              <w:snapToGrid w:val="0"/>
              <w:spacing w:line="288" w:lineRule="auto"/>
              <w:jc w:val="center"/>
              <w:rPr>
                <w:rFonts w:ascii="宋体" w:hAnsi="宋体" w:cs="宋体"/>
                <w:b/>
                <w:bCs/>
                <w:color w:val="auto"/>
                <w:sz w:val="21"/>
                <w:szCs w:val="21"/>
                <w:highlight w:val="none"/>
              </w:rPr>
            </w:pPr>
            <w:r>
              <w:rPr>
                <w:rFonts w:hint="eastAsia" w:ascii="宋体" w:hAnsi="宋体" w:cs="宋体"/>
                <w:color w:val="auto"/>
                <w:sz w:val="21"/>
                <w:szCs w:val="21"/>
                <w:highlight w:val="none"/>
              </w:rPr>
              <w:t>2</w:t>
            </w:r>
          </w:p>
        </w:tc>
        <w:tc>
          <w:tcPr>
            <w:tcW w:w="3256" w:type="dxa"/>
            <w:noWrap w:val="0"/>
            <w:vAlign w:val="center"/>
          </w:tcPr>
          <w:p w14:paraId="2333357D">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11A251DD">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22AF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556A645">
            <w:pPr>
              <w:adjustRightInd w:val="0"/>
              <w:snapToGrid w:val="0"/>
              <w:spacing w:line="288" w:lineRule="auto"/>
              <w:jc w:val="center"/>
              <w:rPr>
                <w:rFonts w:ascii="宋体" w:hAnsi="宋体" w:cs="宋体"/>
                <w:b/>
                <w:bCs/>
                <w:color w:val="auto"/>
                <w:sz w:val="21"/>
                <w:szCs w:val="21"/>
                <w:highlight w:val="none"/>
              </w:rPr>
            </w:pPr>
            <w:r>
              <w:rPr>
                <w:rFonts w:hint="eastAsia" w:ascii="宋体" w:hAnsi="宋体" w:cs="宋体"/>
                <w:color w:val="auto"/>
                <w:sz w:val="21"/>
                <w:szCs w:val="21"/>
                <w:highlight w:val="none"/>
              </w:rPr>
              <w:t>3</w:t>
            </w:r>
          </w:p>
        </w:tc>
        <w:tc>
          <w:tcPr>
            <w:tcW w:w="3256" w:type="dxa"/>
            <w:noWrap w:val="0"/>
            <w:vAlign w:val="center"/>
          </w:tcPr>
          <w:p w14:paraId="4D4D89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13642D30">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17CF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5C837A3">
            <w:pPr>
              <w:adjustRightInd w:val="0"/>
              <w:snapToGrid w:val="0"/>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4</w:t>
            </w:r>
          </w:p>
        </w:tc>
        <w:tc>
          <w:tcPr>
            <w:tcW w:w="3256" w:type="dxa"/>
            <w:noWrap w:val="0"/>
            <w:vAlign w:val="center"/>
          </w:tcPr>
          <w:p w14:paraId="77AA175A">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4522A0BC">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提供材料详见招标文件第六章“商务和技术文件”</w:t>
            </w:r>
          </w:p>
        </w:tc>
      </w:tr>
      <w:tr w14:paraId="436E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FFBFAA4">
            <w:pPr>
              <w:adjustRightInd w:val="0"/>
              <w:snapToGrid w:val="0"/>
              <w:spacing w:line="288" w:lineRule="auto"/>
              <w:jc w:val="center"/>
              <w:rPr>
                <w:rFonts w:ascii="宋体" w:hAnsi="宋体" w:cs="宋体"/>
                <w:b/>
                <w:bCs/>
                <w:color w:val="auto"/>
                <w:sz w:val="21"/>
                <w:szCs w:val="21"/>
                <w:highlight w:val="none"/>
              </w:rPr>
            </w:pPr>
            <w:r>
              <w:rPr>
                <w:rFonts w:hint="eastAsia" w:ascii="宋体" w:hAnsi="宋体" w:cs="宋体"/>
                <w:color w:val="auto"/>
                <w:sz w:val="21"/>
                <w:szCs w:val="21"/>
                <w:highlight w:val="none"/>
              </w:rPr>
              <w:t>5</w:t>
            </w:r>
          </w:p>
        </w:tc>
        <w:tc>
          <w:tcPr>
            <w:tcW w:w="3256" w:type="dxa"/>
            <w:noWrap w:val="0"/>
            <w:vAlign w:val="center"/>
          </w:tcPr>
          <w:p w14:paraId="670E00C5">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434263A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p w14:paraId="7C11A549">
            <w:pPr>
              <w:adjustRightInd w:val="0"/>
              <w:snapToGrid w:val="0"/>
              <w:spacing w:line="288" w:lineRule="auto"/>
              <w:jc w:val="left"/>
              <w:rPr>
                <w:rFonts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695F3F07">
            <w:pPr>
              <w:adjustRightInd w:val="0"/>
              <w:snapToGrid w:val="0"/>
              <w:spacing w:line="288" w:lineRule="auto"/>
              <w:jc w:val="left"/>
              <w:rPr>
                <w:rFonts w:ascii="宋体" w:hAnsi="宋体"/>
                <w:b/>
                <w:bCs/>
                <w:color w:val="auto"/>
                <w:sz w:val="21"/>
                <w:szCs w:val="21"/>
                <w:highlight w:val="none"/>
              </w:rPr>
            </w:pPr>
            <w:r>
              <w:rPr>
                <w:rFonts w:hint="eastAsia" w:ascii="宋体" w:hAnsi="宋体"/>
                <w:b/>
                <w:bCs/>
                <w:color w:val="auto"/>
                <w:sz w:val="21"/>
                <w:szCs w:val="21"/>
                <w:highlight w:val="none"/>
              </w:rPr>
              <w:t>采购标的对应的中小企业划分标准所属行业：</w:t>
            </w:r>
          </w:p>
          <w:p w14:paraId="62220013">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71F6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D574807">
            <w:pPr>
              <w:adjustRightInd w:val="0"/>
              <w:snapToGrid w:val="0"/>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6</w:t>
            </w:r>
          </w:p>
        </w:tc>
        <w:tc>
          <w:tcPr>
            <w:tcW w:w="3256" w:type="dxa"/>
            <w:noWrap w:val="0"/>
            <w:vAlign w:val="center"/>
          </w:tcPr>
          <w:p w14:paraId="6951259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1644AB27">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tc>
      </w:tr>
      <w:tr w14:paraId="70342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46F63FB">
            <w:pPr>
              <w:adjustRightInd w:val="0"/>
              <w:snapToGrid w:val="0"/>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7</w:t>
            </w:r>
          </w:p>
        </w:tc>
        <w:tc>
          <w:tcPr>
            <w:tcW w:w="3256" w:type="dxa"/>
            <w:noWrap w:val="0"/>
            <w:vAlign w:val="center"/>
          </w:tcPr>
          <w:p w14:paraId="0ED70A9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32D0D649">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w:t>
            </w:r>
            <w:r>
              <w:rPr>
                <w:rFonts w:hint="eastAsia" w:ascii="宋体" w:hAnsi="宋体" w:cs="宋体"/>
                <w:color w:val="auto"/>
                <w:sz w:val="21"/>
                <w:szCs w:val="21"/>
                <w:highlight w:val="none"/>
                <w:lang w:val="en-US" w:eastAsia="zh-CN"/>
              </w:rPr>
              <w:t>资格</w:t>
            </w:r>
            <w:r>
              <w:rPr>
                <w:rFonts w:hint="eastAsia" w:ascii="宋体" w:hAnsi="宋体" w:cs="宋体"/>
                <w:color w:val="auto"/>
                <w:sz w:val="21"/>
                <w:szCs w:val="21"/>
                <w:highlight w:val="none"/>
              </w:rPr>
              <w:t>文件”</w:t>
            </w:r>
          </w:p>
        </w:tc>
      </w:tr>
      <w:bookmarkEnd w:id="0"/>
    </w:tbl>
    <w:p w14:paraId="2C609CCD">
      <w:pPr>
        <w:adjustRightInd w:val="0"/>
        <w:snapToGrid w:val="0"/>
        <w:spacing w:line="288" w:lineRule="auto"/>
        <w:rPr>
          <w:rFonts w:ascii="宋体" w:hAnsi="宋体"/>
          <w:sz w:val="21"/>
          <w:szCs w:val="21"/>
          <w:highlight w:val="none"/>
        </w:rPr>
      </w:pPr>
    </w:p>
    <w:p w14:paraId="064B6168">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2"/>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5C21F3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323D998">
            <w:pPr>
              <w:adjustRightInd w:val="0"/>
              <w:snapToGrid w:val="0"/>
              <w:spacing w:line="288" w:lineRule="auto"/>
              <w:jc w:val="center"/>
              <w:rPr>
                <w:rFonts w:ascii="宋体" w:hAnsi="宋体"/>
                <w:b/>
                <w:spacing w:val="-6"/>
                <w:sz w:val="21"/>
                <w:szCs w:val="21"/>
                <w:highlight w:val="none"/>
              </w:rPr>
            </w:pPr>
            <w:bookmarkStart w:id="1" w:name="_Hlk45005608"/>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724AC8AB">
            <w:pPr>
              <w:autoSpaceDE w:val="0"/>
              <w:autoSpaceDN w:val="0"/>
              <w:adjustRightInd w:val="0"/>
              <w:snapToGrid w:val="0"/>
              <w:spacing w:line="288" w:lineRule="auto"/>
              <w:jc w:val="left"/>
              <w:rPr>
                <w:rFonts w:ascii="宋体" w:hAnsi="宋体" w:cs="宋体"/>
                <w:spacing w:val="-6"/>
                <w:kern w:val="0"/>
                <w:sz w:val="21"/>
                <w:szCs w:val="21"/>
                <w:highlight w:val="none"/>
              </w:rPr>
            </w:pPr>
            <w:r>
              <w:rPr>
                <w:rFonts w:ascii="宋体" w:hAnsi="宋体" w:cs="宋体"/>
                <w:spacing w:val="-6"/>
                <w:kern w:val="0"/>
                <w:sz w:val="21"/>
                <w:szCs w:val="21"/>
                <w:highlight w:val="none"/>
              </w:rPr>
              <w:t>1、</w:t>
            </w:r>
            <w:r>
              <w:rPr>
                <w:rFonts w:hint="eastAsia" w:ascii="宋体" w:hAnsi="宋体" w:cs="宋体"/>
                <w:spacing w:val="-6"/>
                <w:kern w:val="0"/>
                <w:sz w:val="21"/>
                <w:szCs w:val="21"/>
                <w:highlight w:val="none"/>
              </w:rPr>
              <w:t>货款支付方式：</w:t>
            </w:r>
          </w:p>
          <w:p w14:paraId="5A3E374A">
            <w:pPr>
              <w:autoSpaceDE w:val="0"/>
              <w:autoSpaceDN w:val="0"/>
              <w:adjustRightInd w:val="0"/>
              <w:snapToGrid w:val="0"/>
              <w:spacing w:line="288" w:lineRule="auto"/>
              <w:jc w:val="left"/>
              <w:rPr>
                <w:highlight w:val="none"/>
              </w:rPr>
            </w:pPr>
            <w:r>
              <w:rPr>
                <w:rFonts w:hint="eastAsia" w:ascii="宋体" w:hAnsi="宋体" w:cs="宋体"/>
                <w:spacing w:val="-6"/>
                <w:kern w:val="0"/>
                <w:sz w:val="21"/>
                <w:szCs w:val="21"/>
                <w:highlight w:val="none"/>
              </w:rPr>
              <w:t>货到经安装调试，用户认定合格后，凭用户出具的安装调试报告支付90%货款；验收合格后凭用户出具的验收报告支付10%货款。</w:t>
            </w:r>
          </w:p>
          <w:p w14:paraId="1D843158">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4DB17302">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69AB560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249FF40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2949E844">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547AC2CA">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54C9D2CE">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账号：19042201040000014</w:t>
            </w:r>
          </w:p>
          <w:p w14:paraId="7AB65510">
            <w:pPr>
              <w:autoSpaceDE w:val="0"/>
              <w:autoSpaceDN w:val="0"/>
              <w:adjustRightInd w:val="0"/>
              <w:snapToGrid w:val="0"/>
              <w:spacing w:line="288" w:lineRule="auto"/>
              <w:jc w:val="left"/>
              <w:rPr>
                <w:rFonts w:hint="eastAsia" w:ascii="宋体" w:hAnsi="宋体" w:eastAsia="宋体" w:cs="宋体"/>
                <w:spacing w:val="-6"/>
                <w:kern w:val="0"/>
                <w:sz w:val="21"/>
                <w:szCs w:val="21"/>
                <w:highlight w:val="none"/>
                <w:lang w:val="en-US" w:eastAsia="zh-CN" w:bidi="ar-SA"/>
              </w:rPr>
            </w:pPr>
            <w:r>
              <w:rPr>
                <w:rFonts w:hint="eastAsia" w:ascii="宋体" w:hAnsi="宋体" w:cs="宋体"/>
                <w:spacing w:val="-6"/>
                <w:kern w:val="0"/>
                <w:sz w:val="21"/>
                <w:szCs w:val="21"/>
                <w:highlight w:val="none"/>
              </w:rPr>
              <w:t>行号：103331004223</w:t>
            </w:r>
          </w:p>
        </w:tc>
      </w:tr>
      <w:bookmarkEnd w:id="1"/>
    </w:tbl>
    <w:p w14:paraId="5B6728DB">
      <w:pPr>
        <w:adjustRightInd w:val="0"/>
        <w:snapToGrid w:val="0"/>
        <w:spacing w:line="288" w:lineRule="auto"/>
        <w:ind w:left="238" w:hanging="238" w:hangingChars="113"/>
        <w:rPr>
          <w:rFonts w:ascii="宋体" w:hAnsi="宋体"/>
          <w:b/>
          <w:sz w:val="21"/>
          <w:szCs w:val="21"/>
          <w:highlight w:val="none"/>
        </w:rPr>
      </w:pPr>
    </w:p>
    <w:p w14:paraId="609DAE85">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r>
        <w:rPr>
          <w:rFonts w:hint="eastAsia" w:ascii="宋体" w:hAnsi="宋体"/>
          <w:b/>
          <w:spacing w:val="-6"/>
          <w:sz w:val="21"/>
          <w:szCs w:val="21"/>
          <w:highlight w:val="none"/>
        </w:rPr>
        <w:t>（技术要求里另有注明的以技术要求为准）</w:t>
      </w:r>
      <w:r>
        <w:rPr>
          <w:rFonts w:ascii="宋体" w:hAnsi="宋体"/>
          <w:b/>
          <w:sz w:val="21"/>
          <w:szCs w:val="21"/>
          <w:highlight w:val="none"/>
        </w:rPr>
        <w:t>：</w:t>
      </w:r>
    </w:p>
    <w:tbl>
      <w:tblPr>
        <w:tblStyle w:val="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3116DE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6CAA61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2D8AB16">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sz w:val="21"/>
                <w:szCs w:val="21"/>
                <w:highlight w:val="none"/>
                <w:lang w:eastAsia="zh-CN"/>
              </w:rPr>
              <w:t>合同签订后2个月内交付至用户指定地点。</w:t>
            </w:r>
          </w:p>
        </w:tc>
      </w:tr>
      <w:tr w14:paraId="1CBE58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B72EB46">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3CEA0643">
            <w:pPr>
              <w:adjustRightInd w:val="0"/>
              <w:snapToGrid w:val="0"/>
              <w:spacing w:line="288"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采购人指定地点</w:t>
            </w:r>
          </w:p>
        </w:tc>
      </w:tr>
      <w:tr w14:paraId="7E6A82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70802F4">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011DFC1E">
            <w:pPr>
              <w:adjustRightInd w:val="0"/>
              <w:snapToGrid w:val="0"/>
              <w:spacing w:line="288"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年，项目验收合格后开始计算。</w:t>
            </w:r>
          </w:p>
        </w:tc>
      </w:tr>
      <w:tr w14:paraId="18A36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06B07CC6">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C196B52">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.在质保期内，供应商应对货物出现的质量及安全问题负责处理解决并承担一切费用。</w:t>
            </w:r>
          </w:p>
          <w:p w14:paraId="761EA22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质保期内出现无法排除的故障，供应商需无条件更换同型号产品。</w:t>
            </w:r>
          </w:p>
          <w:p w14:paraId="513CE640">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质保期满后，供应商继续为采购人服务，仅收取零配件成本费。</w:t>
            </w:r>
          </w:p>
          <w:p w14:paraId="41523FFD">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因人为因素出现的故障不在免费保修范围内。</w:t>
            </w:r>
          </w:p>
          <w:p w14:paraId="4C847CC8">
            <w:pPr>
              <w:adjustRightInd w:val="0"/>
              <w:snapToGrid w:val="0"/>
              <w:spacing w:line="288" w:lineRule="auto"/>
              <w:rPr>
                <w:rFonts w:ascii="宋体" w:hAnsi="宋体" w:eastAsia="宋体" w:cs="宋体"/>
                <w:sz w:val="21"/>
                <w:szCs w:val="21"/>
                <w:highlight w:val="none"/>
                <w:u w:val="single"/>
              </w:rPr>
            </w:pPr>
            <w:r>
              <w:rPr>
                <w:rFonts w:ascii="宋体" w:hAnsi="宋体" w:eastAsia="宋体" w:cs="宋体"/>
                <w:sz w:val="21"/>
                <w:szCs w:val="21"/>
                <w:highlight w:val="none"/>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u w:val="none"/>
              </w:rPr>
              <w:t>如在使用过程中发生质量问题，供应商维修响应时间</w:t>
            </w:r>
            <w:r>
              <w:rPr>
                <w:rFonts w:hint="eastAsia" w:ascii="宋体" w:hAnsi="宋体" w:cs="宋体"/>
                <w:sz w:val="21"/>
                <w:szCs w:val="21"/>
                <w:highlight w:val="none"/>
                <w:u w:val="none"/>
                <w:lang w:eastAsia="zh-CN"/>
              </w:rPr>
              <w:t>：</w:t>
            </w:r>
            <w:r>
              <w:rPr>
                <w:rFonts w:hint="eastAsia" w:ascii="宋体" w:hAnsi="宋体" w:cs="宋体"/>
                <w:sz w:val="21"/>
                <w:szCs w:val="21"/>
                <w:highlight w:val="none"/>
                <w:u w:val="single"/>
                <w:lang w:val="en-US" w:eastAsia="zh-CN"/>
              </w:rPr>
              <w:t>24小时</w:t>
            </w:r>
            <w:r>
              <w:rPr>
                <w:rFonts w:hint="eastAsia" w:ascii="宋体" w:hAnsi="宋体" w:eastAsia="宋体" w:cs="宋体"/>
                <w:sz w:val="21"/>
                <w:szCs w:val="21"/>
                <w:highlight w:val="none"/>
                <w:u w:val="single"/>
              </w:rPr>
              <w:t>；</w:t>
            </w:r>
          </w:p>
          <w:p w14:paraId="15D70712">
            <w:pPr>
              <w:adjustRightInd w:val="0"/>
              <w:snapToGrid w:val="0"/>
              <w:spacing w:line="288"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none"/>
              </w:rPr>
              <w:t>若需上门维修，则在</w:t>
            </w:r>
            <w:r>
              <w:rPr>
                <w:rFonts w:hint="eastAsia" w:ascii="宋体" w:hAnsi="宋体" w:cs="宋体"/>
                <w:sz w:val="21"/>
                <w:szCs w:val="21"/>
                <w:highlight w:val="none"/>
                <w:u w:val="single"/>
                <w:lang w:val="en-US" w:eastAsia="zh-CN"/>
              </w:rPr>
              <w:t>≤24</w:t>
            </w:r>
            <w:r>
              <w:rPr>
                <w:rFonts w:hint="eastAsia" w:ascii="宋体" w:hAnsi="宋体" w:eastAsia="宋体" w:cs="宋体"/>
                <w:sz w:val="21"/>
                <w:szCs w:val="21"/>
                <w:highlight w:val="none"/>
                <w:u w:val="single"/>
              </w:rPr>
              <w:t>小时内到达现场并进行维修；</w:t>
            </w:r>
            <w:r>
              <w:rPr>
                <w:rFonts w:hint="eastAsia" w:ascii="宋体" w:hAnsi="宋体" w:cs="宋体"/>
                <w:sz w:val="21"/>
                <w:szCs w:val="21"/>
                <w:highlight w:val="none"/>
                <w:u w:val="single"/>
                <w:lang w:val="en-US" w:eastAsia="zh-CN"/>
              </w:rPr>
              <w:t>修复时间≤48小时</w:t>
            </w:r>
            <w:r>
              <w:rPr>
                <w:rFonts w:hint="eastAsia" w:ascii="宋体" w:hAnsi="宋体" w:cs="宋体"/>
                <w:sz w:val="21"/>
                <w:szCs w:val="21"/>
                <w:highlight w:val="none"/>
                <w:u w:val="single"/>
                <w:lang w:eastAsia="zh-CN"/>
              </w:rPr>
              <w:t>。</w:t>
            </w:r>
          </w:p>
          <w:p w14:paraId="358DB3B6">
            <w:pPr>
              <w:numPr>
                <w:ilvl w:val="0"/>
                <w:numId w:val="0"/>
              </w:numPr>
              <w:adjustRightInd w:val="0"/>
              <w:snapToGrid w:val="0"/>
              <w:spacing w:line="288" w:lineRule="auto"/>
              <w:rPr>
                <w:rFonts w:hint="default" w:ascii="宋体" w:hAnsi="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6.</w:t>
            </w:r>
            <w:r>
              <w:rPr>
                <w:rFonts w:hint="eastAsia" w:ascii="宋体" w:hAnsi="宋体" w:eastAsia="宋体" w:cs="宋体"/>
                <w:sz w:val="21"/>
                <w:szCs w:val="21"/>
                <w:highlight w:val="none"/>
                <w:u w:val="none"/>
                <w:lang w:val="en-US" w:eastAsia="zh-CN"/>
              </w:rPr>
              <w:t>供应商应提供详细的</w:t>
            </w:r>
            <w:r>
              <w:rPr>
                <w:rFonts w:hint="eastAsia" w:ascii="宋体" w:hAnsi="宋体" w:eastAsia="宋体" w:cs="宋体"/>
                <w:sz w:val="21"/>
                <w:szCs w:val="21"/>
                <w:highlight w:val="none"/>
              </w:rPr>
              <w:t>售后服务方案、售后服务承诺、售后服务保障措施。</w:t>
            </w:r>
          </w:p>
        </w:tc>
      </w:tr>
      <w:tr w14:paraId="4CED40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D02E6C0">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3FAF67C3">
            <w:pPr>
              <w:adjustRightInd w:val="0"/>
              <w:snapToGrid w:val="0"/>
              <w:spacing w:line="288" w:lineRule="auto"/>
              <w:rPr>
                <w:rFonts w:hint="eastAsia" w:ascii="宋体" w:hAnsi="宋体" w:eastAsia="宋体" w:cs="Times New Roman"/>
                <w:spacing w:val="-6"/>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w:t>
            </w:r>
            <w:r>
              <w:rPr>
                <w:rFonts w:hint="eastAsia" w:ascii="宋体" w:hAnsi="宋体" w:eastAsia="宋体" w:cs="宋体"/>
                <w:sz w:val="21"/>
                <w:szCs w:val="21"/>
                <w:highlight w:val="none"/>
              </w:rPr>
              <w:t>供应商应按招标文件规定向采购人提供全新</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原装合格产品，</w:t>
            </w:r>
            <w:r>
              <w:rPr>
                <w:rFonts w:hint="eastAsia" w:ascii="宋体" w:hAnsi="宋体" w:eastAsia="宋体" w:cs="宋体"/>
                <w:sz w:val="21"/>
                <w:szCs w:val="21"/>
                <w:highlight w:val="none"/>
                <w:lang w:val="en-US" w:eastAsia="zh-CN"/>
              </w:rPr>
              <w:t>产品应</w:t>
            </w:r>
            <w:r>
              <w:rPr>
                <w:rFonts w:hint="eastAsia" w:ascii="宋体" w:hAnsi="宋体" w:eastAsia="宋体" w:cs="宋体"/>
                <w:sz w:val="21"/>
                <w:szCs w:val="21"/>
                <w:highlight w:val="none"/>
              </w:rPr>
              <w:t>符合国家法律法规规定。</w:t>
            </w:r>
            <w:r>
              <w:rPr>
                <w:rFonts w:hint="eastAsia" w:ascii="宋体" w:hAnsi="宋体" w:eastAsia="宋体" w:cs="Times New Roman"/>
                <w:spacing w:val="-6"/>
                <w:sz w:val="21"/>
                <w:szCs w:val="21"/>
                <w:highlight w:val="none"/>
              </w:rPr>
              <w:t>供应商应保证所提供的货物或其中任何一部分均不会侵犯第三方的知识产权。</w:t>
            </w:r>
          </w:p>
          <w:p w14:paraId="6650788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供应商应</w:t>
            </w:r>
            <w:r>
              <w:rPr>
                <w:rFonts w:hint="eastAsia" w:ascii="宋体" w:hAnsi="宋体" w:eastAsia="宋体" w:cs="宋体"/>
                <w:sz w:val="21"/>
                <w:szCs w:val="21"/>
                <w:highlight w:val="none"/>
              </w:rPr>
              <w:t>提供有关的全套技术文件。</w:t>
            </w:r>
          </w:p>
          <w:p w14:paraId="49A6945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.安装调试：</w:t>
            </w:r>
          </w:p>
          <w:p w14:paraId="2DB971F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.1安装地点：采购人指定地点；</w:t>
            </w:r>
          </w:p>
          <w:p w14:paraId="4D9907F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02BADD88">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.3如供应商委托国内代理（或其他机构）负责安装或配合安装应在签约时指明，但供应商仍要对合同货物及其安装质量负全部责任；</w:t>
            </w:r>
          </w:p>
          <w:p w14:paraId="3DD65F9E">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.4安装标准：符合我国国家有关技术规范要求和技术标准，所有的软件和硬件必须保证同时安装到位；</w:t>
            </w:r>
          </w:p>
          <w:p w14:paraId="15BC347A">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.5供应商免费提供合同货物的安装服务；</w:t>
            </w:r>
          </w:p>
          <w:p w14:paraId="502F47BC">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.6供应商在投标文件中应提供安装调试计划</w:t>
            </w:r>
            <w:r>
              <w:rPr>
                <w:rFonts w:hint="eastAsia" w:ascii="宋体" w:hAnsi="宋体" w:eastAsia="宋体" w:cs="宋体"/>
                <w:sz w:val="21"/>
                <w:szCs w:val="21"/>
                <w:highlight w:val="none"/>
                <w:lang w:val="en-US" w:eastAsia="zh-CN"/>
              </w:rPr>
              <w:t>和安装调试方案</w:t>
            </w:r>
            <w:r>
              <w:rPr>
                <w:rFonts w:hint="eastAsia" w:ascii="宋体" w:hAnsi="宋体" w:eastAsia="宋体" w:cs="宋体"/>
                <w:sz w:val="21"/>
                <w:szCs w:val="21"/>
                <w:highlight w:val="none"/>
              </w:rPr>
              <w:t>。</w:t>
            </w:r>
          </w:p>
          <w:p w14:paraId="472B4F71">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.技术支持：</w:t>
            </w:r>
          </w:p>
          <w:p w14:paraId="0E6760B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供应商应及时免费提供合同货物软件的升级，免费提供合同货物新功能和应用的资料。</w:t>
            </w:r>
          </w:p>
          <w:p w14:paraId="17F322B8">
            <w:pPr>
              <w:numPr>
                <w:ilvl w:val="0"/>
                <w:numId w:val="0"/>
              </w:numPr>
              <w:adjustRightInd w:val="0"/>
              <w:snapToGrid w:val="0"/>
              <w:spacing w:line="288" w:lineRule="auto"/>
              <w:rPr>
                <w:rFonts w:hint="default"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5.</w:t>
            </w:r>
            <w:r>
              <w:rPr>
                <w:rFonts w:hint="eastAsia" w:ascii="宋体" w:hAnsi="宋体" w:eastAsia="宋体" w:cs="宋体"/>
                <w:sz w:val="21"/>
                <w:szCs w:val="21"/>
                <w:highlight w:val="none"/>
              </w:rPr>
              <w:t>供应商应提供质保期满后主要零部件报价单、质保期满后维护费、软件升级及其相关服务内容；</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产品相关配件、附件、备品备件及耗材的准备和保障措施、消耗水平和成本</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w:t>
            </w:r>
          </w:p>
        </w:tc>
      </w:tr>
      <w:tr w14:paraId="3982E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F956AB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4D9274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供应商应对采购人的操作人员、维修人员免费进行培训</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1-2次培训，内容涵盖仪器操作及数据分析软件应用）</w:t>
            </w:r>
            <w:r>
              <w:rPr>
                <w:rFonts w:hint="eastAsia" w:ascii="宋体" w:hAnsi="宋体" w:eastAsia="宋体" w:cs="宋体"/>
                <w:sz w:val="21"/>
                <w:szCs w:val="21"/>
                <w:highlight w:val="none"/>
              </w:rPr>
              <w:t>；</w:t>
            </w:r>
          </w:p>
          <w:p w14:paraId="315BAA31">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2.培训</w:t>
            </w:r>
            <w:r>
              <w:rPr>
                <w:rFonts w:hint="eastAsia" w:ascii="宋体" w:hAnsi="宋体" w:eastAsia="宋体" w:cs="宋体"/>
                <w:sz w:val="21"/>
                <w:szCs w:val="21"/>
                <w:highlight w:val="none"/>
              </w:rPr>
              <w:t>实现方式、时间、地点、人数应在投标文件中详细说明</w:t>
            </w:r>
            <w:r>
              <w:rPr>
                <w:rFonts w:hint="eastAsia" w:ascii="宋体" w:hAnsi="宋体" w:eastAsia="宋体" w:cs="宋体"/>
                <w:sz w:val="21"/>
                <w:szCs w:val="21"/>
                <w:highlight w:val="none"/>
                <w:lang w:eastAsia="zh-CN"/>
              </w:rPr>
              <w:t>；</w:t>
            </w:r>
          </w:p>
          <w:p w14:paraId="29B60AB4">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供应商应提供相应的培训计划、培训范围，实施方案</w:t>
            </w:r>
            <w:r>
              <w:rPr>
                <w:rFonts w:hint="eastAsia" w:ascii="宋体" w:hAnsi="宋体" w:cs="宋体"/>
                <w:sz w:val="21"/>
                <w:szCs w:val="21"/>
                <w:highlight w:val="none"/>
                <w:lang w:eastAsia="zh-CN"/>
              </w:rPr>
              <w:t>。</w:t>
            </w:r>
          </w:p>
        </w:tc>
      </w:tr>
      <w:tr w14:paraId="68FC2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602EB5FF">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3A1F0A8D">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74EECE8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2E26EFB0">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397055B0">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76FD4CAB">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59EC08C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510DEF00">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0A0B1823">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75361E3B">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0A73B5A0">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23155C3E">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7F846A94">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0A6341CA">
      <w:pPr>
        <w:adjustRightInd w:val="0"/>
        <w:snapToGrid w:val="0"/>
        <w:spacing w:line="288" w:lineRule="auto"/>
        <w:ind w:left="238" w:hanging="238" w:hangingChars="113"/>
        <w:outlineLvl w:val="1"/>
        <w:rPr>
          <w:rFonts w:ascii="宋体" w:hAnsi="宋体"/>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17474E94">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37AFE6C0">
      <w:pPr>
        <w:adjustRightInd w:val="0"/>
        <w:snapToGrid w:val="0"/>
        <w:spacing w:line="288" w:lineRule="auto"/>
        <w:rPr>
          <w:rFonts w:ascii="宋体" w:hAnsi="宋体" w:cs="宋体"/>
          <w:b/>
          <w:bCs/>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hint="eastAsia" w:ascii="宋体" w:hAnsi="宋体" w:cs="宋体"/>
          <w:bCs/>
          <w:sz w:val="21"/>
          <w:szCs w:val="21"/>
          <w:highlight w:val="none"/>
        </w:rPr>
        <w:t>用于代谢小分子、多肽类分子指纹谱图分析以及低分子量化合物、合成聚合物的分子量表征等，支持学科开展相关前沿科技、交叉领域的知识教学。</w:t>
      </w:r>
    </w:p>
    <w:p w14:paraId="347CF48E">
      <w:pPr>
        <w:adjustRightInd w:val="0"/>
        <w:snapToGrid w:val="0"/>
        <w:spacing w:line="288" w:lineRule="auto"/>
        <w:rPr>
          <w:rFonts w:hint="eastAsia"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028F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051B0497">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810" w:type="dxa"/>
            <w:noWrap w:val="0"/>
            <w:vAlign w:val="center"/>
          </w:tcPr>
          <w:p w14:paraId="4000653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661" w:type="dxa"/>
            <w:noWrap w:val="0"/>
            <w:vAlign w:val="center"/>
          </w:tcPr>
          <w:p w14:paraId="3B11DF6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661" w:type="dxa"/>
            <w:noWrap w:val="0"/>
            <w:vAlign w:val="center"/>
          </w:tcPr>
          <w:p w14:paraId="49F781B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6269" w:type="dxa"/>
            <w:noWrap w:val="0"/>
            <w:vAlign w:val="center"/>
          </w:tcPr>
          <w:p w14:paraId="318E72CF">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r>
      <w:tr w14:paraId="01EB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noWrap w:val="0"/>
            <w:vAlign w:val="center"/>
          </w:tcPr>
          <w:p w14:paraId="0B8C9D52">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1810" w:type="dxa"/>
            <w:shd w:val="clear" w:color="auto" w:fill="auto"/>
            <w:noWrap w:val="0"/>
            <w:vAlign w:val="center"/>
          </w:tcPr>
          <w:p w14:paraId="193B838A">
            <w:pPr>
              <w:jc w:val="center"/>
              <w:rPr>
                <w:rFonts w:hint="eastAsia" w:asciiTheme="minorEastAsia" w:hAnsiTheme="minorEastAsia" w:eastAsiaTheme="minorEastAsia" w:cstheme="minorEastAsia"/>
                <w:b/>
                <w:kern w:val="2"/>
                <w:sz w:val="21"/>
                <w:szCs w:val="21"/>
                <w:highlight w:val="none"/>
                <w:lang w:val="en-US" w:eastAsia="zh-CN" w:bidi="ar-SA"/>
              </w:rPr>
            </w:pPr>
            <w:r>
              <w:rPr>
                <w:rFonts w:hint="eastAsia" w:ascii="宋体" w:hAnsi="宋体"/>
                <w:sz w:val="21"/>
                <w:szCs w:val="21"/>
                <w:highlight w:val="none"/>
                <w:lang w:eastAsia="zh-CN"/>
              </w:rPr>
              <w:t>教学质谱仪系统</w:t>
            </w:r>
          </w:p>
        </w:tc>
        <w:tc>
          <w:tcPr>
            <w:tcW w:w="661" w:type="dxa"/>
            <w:shd w:val="clear" w:color="auto" w:fill="auto"/>
            <w:noWrap w:val="0"/>
            <w:vAlign w:val="center"/>
          </w:tcPr>
          <w:p w14:paraId="4C8960FD">
            <w:pPr>
              <w:jc w:val="center"/>
              <w:rPr>
                <w:rFonts w:hint="default" w:asciiTheme="minorEastAsia" w:hAnsiTheme="minorEastAsia" w:eastAsiaTheme="minorEastAsia" w:cstheme="minorEastAsia"/>
                <w:b/>
                <w:kern w:val="2"/>
                <w:sz w:val="21"/>
                <w:szCs w:val="21"/>
                <w:highlight w:val="none"/>
                <w:lang w:val="en-US" w:eastAsia="zh-CN" w:bidi="ar-SA"/>
              </w:rPr>
            </w:pPr>
            <w:r>
              <w:rPr>
                <w:rFonts w:hint="eastAsia" w:asciiTheme="minorEastAsia" w:hAnsiTheme="minorEastAsia" w:eastAsiaTheme="minorEastAsia" w:cstheme="minorEastAsia"/>
                <w:b/>
                <w:kern w:val="2"/>
                <w:sz w:val="21"/>
                <w:szCs w:val="21"/>
                <w:highlight w:val="none"/>
                <w:lang w:val="en-US" w:eastAsia="zh-CN" w:bidi="ar-SA"/>
              </w:rPr>
              <w:t>1</w:t>
            </w:r>
          </w:p>
        </w:tc>
        <w:tc>
          <w:tcPr>
            <w:tcW w:w="661" w:type="dxa"/>
            <w:shd w:val="clear" w:color="auto" w:fill="auto"/>
            <w:noWrap w:val="0"/>
            <w:vAlign w:val="center"/>
          </w:tcPr>
          <w:p w14:paraId="5DB1C020">
            <w:pPr>
              <w:jc w:val="center"/>
              <w:rPr>
                <w:rFonts w:hint="default" w:asciiTheme="minorEastAsia" w:hAnsiTheme="minorEastAsia" w:eastAsiaTheme="minorEastAsia" w:cstheme="minorEastAsia"/>
                <w:b/>
                <w:kern w:val="2"/>
                <w:sz w:val="21"/>
                <w:szCs w:val="21"/>
                <w:highlight w:val="none"/>
                <w:lang w:val="en-US" w:eastAsia="zh-CN" w:bidi="ar-SA"/>
              </w:rPr>
            </w:pPr>
            <w:r>
              <w:rPr>
                <w:rFonts w:hint="eastAsia" w:asciiTheme="minorEastAsia" w:hAnsiTheme="minorEastAsia" w:eastAsiaTheme="minorEastAsia" w:cstheme="minorEastAsia"/>
                <w:b/>
                <w:kern w:val="2"/>
                <w:sz w:val="21"/>
                <w:szCs w:val="21"/>
                <w:highlight w:val="none"/>
                <w:lang w:val="en-US" w:eastAsia="zh-CN" w:bidi="ar-SA"/>
              </w:rPr>
              <w:t>台</w:t>
            </w:r>
          </w:p>
        </w:tc>
        <w:tc>
          <w:tcPr>
            <w:tcW w:w="6269" w:type="dxa"/>
            <w:shd w:val="clear" w:color="auto" w:fill="auto"/>
            <w:noWrap w:val="0"/>
            <w:vAlign w:val="top"/>
          </w:tcPr>
          <w:p w14:paraId="07CB6487">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1、设备主要技术性能及功能</w:t>
            </w:r>
          </w:p>
          <w:p w14:paraId="46904C81">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 质量范围：10-6000 Da；</w:t>
            </w:r>
          </w:p>
          <w:p w14:paraId="312ADEBC">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1.2 检测模式：反射负离子、反射正离子双极性模式； </w:t>
            </w:r>
          </w:p>
          <w:p w14:paraId="10536D0E">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 最佳分辨率：15000（FWHM）；</w:t>
            </w:r>
          </w:p>
          <w:p w14:paraId="0782B9FC">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 灵敏度：1 fmol血管紧张素II，S/N≥10；</w:t>
            </w:r>
          </w:p>
          <w:p w14:paraId="0CD5FB16">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1.5 质量准确度：≤15 ppm（内标法），≤50 ppm（外标法）；</w:t>
            </w:r>
          </w:p>
          <w:p w14:paraId="34085A7E">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1.6 质量重复性：≤20 ppm； </w:t>
            </w:r>
          </w:p>
          <w:p w14:paraId="59C95EC8">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1.7 检测速度：单样本检测时间≤40 s；</w:t>
            </w:r>
          </w:p>
          <w:p w14:paraId="2DC11EC2">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1.8检测通量：1次上样最多可检测96个样本，并提供证明文件；</w:t>
            </w:r>
          </w:p>
          <w:p w14:paraId="0E6DACAF">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 </w:t>
            </w:r>
            <w:r>
              <w:rPr>
                <w:rFonts w:hint="eastAsia"/>
                <w:sz w:val="21"/>
                <w:szCs w:val="21"/>
                <w:highlight w:val="none"/>
                <w:lang w:val="en-US" w:eastAsia="zh-CN"/>
              </w:rPr>
              <w:t>▲</w:t>
            </w:r>
            <w:r>
              <w:rPr>
                <w:rFonts w:hint="eastAsia" w:asciiTheme="minorEastAsia" w:hAnsiTheme="minorEastAsia" w:eastAsiaTheme="minorEastAsia" w:cstheme="minorEastAsia"/>
                <w:sz w:val="21"/>
                <w:szCs w:val="21"/>
                <w:highlight w:val="none"/>
                <w:lang w:val="en-US" w:eastAsia="zh-CN"/>
              </w:rPr>
              <w:t>操作软件具备仪器控制、数据自动采集、在线校准功能，采集的谱图可自动保存，具有全中文界面；</w:t>
            </w:r>
          </w:p>
          <w:p w14:paraId="2FDD0155">
            <w:pPr>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1.10 </w:t>
            </w:r>
            <w:r>
              <w:rPr>
                <w:rFonts w:hint="eastAsia"/>
                <w:sz w:val="21"/>
                <w:szCs w:val="21"/>
                <w:highlight w:val="none"/>
                <w:lang w:val="en-US" w:eastAsia="zh-CN"/>
              </w:rPr>
              <w:t>▲</w:t>
            </w:r>
            <w:r>
              <w:rPr>
                <w:rFonts w:hint="eastAsia" w:asciiTheme="minorEastAsia" w:hAnsiTheme="minorEastAsia" w:eastAsiaTheme="minorEastAsia" w:cstheme="minorEastAsia"/>
                <w:sz w:val="21"/>
                <w:szCs w:val="21"/>
                <w:highlight w:val="none"/>
                <w:lang w:val="en-US" w:eastAsia="zh-CN"/>
              </w:rPr>
              <w:t>数据分析软件：具备自动特征提取、差异分析、机器学习建模功能，支持学科开展交叉领域的知识教学，</w:t>
            </w:r>
            <w:r>
              <w:rPr>
                <w:rFonts w:hint="eastAsia" w:asciiTheme="minorEastAsia" w:hAnsiTheme="minorEastAsia" w:eastAsiaTheme="minorEastAsia" w:cstheme="minorEastAsia"/>
                <w:b/>
                <w:bCs/>
                <w:sz w:val="21"/>
                <w:szCs w:val="21"/>
                <w:highlight w:val="none"/>
                <w:lang w:val="en-US" w:eastAsia="zh-CN"/>
              </w:rPr>
              <w:t>并提供证明文件（</w:t>
            </w:r>
            <w:r>
              <w:rPr>
                <w:rFonts w:hint="eastAsia" w:asciiTheme="minorEastAsia" w:hAnsiTheme="minorEastAsia" w:eastAsiaTheme="minorEastAsia" w:cstheme="minorEastAsia"/>
                <w:b/>
                <w:bCs/>
                <w:sz w:val="21"/>
                <w:szCs w:val="21"/>
                <w:highlight w:val="none"/>
              </w:rPr>
              <w:t>产品彩页或说明书</w:t>
            </w:r>
            <w:r>
              <w:rPr>
                <w:rFonts w:hint="eastAsia" w:asciiTheme="minorEastAsia" w:hAnsiTheme="minorEastAsia" w:eastAsiaTheme="minorEastAsia" w:cstheme="minorEastAsia"/>
                <w:b/>
                <w:bCs/>
                <w:sz w:val="21"/>
                <w:szCs w:val="21"/>
                <w:highlight w:val="none"/>
                <w:lang w:val="en-US" w:eastAsia="zh-CN"/>
              </w:rPr>
              <w:t>）；</w:t>
            </w:r>
          </w:p>
          <w:p w14:paraId="4F1FF35C">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2、配置要求</w:t>
            </w:r>
          </w:p>
          <w:p w14:paraId="28DF2118">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2.1高分辨飞行时间质谱仪1台；</w:t>
            </w:r>
          </w:p>
          <w:p w14:paraId="13E413CC">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 数据采集工作站：含分体式台式机，Windows™ 10及以上操作系统，i7及以上处理器，16G及以上内存，1T及以上硬盘；</w:t>
            </w:r>
          </w:p>
          <w:p w14:paraId="5F8E3919">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 配套预处理试剂盒10盒，主要应用于小分子的提取和免基质LDI-MS检测；</w:t>
            </w:r>
          </w:p>
          <w:p w14:paraId="32313DB0">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 配套硅基微纳质谱芯片10片，无需额外有机基质可用于小分子检测，</w:t>
            </w:r>
            <w:r>
              <w:rPr>
                <w:rFonts w:hint="eastAsia" w:asciiTheme="minorEastAsia" w:hAnsiTheme="minorEastAsia" w:eastAsiaTheme="minorEastAsia" w:cstheme="minorEastAsia"/>
                <w:b/>
                <w:bCs/>
                <w:sz w:val="21"/>
                <w:szCs w:val="21"/>
                <w:highlight w:val="none"/>
              </w:rPr>
              <w:t>并提供证明文件</w:t>
            </w:r>
            <w:r>
              <w:rPr>
                <w:rFonts w:hint="eastAsia" w:asciiTheme="minorEastAsia" w:hAnsiTheme="minorEastAsia" w:eastAsiaTheme="minorEastAsia" w:cstheme="minorEastAsia"/>
                <w:b/>
                <w:bCs/>
                <w:sz w:val="21"/>
                <w:szCs w:val="21"/>
                <w:highlight w:val="none"/>
                <w:lang w:eastAsia="zh-CN"/>
              </w:rPr>
              <w:t>（产品彩页或说明书及质谱谱图）</w:t>
            </w:r>
            <w:r>
              <w:rPr>
                <w:rFonts w:hint="eastAsia" w:asciiTheme="minorEastAsia" w:hAnsiTheme="minorEastAsia" w:eastAsiaTheme="minorEastAsia" w:cstheme="minorEastAsia"/>
                <w:sz w:val="21"/>
                <w:szCs w:val="21"/>
                <w:highlight w:val="none"/>
              </w:rPr>
              <w:t>；</w:t>
            </w:r>
          </w:p>
          <w:p w14:paraId="239D8D3E">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 配置1块适配96通量不锈钢靶面的靶托；</w:t>
            </w:r>
          </w:p>
          <w:p w14:paraId="211FE521">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 配置5块与质谱仪配套的96通量不锈钢靶面；</w:t>
            </w:r>
          </w:p>
          <w:p w14:paraId="1BDA0C66">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2.7 提供完整的用户手册一套。</w:t>
            </w:r>
          </w:p>
        </w:tc>
      </w:tr>
    </w:tbl>
    <w:p w14:paraId="4BD34AA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hint="eastAsia" w:ascii="宋体" w:hAnsi="宋体"/>
          <w:b/>
          <w:sz w:val="21"/>
          <w:szCs w:val="21"/>
          <w:highlight w:val="none"/>
        </w:rPr>
      </w:pPr>
      <w:r>
        <w:rPr>
          <w:rFonts w:hint="eastAsia" w:ascii="宋体" w:hAnsi="宋体"/>
          <w:b/>
          <w:sz w:val="21"/>
          <w:szCs w:val="21"/>
          <w:highlight w:val="none"/>
        </w:rPr>
        <w:t>注：投标人需根据以上要求提供对应材料，未提供或不符合技术要求的视为1项负偏离。</w:t>
      </w:r>
    </w:p>
    <w:p w14:paraId="7C52902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7C29D9"/>
    <w:rsid w:val="062C21B1"/>
    <w:rsid w:val="437C2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2025-10-30T03:00:00Z</dcterms:created>
  <dc:creator>刘冰冰</dc:creator>
  <cp:lastModifiedBy>刘冰冰</cp:lastModifiedBy>
  <dcterms:modified xsi:type="dcterms:W3CDTF">2025-10-30T03:01:13Z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B516C51251244FC986496BA16F2DEC11_13</vt:lpwstr>
  </property>
  <property fmtid="{D5CDD505-2E9C-101B-9397-08002B2CF9AE}" pid="4" name="KSOTemplateDocerSaveRecord">
    <vt:lpwstr>eyJoZGlkIjoiZmZkMWFjNDM1NzNmYzdiM2JkYWM5YjhmZTllYTliMjAiLCJ1c2VySWQiOiIxNjExODE3NTMwIn0=</vt:lpwstr>
  </property>
</Properties>
</file>